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F073A" w14:textId="133D1C91" w:rsidR="00B670C5" w:rsidRPr="006955AF" w:rsidRDefault="00B670C5" w:rsidP="00A217B5">
      <w:pPr>
        <w:spacing w:line="360" w:lineRule="auto"/>
        <w:jc w:val="center"/>
        <w:rPr>
          <w:rFonts w:ascii="Times" w:hAnsi="Times"/>
          <w:u w:val="single"/>
        </w:rPr>
      </w:pPr>
      <w:bookmarkStart w:id="0" w:name="_GoBack"/>
      <w:bookmarkEnd w:id="0"/>
      <w:r w:rsidRPr="006955AF">
        <w:rPr>
          <w:rFonts w:ascii="Times" w:hAnsi="Times"/>
          <w:u w:val="single"/>
        </w:rPr>
        <w:t>The Performance Interest in the Law of Trusts</w:t>
      </w:r>
    </w:p>
    <w:p w14:paraId="3655BA9F" w14:textId="67C96984" w:rsidR="003263D0" w:rsidRPr="006955AF" w:rsidRDefault="003263D0" w:rsidP="00A217B5">
      <w:pPr>
        <w:spacing w:line="360" w:lineRule="auto"/>
        <w:jc w:val="both"/>
        <w:rPr>
          <w:rFonts w:ascii="Times" w:hAnsi="Times"/>
        </w:rPr>
      </w:pPr>
    </w:p>
    <w:p w14:paraId="1CEC19E2" w14:textId="07EAF3A7" w:rsidR="00B670C5" w:rsidRPr="006955AF" w:rsidRDefault="006C4FAE" w:rsidP="00A217B5">
      <w:pPr>
        <w:spacing w:line="360" w:lineRule="auto"/>
        <w:jc w:val="center"/>
        <w:rPr>
          <w:rFonts w:ascii="Times" w:hAnsi="Times"/>
        </w:rPr>
      </w:pPr>
      <w:r w:rsidRPr="006955AF">
        <w:rPr>
          <w:rFonts w:ascii="Times" w:hAnsi="Times"/>
        </w:rPr>
        <w:t>Lusina Ho</w:t>
      </w:r>
      <w:r w:rsidRPr="00F901D3">
        <w:rPr>
          <w:rFonts w:ascii="Times" w:hAnsi="Times"/>
        </w:rPr>
        <w:footnoteReference w:customMarkFollows="1" w:id="2"/>
        <w:t>*</w:t>
      </w:r>
      <w:r w:rsidRPr="006C4FAE">
        <w:rPr>
          <w:rFonts w:ascii="Times" w:hAnsi="Times"/>
        </w:rPr>
        <w:t xml:space="preserve"> and </w:t>
      </w:r>
      <w:r w:rsidRPr="006955AF">
        <w:rPr>
          <w:rFonts w:ascii="Times" w:hAnsi="Times"/>
        </w:rPr>
        <w:t xml:space="preserve">Richard </w:t>
      </w:r>
      <w:r w:rsidR="001A2A92">
        <w:rPr>
          <w:rFonts w:ascii="Times" w:hAnsi="Times"/>
        </w:rPr>
        <w:t xml:space="preserve">C. </w:t>
      </w:r>
      <w:r w:rsidRPr="006955AF">
        <w:rPr>
          <w:rFonts w:ascii="Times" w:hAnsi="Times"/>
        </w:rPr>
        <w:t>Nolan</w:t>
      </w:r>
      <w:r w:rsidRPr="00F901D3">
        <w:rPr>
          <w:rFonts w:ascii="Times" w:hAnsi="Times"/>
        </w:rPr>
        <w:footnoteReference w:customMarkFollows="1" w:id="3"/>
        <w:t>**</w:t>
      </w:r>
    </w:p>
    <w:p w14:paraId="50B5374C" w14:textId="77777777" w:rsidR="006C4FAE" w:rsidRPr="006955AF" w:rsidRDefault="006C4FAE" w:rsidP="00A217B5">
      <w:pPr>
        <w:spacing w:line="360" w:lineRule="auto"/>
        <w:jc w:val="both"/>
        <w:rPr>
          <w:rFonts w:ascii="Times" w:hAnsi="Times"/>
        </w:rPr>
      </w:pPr>
    </w:p>
    <w:p w14:paraId="0F7AA265" w14:textId="23AF805D" w:rsidR="00A1522B" w:rsidRPr="00F901D3" w:rsidRDefault="00A1522B" w:rsidP="00A217B5">
      <w:pPr>
        <w:pStyle w:val="ListParagraph"/>
        <w:numPr>
          <w:ilvl w:val="0"/>
          <w:numId w:val="6"/>
        </w:numPr>
        <w:spacing w:line="360" w:lineRule="auto"/>
        <w:jc w:val="both"/>
        <w:rPr>
          <w:rFonts w:ascii="Times" w:hAnsi="Times"/>
          <w:i/>
        </w:rPr>
      </w:pPr>
      <w:r w:rsidRPr="00F901D3">
        <w:rPr>
          <w:rFonts w:ascii="Times" w:hAnsi="Times"/>
          <w:i/>
        </w:rPr>
        <w:t>Introduction</w:t>
      </w:r>
    </w:p>
    <w:p w14:paraId="1412D3CB" w14:textId="77777777" w:rsidR="00A007F3" w:rsidRPr="006955AF" w:rsidRDefault="00A007F3" w:rsidP="00A217B5">
      <w:pPr>
        <w:spacing w:line="360" w:lineRule="auto"/>
        <w:jc w:val="both"/>
        <w:rPr>
          <w:rFonts w:ascii="Times" w:hAnsi="Times"/>
          <w:i/>
        </w:rPr>
      </w:pPr>
    </w:p>
    <w:p w14:paraId="7AB33B48" w14:textId="0189E8E3" w:rsidR="00A217B5" w:rsidRDefault="00006F11" w:rsidP="00A217B5">
      <w:pPr>
        <w:spacing w:line="360" w:lineRule="auto"/>
        <w:jc w:val="both"/>
        <w:rPr>
          <w:rFonts w:ascii="Times" w:hAnsi="Times"/>
        </w:rPr>
      </w:pPr>
      <w:r w:rsidRPr="006955AF">
        <w:rPr>
          <w:rFonts w:ascii="Times" w:hAnsi="Times"/>
        </w:rPr>
        <w:t xml:space="preserve">The obligations of a trustee are fundamentally different from the obligations of a contracting party. </w:t>
      </w:r>
      <w:r w:rsidR="00DD18B9">
        <w:rPr>
          <w:rFonts w:ascii="Times" w:hAnsi="Times"/>
        </w:rPr>
        <w:t xml:space="preserve"> </w:t>
      </w:r>
      <w:r w:rsidRPr="006955AF">
        <w:rPr>
          <w:rFonts w:ascii="Times" w:hAnsi="Times"/>
        </w:rPr>
        <w:t xml:space="preserve">This difference is most obviously reflected in the remedies for breach of the respective obligations. </w:t>
      </w:r>
      <w:r w:rsidR="00DD18B9">
        <w:rPr>
          <w:rFonts w:ascii="Times" w:hAnsi="Times"/>
        </w:rPr>
        <w:t xml:space="preserve"> </w:t>
      </w:r>
      <w:r w:rsidRPr="006955AF">
        <w:rPr>
          <w:rFonts w:ascii="Times" w:hAnsi="Times"/>
        </w:rPr>
        <w:t>But it also has other important structural consequences.</w:t>
      </w:r>
    </w:p>
    <w:p w14:paraId="28231A42" w14:textId="77777777" w:rsidR="00A217B5" w:rsidRDefault="00A217B5" w:rsidP="00A217B5">
      <w:pPr>
        <w:spacing w:line="360" w:lineRule="auto"/>
        <w:jc w:val="both"/>
        <w:rPr>
          <w:rFonts w:ascii="Times" w:hAnsi="Times"/>
        </w:rPr>
      </w:pPr>
    </w:p>
    <w:p w14:paraId="685F83E3" w14:textId="4E77D4C5" w:rsidR="00006F11" w:rsidRPr="006955AF" w:rsidRDefault="00006F11" w:rsidP="00A217B5">
      <w:pPr>
        <w:spacing w:line="360" w:lineRule="auto"/>
        <w:jc w:val="both"/>
        <w:rPr>
          <w:rFonts w:ascii="Times" w:hAnsi="Times"/>
        </w:rPr>
      </w:pPr>
      <w:r w:rsidRPr="006955AF">
        <w:rPr>
          <w:rFonts w:ascii="Times" w:hAnsi="Times"/>
        </w:rPr>
        <w:t xml:space="preserve">The obligations of a trustee give primacy to the </w:t>
      </w:r>
      <w:r w:rsidR="00864481" w:rsidRPr="006955AF">
        <w:rPr>
          <w:rFonts w:ascii="Times" w:hAnsi="Times"/>
        </w:rPr>
        <w:t>“</w:t>
      </w:r>
      <w:r w:rsidRPr="006955AF">
        <w:rPr>
          <w:rFonts w:ascii="Times" w:hAnsi="Times"/>
        </w:rPr>
        <w:t>performance interest</w:t>
      </w:r>
      <w:r w:rsidR="00864481" w:rsidRPr="006955AF">
        <w:rPr>
          <w:rFonts w:ascii="Times" w:hAnsi="Times"/>
        </w:rPr>
        <w:t>” of beneficiaries of that trust:  that is, the interest of those beneficiaries in actual execution of the trust rather than compensation for loss resulting from the trustee’s failure to execute the trust.</w:t>
      </w:r>
      <w:r w:rsidRPr="006955AF">
        <w:rPr>
          <w:rFonts w:ascii="Times" w:hAnsi="Times"/>
        </w:rPr>
        <w:t xml:space="preserve">  The obligations of a contracting party do not attach the same importance to the performance interest: </w:t>
      </w:r>
      <w:r w:rsidR="00DF6C52">
        <w:rPr>
          <w:rFonts w:ascii="Times" w:hAnsi="Times"/>
        </w:rPr>
        <w:t xml:space="preserve"> </w:t>
      </w:r>
      <w:r w:rsidRPr="006955AF">
        <w:rPr>
          <w:rFonts w:ascii="Times" w:hAnsi="Times"/>
        </w:rPr>
        <w:t xml:space="preserve">the contracting party </w:t>
      </w:r>
      <w:r w:rsidR="00DA440A">
        <w:rPr>
          <w:rFonts w:ascii="Times" w:hAnsi="Times"/>
        </w:rPr>
        <w:t xml:space="preserve">will </w:t>
      </w:r>
      <w:r w:rsidRPr="006955AF">
        <w:rPr>
          <w:rFonts w:ascii="Times" w:hAnsi="Times"/>
        </w:rPr>
        <w:t>generally perform, but if that party does not perform, the counterparty may</w:t>
      </w:r>
      <w:r w:rsidR="005A3EBE">
        <w:rPr>
          <w:rFonts w:ascii="Times" w:hAnsi="Times"/>
        </w:rPr>
        <w:t xml:space="preserve">, </w:t>
      </w:r>
      <w:r w:rsidR="00DA440A">
        <w:rPr>
          <w:rFonts w:ascii="Times" w:hAnsi="Times"/>
        </w:rPr>
        <w:t>in the vast majority of cases</w:t>
      </w:r>
      <w:r w:rsidR="005A3EBE">
        <w:rPr>
          <w:rFonts w:ascii="Times" w:hAnsi="Times"/>
        </w:rPr>
        <w:t xml:space="preserve">, </w:t>
      </w:r>
      <w:r w:rsidRPr="006955AF">
        <w:rPr>
          <w:rFonts w:ascii="Times" w:hAnsi="Times"/>
        </w:rPr>
        <w:t>claim the monetary equivalent to reasonably foreseeable loss that flows from breach of the contract.</w:t>
      </w:r>
    </w:p>
    <w:p w14:paraId="33538830" w14:textId="77777777" w:rsidR="00006F11" w:rsidRPr="006955AF" w:rsidRDefault="00006F11" w:rsidP="00A217B5">
      <w:pPr>
        <w:spacing w:line="360" w:lineRule="auto"/>
        <w:jc w:val="both"/>
        <w:rPr>
          <w:rFonts w:ascii="Times" w:hAnsi="Times"/>
        </w:rPr>
      </w:pPr>
    </w:p>
    <w:p w14:paraId="516E8C22" w14:textId="20E0ADEE" w:rsidR="005A3EBE" w:rsidRDefault="00006F11" w:rsidP="00A217B5">
      <w:pPr>
        <w:spacing w:line="360" w:lineRule="auto"/>
        <w:jc w:val="both"/>
        <w:rPr>
          <w:rFonts w:ascii="Times" w:hAnsi="Times"/>
        </w:rPr>
      </w:pPr>
      <w:r w:rsidRPr="006955AF">
        <w:rPr>
          <w:rFonts w:ascii="Times" w:hAnsi="Times"/>
        </w:rPr>
        <w:t>This understanding of the law of contract is well-known</w:t>
      </w:r>
      <w:r w:rsidR="00793386">
        <w:rPr>
          <w:rFonts w:ascii="Times" w:hAnsi="Times"/>
        </w:rPr>
        <w:t xml:space="preserve">, though </w:t>
      </w:r>
      <w:r w:rsidR="0042553A">
        <w:rPr>
          <w:rFonts w:ascii="Times" w:hAnsi="Times"/>
        </w:rPr>
        <w:t>some theorists have criticised it</w:t>
      </w:r>
      <w:r w:rsidRPr="006955AF">
        <w:rPr>
          <w:rFonts w:ascii="Times" w:hAnsi="Times"/>
        </w:rPr>
        <w:t>.</w:t>
      </w:r>
      <w:r w:rsidR="002F17AF" w:rsidRPr="006955AF">
        <w:rPr>
          <w:rFonts w:ascii="Times" w:hAnsi="Times"/>
        </w:rPr>
        <w:t xml:space="preserve"> </w:t>
      </w:r>
      <w:r w:rsidR="008446E6">
        <w:rPr>
          <w:rFonts w:ascii="Times" w:hAnsi="Times"/>
        </w:rPr>
        <w:t xml:space="preserve"> </w:t>
      </w:r>
      <w:r w:rsidRPr="006955AF">
        <w:rPr>
          <w:rFonts w:ascii="Times" w:hAnsi="Times"/>
        </w:rPr>
        <w:t xml:space="preserve">However, the axiomatic basis of the law of trusts is much less well appreciated, particularly by those who do not specialise in the study or practice of trust law.  </w:t>
      </w:r>
      <w:r w:rsidR="00DA440A">
        <w:rPr>
          <w:rFonts w:ascii="Times" w:hAnsi="Times"/>
        </w:rPr>
        <w:t>T</w:t>
      </w:r>
      <w:r w:rsidRPr="006955AF">
        <w:rPr>
          <w:rFonts w:ascii="Times" w:hAnsi="Times"/>
        </w:rPr>
        <w:t xml:space="preserve">his lack of familiarity can lead to </w:t>
      </w:r>
      <w:r w:rsidR="0042553A">
        <w:rPr>
          <w:rFonts w:ascii="Times" w:hAnsi="Times"/>
        </w:rPr>
        <w:t xml:space="preserve">difficulties and </w:t>
      </w:r>
      <w:r w:rsidRPr="006955AF">
        <w:rPr>
          <w:rFonts w:ascii="Times" w:hAnsi="Times"/>
        </w:rPr>
        <w:t>misunderstandings</w:t>
      </w:r>
      <w:r w:rsidR="0042553A">
        <w:rPr>
          <w:rFonts w:ascii="Times" w:hAnsi="Times"/>
        </w:rPr>
        <w:t>, particularly in cases where trusts are established in the context o</w:t>
      </w:r>
      <w:r w:rsidR="00DA440A">
        <w:rPr>
          <w:rFonts w:ascii="Times" w:hAnsi="Times"/>
        </w:rPr>
        <w:t xml:space="preserve">f </w:t>
      </w:r>
      <w:r w:rsidR="0042553A">
        <w:rPr>
          <w:rFonts w:ascii="Times" w:hAnsi="Times"/>
        </w:rPr>
        <w:t xml:space="preserve">contractual </w:t>
      </w:r>
      <w:r w:rsidR="00743271">
        <w:rPr>
          <w:rFonts w:ascii="Times" w:hAnsi="Times"/>
        </w:rPr>
        <w:t>dealings</w:t>
      </w:r>
      <w:r w:rsidRPr="006955AF">
        <w:rPr>
          <w:rFonts w:ascii="Times" w:hAnsi="Times"/>
        </w:rPr>
        <w:t xml:space="preserve">.  </w:t>
      </w:r>
      <w:r w:rsidR="00DA440A">
        <w:rPr>
          <w:rFonts w:ascii="Times" w:hAnsi="Times"/>
        </w:rPr>
        <w:t>It</w:t>
      </w:r>
      <w:r w:rsidRPr="006955AF">
        <w:rPr>
          <w:rFonts w:ascii="Times" w:hAnsi="Times"/>
        </w:rPr>
        <w:t xml:space="preserve"> is </w:t>
      </w:r>
      <w:r w:rsidR="00DA440A">
        <w:rPr>
          <w:rFonts w:ascii="Times" w:hAnsi="Times"/>
        </w:rPr>
        <w:t xml:space="preserve">therefore </w:t>
      </w:r>
      <w:r w:rsidRPr="006955AF">
        <w:rPr>
          <w:rFonts w:ascii="Times" w:hAnsi="Times"/>
        </w:rPr>
        <w:t>useful to explain to a wider audience the correct obligational structure of the law of trusts.</w:t>
      </w:r>
    </w:p>
    <w:p w14:paraId="1EF179D7" w14:textId="77777777" w:rsidR="005A3EBE" w:rsidRDefault="005A3EBE" w:rsidP="00A217B5">
      <w:pPr>
        <w:spacing w:line="360" w:lineRule="auto"/>
        <w:jc w:val="both"/>
        <w:rPr>
          <w:rFonts w:ascii="Times" w:hAnsi="Times"/>
        </w:rPr>
      </w:pPr>
    </w:p>
    <w:p w14:paraId="20DC6939" w14:textId="6DC83A50" w:rsidR="00006F11" w:rsidRPr="006955AF" w:rsidRDefault="00006F11" w:rsidP="00A217B5">
      <w:pPr>
        <w:spacing w:line="360" w:lineRule="auto"/>
        <w:jc w:val="both"/>
        <w:rPr>
          <w:rFonts w:ascii="Times" w:hAnsi="Times"/>
        </w:rPr>
      </w:pPr>
      <w:r w:rsidRPr="006955AF">
        <w:rPr>
          <w:rFonts w:ascii="Times" w:hAnsi="Times"/>
        </w:rPr>
        <w:t xml:space="preserve">Further, the exercise is important for at least two other reasons. </w:t>
      </w:r>
      <w:r w:rsidR="005A3EBE">
        <w:rPr>
          <w:rFonts w:ascii="Times" w:hAnsi="Times"/>
        </w:rPr>
        <w:t xml:space="preserve"> </w:t>
      </w:r>
      <w:r w:rsidRPr="006955AF">
        <w:rPr>
          <w:rFonts w:ascii="Times" w:hAnsi="Times"/>
        </w:rPr>
        <w:t>First, several recent and high-profile cases have revealed an apparently awkward fit between trust and contract.</w:t>
      </w:r>
      <w:r w:rsidR="008446E6">
        <w:rPr>
          <w:rFonts w:ascii="Times" w:hAnsi="Times"/>
        </w:rPr>
        <w:t xml:space="preserve"> </w:t>
      </w:r>
      <w:r w:rsidRPr="006955AF">
        <w:rPr>
          <w:rFonts w:ascii="Times" w:hAnsi="Times"/>
        </w:rPr>
        <w:t xml:space="preserve"> </w:t>
      </w:r>
      <w:r w:rsidRPr="006955AF">
        <w:rPr>
          <w:rFonts w:ascii="Times" w:hAnsi="Times"/>
        </w:rPr>
        <w:lastRenderedPageBreak/>
        <w:t xml:space="preserve">Understanding each body of law correctly assists in their simple and correct reconciliation, eliminating uncertainty and confusion. </w:t>
      </w:r>
      <w:r w:rsidR="008446E6">
        <w:rPr>
          <w:rFonts w:ascii="Times" w:hAnsi="Times"/>
        </w:rPr>
        <w:t xml:space="preserve"> </w:t>
      </w:r>
      <w:r w:rsidRPr="006955AF">
        <w:rPr>
          <w:rFonts w:ascii="Times" w:hAnsi="Times"/>
        </w:rPr>
        <w:t xml:space="preserve">As will be seen, the law of trusts and the law of contract have distinct and yet complementary domains.  We do not need some novel “law of commercial trusts” </w:t>
      </w:r>
      <w:r w:rsidR="00770D29" w:rsidRPr="006955AF">
        <w:rPr>
          <w:rFonts w:ascii="Times" w:hAnsi="Times"/>
        </w:rPr>
        <w:t xml:space="preserve">or such like </w:t>
      </w:r>
      <w:r w:rsidRPr="006955AF">
        <w:rPr>
          <w:rFonts w:ascii="Times" w:hAnsi="Times"/>
        </w:rPr>
        <w:t>to accommodate the interface between trust and contract</w:t>
      </w:r>
      <w:r w:rsidR="00770D29" w:rsidRPr="006955AF">
        <w:rPr>
          <w:rFonts w:ascii="Times" w:hAnsi="Times"/>
        </w:rPr>
        <w:t>.  T</w:t>
      </w:r>
      <w:r w:rsidRPr="006955AF">
        <w:rPr>
          <w:rFonts w:ascii="Times" w:hAnsi="Times"/>
        </w:rPr>
        <w:t>he existing law, properly understood, more than adequately accommodates that conjunction.</w:t>
      </w:r>
    </w:p>
    <w:p w14:paraId="42BD765D" w14:textId="77777777" w:rsidR="00006F11" w:rsidRPr="006955AF" w:rsidRDefault="00006F11" w:rsidP="00A217B5">
      <w:pPr>
        <w:spacing w:line="360" w:lineRule="auto"/>
        <w:jc w:val="both"/>
        <w:rPr>
          <w:rFonts w:ascii="Times" w:hAnsi="Times"/>
        </w:rPr>
      </w:pPr>
    </w:p>
    <w:p w14:paraId="0F02A364" w14:textId="3571FEB5" w:rsidR="003B2CB3" w:rsidRPr="000E3919" w:rsidRDefault="00006F11" w:rsidP="00A217B5">
      <w:pPr>
        <w:spacing w:line="360" w:lineRule="auto"/>
        <w:jc w:val="both"/>
        <w:rPr>
          <w:rFonts w:ascii="Times" w:hAnsi="Times"/>
          <w:i/>
        </w:rPr>
      </w:pPr>
      <w:r w:rsidRPr="006955AF">
        <w:rPr>
          <w:rFonts w:ascii="Times" w:hAnsi="Times"/>
        </w:rPr>
        <w:t xml:space="preserve">Secondly, exploring both the differences and the interface between the law of trusts and </w:t>
      </w:r>
      <w:r w:rsidR="00F22A6B" w:rsidRPr="006955AF">
        <w:rPr>
          <w:rFonts w:ascii="Times" w:hAnsi="Times"/>
        </w:rPr>
        <w:t xml:space="preserve">law of contract </w:t>
      </w:r>
      <w:r w:rsidR="006E4ADE" w:rsidRPr="006955AF">
        <w:rPr>
          <w:rFonts w:ascii="Times" w:hAnsi="Times"/>
        </w:rPr>
        <w:t>sheds a</w:t>
      </w:r>
      <w:r w:rsidR="009D043E" w:rsidRPr="006955AF">
        <w:rPr>
          <w:rFonts w:ascii="Times" w:hAnsi="Times"/>
        </w:rPr>
        <w:t xml:space="preserve"> suitably critical light o</w:t>
      </w:r>
      <w:r w:rsidR="00436FE1" w:rsidRPr="006955AF">
        <w:rPr>
          <w:rFonts w:ascii="Times" w:hAnsi="Times"/>
        </w:rPr>
        <w:t>n theoretical attempts to re-c</w:t>
      </w:r>
      <w:r w:rsidR="009D043E" w:rsidRPr="006955AF">
        <w:rPr>
          <w:rFonts w:ascii="Times" w:hAnsi="Times"/>
        </w:rPr>
        <w:t>onceptualise the law</w:t>
      </w:r>
      <w:r w:rsidR="000F1727" w:rsidRPr="006955AF">
        <w:rPr>
          <w:rFonts w:ascii="Times" w:hAnsi="Times"/>
        </w:rPr>
        <w:t xml:space="preserve"> of trusts</w:t>
      </w:r>
      <w:r w:rsidR="001A090E" w:rsidRPr="006955AF">
        <w:rPr>
          <w:rFonts w:ascii="Times" w:hAnsi="Times"/>
        </w:rPr>
        <w:t xml:space="preserve">.  These attempts </w:t>
      </w:r>
      <w:r w:rsidR="009D043E" w:rsidRPr="006955AF">
        <w:rPr>
          <w:rFonts w:ascii="Times" w:hAnsi="Times"/>
        </w:rPr>
        <w:t>are neither necessary</w:t>
      </w:r>
      <w:r w:rsidR="001A090E" w:rsidRPr="006955AF">
        <w:rPr>
          <w:rFonts w:ascii="Times" w:hAnsi="Times"/>
        </w:rPr>
        <w:t xml:space="preserve"> in order to understand the law, nor desirable in their</w:t>
      </w:r>
      <w:r w:rsidR="009D043E" w:rsidRPr="006955AF">
        <w:rPr>
          <w:rFonts w:ascii="Times" w:hAnsi="Times"/>
        </w:rPr>
        <w:t xml:space="preserve"> practical effect.</w:t>
      </w:r>
      <w:r w:rsidR="00DF215D" w:rsidRPr="006955AF">
        <w:rPr>
          <w:rFonts w:ascii="Times" w:hAnsi="Times"/>
        </w:rPr>
        <w:t xml:space="preserve"> </w:t>
      </w:r>
      <w:r w:rsidR="008446E6">
        <w:rPr>
          <w:rFonts w:ascii="Times" w:hAnsi="Times"/>
        </w:rPr>
        <w:t xml:space="preserve"> </w:t>
      </w:r>
      <w:r w:rsidR="00DF215D" w:rsidRPr="006955AF">
        <w:rPr>
          <w:rFonts w:ascii="Times" w:hAnsi="Times"/>
        </w:rPr>
        <w:t xml:space="preserve">This exercise also sounds a note of caution about </w:t>
      </w:r>
      <w:r w:rsidR="00EE2148" w:rsidRPr="006955AF">
        <w:rPr>
          <w:rFonts w:ascii="Times" w:hAnsi="Times"/>
        </w:rPr>
        <w:t xml:space="preserve">the idea of </w:t>
      </w:r>
      <w:r w:rsidR="00F47435" w:rsidRPr="006955AF">
        <w:rPr>
          <w:rFonts w:ascii="Times" w:hAnsi="Times"/>
        </w:rPr>
        <w:t xml:space="preserve">assimilating trusts under </w:t>
      </w:r>
      <w:r w:rsidR="00EE2148" w:rsidRPr="006955AF">
        <w:rPr>
          <w:rFonts w:ascii="Times" w:hAnsi="Times"/>
        </w:rPr>
        <w:t>a “law of obligations”, even a “law of voluntary obligations”</w:t>
      </w:r>
      <w:r w:rsidR="000F1727" w:rsidRPr="006955AF">
        <w:rPr>
          <w:rFonts w:ascii="Times" w:hAnsi="Times"/>
        </w:rPr>
        <w:t>.  W</w:t>
      </w:r>
      <w:r w:rsidR="00BD3B8F" w:rsidRPr="006955AF">
        <w:rPr>
          <w:rFonts w:ascii="Times" w:hAnsi="Times"/>
        </w:rPr>
        <w:t>hile a notion of a law of obligations can be interesting from the persp</w:t>
      </w:r>
      <w:r w:rsidR="000F1727" w:rsidRPr="006955AF">
        <w:rPr>
          <w:rFonts w:ascii="Times" w:hAnsi="Times"/>
        </w:rPr>
        <w:t xml:space="preserve">ective of considering </w:t>
      </w:r>
      <w:r w:rsidR="00BD3B8F" w:rsidRPr="006955AF">
        <w:rPr>
          <w:rFonts w:ascii="Times" w:hAnsi="Times"/>
        </w:rPr>
        <w:t>who is bound</w:t>
      </w:r>
      <w:r w:rsidR="000F1727" w:rsidRPr="006955AF">
        <w:rPr>
          <w:rFonts w:ascii="Times" w:hAnsi="Times"/>
        </w:rPr>
        <w:t>,</w:t>
      </w:r>
      <w:r w:rsidR="00BD3B8F" w:rsidRPr="006955AF">
        <w:rPr>
          <w:rFonts w:ascii="Times" w:hAnsi="Times"/>
        </w:rPr>
        <w:t xml:space="preserve"> </w:t>
      </w:r>
      <w:r w:rsidR="000F1727" w:rsidRPr="006955AF">
        <w:rPr>
          <w:rFonts w:ascii="Times" w:hAnsi="Times"/>
        </w:rPr>
        <w:t xml:space="preserve">benefitted or </w:t>
      </w:r>
      <w:r w:rsidR="00BD3B8F" w:rsidRPr="006955AF">
        <w:rPr>
          <w:rFonts w:ascii="Times" w:hAnsi="Times"/>
        </w:rPr>
        <w:t xml:space="preserve">affected </w:t>
      </w:r>
      <w:r w:rsidR="000F1727" w:rsidRPr="006955AF">
        <w:rPr>
          <w:rFonts w:ascii="Times" w:hAnsi="Times"/>
        </w:rPr>
        <w:t xml:space="preserve">by a particular </w:t>
      </w:r>
      <w:r w:rsidR="00BD3B8F" w:rsidRPr="006955AF">
        <w:rPr>
          <w:rFonts w:ascii="Times" w:hAnsi="Times"/>
        </w:rPr>
        <w:t>juridical relationship</w:t>
      </w:r>
      <w:r w:rsidR="000F1727" w:rsidRPr="006955AF">
        <w:rPr>
          <w:rFonts w:ascii="Times" w:hAnsi="Times"/>
        </w:rPr>
        <w:t xml:space="preserve">, nevertheless the notion </w:t>
      </w:r>
      <w:r w:rsidR="00BD3B8F" w:rsidRPr="006955AF">
        <w:rPr>
          <w:rFonts w:ascii="Times" w:hAnsi="Times"/>
        </w:rPr>
        <w:t xml:space="preserve">has the potential to confuse.  </w:t>
      </w:r>
      <w:r w:rsidR="005A3EBE">
        <w:rPr>
          <w:rFonts w:ascii="Times" w:hAnsi="Times"/>
        </w:rPr>
        <w:t>For example, it does not accord sufficient attention to the power or authority that is granted to the trustee, and the crucial relevance of such power or authority in any analysis of trustees’ liabilities.  Moreover, t</w:t>
      </w:r>
      <w:r w:rsidR="00BD3B8F" w:rsidRPr="006955AF">
        <w:rPr>
          <w:rFonts w:ascii="Times" w:hAnsi="Times"/>
        </w:rPr>
        <w:t>he concerns of different obligations, even different voluntary obligations</w:t>
      </w:r>
      <w:r w:rsidR="00743271">
        <w:rPr>
          <w:rFonts w:ascii="Times" w:hAnsi="Times"/>
        </w:rPr>
        <w:t xml:space="preserve"> such as trust and contract</w:t>
      </w:r>
      <w:r w:rsidR="00BD3B8F" w:rsidRPr="006955AF">
        <w:rPr>
          <w:rFonts w:ascii="Times" w:hAnsi="Times"/>
        </w:rPr>
        <w:t>, can be very different, as will be s</w:t>
      </w:r>
      <w:r w:rsidR="000F1727" w:rsidRPr="006955AF">
        <w:rPr>
          <w:rFonts w:ascii="Times" w:hAnsi="Times"/>
        </w:rPr>
        <w:t>hown below</w:t>
      </w:r>
      <w:r w:rsidR="00CE30A6" w:rsidRPr="006955AF">
        <w:rPr>
          <w:rFonts w:ascii="Times" w:hAnsi="Times"/>
        </w:rPr>
        <w:t>.</w:t>
      </w:r>
    </w:p>
    <w:p w14:paraId="1F2BAD73" w14:textId="77777777" w:rsidR="008867C8" w:rsidRPr="00223232" w:rsidRDefault="008867C8" w:rsidP="00A217B5">
      <w:pPr>
        <w:spacing w:line="360" w:lineRule="auto"/>
        <w:jc w:val="both"/>
        <w:rPr>
          <w:rFonts w:ascii="Times" w:hAnsi="Times"/>
        </w:rPr>
      </w:pPr>
    </w:p>
    <w:p w14:paraId="0C36B9D6" w14:textId="662A6D98" w:rsidR="00DF1939" w:rsidRPr="003529B6" w:rsidRDefault="000C3728" w:rsidP="00A217B5">
      <w:pPr>
        <w:spacing w:line="360" w:lineRule="auto"/>
        <w:jc w:val="both"/>
        <w:rPr>
          <w:rFonts w:ascii="Times" w:hAnsi="Times"/>
        </w:rPr>
      </w:pPr>
      <w:r w:rsidRPr="00223232">
        <w:rPr>
          <w:rFonts w:ascii="Times" w:hAnsi="Times"/>
        </w:rPr>
        <w:t xml:space="preserve">In what follows, </w:t>
      </w:r>
      <w:r w:rsidR="00902307" w:rsidRPr="003529B6">
        <w:rPr>
          <w:rFonts w:ascii="Times" w:hAnsi="Times"/>
        </w:rPr>
        <w:t xml:space="preserve">Part </w:t>
      </w:r>
      <w:r w:rsidR="0087716D" w:rsidRPr="000E3919">
        <w:rPr>
          <w:rFonts w:ascii="Times" w:hAnsi="Times"/>
        </w:rPr>
        <w:t>T</w:t>
      </w:r>
      <w:r w:rsidRPr="000E3919">
        <w:rPr>
          <w:rFonts w:ascii="Times" w:hAnsi="Times"/>
        </w:rPr>
        <w:t>wo</w:t>
      </w:r>
      <w:r w:rsidR="00902307" w:rsidRPr="003529B6">
        <w:rPr>
          <w:rFonts w:ascii="Times" w:hAnsi="Times"/>
        </w:rPr>
        <w:t xml:space="preserve"> of t</w:t>
      </w:r>
      <w:r w:rsidR="003D32B6" w:rsidRPr="003529B6">
        <w:rPr>
          <w:rFonts w:ascii="Times" w:hAnsi="Times"/>
        </w:rPr>
        <w:t>his article consi</w:t>
      </w:r>
      <w:r w:rsidR="004D1210" w:rsidRPr="003529B6">
        <w:rPr>
          <w:rFonts w:ascii="Times" w:hAnsi="Times"/>
        </w:rPr>
        <w:t>der</w:t>
      </w:r>
      <w:r w:rsidR="0087716D" w:rsidRPr="003529B6">
        <w:rPr>
          <w:rFonts w:ascii="Times" w:hAnsi="Times"/>
        </w:rPr>
        <w:t>s</w:t>
      </w:r>
      <w:r w:rsidR="004D1210" w:rsidRPr="003529B6">
        <w:rPr>
          <w:rFonts w:ascii="Times" w:hAnsi="Times"/>
        </w:rPr>
        <w:t xml:space="preserve"> the basic case law </w:t>
      </w:r>
      <w:r w:rsidR="003D32B6" w:rsidRPr="003529B6">
        <w:rPr>
          <w:rFonts w:ascii="Times" w:hAnsi="Times"/>
        </w:rPr>
        <w:t>establish</w:t>
      </w:r>
      <w:r w:rsidR="004D1210" w:rsidRPr="003529B6">
        <w:rPr>
          <w:rFonts w:ascii="Times" w:hAnsi="Times"/>
        </w:rPr>
        <w:t xml:space="preserve">ing </w:t>
      </w:r>
      <w:r w:rsidR="003D32B6" w:rsidRPr="003529B6">
        <w:rPr>
          <w:rFonts w:ascii="Times" w:hAnsi="Times"/>
        </w:rPr>
        <w:t>the axiomatic principl</w:t>
      </w:r>
      <w:r w:rsidR="00AF1783" w:rsidRPr="003529B6">
        <w:rPr>
          <w:rFonts w:ascii="Times" w:hAnsi="Times"/>
        </w:rPr>
        <w:t xml:space="preserve">e of the law of trusts </w:t>
      </w:r>
      <w:r w:rsidR="00261D91" w:rsidRPr="003529B6">
        <w:rPr>
          <w:rFonts w:ascii="Times" w:hAnsi="Times"/>
        </w:rPr>
        <w:t xml:space="preserve">– </w:t>
      </w:r>
      <w:r w:rsidR="00AF1783" w:rsidRPr="003529B6">
        <w:rPr>
          <w:rFonts w:ascii="Times" w:hAnsi="Times"/>
        </w:rPr>
        <w:t xml:space="preserve">that a </w:t>
      </w:r>
      <w:r w:rsidR="003D32B6" w:rsidRPr="003529B6">
        <w:rPr>
          <w:rFonts w:ascii="Times" w:hAnsi="Times"/>
        </w:rPr>
        <w:t>trust must be performed</w:t>
      </w:r>
      <w:r w:rsidR="00B92624" w:rsidRPr="003529B6">
        <w:rPr>
          <w:rFonts w:ascii="Times" w:hAnsi="Times"/>
        </w:rPr>
        <w:t xml:space="preserve">.  </w:t>
      </w:r>
      <w:r w:rsidR="00933B95" w:rsidRPr="00EC5474">
        <w:rPr>
          <w:rFonts w:ascii="Times" w:hAnsi="Times"/>
        </w:rPr>
        <w:t xml:space="preserve">Next, in Part </w:t>
      </w:r>
      <w:r w:rsidR="00C65D7A" w:rsidRPr="00EC5474">
        <w:rPr>
          <w:rFonts w:ascii="Times" w:hAnsi="Times"/>
        </w:rPr>
        <w:t>Three</w:t>
      </w:r>
      <w:r w:rsidR="00933B95" w:rsidRPr="003529B6">
        <w:rPr>
          <w:rFonts w:ascii="Times" w:hAnsi="Times"/>
        </w:rPr>
        <w:t xml:space="preserve">, the article </w:t>
      </w:r>
      <w:r w:rsidR="00902307" w:rsidRPr="001A2108">
        <w:rPr>
          <w:rFonts w:ascii="Times" w:hAnsi="Times"/>
        </w:rPr>
        <w:t>briefly sketches the most important mechanisms through which the law of trust</w:t>
      </w:r>
      <w:r w:rsidR="004B234D" w:rsidRPr="00223232">
        <w:rPr>
          <w:rFonts w:ascii="Times" w:hAnsi="Times"/>
        </w:rPr>
        <w:t>s</w:t>
      </w:r>
      <w:r w:rsidR="00902307" w:rsidRPr="00223232">
        <w:rPr>
          <w:rFonts w:ascii="Times" w:hAnsi="Times"/>
        </w:rPr>
        <w:t xml:space="preserve"> secures performance of the trust in cases where</w:t>
      </w:r>
      <w:r w:rsidR="000C42FC" w:rsidRPr="00223232">
        <w:rPr>
          <w:rFonts w:ascii="Times" w:hAnsi="Times"/>
        </w:rPr>
        <w:t xml:space="preserve"> the current trustees are not </w:t>
      </w:r>
      <w:r w:rsidR="00261D91" w:rsidRPr="00223232">
        <w:rPr>
          <w:rFonts w:ascii="Times" w:hAnsi="Times"/>
        </w:rPr>
        <w:t xml:space="preserve">voluntarily </w:t>
      </w:r>
      <w:r w:rsidR="000C42FC" w:rsidRPr="00223232">
        <w:rPr>
          <w:rFonts w:ascii="Times" w:hAnsi="Times"/>
        </w:rPr>
        <w:t xml:space="preserve">performing it. </w:t>
      </w:r>
      <w:r w:rsidR="008446E6">
        <w:rPr>
          <w:rFonts w:ascii="Times" w:hAnsi="Times"/>
        </w:rPr>
        <w:t xml:space="preserve"> </w:t>
      </w:r>
      <w:r w:rsidR="00F056F0" w:rsidRPr="00223232">
        <w:rPr>
          <w:rFonts w:ascii="Times" w:hAnsi="Times"/>
        </w:rPr>
        <w:t xml:space="preserve">Part </w:t>
      </w:r>
      <w:r w:rsidR="0087716D" w:rsidRPr="000E3919">
        <w:rPr>
          <w:rFonts w:ascii="Times" w:hAnsi="Times"/>
        </w:rPr>
        <w:t>F</w:t>
      </w:r>
      <w:r w:rsidR="00C65D7A" w:rsidRPr="000E3919">
        <w:rPr>
          <w:rFonts w:ascii="Times" w:hAnsi="Times"/>
        </w:rPr>
        <w:t>our</w:t>
      </w:r>
      <w:r w:rsidRPr="003529B6">
        <w:rPr>
          <w:rFonts w:ascii="Times" w:hAnsi="Times"/>
        </w:rPr>
        <w:t xml:space="preserve"> of </w:t>
      </w:r>
      <w:r w:rsidR="00F056F0" w:rsidRPr="003529B6">
        <w:rPr>
          <w:rFonts w:ascii="Times" w:hAnsi="Times"/>
        </w:rPr>
        <w:t>t</w:t>
      </w:r>
      <w:r w:rsidR="00E52C1A" w:rsidRPr="003529B6">
        <w:rPr>
          <w:rFonts w:ascii="Times" w:hAnsi="Times"/>
        </w:rPr>
        <w:t xml:space="preserve">he article briefly outlines </w:t>
      </w:r>
      <w:r w:rsidR="00F056F0" w:rsidRPr="003529B6">
        <w:rPr>
          <w:rFonts w:ascii="Times" w:hAnsi="Times"/>
        </w:rPr>
        <w:t xml:space="preserve">various structural features of trusts which </w:t>
      </w:r>
      <w:r w:rsidR="004C2BBB" w:rsidRPr="003529B6">
        <w:rPr>
          <w:rFonts w:ascii="Times" w:hAnsi="Times"/>
        </w:rPr>
        <w:t>re</w:t>
      </w:r>
      <w:r w:rsidR="00933B95" w:rsidRPr="003529B6">
        <w:rPr>
          <w:rFonts w:ascii="Times" w:hAnsi="Times"/>
        </w:rPr>
        <w:t>flect</w:t>
      </w:r>
      <w:r w:rsidR="00223232" w:rsidRPr="003529B6">
        <w:rPr>
          <w:rFonts w:ascii="Times" w:hAnsi="Times"/>
        </w:rPr>
        <w:t>,</w:t>
      </w:r>
      <w:r w:rsidR="00933B95" w:rsidRPr="003529B6">
        <w:rPr>
          <w:rFonts w:ascii="Times" w:hAnsi="Times"/>
        </w:rPr>
        <w:t xml:space="preserve"> and are a consequence of</w:t>
      </w:r>
      <w:r w:rsidR="00223232" w:rsidRPr="003529B6">
        <w:rPr>
          <w:rFonts w:ascii="Times" w:hAnsi="Times"/>
        </w:rPr>
        <w:t>,</w:t>
      </w:r>
      <w:r w:rsidR="00933B95" w:rsidRPr="003529B6">
        <w:rPr>
          <w:rFonts w:ascii="Times" w:hAnsi="Times"/>
        </w:rPr>
        <w:t xml:space="preserve"> </w:t>
      </w:r>
      <w:r w:rsidR="004C2BBB" w:rsidRPr="003529B6">
        <w:rPr>
          <w:rFonts w:ascii="Times" w:hAnsi="Times"/>
        </w:rPr>
        <w:t xml:space="preserve">the basic axiom </w:t>
      </w:r>
      <w:r w:rsidR="00261D91" w:rsidRPr="003529B6">
        <w:rPr>
          <w:rFonts w:ascii="Times" w:hAnsi="Times"/>
        </w:rPr>
        <w:t xml:space="preserve">that a </w:t>
      </w:r>
      <w:r w:rsidR="004C2BBB" w:rsidRPr="003529B6">
        <w:rPr>
          <w:rFonts w:ascii="Times" w:hAnsi="Times"/>
        </w:rPr>
        <w:t xml:space="preserve">trust must be performed. </w:t>
      </w:r>
      <w:r w:rsidRPr="003529B6">
        <w:rPr>
          <w:rFonts w:ascii="Times" w:hAnsi="Times"/>
        </w:rPr>
        <w:t xml:space="preserve"> </w:t>
      </w:r>
      <w:r w:rsidR="007C5128" w:rsidRPr="003529B6">
        <w:rPr>
          <w:rFonts w:ascii="Times" w:hAnsi="Times"/>
        </w:rPr>
        <w:t xml:space="preserve">In Part </w:t>
      </w:r>
      <w:r w:rsidR="00C65D7A" w:rsidRPr="000E3919">
        <w:rPr>
          <w:rFonts w:ascii="Times" w:hAnsi="Times"/>
        </w:rPr>
        <w:t>Five</w:t>
      </w:r>
      <w:r w:rsidR="007C5128" w:rsidRPr="003529B6">
        <w:rPr>
          <w:rFonts w:ascii="Times" w:hAnsi="Times"/>
        </w:rPr>
        <w:t>, the article considers remedies for breach of trust which all</w:t>
      </w:r>
      <w:r w:rsidR="00BE772C" w:rsidRPr="001A2108">
        <w:rPr>
          <w:rFonts w:ascii="Times" w:hAnsi="Times"/>
        </w:rPr>
        <w:t xml:space="preserve"> manifest the concern of trust law with performance rather than compensatio</w:t>
      </w:r>
      <w:r w:rsidR="00BE772C" w:rsidRPr="00223232">
        <w:rPr>
          <w:rFonts w:ascii="Times" w:hAnsi="Times"/>
        </w:rPr>
        <w:t>n in lieu of performance.</w:t>
      </w:r>
      <w:r w:rsidRPr="00223232">
        <w:rPr>
          <w:rFonts w:ascii="Times" w:hAnsi="Times"/>
        </w:rPr>
        <w:t xml:space="preserve">  </w:t>
      </w:r>
      <w:r w:rsidR="005A60E1" w:rsidRPr="003529B6">
        <w:rPr>
          <w:rFonts w:ascii="Times" w:hAnsi="Times"/>
        </w:rPr>
        <w:t xml:space="preserve">Part </w:t>
      </w:r>
      <w:r w:rsidR="0087716D" w:rsidRPr="000E3919">
        <w:rPr>
          <w:rFonts w:ascii="Times" w:hAnsi="Times"/>
        </w:rPr>
        <w:t>S</w:t>
      </w:r>
      <w:r w:rsidR="00C65D7A" w:rsidRPr="000E3919">
        <w:rPr>
          <w:rFonts w:ascii="Times" w:hAnsi="Times"/>
        </w:rPr>
        <w:t>ix</w:t>
      </w:r>
      <w:r w:rsidR="00DF269C" w:rsidRPr="003529B6">
        <w:rPr>
          <w:rFonts w:ascii="Times" w:hAnsi="Times"/>
        </w:rPr>
        <w:t xml:space="preserve"> </w:t>
      </w:r>
      <w:r w:rsidR="00F96758" w:rsidRPr="003529B6">
        <w:rPr>
          <w:rFonts w:ascii="Times" w:hAnsi="Times"/>
        </w:rPr>
        <w:t>develops one of the key points to be made</w:t>
      </w:r>
      <w:r w:rsidR="004844DE" w:rsidRPr="001A2108">
        <w:rPr>
          <w:rFonts w:ascii="Times" w:hAnsi="Times"/>
        </w:rPr>
        <w:t xml:space="preserve"> </w:t>
      </w:r>
      <w:r w:rsidR="00DF269C" w:rsidRPr="00223232">
        <w:rPr>
          <w:rFonts w:ascii="Times" w:hAnsi="Times"/>
        </w:rPr>
        <w:t>in this article</w:t>
      </w:r>
      <w:r w:rsidR="00F96758" w:rsidRPr="00223232">
        <w:rPr>
          <w:rFonts w:ascii="Times" w:hAnsi="Times"/>
        </w:rPr>
        <w:t xml:space="preserve">: </w:t>
      </w:r>
      <w:r w:rsidR="00DF6C52">
        <w:rPr>
          <w:rFonts w:ascii="Times" w:hAnsi="Times"/>
        </w:rPr>
        <w:t xml:space="preserve"> </w:t>
      </w:r>
      <w:r w:rsidR="00F96758" w:rsidRPr="00223232">
        <w:rPr>
          <w:rFonts w:ascii="Times" w:hAnsi="Times"/>
        </w:rPr>
        <w:t>that the law of trusts is significantly and fundamentally different from the law of contract in its concerns</w:t>
      </w:r>
      <w:r w:rsidR="004844DE" w:rsidRPr="00223232">
        <w:rPr>
          <w:rFonts w:ascii="Times" w:hAnsi="Times"/>
        </w:rPr>
        <w:t xml:space="preserve"> and </w:t>
      </w:r>
      <w:r w:rsidR="00DF269C" w:rsidRPr="00223232">
        <w:rPr>
          <w:rFonts w:ascii="Times" w:hAnsi="Times"/>
        </w:rPr>
        <w:t xml:space="preserve">its </w:t>
      </w:r>
      <w:r w:rsidR="004844DE" w:rsidRPr="00223232">
        <w:rPr>
          <w:rFonts w:ascii="Times" w:hAnsi="Times"/>
        </w:rPr>
        <w:t>structure</w:t>
      </w:r>
      <w:r w:rsidR="00F96758" w:rsidRPr="00223232">
        <w:rPr>
          <w:rFonts w:ascii="Times" w:hAnsi="Times"/>
        </w:rPr>
        <w:t xml:space="preserve">.  </w:t>
      </w:r>
      <w:r w:rsidR="00E95BF4" w:rsidRPr="00FE0E91">
        <w:rPr>
          <w:rFonts w:ascii="Times" w:hAnsi="Times"/>
        </w:rPr>
        <w:t xml:space="preserve">Finally, Part </w:t>
      </w:r>
      <w:r w:rsidR="00C65D7A" w:rsidRPr="000E3919">
        <w:rPr>
          <w:rFonts w:ascii="Times" w:hAnsi="Times"/>
        </w:rPr>
        <w:t>Seven</w:t>
      </w:r>
      <w:r w:rsidR="00DF1939" w:rsidRPr="003529B6">
        <w:rPr>
          <w:rFonts w:ascii="Times" w:hAnsi="Times"/>
        </w:rPr>
        <w:t xml:space="preserve"> sets out the implications, both theoretical and practical, of these important distinctions between the law of trusts and the law of contract</w:t>
      </w:r>
      <w:r w:rsidRPr="003529B6">
        <w:rPr>
          <w:rFonts w:ascii="Times" w:hAnsi="Times"/>
        </w:rPr>
        <w:t>.</w:t>
      </w:r>
    </w:p>
    <w:p w14:paraId="4AA5A86E" w14:textId="77777777" w:rsidR="004F1DC9" w:rsidRPr="006955AF" w:rsidRDefault="004F1DC9" w:rsidP="00A217B5">
      <w:pPr>
        <w:spacing w:line="360" w:lineRule="auto"/>
        <w:jc w:val="both"/>
        <w:rPr>
          <w:rFonts w:ascii="Times" w:hAnsi="Times"/>
        </w:rPr>
      </w:pPr>
    </w:p>
    <w:p w14:paraId="503B55EF" w14:textId="0B3F148B" w:rsidR="004F1DC9" w:rsidRPr="00FE2069" w:rsidRDefault="004F1DC9" w:rsidP="00A217B5">
      <w:pPr>
        <w:pStyle w:val="ListParagraph"/>
        <w:numPr>
          <w:ilvl w:val="0"/>
          <w:numId w:val="6"/>
        </w:numPr>
        <w:spacing w:line="360" w:lineRule="auto"/>
        <w:jc w:val="both"/>
        <w:rPr>
          <w:rFonts w:ascii="Times" w:hAnsi="Times"/>
        </w:rPr>
      </w:pPr>
      <w:r w:rsidRPr="00FE2069">
        <w:rPr>
          <w:rFonts w:ascii="Times" w:hAnsi="Times"/>
          <w:i/>
        </w:rPr>
        <w:t xml:space="preserve">Trusts and Performance: </w:t>
      </w:r>
      <w:r w:rsidR="00804F5E" w:rsidRPr="00FE2069">
        <w:rPr>
          <w:rFonts w:ascii="Times" w:hAnsi="Times"/>
          <w:i/>
        </w:rPr>
        <w:t xml:space="preserve"> </w:t>
      </w:r>
      <w:r w:rsidRPr="00FE2069">
        <w:rPr>
          <w:rFonts w:ascii="Times" w:hAnsi="Times"/>
          <w:i/>
        </w:rPr>
        <w:t>Axioms from Authority</w:t>
      </w:r>
      <w:r w:rsidR="00804F5E" w:rsidRPr="00FE2069">
        <w:rPr>
          <w:rFonts w:ascii="Times" w:hAnsi="Times"/>
          <w:i/>
        </w:rPr>
        <w:t xml:space="preserve"> and Statements of Principle</w:t>
      </w:r>
    </w:p>
    <w:p w14:paraId="5998E69D" w14:textId="77777777" w:rsidR="004F1DC9" w:rsidRPr="006955AF" w:rsidRDefault="004F1DC9" w:rsidP="00A217B5">
      <w:pPr>
        <w:spacing w:line="360" w:lineRule="auto"/>
        <w:jc w:val="both"/>
        <w:rPr>
          <w:rFonts w:ascii="Times" w:hAnsi="Times"/>
        </w:rPr>
      </w:pPr>
    </w:p>
    <w:p w14:paraId="27BA6499" w14:textId="1AD520B5" w:rsidR="000D70E7" w:rsidRPr="006955AF" w:rsidRDefault="000D70E7" w:rsidP="00A217B5">
      <w:pPr>
        <w:spacing w:line="360" w:lineRule="auto"/>
        <w:jc w:val="both"/>
        <w:rPr>
          <w:rFonts w:ascii="Times" w:hAnsi="Times"/>
        </w:rPr>
      </w:pPr>
      <w:r w:rsidRPr="006955AF">
        <w:rPr>
          <w:rFonts w:ascii="Times" w:hAnsi="Times"/>
        </w:rPr>
        <w:t>In 1805, Lord Eldon gave a memorable, and often cited, statement of a vital axiom in the law of trusts.</w:t>
      </w:r>
    </w:p>
    <w:p w14:paraId="34B216B4" w14:textId="77777777" w:rsidR="000D70E7" w:rsidRPr="006955AF" w:rsidRDefault="000D70E7" w:rsidP="00A217B5">
      <w:pPr>
        <w:spacing w:line="360" w:lineRule="auto"/>
        <w:jc w:val="both"/>
        <w:rPr>
          <w:rFonts w:ascii="Times" w:hAnsi="Times"/>
        </w:rPr>
      </w:pPr>
    </w:p>
    <w:p w14:paraId="2F1DB80E" w14:textId="04BB4CDE" w:rsidR="000D70E7" w:rsidRPr="006955AF" w:rsidRDefault="000D70E7" w:rsidP="00A217B5">
      <w:pPr>
        <w:spacing w:line="360" w:lineRule="auto"/>
        <w:ind w:left="720"/>
        <w:jc w:val="both"/>
        <w:rPr>
          <w:rFonts w:ascii="Times" w:hAnsi="Times"/>
        </w:rPr>
      </w:pPr>
      <w:r w:rsidRPr="006955AF">
        <w:rPr>
          <w:rFonts w:ascii="Times" w:hAnsi="Times"/>
        </w:rPr>
        <w:t>“As it is a maxim, that the execution of a trust shall be under the controul [</w:t>
      </w:r>
      <w:r w:rsidRPr="006955AF">
        <w:rPr>
          <w:rFonts w:ascii="Times" w:hAnsi="Times"/>
          <w:i/>
        </w:rPr>
        <w:t>sic</w:t>
      </w:r>
      <w:r w:rsidRPr="006955AF">
        <w:rPr>
          <w:rFonts w:ascii="Times" w:hAnsi="Times"/>
        </w:rPr>
        <w:t xml:space="preserve">] of the court, it must be of such a nature, that it can be under that control; so that the administration of it can be reviewed by the court; or, if the trustee dies, the court itself can execute the trust: </w:t>
      </w:r>
      <w:r w:rsidR="00DF6C52">
        <w:rPr>
          <w:rFonts w:ascii="Times" w:hAnsi="Times"/>
        </w:rPr>
        <w:t xml:space="preserve"> </w:t>
      </w:r>
      <w:r w:rsidRPr="006955AF">
        <w:rPr>
          <w:rFonts w:ascii="Times" w:hAnsi="Times"/>
        </w:rPr>
        <w:t>a trust therefore, which, in case of maladministration could be reformed; and a due administration directed; and then, unless the subject and the objects can be ascertained, upon principles, familiar in other cases, it must be decided, that the court can neither reform maladministration, nor direct a due administration.”</w:t>
      </w:r>
      <w:r w:rsidR="00BA57CC" w:rsidRPr="006955AF">
        <w:rPr>
          <w:rStyle w:val="FootnoteReference"/>
        </w:rPr>
        <w:footnoteReference w:id="4"/>
      </w:r>
    </w:p>
    <w:p w14:paraId="222AC190" w14:textId="77777777" w:rsidR="000D70E7" w:rsidRPr="006955AF" w:rsidRDefault="000D70E7" w:rsidP="00A217B5">
      <w:pPr>
        <w:spacing w:line="360" w:lineRule="auto"/>
        <w:ind w:left="720"/>
        <w:jc w:val="both"/>
        <w:rPr>
          <w:rFonts w:ascii="Times" w:hAnsi="Times"/>
        </w:rPr>
      </w:pPr>
    </w:p>
    <w:p w14:paraId="59D3F10C" w14:textId="501B75CB" w:rsidR="004F1DC9" w:rsidRPr="006955AF" w:rsidRDefault="000D70E7" w:rsidP="00A217B5">
      <w:pPr>
        <w:spacing w:line="360" w:lineRule="auto"/>
        <w:jc w:val="both"/>
        <w:rPr>
          <w:rFonts w:ascii="Times" w:hAnsi="Times"/>
        </w:rPr>
      </w:pPr>
      <w:r w:rsidRPr="006955AF">
        <w:rPr>
          <w:rFonts w:ascii="Times" w:hAnsi="Times"/>
        </w:rPr>
        <w:t xml:space="preserve">Lord Eldon’s words are most often associated with discussions of “certainty of objects” and the </w:t>
      </w:r>
      <w:r w:rsidR="00FB0A85" w:rsidRPr="006955AF">
        <w:rPr>
          <w:rFonts w:ascii="Times" w:hAnsi="Times"/>
        </w:rPr>
        <w:t>“</w:t>
      </w:r>
      <w:r w:rsidRPr="006955AF">
        <w:rPr>
          <w:rFonts w:ascii="Times" w:hAnsi="Times"/>
        </w:rPr>
        <w:t xml:space="preserve">beneficiary </w:t>
      </w:r>
      <w:r w:rsidR="00FB0A85" w:rsidRPr="006955AF">
        <w:rPr>
          <w:rFonts w:ascii="Times" w:hAnsi="Times"/>
        </w:rPr>
        <w:t xml:space="preserve">(or enforcer) </w:t>
      </w:r>
      <w:r w:rsidRPr="006955AF">
        <w:rPr>
          <w:rFonts w:ascii="Times" w:hAnsi="Times"/>
        </w:rPr>
        <w:t xml:space="preserve">principle”, of which more </w:t>
      </w:r>
      <w:r w:rsidR="00DC5626">
        <w:rPr>
          <w:rFonts w:ascii="Times" w:hAnsi="Times"/>
        </w:rPr>
        <w:t xml:space="preserve">in </w:t>
      </w:r>
      <w:r w:rsidR="00DC5626" w:rsidRPr="00542FE4">
        <w:rPr>
          <w:rFonts w:ascii="Times" w:hAnsi="Times"/>
        </w:rPr>
        <w:t xml:space="preserve">Part </w:t>
      </w:r>
      <w:r w:rsidR="003529B6" w:rsidRPr="00542FE4">
        <w:rPr>
          <w:rFonts w:ascii="Times" w:hAnsi="Times"/>
        </w:rPr>
        <w:t>Four</w:t>
      </w:r>
      <w:r w:rsidRPr="000E3919">
        <w:rPr>
          <w:rFonts w:ascii="Times" w:hAnsi="Times"/>
        </w:rPr>
        <w:t>.</w:t>
      </w:r>
      <w:r w:rsidRPr="006955AF">
        <w:rPr>
          <w:rFonts w:ascii="Times" w:hAnsi="Times"/>
        </w:rPr>
        <w:t xml:space="preserve">  But their fundamental importance is in their acknowledgement that the court will secure the performance of a trust, or, </w:t>
      </w:r>
      <w:r w:rsidRPr="006955AF">
        <w:rPr>
          <w:rFonts w:ascii="Times" w:hAnsi="Times"/>
          <w:i/>
        </w:rPr>
        <w:t>in extremis</w:t>
      </w:r>
      <w:r w:rsidRPr="006955AF">
        <w:rPr>
          <w:rFonts w:ascii="Times" w:hAnsi="Times"/>
        </w:rPr>
        <w:t xml:space="preserve">, </w:t>
      </w:r>
      <w:r w:rsidR="00681E3F" w:rsidRPr="006955AF">
        <w:rPr>
          <w:rFonts w:ascii="Times" w:hAnsi="Times"/>
        </w:rPr>
        <w:t>administer the trust itself, or direct the administration of the trust.</w:t>
      </w:r>
      <w:r w:rsidR="00A4030B">
        <w:rPr>
          <w:rStyle w:val="FootnoteReference"/>
        </w:rPr>
        <w:footnoteReference w:id="5"/>
      </w:r>
      <w:r w:rsidR="00681E3F" w:rsidRPr="006955AF">
        <w:rPr>
          <w:rFonts w:ascii="Times" w:hAnsi="Times"/>
        </w:rPr>
        <w:t xml:space="preserve">  As will be seen, </w:t>
      </w:r>
      <w:r w:rsidR="00FB0A85" w:rsidRPr="006955AF">
        <w:rPr>
          <w:rFonts w:ascii="Times" w:hAnsi="Times"/>
        </w:rPr>
        <w:t xml:space="preserve">the rules about “certainty of objects” and the “beneficiary (or enforcer) principle” are consequences of this </w:t>
      </w:r>
      <w:r w:rsidR="00770D29" w:rsidRPr="006955AF">
        <w:rPr>
          <w:rFonts w:ascii="Times" w:hAnsi="Times"/>
        </w:rPr>
        <w:t xml:space="preserve">foundational </w:t>
      </w:r>
      <w:r w:rsidR="00FB0A85" w:rsidRPr="006955AF">
        <w:rPr>
          <w:rFonts w:ascii="Times" w:hAnsi="Times"/>
        </w:rPr>
        <w:t>axiom, not themselves foundations of the law of trusts.</w:t>
      </w:r>
    </w:p>
    <w:p w14:paraId="79C01ADB" w14:textId="77777777" w:rsidR="00BA57CC" w:rsidRPr="006955AF" w:rsidRDefault="00BA57CC" w:rsidP="00A217B5">
      <w:pPr>
        <w:spacing w:line="360" w:lineRule="auto"/>
        <w:jc w:val="both"/>
        <w:rPr>
          <w:rFonts w:ascii="Times" w:hAnsi="Times"/>
        </w:rPr>
      </w:pPr>
    </w:p>
    <w:p w14:paraId="0DA5814F" w14:textId="74E3DBE9" w:rsidR="00C344D8" w:rsidRPr="006955AF" w:rsidRDefault="00BA57CC" w:rsidP="00A217B5">
      <w:pPr>
        <w:spacing w:line="360" w:lineRule="auto"/>
        <w:jc w:val="both"/>
        <w:rPr>
          <w:rFonts w:ascii="Times" w:hAnsi="Times"/>
        </w:rPr>
      </w:pPr>
      <w:r w:rsidRPr="006955AF">
        <w:rPr>
          <w:rFonts w:ascii="Times" w:hAnsi="Times"/>
        </w:rPr>
        <w:t xml:space="preserve">Lord Eldon’s words were cited and approved in </w:t>
      </w:r>
      <w:r w:rsidRPr="006955AF">
        <w:rPr>
          <w:rFonts w:ascii="Times" w:hAnsi="Times"/>
          <w:i/>
        </w:rPr>
        <w:t>McPhail v Doulton</w:t>
      </w:r>
      <w:r w:rsidR="00C344D8" w:rsidRPr="006955AF">
        <w:rPr>
          <w:rFonts w:ascii="Times" w:hAnsi="Times"/>
        </w:rPr>
        <w:t xml:space="preserve"> by Lord Hodson</w:t>
      </w:r>
      <w:r w:rsidR="00492278" w:rsidRPr="006955AF">
        <w:rPr>
          <w:rFonts w:ascii="Times" w:hAnsi="Times"/>
        </w:rPr>
        <w:t>,</w:t>
      </w:r>
      <w:r w:rsidRPr="006955AF">
        <w:rPr>
          <w:rStyle w:val="FootnoteReference"/>
        </w:rPr>
        <w:footnoteReference w:id="6"/>
      </w:r>
      <w:r w:rsidR="00492278" w:rsidRPr="006955AF">
        <w:rPr>
          <w:rFonts w:ascii="Times" w:hAnsi="Times"/>
        </w:rPr>
        <w:t xml:space="preserve"> who went on to say:</w:t>
      </w:r>
    </w:p>
    <w:p w14:paraId="3D052264" w14:textId="77777777" w:rsidR="00C344D8" w:rsidRPr="006955AF" w:rsidRDefault="00C344D8" w:rsidP="00A217B5">
      <w:pPr>
        <w:spacing w:line="360" w:lineRule="auto"/>
        <w:jc w:val="both"/>
        <w:rPr>
          <w:rFonts w:ascii="Times" w:hAnsi="Times"/>
        </w:rPr>
      </w:pPr>
    </w:p>
    <w:p w14:paraId="09053471" w14:textId="06A0132C" w:rsidR="00C344D8" w:rsidRPr="006955AF" w:rsidRDefault="00C344D8" w:rsidP="00A217B5">
      <w:pPr>
        <w:spacing w:line="360" w:lineRule="auto"/>
        <w:ind w:left="720"/>
        <w:jc w:val="both"/>
        <w:rPr>
          <w:rFonts w:ascii="Times" w:hAnsi="Times"/>
        </w:rPr>
      </w:pPr>
      <w:r w:rsidRPr="006955AF">
        <w:rPr>
          <w:rFonts w:ascii="Times" w:hAnsi="Times"/>
        </w:rPr>
        <w:t xml:space="preserve">“In a sentence there is no trust over which the court cannot assume control. </w:t>
      </w:r>
      <w:r w:rsidR="008446E6">
        <w:rPr>
          <w:rFonts w:ascii="Times" w:hAnsi="Times"/>
        </w:rPr>
        <w:t xml:space="preserve"> </w:t>
      </w:r>
      <w:r w:rsidRPr="006955AF">
        <w:rPr>
          <w:rFonts w:ascii="Times" w:hAnsi="Times"/>
        </w:rPr>
        <w:t>If the inability arises from inability to ascertain the objects of the alleged trust, it is said to be void for uncertainty.</w:t>
      </w:r>
      <w:r w:rsidR="00492278" w:rsidRPr="006955AF">
        <w:rPr>
          <w:rFonts w:ascii="Times" w:hAnsi="Times"/>
        </w:rPr>
        <w:t>”</w:t>
      </w:r>
      <w:r w:rsidR="004F4B30" w:rsidRPr="006955AF">
        <w:rPr>
          <w:rStyle w:val="FootnoteReference"/>
        </w:rPr>
        <w:footnoteReference w:id="7"/>
      </w:r>
    </w:p>
    <w:p w14:paraId="5C4E8406" w14:textId="77777777" w:rsidR="00492278" w:rsidRPr="006955AF" w:rsidRDefault="00492278" w:rsidP="00A217B5">
      <w:pPr>
        <w:spacing w:line="360" w:lineRule="auto"/>
        <w:ind w:left="720"/>
        <w:jc w:val="both"/>
        <w:rPr>
          <w:rFonts w:ascii="Times" w:hAnsi="Times"/>
        </w:rPr>
      </w:pPr>
    </w:p>
    <w:p w14:paraId="4B2BB811" w14:textId="0BC09B98" w:rsidR="00492278" w:rsidRPr="006955AF" w:rsidRDefault="00492278" w:rsidP="00A217B5">
      <w:pPr>
        <w:spacing w:line="360" w:lineRule="auto"/>
        <w:jc w:val="both"/>
        <w:rPr>
          <w:rFonts w:ascii="Times" w:hAnsi="Times"/>
        </w:rPr>
      </w:pPr>
      <w:r w:rsidRPr="006955AF">
        <w:rPr>
          <w:rFonts w:ascii="Times" w:hAnsi="Times"/>
        </w:rPr>
        <w:lastRenderedPageBreak/>
        <w:t xml:space="preserve">Lord Hodson differed in the result of </w:t>
      </w:r>
      <w:r w:rsidRPr="006955AF">
        <w:rPr>
          <w:rFonts w:ascii="Times" w:hAnsi="Times"/>
          <w:i/>
        </w:rPr>
        <w:t>McPhail v Doulton</w:t>
      </w:r>
      <w:r w:rsidRPr="006955AF">
        <w:rPr>
          <w:rFonts w:ascii="Times" w:hAnsi="Times"/>
        </w:rPr>
        <w:t xml:space="preserve"> from the majority.  But that majority, represented in the person of Lord Wilberforce, </w:t>
      </w:r>
      <w:r w:rsidR="00D515D5" w:rsidRPr="006955AF">
        <w:rPr>
          <w:rFonts w:ascii="Times" w:hAnsi="Times"/>
        </w:rPr>
        <w:t xml:space="preserve">did not in any way reject the axiom articulated by Lord Eldon in </w:t>
      </w:r>
      <w:r w:rsidR="00D515D5" w:rsidRPr="006955AF">
        <w:rPr>
          <w:rFonts w:ascii="Times" w:hAnsi="Times"/>
          <w:i/>
        </w:rPr>
        <w:t>Morice</w:t>
      </w:r>
      <w:r w:rsidR="00D515D5" w:rsidRPr="006955AF">
        <w:rPr>
          <w:rFonts w:ascii="Times" w:hAnsi="Times"/>
        </w:rPr>
        <w:t>; the majority simply took the view that the accepted axiom did not entail such a strict test of certainty of objects as Lord Hodson proposed.  Lord Wilberforce said:</w:t>
      </w:r>
    </w:p>
    <w:p w14:paraId="563B0CE6" w14:textId="77777777" w:rsidR="008E0320" w:rsidRPr="006955AF" w:rsidRDefault="008E0320" w:rsidP="00A217B5">
      <w:pPr>
        <w:spacing w:line="360" w:lineRule="auto"/>
        <w:jc w:val="both"/>
        <w:rPr>
          <w:rFonts w:ascii="Times" w:hAnsi="Times"/>
        </w:rPr>
      </w:pPr>
    </w:p>
    <w:p w14:paraId="02441B8E" w14:textId="1FA418BC" w:rsidR="0046534E" w:rsidRPr="006955AF" w:rsidRDefault="0046534E" w:rsidP="00A217B5">
      <w:pPr>
        <w:spacing w:line="360" w:lineRule="auto"/>
        <w:ind w:left="720"/>
        <w:jc w:val="both"/>
        <w:rPr>
          <w:rFonts w:ascii="Times" w:hAnsi="Times"/>
        </w:rPr>
      </w:pPr>
      <w:r w:rsidRPr="006955AF">
        <w:rPr>
          <w:rFonts w:ascii="Times" w:hAnsi="Times"/>
        </w:rPr>
        <w:t>“</w:t>
      </w:r>
      <w:r w:rsidR="008E0320" w:rsidRPr="006955AF">
        <w:rPr>
          <w:rFonts w:ascii="Times" w:hAnsi="Times"/>
        </w:rPr>
        <w:t xml:space="preserve">Assuming, as I am prepared to do for present purposes, that the test of validity is whether the trust can be executed by the court, it does not follow that execution is impossible unless there can be equal division. </w:t>
      </w:r>
    </w:p>
    <w:p w14:paraId="009E9361" w14:textId="77777777" w:rsidR="0046534E" w:rsidRPr="006955AF" w:rsidRDefault="0046534E" w:rsidP="00A217B5">
      <w:pPr>
        <w:spacing w:line="360" w:lineRule="auto"/>
        <w:ind w:left="720"/>
        <w:jc w:val="both"/>
        <w:rPr>
          <w:rFonts w:ascii="Times" w:hAnsi="Times"/>
        </w:rPr>
      </w:pPr>
    </w:p>
    <w:p w14:paraId="326AC752" w14:textId="108F5BBD" w:rsidR="008E0320" w:rsidRPr="006955AF" w:rsidRDefault="0046534E" w:rsidP="00A217B5">
      <w:pPr>
        <w:spacing w:line="360" w:lineRule="auto"/>
        <w:ind w:left="720"/>
        <w:jc w:val="both"/>
        <w:rPr>
          <w:rFonts w:ascii="Times" w:hAnsi="Times"/>
        </w:rPr>
      </w:pPr>
      <w:r w:rsidRPr="006955AF">
        <w:rPr>
          <w:rFonts w:ascii="Times" w:hAnsi="Times"/>
        </w:rPr>
        <w:t>…..</w:t>
      </w:r>
    </w:p>
    <w:p w14:paraId="4173B9AC" w14:textId="77777777" w:rsidR="00D515D5" w:rsidRPr="006955AF" w:rsidRDefault="00D515D5" w:rsidP="00A217B5">
      <w:pPr>
        <w:spacing w:line="360" w:lineRule="auto"/>
        <w:jc w:val="both"/>
        <w:rPr>
          <w:rFonts w:ascii="Times" w:hAnsi="Times"/>
        </w:rPr>
      </w:pPr>
    </w:p>
    <w:p w14:paraId="0FE510B9" w14:textId="7555A52F" w:rsidR="00D515D5" w:rsidRPr="006955AF" w:rsidRDefault="00D515D5" w:rsidP="00A217B5">
      <w:pPr>
        <w:spacing w:line="360" w:lineRule="auto"/>
        <w:ind w:left="720"/>
        <w:jc w:val="both"/>
        <w:rPr>
          <w:rFonts w:ascii="Times" w:hAnsi="Times"/>
        </w:rPr>
      </w:pPr>
      <w:r w:rsidRPr="006955AF">
        <w:rPr>
          <w:rFonts w:ascii="Times" w:hAnsi="Times"/>
        </w:rPr>
        <w:t xml:space="preserve">“Lord Eldon himself, in </w:t>
      </w:r>
      <w:r w:rsidRPr="006955AF">
        <w:rPr>
          <w:rFonts w:ascii="Times" w:hAnsi="Times"/>
          <w:i/>
        </w:rPr>
        <w:t>Morice v. Bishop of Durham</w:t>
      </w:r>
      <w:r w:rsidRPr="006955AF">
        <w:rPr>
          <w:rFonts w:ascii="Times" w:hAnsi="Times"/>
        </w:rPr>
        <w:t>, 10 Ves. Jr. 522, laid down clearly enough that a trust fails if the object is insufficiently described or if it cannot be carried out, but these principles may be fully applied to trust powers without requiring a complete ascertainment of all possible objects.”</w:t>
      </w:r>
      <w:r w:rsidR="0046534E" w:rsidRPr="006955AF">
        <w:rPr>
          <w:rStyle w:val="FootnoteReference"/>
        </w:rPr>
        <w:footnoteReference w:id="8"/>
      </w:r>
    </w:p>
    <w:p w14:paraId="1F8F2922" w14:textId="77777777" w:rsidR="0046534E" w:rsidRPr="006955AF" w:rsidRDefault="0046534E" w:rsidP="00A217B5">
      <w:pPr>
        <w:spacing w:line="360" w:lineRule="auto"/>
        <w:jc w:val="both"/>
        <w:rPr>
          <w:rFonts w:ascii="Times" w:hAnsi="Times"/>
        </w:rPr>
      </w:pPr>
    </w:p>
    <w:p w14:paraId="035CF6E7" w14:textId="4150DD95" w:rsidR="00C45F6C" w:rsidRPr="006955AF" w:rsidRDefault="00C45F6C" w:rsidP="00A217B5">
      <w:pPr>
        <w:spacing w:line="360" w:lineRule="auto"/>
        <w:jc w:val="both"/>
        <w:rPr>
          <w:rFonts w:ascii="Times" w:hAnsi="Times"/>
        </w:rPr>
      </w:pPr>
      <w:r w:rsidRPr="006955AF">
        <w:rPr>
          <w:rFonts w:ascii="Times" w:hAnsi="Times"/>
        </w:rPr>
        <w:t xml:space="preserve">That a trust must be capable of performance, and that it must be performed, </w:t>
      </w:r>
      <w:r w:rsidR="00770D29" w:rsidRPr="006955AF">
        <w:rPr>
          <w:rFonts w:ascii="Times" w:hAnsi="Times"/>
        </w:rPr>
        <w:t>were and remain</w:t>
      </w:r>
      <w:r w:rsidRPr="006955AF">
        <w:rPr>
          <w:rFonts w:ascii="Times" w:hAnsi="Times"/>
        </w:rPr>
        <w:t xml:space="preserve"> accepted axioms.  </w:t>
      </w:r>
      <w:r w:rsidR="00DA440A">
        <w:rPr>
          <w:rFonts w:ascii="Times" w:hAnsi="Times"/>
        </w:rPr>
        <w:t>T</w:t>
      </w:r>
      <w:r w:rsidRPr="006955AF">
        <w:rPr>
          <w:rFonts w:ascii="Times" w:hAnsi="Times"/>
        </w:rPr>
        <w:t xml:space="preserve">heir Lordships differed in what they thought was required </w:t>
      </w:r>
      <w:r w:rsidR="00DA440A">
        <w:rPr>
          <w:rFonts w:ascii="Times" w:hAnsi="Times"/>
        </w:rPr>
        <w:t>to perform</w:t>
      </w:r>
      <w:r w:rsidRPr="006955AF">
        <w:rPr>
          <w:rFonts w:ascii="Times" w:hAnsi="Times"/>
        </w:rPr>
        <w:t xml:space="preserve"> the trust at issue in </w:t>
      </w:r>
      <w:r w:rsidRPr="006955AF">
        <w:rPr>
          <w:rFonts w:ascii="Times" w:hAnsi="Times"/>
          <w:i/>
        </w:rPr>
        <w:t>McPhail</w:t>
      </w:r>
      <w:r w:rsidRPr="006955AF">
        <w:rPr>
          <w:rFonts w:ascii="Times" w:hAnsi="Times"/>
        </w:rPr>
        <w:t xml:space="preserve">, and therefore in the degree of certainty </w:t>
      </w:r>
      <w:r w:rsidR="003365BA" w:rsidRPr="006955AF">
        <w:rPr>
          <w:rFonts w:ascii="Times" w:hAnsi="Times"/>
        </w:rPr>
        <w:t>with which the settlor must identify the beneficiaries of the trust in order that it might be performed.</w:t>
      </w:r>
    </w:p>
    <w:p w14:paraId="364C6B34" w14:textId="77777777" w:rsidR="003365BA" w:rsidRPr="006955AF" w:rsidRDefault="003365BA" w:rsidP="00A217B5">
      <w:pPr>
        <w:spacing w:line="360" w:lineRule="auto"/>
        <w:jc w:val="both"/>
        <w:rPr>
          <w:rFonts w:ascii="Times" w:hAnsi="Times"/>
        </w:rPr>
      </w:pPr>
    </w:p>
    <w:p w14:paraId="2656FDE1" w14:textId="0C392271" w:rsidR="00A15AD5" w:rsidRPr="006955AF" w:rsidRDefault="003365BA" w:rsidP="00A217B5">
      <w:pPr>
        <w:spacing w:line="360" w:lineRule="auto"/>
        <w:jc w:val="both"/>
        <w:rPr>
          <w:rFonts w:ascii="Times" w:hAnsi="Times"/>
        </w:rPr>
      </w:pPr>
      <w:r w:rsidRPr="006955AF">
        <w:rPr>
          <w:rFonts w:ascii="Times" w:hAnsi="Times"/>
        </w:rPr>
        <w:t xml:space="preserve">Later in the twentieth century, Lord Browne-Wilkinson made another statement of high authority that a trust must be performed.  In </w:t>
      </w:r>
      <w:r w:rsidR="00A15AD5" w:rsidRPr="006955AF">
        <w:rPr>
          <w:rFonts w:ascii="Times" w:hAnsi="Times"/>
          <w:i/>
        </w:rPr>
        <w:t>Target Holdings Ltd v Redferns</w:t>
      </w:r>
      <w:r w:rsidR="00A15AD5" w:rsidRPr="006955AF">
        <w:rPr>
          <w:rFonts w:ascii="Times" w:hAnsi="Times"/>
        </w:rPr>
        <w:t>, he emphasised that:</w:t>
      </w:r>
    </w:p>
    <w:p w14:paraId="06EAF124" w14:textId="77777777" w:rsidR="00A15AD5" w:rsidRPr="006955AF" w:rsidRDefault="00A15AD5" w:rsidP="00A217B5">
      <w:pPr>
        <w:spacing w:line="360" w:lineRule="auto"/>
        <w:jc w:val="both"/>
        <w:rPr>
          <w:rFonts w:ascii="Times" w:hAnsi="Times"/>
        </w:rPr>
      </w:pPr>
    </w:p>
    <w:p w14:paraId="64962168" w14:textId="51B86FA0" w:rsidR="00A15AD5" w:rsidRPr="006955AF" w:rsidRDefault="00A15AD5" w:rsidP="00A217B5">
      <w:pPr>
        <w:spacing w:line="360" w:lineRule="auto"/>
        <w:ind w:left="720"/>
        <w:jc w:val="both"/>
        <w:rPr>
          <w:rFonts w:ascii="Times" w:hAnsi="Times"/>
        </w:rPr>
      </w:pPr>
      <w:r w:rsidRPr="006955AF">
        <w:rPr>
          <w:rFonts w:ascii="Times" w:hAnsi="Times"/>
        </w:rPr>
        <w:t xml:space="preserve">“The basic right of a beneficiary is to have the trust duly administered in accordance with the provisions of the trust instruments, if any, and the general law … Accordingly, in the case of a breach of such a trust involving the wrongful paying away of trust assets, </w:t>
      </w:r>
      <w:r w:rsidRPr="006955AF">
        <w:rPr>
          <w:rFonts w:ascii="Times" w:hAnsi="Times"/>
        </w:rPr>
        <w:lastRenderedPageBreak/>
        <w:t>the liability of the trustee is to restore to the trust fund, often called ‘</w:t>
      </w:r>
      <w:r w:rsidR="003A5E6F" w:rsidRPr="006955AF">
        <w:rPr>
          <w:rFonts w:ascii="Times" w:hAnsi="Times"/>
        </w:rPr>
        <w:t>the trust estate’</w:t>
      </w:r>
      <w:r w:rsidRPr="006955AF">
        <w:rPr>
          <w:rFonts w:ascii="Times" w:hAnsi="Times"/>
        </w:rPr>
        <w:t>, what ought to have been there.”</w:t>
      </w:r>
      <w:r w:rsidRPr="006955AF">
        <w:rPr>
          <w:rStyle w:val="FootnoteReference"/>
        </w:rPr>
        <w:footnoteReference w:id="9"/>
      </w:r>
    </w:p>
    <w:p w14:paraId="61F24605" w14:textId="77777777" w:rsidR="003A5E6F" w:rsidRPr="006955AF" w:rsidRDefault="003A5E6F" w:rsidP="00A217B5">
      <w:pPr>
        <w:spacing w:line="360" w:lineRule="auto"/>
        <w:jc w:val="both"/>
        <w:rPr>
          <w:rFonts w:ascii="Times" w:hAnsi="Times"/>
        </w:rPr>
      </w:pPr>
    </w:p>
    <w:p w14:paraId="26752627" w14:textId="43C922AD" w:rsidR="003A5E6F" w:rsidRPr="006955AF" w:rsidRDefault="003A5E6F" w:rsidP="00A217B5">
      <w:pPr>
        <w:spacing w:line="360" w:lineRule="auto"/>
        <w:jc w:val="both"/>
        <w:rPr>
          <w:rFonts w:ascii="Times" w:hAnsi="Times"/>
        </w:rPr>
      </w:pPr>
      <w:r w:rsidRPr="006955AF">
        <w:rPr>
          <w:rFonts w:ascii="Times" w:hAnsi="Times"/>
        </w:rPr>
        <w:t xml:space="preserve">The beneficiary’s right is a right to performance, </w:t>
      </w:r>
      <w:r w:rsidR="00CE3E3C" w:rsidRPr="006955AF">
        <w:rPr>
          <w:rFonts w:ascii="Times" w:hAnsi="Times"/>
        </w:rPr>
        <w:t xml:space="preserve">if needs be remedied by substitute performance, rather than a right </w:t>
      </w:r>
      <w:r w:rsidRPr="006955AF">
        <w:rPr>
          <w:rFonts w:ascii="Times" w:hAnsi="Times"/>
        </w:rPr>
        <w:t>to performance or the payment of compensation in lieu of performance.</w:t>
      </w:r>
    </w:p>
    <w:p w14:paraId="207FF900" w14:textId="757DB7B4" w:rsidR="00BA57CC" w:rsidRPr="006955AF" w:rsidRDefault="00BA57CC" w:rsidP="00A217B5">
      <w:pPr>
        <w:spacing w:line="360" w:lineRule="auto"/>
        <w:jc w:val="both"/>
        <w:rPr>
          <w:rFonts w:ascii="Times" w:hAnsi="Times"/>
        </w:rPr>
      </w:pPr>
    </w:p>
    <w:p w14:paraId="3C092C0E" w14:textId="06B46D65" w:rsidR="003A5E6F" w:rsidRPr="006955AF" w:rsidRDefault="003A5E6F" w:rsidP="00A217B5">
      <w:pPr>
        <w:spacing w:line="360" w:lineRule="auto"/>
        <w:jc w:val="both"/>
        <w:rPr>
          <w:rFonts w:ascii="Times" w:hAnsi="Times"/>
        </w:rPr>
      </w:pPr>
      <w:r w:rsidRPr="006955AF">
        <w:rPr>
          <w:rFonts w:ascii="Times" w:hAnsi="Times"/>
        </w:rPr>
        <w:t xml:space="preserve">In the </w:t>
      </w:r>
      <w:r w:rsidR="0079163B" w:rsidRPr="006955AF">
        <w:rPr>
          <w:rFonts w:ascii="Times" w:hAnsi="Times"/>
        </w:rPr>
        <w:t xml:space="preserve">early part of the </w:t>
      </w:r>
      <w:r w:rsidRPr="006955AF">
        <w:rPr>
          <w:rFonts w:ascii="Times" w:hAnsi="Times"/>
        </w:rPr>
        <w:t xml:space="preserve">present century, </w:t>
      </w:r>
      <w:r w:rsidR="00D26CA4" w:rsidRPr="006955AF">
        <w:rPr>
          <w:rFonts w:ascii="Times" w:hAnsi="Times"/>
        </w:rPr>
        <w:t xml:space="preserve">Lord Walker noted in </w:t>
      </w:r>
      <w:r w:rsidR="00D26CA4" w:rsidRPr="006955AF">
        <w:rPr>
          <w:rFonts w:ascii="Times" w:hAnsi="Times"/>
          <w:i/>
        </w:rPr>
        <w:t>Schmidt v Rosewood Trust Ltd</w:t>
      </w:r>
      <w:r w:rsidR="00D26CA4" w:rsidRPr="006955AF">
        <w:rPr>
          <w:rFonts w:ascii="Times" w:hAnsi="Times"/>
        </w:rPr>
        <w:t xml:space="preserve"> that:</w:t>
      </w:r>
    </w:p>
    <w:p w14:paraId="3CA84929" w14:textId="77777777" w:rsidR="00D26CA4" w:rsidRPr="006955AF" w:rsidRDefault="00D26CA4" w:rsidP="00A217B5">
      <w:pPr>
        <w:spacing w:line="360" w:lineRule="auto"/>
        <w:jc w:val="both"/>
        <w:rPr>
          <w:rFonts w:ascii="Times" w:hAnsi="Times"/>
        </w:rPr>
      </w:pPr>
    </w:p>
    <w:p w14:paraId="15BE6C82" w14:textId="57DF2C53" w:rsidR="00D26CA4" w:rsidRPr="006955AF" w:rsidRDefault="00D26CA4" w:rsidP="00A217B5">
      <w:pPr>
        <w:spacing w:line="360" w:lineRule="auto"/>
        <w:ind w:left="720"/>
        <w:jc w:val="both"/>
        <w:rPr>
          <w:rFonts w:ascii="Times" w:hAnsi="Times"/>
        </w:rPr>
      </w:pPr>
      <w:r w:rsidRPr="006955AF">
        <w:rPr>
          <w:rFonts w:ascii="Times" w:hAnsi="Times"/>
        </w:rPr>
        <w:t>“It is fundamental to the law of trusts that the court has jurisdiction to supervise and if appropriate intervene in the administration of a trust, including a discretionary trust.”</w:t>
      </w:r>
      <w:r w:rsidRPr="006955AF">
        <w:rPr>
          <w:rStyle w:val="FootnoteReference"/>
        </w:rPr>
        <w:footnoteReference w:id="10"/>
      </w:r>
    </w:p>
    <w:p w14:paraId="37DCB075" w14:textId="77777777" w:rsidR="00D6422F" w:rsidRPr="006955AF" w:rsidRDefault="00D6422F" w:rsidP="00A217B5">
      <w:pPr>
        <w:spacing w:line="360" w:lineRule="auto"/>
        <w:ind w:left="720"/>
        <w:jc w:val="both"/>
        <w:rPr>
          <w:rFonts w:ascii="Times" w:hAnsi="Times"/>
        </w:rPr>
      </w:pPr>
    </w:p>
    <w:p w14:paraId="286A4695" w14:textId="01D0D5FA" w:rsidR="00D6422F" w:rsidRPr="006955AF" w:rsidRDefault="00D6422F" w:rsidP="00A217B5">
      <w:pPr>
        <w:spacing w:line="360" w:lineRule="auto"/>
        <w:jc w:val="both"/>
        <w:rPr>
          <w:rFonts w:ascii="Times" w:hAnsi="Times"/>
        </w:rPr>
      </w:pPr>
      <w:r w:rsidRPr="006955AF">
        <w:rPr>
          <w:rFonts w:ascii="Times" w:hAnsi="Times"/>
        </w:rPr>
        <w:t xml:space="preserve">This already marks </w:t>
      </w:r>
      <w:r w:rsidR="00F13C53" w:rsidRPr="006955AF">
        <w:rPr>
          <w:rFonts w:ascii="Times" w:hAnsi="Times"/>
        </w:rPr>
        <w:t xml:space="preserve">out </w:t>
      </w:r>
      <w:r w:rsidRPr="006955AF">
        <w:rPr>
          <w:rFonts w:ascii="Times" w:hAnsi="Times"/>
        </w:rPr>
        <w:t xml:space="preserve">the trust as </w:t>
      </w:r>
      <w:r w:rsidR="0069136E">
        <w:rPr>
          <w:rFonts w:ascii="Times" w:hAnsi="Times"/>
        </w:rPr>
        <w:t xml:space="preserve">significantly </w:t>
      </w:r>
      <w:r w:rsidRPr="006955AF">
        <w:rPr>
          <w:rFonts w:ascii="Times" w:hAnsi="Times"/>
        </w:rPr>
        <w:t>different from other obligations:  the court assume</w:t>
      </w:r>
      <w:r w:rsidR="00EA5955" w:rsidRPr="006955AF">
        <w:rPr>
          <w:rFonts w:ascii="Times" w:hAnsi="Times"/>
        </w:rPr>
        <w:t>s</w:t>
      </w:r>
      <w:r w:rsidRPr="006955AF">
        <w:rPr>
          <w:rFonts w:ascii="Times" w:hAnsi="Times"/>
        </w:rPr>
        <w:t xml:space="preserve"> no such general jurisdiction with respect to contracts.</w:t>
      </w:r>
    </w:p>
    <w:p w14:paraId="10227FF3" w14:textId="77777777" w:rsidR="00D6422F" w:rsidRPr="006955AF" w:rsidRDefault="00D6422F" w:rsidP="00A217B5">
      <w:pPr>
        <w:spacing w:line="360" w:lineRule="auto"/>
        <w:jc w:val="both"/>
        <w:rPr>
          <w:rFonts w:ascii="Times" w:hAnsi="Times"/>
        </w:rPr>
      </w:pPr>
    </w:p>
    <w:p w14:paraId="2950677C" w14:textId="1DC7D5ED" w:rsidR="00D6422F" w:rsidRPr="00FE2069" w:rsidRDefault="009A6A10" w:rsidP="00A217B5">
      <w:pPr>
        <w:pStyle w:val="ListParagraph"/>
        <w:numPr>
          <w:ilvl w:val="0"/>
          <w:numId w:val="6"/>
        </w:numPr>
        <w:spacing w:line="360" w:lineRule="auto"/>
        <w:jc w:val="both"/>
        <w:rPr>
          <w:rFonts w:ascii="Times" w:hAnsi="Times"/>
          <w:i/>
        </w:rPr>
      </w:pPr>
      <w:r w:rsidRPr="00FE2069">
        <w:rPr>
          <w:rFonts w:ascii="Times" w:hAnsi="Times"/>
          <w:i/>
        </w:rPr>
        <w:t xml:space="preserve">Trusts and Performance:  </w:t>
      </w:r>
      <w:r w:rsidR="006D0F5D" w:rsidRPr="00FE2069">
        <w:rPr>
          <w:rFonts w:ascii="Times" w:hAnsi="Times"/>
          <w:i/>
        </w:rPr>
        <w:t xml:space="preserve">Mechanisms for </w:t>
      </w:r>
      <w:r w:rsidR="00770937" w:rsidRPr="00FE2069">
        <w:rPr>
          <w:rFonts w:ascii="Times" w:hAnsi="Times"/>
          <w:i/>
        </w:rPr>
        <w:t>Securing Performance</w:t>
      </w:r>
    </w:p>
    <w:p w14:paraId="116FCB43" w14:textId="77777777" w:rsidR="00804F5E" w:rsidRPr="006955AF" w:rsidRDefault="00804F5E" w:rsidP="00A217B5">
      <w:pPr>
        <w:spacing w:line="360" w:lineRule="auto"/>
        <w:jc w:val="both"/>
        <w:rPr>
          <w:rFonts w:ascii="Times" w:hAnsi="Times"/>
        </w:rPr>
      </w:pPr>
    </w:p>
    <w:p w14:paraId="11087F61" w14:textId="5972ECFE" w:rsidR="00770937" w:rsidRPr="006955AF" w:rsidRDefault="00770937" w:rsidP="00A217B5">
      <w:pPr>
        <w:spacing w:line="360" w:lineRule="auto"/>
        <w:jc w:val="both"/>
        <w:rPr>
          <w:rFonts w:ascii="Times" w:hAnsi="Times"/>
        </w:rPr>
      </w:pPr>
      <w:r w:rsidRPr="006955AF">
        <w:rPr>
          <w:rFonts w:ascii="Times" w:hAnsi="Times"/>
        </w:rPr>
        <w:t xml:space="preserve">It is one thing to note axioms and statements of principle articulated by the courts.  But it is another – and quite as important – to see whether, and if so, how, the </w:t>
      </w:r>
      <w:r w:rsidR="00395453" w:rsidRPr="006955AF">
        <w:rPr>
          <w:rFonts w:ascii="Times" w:hAnsi="Times"/>
        </w:rPr>
        <w:t xml:space="preserve">courts’ </w:t>
      </w:r>
      <w:r w:rsidRPr="006955AF">
        <w:rPr>
          <w:rFonts w:ascii="Times" w:hAnsi="Times"/>
        </w:rPr>
        <w:t>rhetoric is matched by reality.  Does trust law and practice seek to procure performance by trustees, or, in cases where trustees have breached their trust and failed to perform their duties,</w:t>
      </w:r>
      <w:r w:rsidR="006A7646" w:rsidRPr="006955AF">
        <w:rPr>
          <w:rFonts w:ascii="Times" w:hAnsi="Times"/>
        </w:rPr>
        <w:t xml:space="preserve"> does it seek to remedy that failure by requiring performance or </w:t>
      </w:r>
      <w:r w:rsidR="00091A77" w:rsidRPr="006955AF">
        <w:rPr>
          <w:rFonts w:ascii="Times" w:hAnsi="Times"/>
        </w:rPr>
        <w:t xml:space="preserve">merely </w:t>
      </w:r>
      <w:r w:rsidR="00EA5B5F" w:rsidRPr="006955AF">
        <w:rPr>
          <w:rFonts w:ascii="Times" w:hAnsi="Times"/>
        </w:rPr>
        <w:t>compensation of the loss resulting from non-</w:t>
      </w:r>
      <w:r w:rsidR="00091A77" w:rsidRPr="006955AF">
        <w:rPr>
          <w:rFonts w:ascii="Times" w:hAnsi="Times"/>
        </w:rPr>
        <w:t>performance</w:t>
      </w:r>
      <w:r w:rsidR="006A7646" w:rsidRPr="006955AF">
        <w:rPr>
          <w:rFonts w:ascii="Times" w:hAnsi="Times"/>
        </w:rPr>
        <w:t xml:space="preserve">?  </w:t>
      </w:r>
      <w:r w:rsidR="002F50C5" w:rsidRPr="006955AF">
        <w:rPr>
          <w:rFonts w:ascii="Times" w:hAnsi="Times"/>
        </w:rPr>
        <w:t>This section and the following</w:t>
      </w:r>
      <w:r w:rsidR="006D0F5D" w:rsidRPr="006955AF">
        <w:rPr>
          <w:rFonts w:ascii="Times" w:hAnsi="Times"/>
        </w:rPr>
        <w:t xml:space="preserve"> section</w:t>
      </w:r>
      <w:r w:rsidR="002F50C5" w:rsidRPr="006955AF">
        <w:rPr>
          <w:rFonts w:ascii="Times" w:hAnsi="Times"/>
        </w:rPr>
        <w:t xml:space="preserve"> seek to outline the structural </w:t>
      </w:r>
      <w:r w:rsidR="006D0F5D" w:rsidRPr="006955AF">
        <w:rPr>
          <w:rFonts w:ascii="Times" w:hAnsi="Times"/>
        </w:rPr>
        <w:t>mechanisms that give effect to the courts’ axioms</w:t>
      </w:r>
      <w:r w:rsidR="00395453" w:rsidRPr="006955AF">
        <w:rPr>
          <w:rFonts w:ascii="Times" w:hAnsi="Times"/>
        </w:rPr>
        <w:t>,</w:t>
      </w:r>
      <w:r w:rsidR="006D0F5D" w:rsidRPr="006955AF">
        <w:rPr>
          <w:rFonts w:ascii="Times" w:hAnsi="Times"/>
        </w:rPr>
        <w:t xml:space="preserve"> and substance to their statements </w:t>
      </w:r>
      <w:r w:rsidR="00361614" w:rsidRPr="006955AF">
        <w:rPr>
          <w:rFonts w:ascii="Times" w:hAnsi="Times"/>
        </w:rPr>
        <w:t>of principle.</w:t>
      </w:r>
      <w:r w:rsidR="00DC5626">
        <w:rPr>
          <w:rFonts w:ascii="Times" w:hAnsi="Times"/>
        </w:rPr>
        <w:t xml:space="preserve">  These have received remarkably little </w:t>
      </w:r>
      <w:r w:rsidR="007363DB">
        <w:rPr>
          <w:rFonts w:ascii="Times" w:hAnsi="Times"/>
        </w:rPr>
        <w:t>academic attention.</w:t>
      </w:r>
    </w:p>
    <w:p w14:paraId="03408CD4" w14:textId="77777777" w:rsidR="00361614" w:rsidRPr="006955AF" w:rsidRDefault="00361614" w:rsidP="00A217B5">
      <w:pPr>
        <w:spacing w:line="360" w:lineRule="auto"/>
        <w:jc w:val="both"/>
        <w:rPr>
          <w:rFonts w:ascii="Times" w:hAnsi="Times"/>
        </w:rPr>
      </w:pPr>
    </w:p>
    <w:p w14:paraId="784F0FDF" w14:textId="257DB3F1" w:rsidR="00BC63F6" w:rsidRPr="006955AF" w:rsidRDefault="00361614" w:rsidP="00A217B5">
      <w:pPr>
        <w:spacing w:line="360" w:lineRule="auto"/>
        <w:jc w:val="both"/>
        <w:rPr>
          <w:rFonts w:ascii="Times" w:hAnsi="Times"/>
        </w:rPr>
      </w:pPr>
      <w:r w:rsidRPr="006955AF">
        <w:rPr>
          <w:rFonts w:ascii="Times" w:hAnsi="Times"/>
        </w:rPr>
        <w:t xml:space="preserve">Obviously, the most basic – and the most common – means </w:t>
      </w:r>
      <w:r w:rsidR="00E9768C" w:rsidRPr="006955AF">
        <w:rPr>
          <w:rFonts w:ascii="Times" w:hAnsi="Times"/>
        </w:rPr>
        <w:t xml:space="preserve">through which a trust is </w:t>
      </w:r>
      <w:r w:rsidR="00395453" w:rsidRPr="006955AF">
        <w:rPr>
          <w:rFonts w:ascii="Times" w:hAnsi="Times"/>
        </w:rPr>
        <w:t>executed</w:t>
      </w:r>
      <w:r w:rsidR="00E9768C" w:rsidRPr="006955AF">
        <w:rPr>
          <w:rFonts w:ascii="Times" w:hAnsi="Times"/>
        </w:rPr>
        <w:t xml:space="preserve"> is the performance by the original trustees and their successors, if any, holding office under the terms of the trust.  </w:t>
      </w:r>
      <w:r w:rsidR="00BC63F6" w:rsidRPr="006955AF">
        <w:rPr>
          <w:rFonts w:ascii="Times" w:hAnsi="Times"/>
        </w:rPr>
        <w:t xml:space="preserve">However, this does not reveal much about the law of trusts.  What is much </w:t>
      </w:r>
      <w:r w:rsidR="00BC63F6" w:rsidRPr="006955AF">
        <w:rPr>
          <w:rFonts w:ascii="Times" w:hAnsi="Times"/>
        </w:rPr>
        <w:lastRenderedPageBreak/>
        <w:t>more revealing are the mechanisms for coping with situations where the anticipated performance by duly appointed trustees is problematic, or simply does not occur.</w:t>
      </w:r>
      <w:r w:rsidR="00EC5474">
        <w:rPr>
          <w:rFonts w:ascii="Times" w:hAnsi="Times"/>
        </w:rPr>
        <w:t xml:space="preserve">  These range from the court’s assistance through to </w:t>
      </w:r>
      <w:r w:rsidR="004348F6" w:rsidRPr="006955AF">
        <w:rPr>
          <w:rFonts w:ascii="Times" w:hAnsi="Times"/>
        </w:rPr>
        <w:t>the most intrusive and profound:  the administration of the trust by the court itself</w:t>
      </w:r>
      <w:r w:rsidR="004348F6">
        <w:rPr>
          <w:rFonts w:ascii="Times" w:hAnsi="Times"/>
        </w:rPr>
        <w:t xml:space="preserve">.  For the purposes of exposition, this part will address the various mechanism in order of increasing </w:t>
      </w:r>
      <w:r w:rsidR="002B6AAD">
        <w:rPr>
          <w:rFonts w:ascii="Times" w:hAnsi="Times"/>
        </w:rPr>
        <w:t>intensity of intervention.</w:t>
      </w:r>
    </w:p>
    <w:p w14:paraId="4246C619" w14:textId="77777777" w:rsidR="00DB0BD3" w:rsidRPr="006955AF" w:rsidRDefault="00DB0BD3" w:rsidP="00A217B5">
      <w:pPr>
        <w:spacing w:line="360" w:lineRule="auto"/>
        <w:jc w:val="both"/>
        <w:rPr>
          <w:rFonts w:ascii="Times" w:hAnsi="Times"/>
        </w:rPr>
      </w:pPr>
    </w:p>
    <w:p w14:paraId="46BF5175" w14:textId="67570E2E" w:rsidR="00E846B7" w:rsidRDefault="00DB0BD3" w:rsidP="00A217B5">
      <w:pPr>
        <w:spacing w:line="360" w:lineRule="auto"/>
        <w:jc w:val="both"/>
        <w:rPr>
          <w:rFonts w:ascii="Times" w:hAnsi="Times"/>
        </w:rPr>
      </w:pPr>
      <w:r w:rsidRPr="006955AF">
        <w:rPr>
          <w:rFonts w:ascii="Times" w:hAnsi="Times"/>
        </w:rPr>
        <w:t>The first</w:t>
      </w:r>
      <w:r w:rsidR="0069136E">
        <w:rPr>
          <w:rFonts w:ascii="Times" w:hAnsi="Times"/>
        </w:rPr>
        <w:t xml:space="preserve"> </w:t>
      </w:r>
      <w:r w:rsidR="008915E5" w:rsidRPr="006955AF">
        <w:rPr>
          <w:rFonts w:ascii="Times" w:hAnsi="Times"/>
        </w:rPr>
        <w:t xml:space="preserve">means of promoting performance of a trust is the jurisdiction of the court, </w:t>
      </w:r>
      <w:r w:rsidR="00E846B7" w:rsidRPr="006955AF">
        <w:rPr>
          <w:rFonts w:ascii="Times" w:hAnsi="Times"/>
        </w:rPr>
        <w:t>now governed</w:t>
      </w:r>
      <w:r w:rsidR="00671B86" w:rsidRPr="006955AF">
        <w:rPr>
          <w:rFonts w:ascii="Times" w:hAnsi="Times"/>
        </w:rPr>
        <w:t xml:space="preserve"> </w:t>
      </w:r>
      <w:r w:rsidR="00E846B7" w:rsidRPr="006955AF">
        <w:rPr>
          <w:rFonts w:ascii="Times" w:hAnsi="Times"/>
        </w:rPr>
        <w:t>by</w:t>
      </w:r>
      <w:r w:rsidR="00671B86" w:rsidRPr="006955AF">
        <w:rPr>
          <w:rFonts w:ascii="Times" w:hAnsi="Times"/>
        </w:rPr>
        <w:t xml:space="preserve"> Part 64 of the Civil Procedure Rules, </w:t>
      </w:r>
      <w:r w:rsidR="00E846B7" w:rsidRPr="006955AF">
        <w:rPr>
          <w:rFonts w:ascii="Times" w:hAnsi="Times"/>
        </w:rPr>
        <w:t xml:space="preserve">to determine any question arising in the execution of a trust. </w:t>
      </w:r>
      <w:r w:rsidR="00023D65" w:rsidRPr="006955AF">
        <w:rPr>
          <w:rFonts w:ascii="Times" w:hAnsi="Times"/>
        </w:rPr>
        <w:t xml:space="preserve"> </w:t>
      </w:r>
      <w:r w:rsidR="00E846B7" w:rsidRPr="006955AF">
        <w:rPr>
          <w:rFonts w:ascii="Times" w:hAnsi="Times"/>
        </w:rPr>
        <w:t>Nowhere is there a comprehensive judicial statement of th</w:t>
      </w:r>
      <w:r w:rsidR="00023D65" w:rsidRPr="006955AF">
        <w:rPr>
          <w:rFonts w:ascii="Times" w:hAnsi="Times"/>
        </w:rPr>
        <w:t xml:space="preserve">is </w:t>
      </w:r>
      <w:r w:rsidR="00E846B7" w:rsidRPr="006955AF">
        <w:rPr>
          <w:rFonts w:ascii="Times" w:hAnsi="Times"/>
        </w:rPr>
        <w:t xml:space="preserve">jurisdiction, but it might be useful to begin with a well-known statement given in </w:t>
      </w:r>
      <w:r w:rsidR="00E846B7" w:rsidRPr="006955AF">
        <w:rPr>
          <w:rFonts w:ascii="Times" w:hAnsi="Times"/>
          <w:i/>
        </w:rPr>
        <w:t>Public Trustee v Cooper</w:t>
      </w:r>
      <w:r w:rsidR="00550AC5">
        <w:rPr>
          <w:rStyle w:val="FootnoteReference"/>
          <w:i/>
        </w:rPr>
        <w:footnoteReference w:id="11"/>
      </w:r>
      <w:r w:rsidR="00023D65" w:rsidRPr="006955AF">
        <w:rPr>
          <w:rFonts w:ascii="Times" w:hAnsi="Times"/>
        </w:rPr>
        <w:t xml:space="preserve"> by Hart J</w:t>
      </w:r>
      <w:r w:rsidR="008E233A">
        <w:rPr>
          <w:rFonts w:ascii="Times" w:hAnsi="Times"/>
        </w:rPr>
        <w:t>.</w:t>
      </w:r>
      <w:r w:rsidR="00023D65" w:rsidRPr="006955AF">
        <w:rPr>
          <w:rFonts w:ascii="Times" w:hAnsi="Times"/>
        </w:rPr>
        <w:t xml:space="preserve">, </w:t>
      </w:r>
      <w:r w:rsidR="00E846B7" w:rsidRPr="006955AF">
        <w:rPr>
          <w:rFonts w:ascii="Times" w:hAnsi="Times"/>
        </w:rPr>
        <w:t>who was in turn quoting part of an unreported judgment of Robert Walker J</w:t>
      </w:r>
      <w:r w:rsidR="008E233A">
        <w:rPr>
          <w:rFonts w:ascii="Times" w:hAnsi="Times"/>
        </w:rPr>
        <w:t>.</w:t>
      </w:r>
      <w:r w:rsidR="00E846B7" w:rsidRPr="006955AF">
        <w:rPr>
          <w:rFonts w:ascii="Times" w:hAnsi="Times"/>
        </w:rPr>
        <w:t xml:space="preserve"> (later Lord Walker) from 1995.</w:t>
      </w:r>
    </w:p>
    <w:p w14:paraId="0C2A5A0F" w14:textId="2CC0778C" w:rsidR="00550AC5" w:rsidRDefault="00550AC5" w:rsidP="00A217B5">
      <w:pPr>
        <w:spacing w:line="360" w:lineRule="auto"/>
        <w:jc w:val="both"/>
        <w:rPr>
          <w:rFonts w:ascii="Times" w:hAnsi="Times"/>
        </w:rPr>
      </w:pPr>
    </w:p>
    <w:p w14:paraId="3FE73AD9" w14:textId="10D8067C" w:rsidR="00AA447D" w:rsidRDefault="00550AC5" w:rsidP="00A217B5">
      <w:pPr>
        <w:spacing w:line="360" w:lineRule="auto"/>
        <w:jc w:val="both"/>
        <w:rPr>
          <w:rFonts w:ascii="Times" w:hAnsi="Times"/>
        </w:rPr>
      </w:pPr>
      <w:r>
        <w:rPr>
          <w:rFonts w:ascii="Times" w:hAnsi="Times"/>
        </w:rPr>
        <w:t xml:space="preserve">These judgments set out four non-exhaustive categories into which most cases fall.  First, the court may determine definitively </w:t>
      </w:r>
      <w:r w:rsidRPr="006955AF">
        <w:rPr>
          <w:rFonts w:ascii="Times" w:hAnsi="Times"/>
        </w:rPr>
        <w:t xml:space="preserve">whether some proposed action is </w:t>
      </w:r>
      <w:r w:rsidR="00AA447D">
        <w:rPr>
          <w:rFonts w:ascii="Times" w:hAnsi="Times"/>
        </w:rPr>
        <w:t xml:space="preserve">permitted or required by </w:t>
      </w:r>
      <w:r w:rsidRPr="006955AF">
        <w:rPr>
          <w:rFonts w:ascii="Times" w:hAnsi="Times"/>
        </w:rPr>
        <w:t xml:space="preserve">the </w:t>
      </w:r>
      <w:r w:rsidR="00AA447D">
        <w:rPr>
          <w:rFonts w:ascii="Times" w:hAnsi="Times"/>
        </w:rPr>
        <w:t xml:space="preserve">terms of the trust – including the </w:t>
      </w:r>
      <w:r w:rsidRPr="006955AF">
        <w:rPr>
          <w:rFonts w:ascii="Times" w:hAnsi="Times"/>
        </w:rPr>
        <w:t>trustees’ powers</w:t>
      </w:r>
      <w:r>
        <w:rPr>
          <w:rFonts w:ascii="Times" w:hAnsi="Times"/>
        </w:rPr>
        <w:t>.</w:t>
      </w:r>
      <w:r w:rsidR="00AA447D" w:rsidRPr="006955AF">
        <w:rPr>
          <w:rStyle w:val="FootnoteReference"/>
        </w:rPr>
        <w:footnoteReference w:id="12"/>
      </w:r>
      <w:r>
        <w:rPr>
          <w:rFonts w:ascii="Times" w:hAnsi="Times"/>
        </w:rPr>
        <w:t xml:space="preserve">  Secondly, the court may give certainty to trustees by “blessing” the trustees’ </w:t>
      </w:r>
      <w:r w:rsidRPr="006955AF">
        <w:rPr>
          <w:rFonts w:ascii="Times" w:hAnsi="Times"/>
        </w:rPr>
        <w:t>proposed course of action</w:t>
      </w:r>
      <w:r>
        <w:rPr>
          <w:rFonts w:ascii="Times" w:hAnsi="Times"/>
        </w:rPr>
        <w:t xml:space="preserve"> as </w:t>
      </w:r>
      <w:r w:rsidRPr="006955AF">
        <w:rPr>
          <w:rFonts w:ascii="Times" w:hAnsi="Times"/>
        </w:rPr>
        <w:t>a proper exercise of the trustees’ powers</w:t>
      </w:r>
      <w:r>
        <w:rPr>
          <w:rFonts w:ascii="Times" w:hAnsi="Times"/>
        </w:rPr>
        <w:t>, even</w:t>
      </w:r>
      <w:r w:rsidRPr="006955AF">
        <w:rPr>
          <w:rFonts w:ascii="Times" w:hAnsi="Times"/>
        </w:rPr>
        <w:t xml:space="preserve"> where there is no real doubt as to the nature of the trustees’ powers and the</w:t>
      </w:r>
      <w:r>
        <w:rPr>
          <w:rFonts w:ascii="Times" w:hAnsi="Times"/>
        </w:rPr>
        <w:t xml:space="preserve"> trustees’ decision, </w:t>
      </w:r>
      <w:r w:rsidRPr="006955AF">
        <w:rPr>
          <w:rFonts w:ascii="Times" w:hAnsi="Times"/>
        </w:rPr>
        <w:t>but</w:t>
      </w:r>
      <w:r>
        <w:rPr>
          <w:rFonts w:ascii="Times" w:hAnsi="Times"/>
        </w:rPr>
        <w:t xml:space="preserve"> </w:t>
      </w:r>
      <w:r w:rsidRPr="006955AF">
        <w:rPr>
          <w:rFonts w:ascii="Times" w:hAnsi="Times"/>
        </w:rPr>
        <w:t xml:space="preserve">the decision is particularly momentous, </w:t>
      </w:r>
      <w:r>
        <w:rPr>
          <w:rFonts w:ascii="Times" w:hAnsi="Times"/>
        </w:rPr>
        <w:t xml:space="preserve">such that the trustees want confirmation of their plan from the court.  Thirdly, the trustees may surrender their discretion to the court, for the court to exercise it (or direct exercise of it).  Fourthly, there are cases </w:t>
      </w:r>
      <w:r w:rsidRPr="006955AF">
        <w:rPr>
          <w:rFonts w:ascii="Times" w:hAnsi="Times"/>
        </w:rPr>
        <w:t>where trustees have actually taken action, and that action is attacked as being either outside their powers or an improper exercise of their powers.</w:t>
      </w:r>
      <w:r w:rsidR="00AA447D">
        <w:rPr>
          <w:rFonts w:ascii="Times" w:hAnsi="Times"/>
        </w:rPr>
        <w:t xml:space="preserve">  </w:t>
      </w:r>
      <w:r w:rsidR="0079542C">
        <w:rPr>
          <w:rFonts w:ascii="Times" w:hAnsi="Times"/>
        </w:rPr>
        <w:t xml:space="preserve">The remedial consequences of the trustees acting outside their powers (the fourth category) are considered in Part </w:t>
      </w:r>
      <w:r w:rsidR="003529B6">
        <w:rPr>
          <w:rFonts w:ascii="Times" w:hAnsi="Times"/>
        </w:rPr>
        <w:t>Five</w:t>
      </w:r>
      <w:r w:rsidR="00C619EF">
        <w:rPr>
          <w:rFonts w:ascii="Times" w:hAnsi="Times"/>
        </w:rPr>
        <w:t>.</w:t>
      </w:r>
    </w:p>
    <w:p w14:paraId="60F3F122" w14:textId="77777777" w:rsidR="00AA447D" w:rsidRDefault="00AA447D" w:rsidP="00A217B5">
      <w:pPr>
        <w:spacing w:line="360" w:lineRule="auto"/>
        <w:jc w:val="both"/>
        <w:rPr>
          <w:rFonts w:ascii="Times" w:hAnsi="Times"/>
        </w:rPr>
      </w:pPr>
    </w:p>
    <w:p w14:paraId="043B42CF" w14:textId="7C270379" w:rsidR="00696150" w:rsidRPr="006955AF" w:rsidRDefault="00EB5735" w:rsidP="00A217B5">
      <w:pPr>
        <w:spacing w:line="360" w:lineRule="auto"/>
        <w:jc w:val="both"/>
        <w:rPr>
          <w:rFonts w:ascii="Times" w:hAnsi="Times"/>
        </w:rPr>
      </w:pPr>
      <w:r w:rsidRPr="006955AF">
        <w:rPr>
          <w:rFonts w:ascii="Times" w:hAnsi="Times"/>
        </w:rPr>
        <w:t xml:space="preserve">Cases in the first </w:t>
      </w:r>
      <w:r w:rsidR="001D14CB" w:rsidRPr="006955AF">
        <w:rPr>
          <w:rFonts w:ascii="Times" w:hAnsi="Times"/>
        </w:rPr>
        <w:t xml:space="preserve">two </w:t>
      </w:r>
      <w:r w:rsidRPr="006955AF">
        <w:rPr>
          <w:rFonts w:ascii="Times" w:hAnsi="Times"/>
        </w:rPr>
        <w:t>categories are those where the trustees are finding it difficult to execute their trust, and the court can help them in some way</w:t>
      </w:r>
      <w:r w:rsidR="00C619EF">
        <w:rPr>
          <w:rFonts w:ascii="Times" w:hAnsi="Times"/>
        </w:rPr>
        <w:t>.  T</w:t>
      </w:r>
      <w:r w:rsidRPr="006955AF">
        <w:rPr>
          <w:rFonts w:ascii="Times" w:hAnsi="Times"/>
        </w:rPr>
        <w:t>he court can promote performance to a degree not possible if the matter were left solely to the parties – the trustees and the beneficiaries – without the involvement of the court.</w:t>
      </w:r>
    </w:p>
    <w:p w14:paraId="4A3CEA21" w14:textId="77777777" w:rsidR="00696150" w:rsidRPr="006955AF" w:rsidRDefault="00696150" w:rsidP="00A217B5">
      <w:pPr>
        <w:spacing w:line="360" w:lineRule="auto"/>
        <w:jc w:val="both"/>
        <w:rPr>
          <w:rFonts w:ascii="Times" w:hAnsi="Times"/>
        </w:rPr>
      </w:pPr>
    </w:p>
    <w:p w14:paraId="04B4F587" w14:textId="36409E2D" w:rsidR="00A17F9E" w:rsidRPr="006955AF" w:rsidRDefault="00AF54D7" w:rsidP="00A217B5">
      <w:pPr>
        <w:spacing w:line="360" w:lineRule="auto"/>
        <w:jc w:val="both"/>
        <w:rPr>
          <w:rFonts w:ascii="Times" w:hAnsi="Times"/>
        </w:rPr>
      </w:pPr>
      <w:r w:rsidRPr="006955AF">
        <w:rPr>
          <w:rFonts w:ascii="Times" w:hAnsi="Times"/>
        </w:rPr>
        <w:lastRenderedPageBreak/>
        <w:t xml:space="preserve">This useful jurisdiction </w:t>
      </w:r>
      <w:r w:rsidR="008C27A7" w:rsidRPr="006955AF">
        <w:rPr>
          <w:rFonts w:ascii="Times" w:hAnsi="Times"/>
        </w:rPr>
        <w:t>has statutory origins.  Section 30 of the Law of Property Amendment Act 1859</w:t>
      </w:r>
      <w:r w:rsidR="00696150" w:rsidRPr="006955AF">
        <w:rPr>
          <w:rFonts w:ascii="Times" w:hAnsi="Times"/>
        </w:rPr>
        <w:t>,</w:t>
      </w:r>
      <w:r w:rsidR="008C27A7" w:rsidRPr="006955AF">
        <w:rPr>
          <w:rFonts w:ascii="Times" w:hAnsi="Times"/>
        </w:rPr>
        <w:t xml:space="preserve"> </w:t>
      </w:r>
      <w:r w:rsidR="00696150" w:rsidRPr="006955AF">
        <w:rPr>
          <w:rFonts w:ascii="Times" w:hAnsi="Times"/>
        </w:rPr>
        <w:t xml:space="preserve">read with </w:t>
      </w:r>
      <w:r w:rsidR="008C27A7" w:rsidRPr="006955AF">
        <w:rPr>
          <w:rFonts w:ascii="Times" w:hAnsi="Times"/>
        </w:rPr>
        <w:t>section 9 of the Law of Property Amendment Act 1860</w:t>
      </w:r>
      <w:r w:rsidR="00696150" w:rsidRPr="006955AF">
        <w:rPr>
          <w:rFonts w:ascii="Times" w:hAnsi="Times"/>
        </w:rPr>
        <w:t>,</w:t>
      </w:r>
      <w:r w:rsidR="008C27A7" w:rsidRPr="006955AF">
        <w:rPr>
          <w:rFonts w:ascii="Times" w:hAnsi="Times"/>
        </w:rPr>
        <w:t xml:space="preserve"> </w:t>
      </w:r>
      <w:r w:rsidR="00C619EF">
        <w:rPr>
          <w:rFonts w:ascii="Times" w:hAnsi="Times"/>
        </w:rPr>
        <w:t xml:space="preserve">provided that </w:t>
      </w:r>
      <w:r w:rsidR="00696150" w:rsidRPr="006955AF">
        <w:rPr>
          <w:rFonts w:ascii="Times" w:hAnsi="Times"/>
        </w:rPr>
        <w:t xml:space="preserve">“[a]ny Trustee, … without the institution of a Suit, to apply by petition to any Judge of the High Court of Chancery, or by summons upon a written Statement to any such Judge at Chambers, for the Opinion, Advice, or Direction of such Judge on any Question respecting the Management or Administration of the Trust Property…”.  Further </w:t>
      </w:r>
      <w:r w:rsidR="002773C2" w:rsidRPr="006955AF">
        <w:rPr>
          <w:rFonts w:ascii="Times" w:hAnsi="Times"/>
        </w:rPr>
        <w:t xml:space="preserve">means by which judicial advice could be given to trustees “without the institution of a suit” was provided by the Rules of the Supreme Court 1883, Order 55, rule 3, replaced </w:t>
      </w:r>
      <w:r w:rsidR="00AF3375" w:rsidRPr="006955AF">
        <w:rPr>
          <w:rFonts w:ascii="Times" w:hAnsi="Times"/>
        </w:rPr>
        <w:t xml:space="preserve">first </w:t>
      </w:r>
      <w:r w:rsidR="002773C2" w:rsidRPr="006955AF">
        <w:rPr>
          <w:rFonts w:ascii="Times" w:hAnsi="Times"/>
        </w:rPr>
        <w:t xml:space="preserve">by the Rules of the Supreme Court 1965, Order </w:t>
      </w:r>
      <w:r w:rsidR="00AF3375" w:rsidRPr="006955AF">
        <w:rPr>
          <w:rFonts w:ascii="Times" w:hAnsi="Times"/>
        </w:rPr>
        <w:t>85, rule 2, and presently by Part 64 of the Civil Procedure Rules.</w:t>
      </w:r>
      <w:r w:rsidR="00807CB1" w:rsidRPr="006955AF">
        <w:rPr>
          <w:rStyle w:val="FootnoteReference"/>
        </w:rPr>
        <w:footnoteReference w:id="13"/>
      </w:r>
      <w:r w:rsidR="00807CB1" w:rsidRPr="006955AF">
        <w:rPr>
          <w:rFonts w:ascii="Times" w:hAnsi="Times"/>
        </w:rPr>
        <w:t xml:space="preserve"> </w:t>
      </w:r>
      <w:r w:rsidR="00990E93" w:rsidRPr="006955AF">
        <w:rPr>
          <w:rFonts w:ascii="Times" w:hAnsi="Times"/>
        </w:rPr>
        <w:t xml:space="preserve"> Following the repeal of section 30 of the Law of Property Amendment Act 1859 by </w:t>
      </w:r>
      <w:r w:rsidR="00A17F9E" w:rsidRPr="006955AF">
        <w:rPr>
          <w:rFonts w:ascii="Times" w:hAnsi="Times"/>
        </w:rPr>
        <w:t xml:space="preserve">the Trustee Act 1893, the mechanism under rules of court became </w:t>
      </w:r>
      <w:r w:rsidR="00807CB1" w:rsidRPr="006955AF">
        <w:rPr>
          <w:rFonts w:ascii="Times" w:hAnsi="Times"/>
        </w:rPr>
        <w:t>the standard means by which trustees could seek the assistance of the court (at least in England).</w:t>
      </w:r>
      <w:r w:rsidR="00807CB1" w:rsidRPr="006955AF">
        <w:rPr>
          <w:rStyle w:val="FootnoteReference"/>
        </w:rPr>
        <w:footnoteReference w:id="14"/>
      </w:r>
      <w:r w:rsidR="00107FE4" w:rsidRPr="006955AF">
        <w:rPr>
          <w:rFonts w:ascii="Times" w:hAnsi="Times"/>
        </w:rPr>
        <w:t xml:space="preserve">  Until the creation of these statutory mechanisms, </w:t>
      </w:r>
      <w:r w:rsidR="000E7988" w:rsidRPr="006955AF">
        <w:rPr>
          <w:rFonts w:ascii="Times" w:hAnsi="Times"/>
        </w:rPr>
        <w:t>the only way for a trustee in difficulty to discover what to do was to transfer the whole administration of the trust to the court</w:t>
      </w:r>
      <w:r w:rsidR="00AE364F" w:rsidRPr="006955AF">
        <w:rPr>
          <w:rFonts w:ascii="Times" w:hAnsi="Times"/>
        </w:rPr>
        <w:t>,</w:t>
      </w:r>
      <w:r w:rsidR="00F01C34" w:rsidRPr="006955AF">
        <w:rPr>
          <w:rFonts w:ascii="Times" w:hAnsi="Times"/>
        </w:rPr>
        <w:t xml:space="preserve"> in a suit for administration of the trust</w:t>
      </w:r>
      <w:r w:rsidR="00886BA0" w:rsidRPr="006955AF">
        <w:rPr>
          <w:rFonts w:ascii="Times" w:hAnsi="Times"/>
        </w:rPr>
        <w:t>:</w:t>
      </w:r>
      <w:r w:rsidR="000E7988" w:rsidRPr="006955AF">
        <w:rPr>
          <w:rStyle w:val="FootnoteReference"/>
        </w:rPr>
        <w:footnoteReference w:id="15"/>
      </w:r>
      <w:r w:rsidR="000E7988" w:rsidRPr="006955AF">
        <w:rPr>
          <w:rFonts w:ascii="Times" w:hAnsi="Times"/>
        </w:rPr>
        <w:t xml:space="preserve"> </w:t>
      </w:r>
      <w:r w:rsidR="00886BA0" w:rsidRPr="006955AF">
        <w:rPr>
          <w:rFonts w:ascii="Times" w:hAnsi="Times"/>
        </w:rPr>
        <w:t xml:space="preserve"> hence the words “without the institution of a Suit” in </w:t>
      </w:r>
      <w:r w:rsidR="00E22956" w:rsidRPr="006955AF">
        <w:rPr>
          <w:rFonts w:ascii="Times" w:hAnsi="Times"/>
        </w:rPr>
        <w:t xml:space="preserve">the new procedure introduced by </w:t>
      </w:r>
      <w:r w:rsidR="00886BA0" w:rsidRPr="006955AF">
        <w:rPr>
          <w:rFonts w:ascii="Times" w:hAnsi="Times"/>
        </w:rPr>
        <w:t xml:space="preserve">section 30 of the 1859 Act.  </w:t>
      </w:r>
      <w:r w:rsidR="00C377D7" w:rsidRPr="006955AF">
        <w:rPr>
          <w:rFonts w:ascii="Times" w:hAnsi="Times"/>
        </w:rPr>
        <w:t>A</w:t>
      </w:r>
      <w:r w:rsidR="00886BA0" w:rsidRPr="006955AF">
        <w:rPr>
          <w:rFonts w:ascii="Times" w:hAnsi="Times"/>
        </w:rPr>
        <w:t xml:space="preserve">dministration by the court is still possible, and is </w:t>
      </w:r>
      <w:r w:rsidR="000E7988" w:rsidRPr="006955AF">
        <w:rPr>
          <w:rFonts w:ascii="Times" w:hAnsi="Times"/>
        </w:rPr>
        <w:t>considered below.</w:t>
      </w:r>
      <w:r w:rsidR="00AE364F" w:rsidRPr="006955AF">
        <w:rPr>
          <w:rFonts w:ascii="Times" w:hAnsi="Times"/>
        </w:rPr>
        <w:t xml:space="preserve">  However, it is the last resort.  </w:t>
      </w:r>
      <w:r w:rsidR="00C619EF">
        <w:rPr>
          <w:rFonts w:ascii="Times" w:hAnsi="Times"/>
        </w:rPr>
        <w:t>I</w:t>
      </w:r>
      <w:r w:rsidR="00AE364F" w:rsidRPr="006955AF">
        <w:rPr>
          <w:rFonts w:ascii="Times" w:hAnsi="Times"/>
        </w:rPr>
        <w:t xml:space="preserve">t is useful </w:t>
      </w:r>
      <w:r w:rsidR="00770D29" w:rsidRPr="006955AF">
        <w:rPr>
          <w:rFonts w:ascii="Times" w:hAnsi="Times"/>
        </w:rPr>
        <w:t xml:space="preserve">first </w:t>
      </w:r>
      <w:r w:rsidR="00AE364F" w:rsidRPr="006955AF">
        <w:rPr>
          <w:rFonts w:ascii="Times" w:hAnsi="Times"/>
        </w:rPr>
        <w:t xml:space="preserve">to consider some other </w:t>
      </w:r>
      <w:r w:rsidR="00770D29" w:rsidRPr="006955AF">
        <w:rPr>
          <w:rFonts w:ascii="Times" w:hAnsi="Times"/>
        </w:rPr>
        <w:t xml:space="preserve">less radical </w:t>
      </w:r>
      <w:r w:rsidR="00AE364F" w:rsidRPr="006955AF">
        <w:rPr>
          <w:rFonts w:ascii="Times" w:hAnsi="Times"/>
        </w:rPr>
        <w:t>mechanisms for securing performance of the trust.</w:t>
      </w:r>
    </w:p>
    <w:p w14:paraId="12C0277B" w14:textId="30554D43" w:rsidR="00C377D7" w:rsidRPr="006955AF" w:rsidRDefault="00C377D7" w:rsidP="00A217B5">
      <w:pPr>
        <w:spacing w:line="360" w:lineRule="auto"/>
        <w:jc w:val="both"/>
        <w:rPr>
          <w:rFonts w:ascii="Times" w:hAnsi="Times"/>
        </w:rPr>
      </w:pPr>
    </w:p>
    <w:p w14:paraId="5381CE1E" w14:textId="4A3FC1DB" w:rsidR="00C377D7" w:rsidRPr="006955AF" w:rsidRDefault="00C377D7" w:rsidP="00A217B5">
      <w:pPr>
        <w:spacing w:line="360" w:lineRule="auto"/>
        <w:jc w:val="both"/>
        <w:rPr>
          <w:rFonts w:ascii="Times" w:hAnsi="Times"/>
        </w:rPr>
      </w:pPr>
      <w:r w:rsidRPr="006955AF">
        <w:rPr>
          <w:rFonts w:ascii="Times" w:hAnsi="Times"/>
        </w:rPr>
        <w:t xml:space="preserve">The least intrusive mechanisms are those outlined in the first two categories of </w:t>
      </w:r>
      <w:r w:rsidRPr="006955AF">
        <w:rPr>
          <w:rFonts w:ascii="Times" w:hAnsi="Times"/>
          <w:i/>
        </w:rPr>
        <w:t>Public Trustee v Cooper</w:t>
      </w:r>
      <w:r w:rsidRPr="006955AF">
        <w:rPr>
          <w:rFonts w:ascii="Times" w:hAnsi="Times"/>
        </w:rPr>
        <w:t>:</w:t>
      </w:r>
      <w:r w:rsidRPr="006955AF">
        <w:rPr>
          <w:rStyle w:val="FootnoteReference"/>
        </w:rPr>
        <w:footnoteReference w:id="16"/>
      </w:r>
      <w:r w:rsidRPr="006955AF">
        <w:rPr>
          <w:rFonts w:ascii="Times" w:hAnsi="Times"/>
        </w:rPr>
        <w:t xml:space="preserve">  seeking the directions of the court, either as to the extent of the trustees’ powers or as to the exercise of those powers.  To these might be</w:t>
      </w:r>
      <w:r w:rsidR="000A5B56" w:rsidRPr="006955AF">
        <w:rPr>
          <w:rFonts w:ascii="Times" w:hAnsi="Times"/>
        </w:rPr>
        <w:t xml:space="preserve"> added cases where the court </w:t>
      </w:r>
      <w:r w:rsidRPr="006955AF">
        <w:rPr>
          <w:rFonts w:ascii="Times" w:hAnsi="Times"/>
        </w:rPr>
        <w:t>rule</w:t>
      </w:r>
      <w:r w:rsidR="000A5B56" w:rsidRPr="006955AF">
        <w:rPr>
          <w:rFonts w:ascii="Times" w:hAnsi="Times"/>
        </w:rPr>
        <w:t>s</w:t>
      </w:r>
      <w:r w:rsidRPr="006955AF">
        <w:rPr>
          <w:rFonts w:ascii="Times" w:hAnsi="Times"/>
        </w:rPr>
        <w:t xml:space="preserve"> on the construction or effect of some other aspect of the terms of a trust, and </w:t>
      </w:r>
      <w:r w:rsidR="000A5B56" w:rsidRPr="006955AF">
        <w:rPr>
          <w:rFonts w:ascii="Times" w:hAnsi="Times"/>
        </w:rPr>
        <w:t xml:space="preserve">so can </w:t>
      </w:r>
      <w:r w:rsidRPr="006955AF">
        <w:rPr>
          <w:rFonts w:ascii="Times" w:hAnsi="Times"/>
        </w:rPr>
        <w:t>establish</w:t>
      </w:r>
      <w:r w:rsidR="000A5B56" w:rsidRPr="006955AF">
        <w:rPr>
          <w:rFonts w:ascii="Times" w:hAnsi="Times"/>
        </w:rPr>
        <w:t xml:space="preserve"> what </w:t>
      </w:r>
      <w:r w:rsidR="000A5B56" w:rsidRPr="006955AF">
        <w:rPr>
          <w:rFonts w:ascii="Times" w:hAnsi="Times"/>
        </w:rPr>
        <w:lastRenderedPageBreak/>
        <w:t xml:space="preserve">the trustees must </w:t>
      </w:r>
      <w:r w:rsidR="00260927" w:rsidRPr="006955AF">
        <w:rPr>
          <w:rFonts w:ascii="Times" w:hAnsi="Times"/>
        </w:rPr>
        <w:t>do, or refrain from doing.</w:t>
      </w:r>
      <w:r w:rsidR="00260927" w:rsidRPr="006955AF">
        <w:rPr>
          <w:rStyle w:val="FootnoteReference"/>
        </w:rPr>
        <w:footnoteReference w:id="17"/>
      </w:r>
      <w:r w:rsidR="00260927" w:rsidRPr="006955AF">
        <w:rPr>
          <w:rFonts w:ascii="Times" w:hAnsi="Times"/>
        </w:rPr>
        <w:t xml:space="preserve">  </w:t>
      </w:r>
      <w:r w:rsidR="003507B2">
        <w:rPr>
          <w:rFonts w:ascii="Times" w:hAnsi="Times"/>
        </w:rPr>
        <w:t>The trustees must make full disclosure to the court, but this should not be too onerous a task.</w:t>
      </w:r>
      <w:r w:rsidR="003507B2">
        <w:rPr>
          <w:rStyle w:val="FootnoteReference"/>
        </w:rPr>
        <w:footnoteReference w:id="18"/>
      </w:r>
      <w:r w:rsidR="003507B2">
        <w:rPr>
          <w:rFonts w:ascii="Times" w:hAnsi="Times"/>
        </w:rPr>
        <w:t xml:space="preserve">  </w:t>
      </w:r>
      <w:r w:rsidR="00260927" w:rsidRPr="006955AF">
        <w:rPr>
          <w:rFonts w:ascii="Times" w:hAnsi="Times"/>
        </w:rPr>
        <w:t>The</w:t>
      </w:r>
      <w:r w:rsidR="00D665C8" w:rsidRPr="006955AF">
        <w:rPr>
          <w:rFonts w:ascii="Times" w:hAnsi="Times"/>
        </w:rPr>
        <w:t xml:space="preserve"> great advantage to trustees of acting pursuant to a direction or ruling of the court is that they are absolutely protected from liability in so far as they act in accordance with the court’s order.</w:t>
      </w:r>
      <w:r w:rsidR="00D665C8" w:rsidRPr="006955AF">
        <w:rPr>
          <w:rStyle w:val="FootnoteReference"/>
        </w:rPr>
        <w:footnoteReference w:id="19"/>
      </w:r>
      <w:r w:rsidR="00D665C8" w:rsidRPr="006955AF">
        <w:rPr>
          <w:rFonts w:ascii="Times" w:hAnsi="Times"/>
        </w:rPr>
        <w:t xml:space="preserve">  As the order will almost always include liberty to apply, the trustees can make a further application to court for clarification of the order or its effects, should that be needed.</w:t>
      </w:r>
      <w:r w:rsidR="008A6BB8">
        <w:rPr>
          <w:rFonts w:ascii="Times" w:hAnsi="Times"/>
        </w:rPr>
        <w:t xml:space="preserve">  By contrast, the general declaratory jurisdiction of the court is much more limited.</w:t>
      </w:r>
      <w:r w:rsidR="008A6BB8">
        <w:rPr>
          <w:rStyle w:val="FootnoteReference"/>
        </w:rPr>
        <w:footnoteReference w:id="20"/>
      </w:r>
    </w:p>
    <w:p w14:paraId="2D3BEB06" w14:textId="5F6CB41D" w:rsidR="00A17F9E" w:rsidRPr="006955AF" w:rsidRDefault="00A17F9E" w:rsidP="00A217B5">
      <w:pPr>
        <w:spacing w:line="360" w:lineRule="auto"/>
        <w:jc w:val="both"/>
        <w:rPr>
          <w:rFonts w:ascii="Times" w:hAnsi="Times"/>
        </w:rPr>
      </w:pPr>
    </w:p>
    <w:p w14:paraId="6846A85B" w14:textId="0AFCC52E" w:rsidR="00ED4A5A" w:rsidRPr="006955AF" w:rsidRDefault="00837ECC" w:rsidP="00A217B5">
      <w:pPr>
        <w:spacing w:line="360" w:lineRule="auto"/>
        <w:jc w:val="both"/>
        <w:rPr>
          <w:rFonts w:ascii="Times" w:hAnsi="Times"/>
        </w:rPr>
      </w:pPr>
      <w:r w:rsidRPr="006955AF">
        <w:rPr>
          <w:rFonts w:ascii="Times" w:hAnsi="Times"/>
        </w:rPr>
        <w:t xml:space="preserve">The inherent administrative jurisdiction of the court can also be used to help trustees to perform the trust where they have run into practical difficulties.  For example, the court has power, </w:t>
      </w:r>
      <w:r w:rsidRPr="006955AF">
        <w:rPr>
          <w:rFonts w:ascii="Times" w:hAnsi="Times"/>
          <w:i/>
        </w:rPr>
        <w:t>inter alia</w:t>
      </w:r>
      <w:r w:rsidRPr="006955AF">
        <w:rPr>
          <w:rFonts w:ascii="Times" w:hAnsi="Times"/>
        </w:rPr>
        <w:t>, to authorise in an emergency acts of administration of the trust that are not otherwise authorised;</w:t>
      </w:r>
      <w:r w:rsidRPr="006955AF">
        <w:rPr>
          <w:rStyle w:val="FootnoteReference"/>
        </w:rPr>
        <w:footnoteReference w:id="21"/>
      </w:r>
      <w:r w:rsidRPr="006955AF">
        <w:rPr>
          <w:rFonts w:ascii="Times" w:hAnsi="Times"/>
        </w:rPr>
        <w:t xml:space="preserve"> to authorise the trustees to take court proceedings paid out of trust funds;</w:t>
      </w:r>
      <w:r w:rsidRPr="006955AF">
        <w:rPr>
          <w:rStyle w:val="FootnoteReference"/>
        </w:rPr>
        <w:footnoteReference w:id="22"/>
      </w:r>
      <w:r w:rsidRPr="006955AF">
        <w:rPr>
          <w:rFonts w:ascii="Times" w:hAnsi="Times"/>
        </w:rPr>
        <w:t xml:space="preserve"> to authorise as a matter of salvage, the expenditure of capital in keeping up the trust property, for instance by raising money on mortgage and spending it on repairs of the property to save it from ruin which would otherwise ensue;</w:t>
      </w:r>
      <w:r w:rsidRPr="006955AF">
        <w:rPr>
          <w:rStyle w:val="FootnoteReference"/>
        </w:rPr>
        <w:footnoteReference w:id="23"/>
      </w:r>
      <w:r w:rsidRPr="006955AF">
        <w:rPr>
          <w:rFonts w:ascii="Times" w:hAnsi="Times"/>
        </w:rPr>
        <w:t xml:space="preserve"> to sanction a transaction which would otherwise </w:t>
      </w:r>
      <w:r w:rsidRPr="006955AF">
        <w:rPr>
          <w:rFonts w:ascii="Times" w:hAnsi="Times"/>
        </w:rPr>
        <w:lastRenderedPageBreak/>
        <w:t>constitute a breach of the trustee’s fiduciary duty;</w:t>
      </w:r>
      <w:bookmarkStart w:id="1" w:name="_Ref421615308"/>
      <w:r w:rsidRPr="006955AF">
        <w:rPr>
          <w:rStyle w:val="FootnoteReference"/>
        </w:rPr>
        <w:footnoteReference w:id="24"/>
      </w:r>
      <w:bookmarkEnd w:id="1"/>
      <w:r w:rsidRPr="006955AF">
        <w:rPr>
          <w:rFonts w:ascii="Times" w:hAnsi="Times"/>
        </w:rPr>
        <w:t xml:space="preserve"> to authorise a trustee to charge remuneration where none is provided by the terms of the trust or to charge remuneration in excess of that provided pursuant to the trust;</w:t>
      </w:r>
      <w:r w:rsidRPr="006955AF">
        <w:rPr>
          <w:rStyle w:val="FootnoteReference"/>
        </w:rPr>
        <w:footnoteReference w:id="25"/>
      </w:r>
      <w:r w:rsidRPr="006955AF">
        <w:rPr>
          <w:rFonts w:ascii="Times" w:hAnsi="Times"/>
        </w:rPr>
        <w:t xml:space="preserve"> to authorise the maintenance of minor beneficiaries out of income directed to be accumulated, and even out of capital in some circumstances, where this course is contrary to the strict terms of the trust instrument and the statutory power of maintenance in section 31 of the Trustee Act 1925 is excluded or is otherwise not applicable;</w:t>
      </w:r>
      <w:r w:rsidRPr="006955AF">
        <w:rPr>
          <w:rStyle w:val="FootnoteReference"/>
        </w:rPr>
        <w:footnoteReference w:id="26"/>
      </w:r>
      <w:r w:rsidRPr="006955AF">
        <w:rPr>
          <w:rFonts w:ascii="Times" w:hAnsi="Times"/>
        </w:rPr>
        <w:t xml:space="preserve"> and to approve on behalf of minor, unborn and unascertained persons compromises of genuine disputes over the destination of trust property.</w:t>
      </w:r>
      <w:r w:rsidRPr="006955AF">
        <w:rPr>
          <w:rStyle w:val="FootnoteReference"/>
        </w:rPr>
        <w:footnoteReference w:id="27"/>
      </w:r>
      <w:r w:rsidRPr="006955AF">
        <w:rPr>
          <w:rFonts w:ascii="Times" w:hAnsi="Times"/>
        </w:rPr>
        <w:t xml:space="preserve"> This is not meant to be an exhaustive list of the court’s powers.  But it does illustrate their wide scope and great practical utility.  However, the court has no general inherent power to alter the terms of a trust because the court thinks it beneficial to do so.</w:t>
      </w:r>
      <w:bookmarkStart w:id="2" w:name="_Ref424309894"/>
      <w:r w:rsidRPr="006955AF">
        <w:rPr>
          <w:rStyle w:val="FootnoteReference"/>
        </w:rPr>
        <w:footnoteReference w:id="28"/>
      </w:r>
      <w:bookmarkEnd w:id="2"/>
    </w:p>
    <w:p w14:paraId="45E8C402" w14:textId="0DB45C38" w:rsidR="00ED4A5A" w:rsidRPr="006955AF" w:rsidRDefault="00ED4A5A" w:rsidP="00A217B5">
      <w:pPr>
        <w:spacing w:line="360" w:lineRule="auto"/>
        <w:jc w:val="both"/>
        <w:rPr>
          <w:rFonts w:ascii="Times" w:hAnsi="Times"/>
        </w:rPr>
      </w:pPr>
    </w:p>
    <w:p w14:paraId="26F6930E" w14:textId="29D75E12" w:rsidR="00AA447D" w:rsidRDefault="00AA447D" w:rsidP="00A217B5">
      <w:pPr>
        <w:spacing w:line="360" w:lineRule="auto"/>
        <w:jc w:val="both"/>
        <w:rPr>
          <w:rFonts w:ascii="Times" w:hAnsi="Times"/>
        </w:rPr>
      </w:pPr>
      <w:r>
        <w:rPr>
          <w:rFonts w:ascii="Times" w:hAnsi="Times"/>
        </w:rPr>
        <w:t>If the trustees cannot exercise their powers, and the assistance of the court cannot resolve that impasse, the trustees may surrender their discretion to the court, for the court to exercise it or direct its exercise.  T</w:t>
      </w:r>
      <w:r w:rsidRPr="006955AF">
        <w:rPr>
          <w:rFonts w:ascii="Times" w:hAnsi="Times"/>
        </w:rPr>
        <w:t>he court will only accept a surrender of discretion for a good reason, the most obvious good reasons being either that the trustees are deadlocked (but honestly deadlocked, so that the question cannot be resolved by removing one trustee rather than another) or because the trustees are disabled as a result of a conflict of interest</w:t>
      </w:r>
      <w:r w:rsidR="00AE04EC">
        <w:rPr>
          <w:rFonts w:ascii="Times" w:hAnsi="Times"/>
        </w:rPr>
        <w:t>, or because t</w:t>
      </w:r>
      <w:r w:rsidR="00AE04EC" w:rsidRPr="00AE04EC">
        <w:rPr>
          <w:rFonts w:ascii="Times" w:hAnsi="Times"/>
        </w:rPr>
        <w:t xml:space="preserve">he </w:t>
      </w:r>
      <w:r w:rsidR="00AE04EC" w:rsidRPr="00AE04EC">
        <w:rPr>
          <w:rFonts w:ascii="Times" w:hAnsi="Times"/>
        </w:rPr>
        <w:lastRenderedPageBreak/>
        <w:t xml:space="preserve">trustees are faced with a proposed compromise of litigation against a third party where the beneficiaries take strong and opposed views as to the merits of accepting </w:t>
      </w:r>
      <w:r w:rsidR="00AE04EC">
        <w:rPr>
          <w:rFonts w:ascii="Times" w:hAnsi="Times"/>
        </w:rPr>
        <w:t>the compromise</w:t>
      </w:r>
      <w:r>
        <w:rPr>
          <w:rFonts w:ascii="Times" w:hAnsi="Times"/>
        </w:rPr>
        <w:t>.</w:t>
      </w:r>
      <w:r>
        <w:rPr>
          <w:rStyle w:val="FootnoteReference"/>
        </w:rPr>
        <w:footnoteReference w:id="29"/>
      </w:r>
    </w:p>
    <w:p w14:paraId="729A1995" w14:textId="77777777" w:rsidR="00AA447D" w:rsidRDefault="00AA447D" w:rsidP="00A217B5">
      <w:pPr>
        <w:spacing w:line="360" w:lineRule="auto"/>
        <w:jc w:val="both"/>
        <w:rPr>
          <w:rFonts w:ascii="Times" w:hAnsi="Times"/>
        </w:rPr>
      </w:pPr>
    </w:p>
    <w:p w14:paraId="41AD190D" w14:textId="1968BA43" w:rsidR="00AE364F" w:rsidRPr="006955AF" w:rsidRDefault="00837ECC" w:rsidP="00A217B5">
      <w:pPr>
        <w:spacing w:line="360" w:lineRule="auto"/>
        <w:jc w:val="both"/>
        <w:rPr>
          <w:rFonts w:ascii="Times" w:hAnsi="Times"/>
        </w:rPr>
      </w:pPr>
      <w:r w:rsidRPr="006955AF">
        <w:rPr>
          <w:rFonts w:ascii="Times" w:hAnsi="Times"/>
        </w:rPr>
        <w:t>Another,</w:t>
      </w:r>
      <w:r w:rsidR="00F91563">
        <w:rPr>
          <w:rFonts w:ascii="Times" w:hAnsi="Times"/>
        </w:rPr>
        <w:t xml:space="preserve"> </w:t>
      </w:r>
      <w:r w:rsidR="00356C3C" w:rsidRPr="006955AF">
        <w:rPr>
          <w:rFonts w:ascii="Times" w:hAnsi="Times"/>
        </w:rPr>
        <w:t>very rare</w:t>
      </w:r>
      <w:r w:rsidR="000B46BD" w:rsidRPr="006955AF">
        <w:rPr>
          <w:rFonts w:ascii="Times" w:hAnsi="Times"/>
        </w:rPr>
        <w:t>ly used</w:t>
      </w:r>
      <w:r w:rsidRPr="006955AF">
        <w:rPr>
          <w:rFonts w:ascii="Times" w:hAnsi="Times"/>
        </w:rPr>
        <w:t xml:space="preserve">, means to promote due administration of a trust </w:t>
      </w:r>
      <w:r w:rsidR="00356C3C" w:rsidRPr="006955AF">
        <w:rPr>
          <w:rFonts w:ascii="Times" w:hAnsi="Times"/>
        </w:rPr>
        <w:t xml:space="preserve">is the </w:t>
      </w:r>
      <w:r w:rsidRPr="006955AF">
        <w:rPr>
          <w:rFonts w:ascii="Times" w:hAnsi="Times"/>
        </w:rPr>
        <w:t>right</w:t>
      </w:r>
      <w:r w:rsidR="00356C3C" w:rsidRPr="006955AF">
        <w:rPr>
          <w:rFonts w:ascii="Times" w:hAnsi="Times"/>
        </w:rPr>
        <w:t xml:space="preserve"> of beneficia</w:t>
      </w:r>
      <w:r w:rsidR="000B46BD" w:rsidRPr="006955AF">
        <w:rPr>
          <w:rFonts w:ascii="Times" w:hAnsi="Times"/>
        </w:rPr>
        <w:t xml:space="preserve">ries or trustees to seek an official audit of the trust, either by a solicitor or </w:t>
      </w:r>
      <w:r w:rsidR="0064468C">
        <w:rPr>
          <w:rFonts w:ascii="Times" w:hAnsi="Times"/>
        </w:rPr>
        <w:t xml:space="preserve">an </w:t>
      </w:r>
      <w:r w:rsidR="000B46BD" w:rsidRPr="006955AF">
        <w:rPr>
          <w:rFonts w:ascii="Times" w:hAnsi="Times"/>
        </w:rPr>
        <w:t>accountant agreed on by the applicants and the trustees, or, in default, by the Public Trustee or some person appointed by the Public Trustee.</w:t>
      </w:r>
      <w:r w:rsidR="000B46BD" w:rsidRPr="006955AF">
        <w:rPr>
          <w:rStyle w:val="FootnoteReference"/>
        </w:rPr>
        <w:footnoteReference w:id="30"/>
      </w:r>
      <w:r w:rsidR="000B46BD" w:rsidRPr="006955AF">
        <w:rPr>
          <w:rFonts w:ascii="Times" w:hAnsi="Times"/>
        </w:rPr>
        <w:t xml:space="preserve">  This right might well promote due performance of the trust, but it is of less practical utility than might first appear:  there are no provisions to enforce action that is shown to be appropriate following the taking of these accounts.  Consequently, this right has been used only rarely, an</w:t>
      </w:r>
      <w:r w:rsidR="000B316F" w:rsidRPr="006955AF">
        <w:rPr>
          <w:rFonts w:ascii="Times" w:hAnsi="Times"/>
        </w:rPr>
        <w:t>d the Law Reform Commi</w:t>
      </w:r>
      <w:r w:rsidR="00E64460">
        <w:rPr>
          <w:rFonts w:ascii="Times" w:hAnsi="Times"/>
        </w:rPr>
        <w:t>ttee</w:t>
      </w:r>
      <w:r w:rsidR="000B316F" w:rsidRPr="006955AF">
        <w:rPr>
          <w:rFonts w:ascii="Times" w:hAnsi="Times"/>
        </w:rPr>
        <w:t xml:space="preserve"> </w:t>
      </w:r>
      <w:r w:rsidR="000B46BD" w:rsidRPr="006955AF">
        <w:rPr>
          <w:rFonts w:ascii="Times" w:hAnsi="Times"/>
        </w:rPr>
        <w:t>accordingly recommended repeal of the legislation which established it.</w:t>
      </w:r>
      <w:r w:rsidR="000B46BD" w:rsidRPr="006955AF">
        <w:rPr>
          <w:rStyle w:val="FootnoteReference"/>
        </w:rPr>
        <w:footnoteReference w:id="31"/>
      </w:r>
    </w:p>
    <w:p w14:paraId="4C0468E2" w14:textId="48745444" w:rsidR="000B46BD" w:rsidRPr="006955AF" w:rsidRDefault="000B46BD" w:rsidP="00A217B5">
      <w:pPr>
        <w:spacing w:line="360" w:lineRule="auto"/>
        <w:jc w:val="both"/>
        <w:rPr>
          <w:rFonts w:ascii="Times" w:hAnsi="Times"/>
        </w:rPr>
      </w:pPr>
    </w:p>
    <w:p w14:paraId="74BAC208" w14:textId="4ECB2E77" w:rsidR="00694664" w:rsidRPr="006955AF" w:rsidRDefault="0069136E" w:rsidP="00A217B5">
      <w:pPr>
        <w:spacing w:line="360" w:lineRule="auto"/>
        <w:jc w:val="both"/>
        <w:rPr>
          <w:rFonts w:ascii="Times" w:hAnsi="Times"/>
        </w:rPr>
      </w:pPr>
      <w:r>
        <w:rPr>
          <w:rFonts w:ascii="Times" w:hAnsi="Times"/>
        </w:rPr>
        <w:t>M</w:t>
      </w:r>
      <w:r w:rsidR="000B46BD" w:rsidRPr="006955AF">
        <w:rPr>
          <w:rFonts w:ascii="Times" w:hAnsi="Times"/>
        </w:rPr>
        <w:t>uch more important is the power of the court, both inherent and statutory</w:t>
      </w:r>
      <w:r w:rsidR="000B316F" w:rsidRPr="006955AF">
        <w:rPr>
          <w:rFonts w:ascii="Times" w:hAnsi="Times"/>
        </w:rPr>
        <w:t>,</w:t>
      </w:r>
      <w:r w:rsidR="000B46BD" w:rsidRPr="006955AF">
        <w:rPr>
          <w:rFonts w:ascii="Times" w:hAnsi="Times"/>
        </w:rPr>
        <w:t xml:space="preserve"> to remove </w:t>
      </w:r>
      <w:r w:rsidR="00ED4A5A" w:rsidRPr="006955AF">
        <w:rPr>
          <w:rFonts w:ascii="Times" w:hAnsi="Times"/>
        </w:rPr>
        <w:t xml:space="preserve">current </w:t>
      </w:r>
      <w:r w:rsidR="000B46BD" w:rsidRPr="006955AF">
        <w:rPr>
          <w:rFonts w:ascii="Times" w:hAnsi="Times"/>
        </w:rPr>
        <w:t>trustees and to appoint new trustees.</w:t>
      </w:r>
      <w:r w:rsidR="00893ECD" w:rsidRPr="006955AF">
        <w:rPr>
          <w:rStyle w:val="FootnoteReference"/>
        </w:rPr>
        <w:footnoteReference w:id="32"/>
      </w:r>
      <w:r w:rsidR="00ED4A5A" w:rsidRPr="006955AF">
        <w:rPr>
          <w:rFonts w:ascii="Times" w:hAnsi="Times"/>
        </w:rPr>
        <w:t xml:space="preserve">  This power self-evidently promotes due performance of the trust.  If there is some reason why the current trustees of a trust cannot perform the trust, whether or not that is the trustees’ fault, the court can supply new people who will perform the trust.    In many – perhaps most – cases, the removal of trustees who are, in some sense, problematic, and their replacement with able and willing new trustees, will be the quickest and simplest method </w:t>
      </w:r>
      <w:r w:rsidR="00F91563">
        <w:rPr>
          <w:rFonts w:ascii="Times" w:hAnsi="Times"/>
        </w:rPr>
        <w:t xml:space="preserve">of </w:t>
      </w:r>
      <w:r w:rsidR="00ED4A5A" w:rsidRPr="006955AF">
        <w:rPr>
          <w:rFonts w:ascii="Times" w:hAnsi="Times"/>
        </w:rPr>
        <w:t>restor</w:t>
      </w:r>
      <w:r w:rsidR="00F91563">
        <w:rPr>
          <w:rFonts w:ascii="Times" w:hAnsi="Times"/>
        </w:rPr>
        <w:t>ing</w:t>
      </w:r>
      <w:r w:rsidR="00ED4A5A" w:rsidRPr="006955AF">
        <w:rPr>
          <w:rFonts w:ascii="Times" w:hAnsi="Times"/>
        </w:rPr>
        <w:t xml:space="preserve"> due administration of the trust.</w:t>
      </w:r>
      <w:r w:rsidR="00694664" w:rsidRPr="006955AF">
        <w:rPr>
          <w:rFonts w:ascii="Times" w:hAnsi="Times"/>
        </w:rPr>
        <w:t xml:space="preserve">  The appointment of new trustees might involve appointment of a judicial trustee,</w:t>
      </w:r>
      <w:r w:rsidR="000C2C43" w:rsidRPr="006955AF">
        <w:rPr>
          <w:rStyle w:val="FootnoteReference"/>
        </w:rPr>
        <w:footnoteReference w:id="33"/>
      </w:r>
      <w:r w:rsidR="00694664" w:rsidRPr="006955AF">
        <w:rPr>
          <w:rFonts w:ascii="Times" w:hAnsi="Times"/>
        </w:rPr>
        <w:t xml:space="preserve"> or the appointment of the Public Trustee,</w:t>
      </w:r>
      <w:r w:rsidR="00636C5D" w:rsidRPr="006955AF">
        <w:rPr>
          <w:rStyle w:val="FootnoteReference"/>
        </w:rPr>
        <w:footnoteReference w:id="34"/>
      </w:r>
      <w:r w:rsidR="00694664" w:rsidRPr="006955AF">
        <w:rPr>
          <w:rFonts w:ascii="Times" w:hAnsi="Times"/>
        </w:rPr>
        <w:t xml:space="preserve"> though in the interests of brevity nothing more will be said of these more specific options:  they </w:t>
      </w:r>
      <w:r w:rsidR="00694664" w:rsidRPr="006955AF">
        <w:rPr>
          <w:rFonts w:ascii="Times" w:hAnsi="Times"/>
        </w:rPr>
        <w:lastRenderedPageBreak/>
        <w:t xml:space="preserve">still involve the appointment of a new trustee to </w:t>
      </w:r>
      <w:r w:rsidR="00C37538" w:rsidRPr="006955AF">
        <w:rPr>
          <w:rFonts w:ascii="Times" w:hAnsi="Times"/>
        </w:rPr>
        <w:t xml:space="preserve">facilitate and </w:t>
      </w:r>
      <w:r w:rsidR="00694664" w:rsidRPr="006955AF">
        <w:rPr>
          <w:rFonts w:ascii="Times" w:hAnsi="Times"/>
        </w:rPr>
        <w:t>promote the due performance of the trust in question.</w:t>
      </w:r>
    </w:p>
    <w:p w14:paraId="5D5DAE82" w14:textId="6DFC9F85" w:rsidR="00F0768B" w:rsidRPr="006955AF" w:rsidRDefault="00F0768B" w:rsidP="00A217B5">
      <w:pPr>
        <w:spacing w:line="360" w:lineRule="auto"/>
        <w:jc w:val="both"/>
        <w:rPr>
          <w:rFonts w:ascii="Times" w:hAnsi="Times"/>
        </w:rPr>
      </w:pPr>
    </w:p>
    <w:p w14:paraId="0F80998C" w14:textId="270E3DB6" w:rsidR="00F0768B" w:rsidRPr="006955AF" w:rsidRDefault="00F0768B" w:rsidP="00A217B5">
      <w:pPr>
        <w:spacing w:line="360" w:lineRule="auto"/>
        <w:jc w:val="both"/>
        <w:rPr>
          <w:rFonts w:ascii="Times" w:hAnsi="Times"/>
        </w:rPr>
      </w:pPr>
      <w:r w:rsidRPr="006955AF">
        <w:rPr>
          <w:rFonts w:ascii="Times" w:hAnsi="Times"/>
        </w:rPr>
        <w:t>Injunctions will issue against a trustee who has acted, or threatens to act, in breach of trust.</w:t>
      </w:r>
      <w:r w:rsidR="00662E06" w:rsidRPr="006955AF">
        <w:rPr>
          <w:rStyle w:val="FootnoteReference"/>
        </w:rPr>
        <w:footnoteReference w:id="35"/>
      </w:r>
      <w:r w:rsidRPr="006955AF">
        <w:rPr>
          <w:rFonts w:ascii="Times" w:hAnsi="Times"/>
        </w:rPr>
        <w:t xml:space="preserve">  </w:t>
      </w:r>
      <w:r w:rsidR="000E2DC2" w:rsidRPr="006955AF">
        <w:rPr>
          <w:rFonts w:ascii="Times" w:hAnsi="Times"/>
        </w:rPr>
        <w:t xml:space="preserve">Most commonly, an injunction would be an interim injunction, because the appointment of </w:t>
      </w:r>
      <w:r w:rsidR="00662E06" w:rsidRPr="006955AF">
        <w:rPr>
          <w:rFonts w:ascii="Times" w:hAnsi="Times"/>
        </w:rPr>
        <w:t xml:space="preserve">a receiver and/or the appointment of </w:t>
      </w:r>
      <w:r w:rsidR="000E2DC2" w:rsidRPr="006955AF">
        <w:rPr>
          <w:rFonts w:ascii="Times" w:hAnsi="Times"/>
        </w:rPr>
        <w:t>new trustees</w:t>
      </w:r>
      <w:r w:rsidR="00662E06" w:rsidRPr="006955AF">
        <w:rPr>
          <w:rFonts w:ascii="Times" w:hAnsi="Times"/>
        </w:rPr>
        <w:t xml:space="preserve"> is a more effective way of securing due performance of the trust in the longer term than a court order directed towards miscreants or those who threaten to do wrong.</w:t>
      </w:r>
      <w:r w:rsidR="00662E06" w:rsidRPr="006955AF">
        <w:rPr>
          <w:rStyle w:val="FootnoteReference"/>
        </w:rPr>
        <w:footnoteReference w:id="36"/>
      </w:r>
      <w:r w:rsidR="00662E06" w:rsidRPr="006955AF">
        <w:rPr>
          <w:rFonts w:ascii="Times" w:hAnsi="Times"/>
        </w:rPr>
        <w:t xml:space="preserve">  But in appropriate circumstances, such as stopping an improper sale by trustees, a permanent injunction may issue.</w:t>
      </w:r>
      <w:r w:rsidR="00662E06" w:rsidRPr="006955AF">
        <w:rPr>
          <w:rStyle w:val="FootnoteReference"/>
        </w:rPr>
        <w:footnoteReference w:id="37"/>
      </w:r>
    </w:p>
    <w:p w14:paraId="0655C552" w14:textId="77777777" w:rsidR="00694664" w:rsidRPr="006955AF" w:rsidRDefault="00694664" w:rsidP="00A217B5">
      <w:pPr>
        <w:spacing w:line="360" w:lineRule="auto"/>
        <w:jc w:val="both"/>
        <w:rPr>
          <w:rFonts w:ascii="Times" w:hAnsi="Times"/>
        </w:rPr>
      </w:pPr>
    </w:p>
    <w:p w14:paraId="4A0317ED" w14:textId="2B4C887A" w:rsidR="00CD6978" w:rsidRPr="006955AF" w:rsidRDefault="00C37538" w:rsidP="00A217B5">
      <w:pPr>
        <w:spacing w:line="360" w:lineRule="auto"/>
        <w:jc w:val="both"/>
        <w:rPr>
          <w:rFonts w:ascii="Times" w:hAnsi="Times"/>
        </w:rPr>
      </w:pPr>
      <w:r w:rsidRPr="006955AF">
        <w:rPr>
          <w:rFonts w:ascii="Times" w:hAnsi="Times"/>
        </w:rPr>
        <w:t>The last means of procuring the administration of a trust is the most intrusive and profound:  the administration of the trust by the court itself</w:t>
      </w:r>
      <w:r w:rsidR="00CD6978" w:rsidRPr="006955AF">
        <w:rPr>
          <w:rFonts w:ascii="Times" w:hAnsi="Times"/>
        </w:rPr>
        <w:t xml:space="preserve"> in exercise of its inherent administrative jurisdiction over trusts</w:t>
      </w:r>
      <w:r w:rsidRPr="006955AF">
        <w:rPr>
          <w:rFonts w:ascii="Times" w:hAnsi="Times"/>
        </w:rPr>
        <w:t>.</w:t>
      </w:r>
      <w:r w:rsidRPr="006955AF">
        <w:rPr>
          <w:rStyle w:val="FootnoteReference"/>
        </w:rPr>
        <w:footnoteReference w:id="38"/>
      </w:r>
      <w:r w:rsidRPr="006955AF">
        <w:rPr>
          <w:rFonts w:ascii="Times" w:hAnsi="Times"/>
        </w:rPr>
        <w:t xml:space="preserve">  The state, through its courts, will, </w:t>
      </w:r>
      <w:r w:rsidRPr="006955AF">
        <w:rPr>
          <w:rFonts w:ascii="Times" w:hAnsi="Times"/>
          <w:i/>
        </w:rPr>
        <w:t>in extremis</w:t>
      </w:r>
      <w:r w:rsidRPr="006955AF">
        <w:rPr>
          <w:rFonts w:ascii="Times" w:hAnsi="Times"/>
        </w:rPr>
        <w:t>, ensure that the trust is performed</w:t>
      </w:r>
      <w:r w:rsidR="00B85FBD" w:rsidRPr="006955AF">
        <w:rPr>
          <w:rFonts w:ascii="Times" w:hAnsi="Times"/>
        </w:rPr>
        <w:t xml:space="preserve">.  In other words, </w:t>
      </w:r>
      <w:r w:rsidRPr="006955AF">
        <w:rPr>
          <w:rFonts w:ascii="Times" w:hAnsi="Times"/>
        </w:rPr>
        <w:t xml:space="preserve">performance of the trust is back-stopped by institutions that form the very </w:t>
      </w:r>
      <w:r w:rsidR="00CD6978" w:rsidRPr="006955AF">
        <w:rPr>
          <w:rFonts w:ascii="Times" w:hAnsi="Times"/>
        </w:rPr>
        <w:t>bedrock of the legal order.  This jurisdiction of the court in relation to trusts is ancient and well attested.</w:t>
      </w:r>
      <w:r w:rsidR="00CD6978" w:rsidRPr="006955AF">
        <w:rPr>
          <w:rStyle w:val="FootnoteReference"/>
        </w:rPr>
        <w:footnoteReference w:id="39"/>
      </w:r>
    </w:p>
    <w:p w14:paraId="1B1CFB8C" w14:textId="38BFF547" w:rsidR="00CD6978" w:rsidRPr="006955AF" w:rsidRDefault="00CD6978" w:rsidP="00A217B5">
      <w:pPr>
        <w:spacing w:line="360" w:lineRule="auto"/>
        <w:jc w:val="both"/>
        <w:rPr>
          <w:rFonts w:ascii="Times" w:hAnsi="Times"/>
        </w:rPr>
      </w:pPr>
    </w:p>
    <w:p w14:paraId="28B13BC7" w14:textId="5E2A78E4" w:rsidR="002B64D9" w:rsidRPr="006955AF" w:rsidRDefault="0096124E" w:rsidP="00A217B5">
      <w:pPr>
        <w:spacing w:line="360" w:lineRule="auto"/>
        <w:jc w:val="both"/>
        <w:rPr>
          <w:rFonts w:ascii="Times" w:hAnsi="Times"/>
        </w:rPr>
      </w:pPr>
      <w:r w:rsidRPr="006955AF">
        <w:rPr>
          <w:rFonts w:ascii="Times" w:hAnsi="Times"/>
        </w:rPr>
        <w:t xml:space="preserve">Of course, </w:t>
      </w:r>
      <w:r w:rsidR="002B64D9" w:rsidRPr="006955AF">
        <w:rPr>
          <w:rFonts w:ascii="Times" w:hAnsi="Times"/>
        </w:rPr>
        <w:t>the court will not administer each and every trust:  that would manifestly be beyond the ability of any organ of state unless absurd resources were put at its disposal.  This jurisdict</w:t>
      </w:r>
      <w:r w:rsidR="006C0C8E" w:rsidRPr="006955AF">
        <w:rPr>
          <w:rFonts w:ascii="Times" w:hAnsi="Times"/>
        </w:rPr>
        <w:t xml:space="preserve">ion of the court is a back-stop, a last resort.  The </w:t>
      </w:r>
      <w:r w:rsidR="00B85FBD" w:rsidRPr="006955AF">
        <w:rPr>
          <w:rFonts w:ascii="Times" w:hAnsi="Times"/>
        </w:rPr>
        <w:t xml:space="preserve">current </w:t>
      </w:r>
      <w:r w:rsidR="006C0C8E" w:rsidRPr="006955AF">
        <w:rPr>
          <w:rFonts w:ascii="Times" w:hAnsi="Times"/>
        </w:rPr>
        <w:t xml:space="preserve">principles upon which the court will accede to a request that it take on the general administration of a trust were discussed </w:t>
      </w:r>
      <w:r w:rsidR="006C0C8E" w:rsidRPr="006955AF">
        <w:rPr>
          <w:rFonts w:ascii="Times" w:hAnsi="Times"/>
        </w:rPr>
        <w:lastRenderedPageBreak/>
        <w:t xml:space="preserve">in </w:t>
      </w:r>
      <w:r w:rsidR="006C0C8E" w:rsidRPr="006955AF">
        <w:rPr>
          <w:rFonts w:ascii="Times" w:hAnsi="Times"/>
          <w:i/>
        </w:rPr>
        <w:t>Re Wilson</w:t>
      </w:r>
      <w:r w:rsidR="006C0C8E" w:rsidRPr="006955AF">
        <w:rPr>
          <w:rStyle w:val="FootnoteReference"/>
        </w:rPr>
        <w:footnoteReference w:id="40"/>
      </w:r>
      <w:r w:rsidR="006C0C8E" w:rsidRPr="006955AF">
        <w:rPr>
          <w:rFonts w:ascii="Times" w:hAnsi="Times"/>
        </w:rPr>
        <w:t xml:space="preserve"> and </w:t>
      </w:r>
      <w:r w:rsidR="006C0C8E" w:rsidRPr="006955AF">
        <w:rPr>
          <w:rFonts w:ascii="Times" w:hAnsi="Times"/>
          <w:i/>
        </w:rPr>
        <w:t>Re Blake</w:t>
      </w:r>
      <w:r w:rsidR="006C0C8E" w:rsidRPr="006955AF">
        <w:rPr>
          <w:rFonts w:ascii="Times" w:hAnsi="Times"/>
        </w:rPr>
        <w:t>.</w:t>
      </w:r>
      <w:r w:rsidR="006C0C8E" w:rsidRPr="006955AF">
        <w:rPr>
          <w:rStyle w:val="FootnoteReference"/>
        </w:rPr>
        <w:footnoteReference w:id="41"/>
      </w:r>
      <w:r w:rsidR="006C0C8E" w:rsidRPr="006955AF">
        <w:rPr>
          <w:rFonts w:ascii="Times" w:hAnsi="Times"/>
        </w:rPr>
        <w:t xml:space="preserve">  These cases were decided</w:t>
      </w:r>
      <w:r w:rsidR="00B85FBD" w:rsidRPr="006955AF">
        <w:rPr>
          <w:rFonts w:ascii="Times" w:hAnsi="Times"/>
        </w:rPr>
        <w:t>, and the principles were established,</w:t>
      </w:r>
      <w:r w:rsidR="006C0C8E" w:rsidRPr="006955AF">
        <w:rPr>
          <w:rFonts w:ascii="Times" w:hAnsi="Times"/>
        </w:rPr>
        <w:t xml:space="preserve"> after the introduction of less </w:t>
      </w:r>
      <w:r w:rsidR="00B85FBD" w:rsidRPr="006955AF">
        <w:rPr>
          <w:rFonts w:ascii="Times" w:hAnsi="Times"/>
        </w:rPr>
        <w:t>intrusive mechanisms to facilitate the performance of trusts (</w:t>
      </w:r>
      <w:r w:rsidR="006C0C8E" w:rsidRPr="006955AF">
        <w:rPr>
          <w:rFonts w:ascii="Times" w:hAnsi="Times"/>
        </w:rPr>
        <w:t>such as the ability of trustees and beneficiaries to seek the court’s directions</w:t>
      </w:r>
      <w:r w:rsidR="00B85FBD" w:rsidRPr="006955AF">
        <w:rPr>
          <w:rFonts w:ascii="Times" w:hAnsi="Times"/>
        </w:rPr>
        <w:t>)</w:t>
      </w:r>
      <w:r w:rsidR="007D2176">
        <w:rPr>
          <w:rFonts w:ascii="Times" w:hAnsi="Times"/>
        </w:rPr>
        <w:t>,</w:t>
      </w:r>
      <w:r w:rsidR="006C0C8E" w:rsidRPr="006955AF">
        <w:rPr>
          <w:rStyle w:val="FootnoteReference"/>
        </w:rPr>
        <w:footnoteReference w:id="42"/>
      </w:r>
      <w:r w:rsidR="00B85FBD" w:rsidRPr="006955AF">
        <w:rPr>
          <w:rFonts w:ascii="Times" w:hAnsi="Times"/>
        </w:rPr>
        <w:t xml:space="preserve"> which should nowadays r</w:t>
      </w:r>
      <w:r w:rsidR="006C0C8E" w:rsidRPr="006955AF">
        <w:rPr>
          <w:rFonts w:ascii="Times" w:hAnsi="Times"/>
        </w:rPr>
        <w:t xml:space="preserve">esolve the vast majority of cases </w:t>
      </w:r>
      <w:r w:rsidR="00F91563">
        <w:rPr>
          <w:rFonts w:ascii="Times" w:hAnsi="Times"/>
        </w:rPr>
        <w:t>in which</w:t>
      </w:r>
      <w:r w:rsidR="006C0C8E" w:rsidRPr="006955AF">
        <w:rPr>
          <w:rFonts w:ascii="Times" w:hAnsi="Times"/>
        </w:rPr>
        <w:t xml:space="preserve"> the due administration of a trust has encountered problems.</w:t>
      </w:r>
      <w:r w:rsidR="00EA7757" w:rsidRPr="006955AF">
        <w:rPr>
          <w:rFonts w:ascii="Times" w:hAnsi="Times"/>
        </w:rPr>
        <w:t xml:space="preserve">  So</w:t>
      </w:r>
      <w:r w:rsidR="00B85FBD" w:rsidRPr="006955AF">
        <w:rPr>
          <w:rFonts w:ascii="Times" w:hAnsi="Times"/>
        </w:rPr>
        <w:t xml:space="preserve"> presently </w:t>
      </w:r>
      <w:r w:rsidR="00EA7757" w:rsidRPr="006955AF">
        <w:rPr>
          <w:rFonts w:ascii="Times" w:hAnsi="Times"/>
        </w:rPr>
        <w:t>the court is likely only to take on the administration of a trust in rare cases, even though it is quite common to include a claim for general administration by the court in many cases where trustees and beneficiaries seek the assistance of the court in the administration of the trust.</w:t>
      </w:r>
      <w:r w:rsidR="00EA7757" w:rsidRPr="006955AF">
        <w:rPr>
          <w:rStyle w:val="FootnoteReference"/>
        </w:rPr>
        <w:footnoteReference w:id="43"/>
      </w:r>
    </w:p>
    <w:p w14:paraId="4EDFAAAF" w14:textId="75A3D902" w:rsidR="002B64D9" w:rsidRPr="006955AF" w:rsidRDefault="002B64D9" w:rsidP="00A217B5">
      <w:pPr>
        <w:spacing w:line="360" w:lineRule="auto"/>
        <w:jc w:val="both"/>
        <w:rPr>
          <w:rFonts w:ascii="Times" w:hAnsi="Times"/>
        </w:rPr>
      </w:pPr>
    </w:p>
    <w:p w14:paraId="29C90EF9" w14:textId="1A86724D" w:rsidR="002B64D9" w:rsidRPr="006955AF" w:rsidRDefault="00334EB4" w:rsidP="00A217B5">
      <w:pPr>
        <w:spacing w:line="360" w:lineRule="auto"/>
        <w:jc w:val="both"/>
        <w:rPr>
          <w:rFonts w:ascii="Times" w:hAnsi="Times"/>
        </w:rPr>
      </w:pPr>
      <w:r w:rsidRPr="006955AF">
        <w:rPr>
          <w:rFonts w:ascii="Times" w:hAnsi="Times"/>
        </w:rPr>
        <w:t>In summary, there are substantial structural mechanisms to promote and procure due performance of a trust</w:t>
      </w:r>
      <w:r w:rsidR="006B17B1" w:rsidRPr="006955AF">
        <w:rPr>
          <w:rFonts w:ascii="Times" w:hAnsi="Times"/>
        </w:rPr>
        <w:t>:  the</w:t>
      </w:r>
      <w:r w:rsidR="00E52C1A" w:rsidRPr="006955AF">
        <w:rPr>
          <w:rFonts w:ascii="Times" w:hAnsi="Times"/>
        </w:rPr>
        <w:t xml:space="preserve"> commitment </w:t>
      </w:r>
      <w:r w:rsidR="006B17B1" w:rsidRPr="006955AF">
        <w:rPr>
          <w:rFonts w:ascii="Times" w:hAnsi="Times"/>
        </w:rPr>
        <w:t xml:space="preserve">of equity </w:t>
      </w:r>
      <w:r w:rsidR="00E52C1A" w:rsidRPr="006955AF">
        <w:rPr>
          <w:rFonts w:ascii="Times" w:hAnsi="Times"/>
        </w:rPr>
        <w:t xml:space="preserve">to </w:t>
      </w:r>
      <w:r w:rsidR="006B17B1" w:rsidRPr="006955AF">
        <w:rPr>
          <w:rFonts w:ascii="Times" w:hAnsi="Times"/>
        </w:rPr>
        <w:t xml:space="preserve">the </w:t>
      </w:r>
      <w:r w:rsidR="00E52C1A" w:rsidRPr="006955AF">
        <w:rPr>
          <w:rFonts w:ascii="Times" w:hAnsi="Times"/>
        </w:rPr>
        <w:t>performance</w:t>
      </w:r>
      <w:r w:rsidR="006B17B1" w:rsidRPr="006955AF">
        <w:rPr>
          <w:rFonts w:ascii="Times" w:hAnsi="Times"/>
        </w:rPr>
        <w:t xml:space="preserve"> of a trust</w:t>
      </w:r>
      <w:r w:rsidR="00E52C1A" w:rsidRPr="006955AF">
        <w:rPr>
          <w:rFonts w:ascii="Times" w:hAnsi="Times"/>
        </w:rPr>
        <w:t xml:space="preserve">, rather than </w:t>
      </w:r>
      <w:r w:rsidR="00E4687A" w:rsidRPr="006955AF">
        <w:rPr>
          <w:rFonts w:ascii="Times" w:hAnsi="Times"/>
        </w:rPr>
        <w:t xml:space="preserve">compensation </w:t>
      </w:r>
      <w:r w:rsidR="00E52C1A" w:rsidRPr="006955AF">
        <w:rPr>
          <w:rFonts w:ascii="Times" w:hAnsi="Times"/>
        </w:rPr>
        <w:t>in lieu of performance, is a great deal more than rhetoric.  It involves a graduated series of possible responses</w:t>
      </w:r>
      <w:r w:rsidR="00C06E60" w:rsidRPr="006955AF">
        <w:rPr>
          <w:rFonts w:ascii="Times" w:hAnsi="Times"/>
        </w:rPr>
        <w:t xml:space="preserve"> to a problem or breakdown in the administration of a trust</w:t>
      </w:r>
      <w:r w:rsidR="00E52C1A" w:rsidRPr="006955AF">
        <w:rPr>
          <w:rFonts w:ascii="Times" w:hAnsi="Times"/>
        </w:rPr>
        <w:t xml:space="preserve">, culminating in </w:t>
      </w:r>
      <w:r w:rsidR="00C06E60" w:rsidRPr="006955AF">
        <w:rPr>
          <w:rFonts w:ascii="Times" w:hAnsi="Times"/>
        </w:rPr>
        <w:t xml:space="preserve">the involvement of the state itself, through the courts, in the administration of a trust.  That is the greatest commitment a legal order can give:  if the state, having offered itself as the ultimate means of performing a trust, cannot then procure performance, there is nothing more that </w:t>
      </w:r>
      <w:r w:rsidR="006B17B1" w:rsidRPr="006955AF">
        <w:rPr>
          <w:rFonts w:ascii="Times" w:hAnsi="Times"/>
        </w:rPr>
        <w:t xml:space="preserve">a </w:t>
      </w:r>
      <w:r w:rsidR="00C06E60" w:rsidRPr="006955AF">
        <w:rPr>
          <w:rFonts w:ascii="Times" w:hAnsi="Times"/>
        </w:rPr>
        <w:t>legal system can do</w:t>
      </w:r>
      <w:r w:rsidRPr="006955AF">
        <w:rPr>
          <w:rFonts w:ascii="Times" w:hAnsi="Times"/>
        </w:rPr>
        <w:t>.</w:t>
      </w:r>
      <w:r w:rsidR="00A12632" w:rsidRPr="006955AF">
        <w:rPr>
          <w:rFonts w:ascii="Times" w:hAnsi="Times"/>
        </w:rPr>
        <w:t xml:space="preserve">  </w:t>
      </w:r>
      <w:r w:rsidR="00C06E60" w:rsidRPr="006955AF">
        <w:rPr>
          <w:rFonts w:ascii="Times" w:hAnsi="Times"/>
        </w:rPr>
        <w:t>This commitment to the performance of trusts stands in stark contrast to the law’s attitude to the performance of contracts</w:t>
      </w:r>
      <w:r w:rsidR="00A12632" w:rsidRPr="006955AF">
        <w:rPr>
          <w:rFonts w:ascii="Times" w:hAnsi="Times"/>
        </w:rPr>
        <w:t xml:space="preserve">, something examined in Part </w:t>
      </w:r>
      <w:r w:rsidR="003529B6">
        <w:rPr>
          <w:rFonts w:ascii="Times" w:hAnsi="Times"/>
        </w:rPr>
        <w:t>Five</w:t>
      </w:r>
      <w:r w:rsidR="00CC253D" w:rsidRPr="006955AF">
        <w:rPr>
          <w:rFonts w:ascii="Times" w:hAnsi="Times"/>
        </w:rPr>
        <w:t xml:space="preserve"> </w:t>
      </w:r>
      <w:r w:rsidR="00A12632" w:rsidRPr="006955AF">
        <w:rPr>
          <w:rFonts w:ascii="Times" w:hAnsi="Times"/>
        </w:rPr>
        <w:t>below.</w:t>
      </w:r>
    </w:p>
    <w:p w14:paraId="74C26D95" w14:textId="61F2EFCD" w:rsidR="002F79F5" w:rsidRPr="006955AF" w:rsidRDefault="002F79F5" w:rsidP="00A217B5">
      <w:pPr>
        <w:spacing w:line="360" w:lineRule="auto"/>
        <w:jc w:val="both"/>
        <w:rPr>
          <w:rFonts w:ascii="Times" w:hAnsi="Times"/>
        </w:rPr>
      </w:pPr>
    </w:p>
    <w:p w14:paraId="263D4C01" w14:textId="5201A91C" w:rsidR="00585453" w:rsidRPr="00FE2069" w:rsidRDefault="002F79F5" w:rsidP="00A217B5">
      <w:pPr>
        <w:pStyle w:val="ListParagraph"/>
        <w:numPr>
          <w:ilvl w:val="0"/>
          <w:numId w:val="6"/>
        </w:numPr>
        <w:spacing w:line="360" w:lineRule="auto"/>
        <w:jc w:val="both"/>
        <w:rPr>
          <w:rFonts w:ascii="Times" w:hAnsi="Times"/>
        </w:rPr>
      </w:pPr>
      <w:r w:rsidRPr="00FE2069">
        <w:rPr>
          <w:rFonts w:ascii="Times" w:hAnsi="Times"/>
          <w:i/>
        </w:rPr>
        <w:t>Trusts and Performance:  Structural Features of Trust</w:t>
      </w:r>
      <w:r w:rsidR="00585453" w:rsidRPr="00FE2069">
        <w:rPr>
          <w:rFonts w:ascii="Times" w:hAnsi="Times"/>
          <w:i/>
        </w:rPr>
        <w:t>s</w:t>
      </w:r>
    </w:p>
    <w:p w14:paraId="6B9DC3BF" w14:textId="1E6B7A1D" w:rsidR="00585453" w:rsidRPr="006955AF" w:rsidRDefault="00585453" w:rsidP="00A217B5">
      <w:pPr>
        <w:spacing w:line="360" w:lineRule="auto"/>
        <w:jc w:val="both"/>
        <w:rPr>
          <w:rFonts w:ascii="Times" w:hAnsi="Times"/>
        </w:rPr>
      </w:pPr>
    </w:p>
    <w:p w14:paraId="6C166D6E" w14:textId="435D4FFB" w:rsidR="00F615BF" w:rsidRPr="006955AF" w:rsidRDefault="00585453" w:rsidP="00A217B5">
      <w:pPr>
        <w:spacing w:line="360" w:lineRule="auto"/>
        <w:jc w:val="both"/>
        <w:rPr>
          <w:rFonts w:ascii="Times" w:hAnsi="Times"/>
        </w:rPr>
      </w:pPr>
      <w:r w:rsidRPr="006955AF">
        <w:rPr>
          <w:rFonts w:ascii="Times" w:hAnsi="Times"/>
        </w:rPr>
        <w:t xml:space="preserve">Students </w:t>
      </w:r>
      <w:r w:rsidR="00F615BF" w:rsidRPr="006955AF">
        <w:rPr>
          <w:rFonts w:ascii="Times" w:hAnsi="Times"/>
        </w:rPr>
        <w:t xml:space="preserve">are told </w:t>
      </w:r>
      <w:r w:rsidRPr="006955AF">
        <w:rPr>
          <w:rFonts w:ascii="Times" w:hAnsi="Times"/>
        </w:rPr>
        <w:t>that three certainties are required for the creation of a private trust:  certainty of intention, certainty of subject matter and certainty of objects.</w:t>
      </w:r>
      <w:r w:rsidRPr="006955AF">
        <w:rPr>
          <w:rStyle w:val="FootnoteReference"/>
        </w:rPr>
        <w:footnoteReference w:id="44"/>
      </w:r>
      <w:r w:rsidRPr="006955AF">
        <w:rPr>
          <w:rFonts w:ascii="Times" w:hAnsi="Times"/>
        </w:rPr>
        <w:t xml:space="preserve">  </w:t>
      </w:r>
      <w:r w:rsidR="00F615BF" w:rsidRPr="006955AF">
        <w:rPr>
          <w:rFonts w:ascii="Times" w:hAnsi="Times"/>
        </w:rPr>
        <w:t xml:space="preserve">But there is little reflection </w:t>
      </w:r>
      <w:r w:rsidR="0069136E">
        <w:rPr>
          <w:rFonts w:ascii="Times" w:hAnsi="Times"/>
        </w:rPr>
        <w:t xml:space="preserve">on </w:t>
      </w:r>
      <w:r w:rsidR="00F615BF" w:rsidRPr="006955AF">
        <w:rPr>
          <w:rFonts w:ascii="Times" w:hAnsi="Times"/>
        </w:rPr>
        <w:t>why these rules exist in their current form.</w:t>
      </w:r>
    </w:p>
    <w:p w14:paraId="1265B388" w14:textId="77777777" w:rsidR="00F615BF" w:rsidRPr="006955AF" w:rsidRDefault="00F615BF" w:rsidP="00A217B5">
      <w:pPr>
        <w:spacing w:line="360" w:lineRule="auto"/>
        <w:jc w:val="both"/>
        <w:rPr>
          <w:rFonts w:ascii="Times" w:hAnsi="Times"/>
        </w:rPr>
      </w:pPr>
    </w:p>
    <w:p w14:paraId="2A746FE8" w14:textId="56622DA6" w:rsidR="00F615BF" w:rsidRPr="006955AF" w:rsidRDefault="00F615BF" w:rsidP="00A217B5">
      <w:pPr>
        <w:spacing w:line="360" w:lineRule="auto"/>
        <w:jc w:val="both"/>
        <w:rPr>
          <w:rFonts w:ascii="Times" w:hAnsi="Times"/>
        </w:rPr>
      </w:pPr>
      <w:r w:rsidRPr="006955AF">
        <w:rPr>
          <w:rFonts w:ascii="Times" w:hAnsi="Times"/>
        </w:rPr>
        <w:lastRenderedPageBreak/>
        <w:t xml:space="preserve">The law of trusts, like the law of contract, requires certainty of </w:t>
      </w:r>
      <w:r w:rsidR="00C06A8B" w:rsidRPr="006955AF">
        <w:rPr>
          <w:rFonts w:ascii="Times" w:hAnsi="Times"/>
        </w:rPr>
        <w:t xml:space="preserve">(objective) </w:t>
      </w:r>
      <w:r w:rsidRPr="006955AF">
        <w:rPr>
          <w:rFonts w:ascii="Times" w:hAnsi="Times"/>
        </w:rPr>
        <w:t>intention.</w:t>
      </w:r>
      <w:r w:rsidR="00C06A8B" w:rsidRPr="006955AF">
        <w:rPr>
          <w:rStyle w:val="FootnoteReference"/>
        </w:rPr>
        <w:footnoteReference w:id="45"/>
      </w:r>
      <w:r w:rsidRPr="006955AF">
        <w:rPr>
          <w:rFonts w:ascii="Times" w:hAnsi="Times"/>
        </w:rPr>
        <w:t xml:space="preserve">  This is no more than a way of saying</w:t>
      </w:r>
      <w:r w:rsidR="007A2131" w:rsidRPr="006955AF">
        <w:rPr>
          <w:rFonts w:ascii="Times" w:hAnsi="Times"/>
        </w:rPr>
        <w:t>,</w:t>
      </w:r>
      <w:r w:rsidRPr="006955AF">
        <w:rPr>
          <w:rFonts w:ascii="Times" w:hAnsi="Times"/>
        </w:rPr>
        <w:t xml:space="preserve"> in doctrinal</w:t>
      </w:r>
      <w:r w:rsidR="00C06A8B" w:rsidRPr="006955AF">
        <w:rPr>
          <w:rFonts w:ascii="Times" w:hAnsi="Times"/>
        </w:rPr>
        <w:t xml:space="preserve"> terms</w:t>
      </w:r>
      <w:r w:rsidR="007A2131" w:rsidRPr="006955AF">
        <w:rPr>
          <w:rFonts w:ascii="Times" w:hAnsi="Times"/>
        </w:rPr>
        <w:t>,</w:t>
      </w:r>
      <w:r w:rsidR="00C06A8B" w:rsidRPr="006955AF">
        <w:rPr>
          <w:rFonts w:ascii="Times" w:hAnsi="Times"/>
        </w:rPr>
        <w:t xml:space="preserve"> that there</w:t>
      </w:r>
      <w:r w:rsidRPr="006955AF">
        <w:rPr>
          <w:rFonts w:ascii="Times" w:hAnsi="Times"/>
        </w:rPr>
        <w:t xml:space="preserve"> needs to be a sufficient objective manifestation that the parties wish to create a particular form of legal relationship to which the organs of sta</w:t>
      </w:r>
      <w:r w:rsidR="007A2131" w:rsidRPr="006955AF">
        <w:rPr>
          <w:rFonts w:ascii="Times" w:hAnsi="Times"/>
        </w:rPr>
        <w:t>te, principally the courts, can</w:t>
      </w:r>
      <w:r w:rsidRPr="006955AF">
        <w:rPr>
          <w:rFonts w:ascii="Times" w:hAnsi="Times"/>
        </w:rPr>
        <w:t xml:space="preserve"> then respond.</w:t>
      </w:r>
    </w:p>
    <w:p w14:paraId="4FF5E3C8" w14:textId="77777777" w:rsidR="00F615BF" w:rsidRPr="006955AF" w:rsidRDefault="00F615BF" w:rsidP="00A217B5">
      <w:pPr>
        <w:spacing w:line="360" w:lineRule="auto"/>
        <w:jc w:val="both"/>
        <w:rPr>
          <w:rFonts w:ascii="Times" w:hAnsi="Times"/>
        </w:rPr>
      </w:pPr>
    </w:p>
    <w:p w14:paraId="59E58876" w14:textId="56D5D40A" w:rsidR="00585453" w:rsidRPr="006955AF" w:rsidRDefault="00C06A8B" w:rsidP="00A217B5">
      <w:pPr>
        <w:spacing w:line="360" w:lineRule="auto"/>
        <w:jc w:val="both"/>
        <w:rPr>
          <w:rFonts w:ascii="Times" w:hAnsi="Times"/>
        </w:rPr>
      </w:pPr>
      <w:r w:rsidRPr="006955AF">
        <w:rPr>
          <w:rFonts w:ascii="Times" w:hAnsi="Times"/>
        </w:rPr>
        <w:t>More imp</w:t>
      </w:r>
      <w:r w:rsidR="00EE1DA6" w:rsidRPr="006955AF">
        <w:rPr>
          <w:rFonts w:ascii="Times" w:hAnsi="Times"/>
        </w:rPr>
        <w:t xml:space="preserve">ortantly for present purposes, </w:t>
      </w:r>
      <w:r w:rsidR="007A2131" w:rsidRPr="006955AF">
        <w:rPr>
          <w:rFonts w:ascii="Times" w:hAnsi="Times"/>
        </w:rPr>
        <w:t xml:space="preserve">are </w:t>
      </w:r>
      <w:r w:rsidR="00585453" w:rsidRPr="006955AF">
        <w:rPr>
          <w:rFonts w:ascii="Times" w:hAnsi="Times"/>
        </w:rPr>
        <w:t>the requirements of “certainty of subject matter”</w:t>
      </w:r>
      <w:r w:rsidR="00585453" w:rsidRPr="006955AF">
        <w:rPr>
          <w:rStyle w:val="FootnoteReference"/>
        </w:rPr>
        <w:footnoteReference w:id="46"/>
      </w:r>
      <w:r w:rsidR="00585453" w:rsidRPr="006955AF">
        <w:rPr>
          <w:rStyle w:val="FootnoteReference"/>
        </w:rPr>
        <w:t xml:space="preserve"> </w:t>
      </w:r>
      <w:r w:rsidR="00585453" w:rsidRPr="006955AF">
        <w:rPr>
          <w:rFonts w:ascii="Times" w:hAnsi="Times"/>
        </w:rPr>
        <w:t>and “certainty of objects”</w:t>
      </w:r>
      <w:r w:rsidR="007A2131" w:rsidRPr="006955AF">
        <w:rPr>
          <w:rFonts w:ascii="Times" w:hAnsi="Times"/>
        </w:rPr>
        <w:t>.</w:t>
      </w:r>
      <w:r w:rsidR="00585453" w:rsidRPr="006955AF">
        <w:rPr>
          <w:rStyle w:val="FootnoteReference"/>
        </w:rPr>
        <w:footnoteReference w:id="47"/>
      </w:r>
      <w:r w:rsidR="00585453" w:rsidRPr="006955AF">
        <w:rPr>
          <w:rFonts w:ascii="Times" w:hAnsi="Times"/>
        </w:rPr>
        <w:t xml:space="preserve"> </w:t>
      </w:r>
      <w:r w:rsidR="007A2131" w:rsidRPr="006955AF">
        <w:rPr>
          <w:rFonts w:ascii="Times" w:hAnsi="Times"/>
        </w:rPr>
        <w:t xml:space="preserve"> They </w:t>
      </w:r>
      <w:r w:rsidR="00585453" w:rsidRPr="006955AF">
        <w:rPr>
          <w:rFonts w:ascii="Times" w:hAnsi="Times"/>
        </w:rPr>
        <w:t>find their origin and justification in the inherent jurisdiction</w:t>
      </w:r>
      <w:r w:rsidR="00EE1DA6" w:rsidRPr="006955AF">
        <w:rPr>
          <w:rFonts w:ascii="Times" w:hAnsi="Times"/>
        </w:rPr>
        <w:t xml:space="preserve"> of the court in relation to the administration of trusts and the vital importance it places on the performance of a trust</w:t>
      </w:r>
      <w:r w:rsidR="00585453" w:rsidRPr="006955AF">
        <w:rPr>
          <w:rFonts w:ascii="Times" w:hAnsi="Times"/>
        </w:rPr>
        <w:t xml:space="preserve">.  These rules show </w:t>
      </w:r>
      <w:r w:rsidR="00EE1DA6" w:rsidRPr="006955AF">
        <w:rPr>
          <w:rFonts w:ascii="Times" w:hAnsi="Times"/>
        </w:rPr>
        <w:t xml:space="preserve">consequently </w:t>
      </w:r>
      <w:r w:rsidR="00585453" w:rsidRPr="006955AF">
        <w:rPr>
          <w:rFonts w:ascii="Times" w:hAnsi="Times"/>
        </w:rPr>
        <w:t>distinct structural differences from their analogues in the law of contract</w:t>
      </w:r>
      <w:r w:rsidR="00F84488" w:rsidRPr="006955AF">
        <w:rPr>
          <w:rFonts w:ascii="Times" w:hAnsi="Times"/>
        </w:rPr>
        <w:t>,</w:t>
      </w:r>
      <w:r w:rsidR="00EE1DA6" w:rsidRPr="006955AF">
        <w:rPr>
          <w:rFonts w:ascii="Times" w:hAnsi="Times"/>
        </w:rPr>
        <w:t xml:space="preserve"> which attaches much less doctrinal significance to performance.</w:t>
      </w:r>
    </w:p>
    <w:p w14:paraId="4C228DE8" w14:textId="64AAE056" w:rsidR="008E22BD" w:rsidRPr="006955AF" w:rsidRDefault="008E22BD" w:rsidP="00A217B5">
      <w:pPr>
        <w:spacing w:line="360" w:lineRule="auto"/>
        <w:jc w:val="both"/>
        <w:rPr>
          <w:rFonts w:ascii="Times" w:hAnsi="Times"/>
        </w:rPr>
      </w:pPr>
    </w:p>
    <w:p w14:paraId="41F16BC8" w14:textId="2B59BDB7" w:rsidR="00C45C4D" w:rsidRPr="006955AF" w:rsidRDefault="002F1E55" w:rsidP="00A217B5">
      <w:pPr>
        <w:spacing w:line="360" w:lineRule="auto"/>
        <w:jc w:val="both"/>
        <w:rPr>
          <w:rFonts w:ascii="Times" w:hAnsi="Times"/>
        </w:rPr>
      </w:pPr>
      <w:r w:rsidRPr="006955AF">
        <w:rPr>
          <w:rFonts w:ascii="Times" w:hAnsi="Times"/>
        </w:rPr>
        <w:t>T</w:t>
      </w:r>
      <w:r w:rsidR="00585453" w:rsidRPr="006955AF">
        <w:rPr>
          <w:rFonts w:ascii="Times" w:hAnsi="Times"/>
        </w:rPr>
        <w:t xml:space="preserve">he law of trusts is much more rigorous than the law of contract in its requirements that the subject matter of the </w:t>
      </w:r>
      <w:r w:rsidRPr="006955AF">
        <w:rPr>
          <w:rFonts w:ascii="Times" w:hAnsi="Times"/>
        </w:rPr>
        <w:t xml:space="preserve">obligation </w:t>
      </w:r>
      <w:r w:rsidR="00F84488" w:rsidRPr="006955AF">
        <w:rPr>
          <w:rFonts w:ascii="Times" w:hAnsi="Times"/>
        </w:rPr>
        <w:t xml:space="preserve">in question </w:t>
      </w:r>
      <w:r w:rsidR="00585453" w:rsidRPr="006955AF">
        <w:rPr>
          <w:rFonts w:ascii="Times" w:hAnsi="Times"/>
        </w:rPr>
        <w:t>be accurately identified or identifiable</w:t>
      </w:r>
      <w:r w:rsidR="00250496" w:rsidRPr="006955AF">
        <w:rPr>
          <w:rFonts w:ascii="Times" w:hAnsi="Times"/>
        </w:rPr>
        <w:t xml:space="preserve">.  The law of trusts needs to know </w:t>
      </w:r>
      <w:r w:rsidR="00250496" w:rsidRPr="006955AF">
        <w:rPr>
          <w:rFonts w:ascii="Times" w:hAnsi="Times"/>
          <w:i/>
        </w:rPr>
        <w:t>ab initio</w:t>
      </w:r>
      <w:r w:rsidR="00250496" w:rsidRPr="006955AF">
        <w:rPr>
          <w:rFonts w:ascii="Times" w:hAnsi="Times"/>
        </w:rPr>
        <w:t xml:space="preserve"> what are the assets to be held on trust, or else it needs to be able to ascertain that immediately.  If, as is axiomatic, the law of trust requires trustees to execute their trust, and if, as is again axiomatic, the court </w:t>
      </w:r>
      <w:r w:rsidR="009A4067" w:rsidRPr="006955AF">
        <w:rPr>
          <w:rFonts w:ascii="Times" w:hAnsi="Times"/>
        </w:rPr>
        <w:t xml:space="preserve">will </w:t>
      </w:r>
      <w:r w:rsidR="00F60117" w:rsidRPr="006955AF">
        <w:rPr>
          <w:rFonts w:ascii="Times" w:hAnsi="Times"/>
        </w:rPr>
        <w:t xml:space="preserve">when necessary </w:t>
      </w:r>
      <w:r w:rsidR="009A4067" w:rsidRPr="006955AF">
        <w:rPr>
          <w:rFonts w:ascii="Times" w:hAnsi="Times"/>
        </w:rPr>
        <w:t xml:space="preserve">procure performance of the trust using one or more of the means outlined above, then </w:t>
      </w:r>
      <w:r w:rsidR="00062BC6" w:rsidRPr="006955AF">
        <w:rPr>
          <w:rFonts w:ascii="Times" w:hAnsi="Times"/>
        </w:rPr>
        <w:t>those responsible for performance of the trust – current trustees, new trustees, the court, as appropriate – all need full information about the assets they are to manage.  They have obligations to manage, or assist in the management, of specific</w:t>
      </w:r>
      <w:r w:rsidR="00C45C4D" w:rsidRPr="006955AF">
        <w:rPr>
          <w:rFonts w:ascii="Times" w:hAnsi="Times"/>
        </w:rPr>
        <w:t xml:space="preserve"> assets, not of assets matching some generic description.  By contrast, contracts to deal with assets</w:t>
      </w:r>
      <w:r w:rsidR="00F60117" w:rsidRPr="006955AF">
        <w:rPr>
          <w:rFonts w:ascii="Times" w:hAnsi="Times"/>
        </w:rPr>
        <w:t>, such as contracts for the sale of goods,</w:t>
      </w:r>
      <w:r w:rsidR="00C45C4D" w:rsidRPr="006955AF">
        <w:rPr>
          <w:rFonts w:ascii="Times" w:hAnsi="Times"/>
        </w:rPr>
        <w:t xml:space="preserve"> do not necessarily require </w:t>
      </w:r>
      <w:r w:rsidR="00C45C4D" w:rsidRPr="006955AF">
        <w:rPr>
          <w:rFonts w:ascii="Times" w:hAnsi="Times"/>
        </w:rPr>
        <w:lastRenderedPageBreak/>
        <w:t>that the assets be immediately identified or identifiable on formation of the contract:  it is generally sufficient that the assets be identified on performance of the contract.</w:t>
      </w:r>
      <w:r w:rsidR="00C45C4D" w:rsidRPr="006955AF">
        <w:rPr>
          <w:rStyle w:val="FootnoteReference"/>
        </w:rPr>
        <w:footnoteReference w:id="48"/>
      </w:r>
    </w:p>
    <w:p w14:paraId="2825C1AE" w14:textId="77777777" w:rsidR="002F1E55" w:rsidRPr="006955AF" w:rsidRDefault="002F1E55" w:rsidP="00A217B5">
      <w:pPr>
        <w:spacing w:line="360" w:lineRule="auto"/>
        <w:jc w:val="both"/>
        <w:rPr>
          <w:rFonts w:ascii="Times" w:hAnsi="Times"/>
        </w:rPr>
      </w:pPr>
    </w:p>
    <w:p w14:paraId="38EFA247" w14:textId="4B012223" w:rsidR="00585453" w:rsidRPr="006955AF" w:rsidRDefault="00585453" w:rsidP="00A217B5">
      <w:pPr>
        <w:spacing w:line="360" w:lineRule="auto"/>
        <w:jc w:val="both"/>
        <w:rPr>
          <w:rFonts w:ascii="Times" w:hAnsi="Times"/>
        </w:rPr>
      </w:pPr>
      <w:r w:rsidRPr="006955AF">
        <w:rPr>
          <w:rFonts w:ascii="Times" w:hAnsi="Times"/>
        </w:rPr>
        <w:t>Similar points can be made in connection with the rules on certainty of objects.  The</w:t>
      </w:r>
      <w:r w:rsidR="00CE5698" w:rsidRPr="006955AF">
        <w:rPr>
          <w:rFonts w:ascii="Times" w:hAnsi="Times"/>
        </w:rPr>
        <w:t>se</w:t>
      </w:r>
      <w:r w:rsidRPr="006955AF">
        <w:rPr>
          <w:rFonts w:ascii="Times" w:hAnsi="Times"/>
        </w:rPr>
        <w:t xml:space="preserve"> rules are not just about ascertainment of those who have </w:t>
      </w:r>
      <w:r w:rsidRPr="006955AF">
        <w:rPr>
          <w:rFonts w:ascii="Times" w:hAnsi="Times"/>
          <w:i/>
        </w:rPr>
        <w:t xml:space="preserve">locus standi </w:t>
      </w:r>
      <w:r w:rsidRPr="006955AF">
        <w:rPr>
          <w:rFonts w:ascii="Times" w:hAnsi="Times"/>
        </w:rPr>
        <w:t>to enforce the trust.  If the</w:t>
      </w:r>
      <w:r w:rsidR="00F91563">
        <w:rPr>
          <w:rFonts w:ascii="Times" w:hAnsi="Times"/>
        </w:rPr>
        <w:t xml:space="preserve"> rules</w:t>
      </w:r>
      <w:r w:rsidRPr="006955AF">
        <w:rPr>
          <w:rFonts w:ascii="Times" w:hAnsi="Times"/>
        </w:rPr>
        <w:t xml:space="preserve"> were</w:t>
      </w:r>
      <w:r w:rsidR="002C01C6" w:rsidRPr="006955AF">
        <w:rPr>
          <w:rFonts w:ascii="Times" w:hAnsi="Times"/>
        </w:rPr>
        <w:t xml:space="preserve"> just concerned with establishing that someone has standing to enforce a trust,</w:t>
      </w:r>
      <w:r w:rsidRPr="006955AF">
        <w:rPr>
          <w:rFonts w:ascii="Times" w:hAnsi="Times"/>
        </w:rPr>
        <w:t xml:space="preserve"> it would be difficult to argue with the proposition that identificatio</w:t>
      </w:r>
      <w:r w:rsidR="002C01C6" w:rsidRPr="006955AF">
        <w:rPr>
          <w:rFonts w:ascii="Times" w:hAnsi="Times"/>
        </w:rPr>
        <w:t>n of a single such beneficiary sh</w:t>
      </w:r>
      <w:r w:rsidRPr="006955AF">
        <w:rPr>
          <w:rFonts w:ascii="Times" w:hAnsi="Times"/>
        </w:rPr>
        <w:t xml:space="preserve">ould be sufficient to validate the trust, a proposition that was rejected decades ago in </w:t>
      </w:r>
      <w:r w:rsidRPr="006955AF">
        <w:rPr>
          <w:rFonts w:ascii="Times" w:hAnsi="Times"/>
          <w:i/>
        </w:rPr>
        <w:t>Re Gulbenkian’s Settlement Trusts</w:t>
      </w:r>
      <w:r w:rsidRPr="006955AF">
        <w:rPr>
          <w:rFonts w:ascii="Times" w:hAnsi="Times"/>
        </w:rPr>
        <w:t>.</w:t>
      </w:r>
      <w:r w:rsidRPr="006955AF">
        <w:rPr>
          <w:rStyle w:val="FootnoteReference"/>
        </w:rPr>
        <w:footnoteReference w:id="49"/>
      </w:r>
      <w:r w:rsidR="009163E8" w:rsidRPr="006955AF">
        <w:rPr>
          <w:rFonts w:ascii="Times" w:hAnsi="Times"/>
        </w:rPr>
        <w:t xml:space="preserve">  </w:t>
      </w:r>
      <w:r w:rsidR="002C01C6" w:rsidRPr="006955AF">
        <w:rPr>
          <w:rFonts w:ascii="Times" w:hAnsi="Times"/>
        </w:rPr>
        <w:t xml:space="preserve">But the rules have another function.  </w:t>
      </w:r>
      <w:r w:rsidR="00CE5698" w:rsidRPr="006955AF">
        <w:rPr>
          <w:rFonts w:ascii="Times" w:hAnsi="Times"/>
        </w:rPr>
        <w:t>The</w:t>
      </w:r>
      <w:r w:rsidR="00F91563">
        <w:rPr>
          <w:rFonts w:ascii="Times" w:hAnsi="Times"/>
        </w:rPr>
        <w:t>y</w:t>
      </w:r>
      <w:r w:rsidRPr="006955AF">
        <w:rPr>
          <w:rFonts w:ascii="Times" w:hAnsi="Times"/>
        </w:rPr>
        <w:t xml:space="preserve"> are </w:t>
      </w:r>
      <w:r w:rsidR="002C01C6" w:rsidRPr="006955AF">
        <w:rPr>
          <w:rFonts w:ascii="Times" w:hAnsi="Times"/>
        </w:rPr>
        <w:t xml:space="preserve">also </w:t>
      </w:r>
      <w:r w:rsidRPr="006955AF">
        <w:rPr>
          <w:rFonts w:ascii="Times" w:hAnsi="Times"/>
        </w:rPr>
        <w:t xml:space="preserve">designed to make sure that the trustees can </w:t>
      </w:r>
      <w:r w:rsidR="00CE5698" w:rsidRPr="006955AF">
        <w:rPr>
          <w:rFonts w:ascii="Times" w:hAnsi="Times"/>
        </w:rPr>
        <w:t>perform</w:t>
      </w:r>
      <w:r w:rsidRPr="006955AF">
        <w:rPr>
          <w:rFonts w:ascii="Times" w:hAnsi="Times"/>
        </w:rPr>
        <w:t xml:space="preserve"> the trust</w:t>
      </w:r>
      <w:r w:rsidR="00B84175" w:rsidRPr="006955AF">
        <w:rPr>
          <w:rFonts w:ascii="Times" w:hAnsi="Times"/>
        </w:rPr>
        <w:t xml:space="preserve">.  </w:t>
      </w:r>
      <w:r w:rsidR="00CE5698" w:rsidRPr="006955AF">
        <w:rPr>
          <w:rFonts w:ascii="Times" w:hAnsi="Times"/>
        </w:rPr>
        <w:t xml:space="preserve">And crucially, </w:t>
      </w:r>
      <w:r w:rsidRPr="006955AF">
        <w:rPr>
          <w:rFonts w:ascii="Times" w:hAnsi="Times"/>
        </w:rPr>
        <w:t>they are also designe</w:t>
      </w:r>
      <w:r w:rsidR="00CE5698" w:rsidRPr="006955AF">
        <w:rPr>
          <w:rFonts w:ascii="Times" w:hAnsi="Times"/>
        </w:rPr>
        <w:t>d to enable the court to perform</w:t>
      </w:r>
      <w:r w:rsidRPr="006955AF">
        <w:rPr>
          <w:rFonts w:ascii="Times" w:hAnsi="Times"/>
        </w:rPr>
        <w:t xml:space="preserve"> the trust, or </w:t>
      </w:r>
      <w:r w:rsidR="00CE5698" w:rsidRPr="006955AF">
        <w:rPr>
          <w:rFonts w:ascii="Times" w:hAnsi="Times"/>
        </w:rPr>
        <w:t xml:space="preserve">facilitate </w:t>
      </w:r>
      <w:r w:rsidRPr="006955AF">
        <w:rPr>
          <w:rFonts w:ascii="Times" w:hAnsi="Times"/>
        </w:rPr>
        <w:t xml:space="preserve">its </w:t>
      </w:r>
      <w:r w:rsidR="00CE5698" w:rsidRPr="006955AF">
        <w:rPr>
          <w:rFonts w:ascii="Times" w:hAnsi="Times"/>
        </w:rPr>
        <w:t>performance</w:t>
      </w:r>
      <w:r w:rsidRPr="006955AF">
        <w:rPr>
          <w:rFonts w:ascii="Times" w:hAnsi="Times"/>
        </w:rPr>
        <w:t>, should the current trustees fail to do so.</w:t>
      </w:r>
      <w:r w:rsidRPr="006955AF">
        <w:rPr>
          <w:rStyle w:val="FootnoteReference"/>
        </w:rPr>
        <w:footnoteReference w:id="50"/>
      </w:r>
      <w:r w:rsidRPr="006955AF">
        <w:rPr>
          <w:rFonts w:ascii="Times" w:hAnsi="Times"/>
        </w:rPr>
        <w:t xml:space="preserve">  The theoretical implications are the same as those flowing from the rules about certainty of subject mat</w:t>
      </w:r>
      <w:r w:rsidR="00CE5698" w:rsidRPr="006955AF">
        <w:rPr>
          <w:rFonts w:ascii="Times" w:hAnsi="Times"/>
        </w:rPr>
        <w:t>ter.</w:t>
      </w:r>
      <w:r w:rsidR="008516B3" w:rsidRPr="006955AF">
        <w:rPr>
          <w:rFonts w:ascii="Times" w:hAnsi="Times"/>
        </w:rPr>
        <w:t xml:space="preserve">  </w:t>
      </w:r>
      <w:r w:rsidRPr="006955AF">
        <w:rPr>
          <w:rFonts w:ascii="Times" w:hAnsi="Times"/>
        </w:rPr>
        <w:t xml:space="preserve">The axiomatic </w:t>
      </w:r>
      <w:r w:rsidR="008516B3" w:rsidRPr="006955AF">
        <w:rPr>
          <w:rFonts w:ascii="Times" w:hAnsi="Times"/>
        </w:rPr>
        <w:t xml:space="preserve">proposition that a trust must be performed </w:t>
      </w:r>
      <w:r w:rsidR="0041230B" w:rsidRPr="006955AF">
        <w:rPr>
          <w:rFonts w:ascii="Times" w:hAnsi="Times"/>
        </w:rPr>
        <w:t xml:space="preserve">generates the strict </w:t>
      </w:r>
      <w:r w:rsidRPr="006955AF">
        <w:rPr>
          <w:rFonts w:ascii="Times" w:hAnsi="Times"/>
        </w:rPr>
        <w:t>requi</w:t>
      </w:r>
      <w:r w:rsidR="008516B3" w:rsidRPr="006955AF">
        <w:rPr>
          <w:rFonts w:ascii="Times" w:hAnsi="Times"/>
        </w:rPr>
        <w:t xml:space="preserve">rements of the law of trusts relating to how much the settlor needs to make clear to the trustees, and </w:t>
      </w:r>
      <w:r w:rsidR="0041230B" w:rsidRPr="006955AF">
        <w:rPr>
          <w:rFonts w:ascii="Times" w:hAnsi="Times"/>
        </w:rPr>
        <w:t xml:space="preserve">to </w:t>
      </w:r>
      <w:r w:rsidR="008516B3" w:rsidRPr="006955AF">
        <w:rPr>
          <w:rFonts w:ascii="Times" w:hAnsi="Times"/>
        </w:rPr>
        <w:t xml:space="preserve">the court, about </w:t>
      </w:r>
      <w:r w:rsidRPr="006955AF">
        <w:rPr>
          <w:rFonts w:ascii="Times" w:hAnsi="Times"/>
        </w:rPr>
        <w:t>the identity of beneficiaries</w:t>
      </w:r>
      <w:r w:rsidR="000C075D" w:rsidRPr="006955AF">
        <w:rPr>
          <w:rFonts w:ascii="Times" w:hAnsi="Times"/>
        </w:rPr>
        <w:t xml:space="preserve"> – the people who will enforce the trust </w:t>
      </w:r>
      <w:r w:rsidR="00CF61C0" w:rsidRPr="006955AF">
        <w:rPr>
          <w:rFonts w:ascii="Times" w:hAnsi="Times"/>
        </w:rPr>
        <w:t>and for who</w:t>
      </w:r>
      <w:r w:rsidR="00177F3C" w:rsidRPr="006955AF">
        <w:rPr>
          <w:rFonts w:ascii="Times" w:hAnsi="Times"/>
        </w:rPr>
        <w:t xml:space="preserve">m the trustee, and perhaps the court, need to execute the trust </w:t>
      </w:r>
      <w:r w:rsidR="000C075D" w:rsidRPr="006955AF">
        <w:rPr>
          <w:rFonts w:ascii="Times" w:hAnsi="Times"/>
        </w:rPr>
        <w:t xml:space="preserve">– </w:t>
      </w:r>
      <w:r w:rsidR="0041230B" w:rsidRPr="006955AF">
        <w:rPr>
          <w:rFonts w:ascii="Times" w:hAnsi="Times"/>
        </w:rPr>
        <w:t xml:space="preserve">that is, </w:t>
      </w:r>
      <w:r w:rsidR="00CC44DF" w:rsidRPr="006955AF">
        <w:rPr>
          <w:rFonts w:ascii="Times" w:hAnsi="Times"/>
        </w:rPr>
        <w:t xml:space="preserve">what is required by way of </w:t>
      </w:r>
      <w:r w:rsidR="003669B4" w:rsidRPr="006955AF">
        <w:rPr>
          <w:rFonts w:ascii="Times" w:hAnsi="Times"/>
        </w:rPr>
        <w:t>certainty of objects</w:t>
      </w:r>
      <w:r w:rsidRPr="006955AF">
        <w:rPr>
          <w:rFonts w:ascii="Times" w:hAnsi="Times"/>
        </w:rPr>
        <w:t>.</w:t>
      </w:r>
    </w:p>
    <w:p w14:paraId="5C31407A" w14:textId="5A130C10" w:rsidR="00585453" w:rsidRPr="006955AF" w:rsidRDefault="00585453" w:rsidP="00A217B5">
      <w:pPr>
        <w:spacing w:line="360" w:lineRule="auto"/>
        <w:jc w:val="both"/>
        <w:rPr>
          <w:rFonts w:ascii="Times" w:hAnsi="Times"/>
        </w:rPr>
      </w:pPr>
    </w:p>
    <w:p w14:paraId="27C2ACBD" w14:textId="05877495" w:rsidR="0036706D" w:rsidRPr="006955AF" w:rsidRDefault="00CC44DF" w:rsidP="00A217B5">
      <w:pPr>
        <w:spacing w:line="360" w:lineRule="auto"/>
        <w:jc w:val="both"/>
        <w:rPr>
          <w:rFonts w:ascii="Times" w:hAnsi="Times"/>
        </w:rPr>
      </w:pPr>
      <w:r w:rsidRPr="006955AF">
        <w:rPr>
          <w:rFonts w:ascii="Times" w:hAnsi="Times"/>
        </w:rPr>
        <w:t>The beneficiary principle also reflects</w:t>
      </w:r>
      <w:r w:rsidR="00D52470" w:rsidRPr="006955AF">
        <w:rPr>
          <w:rFonts w:ascii="Times" w:hAnsi="Times"/>
        </w:rPr>
        <w:t xml:space="preserve"> trust law’s focus on performance</w:t>
      </w:r>
      <w:r w:rsidRPr="006955AF">
        <w:rPr>
          <w:rFonts w:ascii="Times" w:hAnsi="Times"/>
        </w:rPr>
        <w:t xml:space="preserve">, though less </w:t>
      </w:r>
      <w:r w:rsidR="00D52470" w:rsidRPr="006955AF">
        <w:rPr>
          <w:rFonts w:ascii="Times" w:hAnsi="Times"/>
        </w:rPr>
        <w:t xml:space="preserve">strongly.  At one level, the principle is simply an aspect of the fact that a trustee is subject to obligations:  </w:t>
      </w:r>
      <w:r w:rsidR="00797B04" w:rsidRPr="006955AF">
        <w:rPr>
          <w:rFonts w:ascii="Times" w:hAnsi="Times"/>
        </w:rPr>
        <w:t xml:space="preserve">someone must have the power to enforce an obligation, or else it is not an obligation but an aspiration.  Equally, </w:t>
      </w:r>
      <w:r w:rsidR="00F174C9" w:rsidRPr="006955AF">
        <w:rPr>
          <w:rFonts w:ascii="Times" w:hAnsi="Times"/>
        </w:rPr>
        <w:t xml:space="preserve">the identification of the principle as a </w:t>
      </w:r>
      <w:r w:rsidR="00F174C9" w:rsidRPr="006955AF">
        <w:rPr>
          <w:rFonts w:ascii="Times" w:hAnsi="Times"/>
          <w:i/>
        </w:rPr>
        <w:t>beneficiary</w:t>
      </w:r>
      <w:r w:rsidR="00F174C9" w:rsidRPr="006955AF">
        <w:rPr>
          <w:rFonts w:ascii="Times" w:hAnsi="Times"/>
        </w:rPr>
        <w:t xml:space="preserve"> principle, rather than an </w:t>
      </w:r>
      <w:r w:rsidR="00F174C9" w:rsidRPr="006955AF">
        <w:rPr>
          <w:rFonts w:ascii="Times" w:hAnsi="Times"/>
          <w:i/>
        </w:rPr>
        <w:t>enforcer</w:t>
      </w:r>
      <w:r w:rsidR="00F174C9" w:rsidRPr="006955AF">
        <w:rPr>
          <w:rFonts w:ascii="Times" w:hAnsi="Times"/>
        </w:rPr>
        <w:t xml:space="preserve"> principle,</w:t>
      </w:r>
      <w:r w:rsidR="00F174C9" w:rsidRPr="006955AF">
        <w:rPr>
          <w:rStyle w:val="FootnoteReference"/>
        </w:rPr>
        <w:footnoteReference w:id="51"/>
      </w:r>
      <w:r w:rsidR="00F174C9" w:rsidRPr="006955AF">
        <w:rPr>
          <w:rFonts w:ascii="Times" w:hAnsi="Times"/>
        </w:rPr>
        <w:t xml:space="preserve"> draws attention to the fact that</w:t>
      </w:r>
      <w:r w:rsidR="00F91563">
        <w:rPr>
          <w:rFonts w:ascii="Times" w:hAnsi="Times"/>
        </w:rPr>
        <w:t>,</w:t>
      </w:r>
      <w:r w:rsidR="00F174C9" w:rsidRPr="006955AF">
        <w:rPr>
          <w:rFonts w:ascii="Times" w:hAnsi="Times"/>
        </w:rPr>
        <w:t xml:space="preserve"> in English law, the enforcer must be someone who stands to benefit by enforcement, though that position has been changed by </w:t>
      </w:r>
      <w:r w:rsidR="00F174C9" w:rsidRPr="006955AF">
        <w:rPr>
          <w:rFonts w:ascii="Times" w:hAnsi="Times"/>
        </w:rPr>
        <w:lastRenderedPageBreak/>
        <w:t>statute in many off-shore jurisdictions.</w:t>
      </w:r>
      <w:r w:rsidR="00CA5C30" w:rsidRPr="006955AF">
        <w:rPr>
          <w:rStyle w:val="FootnoteReference"/>
        </w:rPr>
        <w:footnoteReference w:id="52"/>
      </w:r>
      <w:r w:rsidR="00274EC3" w:rsidRPr="006955AF">
        <w:rPr>
          <w:rFonts w:ascii="Times" w:hAnsi="Times"/>
        </w:rPr>
        <w:t xml:space="preserve">  Nevertheless, </w:t>
      </w:r>
      <w:r w:rsidR="00906CC5" w:rsidRPr="006955AF">
        <w:rPr>
          <w:rFonts w:ascii="Times" w:hAnsi="Times"/>
        </w:rPr>
        <w:t xml:space="preserve">the beneficiary principle is conceptualised in the case law as </w:t>
      </w:r>
      <w:r w:rsidR="00104873" w:rsidRPr="006955AF">
        <w:rPr>
          <w:rFonts w:ascii="Times" w:hAnsi="Times"/>
        </w:rPr>
        <w:t xml:space="preserve">identifying those in whose favour </w:t>
      </w:r>
      <w:r w:rsidR="00104873" w:rsidRPr="006955AF">
        <w:rPr>
          <w:rFonts w:ascii="Times" w:hAnsi="Times"/>
          <w:i/>
        </w:rPr>
        <w:t>performance</w:t>
      </w:r>
      <w:r w:rsidR="00104873" w:rsidRPr="006955AF">
        <w:rPr>
          <w:rFonts w:ascii="Times" w:hAnsi="Times"/>
        </w:rPr>
        <w:t xml:space="preserve"> of the trust may be decreed,</w:t>
      </w:r>
      <w:r w:rsidR="00104873" w:rsidRPr="006955AF">
        <w:rPr>
          <w:rStyle w:val="FootnoteReference"/>
        </w:rPr>
        <w:footnoteReference w:id="53"/>
      </w:r>
      <w:r w:rsidR="00104873" w:rsidRPr="006955AF">
        <w:rPr>
          <w:rFonts w:ascii="Times" w:hAnsi="Times"/>
        </w:rPr>
        <w:t xml:space="preserve"> rather than who may claim </w:t>
      </w:r>
      <w:r w:rsidR="004771A7">
        <w:rPr>
          <w:rFonts w:ascii="Times" w:hAnsi="Times"/>
        </w:rPr>
        <w:t>mone</w:t>
      </w:r>
      <w:r w:rsidR="0015173A">
        <w:rPr>
          <w:rFonts w:ascii="Times" w:hAnsi="Times"/>
        </w:rPr>
        <w:t>tar</w:t>
      </w:r>
      <w:r w:rsidR="004771A7">
        <w:rPr>
          <w:rFonts w:ascii="Times" w:hAnsi="Times"/>
        </w:rPr>
        <w:t>y remedies</w:t>
      </w:r>
      <w:r w:rsidR="00104873" w:rsidRPr="006955AF">
        <w:rPr>
          <w:rFonts w:ascii="Times" w:hAnsi="Times"/>
        </w:rPr>
        <w:t xml:space="preserve"> for breach of trust:  performance is </w:t>
      </w:r>
      <w:r w:rsidR="00A1644B">
        <w:rPr>
          <w:rFonts w:ascii="Times" w:hAnsi="Times"/>
        </w:rPr>
        <w:t>the</w:t>
      </w:r>
      <w:r w:rsidR="004771A7">
        <w:rPr>
          <w:rFonts w:ascii="Times" w:hAnsi="Times"/>
        </w:rPr>
        <w:t xml:space="preserve"> law’s</w:t>
      </w:r>
      <w:r w:rsidR="00A1644B">
        <w:rPr>
          <w:rFonts w:ascii="Times" w:hAnsi="Times"/>
        </w:rPr>
        <w:t xml:space="preserve"> </w:t>
      </w:r>
      <w:r w:rsidR="004771A7">
        <w:rPr>
          <w:rFonts w:ascii="Times" w:hAnsi="Times"/>
        </w:rPr>
        <w:t xml:space="preserve">main </w:t>
      </w:r>
      <w:r w:rsidR="00A1644B">
        <w:rPr>
          <w:rFonts w:ascii="Times" w:hAnsi="Times"/>
        </w:rPr>
        <w:t>concern</w:t>
      </w:r>
      <w:r w:rsidR="00104873" w:rsidRPr="006955AF">
        <w:rPr>
          <w:rFonts w:ascii="Times" w:hAnsi="Times"/>
        </w:rPr>
        <w:t>.</w:t>
      </w:r>
    </w:p>
    <w:p w14:paraId="6E69E990" w14:textId="70322BBA" w:rsidR="00906CC5" w:rsidRPr="006955AF" w:rsidRDefault="00906CC5" w:rsidP="00A217B5">
      <w:pPr>
        <w:spacing w:line="360" w:lineRule="auto"/>
        <w:jc w:val="both"/>
        <w:rPr>
          <w:rFonts w:ascii="Times" w:hAnsi="Times"/>
        </w:rPr>
      </w:pPr>
    </w:p>
    <w:p w14:paraId="58486D0E" w14:textId="012E58F2" w:rsidR="005E62F4" w:rsidRPr="006955AF" w:rsidRDefault="005E62F4" w:rsidP="00A217B5">
      <w:pPr>
        <w:spacing w:line="360" w:lineRule="auto"/>
        <w:jc w:val="both"/>
        <w:rPr>
          <w:rFonts w:ascii="Times" w:hAnsi="Times"/>
        </w:rPr>
      </w:pPr>
      <w:r w:rsidRPr="006955AF">
        <w:rPr>
          <w:rFonts w:ascii="Times" w:hAnsi="Times"/>
        </w:rPr>
        <w:t xml:space="preserve">The performance interest is therefore at the heart of establishing a trust.  As has been seen, </w:t>
      </w:r>
      <w:r w:rsidR="00B04B62" w:rsidRPr="006955AF">
        <w:rPr>
          <w:rFonts w:ascii="Times" w:hAnsi="Times"/>
        </w:rPr>
        <w:t>the state, th</w:t>
      </w:r>
      <w:r w:rsidR="00F74CF8" w:rsidRPr="006955AF">
        <w:rPr>
          <w:rFonts w:ascii="Times" w:hAnsi="Times"/>
        </w:rPr>
        <w:t>r</w:t>
      </w:r>
      <w:r w:rsidR="00B04B62" w:rsidRPr="006955AF">
        <w:rPr>
          <w:rFonts w:ascii="Times" w:hAnsi="Times"/>
        </w:rPr>
        <w:t xml:space="preserve">ough the courts, </w:t>
      </w:r>
      <w:r w:rsidR="009849F2" w:rsidRPr="006955AF">
        <w:rPr>
          <w:rFonts w:ascii="Times" w:hAnsi="Times"/>
        </w:rPr>
        <w:t xml:space="preserve">gives very significant support to that </w:t>
      </w:r>
      <w:r w:rsidR="00B04B62" w:rsidRPr="006955AF">
        <w:rPr>
          <w:rFonts w:ascii="Times" w:hAnsi="Times"/>
        </w:rPr>
        <w:t>performance interest</w:t>
      </w:r>
      <w:r w:rsidR="009849F2" w:rsidRPr="006955AF">
        <w:rPr>
          <w:rFonts w:ascii="Times" w:hAnsi="Times"/>
        </w:rPr>
        <w:t xml:space="preserve">.  But the performance interest </w:t>
      </w:r>
      <w:r w:rsidRPr="006955AF">
        <w:rPr>
          <w:rFonts w:ascii="Times" w:hAnsi="Times"/>
        </w:rPr>
        <w:t>is also plainly reflected in the remedies available following a breach of</w:t>
      </w:r>
      <w:r w:rsidR="009849F2" w:rsidRPr="006955AF">
        <w:rPr>
          <w:rFonts w:ascii="Times" w:hAnsi="Times"/>
        </w:rPr>
        <w:t xml:space="preserve"> trust, which form the subject matter of the next section.</w:t>
      </w:r>
    </w:p>
    <w:p w14:paraId="514ED49C" w14:textId="583F5271" w:rsidR="009849F2" w:rsidRPr="003F04C6" w:rsidRDefault="009849F2" w:rsidP="00A217B5">
      <w:pPr>
        <w:spacing w:line="360" w:lineRule="auto"/>
        <w:jc w:val="both"/>
        <w:rPr>
          <w:rFonts w:ascii="Times" w:hAnsi="Times"/>
        </w:rPr>
      </w:pPr>
    </w:p>
    <w:p w14:paraId="104A96DD" w14:textId="77950C1A" w:rsidR="009849F2" w:rsidRPr="003F04C6" w:rsidRDefault="009849F2" w:rsidP="00A217B5">
      <w:pPr>
        <w:pStyle w:val="ListParagraph"/>
        <w:numPr>
          <w:ilvl w:val="0"/>
          <w:numId w:val="6"/>
        </w:numPr>
        <w:spacing w:line="360" w:lineRule="auto"/>
        <w:jc w:val="both"/>
        <w:rPr>
          <w:rFonts w:ascii="Times" w:hAnsi="Times"/>
        </w:rPr>
      </w:pPr>
      <w:r w:rsidRPr="003F04C6">
        <w:rPr>
          <w:rFonts w:ascii="Times" w:hAnsi="Times"/>
          <w:i/>
        </w:rPr>
        <w:t>Trusts and Performance:  Remedies for Breach of Trust</w:t>
      </w:r>
    </w:p>
    <w:p w14:paraId="2D2F1E66" w14:textId="4247B03D" w:rsidR="005E62F4" w:rsidRPr="006955AF" w:rsidRDefault="005E62F4" w:rsidP="00A217B5">
      <w:pPr>
        <w:spacing w:line="360" w:lineRule="auto"/>
        <w:jc w:val="both"/>
        <w:rPr>
          <w:rFonts w:ascii="Times" w:hAnsi="Times"/>
        </w:rPr>
      </w:pPr>
    </w:p>
    <w:p w14:paraId="5FD628E3" w14:textId="7939D7F1" w:rsidR="00CB36E4" w:rsidRPr="006955AF" w:rsidRDefault="00931877" w:rsidP="00A217B5">
      <w:pPr>
        <w:spacing w:line="360" w:lineRule="auto"/>
        <w:jc w:val="both"/>
        <w:rPr>
          <w:rFonts w:ascii="Times" w:hAnsi="Times"/>
        </w:rPr>
      </w:pPr>
      <w:r w:rsidRPr="006955AF">
        <w:rPr>
          <w:rFonts w:ascii="Times" w:hAnsi="Times"/>
        </w:rPr>
        <w:t xml:space="preserve">Remedies for breach of trust also reflect the performance interest in the law of trusts.  The remedial structure of the law of trusts is constructed around the performance of the trust, or the nearest monetary approximation to performance, rather than loss caused by non-performance.  </w:t>
      </w:r>
      <w:r w:rsidR="00E019A5">
        <w:rPr>
          <w:rFonts w:ascii="Times" w:hAnsi="Times"/>
        </w:rPr>
        <w:t>Just as in the context of constituting a tr</w:t>
      </w:r>
      <w:r w:rsidR="009076CC">
        <w:rPr>
          <w:rFonts w:ascii="Times" w:hAnsi="Times"/>
        </w:rPr>
        <w:t>u</w:t>
      </w:r>
      <w:r w:rsidR="00E019A5">
        <w:rPr>
          <w:rFonts w:ascii="Times" w:hAnsi="Times"/>
        </w:rPr>
        <w:t>st, t</w:t>
      </w:r>
      <w:r w:rsidRPr="006955AF">
        <w:rPr>
          <w:rFonts w:ascii="Times" w:hAnsi="Times"/>
        </w:rPr>
        <w:t xml:space="preserve">rust law’s unique remedial structure </w:t>
      </w:r>
      <w:r w:rsidR="00E019A5">
        <w:rPr>
          <w:rFonts w:ascii="Times" w:hAnsi="Times"/>
        </w:rPr>
        <w:t xml:space="preserve">also </w:t>
      </w:r>
      <w:r w:rsidRPr="006955AF">
        <w:rPr>
          <w:rFonts w:ascii="Times" w:hAnsi="Times"/>
        </w:rPr>
        <w:t xml:space="preserve">assumes and is built on the stricter certainty requirements for trusts examined above:  </w:t>
      </w:r>
      <w:r w:rsidR="00CB36E4" w:rsidRPr="006955AF">
        <w:rPr>
          <w:rFonts w:ascii="Times" w:hAnsi="Times"/>
        </w:rPr>
        <w:t xml:space="preserve">the courts need to know more if they are to be able and willing to order </w:t>
      </w:r>
      <w:r w:rsidR="002F4F3D" w:rsidRPr="006955AF">
        <w:rPr>
          <w:rFonts w:ascii="Times" w:hAnsi="Times"/>
        </w:rPr>
        <w:t xml:space="preserve">trustees </w:t>
      </w:r>
      <w:r w:rsidR="00CB36E4" w:rsidRPr="006955AF">
        <w:rPr>
          <w:rFonts w:ascii="Times" w:hAnsi="Times"/>
        </w:rPr>
        <w:t xml:space="preserve">to deal with particular assets and subject them to </w:t>
      </w:r>
      <w:r w:rsidR="004274E6" w:rsidRPr="006955AF">
        <w:rPr>
          <w:rFonts w:ascii="Times" w:hAnsi="Times"/>
        </w:rPr>
        <w:t>sanctions</w:t>
      </w:r>
      <w:r w:rsidR="00CB36E4" w:rsidRPr="006955AF">
        <w:rPr>
          <w:rFonts w:ascii="Times" w:hAnsi="Times"/>
        </w:rPr>
        <w:t>, including ultim</w:t>
      </w:r>
      <w:r w:rsidR="002F4F3D" w:rsidRPr="006955AF">
        <w:rPr>
          <w:rFonts w:ascii="Times" w:hAnsi="Times"/>
        </w:rPr>
        <w:t>ately contempt of court</w:t>
      </w:r>
      <w:r w:rsidR="00CB36E4" w:rsidRPr="006955AF">
        <w:rPr>
          <w:rFonts w:ascii="Times" w:hAnsi="Times"/>
        </w:rPr>
        <w:t>.</w:t>
      </w:r>
      <w:r w:rsidRPr="006955AF">
        <w:rPr>
          <w:rFonts w:ascii="Times" w:hAnsi="Times"/>
        </w:rPr>
        <w:t xml:space="preserve">  By contrast, the courts do not need to know so much about what assets are in question if all they are required to do is to </w:t>
      </w:r>
      <w:r w:rsidR="00C340E3" w:rsidRPr="006955AF">
        <w:rPr>
          <w:rFonts w:ascii="Times" w:hAnsi="Times"/>
        </w:rPr>
        <w:t xml:space="preserve">estimate and </w:t>
      </w:r>
      <w:r w:rsidRPr="006955AF">
        <w:rPr>
          <w:rFonts w:ascii="Times" w:hAnsi="Times"/>
        </w:rPr>
        <w:t xml:space="preserve">award damages if </w:t>
      </w:r>
      <w:r w:rsidR="00C340E3" w:rsidRPr="006955AF">
        <w:rPr>
          <w:rFonts w:ascii="Times" w:hAnsi="Times"/>
        </w:rPr>
        <w:t xml:space="preserve">performance does not occur </w:t>
      </w:r>
      <w:r w:rsidRPr="006955AF">
        <w:rPr>
          <w:rFonts w:ascii="Times" w:hAnsi="Times"/>
        </w:rPr>
        <w:t>as agreed</w:t>
      </w:r>
      <w:r w:rsidR="00E019A5">
        <w:rPr>
          <w:rFonts w:ascii="Times" w:hAnsi="Times"/>
        </w:rPr>
        <w:t>.</w:t>
      </w:r>
      <w:r w:rsidRPr="006955AF">
        <w:rPr>
          <w:rFonts w:ascii="Times" w:hAnsi="Times"/>
        </w:rPr>
        <w:t xml:space="preserve"> </w:t>
      </w:r>
    </w:p>
    <w:p w14:paraId="213A9796" w14:textId="47502CA6" w:rsidR="00CB36E4" w:rsidRPr="006955AF" w:rsidRDefault="00CB36E4" w:rsidP="00A217B5">
      <w:pPr>
        <w:spacing w:line="360" w:lineRule="auto"/>
        <w:jc w:val="both"/>
        <w:rPr>
          <w:rFonts w:ascii="Times" w:hAnsi="Times"/>
        </w:rPr>
      </w:pPr>
    </w:p>
    <w:p w14:paraId="147393E9" w14:textId="3B1E2AF8" w:rsidR="0095147E" w:rsidRPr="006955AF" w:rsidRDefault="00931877" w:rsidP="00A217B5">
      <w:pPr>
        <w:spacing w:line="360" w:lineRule="auto"/>
        <w:jc w:val="both"/>
        <w:rPr>
          <w:rFonts w:ascii="Times" w:hAnsi="Times"/>
        </w:rPr>
      </w:pPr>
      <w:r w:rsidRPr="006955AF">
        <w:rPr>
          <w:rFonts w:ascii="Times" w:hAnsi="Times"/>
        </w:rPr>
        <w:t>C</w:t>
      </w:r>
      <w:r w:rsidR="005F63E8" w:rsidRPr="006955AF">
        <w:rPr>
          <w:rFonts w:ascii="Times" w:hAnsi="Times"/>
        </w:rPr>
        <w:t>ontractual damages identif</w:t>
      </w:r>
      <w:r w:rsidR="003829FE" w:rsidRPr="006955AF">
        <w:rPr>
          <w:rFonts w:ascii="Times" w:hAnsi="Times"/>
        </w:rPr>
        <w:t>y</w:t>
      </w:r>
      <w:r w:rsidR="005F63E8" w:rsidRPr="006955AF">
        <w:rPr>
          <w:rFonts w:ascii="Times" w:hAnsi="Times"/>
        </w:rPr>
        <w:t xml:space="preserve"> direct and consequential </w:t>
      </w:r>
      <w:r w:rsidR="005F63E8" w:rsidRPr="006955AF">
        <w:rPr>
          <w:rFonts w:ascii="Times" w:hAnsi="Times"/>
          <w:i/>
        </w:rPr>
        <w:t>losses</w:t>
      </w:r>
      <w:r w:rsidR="005F63E8" w:rsidRPr="006955AF">
        <w:rPr>
          <w:rFonts w:ascii="Times" w:hAnsi="Times"/>
        </w:rPr>
        <w:t xml:space="preserve"> flowing from a breach by comparing</w:t>
      </w:r>
      <w:r w:rsidR="000B47C8">
        <w:rPr>
          <w:rFonts w:ascii="Times" w:hAnsi="Times"/>
        </w:rPr>
        <w:t>, in monetised terms,</w:t>
      </w:r>
      <w:r w:rsidR="005F63E8" w:rsidRPr="006955AF">
        <w:rPr>
          <w:rFonts w:ascii="Times" w:hAnsi="Times"/>
        </w:rPr>
        <w:t xml:space="preserve"> the</w:t>
      </w:r>
      <w:r w:rsidR="00AC0337" w:rsidRPr="006955AF">
        <w:rPr>
          <w:rFonts w:ascii="Times" w:hAnsi="Times"/>
        </w:rPr>
        <w:t xml:space="preserve"> claimant’s</w:t>
      </w:r>
      <w:r w:rsidR="005F63E8" w:rsidRPr="006955AF">
        <w:rPr>
          <w:rFonts w:ascii="Times" w:hAnsi="Times"/>
        </w:rPr>
        <w:t xml:space="preserve"> position after the breach with the counterfactual </w:t>
      </w:r>
      <w:r w:rsidR="00EF06E5" w:rsidRPr="006955AF">
        <w:rPr>
          <w:rFonts w:ascii="Times" w:hAnsi="Times"/>
        </w:rPr>
        <w:t xml:space="preserve">position if </w:t>
      </w:r>
      <w:r w:rsidR="00FC700D" w:rsidRPr="006955AF">
        <w:rPr>
          <w:rFonts w:ascii="Times" w:hAnsi="Times"/>
        </w:rPr>
        <w:t xml:space="preserve">due </w:t>
      </w:r>
      <w:r w:rsidR="00EF06E5" w:rsidRPr="006955AF">
        <w:rPr>
          <w:rFonts w:ascii="Times" w:hAnsi="Times"/>
        </w:rPr>
        <w:t>performance had occurred</w:t>
      </w:r>
      <w:r w:rsidR="005F63E8" w:rsidRPr="006955AF">
        <w:rPr>
          <w:rFonts w:ascii="Times" w:hAnsi="Times"/>
        </w:rPr>
        <w:t xml:space="preserve">.  </w:t>
      </w:r>
      <w:r w:rsidR="004F25B2">
        <w:rPr>
          <w:rFonts w:ascii="Times" w:hAnsi="Times"/>
        </w:rPr>
        <w:t xml:space="preserve">This is explored in </w:t>
      </w:r>
      <w:r w:rsidR="004F25B2" w:rsidRPr="002B3751">
        <w:rPr>
          <w:rFonts w:ascii="Times" w:hAnsi="Times"/>
        </w:rPr>
        <w:t>Part</w:t>
      </w:r>
      <w:r w:rsidR="003529B6" w:rsidRPr="002B3751">
        <w:rPr>
          <w:rFonts w:ascii="Times" w:hAnsi="Times"/>
        </w:rPr>
        <w:t xml:space="preserve"> Six</w:t>
      </w:r>
      <w:r w:rsidR="004F25B2">
        <w:rPr>
          <w:rFonts w:ascii="Times" w:hAnsi="Times"/>
        </w:rPr>
        <w:t xml:space="preserve">.  </w:t>
      </w:r>
      <w:r w:rsidR="005F63E8" w:rsidRPr="006955AF">
        <w:rPr>
          <w:rFonts w:ascii="Times" w:hAnsi="Times"/>
        </w:rPr>
        <w:t>Equity</w:t>
      </w:r>
      <w:r w:rsidR="000B47C8">
        <w:rPr>
          <w:rFonts w:ascii="Times" w:hAnsi="Times"/>
        </w:rPr>
        <w:t xml:space="preserve">, by contrast, </w:t>
      </w:r>
      <w:r w:rsidR="005F63E8" w:rsidRPr="006955AF">
        <w:rPr>
          <w:rFonts w:ascii="Times" w:hAnsi="Times"/>
        </w:rPr>
        <w:t xml:space="preserve">is concerned with reparation </w:t>
      </w:r>
      <w:r w:rsidR="00097E1C" w:rsidRPr="006955AF">
        <w:rPr>
          <w:rFonts w:ascii="Times" w:hAnsi="Times"/>
        </w:rPr>
        <w:t xml:space="preserve">or restoration </w:t>
      </w:r>
      <w:r w:rsidR="005F63E8" w:rsidRPr="006955AF">
        <w:rPr>
          <w:rFonts w:ascii="Times" w:hAnsi="Times"/>
        </w:rPr>
        <w:t xml:space="preserve">of the trust fund </w:t>
      </w:r>
      <w:r w:rsidR="00C86D7A" w:rsidRPr="006955AF">
        <w:rPr>
          <w:rFonts w:ascii="Times" w:hAnsi="Times"/>
        </w:rPr>
        <w:t xml:space="preserve">– performance of the trust or a money approximation to performance – </w:t>
      </w:r>
      <w:r w:rsidR="005F63E8" w:rsidRPr="006955AF">
        <w:rPr>
          <w:rFonts w:ascii="Times" w:hAnsi="Times"/>
        </w:rPr>
        <w:t>rather than compensation of loss</w:t>
      </w:r>
      <w:r w:rsidR="00953FD7">
        <w:rPr>
          <w:rFonts w:ascii="Times" w:hAnsi="Times"/>
        </w:rPr>
        <w:t xml:space="preserve"> suffered by a particular person</w:t>
      </w:r>
      <w:r w:rsidR="005F63E8" w:rsidRPr="006955AF">
        <w:rPr>
          <w:rFonts w:ascii="Times" w:hAnsi="Times"/>
        </w:rPr>
        <w:t xml:space="preserve">.  </w:t>
      </w:r>
      <w:r w:rsidR="001275FF" w:rsidRPr="006955AF">
        <w:rPr>
          <w:rFonts w:ascii="Times" w:hAnsi="Times"/>
        </w:rPr>
        <w:t xml:space="preserve">Such an approach ensures that trust assets are </w:t>
      </w:r>
      <w:r w:rsidR="00FC3929" w:rsidRPr="006955AF">
        <w:rPr>
          <w:rFonts w:ascii="Times" w:hAnsi="Times"/>
        </w:rPr>
        <w:t xml:space="preserve">treated as </w:t>
      </w:r>
      <w:r w:rsidR="009F1CB5" w:rsidRPr="006955AF">
        <w:rPr>
          <w:rFonts w:ascii="Times" w:hAnsi="Times"/>
        </w:rPr>
        <w:t xml:space="preserve">always </w:t>
      </w:r>
      <w:r w:rsidR="001275FF" w:rsidRPr="006955AF">
        <w:rPr>
          <w:rFonts w:ascii="Times" w:hAnsi="Times"/>
        </w:rPr>
        <w:t xml:space="preserve">available for the proper </w:t>
      </w:r>
      <w:r w:rsidR="001275FF" w:rsidRPr="006955AF">
        <w:rPr>
          <w:rFonts w:ascii="Times" w:hAnsi="Times"/>
        </w:rPr>
        <w:lastRenderedPageBreak/>
        <w:t xml:space="preserve">performance of the trust, even </w:t>
      </w:r>
      <w:r w:rsidR="00C86D7A" w:rsidRPr="006955AF">
        <w:rPr>
          <w:rFonts w:ascii="Times" w:hAnsi="Times"/>
        </w:rPr>
        <w:t>when</w:t>
      </w:r>
      <w:r w:rsidR="001275FF" w:rsidRPr="006955AF">
        <w:rPr>
          <w:rFonts w:ascii="Times" w:hAnsi="Times"/>
        </w:rPr>
        <w:t xml:space="preserve"> they were not.  </w:t>
      </w:r>
      <w:r w:rsidR="0095147E" w:rsidRPr="006955AF">
        <w:rPr>
          <w:rFonts w:ascii="Times" w:hAnsi="Times"/>
        </w:rPr>
        <w:t xml:space="preserve">In fact, so strong is </w:t>
      </w:r>
      <w:r w:rsidR="00C1790F" w:rsidRPr="006955AF">
        <w:rPr>
          <w:rFonts w:ascii="Times" w:hAnsi="Times"/>
        </w:rPr>
        <w:t xml:space="preserve">equity’s </w:t>
      </w:r>
      <w:r w:rsidR="0095147E" w:rsidRPr="006955AF">
        <w:rPr>
          <w:rFonts w:ascii="Times" w:hAnsi="Times"/>
        </w:rPr>
        <w:t xml:space="preserve">commitment to the performance interest that </w:t>
      </w:r>
      <w:r w:rsidR="00403B08" w:rsidRPr="006955AF">
        <w:rPr>
          <w:rFonts w:ascii="Times" w:hAnsi="Times"/>
          <w:lang w:eastAsia="zh-TW"/>
        </w:rPr>
        <w:t xml:space="preserve">it deems </w:t>
      </w:r>
      <w:r w:rsidR="0095147E" w:rsidRPr="006955AF">
        <w:rPr>
          <w:rFonts w:ascii="Times" w:hAnsi="Times"/>
        </w:rPr>
        <w:t>unauthorised profits</w:t>
      </w:r>
      <w:r w:rsidR="00403B08" w:rsidRPr="006955AF">
        <w:rPr>
          <w:rFonts w:ascii="Times" w:hAnsi="Times"/>
        </w:rPr>
        <w:t xml:space="preserve"> as having been</w:t>
      </w:r>
      <w:r w:rsidR="0095147E" w:rsidRPr="006955AF">
        <w:rPr>
          <w:rFonts w:ascii="Times" w:hAnsi="Times"/>
        </w:rPr>
        <w:t xml:space="preserve"> made </w:t>
      </w:r>
      <w:r w:rsidR="00C86D7A" w:rsidRPr="006955AF">
        <w:rPr>
          <w:rFonts w:ascii="Times" w:hAnsi="Times"/>
        </w:rPr>
        <w:t>for the benefit of the trust fund</w:t>
      </w:r>
      <w:r w:rsidR="0095147E" w:rsidRPr="006955AF">
        <w:rPr>
          <w:rFonts w:ascii="Times" w:hAnsi="Times"/>
        </w:rPr>
        <w:t xml:space="preserve"> and </w:t>
      </w:r>
      <w:r w:rsidR="00403B08" w:rsidRPr="006955AF">
        <w:rPr>
          <w:rFonts w:ascii="Times" w:hAnsi="Times"/>
        </w:rPr>
        <w:t xml:space="preserve">hence accountable </w:t>
      </w:r>
      <w:r w:rsidR="00C86D7A" w:rsidRPr="006955AF">
        <w:rPr>
          <w:rFonts w:ascii="Times" w:hAnsi="Times"/>
        </w:rPr>
        <w:t xml:space="preserve">to the fund at the action of </w:t>
      </w:r>
      <w:r w:rsidR="00403B08" w:rsidRPr="006955AF">
        <w:rPr>
          <w:rFonts w:ascii="Times" w:hAnsi="Times"/>
        </w:rPr>
        <w:t>the beneficiary</w:t>
      </w:r>
      <w:r w:rsidR="0095147E" w:rsidRPr="006955AF">
        <w:rPr>
          <w:rFonts w:ascii="Times" w:hAnsi="Times"/>
        </w:rPr>
        <w:t xml:space="preserve">.  By the same logic, such profits are treated as having accrued to the trust fund the moment they are made.  The beneficiaries need only to assert their proprietary interests in them to demand delivery </w:t>
      </w:r>
      <w:r w:rsidR="0095147E" w:rsidRPr="006955AF">
        <w:rPr>
          <w:rFonts w:ascii="Times" w:hAnsi="Times"/>
          <w:i/>
        </w:rPr>
        <w:t>in specie</w:t>
      </w:r>
      <w:r w:rsidR="008C6D22" w:rsidRPr="006955AF">
        <w:rPr>
          <w:rFonts w:ascii="Times" w:hAnsi="Times"/>
          <w:i/>
        </w:rPr>
        <w:t>.</w:t>
      </w:r>
      <w:r w:rsidR="008C6D22" w:rsidRPr="006955AF">
        <w:rPr>
          <w:rFonts w:ascii="Times" w:hAnsi="Times"/>
        </w:rPr>
        <w:t xml:space="preserve">  </w:t>
      </w:r>
      <w:r w:rsidR="00403B08" w:rsidRPr="006955AF">
        <w:rPr>
          <w:rFonts w:ascii="Times" w:hAnsi="Times"/>
        </w:rPr>
        <w:t xml:space="preserve">Whereas </w:t>
      </w:r>
      <w:r w:rsidR="008C6D22" w:rsidRPr="006955AF">
        <w:rPr>
          <w:rFonts w:ascii="Times" w:hAnsi="Times"/>
        </w:rPr>
        <w:t>the law of trusts regularly order</w:t>
      </w:r>
      <w:r w:rsidR="009F1CB5" w:rsidRPr="006955AF">
        <w:rPr>
          <w:rFonts w:ascii="Times" w:hAnsi="Times"/>
        </w:rPr>
        <w:t>s</w:t>
      </w:r>
      <w:r w:rsidR="008C6D22" w:rsidRPr="006955AF">
        <w:rPr>
          <w:rFonts w:ascii="Times" w:hAnsi="Times"/>
        </w:rPr>
        <w:t xml:space="preserve"> </w:t>
      </w:r>
      <w:r w:rsidR="00C86D7A" w:rsidRPr="006955AF">
        <w:rPr>
          <w:rFonts w:ascii="Times" w:hAnsi="Times"/>
        </w:rPr>
        <w:t xml:space="preserve">an </w:t>
      </w:r>
      <w:r w:rsidR="008C6D22" w:rsidRPr="006955AF">
        <w:rPr>
          <w:rFonts w:ascii="Times" w:hAnsi="Times"/>
        </w:rPr>
        <w:t xml:space="preserve">account of profits and the proprietary remedies as a matter of course, the law of contract still treats </w:t>
      </w:r>
      <w:r w:rsidR="00C86D7A" w:rsidRPr="006955AF">
        <w:rPr>
          <w:rFonts w:ascii="Times" w:hAnsi="Times"/>
        </w:rPr>
        <w:t xml:space="preserve">an </w:t>
      </w:r>
      <w:r w:rsidR="008C6D22" w:rsidRPr="006955AF">
        <w:rPr>
          <w:rFonts w:ascii="Times" w:hAnsi="Times"/>
        </w:rPr>
        <w:t>account of profits as exceptional.</w:t>
      </w:r>
      <w:r w:rsidR="00F8055B" w:rsidRPr="006955AF">
        <w:rPr>
          <w:rStyle w:val="FootnoteReference"/>
        </w:rPr>
        <w:footnoteReference w:id="54"/>
      </w:r>
      <w:r w:rsidR="008C6D22" w:rsidRPr="006955AF">
        <w:rPr>
          <w:rFonts w:ascii="Times" w:hAnsi="Times"/>
        </w:rPr>
        <w:t xml:space="preserve"> </w:t>
      </w:r>
    </w:p>
    <w:p w14:paraId="5D0C7436" w14:textId="77777777" w:rsidR="00CB36E4" w:rsidRPr="006955AF" w:rsidRDefault="00CB36E4" w:rsidP="00A217B5">
      <w:pPr>
        <w:spacing w:line="360" w:lineRule="auto"/>
        <w:jc w:val="both"/>
        <w:rPr>
          <w:rFonts w:ascii="Times" w:hAnsi="Times"/>
        </w:rPr>
      </w:pPr>
    </w:p>
    <w:p w14:paraId="41D31289" w14:textId="330B21E9" w:rsidR="00CB36E4" w:rsidRPr="006955AF" w:rsidRDefault="00CB36E4" w:rsidP="00A217B5">
      <w:pPr>
        <w:spacing w:line="360" w:lineRule="auto"/>
        <w:jc w:val="both"/>
        <w:rPr>
          <w:rFonts w:ascii="Times" w:hAnsi="Times"/>
        </w:rPr>
      </w:pPr>
      <w:r w:rsidRPr="006955AF">
        <w:rPr>
          <w:rFonts w:ascii="Times" w:hAnsi="Times"/>
        </w:rPr>
        <w:t xml:space="preserve">This part will </w:t>
      </w:r>
      <w:r w:rsidR="00C86D7A" w:rsidRPr="006955AF">
        <w:rPr>
          <w:rFonts w:ascii="Times" w:hAnsi="Times"/>
        </w:rPr>
        <w:t xml:space="preserve">expand on these principles and </w:t>
      </w:r>
      <w:r w:rsidRPr="006955AF">
        <w:rPr>
          <w:rFonts w:ascii="Times" w:hAnsi="Times"/>
        </w:rPr>
        <w:t xml:space="preserve">examine in detail how </w:t>
      </w:r>
      <w:r w:rsidR="00CC253D">
        <w:rPr>
          <w:rFonts w:ascii="Times" w:hAnsi="Times"/>
        </w:rPr>
        <w:t xml:space="preserve">remedies </w:t>
      </w:r>
      <w:r w:rsidRPr="006955AF">
        <w:rPr>
          <w:rFonts w:ascii="Times" w:hAnsi="Times"/>
        </w:rPr>
        <w:t>(</w:t>
      </w:r>
      <w:r w:rsidR="003F274A" w:rsidRPr="006955AF">
        <w:rPr>
          <w:rFonts w:ascii="Times" w:hAnsi="Times"/>
        </w:rPr>
        <w:t xml:space="preserve">be </w:t>
      </w:r>
      <w:r w:rsidR="00020D91">
        <w:rPr>
          <w:rFonts w:ascii="Times" w:hAnsi="Times"/>
        </w:rPr>
        <w:t>they</w:t>
      </w:r>
      <w:r w:rsidR="009F1CB5" w:rsidRPr="006955AF">
        <w:rPr>
          <w:rFonts w:ascii="Times" w:hAnsi="Times"/>
        </w:rPr>
        <w:t xml:space="preserve"> </w:t>
      </w:r>
      <w:r w:rsidR="00097E1C" w:rsidRPr="006955AF">
        <w:rPr>
          <w:rFonts w:ascii="Times" w:hAnsi="Times"/>
        </w:rPr>
        <w:t xml:space="preserve">restorative </w:t>
      </w:r>
      <w:r w:rsidR="009F1CB5" w:rsidRPr="006955AF">
        <w:rPr>
          <w:rFonts w:ascii="Times" w:hAnsi="Times"/>
        </w:rPr>
        <w:t xml:space="preserve">or </w:t>
      </w:r>
      <w:r w:rsidRPr="006955AF">
        <w:rPr>
          <w:rFonts w:ascii="Times" w:hAnsi="Times"/>
        </w:rPr>
        <w:t>gain-stripping) for breach of trust are premised upon the primacy of the performance interest.</w:t>
      </w:r>
    </w:p>
    <w:p w14:paraId="597AE038" w14:textId="77777777" w:rsidR="00CB36E4" w:rsidRPr="006955AF" w:rsidRDefault="00CB36E4" w:rsidP="00A217B5">
      <w:pPr>
        <w:spacing w:line="360" w:lineRule="auto"/>
        <w:jc w:val="both"/>
        <w:rPr>
          <w:rFonts w:ascii="Times" w:hAnsi="Times"/>
        </w:rPr>
      </w:pPr>
    </w:p>
    <w:p w14:paraId="59F8A500" w14:textId="236605FC" w:rsidR="00CB36E4" w:rsidRPr="00FE2069" w:rsidRDefault="00A23E12" w:rsidP="00A217B5">
      <w:pPr>
        <w:pStyle w:val="ListParagraph"/>
        <w:numPr>
          <w:ilvl w:val="0"/>
          <w:numId w:val="7"/>
        </w:numPr>
        <w:spacing w:line="360" w:lineRule="auto"/>
        <w:jc w:val="both"/>
        <w:outlineLvl w:val="0"/>
        <w:rPr>
          <w:rFonts w:ascii="Times" w:hAnsi="Times"/>
        </w:rPr>
      </w:pPr>
      <w:r w:rsidRPr="00FE2069">
        <w:rPr>
          <w:rFonts w:ascii="Times" w:hAnsi="Times"/>
          <w:i/>
        </w:rPr>
        <w:t>Resto</w:t>
      </w:r>
      <w:r w:rsidR="003C6FF4" w:rsidRPr="00FE2069">
        <w:rPr>
          <w:rFonts w:ascii="Times" w:hAnsi="Times"/>
          <w:i/>
        </w:rPr>
        <w:t xml:space="preserve">rative </w:t>
      </w:r>
      <w:r w:rsidR="00CB36E4" w:rsidRPr="00FE2069">
        <w:rPr>
          <w:rFonts w:ascii="Times" w:hAnsi="Times"/>
          <w:i/>
        </w:rPr>
        <w:t>claims for breach of trust</w:t>
      </w:r>
    </w:p>
    <w:p w14:paraId="32DED6FB" w14:textId="77777777" w:rsidR="00CB36E4" w:rsidRPr="006955AF" w:rsidRDefault="00CB36E4" w:rsidP="00A217B5">
      <w:pPr>
        <w:spacing w:line="360" w:lineRule="auto"/>
        <w:jc w:val="both"/>
        <w:rPr>
          <w:rFonts w:ascii="Times" w:hAnsi="Times"/>
        </w:rPr>
      </w:pPr>
    </w:p>
    <w:p w14:paraId="3759A56C" w14:textId="460C3F0C" w:rsidR="004D25E1" w:rsidRPr="006955AF" w:rsidRDefault="00376EBF" w:rsidP="00A217B5">
      <w:pPr>
        <w:spacing w:line="360" w:lineRule="auto"/>
        <w:jc w:val="both"/>
        <w:rPr>
          <w:rFonts w:ascii="Times" w:hAnsi="Times"/>
        </w:rPr>
      </w:pPr>
      <w:r w:rsidRPr="006955AF">
        <w:rPr>
          <w:rFonts w:ascii="Times" w:hAnsi="Times"/>
        </w:rPr>
        <w:t xml:space="preserve">In the law of trusts, personal remedies for misapplied trust property or </w:t>
      </w:r>
      <w:r w:rsidR="00BE56A5" w:rsidRPr="006955AF">
        <w:rPr>
          <w:rFonts w:ascii="Times" w:hAnsi="Times"/>
        </w:rPr>
        <w:t xml:space="preserve">omitted acquisitions </w:t>
      </w:r>
      <w:r w:rsidRPr="006955AF">
        <w:rPr>
          <w:rFonts w:ascii="Times" w:hAnsi="Times"/>
        </w:rPr>
        <w:t xml:space="preserve">are mediated through the accounting mechanism, which </w:t>
      </w:r>
      <w:r w:rsidR="005622F5" w:rsidRPr="006955AF">
        <w:rPr>
          <w:rFonts w:ascii="Times" w:hAnsi="Times"/>
        </w:rPr>
        <w:t>aim</w:t>
      </w:r>
      <w:r w:rsidR="00013A1A" w:rsidRPr="006955AF">
        <w:rPr>
          <w:rFonts w:ascii="Times" w:hAnsi="Times"/>
        </w:rPr>
        <w:t>s</w:t>
      </w:r>
      <w:r w:rsidR="005622F5" w:rsidRPr="006955AF">
        <w:rPr>
          <w:rFonts w:ascii="Times" w:hAnsi="Times"/>
        </w:rPr>
        <w:t xml:space="preserve"> </w:t>
      </w:r>
      <w:r w:rsidR="00392F54" w:rsidRPr="006955AF">
        <w:rPr>
          <w:rFonts w:ascii="Times" w:hAnsi="Times"/>
        </w:rPr>
        <w:t xml:space="preserve">to restore the trust fund to the state (or at least the value) it would have </w:t>
      </w:r>
      <w:r w:rsidR="00CB36E4" w:rsidRPr="006955AF">
        <w:rPr>
          <w:rFonts w:ascii="Times" w:hAnsi="Times"/>
          <w:i/>
        </w:rPr>
        <w:t xml:space="preserve">if </w:t>
      </w:r>
      <w:r w:rsidRPr="006955AF">
        <w:rPr>
          <w:rFonts w:ascii="Times" w:hAnsi="Times"/>
        </w:rPr>
        <w:t>t</w:t>
      </w:r>
      <w:r w:rsidR="00CB36E4" w:rsidRPr="006955AF">
        <w:rPr>
          <w:rFonts w:ascii="Times" w:hAnsi="Times"/>
        </w:rPr>
        <w:t xml:space="preserve">he </w:t>
      </w:r>
      <w:r w:rsidRPr="006955AF">
        <w:rPr>
          <w:rFonts w:ascii="Times" w:hAnsi="Times"/>
        </w:rPr>
        <w:t xml:space="preserve">trustee </w:t>
      </w:r>
      <w:r w:rsidR="00CB36E4" w:rsidRPr="006955AF">
        <w:rPr>
          <w:rFonts w:ascii="Times" w:hAnsi="Times"/>
        </w:rPr>
        <w:t xml:space="preserve">had </w:t>
      </w:r>
      <w:r w:rsidR="00392F54" w:rsidRPr="006955AF">
        <w:rPr>
          <w:rFonts w:ascii="Times" w:hAnsi="Times"/>
        </w:rPr>
        <w:t xml:space="preserve">acted in an authorised manner and </w:t>
      </w:r>
      <w:r w:rsidRPr="006955AF">
        <w:rPr>
          <w:rFonts w:ascii="Times" w:hAnsi="Times"/>
        </w:rPr>
        <w:t>performed the trust</w:t>
      </w:r>
      <w:r w:rsidR="00CB36E4" w:rsidRPr="006955AF">
        <w:rPr>
          <w:rFonts w:ascii="Times" w:hAnsi="Times"/>
        </w:rPr>
        <w:t>.</w:t>
      </w:r>
      <w:r w:rsidR="007C7B7A" w:rsidRPr="006955AF">
        <w:rPr>
          <w:rFonts w:ascii="Times" w:hAnsi="Times"/>
        </w:rPr>
        <w:t xml:space="preserve"> </w:t>
      </w:r>
      <w:r w:rsidR="008446E6">
        <w:rPr>
          <w:rFonts w:ascii="Times" w:hAnsi="Times"/>
        </w:rPr>
        <w:t xml:space="preserve"> </w:t>
      </w:r>
      <w:r w:rsidR="002A0602" w:rsidRPr="006955AF">
        <w:rPr>
          <w:rFonts w:ascii="Times" w:hAnsi="Times"/>
        </w:rPr>
        <w:t>A</w:t>
      </w:r>
      <w:r w:rsidR="00CB1529" w:rsidRPr="006955AF">
        <w:rPr>
          <w:rFonts w:ascii="Times" w:hAnsi="Times"/>
        </w:rPr>
        <w:t xml:space="preserve">n account showing the actual state of the trust fund is compared with a notional account showing the (counterfactual) </w:t>
      </w:r>
      <w:r w:rsidR="001166A7" w:rsidRPr="006955AF">
        <w:rPr>
          <w:rFonts w:ascii="Times" w:hAnsi="Times"/>
        </w:rPr>
        <w:t xml:space="preserve">proper </w:t>
      </w:r>
      <w:r w:rsidR="00CB1529" w:rsidRPr="006955AF">
        <w:rPr>
          <w:rFonts w:ascii="Times" w:hAnsi="Times"/>
        </w:rPr>
        <w:t>state</w:t>
      </w:r>
      <w:r w:rsidR="002A0602" w:rsidRPr="006955AF">
        <w:rPr>
          <w:rFonts w:ascii="Times" w:hAnsi="Times"/>
        </w:rPr>
        <w:t xml:space="preserve"> </w:t>
      </w:r>
      <w:r w:rsidR="00CB1529" w:rsidRPr="006955AF">
        <w:rPr>
          <w:rFonts w:ascii="Times" w:hAnsi="Times"/>
        </w:rPr>
        <w:t xml:space="preserve">of the trust fund had the trust been duly performed.  The trustee is ordered to take action to restore the trust fund from its actual state to its </w:t>
      </w:r>
      <w:r w:rsidR="001166A7" w:rsidRPr="006955AF">
        <w:rPr>
          <w:rFonts w:ascii="Times" w:hAnsi="Times"/>
        </w:rPr>
        <w:t xml:space="preserve">proper state, whether by adding assets </w:t>
      </w:r>
      <w:r w:rsidR="001166A7" w:rsidRPr="006955AF">
        <w:rPr>
          <w:rFonts w:ascii="Times" w:hAnsi="Times"/>
          <w:i/>
        </w:rPr>
        <w:t>in specie</w:t>
      </w:r>
      <w:r w:rsidR="001166A7" w:rsidRPr="006955AF">
        <w:rPr>
          <w:rFonts w:ascii="Times" w:hAnsi="Times"/>
        </w:rPr>
        <w:t xml:space="preserve"> to the fund or by the payment of money into the fund.</w:t>
      </w:r>
      <w:r w:rsidR="00EE2184" w:rsidRPr="006955AF">
        <w:rPr>
          <w:rStyle w:val="FootnoteReference"/>
        </w:rPr>
        <w:footnoteReference w:id="55"/>
      </w:r>
      <w:r w:rsidR="00BC57A2" w:rsidRPr="006955AF">
        <w:rPr>
          <w:rFonts w:ascii="Times" w:hAnsi="Times"/>
        </w:rPr>
        <w:t xml:space="preserve">  </w:t>
      </w:r>
      <w:r w:rsidR="00CD7DAB" w:rsidRPr="006955AF">
        <w:rPr>
          <w:rFonts w:ascii="Times" w:hAnsi="Times"/>
        </w:rPr>
        <w:t>The trustee is required to produce the trust account</w:t>
      </w:r>
      <w:r w:rsidR="00CB1529" w:rsidRPr="006955AF">
        <w:rPr>
          <w:rFonts w:ascii="Times" w:hAnsi="Times"/>
        </w:rPr>
        <w:t>s</w:t>
      </w:r>
      <w:r w:rsidR="00CD7DAB" w:rsidRPr="006955AF">
        <w:rPr>
          <w:rFonts w:ascii="Times" w:hAnsi="Times"/>
        </w:rPr>
        <w:t xml:space="preserve"> as part of his stewardship of trust property</w:t>
      </w:r>
      <w:r w:rsidR="007C7B7A" w:rsidRPr="006955AF">
        <w:rPr>
          <w:rFonts w:ascii="Times" w:hAnsi="Times"/>
        </w:rPr>
        <w:t>,</w:t>
      </w:r>
      <w:r w:rsidR="00823BD3" w:rsidRPr="006955AF">
        <w:rPr>
          <w:rStyle w:val="FootnoteReference"/>
        </w:rPr>
        <w:footnoteReference w:id="56"/>
      </w:r>
      <w:r w:rsidR="009726C3" w:rsidRPr="006955AF">
        <w:rPr>
          <w:rFonts w:ascii="Times" w:hAnsi="Times"/>
        </w:rPr>
        <w:t xml:space="preserve"> </w:t>
      </w:r>
      <w:r w:rsidR="007C7B7A" w:rsidRPr="006955AF">
        <w:rPr>
          <w:rFonts w:ascii="Times" w:hAnsi="Times"/>
        </w:rPr>
        <w:t xml:space="preserve">whereas </w:t>
      </w:r>
      <w:r w:rsidR="00823BD3" w:rsidRPr="006955AF">
        <w:rPr>
          <w:rFonts w:ascii="Times" w:hAnsi="Times"/>
        </w:rPr>
        <w:t>the beneficiary</w:t>
      </w:r>
      <w:r w:rsidR="001166A7" w:rsidRPr="006955AF">
        <w:rPr>
          <w:rFonts w:ascii="Times" w:hAnsi="Times"/>
        </w:rPr>
        <w:t>, when constructing the counterfactual account of the proper state of the trust fund,</w:t>
      </w:r>
      <w:r w:rsidR="00823BD3" w:rsidRPr="006955AF">
        <w:rPr>
          <w:rFonts w:ascii="Times" w:hAnsi="Times"/>
        </w:rPr>
        <w:t xml:space="preserve"> </w:t>
      </w:r>
      <w:r w:rsidR="00843164" w:rsidRPr="006955AF">
        <w:rPr>
          <w:rFonts w:ascii="Times" w:hAnsi="Times"/>
        </w:rPr>
        <w:t>has the option</w:t>
      </w:r>
      <w:r w:rsidR="007C7B7A" w:rsidRPr="006955AF">
        <w:rPr>
          <w:rFonts w:ascii="Times" w:hAnsi="Times"/>
        </w:rPr>
        <w:t>, as it suits him,</w:t>
      </w:r>
      <w:r w:rsidR="00843164" w:rsidRPr="006955AF">
        <w:rPr>
          <w:rFonts w:ascii="Times" w:hAnsi="Times"/>
        </w:rPr>
        <w:t xml:space="preserve"> to </w:t>
      </w:r>
      <w:r w:rsidR="002F4F3D" w:rsidRPr="006955AF">
        <w:rPr>
          <w:rFonts w:ascii="Times" w:hAnsi="Times"/>
        </w:rPr>
        <w:t>fals</w:t>
      </w:r>
      <w:r w:rsidR="006F6B0E" w:rsidRPr="006955AF">
        <w:rPr>
          <w:rFonts w:ascii="Times" w:hAnsi="Times"/>
        </w:rPr>
        <w:t>if</w:t>
      </w:r>
      <w:r w:rsidR="00823BD3" w:rsidRPr="006955AF">
        <w:rPr>
          <w:rFonts w:ascii="Times" w:hAnsi="Times"/>
        </w:rPr>
        <w:t>y</w:t>
      </w:r>
      <w:r w:rsidR="002F4F3D" w:rsidRPr="006955AF">
        <w:rPr>
          <w:rFonts w:ascii="Times" w:hAnsi="Times"/>
        </w:rPr>
        <w:t xml:space="preserve"> or surcharge </w:t>
      </w:r>
      <w:r w:rsidR="000036C4" w:rsidRPr="006955AF">
        <w:rPr>
          <w:rFonts w:ascii="Times" w:hAnsi="Times"/>
        </w:rPr>
        <w:t>the account</w:t>
      </w:r>
      <w:r w:rsidR="002F4F3D" w:rsidRPr="006955AF">
        <w:rPr>
          <w:rFonts w:ascii="Times" w:hAnsi="Times"/>
        </w:rPr>
        <w:t xml:space="preserve"> </w:t>
      </w:r>
      <w:r w:rsidR="00CD7DAB" w:rsidRPr="006955AF">
        <w:rPr>
          <w:rFonts w:ascii="Times" w:hAnsi="Times"/>
        </w:rPr>
        <w:t xml:space="preserve">by treating </w:t>
      </w:r>
      <w:r w:rsidR="00E264ED" w:rsidRPr="006955AF">
        <w:rPr>
          <w:rFonts w:ascii="Times" w:hAnsi="Times"/>
        </w:rPr>
        <w:t xml:space="preserve">misapplied assets </w:t>
      </w:r>
      <w:r w:rsidR="00CD7DAB" w:rsidRPr="006955AF">
        <w:rPr>
          <w:rFonts w:ascii="Times" w:hAnsi="Times"/>
        </w:rPr>
        <w:t xml:space="preserve">as having always belonged to the trust estate and </w:t>
      </w:r>
      <w:r w:rsidR="00F85D31" w:rsidRPr="006955AF">
        <w:rPr>
          <w:rFonts w:ascii="Times" w:hAnsi="Times"/>
        </w:rPr>
        <w:t xml:space="preserve">treating </w:t>
      </w:r>
      <w:r w:rsidR="00CD7DAB" w:rsidRPr="006955AF">
        <w:rPr>
          <w:rFonts w:ascii="Times" w:hAnsi="Times"/>
        </w:rPr>
        <w:t>omitted investments as having already been obtained</w:t>
      </w:r>
      <w:r w:rsidR="00E264ED" w:rsidRPr="006955AF">
        <w:rPr>
          <w:rFonts w:ascii="Times" w:hAnsi="Times"/>
        </w:rPr>
        <w:t>.</w:t>
      </w:r>
      <w:r w:rsidR="001D3884" w:rsidRPr="006955AF">
        <w:rPr>
          <w:rFonts w:ascii="Times" w:hAnsi="Times"/>
        </w:rPr>
        <w:t xml:space="preserve"> </w:t>
      </w:r>
      <w:r w:rsidR="00CD7DAB" w:rsidRPr="006955AF">
        <w:rPr>
          <w:rFonts w:ascii="Times" w:hAnsi="Times"/>
        </w:rPr>
        <w:t xml:space="preserve"> </w:t>
      </w:r>
    </w:p>
    <w:p w14:paraId="02FD3E64" w14:textId="77777777" w:rsidR="004D25E1" w:rsidRPr="006955AF" w:rsidRDefault="004D25E1" w:rsidP="00A217B5">
      <w:pPr>
        <w:spacing w:line="360" w:lineRule="auto"/>
        <w:jc w:val="both"/>
        <w:rPr>
          <w:rFonts w:ascii="Times" w:hAnsi="Times"/>
        </w:rPr>
      </w:pPr>
    </w:p>
    <w:p w14:paraId="76B5F302" w14:textId="79FD43A9" w:rsidR="007E11F6" w:rsidRDefault="00843164" w:rsidP="00A217B5">
      <w:pPr>
        <w:spacing w:line="360" w:lineRule="auto"/>
        <w:jc w:val="both"/>
        <w:rPr>
          <w:rFonts w:ascii="Times" w:hAnsi="Times"/>
        </w:rPr>
      </w:pPr>
      <w:r w:rsidRPr="006955AF">
        <w:rPr>
          <w:rFonts w:ascii="Times" w:hAnsi="Times"/>
        </w:rPr>
        <w:t xml:space="preserve">Importantly, as </w:t>
      </w:r>
      <w:r w:rsidR="003263D0" w:rsidRPr="006955AF">
        <w:rPr>
          <w:rFonts w:ascii="Times" w:hAnsi="Times"/>
        </w:rPr>
        <w:t>Viscount Haldane</w:t>
      </w:r>
      <w:r w:rsidR="004C71E5">
        <w:rPr>
          <w:rFonts w:ascii="Times" w:hAnsi="Times"/>
        </w:rPr>
        <w:t xml:space="preserve"> reaffirmed</w:t>
      </w:r>
      <w:r w:rsidR="00E9396E" w:rsidRPr="006955AF">
        <w:rPr>
          <w:rFonts w:ascii="Times" w:hAnsi="Times"/>
        </w:rPr>
        <w:t xml:space="preserve"> in </w:t>
      </w:r>
      <w:r w:rsidR="00E9396E" w:rsidRPr="006955AF">
        <w:rPr>
          <w:rFonts w:ascii="Times" w:hAnsi="Times"/>
          <w:i/>
        </w:rPr>
        <w:t>British America Elevator Co Ltd v Bank of British North America</w:t>
      </w:r>
      <w:r w:rsidR="004D25E1" w:rsidRPr="006955AF">
        <w:rPr>
          <w:rFonts w:ascii="Times" w:hAnsi="Times"/>
        </w:rPr>
        <w:t xml:space="preserve">, a claim to recover misapplied assets is </w:t>
      </w:r>
      <w:r w:rsidR="00E618F0">
        <w:rPr>
          <w:rFonts w:ascii="Times" w:hAnsi="Times"/>
        </w:rPr>
        <w:t>“</w:t>
      </w:r>
      <w:r w:rsidR="00E9396E" w:rsidRPr="006955AF">
        <w:rPr>
          <w:rFonts w:ascii="Times" w:hAnsi="Times"/>
        </w:rPr>
        <w:t xml:space="preserve">one for replacement of trust fund, and not for </w:t>
      </w:r>
      <w:r w:rsidR="00E618F0" w:rsidRPr="006955AF">
        <w:rPr>
          <w:rFonts w:ascii="Times" w:hAnsi="Times"/>
        </w:rPr>
        <w:t>damages</w:t>
      </w:r>
      <w:r w:rsidR="00E618F0">
        <w:rPr>
          <w:rFonts w:ascii="Times" w:hAnsi="Times"/>
        </w:rPr>
        <w:t>”</w:t>
      </w:r>
      <w:r w:rsidR="00E9396E" w:rsidRPr="006955AF">
        <w:rPr>
          <w:rFonts w:ascii="Times" w:hAnsi="Times"/>
        </w:rPr>
        <w:t>.</w:t>
      </w:r>
      <w:r w:rsidR="00E9396E" w:rsidRPr="006955AF">
        <w:rPr>
          <w:rStyle w:val="FootnoteReference"/>
        </w:rPr>
        <w:footnoteReference w:id="57"/>
      </w:r>
      <w:r w:rsidR="004D25E1" w:rsidRPr="006955AF">
        <w:rPr>
          <w:rFonts w:ascii="Times" w:hAnsi="Times"/>
        </w:rPr>
        <w:t xml:space="preserve"> T</w:t>
      </w:r>
      <w:r w:rsidR="004E046D" w:rsidRPr="006955AF">
        <w:rPr>
          <w:rFonts w:ascii="Times" w:hAnsi="Times"/>
        </w:rPr>
        <w:t>he law of trusts</w:t>
      </w:r>
      <w:r w:rsidR="004219BB" w:rsidRPr="006955AF">
        <w:rPr>
          <w:rFonts w:ascii="Times" w:hAnsi="Times"/>
        </w:rPr>
        <w:t xml:space="preserve"> </w:t>
      </w:r>
      <w:r w:rsidR="0039022C" w:rsidRPr="006955AF">
        <w:rPr>
          <w:rFonts w:ascii="Times" w:hAnsi="Times"/>
        </w:rPr>
        <w:t xml:space="preserve">focuses </w:t>
      </w:r>
      <w:r w:rsidR="0024033C" w:rsidRPr="006955AF">
        <w:rPr>
          <w:rFonts w:ascii="Times" w:hAnsi="Times"/>
        </w:rPr>
        <w:t xml:space="preserve">on </w:t>
      </w:r>
      <w:r w:rsidR="00D541C9" w:rsidRPr="006955AF">
        <w:rPr>
          <w:rFonts w:ascii="Times" w:hAnsi="Times"/>
        </w:rPr>
        <w:t xml:space="preserve">restoring the </w:t>
      </w:r>
      <w:r w:rsidR="002731F1" w:rsidRPr="006955AF">
        <w:rPr>
          <w:rFonts w:ascii="Times" w:hAnsi="Times"/>
        </w:rPr>
        <w:t>due administration of the trust fund</w:t>
      </w:r>
      <w:r w:rsidR="008A472B">
        <w:rPr>
          <w:rFonts w:ascii="Times" w:hAnsi="Times"/>
        </w:rPr>
        <w:t>,</w:t>
      </w:r>
      <w:r w:rsidR="002731F1" w:rsidRPr="006955AF">
        <w:rPr>
          <w:rFonts w:ascii="Times" w:hAnsi="Times"/>
        </w:rPr>
        <w:t xml:space="preserve"> rather than reversing harm done to it</w:t>
      </w:r>
      <w:r w:rsidR="00486978" w:rsidRPr="006955AF">
        <w:rPr>
          <w:rFonts w:ascii="Times" w:hAnsi="Times"/>
        </w:rPr>
        <w:t>.</w:t>
      </w:r>
      <w:r w:rsidR="006E5E29" w:rsidRPr="006955AF">
        <w:rPr>
          <w:rStyle w:val="FootnoteReference"/>
        </w:rPr>
        <w:footnoteReference w:id="58"/>
      </w:r>
      <w:r w:rsidR="00486978" w:rsidRPr="006955AF">
        <w:rPr>
          <w:rFonts w:ascii="Times" w:hAnsi="Times"/>
        </w:rPr>
        <w:t xml:space="preserve"> </w:t>
      </w:r>
      <w:r w:rsidR="00BE0BF0">
        <w:rPr>
          <w:rFonts w:ascii="Times" w:hAnsi="Times"/>
        </w:rPr>
        <w:t>The goal of trust law is the restoration of the trust fund to its duly administered state</w:t>
      </w:r>
      <w:r w:rsidR="00EE40C4">
        <w:rPr>
          <w:rFonts w:ascii="Times" w:hAnsi="Times"/>
        </w:rPr>
        <w:t>, not some other</w:t>
      </w:r>
      <w:r w:rsidR="00EB6BE5">
        <w:rPr>
          <w:rFonts w:ascii="Times" w:hAnsi="Times"/>
        </w:rPr>
        <w:t xml:space="preserve"> maladministered state, however likel</w:t>
      </w:r>
      <w:r w:rsidR="00406730">
        <w:rPr>
          <w:rFonts w:ascii="Times" w:hAnsi="Times"/>
        </w:rPr>
        <w:t>y</w:t>
      </w:r>
      <w:r w:rsidR="00EB6BE5">
        <w:rPr>
          <w:rFonts w:ascii="Times" w:hAnsi="Times"/>
        </w:rPr>
        <w:t xml:space="preserve">.  </w:t>
      </w:r>
      <w:r w:rsidR="00D74D47" w:rsidRPr="006955AF">
        <w:rPr>
          <w:rFonts w:ascii="Times" w:hAnsi="Times"/>
          <w:lang w:eastAsia="zh-TW"/>
        </w:rPr>
        <w:t xml:space="preserve">Thus, </w:t>
      </w:r>
      <w:r w:rsidR="00EB6BE5">
        <w:rPr>
          <w:rFonts w:ascii="Times" w:hAnsi="Times"/>
          <w:lang w:eastAsia="zh-TW"/>
        </w:rPr>
        <w:t xml:space="preserve">an </w:t>
      </w:r>
      <w:r w:rsidR="00D74D47" w:rsidRPr="006955AF">
        <w:rPr>
          <w:rFonts w:ascii="Times" w:hAnsi="Times"/>
          <w:lang w:eastAsia="zh-TW"/>
        </w:rPr>
        <w:t xml:space="preserve">errant trustee </w:t>
      </w:r>
      <w:r w:rsidR="00D74D47">
        <w:rPr>
          <w:rFonts w:ascii="Times" w:hAnsi="Times"/>
          <w:lang w:eastAsia="zh-TW"/>
        </w:rPr>
        <w:t>may</w:t>
      </w:r>
      <w:r w:rsidR="00DD29F9">
        <w:rPr>
          <w:rFonts w:ascii="Times" w:hAnsi="Times"/>
          <w:lang w:eastAsia="zh-TW"/>
        </w:rPr>
        <w:t xml:space="preserve"> </w:t>
      </w:r>
      <w:r w:rsidR="003C0DFF">
        <w:rPr>
          <w:rFonts w:ascii="Times" w:hAnsi="Times"/>
          <w:lang w:eastAsia="zh-TW"/>
        </w:rPr>
        <w:t xml:space="preserve">not </w:t>
      </w:r>
      <w:r w:rsidR="00DD29F9">
        <w:rPr>
          <w:rFonts w:ascii="Times" w:hAnsi="Times"/>
          <w:lang w:eastAsia="zh-TW"/>
        </w:rPr>
        <w:t>argue</w:t>
      </w:r>
      <w:r w:rsidR="00D74D47">
        <w:rPr>
          <w:rFonts w:ascii="Times" w:hAnsi="Times"/>
          <w:lang w:eastAsia="zh-TW"/>
        </w:rPr>
        <w:t xml:space="preserve"> </w:t>
      </w:r>
      <w:r w:rsidR="00D74D47" w:rsidRPr="006955AF">
        <w:rPr>
          <w:rFonts w:ascii="Times" w:hAnsi="Times"/>
          <w:lang w:eastAsia="zh-TW"/>
        </w:rPr>
        <w:t>that</w:t>
      </w:r>
      <w:r w:rsidR="00D74D47">
        <w:rPr>
          <w:rFonts w:ascii="Times" w:hAnsi="Times"/>
          <w:lang w:eastAsia="zh-TW"/>
        </w:rPr>
        <w:t xml:space="preserve"> </w:t>
      </w:r>
      <w:r w:rsidR="00A62DE2">
        <w:rPr>
          <w:rFonts w:ascii="Times" w:hAnsi="Times"/>
          <w:lang w:eastAsia="zh-TW"/>
        </w:rPr>
        <w:t xml:space="preserve">even though he </w:t>
      </w:r>
      <w:r w:rsidR="003C0DFF">
        <w:rPr>
          <w:rFonts w:ascii="Times" w:hAnsi="Times"/>
          <w:lang w:eastAsia="zh-TW"/>
        </w:rPr>
        <w:t xml:space="preserve">breached his trust and thereby depleted the trust fund, </w:t>
      </w:r>
      <w:r w:rsidR="00A62DE2">
        <w:rPr>
          <w:rFonts w:ascii="Times" w:hAnsi="Times"/>
          <w:lang w:eastAsia="zh-TW"/>
        </w:rPr>
        <w:t xml:space="preserve">the fund </w:t>
      </w:r>
      <w:r w:rsidR="00D74D47" w:rsidRPr="006955AF">
        <w:rPr>
          <w:rFonts w:ascii="Times" w:hAnsi="Times"/>
          <w:lang w:eastAsia="zh-TW"/>
        </w:rPr>
        <w:t xml:space="preserve">would have </w:t>
      </w:r>
      <w:r w:rsidR="00A62DE2">
        <w:rPr>
          <w:rFonts w:ascii="Times" w:hAnsi="Times"/>
          <w:lang w:eastAsia="zh-TW"/>
        </w:rPr>
        <w:t xml:space="preserve">been depleted to the same extent </w:t>
      </w:r>
      <w:r w:rsidR="00D74D47" w:rsidRPr="006955AF">
        <w:rPr>
          <w:rFonts w:ascii="Times" w:hAnsi="Times"/>
          <w:lang w:eastAsia="zh-TW"/>
        </w:rPr>
        <w:t>in any event</w:t>
      </w:r>
      <w:r w:rsidR="00EB6BE5">
        <w:rPr>
          <w:rFonts w:ascii="Times" w:hAnsi="Times"/>
          <w:lang w:eastAsia="zh-TW"/>
        </w:rPr>
        <w:t xml:space="preserve"> by some other breach of duty</w:t>
      </w:r>
      <w:r w:rsidR="00DD29F9">
        <w:rPr>
          <w:rFonts w:ascii="Times" w:hAnsi="Times"/>
          <w:lang w:eastAsia="zh-TW"/>
        </w:rPr>
        <w:t>.</w:t>
      </w:r>
      <w:r w:rsidR="00D74D47" w:rsidRPr="006955AF">
        <w:rPr>
          <w:rStyle w:val="FootnoteReference"/>
        </w:rPr>
        <w:footnoteReference w:id="59"/>
      </w:r>
      <w:r w:rsidR="00D74D47">
        <w:rPr>
          <w:rFonts w:ascii="Times" w:hAnsi="Times"/>
        </w:rPr>
        <w:t xml:space="preserve"> </w:t>
      </w:r>
      <w:r w:rsidR="00DD29F9">
        <w:rPr>
          <w:rFonts w:ascii="Times" w:hAnsi="Times"/>
        </w:rPr>
        <w:t xml:space="preserve"> </w:t>
      </w:r>
    </w:p>
    <w:p w14:paraId="3E732480" w14:textId="77777777" w:rsidR="007E11F6" w:rsidRDefault="007E11F6" w:rsidP="00A217B5">
      <w:pPr>
        <w:spacing w:line="360" w:lineRule="auto"/>
        <w:jc w:val="both"/>
        <w:rPr>
          <w:rFonts w:ascii="Times" w:hAnsi="Times"/>
        </w:rPr>
      </w:pPr>
    </w:p>
    <w:p w14:paraId="5C2931AD" w14:textId="20005E6B" w:rsidR="00A92FFF" w:rsidRDefault="00A92FFF" w:rsidP="00A217B5">
      <w:pPr>
        <w:spacing w:line="360" w:lineRule="auto"/>
        <w:jc w:val="both"/>
        <w:rPr>
          <w:rFonts w:ascii="Times" w:hAnsi="Times"/>
          <w:lang w:eastAsia="zh-TW"/>
        </w:rPr>
      </w:pPr>
      <w:r>
        <w:rPr>
          <w:rFonts w:ascii="Times" w:hAnsi="Times"/>
        </w:rPr>
        <w:t>C</w:t>
      </w:r>
      <w:r w:rsidRPr="006955AF">
        <w:rPr>
          <w:rFonts w:ascii="Times" w:hAnsi="Times"/>
        </w:rPr>
        <w:t xml:space="preserve">ontract law </w:t>
      </w:r>
      <w:r>
        <w:rPr>
          <w:rFonts w:ascii="Times" w:hAnsi="Times"/>
        </w:rPr>
        <w:t xml:space="preserve">is interested to compensate the loss suffered by the victim of a breach of contract for which the party in breach is responsible.  It is therefore necessary to identify the relevant measure of loss (reliance loss; expectation loss; loss of enjoyment or amenity; the hypothetical price of permission to breach etc); then determine </w:t>
      </w:r>
      <w:r w:rsidRPr="006955AF">
        <w:rPr>
          <w:rFonts w:ascii="Times" w:hAnsi="Times"/>
        </w:rPr>
        <w:t xml:space="preserve">a </w:t>
      </w:r>
      <w:r>
        <w:rPr>
          <w:rFonts w:ascii="Times" w:hAnsi="Times"/>
        </w:rPr>
        <w:t xml:space="preserve">monetised </w:t>
      </w:r>
      <w:r w:rsidRPr="006955AF">
        <w:rPr>
          <w:rFonts w:ascii="Times" w:hAnsi="Times"/>
        </w:rPr>
        <w:t>comparison between th</w:t>
      </w:r>
      <w:r>
        <w:rPr>
          <w:rFonts w:ascii="Times" w:hAnsi="Times"/>
        </w:rPr>
        <w:t xml:space="preserve">at person’s </w:t>
      </w:r>
      <w:r w:rsidRPr="006955AF">
        <w:rPr>
          <w:rFonts w:ascii="Times" w:hAnsi="Times"/>
        </w:rPr>
        <w:t xml:space="preserve">position after the breach and the counterfactual </w:t>
      </w:r>
      <w:r>
        <w:rPr>
          <w:rFonts w:ascii="Times" w:hAnsi="Times"/>
        </w:rPr>
        <w:t>position in which he would have found himself (ascertained on the balance of probabilities and in the light of events since the breach) had the contract been performed; and then deal with issues of responsibility (foreseeability of loss; mitigation; possibly contributory negligence).</w:t>
      </w:r>
      <w:r w:rsidRPr="006955AF">
        <w:rPr>
          <w:rFonts w:ascii="Times" w:hAnsi="Times"/>
          <w:lang w:eastAsia="zh-TW"/>
        </w:rPr>
        <w:t xml:space="preserve"> </w:t>
      </w:r>
    </w:p>
    <w:p w14:paraId="4932F9CD" w14:textId="43A5F986" w:rsidR="00A92FFF" w:rsidRDefault="00A92FFF" w:rsidP="00A217B5">
      <w:pPr>
        <w:spacing w:line="360" w:lineRule="auto"/>
        <w:jc w:val="both"/>
        <w:rPr>
          <w:rFonts w:ascii="Times" w:hAnsi="Times"/>
          <w:lang w:eastAsia="zh-TW"/>
        </w:rPr>
      </w:pPr>
    </w:p>
    <w:p w14:paraId="1E4F571D" w14:textId="7E2AB5AA" w:rsidR="007E11F6" w:rsidRDefault="007E11F6" w:rsidP="00A217B5">
      <w:pPr>
        <w:spacing w:line="360" w:lineRule="auto"/>
        <w:jc w:val="both"/>
        <w:rPr>
          <w:rFonts w:ascii="Times" w:hAnsi="Times"/>
        </w:rPr>
      </w:pPr>
      <w:r w:rsidRPr="007E11F6">
        <w:rPr>
          <w:rFonts w:ascii="Times" w:hAnsi="Times"/>
        </w:rPr>
        <w:t xml:space="preserve">Trust law constructs the measure of </w:t>
      </w:r>
      <w:r w:rsidR="004C5455">
        <w:rPr>
          <w:rFonts w:ascii="Times" w:hAnsi="Times"/>
        </w:rPr>
        <w:t xml:space="preserve">compensation </w:t>
      </w:r>
      <w:r w:rsidRPr="007E11F6">
        <w:rPr>
          <w:rFonts w:ascii="Times" w:hAnsi="Times"/>
        </w:rPr>
        <w:t>by answering essentially just two questions.  First, should an asset be represented in the counterfactual account?  If not, it is simply ignored and left out of the calculation of the counterfactual account.  If yes, the second question is, what monetary value should represent the asset in the account?  That is a question of valuation on the date set for the taking of the account.  The quantum of loss is crystallised by comparing that counterfactual account with the actual account of assets for which the beneficiaries must give credit.</w:t>
      </w:r>
    </w:p>
    <w:p w14:paraId="43C5EAA5" w14:textId="77777777" w:rsidR="007E11F6" w:rsidRDefault="007E11F6" w:rsidP="00A217B5">
      <w:pPr>
        <w:spacing w:line="360" w:lineRule="auto"/>
        <w:jc w:val="both"/>
        <w:rPr>
          <w:rFonts w:ascii="Times" w:hAnsi="Times"/>
        </w:rPr>
      </w:pPr>
    </w:p>
    <w:p w14:paraId="6462927E" w14:textId="5EDB94D0" w:rsidR="00843164" w:rsidRPr="006955AF" w:rsidRDefault="00464952" w:rsidP="00A217B5">
      <w:pPr>
        <w:spacing w:line="360" w:lineRule="auto"/>
        <w:jc w:val="both"/>
        <w:rPr>
          <w:rFonts w:ascii="Times" w:hAnsi="Times"/>
          <w:lang w:eastAsia="zh-TW"/>
        </w:rPr>
      </w:pPr>
      <w:r w:rsidRPr="006955AF">
        <w:rPr>
          <w:rFonts w:ascii="Times" w:hAnsi="Times"/>
        </w:rPr>
        <w:t xml:space="preserve">Furthermore, even though </w:t>
      </w:r>
      <w:r w:rsidR="007571FC" w:rsidRPr="006955AF">
        <w:rPr>
          <w:rFonts w:ascii="Times" w:hAnsi="Times"/>
        </w:rPr>
        <w:t xml:space="preserve">surcharging </w:t>
      </w:r>
      <w:r w:rsidR="0057552D" w:rsidRPr="006955AF">
        <w:rPr>
          <w:rFonts w:ascii="Times" w:hAnsi="Times"/>
        </w:rPr>
        <w:t xml:space="preserve">engages in a counter-factual inquiry and </w:t>
      </w:r>
      <w:r w:rsidR="007571FC" w:rsidRPr="006955AF">
        <w:rPr>
          <w:rFonts w:ascii="Times" w:hAnsi="Times"/>
        </w:rPr>
        <w:t xml:space="preserve">appears to resemble </w:t>
      </w:r>
      <w:r w:rsidRPr="006955AF">
        <w:rPr>
          <w:rFonts w:ascii="Times" w:hAnsi="Times"/>
        </w:rPr>
        <w:t>contractual damages</w:t>
      </w:r>
      <w:r w:rsidRPr="006955AF">
        <w:rPr>
          <w:rStyle w:val="FootnoteReference"/>
        </w:rPr>
        <w:footnoteReference w:id="60"/>
      </w:r>
      <w:r w:rsidRPr="006955AF">
        <w:rPr>
          <w:rFonts w:ascii="Times" w:hAnsi="Times"/>
        </w:rPr>
        <w:t xml:space="preserve">, the scope of the counter-factual comparator is different. </w:t>
      </w:r>
      <w:r w:rsidR="00813AA1" w:rsidRPr="006955AF">
        <w:rPr>
          <w:rFonts w:ascii="Times" w:hAnsi="Times"/>
        </w:rPr>
        <w:t xml:space="preserve"> </w:t>
      </w:r>
      <w:r w:rsidR="00071696" w:rsidRPr="006955AF">
        <w:rPr>
          <w:rFonts w:ascii="Times" w:hAnsi="Times"/>
        </w:rPr>
        <w:t>When constructing the counterfactual account of how the trust fund should appear if the trust had been duly performed, t</w:t>
      </w:r>
      <w:r w:rsidR="00DA6C96" w:rsidRPr="006955AF">
        <w:rPr>
          <w:rFonts w:ascii="Times" w:hAnsi="Times"/>
        </w:rPr>
        <w:t xml:space="preserve">he law of trusts </w:t>
      </w:r>
      <w:r w:rsidR="00F85D31" w:rsidRPr="006955AF">
        <w:rPr>
          <w:rFonts w:ascii="Times" w:hAnsi="Times"/>
        </w:rPr>
        <w:t xml:space="preserve">is exclusively concerned to ascertain the value </w:t>
      </w:r>
      <w:r w:rsidR="00071696" w:rsidRPr="006955AF">
        <w:rPr>
          <w:rFonts w:ascii="Times" w:hAnsi="Times"/>
        </w:rPr>
        <w:t xml:space="preserve">at the time of the account </w:t>
      </w:r>
      <w:r w:rsidR="00F85D31" w:rsidRPr="006955AF">
        <w:rPr>
          <w:rFonts w:ascii="Times" w:hAnsi="Times"/>
        </w:rPr>
        <w:t xml:space="preserve">of the misapplied or omitted property </w:t>
      </w:r>
      <w:r w:rsidR="00071696" w:rsidRPr="006955AF">
        <w:rPr>
          <w:rFonts w:ascii="Times" w:hAnsi="Times"/>
        </w:rPr>
        <w:t>that should be in the trust fund</w:t>
      </w:r>
      <w:r w:rsidR="00F85D31" w:rsidRPr="006955AF">
        <w:rPr>
          <w:rFonts w:ascii="Times" w:hAnsi="Times"/>
        </w:rPr>
        <w:t xml:space="preserve">, in order to restore the trust fund to </w:t>
      </w:r>
      <w:r w:rsidR="00071696" w:rsidRPr="006955AF">
        <w:rPr>
          <w:rFonts w:ascii="Times" w:hAnsi="Times"/>
        </w:rPr>
        <w:t>its proper position</w:t>
      </w:r>
      <w:r w:rsidR="00F85D31" w:rsidRPr="006955AF">
        <w:rPr>
          <w:rFonts w:ascii="Times" w:hAnsi="Times"/>
        </w:rPr>
        <w:t xml:space="preserve">. </w:t>
      </w:r>
      <w:r w:rsidR="008446E6">
        <w:rPr>
          <w:rFonts w:ascii="Times" w:hAnsi="Times"/>
        </w:rPr>
        <w:t xml:space="preserve"> </w:t>
      </w:r>
      <w:r w:rsidR="00D62378" w:rsidRPr="006955AF">
        <w:rPr>
          <w:rFonts w:ascii="Times" w:hAnsi="Times"/>
        </w:rPr>
        <w:t>Accordingly</w:t>
      </w:r>
      <w:r w:rsidR="00650EC7" w:rsidRPr="006955AF">
        <w:rPr>
          <w:rFonts w:ascii="Times" w:hAnsi="Times"/>
        </w:rPr>
        <w:t xml:space="preserve">, if a trustee </w:t>
      </w:r>
      <w:r w:rsidR="001657AC" w:rsidRPr="006955AF">
        <w:rPr>
          <w:rFonts w:ascii="Times" w:hAnsi="Times"/>
        </w:rPr>
        <w:t>i</w:t>
      </w:r>
      <w:r w:rsidR="00650EC7" w:rsidRPr="006955AF">
        <w:rPr>
          <w:rFonts w:ascii="Times" w:hAnsi="Times"/>
        </w:rPr>
        <w:t xml:space="preserve">s under a duty to purchase a particular stock, but fails to do so, he is surcharged not merely by the monetary value of such stock at the time he should have bought it, but by </w:t>
      </w:r>
      <w:r w:rsidR="00422BE1" w:rsidRPr="006955AF">
        <w:rPr>
          <w:rFonts w:ascii="Times" w:hAnsi="Times"/>
        </w:rPr>
        <w:t>so much as is necessary to acquire that stock, so that it could be acquired for the trust fund</w:t>
      </w:r>
      <w:r w:rsidR="00650EC7" w:rsidRPr="006955AF">
        <w:rPr>
          <w:rFonts w:ascii="Times" w:hAnsi="Times"/>
        </w:rPr>
        <w:t>.</w:t>
      </w:r>
      <w:r w:rsidR="00650EC7" w:rsidRPr="006955AF">
        <w:rPr>
          <w:rStyle w:val="FootnoteReference"/>
        </w:rPr>
        <w:footnoteReference w:id="61"/>
      </w:r>
      <w:r w:rsidR="00650EC7" w:rsidRPr="006955AF">
        <w:rPr>
          <w:rFonts w:ascii="Times" w:hAnsi="Times"/>
        </w:rPr>
        <w:t xml:space="preserve"> </w:t>
      </w:r>
      <w:r w:rsidR="007D0683" w:rsidRPr="006955AF">
        <w:rPr>
          <w:rFonts w:ascii="Times" w:hAnsi="Times"/>
        </w:rPr>
        <w:t>Equally t</w:t>
      </w:r>
      <w:r w:rsidR="00FC6501" w:rsidRPr="006955AF">
        <w:rPr>
          <w:rFonts w:ascii="Times" w:hAnsi="Times"/>
        </w:rPr>
        <w:t xml:space="preserve">he law </w:t>
      </w:r>
      <w:r w:rsidRPr="006955AF">
        <w:rPr>
          <w:rFonts w:ascii="Times" w:hAnsi="Times"/>
        </w:rPr>
        <w:t xml:space="preserve">is not </w:t>
      </w:r>
      <w:r w:rsidRPr="006955AF">
        <w:rPr>
          <w:rFonts w:ascii="Times" w:hAnsi="Times"/>
          <w:lang w:eastAsia="zh-TW"/>
        </w:rPr>
        <w:t>concerned with any further harm that may have been suffered by the trust estate beyond the property in question, such as consequential losses.</w:t>
      </w:r>
      <w:r w:rsidRPr="006955AF">
        <w:rPr>
          <w:rStyle w:val="FootnoteReference"/>
        </w:rPr>
        <w:footnoteReference w:id="62"/>
      </w:r>
      <w:r w:rsidRPr="006955AF">
        <w:rPr>
          <w:rFonts w:ascii="Times" w:hAnsi="Times"/>
          <w:lang w:eastAsia="zh-TW"/>
        </w:rPr>
        <w:t xml:space="preserve"> </w:t>
      </w:r>
      <w:r w:rsidR="007D0683" w:rsidRPr="006955AF">
        <w:rPr>
          <w:rFonts w:ascii="Times" w:hAnsi="Times"/>
          <w:lang w:eastAsia="zh-TW"/>
        </w:rPr>
        <w:t xml:space="preserve">The law is concerned with due performance or its monetary equivalent.  </w:t>
      </w:r>
      <w:r w:rsidR="00F91563">
        <w:rPr>
          <w:rFonts w:ascii="Times" w:hAnsi="Times"/>
          <w:lang w:eastAsia="zh-TW"/>
        </w:rPr>
        <w:t>B</w:t>
      </w:r>
      <w:r w:rsidR="00843164" w:rsidRPr="006955AF">
        <w:rPr>
          <w:rFonts w:ascii="Times" w:hAnsi="Times"/>
        </w:rPr>
        <w:t xml:space="preserve">y treating as exactly done what ought to have been done, by holding the trustee to his duty, the law of trusts shows an uncompromising commitment to the performance interest.  </w:t>
      </w:r>
    </w:p>
    <w:p w14:paraId="1D5DDFD2" w14:textId="77777777" w:rsidR="00350C83" w:rsidRPr="006955AF" w:rsidRDefault="00350C83" w:rsidP="00A217B5">
      <w:pPr>
        <w:spacing w:line="360" w:lineRule="auto"/>
        <w:jc w:val="both"/>
        <w:rPr>
          <w:rFonts w:ascii="Times" w:hAnsi="Times"/>
        </w:rPr>
      </w:pPr>
    </w:p>
    <w:p w14:paraId="3513C67B" w14:textId="2080A2AA" w:rsidR="00350C83" w:rsidRPr="006955AF" w:rsidRDefault="00233710" w:rsidP="00A217B5">
      <w:pPr>
        <w:spacing w:line="360" w:lineRule="auto"/>
        <w:jc w:val="both"/>
        <w:rPr>
          <w:rFonts w:ascii="Times" w:hAnsi="Times"/>
        </w:rPr>
      </w:pPr>
      <w:r>
        <w:rPr>
          <w:rFonts w:ascii="Times" w:hAnsi="Times"/>
        </w:rPr>
        <w:t>The process of a</w:t>
      </w:r>
      <w:r w:rsidR="002E0554" w:rsidRPr="006955AF">
        <w:rPr>
          <w:rFonts w:ascii="Times" w:hAnsi="Times"/>
        </w:rPr>
        <w:t xml:space="preserve">ccounting – the </w:t>
      </w:r>
      <w:r w:rsidR="00632C5F" w:rsidRPr="006955AF">
        <w:rPr>
          <w:rFonts w:ascii="Times" w:hAnsi="Times"/>
        </w:rPr>
        <w:t xml:space="preserve">fundamental mechanism for enforcing trusts </w:t>
      </w:r>
      <w:r w:rsidR="002E0554" w:rsidRPr="006955AF">
        <w:rPr>
          <w:rFonts w:ascii="Times" w:hAnsi="Times"/>
        </w:rPr>
        <w:t xml:space="preserve">– </w:t>
      </w:r>
      <w:r w:rsidR="00632C5F" w:rsidRPr="006955AF">
        <w:rPr>
          <w:rFonts w:ascii="Times" w:hAnsi="Times"/>
        </w:rPr>
        <w:t>was</w:t>
      </w:r>
      <w:r>
        <w:rPr>
          <w:rFonts w:ascii="Times" w:hAnsi="Times"/>
        </w:rPr>
        <w:t xml:space="preserve"> not used</w:t>
      </w:r>
      <w:r w:rsidR="00632C5F" w:rsidRPr="006955AF">
        <w:rPr>
          <w:rFonts w:ascii="Times" w:hAnsi="Times"/>
        </w:rPr>
        <w:t xml:space="preserve">, however, in </w:t>
      </w:r>
      <w:r w:rsidR="00632C5F" w:rsidRPr="006955AF">
        <w:rPr>
          <w:rFonts w:ascii="Times" w:hAnsi="Times"/>
          <w:i/>
        </w:rPr>
        <w:t>Target Holdings Ltd v Redferns</w:t>
      </w:r>
      <w:r w:rsidR="00632C5F" w:rsidRPr="006955AF">
        <w:rPr>
          <w:rStyle w:val="FootnoteReference"/>
        </w:rPr>
        <w:footnoteReference w:id="63"/>
      </w:r>
      <w:r w:rsidR="00632C5F" w:rsidRPr="006955AF">
        <w:rPr>
          <w:rFonts w:ascii="Times" w:hAnsi="Times"/>
        </w:rPr>
        <w:t xml:space="preserve"> and </w:t>
      </w:r>
      <w:r w:rsidR="002E0554" w:rsidRPr="006955AF">
        <w:rPr>
          <w:rFonts w:ascii="Times" w:hAnsi="Times"/>
        </w:rPr>
        <w:t xml:space="preserve">more </w:t>
      </w:r>
      <w:r w:rsidR="004810FB" w:rsidRPr="006955AF">
        <w:rPr>
          <w:rFonts w:ascii="Times" w:hAnsi="Times"/>
        </w:rPr>
        <w:t>recently</w:t>
      </w:r>
      <w:r w:rsidR="00632C5F" w:rsidRPr="006955AF">
        <w:rPr>
          <w:rFonts w:ascii="Times" w:hAnsi="Times"/>
        </w:rPr>
        <w:t xml:space="preserve"> </w:t>
      </w:r>
      <w:r w:rsidR="004810FB" w:rsidRPr="006955AF">
        <w:rPr>
          <w:rFonts w:ascii="Times" w:hAnsi="Times"/>
        </w:rPr>
        <w:t xml:space="preserve">in </w:t>
      </w:r>
      <w:r w:rsidR="00632C5F" w:rsidRPr="006955AF">
        <w:rPr>
          <w:rFonts w:ascii="Times" w:hAnsi="Times"/>
          <w:i/>
        </w:rPr>
        <w:t>AIB Group (UK) plc v Mark Redler &amp; Co Solicitors</w:t>
      </w:r>
      <w:r w:rsidR="004810FB" w:rsidRPr="006955AF">
        <w:rPr>
          <w:rFonts w:ascii="Times" w:hAnsi="Times"/>
        </w:rPr>
        <w:t>.</w:t>
      </w:r>
      <w:r w:rsidR="00632C5F" w:rsidRPr="006955AF">
        <w:rPr>
          <w:rStyle w:val="FootnoteReference"/>
        </w:rPr>
        <w:footnoteReference w:id="64"/>
      </w:r>
      <w:r w:rsidR="004810FB" w:rsidRPr="006955AF">
        <w:rPr>
          <w:rFonts w:ascii="Times" w:hAnsi="Times"/>
        </w:rPr>
        <w:t xml:space="preserve"> </w:t>
      </w:r>
      <w:r>
        <w:rPr>
          <w:rFonts w:ascii="Times" w:hAnsi="Times"/>
        </w:rPr>
        <w:t>I</w:t>
      </w:r>
      <w:r w:rsidR="004810FB" w:rsidRPr="006955AF">
        <w:rPr>
          <w:rFonts w:ascii="Times" w:hAnsi="Times"/>
        </w:rPr>
        <w:t xml:space="preserve">n both cases </w:t>
      </w:r>
      <w:r>
        <w:rPr>
          <w:rFonts w:ascii="Times" w:hAnsi="Times"/>
        </w:rPr>
        <w:t xml:space="preserve">the courts instead </w:t>
      </w:r>
      <w:r w:rsidR="004810FB" w:rsidRPr="006955AF">
        <w:rPr>
          <w:rFonts w:ascii="Times" w:hAnsi="Times"/>
        </w:rPr>
        <w:t>assessed equitable compensation for misapplied assets</w:t>
      </w:r>
      <w:r w:rsidR="00D61FF6">
        <w:rPr>
          <w:rFonts w:ascii="Times" w:hAnsi="Times"/>
        </w:rPr>
        <w:t xml:space="preserve">, a form of remedy that </w:t>
      </w:r>
      <w:r w:rsidR="00F91563">
        <w:rPr>
          <w:rFonts w:ascii="Times" w:hAnsi="Times"/>
        </w:rPr>
        <w:t>emerged</w:t>
      </w:r>
      <w:r w:rsidR="00D61FF6">
        <w:rPr>
          <w:rFonts w:ascii="Times" w:hAnsi="Times"/>
        </w:rPr>
        <w:t xml:space="preserve"> in the second half of the nineteenth century.</w:t>
      </w:r>
      <w:r w:rsidR="00D61FF6">
        <w:rPr>
          <w:rStyle w:val="FootnoteReference"/>
        </w:rPr>
        <w:footnoteReference w:id="65"/>
      </w:r>
      <w:r w:rsidR="00570FA7">
        <w:rPr>
          <w:rFonts w:ascii="Times" w:hAnsi="Times"/>
        </w:rPr>
        <w:t xml:space="preserve">  H</w:t>
      </w:r>
      <w:r w:rsidR="00D61FF6">
        <w:rPr>
          <w:rFonts w:ascii="Times" w:hAnsi="Times"/>
        </w:rPr>
        <w:t xml:space="preserve">owever, the courts </w:t>
      </w:r>
      <w:r w:rsidR="00570FA7">
        <w:rPr>
          <w:rFonts w:ascii="Times" w:hAnsi="Times"/>
        </w:rPr>
        <w:t xml:space="preserve">calculated amount of the </w:t>
      </w:r>
      <w:r w:rsidR="00F91563">
        <w:rPr>
          <w:rFonts w:ascii="Times" w:hAnsi="Times"/>
        </w:rPr>
        <w:t xml:space="preserve">respective </w:t>
      </w:r>
      <w:r w:rsidR="00570FA7">
        <w:rPr>
          <w:rFonts w:ascii="Times" w:hAnsi="Times"/>
        </w:rPr>
        <w:t>awards</w:t>
      </w:r>
      <w:r w:rsidR="004810FB" w:rsidRPr="006955AF">
        <w:rPr>
          <w:rFonts w:ascii="Times" w:hAnsi="Times"/>
        </w:rPr>
        <w:t xml:space="preserve"> on the basis of the compensatory principle adopted at common law,</w:t>
      </w:r>
      <w:r w:rsidR="00FF6A71" w:rsidRPr="006955AF">
        <w:rPr>
          <w:rFonts w:ascii="Times" w:hAnsi="Times"/>
        </w:rPr>
        <w:t xml:space="preserve"> and held that the beneficiary cannot recover loss that would have occurred in any event</w:t>
      </w:r>
      <w:r w:rsidR="004810FB" w:rsidRPr="006955AF">
        <w:rPr>
          <w:rFonts w:ascii="Times" w:hAnsi="Times"/>
        </w:rPr>
        <w:t>.</w:t>
      </w:r>
      <w:r w:rsidR="00FF6A71" w:rsidRPr="006955AF">
        <w:rPr>
          <w:rFonts w:ascii="Times" w:hAnsi="Times"/>
        </w:rPr>
        <w:t xml:space="preserve"> </w:t>
      </w:r>
      <w:r w:rsidR="008446E6">
        <w:rPr>
          <w:rFonts w:ascii="Times" w:hAnsi="Times"/>
        </w:rPr>
        <w:t xml:space="preserve"> </w:t>
      </w:r>
      <w:r w:rsidR="00851EB0" w:rsidRPr="006955AF">
        <w:rPr>
          <w:rFonts w:ascii="Times" w:hAnsi="Times"/>
        </w:rPr>
        <w:t xml:space="preserve">Even though Lord Reed in </w:t>
      </w:r>
      <w:r w:rsidR="00851EB0" w:rsidRPr="006955AF">
        <w:rPr>
          <w:rFonts w:ascii="Times" w:hAnsi="Times"/>
          <w:i/>
        </w:rPr>
        <w:t xml:space="preserve">AIB Group </w:t>
      </w:r>
      <w:r w:rsidR="00851EB0" w:rsidRPr="006955AF">
        <w:rPr>
          <w:rFonts w:ascii="Times" w:hAnsi="Times"/>
        </w:rPr>
        <w:t xml:space="preserve">was </w:t>
      </w:r>
      <w:r w:rsidR="00DC088B">
        <w:rPr>
          <w:rFonts w:ascii="Times" w:hAnsi="Times"/>
        </w:rPr>
        <w:t xml:space="preserve">rightly </w:t>
      </w:r>
      <w:r w:rsidR="00020D91">
        <w:rPr>
          <w:rFonts w:ascii="Times" w:hAnsi="Times"/>
        </w:rPr>
        <w:t>w</w:t>
      </w:r>
      <w:r w:rsidR="00851EB0" w:rsidRPr="006955AF">
        <w:rPr>
          <w:rFonts w:ascii="Times" w:hAnsi="Times"/>
        </w:rPr>
        <w:t xml:space="preserve">ary of a direct analogy between equitable compensation and contractual damages, his </w:t>
      </w:r>
      <w:r w:rsidR="00851EB0" w:rsidRPr="006955AF">
        <w:rPr>
          <w:rFonts w:ascii="Times" w:hAnsi="Times"/>
        </w:rPr>
        <w:lastRenderedPageBreak/>
        <w:t xml:space="preserve">Lordship </w:t>
      </w:r>
      <w:r w:rsidR="008C1BD1" w:rsidRPr="006955AF">
        <w:rPr>
          <w:rFonts w:ascii="Times" w:hAnsi="Times"/>
        </w:rPr>
        <w:t>still conceptualise</w:t>
      </w:r>
      <w:r w:rsidR="00A170ED" w:rsidRPr="006955AF">
        <w:rPr>
          <w:rFonts w:ascii="Times" w:hAnsi="Times"/>
        </w:rPr>
        <w:t>d</w:t>
      </w:r>
      <w:r w:rsidR="008C1BD1" w:rsidRPr="006955AF">
        <w:rPr>
          <w:rFonts w:ascii="Times" w:hAnsi="Times"/>
        </w:rPr>
        <w:t xml:space="preserve"> the former as a type of compensation.</w:t>
      </w:r>
      <w:r w:rsidR="004E450C" w:rsidRPr="006955AF">
        <w:rPr>
          <w:rFonts w:ascii="Times" w:hAnsi="Times"/>
        </w:rPr>
        <w:t xml:space="preserve"> </w:t>
      </w:r>
      <w:r w:rsidR="008446E6">
        <w:rPr>
          <w:rFonts w:ascii="Times" w:hAnsi="Times"/>
        </w:rPr>
        <w:t xml:space="preserve"> </w:t>
      </w:r>
      <w:r w:rsidR="00FF6A71" w:rsidRPr="006955AF">
        <w:rPr>
          <w:rFonts w:ascii="Times" w:hAnsi="Times"/>
        </w:rPr>
        <w:t>As Lord Reed put it, “</w:t>
      </w:r>
      <w:r w:rsidR="008C1BD1" w:rsidRPr="006955AF">
        <w:rPr>
          <w:rFonts w:ascii="Times" w:hAnsi="Times"/>
        </w:rPr>
        <w:t xml:space="preserve">the aim of </w:t>
      </w:r>
      <w:r w:rsidR="00FF6A71" w:rsidRPr="006955AF">
        <w:rPr>
          <w:rFonts w:ascii="Times" w:hAnsi="Times"/>
        </w:rPr>
        <w:t xml:space="preserve">equitable compensation </w:t>
      </w:r>
      <w:r w:rsidR="008C1BD1" w:rsidRPr="006955AF">
        <w:rPr>
          <w:rFonts w:ascii="Times" w:hAnsi="Times"/>
        </w:rPr>
        <w:t>is</w:t>
      </w:r>
      <w:r w:rsidR="00FF6A71" w:rsidRPr="006955AF">
        <w:rPr>
          <w:rFonts w:ascii="Times" w:hAnsi="Times"/>
        </w:rPr>
        <w:t xml:space="preserve"> to compensate</w:t>
      </w:r>
      <w:r w:rsidR="008C1BD1" w:rsidRPr="006955AF">
        <w:rPr>
          <w:rFonts w:ascii="Times" w:hAnsi="Times"/>
        </w:rPr>
        <w:t xml:space="preserve">: </w:t>
      </w:r>
      <w:r w:rsidR="00DF6C52">
        <w:rPr>
          <w:rFonts w:ascii="Times" w:hAnsi="Times"/>
        </w:rPr>
        <w:t xml:space="preserve"> </w:t>
      </w:r>
      <w:r w:rsidR="008C1BD1" w:rsidRPr="006955AF">
        <w:rPr>
          <w:rFonts w:ascii="Times" w:hAnsi="Times"/>
        </w:rPr>
        <w:t xml:space="preserve">that is to say, to provide a monetary equivalent of what has been </w:t>
      </w:r>
      <w:r w:rsidR="008C1BD1" w:rsidRPr="006955AF">
        <w:rPr>
          <w:rFonts w:ascii="Times" w:hAnsi="Times"/>
          <w:i/>
        </w:rPr>
        <w:t xml:space="preserve">lost </w:t>
      </w:r>
      <w:r w:rsidR="008C1BD1" w:rsidRPr="006955AF">
        <w:rPr>
          <w:rFonts w:ascii="Times" w:hAnsi="Times"/>
        </w:rPr>
        <w:t>as a result of a breach of duty</w:t>
      </w:r>
      <w:r w:rsidR="00FF6A71" w:rsidRPr="006955AF">
        <w:rPr>
          <w:rFonts w:ascii="Times" w:hAnsi="Times"/>
        </w:rPr>
        <w:t>”</w:t>
      </w:r>
      <w:r w:rsidR="008C1BD1" w:rsidRPr="006955AF">
        <w:rPr>
          <w:rStyle w:val="FootnoteReference"/>
        </w:rPr>
        <w:footnoteReference w:id="66"/>
      </w:r>
      <w:r w:rsidR="00FF6A71" w:rsidRPr="006955AF">
        <w:rPr>
          <w:rFonts w:ascii="Times" w:hAnsi="Times"/>
        </w:rPr>
        <w:t>, and further</w:t>
      </w:r>
      <w:r w:rsidR="00F42A2E" w:rsidRPr="006955AF">
        <w:rPr>
          <w:rFonts w:ascii="Times" w:hAnsi="Times"/>
        </w:rPr>
        <w:t>,</w:t>
      </w:r>
      <w:r w:rsidR="00FF6A71" w:rsidRPr="006955AF">
        <w:rPr>
          <w:rFonts w:ascii="Times" w:hAnsi="Times"/>
        </w:rPr>
        <w:t xml:space="preserve"> “the concept of </w:t>
      </w:r>
      <w:r w:rsidR="00FF6A71" w:rsidRPr="006955AF">
        <w:rPr>
          <w:rFonts w:ascii="Times" w:hAnsi="Times"/>
          <w:i/>
        </w:rPr>
        <w:t>loss</w:t>
      </w:r>
      <w:r w:rsidR="00FF6A71" w:rsidRPr="006955AF">
        <w:rPr>
          <w:rFonts w:ascii="Times" w:hAnsi="Times"/>
        </w:rPr>
        <w:t xml:space="preserve"> necessarily involve</w:t>
      </w:r>
      <w:r w:rsidR="00F42A2E" w:rsidRPr="006955AF">
        <w:rPr>
          <w:rFonts w:ascii="Times" w:hAnsi="Times"/>
        </w:rPr>
        <w:t>s</w:t>
      </w:r>
      <w:r w:rsidR="00FF6A71" w:rsidRPr="006955AF">
        <w:rPr>
          <w:rFonts w:ascii="Times" w:hAnsi="Times"/>
        </w:rPr>
        <w:t xml:space="preserve"> the concept of causation”.</w:t>
      </w:r>
      <w:r w:rsidR="00FF6A71" w:rsidRPr="006955AF">
        <w:rPr>
          <w:rStyle w:val="FootnoteReference"/>
        </w:rPr>
        <w:footnoteReference w:id="67"/>
      </w:r>
    </w:p>
    <w:p w14:paraId="11B94BBC" w14:textId="77777777" w:rsidR="00261E14" w:rsidRPr="006955AF" w:rsidRDefault="00261E14" w:rsidP="00A217B5">
      <w:pPr>
        <w:spacing w:line="360" w:lineRule="auto"/>
        <w:jc w:val="both"/>
        <w:rPr>
          <w:rFonts w:ascii="Times" w:hAnsi="Times"/>
        </w:rPr>
      </w:pPr>
    </w:p>
    <w:p w14:paraId="66029BE9" w14:textId="2BE45107" w:rsidR="00EE263B" w:rsidRPr="006955AF" w:rsidRDefault="005916B7" w:rsidP="00A217B5">
      <w:pPr>
        <w:spacing w:line="360" w:lineRule="auto"/>
        <w:jc w:val="both"/>
        <w:rPr>
          <w:rFonts w:ascii="Times" w:hAnsi="Times"/>
        </w:rPr>
      </w:pPr>
      <w:r w:rsidRPr="006955AF">
        <w:rPr>
          <w:rFonts w:ascii="Times" w:hAnsi="Times"/>
        </w:rPr>
        <w:t xml:space="preserve">The decisions in both cases could have been reached by applying the traditional accounting process. </w:t>
      </w:r>
      <w:r w:rsidR="008446E6">
        <w:rPr>
          <w:rFonts w:ascii="Times" w:hAnsi="Times"/>
        </w:rPr>
        <w:t xml:space="preserve"> </w:t>
      </w:r>
      <w:r w:rsidRPr="006955AF">
        <w:rPr>
          <w:rFonts w:ascii="Times" w:hAnsi="Times"/>
        </w:rPr>
        <w:t xml:space="preserve">In </w:t>
      </w:r>
      <w:r w:rsidRPr="006955AF">
        <w:rPr>
          <w:rFonts w:ascii="Times" w:hAnsi="Times"/>
          <w:i/>
        </w:rPr>
        <w:t>Target Holdings Ltd v Redfern</w:t>
      </w:r>
      <w:r w:rsidR="00393B41">
        <w:rPr>
          <w:rFonts w:ascii="Times" w:hAnsi="Times"/>
        </w:rPr>
        <w:t xml:space="preserve">, </w:t>
      </w:r>
      <w:r w:rsidRPr="006955AF">
        <w:rPr>
          <w:rFonts w:ascii="Times" w:hAnsi="Times"/>
        </w:rPr>
        <w:t xml:space="preserve">the solicitor disbursed the client’s funds too early, before the mortgage was obtained, but, as Lord Millett convincingly explained, even though the disbursement could be falsified </w:t>
      </w:r>
      <w:r w:rsidRPr="006955AF">
        <w:rPr>
          <w:rFonts w:ascii="Times" w:hAnsi="Times"/>
          <w:i/>
        </w:rPr>
        <w:t>at th</w:t>
      </w:r>
      <w:r w:rsidR="00997A94" w:rsidRPr="006955AF">
        <w:rPr>
          <w:rFonts w:ascii="Times" w:hAnsi="Times"/>
          <w:i/>
        </w:rPr>
        <w:t>at</w:t>
      </w:r>
      <w:r w:rsidRPr="006955AF">
        <w:rPr>
          <w:rFonts w:ascii="Times" w:hAnsi="Times"/>
          <w:i/>
        </w:rPr>
        <w:t xml:space="preserve"> time</w:t>
      </w:r>
      <w:r w:rsidRPr="006955AF">
        <w:rPr>
          <w:rFonts w:ascii="Times" w:hAnsi="Times"/>
        </w:rPr>
        <w:t>,</w:t>
      </w:r>
      <w:r w:rsidR="00012CEC" w:rsidRPr="006955AF">
        <w:rPr>
          <w:rFonts w:ascii="Times" w:hAnsi="Times"/>
        </w:rPr>
        <w:t xml:space="preserve"> by the time the parties went to court, the solicitor had secured the mortgage as instructed.  It had performed its duty to reconstitute the trust fund.</w:t>
      </w:r>
      <w:r w:rsidR="00CE5F6F" w:rsidRPr="006955AF">
        <w:rPr>
          <w:rFonts w:ascii="Times" w:hAnsi="Times"/>
        </w:rPr>
        <w:t xml:space="preserve">  </w:t>
      </w:r>
      <w:r w:rsidR="002070C6">
        <w:rPr>
          <w:rFonts w:ascii="Times" w:hAnsi="Times"/>
        </w:rPr>
        <w:t>It is important to understand that Lord Millett’s explanation does not turn on any ratification by the beneficiary.  It is about accounting:  in this case, the reconstitution of the trust fund by the trustee, something which, self-evidently, must be brought into account.</w:t>
      </w:r>
    </w:p>
    <w:p w14:paraId="3D905C43" w14:textId="77777777" w:rsidR="00EE263B" w:rsidRPr="006955AF" w:rsidRDefault="00EE263B" w:rsidP="00A217B5">
      <w:pPr>
        <w:spacing w:line="360" w:lineRule="auto"/>
        <w:jc w:val="both"/>
        <w:rPr>
          <w:rFonts w:ascii="Times" w:hAnsi="Times"/>
        </w:rPr>
      </w:pPr>
    </w:p>
    <w:p w14:paraId="1A748D0E" w14:textId="3EFBF668" w:rsidR="00997A94" w:rsidRPr="006955AF" w:rsidRDefault="004E0E62" w:rsidP="00A217B5">
      <w:pPr>
        <w:spacing w:line="360" w:lineRule="auto"/>
        <w:jc w:val="both"/>
        <w:rPr>
          <w:rFonts w:ascii="Times" w:hAnsi="Times"/>
        </w:rPr>
      </w:pPr>
      <w:r w:rsidRPr="006955AF">
        <w:rPr>
          <w:rFonts w:ascii="Times" w:hAnsi="Times"/>
        </w:rPr>
        <w:t xml:space="preserve">In </w:t>
      </w:r>
      <w:r w:rsidRPr="006955AF">
        <w:rPr>
          <w:rFonts w:ascii="Times" w:hAnsi="Times"/>
          <w:i/>
        </w:rPr>
        <w:t>AIB</w:t>
      </w:r>
      <w:r w:rsidRPr="006955AF">
        <w:rPr>
          <w:rFonts w:ascii="Times" w:hAnsi="Times"/>
        </w:rPr>
        <w:t xml:space="preserve">, the solicitor </w:t>
      </w:r>
      <w:r w:rsidR="003B2930" w:rsidRPr="006955AF">
        <w:rPr>
          <w:rFonts w:ascii="Times" w:hAnsi="Times"/>
        </w:rPr>
        <w:t xml:space="preserve">was supposed to disburse £3.3 million </w:t>
      </w:r>
      <w:r w:rsidR="00E2446A" w:rsidRPr="006955AF">
        <w:rPr>
          <w:rFonts w:ascii="Times" w:hAnsi="Times"/>
        </w:rPr>
        <w:t xml:space="preserve">in two parts, </w:t>
      </w:r>
      <w:r w:rsidR="00DF702F" w:rsidRPr="006955AF">
        <w:rPr>
          <w:rFonts w:ascii="Times" w:hAnsi="Times"/>
        </w:rPr>
        <w:t xml:space="preserve">to acquire a first charge over the </w:t>
      </w:r>
      <w:r w:rsidR="003B2930" w:rsidRPr="006955AF">
        <w:rPr>
          <w:rFonts w:ascii="Times" w:hAnsi="Times"/>
        </w:rPr>
        <w:t>secured property</w:t>
      </w:r>
      <w:r w:rsidR="00E2446A" w:rsidRPr="006955AF">
        <w:rPr>
          <w:rFonts w:ascii="Times" w:hAnsi="Times"/>
        </w:rPr>
        <w:t xml:space="preserve"> and </w:t>
      </w:r>
      <w:r w:rsidR="00997A94" w:rsidRPr="006955AF">
        <w:rPr>
          <w:rFonts w:ascii="Times" w:hAnsi="Times"/>
        </w:rPr>
        <w:t xml:space="preserve">then </w:t>
      </w:r>
      <w:r w:rsidR="00E2446A" w:rsidRPr="006955AF">
        <w:rPr>
          <w:rFonts w:ascii="Times" w:hAnsi="Times"/>
        </w:rPr>
        <w:t>to advance the balance of the loan amount to the borrower</w:t>
      </w:r>
      <w:r w:rsidR="004E450C" w:rsidRPr="006955AF">
        <w:rPr>
          <w:rFonts w:ascii="Times" w:hAnsi="Times"/>
        </w:rPr>
        <w:t>.</w:t>
      </w:r>
      <w:r w:rsidR="0067200B" w:rsidRPr="006955AF">
        <w:rPr>
          <w:rFonts w:ascii="Times" w:hAnsi="Times"/>
        </w:rPr>
        <w:t xml:space="preserve"> </w:t>
      </w:r>
      <w:r w:rsidR="008446E6">
        <w:rPr>
          <w:rFonts w:ascii="Times" w:hAnsi="Times"/>
        </w:rPr>
        <w:t xml:space="preserve"> </w:t>
      </w:r>
      <w:r w:rsidR="0067200B" w:rsidRPr="006955AF">
        <w:rPr>
          <w:rFonts w:ascii="Times" w:hAnsi="Times"/>
        </w:rPr>
        <w:t xml:space="preserve">It paid </w:t>
      </w:r>
      <w:r w:rsidR="00E2446A" w:rsidRPr="006955AF">
        <w:rPr>
          <w:rFonts w:ascii="Times" w:hAnsi="Times"/>
        </w:rPr>
        <w:t>£0.3</w:t>
      </w:r>
      <w:r w:rsidR="00E36B2D" w:rsidRPr="006955AF">
        <w:rPr>
          <w:rFonts w:ascii="Times" w:hAnsi="Times"/>
        </w:rPr>
        <w:t xml:space="preserve"> </w:t>
      </w:r>
      <w:r w:rsidR="00E2446A" w:rsidRPr="006955AF">
        <w:rPr>
          <w:rFonts w:ascii="Times" w:hAnsi="Times"/>
        </w:rPr>
        <w:t xml:space="preserve">million too little to the </w:t>
      </w:r>
      <w:r w:rsidR="00997A94" w:rsidRPr="006955AF">
        <w:rPr>
          <w:rFonts w:ascii="Times" w:hAnsi="Times"/>
        </w:rPr>
        <w:t xml:space="preserve">existing </w:t>
      </w:r>
      <w:r w:rsidR="00E2446A" w:rsidRPr="006955AF">
        <w:rPr>
          <w:rFonts w:ascii="Times" w:hAnsi="Times"/>
        </w:rPr>
        <w:t xml:space="preserve">mortgagee and </w:t>
      </w:r>
      <w:r w:rsidR="00997A94" w:rsidRPr="006955AF">
        <w:rPr>
          <w:rFonts w:ascii="Times" w:hAnsi="Times"/>
        </w:rPr>
        <w:t xml:space="preserve">thus did not discharge that earlier mortgage, meaning that it acquired a second charge over the property, rather than a first charge. </w:t>
      </w:r>
      <w:r w:rsidR="008446E6">
        <w:rPr>
          <w:rFonts w:ascii="Times" w:hAnsi="Times"/>
        </w:rPr>
        <w:t xml:space="preserve"> </w:t>
      </w:r>
      <w:r w:rsidR="00997A94" w:rsidRPr="006955AF">
        <w:rPr>
          <w:rFonts w:ascii="Times" w:hAnsi="Times"/>
        </w:rPr>
        <w:t xml:space="preserve">As a result of this error, it </w:t>
      </w:r>
      <w:r w:rsidR="004E0F64" w:rsidRPr="006955AF">
        <w:rPr>
          <w:rFonts w:ascii="Times" w:hAnsi="Times"/>
        </w:rPr>
        <w:t xml:space="preserve">also </w:t>
      </w:r>
      <w:r w:rsidR="009D1094" w:rsidRPr="006955AF">
        <w:rPr>
          <w:rFonts w:ascii="Times" w:hAnsi="Times"/>
        </w:rPr>
        <w:t xml:space="preserve">paid </w:t>
      </w:r>
      <w:r w:rsidR="00E36B2D" w:rsidRPr="006955AF">
        <w:rPr>
          <w:rFonts w:ascii="Times" w:hAnsi="Times"/>
        </w:rPr>
        <w:t xml:space="preserve">the same amount </w:t>
      </w:r>
      <w:r w:rsidR="00D56183" w:rsidRPr="006955AF">
        <w:rPr>
          <w:rFonts w:ascii="Times" w:hAnsi="Times"/>
        </w:rPr>
        <w:t xml:space="preserve">– </w:t>
      </w:r>
      <w:r w:rsidR="00997A94" w:rsidRPr="006955AF">
        <w:rPr>
          <w:rFonts w:ascii="Times" w:hAnsi="Times"/>
        </w:rPr>
        <w:t xml:space="preserve">£0.3 million – </w:t>
      </w:r>
      <w:r w:rsidR="00E36B2D" w:rsidRPr="006955AF">
        <w:rPr>
          <w:rFonts w:ascii="Times" w:hAnsi="Times"/>
        </w:rPr>
        <w:t xml:space="preserve">too much </w:t>
      </w:r>
      <w:r w:rsidR="00E2446A" w:rsidRPr="006955AF">
        <w:rPr>
          <w:rFonts w:ascii="Times" w:hAnsi="Times"/>
        </w:rPr>
        <w:t>to the borrower.</w:t>
      </w:r>
      <w:r w:rsidR="00E36B2D" w:rsidRPr="006955AF">
        <w:rPr>
          <w:rFonts w:ascii="Times" w:hAnsi="Times"/>
        </w:rPr>
        <w:t xml:space="preserve"> </w:t>
      </w:r>
      <w:r w:rsidR="008446E6">
        <w:rPr>
          <w:rFonts w:ascii="Times" w:hAnsi="Times"/>
        </w:rPr>
        <w:t xml:space="preserve"> </w:t>
      </w:r>
      <w:r w:rsidR="00E36B2D" w:rsidRPr="006955AF">
        <w:rPr>
          <w:rFonts w:ascii="Times" w:hAnsi="Times"/>
        </w:rPr>
        <w:t xml:space="preserve">On traditional accounting, </w:t>
      </w:r>
      <w:r w:rsidR="0064498F" w:rsidRPr="006955AF">
        <w:rPr>
          <w:rFonts w:ascii="Times" w:hAnsi="Times"/>
        </w:rPr>
        <w:t xml:space="preserve">the disbursement of £3.3 million </w:t>
      </w:r>
      <w:r w:rsidR="004E0F64" w:rsidRPr="006955AF">
        <w:rPr>
          <w:rFonts w:ascii="Times" w:hAnsi="Times"/>
        </w:rPr>
        <w:t>w</w:t>
      </w:r>
      <w:r w:rsidR="00F91563">
        <w:rPr>
          <w:rFonts w:ascii="Times" w:hAnsi="Times"/>
        </w:rPr>
        <w:t>ould</w:t>
      </w:r>
      <w:r w:rsidR="0064498F" w:rsidRPr="006955AF">
        <w:rPr>
          <w:rFonts w:ascii="Times" w:hAnsi="Times"/>
        </w:rPr>
        <w:t xml:space="preserve"> indeed be falsified</w:t>
      </w:r>
      <w:r w:rsidR="00020D91">
        <w:rPr>
          <w:rFonts w:ascii="Times" w:hAnsi="Times"/>
        </w:rPr>
        <w:t>;</w:t>
      </w:r>
      <w:r w:rsidR="0064498F" w:rsidRPr="006955AF">
        <w:rPr>
          <w:rFonts w:ascii="Times" w:hAnsi="Times"/>
        </w:rPr>
        <w:t xml:space="preserve"> but the accounting process should not end at this point.</w:t>
      </w:r>
    </w:p>
    <w:p w14:paraId="2920B78F" w14:textId="77777777" w:rsidR="00997A94" w:rsidRPr="006955AF" w:rsidRDefault="00997A94" w:rsidP="00A217B5">
      <w:pPr>
        <w:spacing w:line="360" w:lineRule="auto"/>
        <w:jc w:val="both"/>
        <w:rPr>
          <w:rFonts w:ascii="Times" w:hAnsi="Times"/>
        </w:rPr>
      </w:pPr>
    </w:p>
    <w:p w14:paraId="6B643188" w14:textId="01ED0836" w:rsidR="00997A94" w:rsidRPr="006955AF" w:rsidRDefault="00474A4C" w:rsidP="00A217B5">
      <w:pPr>
        <w:spacing w:line="360" w:lineRule="auto"/>
        <w:jc w:val="both"/>
        <w:rPr>
          <w:rFonts w:ascii="Times" w:hAnsi="Times"/>
        </w:rPr>
      </w:pPr>
      <w:r>
        <w:rPr>
          <w:rFonts w:ascii="Times" w:hAnsi="Times"/>
        </w:rPr>
        <w:t>T</w:t>
      </w:r>
      <w:r w:rsidR="00D53CEA" w:rsidRPr="006955AF">
        <w:rPr>
          <w:rFonts w:ascii="Times" w:hAnsi="Times"/>
        </w:rPr>
        <w:t>he trustee’s liabil</w:t>
      </w:r>
      <w:r w:rsidR="004E450C" w:rsidRPr="006955AF">
        <w:rPr>
          <w:rFonts w:ascii="Times" w:hAnsi="Times"/>
        </w:rPr>
        <w:t>ity is a function of his duty.</w:t>
      </w:r>
      <w:r w:rsidR="008446E6">
        <w:rPr>
          <w:rFonts w:ascii="Times" w:hAnsi="Times"/>
        </w:rPr>
        <w:t xml:space="preserve"> </w:t>
      </w:r>
      <w:r w:rsidR="004E450C" w:rsidRPr="006955AF">
        <w:rPr>
          <w:rFonts w:ascii="Times" w:hAnsi="Times"/>
        </w:rPr>
        <w:t xml:space="preserve"> </w:t>
      </w:r>
      <w:r w:rsidR="00D53CEA" w:rsidRPr="006955AF">
        <w:rPr>
          <w:rFonts w:ascii="Times" w:hAnsi="Times"/>
        </w:rPr>
        <w:t xml:space="preserve">So there is no reason why the trustee cannot point to his </w:t>
      </w:r>
      <w:r w:rsidR="00D53CEA" w:rsidRPr="006955AF">
        <w:rPr>
          <w:rFonts w:ascii="Times" w:hAnsi="Times"/>
          <w:i/>
        </w:rPr>
        <w:t>duty</w:t>
      </w:r>
      <w:r w:rsidR="00D53CEA" w:rsidRPr="006955AF">
        <w:rPr>
          <w:rFonts w:ascii="Times" w:hAnsi="Times"/>
        </w:rPr>
        <w:t xml:space="preserve"> (rather than his </w:t>
      </w:r>
      <w:r w:rsidR="00D53CEA" w:rsidRPr="006955AF">
        <w:rPr>
          <w:rFonts w:ascii="Times" w:hAnsi="Times"/>
          <w:i/>
        </w:rPr>
        <w:t>powers</w:t>
      </w:r>
      <w:r w:rsidR="00D53CEA" w:rsidRPr="006955AF">
        <w:rPr>
          <w:rFonts w:ascii="Times" w:hAnsi="Times"/>
        </w:rPr>
        <w:t>) in order to establ</w:t>
      </w:r>
      <w:r w:rsidR="004E450C" w:rsidRPr="006955AF">
        <w:rPr>
          <w:rFonts w:ascii="Times" w:hAnsi="Times"/>
        </w:rPr>
        <w:t>ish the scope of his liability.</w:t>
      </w:r>
      <w:r w:rsidR="00D53CEA" w:rsidRPr="006955AF">
        <w:rPr>
          <w:rFonts w:ascii="Times" w:hAnsi="Times"/>
        </w:rPr>
        <w:t xml:space="preserve"> </w:t>
      </w:r>
      <w:r w:rsidR="008446E6">
        <w:rPr>
          <w:rFonts w:ascii="Times" w:hAnsi="Times"/>
        </w:rPr>
        <w:t xml:space="preserve"> </w:t>
      </w:r>
      <w:r w:rsidR="00D53CEA" w:rsidRPr="006955AF">
        <w:rPr>
          <w:rFonts w:ascii="Times" w:hAnsi="Times"/>
        </w:rPr>
        <w:t xml:space="preserve">It is true that, on taking an account, a defendant trustee is not allowed to speculate that he would have used his powers in </w:t>
      </w:r>
      <w:r w:rsidR="005B2966">
        <w:rPr>
          <w:rFonts w:ascii="Times" w:hAnsi="Times"/>
        </w:rPr>
        <w:t xml:space="preserve">a </w:t>
      </w:r>
      <w:r w:rsidR="00D53CEA" w:rsidRPr="006955AF">
        <w:rPr>
          <w:rFonts w:ascii="Times" w:hAnsi="Times"/>
        </w:rPr>
        <w:t>certain way and thereby</w:t>
      </w:r>
      <w:r w:rsidR="004E450C" w:rsidRPr="006955AF">
        <w:rPr>
          <w:rFonts w:ascii="Times" w:hAnsi="Times"/>
        </w:rPr>
        <w:t xml:space="preserve"> mitigated the breach of trust.</w:t>
      </w:r>
      <w:r w:rsidR="00D53CEA" w:rsidRPr="006955AF">
        <w:rPr>
          <w:rFonts w:ascii="Times" w:hAnsi="Times"/>
        </w:rPr>
        <w:t xml:space="preserve"> </w:t>
      </w:r>
      <w:r w:rsidR="008446E6">
        <w:rPr>
          <w:rFonts w:ascii="Times" w:hAnsi="Times"/>
        </w:rPr>
        <w:t xml:space="preserve"> </w:t>
      </w:r>
      <w:r w:rsidR="00D53CEA" w:rsidRPr="006955AF">
        <w:rPr>
          <w:rFonts w:ascii="Times" w:hAnsi="Times"/>
        </w:rPr>
        <w:t>This rule is justified on the basis that the trustee should not be allowed to give self-serving, and likely un</w:t>
      </w:r>
      <w:r w:rsidR="004E450C" w:rsidRPr="006955AF">
        <w:rPr>
          <w:rFonts w:ascii="Times" w:hAnsi="Times"/>
        </w:rPr>
        <w:t xml:space="preserve">true, evidence in his defence. </w:t>
      </w:r>
      <w:r w:rsidR="00D53CEA" w:rsidRPr="006955AF">
        <w:rPr>
          <w:rFonts w:ascii="Times" w:hAnsi="Times"/>
        </w:rPr>
        <w:t xml:space="preserve"> But what was at issue in </w:t>
      </w:r>
      <w:r w:rsidR="00D53CEA" w:rsidRPr="006955AF">
        <w:rPr>
          <w:rFonts w:ascii="Times" w:hAnsi="Times"/>
          <w:i/>
        </w:rPr>
        <w:t>AIB</w:t>
      </w:r>
      <w:r w:rsidR="00D53CEA" w:rsidRPr="006955AF">
        <w:rPr>
          <w:rFonts w:ascii="Times" w:hAnsi="Times"/>
        </w:rPr>
        <w:t xml:space="preserve"> was not the trustee’s </w:t>
      </w:r>
      <w:r w:rsidR="00D53CEA" w:rsidRPr="006955AF">
        <w:rPr>
          <w:rFonts w:ascii="Times" w:hAnsi="Times"/>
          <w:i/>
        </w:rPr>
        <w:t>powers</w:t>
      </w:r>
      <w:r w:rsidR="00D53CEA" w:rsidRPr="006955AF">
        <w:rPr>
          <w:rFonts w:ascii="Times" w:hAnsi="Times"/>
        </w:rPr>
        <w:t xml:space="preserve">, but its </w:t>
      </w:r>
      <w:r w:rsidR="00D53CEA" w:rsidRPr="006955AF">
        <w:rPr>
          <w:rFonts w:ascii="Times" w:hAnsi="Times"/>
          <w:i/>
        </w:rPr>
        <w:t>duties</w:t>
      </w:r>
      <w:r w:rsidR="004E450C" w:rsidRPr="006955AF">
        <w:rPr>
          <w:rFonts w:ascii="Times" w:hAnsi="Times"/>
        </w:rPr>
        <w:t>:</w:t>
      </w:r>
      <w:r w:rsidR="00582D2E" w:rsidRPr="006955AF">
        <w:rPr>
          <w:rFonts w:ascii="Times" w:hAnsi="Times"/>
        </w:rPr>
        <w:t xml:space="preserve"> </w:t>
      </w:r>
      <w:r w:rsidR="00DF6C52">
        <w:rPr>
          <w:rFonts w:ascii="Times" w:hAnsi="Times"/>
        </w:rPr>
        <w:t xml:space="preserve"> </w:t>
      </w:r>
      <w:r w:rsidR="00D53CEA" w:rsidRPr="006955AF">
        <w:rPr>
          <w:rFonts w:ascii="Times" w:hAnsi="Times"/>
        </w:rPr>
        <w:t xml:space="preserve">it is open to a defendant who is liable, even a trustee who is liable, to ask the court to pay attention to the basis and extent of his liability, that is, to pay attention to the nature of </w:t>
      </w:r>
      <w:r w:rsidR="00D53CEA" w:rsidRPr="006955AF">
        <w:rPr>
          <w:rFonts w:ascii="Times" w:hAnsi="Times"/>
        </w:rPr>
        <w:lastRenderedPageBreak/>
        <w:t xml:space="preserve">his duties. </w:t>
      </w:r>
      <w:r w:rsidR="008446E6">
        <w:rPr>
          <w:rFonts w:ascii="Times" w:hAnsi="Times"/>
        </w:rPr>
        <w:t xml:space="preserve"> </w:t>
      </w:r>
      <w:r w:rsidR="00582D2E" w:rsidRPr="006955AF">
        <w:rPr>
          <w:rFonts w:ascii="Times" w:hAnsi="Times"/>
        </w:rPr>
        <w:t xml:space="preserve">The trustee is not </w:t>
      </w:r>
      <w:r w:rsidR="004A4628">
        <w:rPr>
          <w:rFonts w:ascii="Times" w:hAnsi="Times"/>
        </w:rPr>
        <w:t xml:space="preserve">then </w:t>
      </w:r>
      <w:r w:rsidR="00582D2E" w:rsidRPr="006955AF">
        <w:rPr>
          <w:rFonts w:ascii="Times" w:hAnsi="Times"/>
        </w:rPr>
        <w:t xml:space="preserve">in any way taking advantage of his own misconduct. </w:t>
      </w:r>
      <w:r w:rsidR="008446E6">
        <w:rPr>
          <w:rFonts w:ascii="Times" w:hAnsi="Times"/>
        </w:rPr>
        <w:t xml:space="preserve"> </w:t>
      </w:r>
      <w:r w:rsidR="00D53CEA" w:rsidRPr="006955AF">
        <w:rPr>
          <w:rFonts w:ascii="Times" w:hAnsi="Times"/>
        </w:rPr>
        <w:t xml:space="preserve">This argument applies to the facts </w:t>
      </w:r>
      <w:r w:rsidR="00582D2E" w:rsidRPr="006955AF">
        <w:rPr>
          <w:rFonts w:ascii="Times" w:hAnsi="Times"/>
        </w:rPr>
        <w:t xml:space="preserve">of </w:t>
      </w:r>
      <w:r w:rsidR="00582D2E" w:rsidRPr="006955AF">
        <w:rPr>
          <w:rFonts w:ascii="Times" w:hAnsi="Times"/>
          <w:i/>
        </w:rPr>
        <w:t>AIB</w:t>
      </w:r>
      <w:r w:rsidR="00582D2E" w:rsidRPr="006955AF">
        <w:rPr>
          <w:rFonts w:ascii="Times" w:hAnsi="Times"/>
        </w:rPr>
        <w:t xml:space="preserve"> </w:t>
      </w:r>
      <w:r w:rsidR="00D53CEA" w:rsidRPr="006955AF">
        <w:rPr>
          <w:rFonts w:ascii="Times" w:hAnsi="Times"/>
        </w:rPr>
        <w:t>as follows.</w:t>
      </w:r>
    </w:p>
    <w:p w14:paraId="6D12CED9" w14:textId="0596471B" w:rsidR="00D53CEA" w:rsidRPr="006955AF" w:rsidRDefault="00D53CEA" w:rsidP="00A217B5">
      <w:pPr>
        <w:spacing w:line="360" w:lineRule="auto"/>
        <w:jc w:val="both"/>
        <w:rPr>
          <w:rFonts w:ascii="Times" w:hAnsi="Times"/>
        </w:rPr>
      </w:pPr>
    </w:p>
    <w:p w14:paraId="53E9119F" w14:textId="029DE791" w:rsidR="00D53CEA" w:rsidRPr="006955AF" w:rsidRDefault="00D53CEA" w:rsidP="00A217B5">
      <w:pPr>
        <w:spacing w:line="360" w:lineRule="auto"/>
        <w:jc w:val="both"/>
        <w:rPr>
          <w:rFonts w:ascii="Times" w:hAnsi="Times"/>
        </w:rPr>
      </w:pPr>
      <w:r w:rsidRPr="006955AF">
        <w:rPr>
          <w:rFonts w:ascii="Times" w:hAnsi="Times"/>
        </w:rPr>
        <w:t xml:space="preserve">Once in possession of the £3.3 million, it was the trustee’s duty to acquire a first </w:t>
      </w:r>
      <w:r w:rsidR="00582D2E" w:rsidRPr="006955AF">
        <w:rPr>
          <w:rFonts w:ascii="Times" w:hAnsi="Times"/>
        </w:rPr>
        <w:t>charge</w:t>
      </w:r>
      <w:r w:rsidRPr="006955AF">
        <w:rPr>
          <w:rFonts w:ascii="Times" w:hAnsi="Times"/>
        </w:rPr>
        <w:t xml:space="preserve">, and so what should show in the account is the first </w:t>
      </w:r>
      <w:r w:rsidR="00582D2E" w:rsidRPr="006955AF">
        <w:rPr>
          <w:rFonts w:ascii="Times" w:hAnsi="Times"/>
        </w:rPr>
        <w:t>charge</w:t>
      </w:r>
      <w:r w:rsidRPr="006955AF">
        <w:rPr>
          <w:rFonts w:ascii="Times" w:hAnsi="Times"/>
        </w:rPr>
        <w:t>, not £3.3 million</w:t>
      </w:r>
      <w:r w:rsidR="00582D2E" w:rsidRPr="006955AF">
        <w:rPr>
          <w:rFonts w:ascii="Times" w:hAnsi="Times"/>
        </w:rPr>
        <w:t xml:space="preserve"> cash</w:t>
      </w:r>
      <w:r w:rsidRPr="006955AF">
        <w:rPr>
          <w:rFonts w:ascii="Times" w:hAnsi="Times"/>
        </w:rPr>
        <w:t xml:space="preserve">. </w:t>
      </w:r>
      <w:r w:rsidR="008446E6">
        <w:rPr>
          <w:rFonts w:ascii="Times" w:hAnsi="Times"/>
        </w:rPr>
        <w:t xml:space="preserve"> </w:t>
      </w:r>
      <w:r w:rsidRPr="006955AF">
        <w:rPr>
          <w:rFonts w:ascii="Times" w:hAnsi="Times"/>
        </w:rPr>
        <w:t xml:space="preserve">It was clearly the </w:t>
      </w:r>
      <w:r w:rsidRPr="006955AF">
        <w:rPr>
          <w:rFonts w:ascii="Times" w:hAnsi="Times"/>
          <w:i/>
        </w:rPr>
        <w:t>duty</w:t>
      </w:r>
      <w:r w:rsidRPr="006955AF">
        <w:rPr>
          <w:rFonts w:ascii="Times" w:hAnsi="Times"/>
        </w:rPr>
        <w:t xml:space="preserve"> of the trustee to acquire that mortgage, not merely its </w:t>
      </w:r>
      <w:r w:rsidRPr="006955AF">
        <w:rPr>
          <w:rFonts w:ascii="Times" w:hAnsi="Times"/>
          <w:i/>
        </w:rPr>
        <w:t>power</w:t>
      </w:r>
      <w:r w:rsidRPr="006955AF">
        <w:rPr>
          <w:rFonts w:ascii="Times" w:hAnsi="Times"/>
        </w:rPr>
        <w:t xml:space="preserve">: </w:t>
      </w:r>
      <w:r w:rsidR="00DF6C52">
        <w:rPr>
          <w:rFonts w:ascii="Times" w:hAnsi="Times"/>
        </w:rPr>
        <w:t xml:space="preserve"> </w:t>
      </w:r>
      <w:r w:rsidRPr="006955AF">
        <w:rPr>
          <w:rFonts w:ascii="Times" w:hAnsi="Times"/>
        </w:rPr>
        <w:t xml:space="preserve">the trustee could hardly be heard to say that it might or might not choose to expend the monies on the mortgage; it had to do so. </w:t>
      </w:r>
      <w:r w:rsidR="008446E6">
        <w:rPr>
          <w:rFonts w:ascii="Times" w:hAnsi="Times"/>
        </w:rPr>
        <w:t xml:space="preserve"> </w:t>
      </w:r>
      <w:r w:rsidRPr="006955AF">
        <w:rPr>
          <w:rFonts w:ascii="Times" w:hAnsi="Times"/>
        </w:rPr>
        <w:t xml:space="preserve">This duty was originally revocable, of course. </w:t>
      </w:r>
      <w:r w:rsidR="008446E6">
        <w:rPr>
          <w:rFonts w:ascii="Times" w:hAnsi="Times"/>
        </w:rPr>
        <w:t xml:space="preserve"> </w:t>
      </w:r>
      <w:r w:rsidRPr="006955AF">
        <w:rPr>
          <w:rFonts w:ascii="Times" w:hAnsi="Times"/>
        </w:rPr>
        <w:t>AIB could have called off the whole transaction</w:t>
      </w:r>
      <w:r w:rsidR="00582D2E" w:rsidRPr="006955AF">
        <w:rPr>
          <w:rFonts w:ascii="Times" w:hAnsi="Times"/>
        </w:rPr>
        <w:t>,</w:t>
      </w:r>
      <w:r w:rsidRPr="006955AF">
        <w:rPr>
          <w:rFonts w:ascii="Times" w:hAnsi="Times"/>
        </w:rPr>
        <w:t xml:space="preserve"> at least until it took the benefit of the second </w:t>
      </w:r>
      <w:r w:rsidR="00582D2E" w:rsidRPr="006955AF">
        <w:rPr>
          <w:rFonts w:ascii="Times" w:hAnsi="Times"/>
        </w:rPr>
        <w:t>charge</w:t>
      </w:r>
      <w:r w:rsidRPr="006955AF">
        <w:rPr>
          <w:rFonts w:ascii="Times" w:hAnsi="Times"/>
        </w:rPr>
        <w:t>, though it is hard to see how AIB could resile once it had voluntarily ta</w:t>
      </w:r>
      <w:r w:rsidR="00582D2E" w:rsidRPr="006955AF">
        <w:rPr>
          <w:rFonts w:ascii="Times" w:hAnsi="Times"/>
        </w:rPr>
        <w:t>ken benefit (the second charge</w:t>
      </w:r>
      <w:r w:rsidRPr="006955AF">
        <w:rPr>
          <w:rFonts w:ascii="Times" w:hAnsi="Times"/>
        </w:rPr>
        <w:t xml:space="preserve">) from the acquisition of the property: </w:t>
      </w:r>
      <w:r w:rsidR="00DF6C52">
        <w:rPr>
          <w:rFonts w:ascii="Times" w:hAnsi="Times"/>
        </w:rPr>
        <w:t xml:space="preserve"> </w:t>
      </w:r>
      <w:r w:rsidRPr="006955AF">
        <w:rPr>
          <w:rFonts w:ascii="Times" w:hAnsi="Times"/>
        </w:rPr>
        <w:t xml:space="preserve">taking such a benefit and yet denying authority for the very transactions which generated that benefit would be inconsistent. </w:t>
      </w:r>
      <w:r w:rsidR="008446E6">
        <w:rPr>
          <w:rFonts w:ascii="Times" w:hAnsi="Times"/>
        </w:rPr>
        <w:t xml:space="preserve"> </w:t>
      </w:r>
      <w:r w:rsidR="00582D2E" w:rsidRPr="006955AF">
        <w:rPr>
          <w:rFonts w:ascii="Times" w:hAnsi="Times"/>
        </w:rPr>
        <w:t xml:space="preserve">But </w:t>
      </w:r>
      <w:r w:rsidRPr="006955AF">
        <w:rPr>
          <w:rFonts w:ascii="Times" w:hAnsi="Times"/>
        </w:rPr>
        <w:t xml:space="preserve">on the </w:t>
      </w:r>
      <w:r w:rsidR="00582D2E" w:rsidRPr="006955AF">
        <w:rPr>
          <w:rFonts w:ascii="Times" w:hAnsi="Times"/>
        </w:rPr>
        <w:t xml:space="preserve">(correct) </w:t>
      </w:r>
      <w:r w:rsidRPr="006955AF">
        <w:rPr>
          <w:rFonts w:ascii="Times" w:hAnsi="Times"/>
        </w:rPr>
        <w:t xml:space="preserve">assumption that AIB did not countermand acquisition of </w:t>
      </w:r>
      <w:r w:rsidR="00582D2E" w:rsidRPr="006955AF">
        <w:rPr>
          <w:rFonts w:ascii="Times" w:hAnsi="Times"/>
        </w:rPr>
        <w:t>a</w:t>
      </w:r>
      <w:r w:rsidRPr="006955AF">
        <w:rPr>
          <w:rFonts w:ascii="Times" w:hAnsi="Times"/>
        </w:rPr>
        <w:t xml:space="preserve"> </w:t>
      </w:r>
      <w:r w:rsidR="00582D2E" w:rsidRPr="006955AF">
        <w:rPr>
          <w:rFonts w:ascii="Times" w:hAnsi="Times"/>
        </w:rPr>
        <w:t>charge</w:t>
      </w:r>
      <w:r w:rsidRPr="006955AF">
        <w:rPr>
          <w:rFonts w:ascii="Times" w:hAnsi="Times"/>
        </w:rPr>
        <w:t>,</w:t>
      </w:r>
      <w:r w:rsidR="00582D2E" w:rsidRPr="006955AF">
        <w:rPr>
          <w:rFonts w:ascii="Times" w:hAnsi="Times"/>
        </w:rPr>
        <w:t xml:space="preserve"> </w:t>
      </w:r>
      <w:r w:rsidR="00552689">
        <w:rPr>
          <w:rFonts w:ascii="Times" w:hAnsi="Times"/>
        </w:rPr>
        <w:t>the accounting exercise would proceed as follows.  A</w:t>
      </w:r>
      <w:r w:rsidR="00582D2E" w:rsidRPr="006955AF">
        <w:rPr>
          <w:rFonts w:ascii="Times" w:hAnsi="Times"/>
        </w:rPr>
        <w:t xml:space="preserve"> first charge is</w:t>
      </w:r>
      <w:r w:rsidRPr="006955AF">
        <w:rPr>
          <w:rFonts w:ascii="Times" w:hAnsi="Times"/>
        </w:rPr>
        <w:t xml:space="preserve"> what should show in the </w:t>
      </w:r>
      <w:r w:rsidR="00582D2E" w:rsidRPr="006955AF">
        <w:rPr>
          <w:rFonts w:ascii="Times" w:hAnsi="Times"/>
        </w:rPr>
        <w:t xml:space="preserve">trust </w:t>
      </w:r>
      <w:r w:rsidRPr="006955AF">
        <w:rPr>
          <w:rFonts w:ascii="Times" w:hAnsi="Times"/>
        </w:rPr>
        <w:t xml:space="preserve">accounts, not a sum of cash. </w:t>
      </w:r>
      <w:r w:rsidR="008446E6">
        <w:rPr>
          <w:rFonts w:ascii="Times" w:hAnsi="Times"/>
        </w:rPr>
        <w:t xml:space="preserve"> </w:t>
      </w:r>
      <w:r w:rsidRPr="006955AF">
        <w:rPr>
          <w:rFonts w:ascii="Times" w:hAnsi="Times"/>
        </w:rPr>
        <w:t xml:space="preserve">On that basis, when the borrower defaulted, the trust fund </w:t>
      </w:r>
      <w:r w:rsidR="00552689">
        <w:rPr>
          <w:rFonts w:ascii="Times" w:hAnsi="Times"/>
          <w:i/>
        </w:rPr>
        <w:t>did</w:t>
      </w:r>
      <w:r w:rsidRPr="006955AF">
        <w:rPr>
          <w:rFonts w:ascii="Times" w:hAnsi="Times"/>
        </w:rPr>
        <w:t xml:space="preserve"> contain a second </w:t>
      </w:r>
      <w:r w:rsidR="00582D2E" w:rsidRPr="006955AF">
        <w:rPr>
          <w:rFonts w:ascii="Times" w:hAnsi="Times"/>
        </w:rPr>
        <w:t xml:space="preserve">charge </w:t>
      </w:r>
      <w:r w:rsidR="00552689">
        <w:rPr>
          <w:rFonts w:ascii="Times" w:hAnsi="Times"/>
        </w:rPr>
        <w:t xml:space="preserve">(the actual state of the fund, albeit the result of a breach of duty), </w:t>
      </w:r>
      <w:r w:rsidRPr="006955AF">
        <w:rPr>
          <w:rFonts w:ascii="Times" w:hAnsi="Times"/>
        </w:rPr>
        <w:t xml:space="preserve">when </w:t>
      </w:r>
      <w:r w:rsidR="00552689">
        <w:rPr>
          <w:rFonts w:ascii="Times" w:hAnsi="Times"/>
        </w:rPr>
        <w:t>the fund</w:t>
      </w:r>
      <w:r w:rsidRPr="006955AF">
        <w:rPr>
          <w:rFonts w:ascii="Times" w:hAnsi="Times"/>
        </w:rPr>
        <w:t xml:space="preserve"> </w:t>
      </w:r>
      <w:r w:rsidRPr="000E3919">
        <w:rPr>
          <w:rFonts w:ascii="Times" w:hAnsi="Times"/>
          <w:i/>
        </w:rPr>
        <w:t>should</w:t>
      </w:r>
      <w:r w:rsidRPr="006955AF">
        <w:rPr>
          <w:rFonts w:ascii="Times" w:hAnsi="Times"/>
        </w:rPr>
        <w:t xml:space="preserve"> </w:t>
      </w:r>
      <w:r w:rsidR="00582D2E" w:rsidRPr="006955AF">
        <w:rPr>
          <w:rFonts w:ascii="Times" w:hAnsi="Times"/>
        </w:rPr>
        <w:t xml:space="preserve">have </w:t>
      </w:r>
      <w:r w:rsidRPr="006955AF">
        <w:rPr>
          <w:rFonts w:ascii="Times" w:hAnsi="Times"/>
        </w:rPr>
        <w:t>contain</w:t>
      </w:r>
      <w:r w:rsidR="00582D2E" w:rsidRPr="006955AF">
        <w:rPr>
          <w:rFonts w:ascii="Times" w:hAnsi="Times"/>
        </w:rPr>
        <w:t>ed</w:t>
      </w:r>
      <w:r w:rsidRPr="006955AF">
        <w:rPr>
          <w:rFonts w:ascii="Times" w:hAnsi="Times"/>
        </w:rPr>
        <w:t xml:space="preserve"> a first </w:t>
      </w:r>
      <w:r w:rsidR="00582D2E" w:rsidRPr="006955AF">
        <w:rPr>
          <w:rFonts w:ascii="Times" w:hAnsi="Times"/>
        </w:rPr>
        <w:t>charge</w:t>
      </w:r>
      <w:r w:rsidR="00552689">
        <w:rPr>
          <w:rFonts w:ascii="Times" w:hAnsi="Times"/>
        </w:rPr>
        <w:t xml:space="preserve"> (the counterfactual, but proper, state of the fund)</w:t>
      </w:r>
      <w:r w:rsidR="00582D2E" w:rsidRPr="006955AF">
        <w:rPr>
          <w:rFonts w:ascii="Times" w:hAnsi="Times"/>
        </w:rPr>
        <w:t xml:space="preserve">. </w:t>
      </w:r>
      <w:r w:rsidR="00552689">
        <w:rPr>
          <w:rFonts w:ascii="Times" w:hAnsi="Times"/>
        </w:rPr>
        <w:t xml:space="preserve"> </w:t>
      </w:r>
      <w:r w:rsidR="00474A4C">
        <w:rPr>
          <w:rFonts w:ascii="Times" w:hAnsi="Times"/>
        </w:rPr>
        <w:t>In that case,</w:t>
      </w:r>
      <w:r w:rsidRPr="006955AF">
        <w:rPr>
          <w:rFonts w:ascii="Times" w:hAnsi="Times"/>
        </w:rPr>
        <w:t xml:space="preserve"> the loss to the </w:t>
      </w:r>
      <w:r w:rsidR="00582D2E" w:rsidRPr="006955AF">
        <w:rPr>
          <w:rFonts w:ascii="Times" w:hAnsi="Times"/>
        </w:rPr>
        <w:t xml:space="preserve">trust </w:t>
      </w:r>
      <w:r w:rsidRPr="006955AF">
        <w:rPr>
          <w:rFonts w:ascii="Times" w:hAnsi="Times"/>
        </w:rPr>
        <w:t>fund would be the difference between realisat</w:t>
      </w:r>
      <w:r w:rsidR="00582D2E" w:rsidRPr="006955AF">
        <w:rPr>
          <w:rFonts w:ascii="Times" w:hAnsi="Times"/>
        </w:rPr>
        <w:t>ion of a first charge</w:t>
      </w:r>
      <w:r w:rsidRPr="006955AF">
        <w:rPr>
          <w:rFonts w:ascii="Times" w:hAnsi="Times"/>
        </w:rPr>
        <w:t xml:space="preserve"> </w:t>
      </w:r>
      <w:r w:rsidR="00582D2E" w:rsidRPr="006955AF">
        <w:rPr>
          <w:rFonts w:ascii="Times" w:hAnsi="Times"/>
        </w:rPr>
        <w:t xml:space="preserve">over the property </w:t>
      </w:r>
      <w:r w:rsidRPr="006955AF">
        <w:rPr>
          <w:rFonts w:ascii="Times" w:hAnsi="Times"/>
        </w:rPr>
        <w:t xml:space="preserve">and realisation of the second </w:t>
      </w:r>
      <w:r w:rsidR="00582D2E" w:rsidRPr="006955AF">
        <w:rPr>
          <w:rFonts w:ascii="Times" w:hAnsi="Times"/>
        </w:rPr>
        <w:t>charge actually held over the property</w:t>
      </w:r>
      <w:r w:rsidRPr="006955AF">
        <w:rPr>
          <w:rFonts w:ascii="Times" w:hAnsi="Times"/>
        </w:rPr>
        <w:t>, in other words, £0.3 million</w:t>
      </w:r>
      <w:r w:rsidR="00582D2E" w:rsidRPr="006955AF">
        <w:rPr>
          <w:rFonts w:ascii="Times" w:hAnsi="Times"/>
        </w:rPr>
        <w:t xml:space="preserve"> (</w:t>
      </w:r>
      <w:r w:rsidR="003B0547" w:rsidRPr="006955AF">
        <w:rPr>
          <w:rFonts w:ascii="Times" w:hAnsi="Times"/>
        </w:rPr>
        <w:t xml:space="preserve">that is, </w:t>
      </w:r>
      <w:r w:rsidR="00582D2E" w:rsidRPr="006955AF">
        <w:rPr>
          <w:rFonts w:ascii="Times" w:hAnsi="Times"/>
        </w:rPr>
        <w:t>the sum due to the holder of the first charge).</w:t>
      </w:r>
      <w:r w:rsidR="008B226F">
        <w:rPr>
          <w:rFonts w:ascii="Times" w:hAnsi="Times"/>
        </w:rPr>
        <w:t xml:space="preserve">  </w:t>
      </w:r>
      <w:r w:rsidR="0058168F">
        <w:rPr>
          <w:rFonts w:ascii="Times" w:hAnsi="Times"/>
        </w:rPr>
        <w:t xml:space="preserve">The only way in which the second charge could be left out of the account is if AIB disclaimed any benefit from it:  as a matter of accounting, not </w:t>
      </w:r>
      <w:r w:rsidR="00F1701F">
        <w:rPr>
          <w:rFonts w:ascii="Times" w:hAnsi="Times"/>
        </w:rPr>
        <w:t xml:space="preserve">deliberate </w:t>
      </w:r>
      <w:r w:rsidR="0058168F">
        <w:rPr>
          <w:rFonts w:ascii="Times" w:hAnsi="Times"/>
        </w:rPr>
        <w:t xml:space="preserve">ratification, AIB cannot retain benefit from an asset and yet </w:t>
      </w:r>
      <w:r w:rsidR="00131071">
        <w:rPr>
          <w:rFonts w:ascii="Times" w:hAnsi="Times"/>
        </w:rPr>
        <w:t xml:space="preserve">seek to </w:t>
      </w:r>
      <w:r w:rsidR="0058168F">
        <w:rPr>
          <w:rFonts w:ascii="Times" w:hAnsi="Times"/>
        </w:rPr>
        <w:t>leave it out of account.</w:t>
      </w:r>
    </w:p>
    <w:p w14:paraId="694632C1" w14:textId="2A860776" w:rsidR="00E2237F" w:rsidRPr="006955AF" w:rsidRDefault="00E2237F" w:rsidP="00A217B5">
      <w:pPr>
        <w:spacing w:line="360" w:lineRule="auto"/>
        <w:jc w:val="both"/>
        <w:rPr>
          <w:rFonts w:ascii="Times" w:hAnsi="Times"/>
        </w:rPr>
      </w:pPr>
    </w:p>
    <w:p w14:paraId="44674339" w14:textId="1092E7AD" w:rsidR="00E2237F" w:rsidRPr="006955AF" w:rsidRDefault="00E2237F" w:rsidP="00A217B5">
      <w:pPr>
        <w:spacing w:line="360" w:lineRule="auto"/>
        <w:jc w:val="both"/>
        <w:rPr>
          <w:rFonts w:ascii="Times" w:hAnsi="Times"/>
        </w:rPr>
      </w:pPr>
      <w:r w:rsidRPr="006955AF">
        <w:rPr>
          <w:rFonts w:ascii="Times" w:hAnsi="Times"/>
        </w:rPr>
        <w:t xml:space="preserve">In other words, the results in both </w:t>
      </w:r>
      <w:r w:rsidRPr="006955AF">
        <w:rPr>
          <w:rFonts w:ascii="Times" w:hAnsi="Times"/>
          <w:i/>
        </w:rPr>
        <w:t>Target</w:t>
      </w:r>
      <w:r w:rsidRPr="006955AF">
        <w:rPr>
          <w:rFonts w:ascii="Times" w:hAnsi="Times"/>
        </w:rPr>
        <w:t xml:space="preserve"> and </w:t>
      </w:r>
      <w:r w:rsidRPr="006955AF">
        <w:rPr>
          <w:rFonts w:ascii="Times" w:hAnsi="Times"/>
          <w:i/>
        </w:rPr>
        <w:t>AIB</w:t>
      </w:r>
      <w:r w:rsidRPr="006955AF">
        <w:rPr>
          <w:rFonts w:ascii="Times" w:hAnsi="Times"/>
        </w:rPr>
        <w:t xml:space="preserve"> are entirely consistent with orthodox </w:t>
      </w:r>
      <w:r w:rsidR="00131071">
        <w:rPr>
          <w:rFonts w:ascii="Times" w:hAnsi="Times"/>
        </w:rPr>
        <w:t>principles of accounting</w:t>
      </w:r>
      <w:r w:rsidRPr="006955AF">
        <w:rPr>
          <w:rFonts w:ascii="Times" w:hAnsi="Times"/>
        </w:rPr>
        <w:t xml:space="preserve">. </w:t>
      </w:r>
      <w:r w:rsidR="008446E6">
        <w:rPr>
          <w:rFonts w:ascii="Times" w:hAnsi="Times"/>
        </w:rPr>
        <w:t xml:space="preserve"> </w:t>
      </w:r>
      <w:r w:rsidRPr="006955AF">
        <w:rPr>
          <w:rFonts w:ascii="Times" w:hAnsi="Times"/>
        </w:rPr>
        <w:t>But the language of those cases about loss is not consistent with orthodoxy and is apt to cause confusion</w:t>
      </w:r>
      <w:r w:rsidR="00B819FB">
        <w:rPr>
          <w:rFonts w:ascii="Times" w:hAnsi="Times"/>
        </w:rPr>
        <w:t xml:space="preserve"> in the law of trusts</w:t>
      </w:r>
      <w:r w:rsidRPr="006955AF">
        <w:rPr>
          <w:rFonts w:ascii="Times" w:hAnsi="Times"/>
        </w:rPr>
        <w:t xml:space="preserve">.  The recent case of </w:t>
      </w:r>
      <w:r w:rsidRPr="006955AF">
        <w:rPr>
          <w:rFonts w:ascii="Times" w:hAnsi="Times"/>
          <w:i/>
        </w:rPr>
        <w:t>Main &amp; Ors v Giambrone &amp; Law (a firm)</w:t>
      </w:r>
      <w:r w:rsidRPr="006955AF">
        <w:rPr>
          <w:rStyle w:val="FootnoteReference"/>
        </w:rPr>
        <w:footnoteReference w:id="68"/>
      </w:r>
      <w:r w:rsidRPr="006955AF">
        <w:rPr>
          <w:rFonts w:ascii="Times" w:hAnsi="Times"/>
        </w:rPr>
        <w:t xml:space="preserve"> provides an example of just such confusion and the difficulties consequently faced by the courts.</w:t>
      </w:r>
    </w:p>
    <w:p w14:paraId="488ABF98" w14:textId="77777777" w:rsidR="00E2237F" w:rsidRPr="006955AF" w:rsidRDefault="00E2237F" w:rsidP="00A217B5">
      <w:pPr>
        <w:spacing w:line="360" w:lineRule="auto"/>
        <w:jc w:val="both"/>
        <w:rPr>
          <w:rFonts w:ascii="Times" w:hAnsi="Times"/>
        </w:rPr>
      </w:pPr>
    </w:p>
    <w:p w14:paraId="0DE4F48D" w14:textId="77777777" w:rsidR="00E2237F" w:rsidRPr="006955AF" w:rsidRDefault="00E2237F" w:rsidP="00A217B5">
      <w:pPr>
        <w:spacing w:line="360" w:lineRule="auto"/>
        <w:jc w:val="both"/>
        <w:rPr>
          <w:rFonts w:ascii="Times" w:hAnsi="Times"/>
        </w:rPr>
      </w:pPr>
      <w:r w:rsidRPr="006955AF">
        <w:rPr>
          <w:rFonts w:ascii="Times" w:hAnsi="Times"/>
        </w:rPr>
        <w:lastRenderedPageBreak/>
        <w:t>Giambrone &amp; Law, a firm of solicitors, held various monies on trust for clients in the firm’s client account.  Those monies were deposits for the purchase of real estate in Italy, to be paid away only if the developers of properties on the land in question had a valid bank guarantee, issued by a bank as required by Italian law, and intended for the protection of purchasers of the properties, amongst whom were the firm’s clients.  In breach of trust, Giambrone &amp; Law paid the client monies away in the absence of a valid bank guarantee.</w:t>
      </w:r>
    </w:p>
    <w:p w14:paraId="23867FE5" w14:textId="77777777" w:rsidR="00E2237F" w:rsidRPr="006955AF" w:rsidRDefault="00E2237F" w:rsidP="00A217B5">
      <w:pPr>
        <w:spacing w:line="360" w:lineRule="auto"/>
        <w:jc w:val="both"/>
        <w:rPr>
          <w:rFonts w:ascii="Times" w:hAnsi="Times"/>
        </w:rPr>
      </w:pPr>
    </w:p>
    <w:p w14:paraId="79E53048" w14:textId="6ECE9FED" w:rsidR="00E2237F" w:rsidRPr="006955AF" w:rsidRDefault="00E2237F" w:rsidP="00A217B5">
      <w:pPr>
        <w:spacing w:line="360" w:lineRule="auto"/>
        <w:jc w:val="both"/>
        <w:rPr>
          <w:rFonts w:ascii="Times" w:hAnsi="Times"/>
        </w:rPr>
      </w:pPr>
      <w:r w:rsidRPr="006955AF">
        <w:rPr>
          <w:rFonts w:ascii="Times" w:hAnsi="Times"/>
        </w:rPr>
        <w:t>These facts presented a straight</w:t>
      </w:r>
      <w:r w:rsidR="00A518D2">
        <w:rPr>
          <w:rFonts w:ascii="Times" w:hAnsi="Times"/>
        </w:rPr>
        <w:t xml:space="preserve"> </w:t>
      </w:r>
      <w:r w:rsidRPr="006955AF">
        <w:rPr>
          <w:rFonts w:ascii="Times" w:hAnsi="Times"/>
        </w:rPr>
        <w:t xml:space="preserve">forward case for the reconstitution of the trust fund (that is, the client account).  However, Giambrone &amp; Law relied on </w:t>
      </w:r>
      <w:r w:rsidRPr="006955AF">
        <w:rPr>
          <w:rFonts w:ascii="Times" w:hAnsi="Times"/>
          <w:i/>
        </w:rPr>
        <w:t xml:space="preserve">Target </w:t>
      </w:r>
      <w:r w:rsidRPr="006955AF">
        <w:rPr>
          <w:rFonts w:ascii="Times" w:hAnsi="Times"/>
        </w:rPr>
        <w:t xml:space="preserve">and </w:t>
      </w:r>
      <w:r w:rsidRPr="006955AF">
        <w:rPr>
          <w:rFonts w:ascii="Times" w:hAnsi="Times"/>
          <w:i/>
        </w:rPr>
        <w:t xml:space="preserve">AIB </w:t>
      </w:r>
      <w:r w:rsidRPr="006955AF">
        <w:rPr>
          <w:rFonts w:ascii="Times" w:hAnsi="Times"/>
        </w:rPr>
        <w:t xml:space="preserve">to argue that even if a valid guarantee had been obtained, the claimants would not have recovered their deposits by virtue of such a guarantee, because their loss would not have fallen within the terms of such a guarantee. </w:t>
      </w:r>
      <w:r w:rsidR="008446E6">
        <w:rPr>
          <w:rFonts w:ascii="Times" w:hAnsi="Times"/>
        </w:rPr>
        <w:t xml:space="preserve"> </w:t>
      </w:r>
      <w:r w:rsidRPr="006955AF">
        <w:rPr>
          <w:rFonts w:ascii="Times" w:hAnsi="Times"/>
        </w:rPr>
        <w:t>Jackson L</w:t>
      </w:r>
      <w:r w:rsidR="00BC4810">
        <w:rPr>
          <w:rFonts w:ascii="Times" w:hAnsi="Times"/>
        </w:rPr>
        <w:t>.</w:t>
      </w:r>
      <w:r w:rsidRPr="006955AF">
        <w:rPr>
          <w:rFonts w:ascii="Times" w:hAnsi="Times"/>
        </w:rPr>
        <w:t>J</w:t>
      </w:r>
      <w:r w:rsidR="00BC4810">
        <w:rPr>
          <w:rFonts w:ascii="Times" w:hAnsi="Times"/>
        </w:rPr>
        <w:t>.</w:t>
      </w:r>
      <w:r w:rsidRPr="006955AF">
        <w:rPr>
          <w:rFonts w:ascii="Times" w:hAnsi="Times"/>
        </w:rPr>
        <w:t xml:space="preserve"> distinguished </w:t>
      </w:r>
      <w:r w:rsidRPr="006955AF">
        <w:rPr>
          <w:rFonts w:ascii="Times" w:hAnsi="Times"/>
          <w:i/>
        </w:rPr>
        <w:t>Target</w:t>
      </w:r>
      <w:r w:rsidRPr="006955AF">
        <w:rPr>
          <w:rFonts w:ascii="Times" w:hAnsi="Times"/>
        </w:rPr>
        <w:t xml:space="preserve"> and </w:t>
      </w:r>
      <w:r w:rsidRPr="006955AF">
        <w:rPr>
          <w:rFonts w:ascii="Times" w:hAnsi="Times"/>
          <w:i/>
        </w:rPr>
        <w:t>AIB</w:t>
      </w:r>
      <w:r w:rsidRPr="006955AF">
        <w:rPr>
          <w:rFonts w:ascii="Times" w:hAnsi="Times"/>
        </w:rPr>
        <w:t xml:space="preserve"> on fine grounds.  He held that Giambrone &amp; Law owed its clients a duty to hold the deposits and release them only if the relevant bank guarantee was in place.  He held that the firm did not have any active duty to procure such guarantee, unlike the active duty of the solicitors in </w:t>
      </w:r>
      <w:r w:rsidRPr="006955AF">
        <w:rPr>
          <w:rFonts w:ascii="Times" w:hAnsi="Times"/>
          <w:i/>
        </w:rPr>
        <w:t>Target</w:t>
      </w:r>
      <w:r w:rsidRPr="006955AF">
        <w:rPr>
          <w:rFonts w:ascii="Times" w:hAnsi="Times"/>
        </w:rPr>
        <w:t xml:space="preserve"> to obtain a legal charge over land in exchange for client monies, and the active duty in </w:t>
      </w:r>
      <w:r w:rsidRPr="006955AF">
        <w:rPr>
          <w:rFonts w:ascii="Times" w:hAnsi="Times"/>
          <w:i/>
        </w:rPr>
        <w:t>AIB</w:t>
      </w:r>
      <w:r w:rsidRPr="006955AF">
        <w:rPr>
          <w:rFonts w:ascii="Times" w:hAnsi="Times"/>
        </w:rPr>
        <w:t xml:space="preserve"> to clear prior charges off some land and obtain a first charge over the land in exchange for client monies.  So if Giambrone &amp; Law had done their duty – the relevant counterfactual for the assessment of loss – they would have retained the trust fund in the absence of a suitable bank guarantee.  Accordingly, the clients had suffered loss.</w:t>
      </w:r>
      <w:r w:rsidRPr="006955AF">
        <w:rPr>
          <w:rStyle w:val="FootnoteReference"/>
        </w:rPr>
        <w:footnoteReference w:id="69"/>
      </w:r>
    </w:p>
    <w:p w14:paraId="687A2DEB" w14:textId="77777777" w:rsidR="00E2237F" w:rsidRPr="006955AF" w:rsidRDefault="00E2237F" w:rsidP="00A217B5">
      <w:pPr>
        <w:spacing w:line="360" w:lineRule="auto"/>
        <w:jc w:val="both"/>
        <w:rPr>
          <w:rFonts w:ascii="Times" w:hAnsi="Times"/>
        </w:rPr>
      </w:pPr>
    </w:p>
    <w:p w14:paraId="324082A3" w14:textId="54EBDA01" w:rsidR="00E2237F" w:rsidRPr="006955AF" w:rsidRDefault="00E2237F" w:rsidP="00A217B5">
      <w:pPr>
        <w:spacing w:line="360" w:lineRule="auto"/>
        <w:jc w:val="both"/>
        <w:rPr>
          <w:rFonts w:ascii="Times" w:hAnsi="Times"/>
        </w:rPr>
      </w:pPr>
      <w:r w:rsidRPr="006955AF">
        <w:rPr>
          <w:rFonts w:ascii="Times" w:hAnsi="Times"/>
        </w:rPr>
        <w:t xml:space="preserve">With respect, this reasoning reaches the correct result, but the case is needlessly complicated because of the arguments raised by Giambrone &amp; Law based on </w:t>
      </w:r>
      <w:r w:rsidRPr="006955AF">
        <w:rPr>
          <w:rFonts w:ascii="Times" w:hAnsi="Times"/>
          <w:i/>
        </w:rPr>
        <w:t>Target</w:t>
      </w:r>
      <w:r w:rsidRPr="006955AF">
        <w:rPr>
          <w:rFonts w:ascii="Times" w:hAnsi="Times"/>
        </w:rPr>
        <w:t xml:space="preserve"> and </w:t>
      </w:r>
      <w:r w:rsidRPr="006955AF">
        <w:rPr>
          <w:rFonts w:ascii="Times" w:hAnsi="Times"/>
          <w:i/>
        </w:rPr>
        <w:t>AIB</w:t>
      </w:r>
      <w:r w:rsidRPr="006955AF">
        <w:rPr>
          <w:rFonts w:ascii="Times" w:hAnsi="Times"/>
        </w:rPr>
        <w:t xml:space="preserve">.  In all trusts, the trustee’s duty is to retain the trust fund </w:t>
      </w:r>
      <w:r w:rsidRPr="006955AF">
        <w:rPr>
          <w:rFonts w:ascii="Times" w:hAnsi="Times"/>
          <w:i/>
        </w:rPr>
        <w:t>in specie</w:t>
      </w:r>
      <w:r w:rsidRPr="006955AF">
        <w:rPr>
          <w:rFonts w:ascii="Times" w:hAnsi="Times"/>
        </w:rPr>
        <w:t xml:space="preserve"> save as directed or authorised to deal with it or to pay it away.</w:t>
      </w:r>
      <w:r w:rsidRPr="006955AF">
        <w:rPr>
          <w:rStyle w:val="FootnoteReference"/>
        </w:rPr>
        <w:footnoteReference w:id="70"/>
      </w:r>
      <w:r w:rsidRPr="006955AF">
        <w:rPr>
          <w:rFonts w:ascii="Times" w:hAnsi="Times"/>
        </w:rPr>
        <w:t xml:space="preserve">  </w:t>
      </w:r>
      <w:r w:rsidR="006B3CBC" w:rsidRPr="006955AF">
        <w:rPr>
          <w:rFonts w:ascii="Times" w:hAnsi="Times"/>
        </w:rPr>
        <w:t>In order t</w:t>
      </w:r>
      <w:r w:rsidRPr="006955AF">
        <w:rPr>
          <w:rFonts w:ascii="Times" w:hAnsi="Times"/>
        </w:rPr>
        <w:t>o determine whether the disbursement is authorised, what matters are the terms of the trust, not every obligation to which the trustee might be subject.  So in the case of an alleged misapplication of trust f</w:t>
      </w:r>
      <w:r w:rsidR="005C4372">
        <w:rPr>
          <w:rFonts w:ascii="Times" w:hAnsi="Times"/>
        </w:rPr>
        <w:t>u</w:t>
      </w:r>
      <w:r w:rsidRPr="006955AF">
        <w:rPr>
          <w:rFonts w:ascii="Times" w:hAnsi="Times"/>
        </w:rPr>
        <w:t xml:space="preserve">nds, the court must first identify the circumstances in which the trustee may lawfully pay the fund away, and then make a finding as to whether the payment actually made by the trustee was within those circumstances or not.  </w:t>
      </w:r>
      <w:r w:rsidRPr="006955AF">
        <w:rPr>
          <w:rFonts w:ascii="Times" w:hAnsi="Times"/>
        </w:rPr>
        <w:lastRenderedPageBreak/>
        <w:t xml:space="preserve">If not, the trustee committed a breach of trust in making the payment, for which the trustee is accountable and </w:t>
      </w:r>
      <w:r w:rsidRPr="006955AF">
        <w:rPr>
          <w:rFonts w:ascii="Times" w:hAnsi="Times"/>
          <w:i/>
        </w:rPr>
        <w:t>prima facie</w:t>
      </w:r>
      <w:r w:rsidRPr="006955AF">
        <w:rPr>
          <w:rFonts w:ascii="Times" w:hAnsi="Times"/>
        </w:rPr>
        <w:t xml:space="preserve"> liable.   Of course, the final liability of the trustee will depend on what other entries, if any, appear in the account, such as credits for any reconstitution of the trust fund, and on any distinct defences such as estoppel or laches.</w:t>
      </w:r>
    </w:p>
    <w:p w14:paraId="6FE08120" w14:textId="77777777" w:rsidR="00E2237F" w:rsidRPr="006955AF" w:rsidRDefault="00E2237F" w:rsidP="00A217B5">
      <w:pPr>
        <w:spacing w:line="360" w:lineRule="auto"/>
        <w:jc w:val="both"/>
        <w:rPr>
          <w:rFonts w:ascii="Times" w:hAnsi="Times"/>
        </w:rPr>
      </w:pPr>
    </w:p>
    <w:p w14:paraId="21CDF342" w14:textId="4ED169B3" w:rsidR="00E2237F" w:rsidRPr="006955AF" w:rsidRDefault="00E2237F" w:rsidP="00A217B5">
      <w:pPr>
        <w:spacing w:line="360" w:lineRule="auto"/>
        <w:jc w:val="both"/>
        <w:rPr>
          <w:rFonts w:ascii="Times" w:hAnsi="Times"/>
        </w:rPr>
      </w:pPr>
      <w:r w:rsidRPr="006955AF">
        <w:rPr>
          <w:rFonts w:ascii="Times" w:hAnsi="Times"/>
        </w:rPr>
        <w:t xml:space="preserve">In short, a routine application of orthodox accounting would have revealed the proper ground for distinguishing </w:t>
      </w:r>
      <w:r w:rsidRPr="006955AF">
        <w:rPr>
          <w:rFonts w:ascii="Times" w:hAnsi="Times"/>
          <w:i/>
        </w:rPr>
        <w:t xml:space="preserve">Giambrone </w:t>
      </w:r>
      <w:r w:rsidRPr="006955AF">
        <w:rPr>
          <w:rFonts w:ascii="Times" w:hAnsi="Times"/>
        </w:rPr>
        <w:t xml:space="preserve">from </w:t>
      </w:r>
      <w:r w:rsidRPr="006955AF">
        <w:rPr>
          <w:rFonts w:ascii="Times" w:hAnsi="Times"/>
          <w:i/>
        </w:rPr>
        <w:t>Target</w:t>
      </w:r>
      <w:r w:rsidRPr="006955AF">
        <w:rPr>
          <w:rFonts w:ascii="Times" w:hAnsi="Times"/>
        </w:rPr>
        <w:t xml:space="preserve"> and </w:t>
      </w:r>
      <w:r w:rsidRPr="006955AF">
        <w:rPr>
          <w:rFonts w:ascii="Times" w:hAnsi="Times"/>
          <w:i/>
        </w:rPr>
        <w:t>AIB</w:t>
      </w:r>
      <w:r w:rsidRPr="006955AF">
        <w:rPr>
          <w:rFonts w:ascii="Times" w:hAnsi="Times"/>
        </w:rPr>
        <w:t xml:space="preserve">.  The crucial difference was not that in </w:t>
      </w:r>
      <w:r w:rsidRPr="006955AF">
        <w:rPr>
          <w:rFonts w:ascii="Times" w:hAnsi="Times"/>
          <w:i/>
        </w:rPr>
        <w:t>Target</w:t>
      </w:r>
      <w:r w:rsidRPr="006955AF">
        <w:rPr>
          <w:rFonts w:ascii="Times" w:hAnsi="Times"/>
        </w:rPr>
        <w:t xml:space="preserve"> and </w:t>
      </w:r>
      <w:r w:rsidRPr="006955AF">
        <w:rPr>
          <w:rFonts w:ascii="Times" w:hAnsi="Times"/>
          <w:i/>
        </w:rPr>
        <w:t>AIB</w:t>
      </w:r>
      <w:r w:rsidRPr="006955AF">
        <w:rPr>
          <w:rFonts w:ascii="Times" w:hAnsi="Times"/>
        </w:rPr>
        <w:t xml:space="preserve">, the solicitors had active duties to procure certain things before disbursing trust funds, whereas in </w:t>
      </w:r>
      <w:r w:rsidRPr="006955AF">
        <w:rPr>
          <w:rFonts w:ascii="Times" w:hAnsi="Times"/>
          <w:i/>
        </w:rPr>
        <w:t>Giambrone</w:t>
      </w:r>
      <w:r w:rsidRPr="006955AF">
        <w:rPr>
          <w:rFonts w:ascii="Times" w:hAnsi="Times"/>
        </w:rPr>
        <w:t>, the solicitors only had to wait for an appropriate bank guarantee before disbursing the funds.</w:t>
      </w:r>
      <w:r w:rsidRPr="006955AF">
        <w:rPr>
          <w:rStyle w:val="FootnoteReference"/>
        </w:rPr>
        <w:footnoteReference w:id="71"/>
      </w:r>
      <w:r w:rsidRPr="006955AF">
        <w:rPr>
          <w:rFonts w:ascii="Times" w:hAnsi="Times"/>
        </w:rPr>
        <w:t xml:space="preserve">  In all three cases, the trustee disbursed trust f</w:t>
      </w:r>
      <w:r w:rsidR="00A518D2">
        <w:rPr>
          <w:rFonts w:ascii="Times" w:hAnsi="Times"/>
        </w:rPr>
        <w:t>u</w:t>
      </w:r>
      <w:r w:rsidRPr="006955AF">
        <w:rPr>
          <w:rFonts w:ascii="Times" w:hAnsi="Times"/>
        </w:rPr>
        <w:t>nds without authority to do so and thereby committed a breach of trust.</w:t>
      </w:r>
      <w:r w:rsidR="006B3CBC" w:rsidRPr="006955AF">
        <w:rPr>
          <w:rFonts w:ascii="Times" w:hAnsi="Times"/>
        </w:rPr>
        <w:t xml:space="preserve">  The key distinction is whether, following an unlawful disbursement, the trust fund was reconstituted.  I</w:t>
      </w:r>
      <w:r w:rsidRPr="006955AF">
        <w:rPr>
          <w:rFonts w:ascii="Times" w:hAnsi="Times"/>
        </w:rPr>
        <w:t xml:space="preserve">n </w:t>
      </w:r>
      <w:r w:rsidRPr="006955AF">
        <w:rPr>
          <w:rFonts w:ascii="Times" w:hAnsi="Times"/>
          <w:i/>
        </w:rPr>
        <w:t>Target</w:t>
      </w:r>
      <w:r w:rsidRPr="006955AF">
        <w:rPr>
          <w:rFonts w:ascii="Times" w:hAnsi="Times"/>
        </w:rPr>
        <w:t xml:space="preserve"> and </w:t>
      </w:r>
      <w:r w:rsidRPr="006955AF">
        <w:rPr>
          <w:rFonts w:ascii="Times" w:hAnsi="Times"/>
          <w:i/>
        </w:rPr>
        <w:t>AIB</w:t>
      </w:r>
      <w:r w:rsidRPr="006955AF">
        <w:rPr>
          <w:rFonts w:ascii="Times" w:hAnsi="Times"/>
        </w:rPr>
        <w:t xml:space="preserve">, the trust fund was partially or fully restored.  By contrast, in </w:t>
      </w:r>
      <w:r w:rsidRPr="006955AF">
        <w:rPr>
          <w:rFonts w:ascii="Times" w:hAnsi="Times"/>
          <w:i/>
        </w:rPr>
        <w:t>Giambrone</w:t>
      </w:r>
      <w:r w:rsidRPr="006955AF">
        <w:rPr>
          <w:rFonts w:ascii="Times" w:hAnsi="Times"/>
        </w:rPr>
        <w:t xml:space="preserve">, it was not.  The entries in the notional account of what the trustee should have done, shaped by the terms of the trust, are the key to the trustee’s </w:t>
      </w:r>
      <w:r w:rsidRPr="006955AF">
        <w:rPr>
          <w:rFonts w:ascii="Times" w:hAnsi="Times"/>
          <w:i/>
        </w:rPr>
        <w:t>prima facie</w:t>
      </w:r>
      <w:r w:rsidRPr="006955AF">
        <w:rPr>
          <w:rFonts w:ascii="Times" w:hAnsi="Times"/>
        </w:rPr>
        <w:t xml:space="preserve"> liability, not any distinction between active and passive duties.  And that </w:t>
      </w:r>
      <w:r w:rsidRPr="006955AF">
        <w:rPr>
          <w:rFonts w:ascii="Times" w:hAnsi="Times"/>
          <w:i/>
        </w:rPr>
        <w:t>prima facie</w:t>
      </w:r>
      <w:r w:rsidRPr="006955AF">
        <w:rPr>
          <w:rFonts w:ascii="Times" w:hAnsi="Times"/>
        </w:rPr>
        <w:t xml:space="preserve"> liability may be diminished or eliminated by subsequent reconstitution of the fund, or by defences.</w:t>
      </w:r>
    </w:p>
    <w:p w14:paraId="358683E2" w14:textId="77777777" w:rsidR="00E2237F" w:rsidRPr="006955AF" w:rsidRDefault="00E2237F" w:rsidP="00A217B5">
      <w:pPr>
        <w:spacing w:line="360" w:lineRule="auto"/>
        <w:jc w:val="both"/>
        <w:rPr>
          <w:rFonts w:ascii="Times" w:hAnsi="Times"/>
        </w:rPr>
      </w:pPr>
    </w:p>
    <w:p w14:paraId="260CCB89" w14:textId="0011FE11" w:rsidR="00D53CEA" w:rsidRPr="006955AF" w:rsidRDefault="00987809" w:rsidP="00A217B5">
      <w:pPr>
        <w:spacing w:line="360" w:lineRule="auto"/>
        <w:jc w:val="both"/>
        <w:rPr>
          <w:rFonts w:ascii="Times" w:hAnsi="Times"/>
          <w:lang w:eastAsia="zh-TW"/>
        </w:rPr>
      </w:pPr>
      <w:r w:rsidRPr="006955AF">
        <w:rPr>
          <w:rFonts w:ascii="Times" w:hAnsi="Times"/>
        </w:rPr>
        <w:t xml:space="preserve">Most recently, </w:t>
      </w:r>
      <w:r w:rsidR="002F7A51" w:rsidRPr="006955AF">
        <w:rPr>
          <w:rFonts w:ascii="Times" w:hAnsi="Times"/>
        </w:rPr>
        <w:t xml:space="preserve">the Court of Appeal, in </w:t>
      </w:r>
      <w:r w:rsidR="002F7A51" w:rsidRPr="006955AF">
        <w:rPr>
          <w:rFonts w:ascii="Times" w:hAnsi="Times"/>
          <w:i/>
        </w:rPr>
        <w:t>Interactive Technology Corporation v Fernster</w:t>
      </w:r>
      <w:r w:rsidR="002F7A51" w:rsidRPr="006955AF">
        <w:rPr>
          <w:rFonts w:ascii="Times" w:hAnsi="Times"/>
        </w:rPr>
        <w:t>,</w:t>
      </w:r>
      <w:r w:rsidR="008B5AB2" w:rsidRPr="006955AF">
        <w:rPr>
          <w:rStyle w:val="FootnoteReference"/>
        </w:rPr>
        <w:footnoteReference w:id="72"/>
      </w:r>
      <w:r w:rsidR="002F7A51" w:rsidRPr="006955AF">
        <w:rPr>
          <w:rFonts w:ascii="Times" w:hAnsi="Times"/>
        </w:rPr>
        <w:t xml:space="preserve"> considered </w:t>
      </w:r>
      <w:r w:rsidR="008B6A61" w:rsidRPr="006955AF">
        <w:rPr>
          <w:rFonts w:ascii="Times" w:hAnsi="Times"/>
        </w:rPr>
        <w:t xml:space="preserve">an award of equitable compensation for </w:t>
      </w:r>
      <w:r w:rsidR="002F7A51" w:rsidRPr="006955AF">
        <w:rPr>
          <w:rFonts w:ascii="Times" w:hAnsi="Times"/>
        </w:rPr>
        <w:t xml:space="preserve">a director’s </w:t>
      </w:r>
      <w:r w:rsidR="008B6A61" w:rsidRPr="006955AF">
        <w:rPr>
          <w:rFonts w:ascii="Times" w:hAnsi="Times"/>
        </w:rPr>
        <w:t>breach of fiduciary duty in obtaining excessive remuneration</w:t>
      </w:r>
      <w:r w:rsidR="002F7A51" w:rsidRPr="006955AF">
        <w:rPr>
          <w:rFonts w:ascii="Times" w:hAnsi="Times"/>
        </w:rPr>
        <w:t xml:space="preserve">.  The Court </w:t>
      </w:r>
      <w:r w:rsidR="008B6A61" w:rsidRPr="006955AF">
        <w:rPr>
          <w:rFonts w:ascii="Times" w:hAnsi="Times"/>
        </w:rPr>
        <w:t xml:space="preserve">helpfully clarified that the award of equitable compensation was not </w:t>
      </w:r>
      <w:r w:rsidR="00066135" w:rsidRPr="006955AF">
        <w:rPr>
          <w:rFonts w:ascii="Times" w:hAnsi="Times"/>
        </w:rPr>
        <w:t xml:space="preserve">confined to </w:t>
      </w:r>
      <w:r w:rsidR="008B6A61" w:rsidRPr="006955AF">
        <w:rPr>
          <w:rFonts w:ascii="Times" w:hAnsi="Times"/>
        </w:rPr>
        <w:t>compensation of loss</w:t>
      </w:r>
      <w:r w:rsidR="002F7A51" w:rsidRPr="006955AF">
        <w:rPr>
          <w:rFonts w:ascii="Times" w:hAnsi="Times"/>
        </w:rPr>
        <w:t xml:space="preserve"> suffered by the claimant company</w:t>
      </w:r>
      <w:r w:rsidR="008B6A61" w:rsidRPr="006955AF">
        <w:rPr>
          <w:rFonts w:ascii="Times" w:hAnsi="Times"/>
        </w:rPr>
        <w:t xml:space="preserve">, but </w:t>
      </w:r>
      <w:r w:rsidR="00066135" w:rsidRPr="006955AF">
        <w:rPr>
          <w:rFonts w:ascii="Times" w:hAnsi="Times"/>
        </w:rPr>
        <w:t xml:space="preserve">included </w:t>
      </w:r>
      <w:r w:rsidR="00DE44F5" w:rsidRPr="006955AF">
        <w:rPr>
          <w:rFonts w:ascii="Times" w:hAnsi="Times"/>
        </w:rPr>
        <w:t xml:space="preserve">payments made to restore the value of assets or funds removed </w:t>
      </w:r>
      <w:r w:rsidR="002F7A51" w:rsidRPr="006955AF">
        <w:rPr>
          <w:rFonts w:ascii="Times" w:hAnsi="Times"/>
        </w:rPr>
        <w:t xml:space="preserve">from the company </w:t>
      </w:r>
      <w:r w:rsidR="00DE44F5" w:rsidRPr="006955AF">
        <w:rPr>
          <w:rFonts w:ascii="Times" w:hAnsi="Times"/>
        </w:rPr>
        <w:t xml:space="preserve">without authority by </w:t>
      </w:r>
      <w:r w:rsidR="002F7A51" w:rsidRPr="006955AF">
        <w:rPr>
          <w:rFonts w:ascii="Times" w:hAnsi="Times"/>
        </w:rPr>
        <w:t xml:space="preserve">a </w:t>
      </w:r>
      <w:r w:rsidR="00DE44F5" w:rsidRPr="006955AF">
        <w:rPr>
          <w:rFonts w:ascii="Times" w:hAnsi="Times"/>
        </w:rPr>
        <w:t>fiduciary</w:t>
      </w:r>
      <w:r w:rsidR="002F7A51" w:rsidRPr="006955AF">
        <w:rPr>
          <w:rFonts w:ascii="Times" w:hAnsi="Times"/>
        </w:rPr>
        <w:t xml:space="preserve"> (the director):  that is, the Court saw the award as extending not just to loss suffered by the company, but to restoration of the company’s asset</w:t>
      </w:r>
      <w:r w:rsidR="008B5AB2" w:rsidRPr="006955AF">
        <w:rPr>
          <w:rFonts w:ascii="Times" w:hAnsi="Times"/>
        </w:rPr>
        <w:t>s</w:t>
      </w:r>
      <w:r w:rsidR="006F0E25">
        <w:rPr>
          <w:rFonts w:ascii="Times" w:hAnsi="Times"/>
        </w:rPr>
        <w:t xml:space="preserve">:  </w:t>
      </w:r>
      <w:r w:rsidR="008B5AB2" w:rsidRPr="006955AF">
        <w:rPr>
          <w:rFonts w:ascii="Times" w:hAnsi="Times"/>
        </w:rPr>
        <w:t xml:space="preserve">the award extended to </w:t>
      </w:r>
      <w:r w:rsidR="002F7A51" w:rsidRPr="006955AF">
        <w:rPr>
          <w:rFonts w:ascii="Times" w:hAnsi="Times"/>
        </w:rPr>
        <w:t xml:space="preserve">a remedy of </w:t>
      </w:r>
      <w:r w:rsidR="00DE44F5" w:rsidRPr="006955AF">
        <w:rPr>
          <w:rFonts w:ascii="Times" w:hAnsi="Times"/>
        </w:rPr>
        <w:t>“substitutive performance”</w:t>
      </w:r>
      <w:r w:rsidR="008B6A61" w:rsidRPr="006955AF">
        <w:rPr>
          <w:rFonts w:ascii="Times" w:hAnsi="Times"/>
        </w:rPr>
        <w:t>.</w:t>
      </w:r>
      <w:r w:rsidR="008B6A61" w:rsidRPr="006955AF">
        <w:rPr>
          <w:rStyle w:val="FootnoteReference"/>
        </w:rPr>
        <w:footnoteReference w:id="73"/>
      </w:r>
      <w:r w:rsidR="00C81157" w:rsidRPr="006955AF">
        <w:rPr>
          <w:rFonts w:ascii="Times" w:hAnsi="Times"/>
        </w:rPr>
        <w:t xml:space="preserve"> </w:t>
      </w:r>
    </w:p>
    <w:p w14:paraId="52B227B0" w14:textId="77777777" w:rsidR="00350C83" w:rsidRPr="006955AF" w:rsidRDefault="00350C83" w:rsidP="00A217B5">
      <w:pPr>
        <w:spacing w:line="360" w:lineRule="auto"/>
        <w:jc w:val="both"/>
        <w:rPr>
          <w:rFonts w:ascii="Times" w:hAnsi="Times"/>
        </w:rPr>
      </w:pPr>
    </w:p>
    <w:p w14:paraId="17A95DF6" w14:textId="18A1FA38" w:rsidR="00350C83" w:rsidRPr="00FE2069" w:rsidRDefault="00AA13B7" w:rsidP="00A217B5">
      <w:pPr>
        <w:pStyle w:val="ListParagraph"/>
        <w:numPr>
          <w:ilvl w:val="0"/>
          <w:numId w:val="7"/>
        </w:numPr>
        <w:spacing w:line="360" w:lineRule="auto"/>
        <w:jc w:val="both"/>
        <w:rPr>
          <w:rFonts w:ascii="Times" w:hAnsi="Times"/>
        </w:rPr>
      </w:pPr>
      <w:r w:rsidRPr="00FE2069">
        <w:rPr>
          <w:rFonts w:ascii="Times" w:hAnsi="Times"/>
          <w:i/>
        </w:rPr>
        <w:t>Gain-based remedies for breach of trust</w:t>
      </w:r>
    </w:p>
    <w:p w14:paraId="578663BB" w14:textId="77777777" w:rsidR="00350C83" w:rsidRPr="006955AF" w:rsidRDefault="00350C83" w:rsidP="00A217B5">
      <w:pPr>
        <w:spacing w:line="360" w:lineRule="auto"/>
        <w:jc w:val="both"/>
        <w:rPr>
          <w:rFonts w:ascii="Times" w:hAnsi="Times" w:cstheme="minorHAnsi"/>
        </w:rPr>
      </w:pPr>
    </w:p>
    <w:p w14:paraId="2904318B" w14:textId="1A45CEE8" w:rsidR="00EE263D" w:rsidRPr="006955AF" w:rsidRDefault="00FC4006" w:rsidP="00A217B5">
      <w:pPr>
        <w:spacing w:line="360" w:lineRule="auto"/>
        <w:jc w:val="both"/>
        <w:rPr>
          <w:rFonts w:ascii="Times" w:hAnsi="Times" w:cstheme="minorHAnsi"/>
        </w:rPr>
      </w:pPr>
      <w:r w:rsidRPr="006955AF">
        <w:rPr>
          <w:rFonts w:ascii="Times" w:hAnsi="Times" w:cstheme="minorHAnsi"/>
        </w:rPr>
        <w:t xml:space="preserve">Equity’s strong adherence to the performance interest is also evidenced by the ready availability of </w:t>
      </w:r>
      <w:r w:rsidR="0048493D" w:rsidRPr="006955AF">
        <w:rPr>
          <w:rFonts w:ascii="Times" w:hAnsi="Times" w:cstheme="minorHAnsi"/>
        </w:rPr>
        <w:t xml:space="preserve">an </w:t>
      </w:r>
      <w:r w:rsidRPr="006955AF">
        <w:rPr>
          <w:rFonts w:ascii="Times" w:hAnsi="Times" w:cstheme="minorHAnsi"/>
        </w:rPr>
        <w:t xml:space="preserve">account of profits and </w:t>
      </w:r>
      <w:r w:rsidR="00AC3ECF" w:rsidRPr="006955AF">
        <w:rPr>
          <w:rFonts w:ascii="Times" w:hAnsi="Times" w:cstheme="minorHAnsi"/>
        </w:rPr>
        <w:t xml:space="preserve">the </w:t>
      </w:r>
      <w:r w:rsidRPr="006955AF">
        <w:rPr>
          <w:rFonts w:ascii="Times" w:hAnsi="Times" w:cstheme="minorHAnsi"/>
        </w:rPr>
        <w:t>constructive trust</w:t>
      </w:r>
      <w:r w:rsidR="00480851" w:rsidRPr="006955AF">
        <w:rPr>
          <w:rFonts w:ascii="Times" w:hAnsi="Times" w:cstheme="minorHAnsi"/>
        </w:rPr>
        <w:t>.</w:t>
      </w:r>
      <w:r w:rsidR="00EF0EFF" w:rsidRPr="006955AF">
        <w:rPr>
          <w:rFonts w:ascii="Times" w:hAnsi="Times" w:cstheme="minorHAnsi"/>
        </w:rPr>
        <w:t xml:space="preserve">  </w:t>
      </w:r>
      <w:r w:rsidR="00ED4DA4" w:rsidRPr="006955AF">
        <w:rPr>
          <w:rFonts w:ascii="Times" w:hAnsi="Times" w:cstheme="minorHAnsi"/>
        </w:rPr>
        <w:t>While the law of contracts only award</w:t>
      </w:r>
      <w:r w:rsidR="00AF4855" w:rsidRPr="006955AF">
        <w:rPr>
          <w:rFonts w:ascii="Times" w:hAnsi="Times" w:cstheme="minorHAnsi"/>
        </w:rPr>
        <w:t>s</w:t>
      </w:r>
      <w:r w:rsidR="00ED4DA4" w:rsidRPr="006955AF">
        <w:rPr>
          <w:rFonts w:ascii="Times" w:hAnsi="Times" w:cstheme="minorHAnsi"/>
        </w:rPr>
        <w:t xml:space="preserve"> account of profits exceptionally,</w:t>
      </w:r>
      <w:r w:rsidR="007B2E03" w:rsidRPr="00FA2A27">
        <w:rPr>
          <w:rStyle w:val="FootnoteReference"/>
        </w:rPr>
        <w:footnoteReference w:id="74"/>
      </w:r>
      <w:r w:rsidR="00ED4DA4" w:rsidRPr="006955AF">
        <w:rPr>
          <w:rFonts w:ascii="Times" w:hAnsi="Times" w:cstheme="minorHAnsi"/>
        </w:rPr>
        <w:t xml:space="preserve"> and never awards any proprietary remedy, </w:t>
      </w:r>
      <w:r w:rsidR="00377B6C" w:rsidRPr="006955AF">
        <w:rPr>
          <w:rFonts w:ascii="Times" w:hAnsi="Times" w:cstheme="minorHAnsi"/>
        </w:rPr>
        <w:t xml:space="preserve">these gain-based remedies </w:t>
      </w:r>
      <w:r w:rsidR="00ED4DA4" w:rsidRPr="006955AF">
        <w:rPr>
          <w:rFonts w:ascii="Times" w:hAnsi="Times" w:cstheme="minorHAnsi"/>
        </w:rPr>
        <w:t xml:space="preserve">are </w:t>
      </w:r>
      <w:r w:rsidR="00377B6C" w:rsidRPr="006955AF">
        <w:rPr>
          <w:rFonts w:ascii="Times" w:hAnsi="Times" w:cstheme="minorHAnsi"/>
        </w:rPr>
        <w:t xml:space="preserve">awarded </w:t>
      </w:r>
      <w:r w:rsidR="00634007" w:rsidRPr="006955AF">
        <w:rPr>
          <w:rFonts w:ascii="Times" w:hAnsi="Times" w:cstheme="minorHAnsi"/>
        </w:rPr>
        <w:t xml:space="preserve">as a matter of course </w:t>
      </w:r>
      <w:r w:rsidR="00ED4DA4" w:rsidRPr="006955AF">
        <w:rPr>
          <w:rFonts w:ascii="Times" w:hAnsi="Times" w:cstheme="minorHAnsi"/>
        </w:rPr>
        <w:t>for breaches of trust</w:t>
      </w:r>
      <w:r w:rsidR="00634007" w:rsidRPr="006955AF">
        <w:rPr>
          <w:rFonts w:ascii="Times" w:hAnsi="Times" w:cstheme="minorHAnsi"/>
        </w:rPr>
        <w:t>, even though they lie in the discretion of the court</w:t>
      </w:r>
      <w:r w:rsidR="00377B6C" w:rsidRPr="006955AF">
        <w:rPr>
          <w:rFonts w:ascii="Times" w:hAnsi="Times" w:cstheme="minorHAnsi"/>
        </w:rPr>
        <w:t>.</w:t>
      </w:r>
    </w:p>
    <w:p w14:paraId="78D26D35" w14:textId="77777777" w:rsidR="0048493D" w:rsidRPr="006955AF" w:rsidRDefault="0048493D" w:rsidP="00A217B5">
      <w:pPr>
        <w:spacing w:line="360" w:lineRule="auto"/>
        <w:jc w:val="both"/>
        <w:rPr>
          <w:rFonts w:ascii="Times" w:hAnsi="Times" w:cstheme="minorHAnsi"/>
        </w:rPr>
      </w:pPr>
    </w:p>
    <w:p w14:paraId="154884A8" w14:textId="35D6E6B0" w:rsidR="00380B68" w:rsidRPr="006955AF" w:rsidRDefault="00DE3AEF" w:rsidP="00A217B5">
      <w:pPr>
        <w:spacing w:line="360" w:lineRule="auto"/>
        <w:jc w:val="both"/>
        <w:rPr>
          <w:rFonts w:ascii="Times" w:hAnsi="Times" w:cstheme="minorHAnsi"/>
        </w:rPr>
      </w:pPr>
      <w:r w:rsidRPr="006955AF">
        <w:rPr>
          <w:rFonts w:ascii="Times" w:hAnsi="Times" w:cstheme="minorHAnsi"/>
        </w:rPr>
        <w:t>If a trustee makes profits from the use of trust property,</w:t>
      </w:r>
      <w:r w:rsidR="00D879BA" w:rsidRPr="006955AF">
        <w:rPr>
          <w:rFonts w:ascii="Times" w:hAnsi="Times" w:cstheme="minorHAnsi"/>
        </w:rPr>
        <w:t xml:space="preserve"> the beneficiary has the option to treat all profits as a natural increment of the trust estate</w:t>
      </w:r>
      <w:r w:rsidR="003C7F37" w:rsidRPr="006955AF">
        <w:rPr>
          <w:rFonts w:ascii="Times" w:hAnsi="Times" w:cstheme="minorHAnsi"/>
        </w:rPr>
        <w:t xml:space="preserve">.  He can then </w:t>
      </w:r>
      <w:r w:rsidR="005A2A63" w:rsidRPr="006955AF">
        <w:rPr>
          <w:rFonts w:ascii="Times" w:hAnsi="Times" w:cstheme="minorHAnsi"/>
        </w:rPr>
        <w:t>assert his equitable interest over them</w:t>
      </w:r>
      <w:r w:rsidR="00D879BA" w:rsidRPr="006955AF">
        <w:rPr>
          <w:rStyle w:val="FootnoteReference"/>
        </w:rPr>
        <w:footnoteReference w:id="75"/>
      </w:r>
      <w:r w:rsidR="005A2A63" w:rsidRPr="006955AF">
        <w:rPr>
          <w:rFonts w:ascii="Times" w:hAnsi="Times" w:cstheme="minorHAnsi"/>
        </w:rPr>
        <w:t xml:space="preserve"> or </w:t>
      </w:r>
      <w:r w:rsidR="003C7F37" w:rsidRPr="006955AF">
        <w:rPr>
          <w:rFonts w:ascii="Times" w:hAnsi="Times" w:cstheme="minorHAnsi"/>
        </w:rPr>
        <w:t xml:space="preserve">compel </w:t>
      </w:r>
      <w:r w:rsidR="005A2A63" w:rsidRPr="006955AF">
        <w:rPr>
          <w:rFonts w:ascii="Times" w:hAnsi="Times" w:cstheme="minorHAnsi"/>
        </w:rPr>
        <w:t xml:space="preserve">the trustee to account for them.  </w:t>
      </w:r>
      <w:r w:rsidR="00380B68" w:rsidRPr="006955AF">
        <w:rPr>
          <w:rFonts w:ascii="Times" w:hAnsi="Times" w:cstheme="minorHAnsi"/>
        </w:rPr>
        <w:t>The principle is most eloquently put by Story J</w:t>
      </w:r>
      <w:r w:rsidR="00BC4810">
        <w:rPr>
          <w:rFonts w:ascii="Times" w:hAnsi="Times" w:cstheme="minorHAnsi"/>
        </w:rPr>
        <w:t>.</w:t>
      </w:r>
      <w:r w:rsidR="00380B68" w:rsidRPr="006955AF">
        <w:rPr>
          <w:rFonts w:ascii="Times" w:hAnsi="Times" w:cstheme="minorHAnsi"/>
        </w:rPr>
        <w:t xml:space="preserve"> in </w:t>
      </w:r>
      <w:r w:rsidR="00380B68" w:rsidRPr="006955AF">
        <w:rPr>
          <w:rFonts w:ascii="Times" w:hAnsi="Times" w:cstheme="minorHAnsi"/>
          <w:i/>
        </w:rPr>
        <w:t>Oliver v Piatt</w:t>
      </w:r>
      <w:r w:rsidR="0048493D" w:rsidRPr="006955AF">
        <w:rPr>
          <w:rFonts w:ascii="Times" w:hAnsi="Times" w:cstheme="minorHAnsi"/>
        </w:rPr>
        <w:t>,</w:t>
      </w:r>
      <w:r w:rsidR="00380B68" w:rsidRPr="006955AF">
        <w:rPr>
          <w:rFonts w:ascii="Times" w:hAnsi="Times" w:cstheme="minorHAnsi"/>
        </w:rPr>
        <w:t xml:space="preserve"> as follows:</w:t>
      </w:r>
    </w:p>
    <w:p w14:paraId="1A15DCD4" w14:textId="77777777" w:rsidR="00380B68" w:rsidRPr="006955AF" w:rsidRDefault="00380B68" w:rsidP="00A217B5">
      <w:pPr>
        <w:spacing w:line="360" w:lineRule="auto"/>
        <w:jc w:val="both"/>
        <w:rPr>
          <w:rFonts w:ascii="Times" w:hAnsi="Times" w:cstheme="minorHAnsi"/>
        </w:rPr>
      </w:pPr>
    </w:p>
    <w:p w14:paraId="53C5628B" w14:textId="18B749FA" w:rsidR="00380B68" w:rsidRPr="006955AF" w:rsidRDefault="0048493D" w:rsidP="00A217B5">
      <w:pPr>
        <w:spacing w:line="360" w:lineRule="auto"/>
        <w:ind w:left="720"/>
        <w:jc w:val="both"/>
        <w:rPr>
          <w:rFonts w:ascii="Times" w:hAnsi="Times" w:cstheme="minorHAnsi"/>
        </w:rPr>
      </w:pPr>
      <w:r w:rsidRPr="006955AF">
        <w:rPr>
          <w:rFonts w:ascii="Times" w:hAnsi="Times" w:cstheme="minorHAnsi"/>
        </w:rPr>
        <w:t>“[A]</w:t>
      </w:r>
      <w:r w:rsidR="00380B68" w:rsidRPr="006955AF">
        <w:rPr>
          <w:rFonts w:ascii="Times" w:hAnsi="Times" w:cstheme="minorHAnsi"/>
        </w:rPr>
        <w:t xml:space="preserve">ll the gains made by the trustee, by a wrongful appropriation of the trust fund, shall go to the </w:t>
      </w:r>
      <w:r w:rsidR="00380B68" w:rsidRPr="006955AF">
        <w:rPr>
          <w:rFonts w:ascii="Times" w:hAnsi="Times" w:cstheme="minorHAnsi"/>
          <w:i/>
        </w:rPr>
        <w:t>cestui-que-trust</w:t>
      </w:r>
      <w:r w:rsidR="00380B68" w:rsidRPr="006955AF">
        <w:rPr>
          <w:rFonts w:ascii="Times" w:hAnsi="Times" w:cstheme="minorHAnsi"/>
        </w:rPr>
        <w:t>, and all the losses shall be borne by the trustee himself.</w:t>
      </w:r>
      <w:r w:rsidRPr="006955AF">
        <w:rPr>
          <w:rFonts w:ascii="Times" w:hAnsi="Times" w:cstheme="minorHAnsi"/>
        </w:rPr>
        <w:t>”</w:t>
      </w:r>
      <w:r w:rsidR="00632C5F" w:rsidRPr="006955AF">
        <w:rPr>
          <w:rStyle w:val="FootnoteReference"/>
        </w:rPr>
        <w:footnoteReference w:id="76"/>
      </w:r>
    </w:p>
    <w:p w14:paraId="56624ACF" w14:textId="77777777" w:rsidR="00380B68" w:rsidRPr="006955AF" w:rsidRDefault="00380B68" w:rsidP="00A217B5">
      <w:pPr>
        <w:spacing w:line="360" w:lineRule="auto"/>
        <w:jc w:val="both"/>
        <w:rPr>
          <w:rFonts w:ascii="Times" w:hAnsi="Times" w:cstheme="minorHAnsi"/>
        </w:rPr>
      </w:pPr>
    </w:p>
    <w:p w14:paraId="13DCB8A6" w14:textId="1A3FE0AB" w:rsidR="00380B68" w:rsidRPr="006955AF" w:rsidRDefault="00380B68" w:rsidP="00A217B5">
      <w:pPr>
        <w:spacing w:line="360" w:lineRule="auto"/>
        <w:jc w:val="both"/>
        <w:rPr>
          <w:rFonts w:ascii="Times" w:hAnsi="Times" w:cstheme="minorHAnsi"/>
        </w:rPr>
      </w:pPr>
      <w:r w:rsidRPr="006955AF">
        <w:rPr>
          <w:rFonts w:ascii="Times" w:hAnsi="Times" w:cstheme="minorHAnsi"/>
        </w:rPr>
        <w:t xml:space="preserve">The same point was recently made in </w:t>
      </w:r>
      <w:r w:rsidRPr="006955AF">
        <w:rPr>
          <w:rFonts w:ascii="Times" w:hAnsi="Times" w:cstheme="minorHAnsi"/>
          <w:i/>
        </w:rPr>
        <w:t>Tang v Tang</w:t>
      </w:r>
      <w:r w:rsidR="001069D9">
        <w:rPr>
          <w:rStyle w:val="FootnoteReference"/>
          <w:rFonts w:cstheme="minorHAnsi"/>
          <w:i/>
        </w:rPr>
        <w:footnoteReference w:id="77"/>
      </w:r>
      <w:r w:rsidRPr="006955AF">
        <w:rPr>
          <w:rFonts w:ascii="Times" w:hAnsi="Times" w:cstheme="minorHAnsi"/>
          <w:i/>
        </w:rPr>
        <w:t xml:space="preserve"> </w:t>
      </w:r>
      <w:r w:rsidRPr="006955AF">
        <w:rPr>
          <w:rFonts w:ascii="Times" w:hAnsi="Times" w:cstheme="minorHAnsi"/>
        </w:rPr>
        <w:t>by Lord Millett, who observed that a trustee’s misappropriation of trust assets:</w:t>
      </w:r>
    </w:p>
    <w:p w14:paraId="15A47CCB" w14:textId="77777777" w:rsidR="00380B68" w:rsidRPr="006955AF" w:rsidRDefault="00380B68" w:rsidP="00A217B5">
      <w:pPr>
        <w:spacing w:line="360" w:lineRule="auto"/>
        <w:jc w:val="both"/>
        <w:rPr>
          <w:rFonts w:ascii="Times" w:hAnsi="Times" w:cstheme="minorHAnsi"/>
        </w:rPr>
      </w:pPr>
    </w:p>
    <w:p w14:paraId="62542BF8" w14:textId="42279704" w:rsidR="00380B68" w:rsidRPr="006955AF" w:rsidRDefault="0048493D" w:rsidP="00A217B5">
      <w:pPr>
        <w:spacing w:line="360" w:lineRule="auto"/>
        <w:ind w:left="720"/>
        <w:jc w:val="both"/>
        <w:rPr>
          <w:rFonts w:ascii="Times" w:hAnsi="Times" w:cstheme="minorHAnsi"/>
        </w:rPr>
      </w:pPr>
      <w:r w:rsidRPr="006955AF">
        <w:rPr>
          <w:rFonts w:ascii="Times" w:hAnsi="Times" w:cstheme="minorHAnsi"/>
        </w:rPr>
        <w:t>“</w:t>
      </w:r>
      <w:r w:rsidR="00380B68" w:rsidRPr="006955AF">
        <w:rPr>
          <w:rFonts w:ascii="Times" w:hAnsi="Times" w:cstheme="minorHAnsi"/>
        </w:rPr>
        <w:t>put the trust fund at risk without hope of gain.  Equity’s response [was] to insist that any profit [was] for the beneficiaries and any loss for the trustee.</w:t>
      </w:r>
      <w:r w:rsidRPr="006955AF">
        <w:rPr>
          <w:rFonts w:ascii="Times" w:hAnsi="Times" w:cstheme="minorHAnsi"/>
        </w:rPr>
        <w:t>”</w:t>
      </w:r>
      <w:r w:rsidR="00632C5F" w:rsidRPr="006955AF">
        <w:rPr>
          <w:rStyle w:val="FootnoteReference"/>
        </w:rPr>
        <w:footnoteReference w:id="78"/>
      </w:r>
    </w:p>
    <w:p w14:paraId="4CBB0468" w14:textId="77777777" w:rsidR="006E6224" w:rsidRPr="006955AF" w:rsidRDefault="006E6224" w:rsidP="00A217B5">
      <w:pPr>
        <w:spacing w:line="360" w:lineRule="auto"/>
        <w:jc w:val="both"/>
        <w:rPr>
          <w:rFonts w:ascii="Times" w:hAnsi="Times" w:cstheme="minorHAnsi"/>
        </w:rPr>
      </w:pPr>
    </w:p>
    <w:p w14:paraId="52E5DAB5" w14:textId="1C937477" w:rsidR="004A4DBA" w:rsidRPr="006955AF" w:rsidRDefault="00B10A68" w:rsidP="00A217B5">
      <w:pPr>
        <w:spacing w:line="360" w:lineRule="auto"/>
        <w:jc w:val="both"/>
        <w:rPr>
          <w:rFonts w:ascii="Times" w:hAnsi="Times" w:cstheme="minorHAnsi"/>
        </w:rPr>
      </w:pPr>
      <w:r w:rsidRPr="006955AF">
        <w:rPr>
          <w:rFonts w:ascii="Times" w:hAnsi="Times" w:cstheme="minorHAnsi"/>
        </w:rPr>
        <w:t xml:space="preserve">After almost a century of controversy, the same analysis also applies, at least as far as English law is concerned, to profits obtained from the </w:t>
      </w:r>
      <w:r w:rsidR="00D66324" w:rsidRPr="006955AF">
        <w:rPr>
          <w:rFonts w:ascii="Times" w:hAnsi="Times" w:cstheme="minorHAnsi"/>
        </w:rPr>
        <w:t>ab</w:t>
      </w:r>
      <w:r w:rsidRPr="006955AF">
        <w:rPr>
          <w:rFonts w:ascii="Times" w:hAnsi="Times" w:cstheme="minorHAnsi"/>
        </w:rPr>
        <w:t>use of the fiduciary position, such as secret commissions.</w:t>
      </w:r>
      <w:r w:rsidRPr="006955AF">
        <w:rPr>
          <w:rStyle w:val="FootnoteReference"/>
        </w:rPr>
        <w:footnoteReference w:id="79"/>
      </w:r>
    </w:p>
    <w:p w14:paraId="576DA7DA" w14:textId="77777777" w:rsidR="004A4DBA" w:rsidRPr="006955AF" w:rsidRDefault="004A4DBA" w:rsidP="00A217B5">
      <w:pPr>
        <w:spacing w:line="360" w:lineRule="auto"/>
        <w:jc w:val="both"/>
        <w:rPr>
          <w:rFonts w:ascii="Times" w:hAnsi="Times" w:cstheme="minorHAnsi"/>
        </w:rPr>
      </w:pPr>
    </w:p>
    <w:p w14:paraId="17C9FAD0" w14:textId="19F036D4" w:rsidR="004D613B" w:rsidRPr="006955AF" w:rsidRDefault="00FF1656" w:rsidP="00A217B5">
      <w:pPr>
        <w:spacing w:line="360" w:lineRule="auto"/>
        <w:jc w:val="both"/>
        <w:rPr>
          <w:rFonts w:ascii="Times" w:hAnsi="Times" w:cstheme="minorHAnsi"/>
        </w:rPr>
      </w:pPr>
      <w:r w:rsidRPr="006955AF">
        <w:rPr>
          <w:rFonts w:ascii="Times" w:hAnsi="Times" w:cstheme="minorHAnsi"/>
        </w:rPr>
        <w:lastRenderedPageBreak/>
        <w:t xml:space="preserve">These expansive </w:t>
      </w:r>
      <w:r w:rsidR="00CE510D" w:rsidRPr="006955AF">
        <w:rPr>
          <w:rFonts w:ascii="Times" w:hAnsi="Times" w:cstheme="minorHAnsi"/>
        </w:rPr>
        <w:t>gain-based</w:t>
      </w:r>
      <w:r w:rsidR="0033229D" w:rsidRPr="006955AF">
        <w:rPr>
          <w:rFonts w:ascii="Times" w:hAnsi="Times" w:cstheme="minorHAnsi"/>
        </w:rPr>
        <w:t xml:space="preserve"> </w:t>
      </w:r>
      <w:r w:rsidRPr="006955AF">
        <w:rPr>
          <w:rFonts w:ascii="Times" w:hAnsi="Times" w:cstheme="minorHAnsi"/>
        </w:rPr>
        <w:t xml:space="preserve">remedies are </w:t>
      </w:r>
      <w:r w:rsidR="00272534" w:rsidRPr="006955AF">
        <w:rPr>
          <w:rFonts w:ascii="Times" w:hAnsi="Times" w:cstheme="minorHAnsi"/>
        </w:rPr>
        <w:t xml:space="preserve">designed to </w:t>
      </w:r>
      <w:r w:rsidR="0058697F" w:rsidRPr="006955AF">
        <w:rPr>
          <w:rFonts w:ascii="Times" w:hAnsi="Times" w:cstheme="minorHAnsi"/>
        </w:rPr>
        <w:t xml:space="preserve">protect </w:t>
      </w:r>
      <w:r w:rsidR="00272534" w:rsidRPr="006955AF">
        <w:rPr>
          <w:rFonts w:ascii="Times" w:hAnsi="Times" w:cstheme="minorHAnsi"/>
        </w:rPr>
        <w:t xml:space="preserve">the </w:t>
      </w:r>
      <w:r w:rsidR="004E34D1" w:rsidRPr="006955AF">
        <w:rPr>
          <w:rFonts w:ascii="Times" w:hAnsi="Times" w:cstheme="minorHAnsi"/>
        </w:rPr>
        <w:t xml:space="preserve">beneficiary’s </w:t>
      </w:r>
      <w:r w:rsidR="00272534" w:rsidRPr="006955AF">
        <w:rPr>
          <w:rFonts w:ascii="Times" w:hAnsi="Times" w:cstheme="minorHAnsi"/>
        </w:rPr>
        <w:t>performance interest</w:t>
      </w:r>
      <w:r w:rsidR="004B206E" w:rsidRPr="006955AF">
        <w:rPr>
          <w:rFonts w:ascii="Times" w:hAnsi="Times" w:cstheme="minorHAnsi"/>
        </w:rPr>
        <w:t xml:space="preserve">, but they </w:t>
      </w:r>
      <w:r w:rsidR="000A5A53" w:rsidRPr="006955AF">
        <w:rPr>
          <w:rFonts w:ascii="Times" w:hAnsi="Times" w:cstheme="minorHAnsi"/>
        </w:rPr>
        <w:t xml:space="preserve">do so in </w:t>
      </w:r>
      <w:r w:rsidR="004B206E" w:rsidRPr="006955AF">
        <w:rPr>
          <w:rFonts w:ascii="Times" w:hAnsi="Times" w:cstheme="minorHAnsi"/>
        </w:rPr>
        <w:t xml:space="preserve">a </w:t>
      </w:r>
      <w:r w:rsidR="000A5A53" w:rsidRPr="006955AF">
        <w:rPr>
          <w:rFonts w:ascii="Times" w:hAnsi="Times" w:cstheme="minorHAnsi"/>
        </w:rPr>
        <w:t xml:space="preserve">manner </w:t>
      </w:r>
      <w:r w:rsidR="00AB185B" w:rsidRPr="006955AF">
        <w:rPr>
          <w:rFonts w:ascii="Times" w:hAnsi="Times" w:cstheme="minorHAnsi"/>
        </w:rPr>
        <w:t xml:space="preserve">different </w:t>
      </w:r>
      <w:r w:rsidR="000A5A53" w:rsidRPr="006955AF">
        <w:rPr>
          <w:rFonts w:ascii="Times" w:hAnsi="Times" w:cstheme="minorHAnsi"/>
        </w:rPr>
        <w:t>from</w:t>
      </w:r>
      <w:r w:rsidR="004B206E" w:rsidRPr="006955AF">
        <w:rPr>
          <w:rFonts w:ascii="Times" w:hAnsi="Times" w:cstheme="minorHAnsi"/>
        </w:rPr>
        <w:t xml:space="preserve"> </w:t>
      </w:r>
      <w:r w:rsidR="00E324D1" w:rsidRPr="006955AF">
        <w:rPr>
          <w:rFonts w:ascii="Times" w:hAnsi="Times" w:cstheme="minorHAnsi"/>
        </w:rPr>
        <w:t xml:space="preserve">that of </w:t>
      </w:r>
      <w:r w:rsidR="004B206E" w:rsidRPr="006955AF">
        <w:rPr>
          <w:rFonts w:ascii="Times" w:hAnsi="Times" w:cstheme="minorHAnsi"/>
        </w:rPr>
        <w:t>the restorative remed</w:t>
      </w:r>
      <w:r w:rsidR="006F7F86" w:rsidRPr="006955AF">
        <w:rPr>
          <w:rFonts w:ascii="Times" w:hAnsi="Times" w:cstheme="minorHAnsi"/>
        </w:rPr>
        <w:t>ies considered earlier</w:t>
      </w:r>
      <w:r w:rsidR="00CE510D" w:rsidRPr="006955AF">
        <w:rPr>
          <w:rFonts w:ascii="Times" w:hAnsi="Times" w:cstheme="minorHAnsi"/>
        </w:rPr>
        <w:t xml:space="preserve">. </w:t>
      </w:r>
      <w:r w:rsidR="006F7F86" w:rsidRPr="006955AF">
        <w:rPr>
          <w:rFonts w:ascii="Times" w:hAnsi="Times" w:cstheme="minorHAnsi"/>
        </w:rPr>
        <w:t xml:space="preserve"> </w:t>
      </w:r>
      <w:r w:rsidR="003374C6">
        <w:rPr>
          <w:rFonts w:ascii="Times" w:hAnsi="Times" w:cstheme="minorHAnsi"/>
        </w:rPr>
        <w:t>As has been seen, t</w:t>
      </w:r>
      <w:r w:rsidR="006F7F86" w:rsidRPr="006955AF">
        <w:rPr>
          <w:rFonts w:ascii="Times" w:hAnsi="Times" w:cstheme="minorHAnsi"/>
        </w:rPr>
        <w:t xml:space="preserve">hose restorative remedies </w:t>
      </w:r>
      <w:r w:rsidR="004B206E" w:rsidRPr="006955AF">
        <w:rPr>
          <w:rFonts w:ascii="Times" w:hAnsi="Times" w:cstheme="minorHAnsi"/>
        </w:rPr>
        <w:t xml:space="preserve">protect </w:t>
      </w:r>
      <w:r w:rsidR="004750DC" w:rsidRPr="006955AF">
        <w:rPr>
          <w:rFonts w:ascii="Times" w:hAnsi="Times" w:cstheme="minorHAnsi"/>
        </w:rPr>
        <w:t>the performance interest directly</w:t>
      </w:r>
      <w:r w:rsidR="006F7F86" w:rsidRPr="006955AF">
        <w:rPr>
          <w:rFonts w:ascii="Times" w:hAnsi="Times" w:cstheme="minorHAnsi"/>
        </w:rPr>
        <w:t>,</w:t>
      </w:r>
      <w:r w:rsidR="004750DC" w:rsidRPr="006955AF">
        <w:rPr>
          <w:rFonts w:ascii="Times" w:hAnsi="Times" w:cstheme="minorHAnsi"/>
        </w:rPr>
        <w:t xml:space="preserve"> by </w:t>
      </w:r>
      <w:r w:rsidR="006F7F86" w:rsidRPr="006955AF">
        <w:rPr>
          <w:rFonts w:ascii="Times" w:hAnsi="Times" w:cstheme="minorHAnsi"/>
        </w:rPr>
        <w:t>reversing the effect of the breach or by giving the next best monetary equivalent to that</w:t>
      </w:r>
      <w:r w:rsidR="004750DC" w:rsidRPr="006955AF">
        <w:rPr>
          <w:rFonts w:ascii="Times" w:hAnsi="Times" w:cstheme="minorHAnsi"/>
        </w:rPr>
        <w:t>.</w:t>
      </w:r>
      <w:r w:rsidR="006324EF" w:rsidRPr="006955AF">
        <w:rPr>
          <w:rFonts w:ascii="Times" w:hAnsi="Times" w:cstheme="minorHAnsi"/>
        </w:rPr>
        <w:t xml:space="preserve"> </w:t>
      </w:r>
      <w:r w:rsidR="008446E6">
        <w:rPr>
          <w:rFonts w:ascii="Times" w:hAnsi="Times" w:cstheme="minorHAnsi"/>
        </w:rPr>
        <w:t xml:space="preserve"> </w:t>
      </w:r>
      <w:r w:rsidR="006324EF" w:rsidRPr="006955AF">
        <w:rPr>
          <w:rFonts w:ascii="Times" w:hAnsi="Times" w:cstheme="minorHAnsi"/>
        </w:rPr>
        <w:t xml:space="preserve">Their aim is to maintain the trust fund at the level </w:t>
      </w:r>
      <w:r w:rsidR="0016759D" w:rsidRPr="006955AF">
        <w:rPr>
          <w:rFonts w:ascii="Times" w:hAnsi="Times" w:cstheme="minorHAnsi"/>
        </w:rPr>
        <w:t>it should have if the trustees had done their duty</w:t>
      </w:r>
      <w:r w:rsidR="006324EF" w:rsidRPr="006955AF">
        <w:rPr>
          <w:rFonts w:ascii="Times" w:hAnsi="Times" w:cstheme="minorHAnsi"/>
        </w:rPr>
        <w:t>.</w:t>
      </w:r>
      <w:r w:rsidR="004750DC" w:rsidRPr="006955AF">
        <w:rPr>
          <w:rFonts w:ascii="Times" w:hAnsi="Times" w:cstheme="minorHAnsi"/>
        </w:rPr>
        <w:t xml:space="preserve"> </w:t>
      </w:r>
      <w:r w:rsidR="008446E6">
        <w:rPr>
          <w:rFonts w:ascii="Times" w:hAnsi="Times" w:cstheme="minorHAnsi"/>
        </w:rPr>
        <w:t xml:space="preserve"> </w:t>
      </w:r>
      <w:r w:rsidR="00AB185B" w:rsidRPr="006955AF">
        <w:rPr>
          <w:rFonts w:ascii="Times" w:hAnsi="Times" w:cstheme="minorHAnsi"/>
        </w:rPr>
        <w:t>G</w:t>
      </w:r>
      <w:r w:rsidR="004B206E" w:rsidRPr="006955AF">
        <w:rPr>
          <w:rFonts w:ascii="Times" w:hAnsi="Times" w:cstheme="minorHAnsi"/>
        </w:rPr>
        <w:t xml:space="preserve">ain-based remedies </w:t>
      </w:r>
      <w:r w:rsidR="006F7F86" w:rsidRPr="006955AF">
        <w:rPr>
          <w:rFonts w:ascii="Times" w:hAnsi="Times" w:cstheme="minorHAnsi"/>
        </w:rPr>
        <w:t xml:space="preserve">protect the performance interest structurally, by making </w:t>
      </w:r>
      <w:r w:rsidR="004750DC" w:rsidRPr="006955AF">
        <w:rPr>
          <w:rFonts w:ascii="Times" w:hAnsi="Times" w:cstheme="minorHAnsi"/>
        </w:rPr>
        <w:t xml:space="preserve">it more likely that </w:t>
      </w:r>
      <w:r w:rsidR="006F7F86" w:rsidRPr="006955AF">
        <w:rPr>
          <w:rFonts w:ascii="Times" w:hAnsi="Times" w:cstheme="minorHAnsi"/>
        </w:rPr>
        <w:t xml:space="preserve">those who have undertaken obligations – for present purposes, trustees – will, </w:t>
      </w:r>
      <w:r w:rsidR="004750DC" w:rsidRPr="006955AF">
        <w:rPr>
          <w:rFonts w:ascii="Times" w:hAnsi="Times" w:cstheme="minorHAnsi"/>
        </w:rPr>
        <w:t xml:space="preserve">in the future </w:t>
      </w:r>
      <w:r w:rsidR="006F7F86" w:rsidRPr="006955AF">
        <w:rPr>
          <w:rFonts w:ascii="Times" w:hAnsi="Times" w:cstheme="minorHAnsi"/>
        </w:rPr>
        <w:t xml:space="preserve">duly </w:t>
      </w:r>
      <w:r w:rsidR="004750DC" w:rsidRPr="006955AF">
        <w:rPr>
          <w:rFonts w:ascii="Times" w:hAnsi="Times" w:cstheme="minorHAnsi"/>
        </w:rPr>
        <w:t xml:space="preserve">perform their duties. </w:t>
      </w:r>
      <w:r w:rsidR="008446E6">
        <w:rPr>
          <w:rFonts w:ascii="Times" w:hAnsi="Times" w:cstheme="minorHAnsi"/>
        </w:rPr>
        <w:t xml:space="preserve"> </w:t>
      </w:r>
      <w:r w:rsidR="00334F93" w:rsidRPr="006955AF">
        <w:rPr>
          <w:rFonts w:ascii="Times" w:hAnsi="Times" w:cstheme="minorHAnsi"/>
        </w:rPr>
        <w:t xml:space="preserve">Specifically, they deter the trustee from breaching his fiduciary duties, </w:t>
      </w:r>
      <w:r w:rsidR="00432A33" w:rsidRPr="006955AF">
        <w:rPr>
          <w:rFonts w:ascii="Times" w:hAnsi="Times" w:cstheme="minorHAnsi"/>
        </w:rPr>
        <w:t xml:space="preserve">and </w:t>
      </w:r>
      <w:r w:rsidR="00334F93" w:rsidRPr="006955AF">
        <w:rPr>
          <w:rFonts w:ascii="Times" w:hAnsi="Times" w:cstheme="minorHAnsi"/>
        </w:rPr>
        <w:t xml:space="preserve">in turn promote the performance of his primary </w:t>
      </w:r>
      <w:r w:rsidR="001D08AF" w:rsidRPr="006955AF">
        <w:rPr>
          <w:rFonts w:ascii="Times" w:hAnsi="Times" w:cstheme="minorHAnsi"/>
        </w:rPr>
        <w:t>duty</w:t>
      </w:r>
      <w:r w:rsidR="00334F93" w:rsidRPr="006955AF">
        <w:rPr>
          <w:rFonts w:ascii="Times" w:hAnsi="Times" w:cstheme="minorHAnsi"/>
        </w:rPr>
        <w:t xml:space="preserve"> to utilise the trust fund in an authorised manner. </w:t>
      </w:r>
      <w:r w:rsidR="008446E6">
        <w:rPr>
          <w:rFonts w:ascii="Times" w:hAnsi="Times" w:cstheme="minorHAnsi"/>
        </w:rPr>
        <w:t xml:space="preserve"> </w:t>
      </w:r>
      <w:r w:rsidR="00AB185B" w:rsidRPr="006955AF">
        <w:rPr>
          <w:rFonts w:ascii="Times" w:hAnsi="Times" w:cstheme="minorHAnsi"/>
        </w:rPr>
        <w:t>Th</w:t>
      </w:r>
      <w:r w:rsidR="0016759D" w:rsidRPr="006955AF">
        <w:rPr>
          <w:rFonts w:ascii="Times" w:hAnsi="Times" w:cstheme="minorHAnsi"/>
        </w:rPr>
        <w:t>is</w:t>
      </w:r>
      <w:r w:rsidR="00334F93" w:rsidRPr="006955AF">
        <w:rPr>
          <w:rFonts w:ascii="Times" w:hAnsi="Times" w:cstheme="minorHAnsi"/>
        </w:rPr>
        <w:t xml:space="preserve"> </w:t>
      </w:r>
      <w:r w:rsidR="00AB185B" w:rsidRPr="006955AF">
        <w:rPr>
          <w:rFonts w:ascii="Times" w:hAnsi="Times" w:cstheme="minorHAnsi"/>
        </w:rPr>
        <w:t>deterren</w:t>
      </w:r>
      <w:r w:rsidR="006F7F86" w:rsidRPr="006955AF">
        <w:rPr>
          <w:rFonts w:ascii="Times" w:hAnsi="Times" w:cstheme="minorHAnsi"/>
        </w:rPr>
        <w:t>t</w:t>
      </w:r>
      <w:r w:rsidR="00AB185B" w:rsidRPr="006955AF">
        <w:rPr>
          <w:rFonts w:ascii="Times" w:hAnsi="Times" w:cstheme="minorHAnsi"/>
        </w:rPr>
        <w:t xml:space="preserve"> purpose </w:t>
      </w:r>
      <w:r w:rsidR="00334F93" w:rsidRPr="006955AF">
        <w:rPr>
          <w:rFonts w:ascii="Times" w:hAnsi="Times" w:cstheme="minorHAnsi"/>
        </w:rPr>
        <w:t xml:space="preserve">of gain-based remedies </w:t>
      </w:r>
      <w:r w:rsidR="00AB185B" w:rsidRPr="006955AF">
        <w:rPr>
          <w:rFonts w:ascii="Times" w:hAnsi="Times" w:cstheme="minorHAnsi"/>
        </w:rPr>
        <w:t xml:space="preserve">has been recognised </w:t>
      </w:r>
      <w:r w:rsidR="006F1976">
        <w:rPr>
          <w:rFonts w:ascii="Times" w:hAnsi="Times" w:cstheme="minorHAnsi"/>
        </w:rPr>
        <w:t xml:space="preserve">both </w:t>
      </w:r>
      <w:r w:rsidR="00AB185B" w:rsidRPr="006955AF">
        <w:rPr>
          <w:rFonts w:ascii="Times" w:hAnsi="Times" w:cstheme="minorHAnsi"/>
        </w:rPr>
        <w:t>academically</w:t>
      </w:r>
      <w:r w:rsidR="001E20DE" w:rsidRPr="006955AF">
        <w:rPr>
          <w:rStyle w:val="FootnoteReference"/>
        </w:rPr>
        <w:footnoteReference w:id="80"/>
      </w:r>
      <w:r w:rsidR="00AB185B" w:rsidRPr="006955AF">
        <w:rPr>
          <w:rFonts w:ascii="Times" w:hAnsi="Times" w:cstheme="minorHAnsi"/>
        </w:rPr>
        <w:t xml:space="preserve"> and</w:t>
      </w:r>
      <w:r w:rsidR="002A151C" w:rsidRPr="006955AF">
        <w:rPr>
          <w:rFonts w:ascii="Times" w:hAnsi="Times" w:cstheme="minorHAnsi"/>
        </w:rPr>
        <w:t xml:space="preserve"> </w:t>
      </w:r>
      <w:r w:rsidR="00AB185B" w:rsidRPr="006955AF">
        <w:rPr>
          <w:rFonts w:ascii="Times" w:hAnsi="Times" w:cstheme="minorHAnsi"/>
        </w:rPr>
        <w:t>judicially.</w:t>
      </w:r>
      <w:r w:rsidR="0094541D" w:rsidRPr="006955AF">
        <w:rPr>
          <w:rStyle w:val="FootnoteReference"/>
        </w:rPr>
        <w:footnoteReference w:id="81"/>
      </w:r>
      <w:r w:rsidR="004750DC" w:rsidRPr="006955AF">
        <w:rPr>
          <w:rFonts w:ascii="Times" w:hAnsi="Times" w:cstheme="minorHAnsi"/>
        </w:rPr>
        <w:t xml:space="preserve"> </w:t>
      </w:r>
    </w:p>
    <w:p w14:paraId="525E8ED7" w14:textId="77777777" w:rsidR="004D613B" w:rsidRPr="006955AF" w:rsidRDefault="004D613B" w:rsidP="00A217B5">
      <w:pPr>
        <w:spacing w:line="360" w:lineRule="auto"/>
        <w:jc w:val="both"/>
        <w:rPr>
          <w:rFonts w:ascii="Times" w:hAnsi="Times" w:cstheme="minorHAnsi"/>
        </w:rPr>
      </w:pPr>
    </w:p>
    <w:p w14:paraId="25BE6D0F" w14:textId="133C5533" w:rsidR="00FC4A73" w:rsidRPr="006955AF" w:rsidRDefault="00CE510D" w:rsidP="00A217B5">
      <w:pPr>
        <w:spacing w:line="360" w:lineRule="auto"/>
        <w:jc w:val="both"/>
        <w:rPr>
          <w:rFonts w:ascii="Times" w:hAnsi="Times" w:cstheme="minorHAnsi"/>
        </w:rPr>
      </w:pPr>
      <w:r w:rsidRPr="006955AF">
        <w:rPr>
          <w:rFonts w:ascii="Times" w:hAnsi="Times" w:cstheme="minorHAnsi"/>
        </w:rPr>
        <w:t xml:space="preserve">By denying the trustee any </w:t>
      </w:r>
      <w:r w:rsidR="00765A77" w:rsidRPr="006955AF">
        <w:rPr>
          <w:rFonts w:ascii="Times" w:hAnsi="Times" w:cstheme="minorHAnsi"/>
        </w:rPr>
        <w:t xml:space="preserve">unauthorised </w:t>
      </w:r>
      <w:r w:rsidRPr="006955AF">
        <w:rPr>
          <w:rFonts w:ascii="Times" w:hAnsi="Times" w:cstheme="minorHAnsi"/>
        </w:rPr>
        <w:t>personal profits</w:t>
      </w:r>
      <w:r w:rsidR="00765A77" w:rsidRPr="006955AF">
        <w:rPr>
          <w:rFonts w:ascii="Times" w:hAnsi="Times" w:cstheme="minorHAnsi"/>
        </w:rPr>
        <w:t xml:space="preserve"> from </w:t>
      </w:r>
      <w:r w:rsidR="00FF2D5A" w:rsidRPr="006955AF">
        <w:rPr>
          <w:rFonts w:ascii="Times" w:hAnsi="Times" w:cstheme="minorHAnsi"/>
        </w:rPr>
        <w:t>use of trust assets</w:t>
      </w:r>
      <w:r w:rsidRPr="006955AF">
        <w:rPr>
          <w:rFonts w:ascii="Times" w:hAnsi="Times" w:cstheme="minorHAnsi"/>
        </w:rPr>
        <w:t xml:space="preserve">, </w:t>
      </w:r>
      <w:r w:rsidR="00765A77" w:rsidRPr="006955AF">
        <w:rPr>
          <w:rFonts w:ascii="Times" w:hAnsi="Times" w:cstheme="minorHAnsi"/>
        </w:rPr>
        <w:t xml:space="preserve">or from the unauthorised use of his position, </w:t>
      </w:r>
      <w:r w:rsidRPr="006955AF">
        <w:rPr>
          <w:rFonts w:ascii="Times" w:hAnsi="Times" w:cstheme="minorHAnsi"/>
        </w:rPr>
        <w:t xml:space="preserve">the law of trusts </w:t>
      </w:r>
      <w:r w:rsidR="00486978" w:rsidRPr="006955AF">
        <w:rPr>
          <w:rFonts w:ascii="Times" w:hAnsi="Times" w:cstheme="minorHAnsi"/>
        </w:rPr>
        <w:t>ensures</w:t>
      </w:r>
      <w:r w:rsidR="00FF2D5A" w:rsidRPr="006955AF">
        <w:rPr>
          <w:rFonts w:ascii="Times" w:hAnsi="Times" w:cstheme="minorHAnsi"/>
        </w:rPr>
        <w:t xml:space="preserve"> </w:t>
      </w:r>
      <w:r w:rsidR="00664505" w:rsidRPr="006955AF">
        <w:rPr>
          <w:rFonts w:ascii="Times" w:hAnsi="Times" w:cstheme="minorHAnsi"/>
        </w:rPr>
        <w:t>that</w:t>
      </w:r>
      <w:r w:rsidR="00FF2D5A" w:rsidRPr="006955AF">
        <w:rPr>
          <w:rFonts w:ascii="Times" w:hAnsi="Times" w:cstheme="minorHAnsi"/>
        </w:rPr>
        <w:t>,</w:t>
      </w:r>
      <w:r w:rsidR="00486978" w:rsidRPr="006955AF">
        <w:rPr>
          <w:rFonts w:ascii="Times" w:hAnsi="Times" w:cstheme="minorHAnsi"/>
        </w:rPr>
        <w:t xml:space="preserve"> </w:t>
      </w:r>
      <w:r w:rsidR="00664505" w:rsidRPr="006955AF">
        <w:rPr>
          <w:rFonts w:ascii="Times" w:hAnsi="Times" w:cstheme="minorHAnsi"/>
        </w:rPr>
        <w:t xml:space="preserve">whatever the intention of the trustee may be, </w:t>
      </w:r>
      <w:r w:rsidR="008B4157" w:rsidRPr="006955AF">
        <w:rPr>
          <w:rFonts w:ascii="Times" w:hAnsi="Times" w:cstheme="minorHAnsi"/>
        </w:rPr>
        <w:t xml:space="preserve">he cannot derive personal profits from </w:t>
      </w:r>
      <w:r w:rsidR="00664505" w:rsidRPr="006955AF">
        <w:rPr>
          <w:rFonts w:ascii="Times" w:hAnsi="Times" w:cstheme="minorHAnsi"/>
        </w:rPr>
        <w:t xml:space="preserve">the trust property </w:t>
      </w:r>
      <w:r w:rsidR="008B4157" w:rsidRPr="006955AF">
        <w:rPr>
          <w:rFonts w:ascii="Times" w:hAnsi="Times" w:cstheme="minorHAnsi"/>
        </w:rPr>
        <w:t xml:space="preserve">or </w:t>
      </w:r>
      <w:r w:rsidR="00765A77" w:rsidRPr="006955AF">
        <w:rPr>
          <w:rFonts w:ascii="Times" w:hAnsi="Times" w:cstheme="minorHAnsi"/>
        </w:rPr>
        <w:t>the incidents of trusteeship</w:t>
      </w:r>
      <w:r w:rsidR="00272534" w:rsidRPr="006955AF">
        <w:rPr>
          <w:rFonts w:ascii="Times" w:hAnsi="Times" w:cstheme="minorHAnsi"/>
        </w:rPr>
        <w:t xml:space="preserve">. </w:t>
      </w:r>
      <w:r w:rsidR="008446E6">
        <w:rPr>
          <w:rFonts w:ascii="Times" w:hAnsi="Times" w:cstheme="minorHAnsi"/>
        </w:rPr>
        <w:t xml:space="preserve"> </w:t>
      </w:r>
      <w:r w:rsidR="00D97653" w:rsidRPr="006955AF">
        <w:rPr>
          <w:rFonts w:ascii="Times" w:hAnsi="Times" w:cstheme="minorHAnsi"/>
        </w:rPr>
        <w:t xml:space="preserve">It thereby seeks to make due performance more likely.  </w:t>
      </w:r>
      <w:r w:rsidR="00FC4A73" w:rsidRPr="006955AF">
        <w:rPr>
          <w:rFonts w:ascii="Times" w:hAnsi="Times" w:cstheme="minorHAnsi"/>
        </w:rPr>
        <w:t>Granted, i</w:t>
      </w:r>
      <w:r w:rsidR="00E35DC8" w:rsidRPr="006955AF">
        <w:rPr>
          <w:rFonts w:ascii="Times" w:hAnsi="Times" w:cstheme="minorHAnsi"/>
        </w:rPr>
        <w:t xml:space="preserve">f the trustee had strictly adhered to his duty, he would not </w:t>
      </w:r>
      <w:r w:rsidR="000627A4" w:rsidRPr="006955AF">
        <w:rPr>
          <w:rFonts w:ascii="Times" w:hAnsi="Times" w:cstheme="minorHAnsi"/>
        </w:rPr>
        <w:t>even have made th</w:t>
      </w:r>
      <w:r w:rsidR="004A4DBA" w:rsidRPr="006955AF">
        <w:rPr>
          <w:rFonts w:ascii="Times" w:hAnsi="Times" w:cstheme="minorHAnsi"/>
        </w:rPr>
        <w:t>e</w:t>
      </w:r>
      <w:r w:rsidR="000627A4" w:rsidRPr="006955AF">
        <w:rPr>
          <w:rFonts w:ascii="Times" w:hAnsi="Times" w:cstheme="minorHAnsi"/>
        </w:rPr>
        <w:t xml:space="preserve"> </w:t>
      </w:r>
      <w:r w:rsidR="00FF2D5A" w:rsidRPr="006955AF">
        <w:rPr>
          <w:rFonts w:ascii="Times" w:hAnsi="Times" w:cstheme="minorHAnsi"/>
        </w:rPr>
        <w:t xml:space="preserve">unauthorised </w:t>
      </w:r>
      <w:r w:rsidR="000627A4" w:rsidRPr="006955AF">
        <w:rPr>
          <w:rFonts w:ascii="Times" w:hAnsi="Times" w:cstheme="minorHAnsi"/>
        </w:rPr>
        <w:t>profits</w:t>
      </w:r>
      <w:r w:rsidR="00E35DC8" w:rsidRPr="006955AF">
        <w:rPr>
          <w:rFonts w:ascii="Times" w:hAnsi="Times" w:cstheme="minorHAnsi"/>
        </w:rPr>
        <w:t xml:space="preserve">. </w:t>
      </w:r>
      <w:r w:rsidR="008446E6">
        <w:rPr>
          <w:rFonts w:ascii="Times" w:hAnsi="Times" w:cstheme="minorHAnsi"/>
        </w:rPr>
        <w:t xml:space="preserve"> </w:t>
      </w:r>
      <w:r w:rsidR="00FC4A73" w:rsidRPr="006955AF">
        <w:rPr>
          <w:rFonts w:ascii="Times" w:hAnsi="Times" w:cstheme="minorHAnsi"/>
        </w:rPr>
        <w:t>However, o</w:t>
      </w:r>
      <w:r w:rsidR="008B4157" w:rsidRPr="006955AF">
        <w:rPr>
          <w:rFonts w:ascii="Times" w:hAnsi="Times" w:cstheme="minorHAnsi"/>
        </w:rPr>
        <w:t xml:space="preserve">nce </w:t>
      </w:r>
      <w:r w:rsidR="00765A77" w:rsidRPr="006955AF">
        <w:rPr>
          <w:rFonts w:ascii="Times" w:hAnsi="Times" w:cstheme="minorHAnsi"/>
        </w:rPr>
        <w:t xml:space="preserve">the profits </w:t>
      </w:r>
      <w:r w:rsidR="006F1976">
        <w:rPr>
          <w:rFonts w:ascii="Times" w:hAnsi="Times" w:cstheme="minorHAnsi"/>
        </w:rPr>
        <w:t>a</w:t>
      </w:r>
      <w:r w:rsidR="00765A77" w:rsidRPr="006955AF">
        <w:rPr>
          <w:rFonts w:ascii="Times" w:hAnsi="Times" w:cstheme="minorHAnsi"/>
        </w:rPr>
        <w:t>re made</w:t>
      </w:r>
      <w:r w:rsidR="007757BF" w:rsidRPr="006955AF">
        <w:rPr>
          <w:rFonts w:ascii="Times" w:hAnsi="Times" w:cstheme="minorHAnsi"/>
        </w:rPr>
        <w:t xml:space="preserve">, </w:t>
      </w:r>
      <w:r w:rsidR="00FC4A73" w:rsidRPr="006955AF">
        <w:rPr>
          <w:rFonts w:ascii="Times" w:hAnsi="Times" w:cstheme="minorHAnsi"/>
        </w:rPr>
        <w:t>e</w:t>
      </w:r>
      <w:r w:rsidR="007757BF" w:rsidRPr="006955AF">
        <w:rPr>
          <w:rFonts w:ascii="Times" w:hAnsi="Times" w:cstheme="minorHAnsi"/>
        </w:rPr>
        <w:t>quity has to respond to that</w:t>
      </w:r>
      <w:r w:rsidR="006F1976">
        <w:rPr>
          <w:rFonts w:ascii="Times" w:hAnsi="Times" w:cstheme="minorHAnsi"/>
        </w:rPr>
        <w:t xml:space="preserve"> situation</w:t>
      </w:r>
      <w:r w:rsidR="007757BF" w:rsidRPr="006955AF">
        <w:rPr>
          <w:rFonts w:ascii="Times" w:hAnsi="Times" w:cstheme="minorHAnsi"/>
        </w:rPr>
        <w:t xml:space="preserve">.  And it chooses to respond by </w:t>
      </w:r>
      <w:r w:rsidR="001E511B" w:rsidRPr="006955AF">
        <w:rPr>
          <w:rFonts w:ascii="Times" w:hAnsi="Times" w:cstheme="minorHAnsi"/>
        </w:rPr>
        <w:t>treat</w:t>
      </w:r>
      <w:r w:rsidR="00AB185B" w:rsidRPr="006955AF">
        <w:rPr>
          <w:rFonts w:ascii="Times" w:hAnsi="Times" w:cstheme="minorHAnsi"/>
        </w:rPr>
        <w:t>ing</w:t>
      </w:r>
      <w:r w:rsidR="001E511B" w:rsidRPr="006955AF">
        <w:rPr>
          <w:rFonts w:ascii="Times" w:hAnsi="Times" w:cstheme="minorHAnsi"/>
        </w:rPr>
        <w:t xml:space="preserve"> </w:t>
      </w:r>
      <w:r w:rsidR="007757BF" w:rsidRPr="006955AF">
        <w:rPr>
          <w:rFonts w:ascii="Times" w:hAnsi="Times" w:cstheme="minorHAnsi"/>
        </w:rPr>
        <w:t xml:space="preserve">the trustee </w:t>
      </w:r>
      <w:r w:rsidR="001E511B" w:rsidRPr="006955AF">
        <w:rPr>
          <w:rFonts w:ascii="Times" w:hAnsi="Times" w:cstheme="minorHAnsi"/>
        </w:rPr>
        <w:t xml:space="preserve">as </w:t>
      </w:r>
      <w:r w:rsidR="00952D4E" w:rsidRPr="006955AF">
        <w:rPr>
          <w:rFonts w:ascii="Times" w:hAnsi="Times" w:cstheme="minorHAnsi"/>
        </w:rPr>
        <w:t xml:space="preserve">having </w:t>
      </w:r>
      <w:r w:rsidR="00DA3C2A" w:rsidRPr="006955AF">
        <w:rPr>
          <w:rFonts w:ascii="Times" w:hAnsi="Times" w:cstheme="minorHAnsi"/>
        </w:rPr>
        <w:t xml:space="preserve">always intended to use </w:t>
      </w:r>
      <w:r w:rsidR="00B54686" w:rsidRPr="006955AF">
        <w:rPr>
          <w:rFonts w:ascii="Times" w:hAnsi="Times" w:cstheme="minorHAnsi"/>
        </w:rPr>
        <w:t xml:space="preserve">trust property </w:t>
      </w:r>
      <w:r w:rsidR="007757BF" w:rsidRPr="006955AF">
        <w:rPr>
          <w:rFonts w:ascii="Times" w:hAnsi="Times" w:cstheme="minorHAnsi"/>
        </w:rPr>
        <w:t xml:space="preserve">and the trusteeship </w:t>
      </w:r>
      <w:r w:rsidR="00952D4E" w:rsidRPr="006955AF">
        <w:rPr>
          <w:rFonts w:ascii="Times" w:hAnsi="Times" w:cstheme="minorHAnsi"/>
        </w:rPr>
        <w:t>loyally</w:t>
      </w:r>
      <w:r w:rsidR="00DA3C2A" w:rsidRPr="006955AF">
        <w:rPr>
          <w:rFonts w:ascii="Times" w:hAnsi="Times" w:cstheme="minorHAnsi"/>
        </w:rPr>
        <w:t xml:space="preserve"> </w:t>
      </w:r>
      <w:r w:rsidR="00DA3C2A" w:rsidRPr="006955AF">
        <w:rPr>
          <w:rFonts w:ascii="Times" w:hAnsi="Times" w:cstheme="minorHAnsi"/>
        </w:rPr>
        <w:lastRenderedPageBreak/>
        <w:t xml:space="preserve">in performance of </w:t>
      </w:r>
      <w:r w:rsidR="00B54686" w:rsidRPr="006955AF">
        <w:rPr>
          <w:rFonts w:ascii="Times" w:hAnsi="Times" w:cstheme="minorHAnsi"/>
        </w:rPr>
        <w:t xml:space="preserve">the trust, </w:t>
      </w:r>
      <w:r w:rsidR="007757BF" w:rsidRPr="006955AF">
        <w:rPr>
          <w:rFonts w:ascii="Times" w:hAnsi="Times" w:cstheme="minorHAnsi"/>
        </w:rPr>
        <w:t xml:space="preserve">so the </w:t>
      </w:r>
      <w:r w:rsidR="00B54686" w:rsidRPr="006955AF">
        <w:rPr>
          <w:rFonts w:ascii="Times" w:hAnsi="Times" w:cstheme="minorHAnsi"/>
        </w:rPr>
        <w:t xml:space="preserve">profits </w:t>
      </w:r>
      <w:r w:rsidR="007757BF" w:rsidRPr="006955AF">
        <w:rPr>
          <w:rFonts w:ascii="Times" w:hAnsi="Times" w:cstheme="minorHAnsi"/>
        </w:rPr>
        <w:t xml:space="preserve">are treated </w:t>
      </w:r>
      <w:r w:rsidR="00660FCF" w:rsidRPr="006955AF">
        <w:rPr>
          <w:rFonts w:ascii="Times" w:hAnsi="Times" w:cstheme="minorHAnsi"/>
        </w:rPr>
        <w:t xml:space="preserve">as having fallen within </w:t>
      </w:r>
      <w:r w:rsidR="00B54686" w:rsidRPr="006955AF">
        <w:rPr>
          <w:rFonts w:ascii="Times" w:hAnsi="Times" w:cstheme="minorHAnsi"/>
        </w:rPr>
        <w:t xml:space="preserve">the trust estate the moment they reach </w:t>
      </w:r>
      <w:r w:rsidR="007757BF" w:rsidRPr="006955AF">
        <w:rPr>
          <w:rFonts w:ascii="Times" w:hAnsi="Times" w:cstheme="minorHAnsi"/>
        </w:rPr>
        <w:t>the trustee’s</w:t>
      </w:r>
      <w:r w:rsidR="00B54686" w:rsidRPr="006955AF">
        <w:rPr>
          <w:rFonts w:ascii="Times" w:hAnsi="Times" w:cstheme="minorHAnsi"/>
        </w:rPr>
        <w:t xml:space="preserve"> hand</w:t>
      </w:r>
      <w:r w:rsidR="009163E8" w:rsidRPr="006955AF">
        <w:rPr>
          <w:rFonts w:ascii="Times" w:hAnsi="Times" w:cstheme="minorHAnsi"/>
        </w:rPr>
        <w:t>s.</w:t>
      </w:r>
      <w:r w:rsidR="00952D4E" w:rsidRPr="006955AF">
        <w:rPr>
          <w:rStyle w:val="FootnoteReference"/>
        </w:rPr>
        <w:footnoteReference w:id="82"/>
      </w:r>
    </w:p>
    <w:p w14:paraId="33E5B081" w14:textId="77777777" w:rsidR="00FC4A73" w:rsidRPr="006955AF" w:rsidRDefault="00FC4A73" w:rsidP="00A217B5">
      <w:pPr>
        <w:spacing w:line="360" w:lineRule="auto"/>
        <w:jc w:val="both"/>
        <w:rPr>
          <w:rFonts w:ascii="Times" w:hAnsi="Times" w:cstheme="minorHAnsi"/>
        </w:rPr>
      </w:pPr>
    </w:p>
    <w:p w14:paraId="75A667EC" w14:textId="0C9D3CFA" w:rsidR="00CF109D" w:rsidRPr="006955AF" w:rsidRDefault="00352BAC" w:rsidP="00A217B5">
      <w:pPr>
        <w:spacing w:line="360" w:lineRule="auto"/>
        <w:jc w:val="both"/>
        <w:rPr>
          <w:rFonts w:ascii="Times" w:hAnsi="Times" w:cstheme="minorHAnsi"/>
        </w:rPr>
      </w:pPr>
      <w:r>
        <w:rPr>
          <w:rFonts w:ascii="Times" w:hAnsi="Times" w:cstheme="minorHAnsi"/>
        </w:rPr>
        <w:t>A</w:t>
      </w:r>
      <w:r w:rsidR="00797DFE" w:rsidRPr="006955AF">
        <w:rPr>
          <w:rFonts w:ascii="Times" w:hAnsi="Times" w:cstheme="minorHAnsi"/>
        </w:rPr>
        <w:t xml:space="preserve">n account of profits </w:t>
      </w:r>
      <w:r w:rsidR="0067296E">
        <w:rPr>
          <w:rFonts w:ascii="Times" w:hAnsi="Times" w:cstheme="minorHAnsi"/>
        </w:rPr>
        <w:t xml:space="preserve">in trust law </w:t>
      </w:r>
      <w:r>
        <w:rPr>
          <w:rFonts w:ascii="Times" w:hAnsi="Times" w:cstheme="minorHAnsi"/>
        </w:rPr>
        <w:t xml:space="preserve">therefore </w:t>
      </w:r>
      <w:r w:rsidR="00797DFE" w:rsidRPr="006955AF">
        <w:rPr>
          <w:rFonts w:ascii="Times" w:hAnsi="Times" w:cstheme="minorHAnsi"/>
        </w:rPr>
        <w:t>protects the pe</w:t>
      </w:r>
      <w:r w:rsidR="00AA2214" w:rsidRPr="006955AF">
        <w:rPr>
          <w:rFonts w:ascii="Times" w:hAnsi="Times" w:cstheme="minorHAnsi"/>
        </w:rPr>
        <w:t>rformance interest in two ways.</w:t>
      </w:r>
      <w:r w:rsidR="00797DFE" w:rsidRPr="006955AF">
        <w:rPr>
          <w:rFonts w:ascii="Times" w:hAnsi="Times" w:cstheme="minorHAnsi"/>
        </w:rPr>
        <w:t xml:space="preserve"> </w:t>
      </w:r>
      <w:r w:rsidR="008446E6">
        <w:rPr>
          <w:rFonts w:ascii="Times" w:hAnsi="Times" w:cstheme="minorHAnsi"/>
        </w:rPr>
        <w:t xml:space="preserve"> </w:t>
      </w:r>
      <w:r w:rsidR="00797DFE" w:rsidRPr="006955AF">
        <w:rPr>
          <w:rFonts w:ascii="Times" w:hAnsi="Times" w:cstheme="minorHAnsi"/>
        </w:rPr>
        <w:t xml:space="preserve">First, </w:t>
      </w:r>
      <w:r w:rsidR="00215AB7" w:rsidRPr="006955AF">
        <w:rPr>
          <w:rFonts w:ascii="Times" w:hAnsi="Times" w:cstheme="minorHAnsi"/>
        </w:rPr>
        <w:t xml:space="preserve">by treating all profits as having been made for the beneficiary, it removes any temptation that </w:t>
      </w:r>
      <w:r w:rsidR="00AA2214" w:rsidRPr="006955AF">
        <w:rPr>
          <w:rFonts w:ascii="Times" w:hAnsi="Times" w:cstheme="minorHAnsi"/>
        </w:rPr>
        <w:t xml:space="preserve">may affect the deliberation of any </w:t>
      </w:r>
      <w:r w:rsidR="00215AB7" w:rsidRPr="006955AF">
        <w:rPr>
          <w:rFonts w:ascii="Times" w:hAnsi="Times" w:cstheme="minorHAnsi"/>
        </w:rPr>
        <w:t xml:space="preserve">future trustee </w:t>
      </w:r>
      <w:r w:rsidR="00AA2214" w:rsidRPr="006955AF">
        <w:rPr>
          <w:rFonts w:ascii="Times" w:hAnsi="Times" w:cstheme="minorHAnsi"/>
        </w:rPr>
        <w:t xml:space="preserve">in the performance of his duties.  Second, as the profits are treated as belonging to the beneficiary the moment they were made, this </w:t>
      </w:r>
      <w:r w:rsidR="00B71F25" w:rsidRPr="006955AF">
        <w:rPr>
          <w:rFonts w:ascii="Times" w:hAnsi="Times" w:cstheme="minorHAnsi"/>
        </w:rPr>
        <w:t xml:space="preserve">retroactive operation </w:t>
      </w:r>
      <w:r w:rsidR="00341315" w:rsidRPr="006955AF">
        <w:rPr>
          <w:rFonts w:ascii="Times" w:hAnsi="Times" w:cstheme="minorHAnsi"/>
        </w:rPr>
        <w:t>ensures</w:t>
      </w:r>
      <w:r w:rsidR="00B337D3" w:rsidRPr="006955AF">
        <w:rPr>
          <w:rFonts w:ascii="Times" w:hAnsi="Times" w:cstheme="minorHAnsi"/>
        </w:rPr>
        <w:t xml:space="preserve"> </w:t>
      </w:r>
      <w:r w:rsidR="00AB1DF0" w:rsidRPr="006955AF">
        <w:rPr>
          <w:rFonts w:ascii="Times" w:hAnsi="Times" w:cstheme="minorHAnsi"/>
        </w:rPr>
        <w:t xml:space="preserve">that </w:t>
      </w:r>
      <w:r w:rsidR="00B337D3" w:rsidRPr="006955AF">
        <w:rPr>
          <w:rFonts w:ascii="Times" w:hAnsi="Times" w:cstheme="minorHAnsi"/>
        </w:rPr>
        <w:t xml:space="preserve">the beneficiary </w:t>
      </w:r>
      <w:r w:rsidR="00647104" w:rsidRPr="006955AF">
        <w:rPr>
          <w:rFonts w:ascii="Times" w:hAnsi="Times" w:cstheme="minorHAnsi"/>
        </w:rPr>
        <w:t xml:space="preserve">will neither </w:t>
      </w:r>
      <w:r w:rsidR="00B71F25" w:rsidRPr="006955AF">
        <w:rPr>
          <w:rFonts w:ascii="Times" w:hAnsi="Times" w:cstheme="minorHAnsi"/>
        </w:rPr>
        <w:t xml:space="preserve">be kept out of his right during the period between breach and </w:t>
      </w:r>
      <w:r w:rsidR="00AA2214" w:rsidRPr="006955AF">
        <w:rPr>
          <w:rFonts w:ascii="Times" w:hAnsi="Times" w:cstheme="minorHAnsi"/>
        </w:rPr>
        <w:t>the actual award of the remedy</w:t>
      </w:r>
      <w:r w:rsidR="00B337D3" w:rsidRPr="006955AF">
        <w:rPr>
          <w:rFonts w:ascii="Times" w:hAnsi="Times" w:cstheme="minorHAnsi"/>
        </w:rPr>
        <w:t xml:space="preserve">, </w:t>
      </w:r>
      <w:r w:rsidR="00514905" w:rsidRPr="006955AF">
        <w:rPr>
          <w:rFonts w:ascii="Times" w:hAnsi="Times" w:cstheme="minorHAnsi"/>
        </w:rPr>
        <w:t>nor</w:t>
      </w:r>
      <w:r w:rsidR="00B337D3" w:rsidRPr="006955AF">
        <w:rPr>
          <w:rFonts w:ascii="Times" w:hAnsi="Times" w:cstheme="minorHAnsi"/>
        </w:rPr>
        <w:t xml:space="preserve"> </w:t>
      </w:r>
      <w:r w:rsidR="00341315" w:rsidRPr="006955AF">
        <w:rPr>
          <w:rFonts w:ascii="Times" w:hAnsi="Times" w:cstheme="minorHAnsi"/>
        </w:rPr>
        <w:t xml:space="preserve">be </w:t>
      </w:r>
      <w:r w:rsidR="00B337D3" w:rsidRPr="006955AF">
        <w:rPr>
          <w:rFonts w:ascii="Times" w:hAnsi="Times" w:cstheme="minorHAnsi"/>
        </w:rPr>
        <w:t>defeated by a third</w:t>
      </w:r>
      <w:r w:rsidR="009163E8" w:rsidRPr="006955AF">
        <w:rPr>
          <w:rFonts w:ascii="Times" w:hAnsi="Times" w:cstheme="minorHAnsi"/>
        </w:rPr>
        <w:t>-</w:t>
      </w:r>
      <w:r w:rsidR="00B337D3" w:rsidRPr="006955AF">
        <w:rPr>
          <w:rFonts w:ascii="Times" w:hAnsi="Times" w:cstheme="minorHAnsi"/>
        </w:rPr>
        <w:t xml:space="preserve">party transferee </w:t>
      </w:r>
      <w:r w:rsidR="0058697F" w:rsidRPr="006955AF">
        <w:rPr>
          <w:rFonts w:ascii="Times" w:hAnsi="Times" w:cstheme="minorHAnsi"/>
        </w:rPr>
        <w:t xml:space="preserve">who is not </w:t>
      </w:r>
      <w:r w:rsidR="00B337D3" w:rsidRPr="006955AF">
        <w:rPr>
          <w:rFonts w:ascii="Times" w:hAnsi="Times" w:cstheme="minorHAnsi"/>
        </w:rPr>
        <w:t>a bona fide purchaser for value without notice</w:t>
      </w:r>
      <w:r w:rsidR="00B71F25" w:rsidRPr="006955AF">
        <w:rPr>
          <w:rFonts w:ascii="Times" w:hAnsi="Times" w:cstheme="minorHAnsi"/>
        </w:rPr>
        <w:t>.</w:t>
      </w:r>
    </w:p>
    <w:p w14:paraId="398AE729" w14:textId="77777777" w:rsidR="00CF109D" w:rsidRPr="006955AF" w:rsidRDefault="00CF109D" w:rsidP="00A217B5">
      <w:pPr>
        <w:spacing w:line="360" w:lineRule="auto"/>
        <w:jc w:val="both"/>
        <w:rPr>
          <w:rFonts w:ascii="Times" w:hAnsi="Times" w:cstheme="minorHAnsi"/>
        </w:rPr>
      </w:pPr>
    </w:p>
    <w:p w14:paraId="56691904" w14:textId="77777777" w:rsidR="00621727" w:rsidRDefault="0023187C" w:rsidP="00A217B5">
      <w:pPr>
        <w:spacing w:line="360" w:lineRule="auto"/>
        <w:jc w:val="both"/>
        <w:rPr>
          <w:rFonts w:ascii="Times" w:hAnsi="Times" w:cstheme="minorHAnsi"/>
        </w:rPr>
      </w:pPr>
      <w:r w:rsidRPr="006955AF">
        <w:rPr>
          <w:rFonts w:ascii="Times" w:hAnsi="Times" w:cstheme="minorHAnsi"/>
        </w:rPr>
        <w:t xml:space="preserve">These </w:t>
      </w:r>
      <w:r w:rsidR="001F088E" w:rsidRPr="006955AF">
        <w:rPr>
          <w:rFonts w:ascii="Times" w:hAnsi="Times" w:cstheme="minorHAnsi"/>
        </w:rPr>
        <w:t xml:space="preserve">gain-based remedies </w:t>
      </w:r>
      <w:r w:rsidRPr="006955AF">
        <w:rPr>
          <w:rFonts w:ascii="Times" w:hAnsi="Times" w:cstheme="minorHAnsi"/>
        </w:rPr>
        <w:t xml:space="preserve">interact </w:t>
      </w:r>
      <w:r w:rsidR="001F088E" w:rsidRPr="006955AF">
        <w:rPr>
          <w:rFonts w:ascii="Times" w:hAnsi="Times" w:cstheme="minorHAnsi"/>
        </w:rPr>
        <w:t xml:space="preserve">with the </w:t>
      </w:r>
      <w:r w:rsidR="00705112" w:rsidRPr="006955AF">
        <w:rPr>
          <w:rFonts w:ascii="Times" w:hAnsi="Times" w:cstheme="minorHAnsi"/>
        </w:rPr>
        <w:t>alternative</w:t>
      </w:r>
      <w:r w:rsidR="00DD0EBF" w:rsidRPr="006955AF">
        <w:rPr>
          <w:rFonts w:ascii="Times" w:hAnsi="Times" w:cstheme="minorHAnsi"/>
        </w:rPr>
        <w:t>,</w:t>
      </w:r>
      <w:r w:rsidR="00705112" w:rsidRPr="006955AF">
        <w:rPr>
          <w:rFonts w:ascii="Times" w:hAnsi="Times" w:cstheme="minorHAnsi"/>
        </w:rPr>
        <w:t xml:space="preserve"> </w:t>
      </w:r>
      <w:r w:rsidR="001F088E" w:rsidRPr="006955AF">
        <w:rPr>
          <w:rFonts w:ascii="Times" w:hAnsi="Times" w:cstheme="minorHAnsi"/>
        </w:rPr>
        <w:t>restorative</w:t>
      </w:r>
      <w:r w:rsidR="00DD0EBF" w:rsidRPr="006955AF">
        <w:rPr>
          <w:rFonts w:ascii="Times" w:hAnsi="Times" w:cstheme="minorHAnsi"/>
        </w:rPr>
        <w:t>,</w:t>
      </w:r>
      <w:r w:rsidR="001F088E" w:rsidRPr="006955AF">
        <w:rPr>
          <w:rFonts w:ascii="Times" w:hAnsi="Times" w:cstheme="minorHAnsi"/>
        </w:rPr>
        <w:t xml:space="preserve"> remedy </w:t>
      </w:r>
      <w:r w:rsidR="002F1A44" w:rsidRPr="006955AF">
        <w:rPr>
          <w:rFonts w:ascii="Times" w:hAnsi="Times" w:cstheme="minorHAnsi"/>
        </w:rPr>
        <w:t xml:space="preserve">through the principle of election:  the claimant (or the court, where a claimant – such as a minor beneficiary – is unable  to do so himself) may elect between available restorative and gain-based remedies </w:t>
      </w:r>
      <w:r w:rsidR="001F088E" w:rsidRPr="006955AF">
        <w:rPr>
          <w:rFonts w:ascii="Times" w:hAnsi="Times" w:cstheme="minorHAnsi"/>
        </w:rPr>
        <w:t xml:space="preserve">to ensure </w:t>
      </w:r>
      <w:r w:rsidR="002F1A44" w:rsidRPr="006955AF">
        <w:rPr>
          <w:rFonts w:ascii="Times" w:hAnsi="Times" w:cstheme="minorHAnsi"/>
        </w:rPr>
        <w:t>that he will get the best option available</w:t>
      </w:r>
      <w:r w:rsidR="001F088E" w:rsidRPr="006955AF">
        <w:rPr>
          <w:rFonts w:ascii="Times" w:hAnsi="Times" w:cstheme="minorHAnsi"/>
        </w:rPr>
        <w:t>.</w:t>
      </w:r>
      <w:r w:rsidR="002F1A44" w:rsidRPr="006955AF">
        <w:rPr>
          <w:rStyle w:val="FootnoteReference"/>
        </w:rPr>
        <w:footnoteReference w:id="83"/>
      </w:r>
      <w:r w:rsidR="002F1A44" w:rsidRPr="006955AF">
        <w:rPr>
          <w:rFonts w:ascii="Times" w:hAnsi="Times" w:cstheme="minorHAnsi"/>
        </w:rPr>
        <w:t xml:space="preserve"> </w:t>
      </w:r>
      <w:r w:rsidR="001F088E" w:rsidRPr="006955AF">
        <w:rPr>
          <w:rFonts w:ascii="Times" w:hAnsi="Times" w:cstheme="minorHAnsi"/>
        </w:rPr>
        <w:t xml:space="preserve"> </w:t>
      </w:r>
    </w:p>
    <w:p w14:paraId="079019B2" w14:textId="77777777" w:rsidR="00621727" w:rsidRDefault="00621727" w:rsidP="00A217B5">
      <w:pPr>
        <w:spacing w:line="360" w:lineRule="auto"/>
        <w:jc w:val="both"/>
        <w:rPr>
          <w:rFonts w:ascii="Times" w:hAnsi="Times" w:cstheme="minorHAnsi"/>
        </w:rPr>
      </w:pPr>
    </w:p>
    <w:p w14:paraId="71FC93C9" w14:textId="0739062F" w:rsidR="00AC6114" w:rsidRPr="006955AF" w:rsidRDefault="00AA6963" w:rsidP="00A217B5">
      <w:pPr>
        <w:spacing w:line="360" w:lineRule="auto"/>
        <w:jc w:val="both"/>
        <w:rPr>
          <w:rFonts w:ascii="Times" w:hAnsi="Times" w:cstheme="minorHAnsi"/>
        </w:rPr>
      </w:pPr>
      <w:r w:rsidRPr="006955AF">
        <w:rPr>
          <w:rFonts w:ascii="Times" w:hAnsi="Times" w:cstheme="minorHAnsi"/>
        </w:rPr>
        <w:t>By keeping the trustee to his duty in remedial terms</w:t>
      </w:r>
      <w:r w:rsidR="00DD0EBF" w:rsidRPr="006955AF">
        <w:rPr>
          <w:rFonts w:ascii="Times" w:hAnsi="Times" w:cstheme="minorHAnsi"/>
        </w:rPr>
        <w:t>,</w:t>
      </w:r>
      <w:r w:rsidRPr="006955AF">
        <w:rPr>
          <w:rFonts w:ascii="Times" w:hAnsi="Times" w:cstheme="minorHAnsi"/>
        </w:rPr>
        <w:t xml:space="preserve"> even if he has </w:t>
      </w:r>
      <w:r w:rsidR="00DD0EBF" w:rsidRPr="006955AF">
        <w:rPr>
          <w:rFonts w:ascii="Times" w:hAnsi="Times" w:cstheme="minorHAnsi"/>
        </w:rPr>
        <w:t>in reality breached his duty</w:t>
      </w:r>
      <w:r w:rsidRPr="006955AF">
        <w:rPr>
          <w:rFonts w:ascii="Times" w:hAnsi="Times" w:cstheme="minorHAnsi"/>
        </w:rPr>
        <w:t xml:space="preserve">, </w:t>
      </w:r>
      <w:r w:rsidR="00964612" w:rsidRPr="006955AF">
        <w:rPr>
          <w:rFonts w:ascii="Times" w:hAnsi="Times" w:cstheme="minorHAnsi"/>
        </w:rPr>
        <w:t>equity’s</w:t>
      </w:r>
      <w:r w:rsidR="00CE6904" w:rsidRPr="006955AF">
        <w:rPr>
          <w:rFonts w:ascii="Times" w:hAnsi="Times" w:cstheme="minorHAnsi"/>
        </w:rPr>
        <w:t xml:space="preserve"> robust remedial architecture</w:t>
      </w:r>
      <w:r w:rsidR="00573D06" w:rsidRPr="006955AF">
        <w:rPr>
          <w:rFonts w:ascii="Times" w:hAnsi="Times" w:cstheme="minorHAnsi"/>
        </w:rPr>
        <w:t xml:space="preserve"> in effect provides </w:t>
      </w:r>
      <w:r w:rsidR="002F1A44" w:rsidRPr="006955AF">
        <w:rPr>
          <w:rFonts w:ascii="Times" w:hAnsi="Times" w:cstheme="minorHAnsi"/>
        </w:rPr>
        <w:t xml:space="preserve">both the option of </w:t>
      </w:r>
      <w:r w:rsidRPr="006955AF">
        <w:rPr>
          <w:rFonts w:ascii="Times" w:hAnsi="Times" w:cstheme="minorHAnsi"/>
        </w:rPr>
        <w:t>performance</w:t>
      </w:r>
      <w:r w:rsidR="00DD0EBF" w:rsidRPr="006955AF">
        <w:rPr>
          <w:rFonts w:ascii="Times" w:hAnsi="Times" w:cstheme="minorHAnsi"/>
        </w:rPr>
        <w:t xml:space="preserve">, or </w:t>
      </w:r>
      <w:r w:rsidR="00392C88" w:rsidRPr="006955AF">
        <w:rPr>
          <w:rFonts w:ascii="Times" w:hAnsi="Times" w:cstheme="minorHAnsi"/>
        </w:rPr>
        <w:t>the next best remedial equivalent,</w:t>
      </w:r>
      <w:r w:rsidRPr="006955AF">
        <w:rPr>
          <w:rFonts w:ascii="Times" w:hAnsi="Times" w:cstheme="minorHAnsi"/>
        </w:rPr>
        <w:t xml:space="preserve"> and </w:t>
      </w:r>
      <w:r w:rsidR="002F1A44" w:rsidRPr="006955AF">
        <w:rPr>
          <w:rFonts w:ascii="Times" w:hAnsi="Times" w:cstheme="minorHAnsi"/>
        </w:rPr>
        <w:t xml:space="preserve">the option of a gain-based remedy which provides </w:t>
      </w:r>
      <w:r w:rsidRPr="006955AF">
        <w:rPr>
          <w:rFonts w:ascii="Times" w:hAnsi="Times" w:cstheme="minorHAnsi"/>
        </w:rPr>
        <w:t xml:space="preserve">a strong disincentive to disloyal </w:t>
      </w:r>
      <w:r w:rsidR="00CF109D" w:rsidRPr="006955AF">
        <w:rPr>
          <w:rFonts w:ascii="Times" w:hAnsi="Times" w:cstheme="minorHAnsi"/>
        </w:rPr>
        <w:t>conduct</w:t>
      </w:r>
      <w:r w:rsidRPr="006955AF">
        <w:rPr>
          <w:rFonts w:ascii="Times" w:hAnsi="Times" w:cstheme="minorHAnsi"/>
        </w:rPr>
        <w:t xml:space="preserve">. </w:t>
      </w:r>
      <w:r w:rsidR="008446E6">
        <w:rPr>
          <w:rFonts w:ascii="Times" w:hAnsi="Times" w:cstheme="minorHAnsi"/>
        </w:rPr>
        <w:t xml:space="preserve"> </w:t>
      </w:r>
      <w:r w:rsidR="0090284B" w:rsidRPr="006955AF">
        <w:rPr>
          <w:rFonts w:ascii="Times" w:hAnsi="Times" w:cstheme="minorHAnsi"/>
        </w:rPr>
        <w:t xml:space="preserve">Such an approach contrasts sharply with that in contract, </w:t>
      </w:r>
      <w:r w:rsidR="00621727">
        <w:rPr>
          <w:rFonts w:ascii="Times" w:hAnsi="Times" w:cstheme="minorHAnsi"/>
        </w:rPr>
        <w:t xml:space="preserve">examined in Part </w:t>
      </w:r>
      <w:r w:rsidR="003529B6">
        <w:rPr>
          <w:rFonts w:ascii="Times" w:hAnsi="Times" w:cstheme="minorHAnsi"/>
        </w:rPr>
        <w:t>Six</w:t>
      </w:r>
      <w:r w:rsidR="00621727">
        <w:rPr>
          <w:rFonts w:ascii="Times" w:hAnsi="Times" w:cstheme="minorHAnsi"/>
        </w:rPr>
        <w:t xml:space="preserve"> below, </w:t>
      </w:r>
      <w:r w:rsidR="0090284B" w:rsidRPr="006955AF">
        <w:rPr>
          <w:rFonts w:ascii="Times" w:hAnsi="Times" w:cstheme="minorHAnsi"/>
        </w:rPr>
        <w:t>where a party’s right to contractual performance is</w:t>
      </w:r>
      <w:r w:rsidR="00392C88" w:rsidRPr="006955AF">
        <w:rPr>
          <w:rFonts w:ascii="Times" w:hAnsi="Times" w:cstheme="minorHAnsi"/>
        </w:rPr>
        <w:t>, on breach</w:t>
      </w:r>
      <w:r w:rsidR="00621727">
        <w:rPr>
          <w:rFonts w:ascii="Times" w:hAnsi="Times" w:cstheme="minorHAnsi"/>
        </w:rPr>
        <w:t xml:space="preserve"> in the vast majority of cases</w:t>
      </w:r>
      <w:r w:rsidR="00392C88" w:rsidRPr="006955AF">
        <w:rPr>
          <w:rFonts w:ascii="Times" w:hAnsi="Times" w:cstheme="minorHAnsi"/>
        </w:rPr>
        <w:t>,</w:t>
      </w:r>
      <w:r w:rsidR="0090284B" w:rsidRPr="006955AF">
        <w:rPr>
          <w:rFonts w:ascii="Times" w:hAnsi="Times" w:cstheme="minorHAnsi"/>
        </w:rPr>
        <w:t xml:space="preserve"> transformed into a </w:t>
      </w:r>
      <w:r w:rsidR="00D47A7D">
        <w:rPr>
          <w:rFonts w:ascii="Times" w:hAnsi="Times" w:cstheme="minorHAnsi"/>
        </w:rPr>
        <w:t>“</w:t>
      </w:r>
      <w:r w:rsidR="0090284B" w:rsidRPr="006955AF">
        <w:rPr>
          <w:rFonts w:ascii="Times" w:hAnsi="Times" w:cstheme="minorHAnsi"/>
        </w:rPr>
        <w:t>second-best</w:t>
      </w:r>
      <w:r w:rsidR="00D47A7D">
        <w:rPr>
          <w:rFonts w:ascii="Times" w:hAnsi="Times" w:cstheme="minorHAnsi"/>
        </w:rPr>
        <w:t>”</w:t>
      </w:r>
      <w:r w:rsidR="0090284B" w:rsidRPr="006955AF">
        <w:rPr>
          <w:rFonts w:ascii="Times" w:hAnsi="Times" w:cstheme="minorHAnsi"/>
        </w:rPr>
        <w:t xml:space="preserve"> right to compensation for reasonable</w:t>
      </w:r>
      <w:r w:rsidR="00392C88" w:rsidRPr="006955AF">
        <w:rPr>
          <w:rFonts w:ascii="Times" w:hAnsi="Times" w:cstheme="minorHAnsi"/>
        </w:rPr>
        <w:t>,</w:t>
      </w:r>
      <w:r w:rsidR="0090284B" w:rsidRPr="006955AF">
        <w:rPr>
          <w:rFonts w:ascii="Times" w:hAnsi="Times" w:cstheme="minorHAnsi"/>
        </w:rPr>
        <w:t xml:space="preserve"> foreseeable losses.</w:t>
      </w:r>
    </w:p>
    <w:p w14:paraId="22771D31" w14:textId="52223E27" w:rsidR="001E1D61" w:rsidRPr="006955AF" w:rsidRDefault="001E1D61" w:rsidP="00A217B5">
      <w:pPr>
        <w:spacing w:line="360" w:lineRule="auto"/>
        <w:jc w:val="both"/>
        <w:rPr>
          <w:rFonts w:ascii="Times" w:hAnsi="Times" w:cstheme="minorHAnsi"/>
        </w:rPr>
      </w:pPr>
    </w:p>
    <w:p w14:paraId="35506BB1" w14:textId="31AEF7DE" w:rsidR="002652C7" w:rsidRPr="006955AF" w:rsidRDefault="009947E8" w:rsidP="00A217B5">
      <w:pPr>
        <w:spacing w:line="360" w:lineRule="auto"/>
        <w:jc w:val="both"/>
        <w:rPr>
          <w:rFonts w:ascii="Times" w:hAnsi="Times" w:cstheme="minorHAnsi"/>
        </w:rPr>
      </w:pPr>
      <w:r w:rsidRPr="006955AF">
        <w:rPr>
          <w:rFonts w:ascii="Times" w:hAnsi="Times" w:cstheme="minorHAnsi"/>
        </w:rPr>
        <w:t>A</w:t>
      </w:r>
      <w:r w:rsidR="007063FB">
        <w:rPr>
          <w:rFonts w:ascii="Times" w:hAnsi="Times" w:cstheme="minorHAnsi"/>
        </w:rPr>
        <w:t>n a</w:t>
      </w:r>
      <w:r w:rsidRPr="006955AF">
        <w:rPr>
          <w:rFonts w:ascii="Times" w:hAnsi="Times" w:cstheme="minorHAnsi"/>
        </w:rPr>
        <w:t xml:space="preserve">ppreciation of the </w:t>
      </w:r>
      <w:r w:rsidR="007063FB">
        <w:rPr>
          <w:rFonts w:ascii="Times" w:hAnsi="Times" w:cstheme="minorHAnsi"/>
        </w:rPr>
        <w:t xml:space="preserve">purpose behind the </w:t>
      </w:r>
      <w:r w:rsidRPr="006955AF">
        <w:rPr>
          <w:rFonts w:ascii="Times" w:hAnsi="Times" w:cstheme="minorHAnsi"/>
        </w:rPr>
        <w:t>deterrence</w:t>
      </w:r>
      <w:r w:rsidR="007063FB">
        <w:rPr>
          <w:rFonts w:ascii="Times" w:hAnsi="Times" w:cstheme="minorHAnsi"/>
        </w:rPr>
        <w:t xml:space="preserve"> offered by </w:t>
      </w:r>
      <w:r w:rsidRPr="006955AF">
        <w:rPr>
          <w:rFonts w:ascii="Times" w:hAnsi="Times" w:cstheme="minorHAnsi"/>
        </w:rPr>
        <w:t>gain-based remedies helps</w:t>
      </w:r>
      <w:r w:rsidR="00C32A34" w:rsidRPr="006955AF">
        <w:rPr>
          <w:rFonts w:ascii="Times" w:hAnsi="Times" w:cstheme="minorHAnsi"/>
        </w:rPr>
        <w:t xml:space="preserve"> </w:t>
      </w:r>
      <w:r w:rsidR="00F450F7" w:rsidRPr="006955AF">
        <w:rPr>
          <w:rFonts w:ascii="Times" w:hAnsi="Times" w:cstheme="minorHAnsi"/>
        </w:rPr>
        <w:t>address</w:t>
      </w:r>
      <w:r w:rsidR="00C32A34" w:rsidRPr="006955AF">
        <w:rPr>
          <w:rFonts w:ascii="Times" w:hAnsi="Times" w:cstheme="minorHAnsi"/>
        </w:rPr>
        <w:t xml:space="preserve"> </w:t>
      </w:r>
      <w:r w:rsidR="002F7B68" w:rsidRPr="006955AF">
        <w:rPr>
          <w:rFonts w:ascii="Times" w:hAnsi="Times" w:cstheme="minorHAnsi"/>
        </w:rPr>
        <w:t>the difficult task</w:t>
      </w:r>
      <w:r w:rsidR="00444B08" w:rsidRPr="006955AF">
        <w:rPr>
          <w:rFonts w:ascii="Times" w:hAnsi="Times" w:cstheme="minorHAnsi"/>
        </w:rPr>
        <w:t>s</w:t>
      </w:r>
      <w:r w:rsidR="002F7B68" w:rsidRPr="006955AF">
        <w:rPr>
          <w:rFonts w:ascii="Times" w:hAnsi="Times" w:cstheme="minorHAnsi"/>
        </w:rPr>
        <w:t xml:space="preserve"> of </w:t>
      </w:r>
      <w:r w:rsidR="00444B08" w:rsidRPr="006955AF">
        <w:rPr>
          <w:rFonts w:ascii="Times" w:hAnsi="Times" w:cstheme="minorHAnsi"/>
        </w:rPr>
        <w:t xml:space="preserve">explaining and </w:t>
      </w:r>
      <w:r w:rsidR="002F7B68" w:rsidRPr="006955AF">
        <w:rPr>
          <w:rFonts w:ascii="Times" w:hAnsi="Times" w:cstheme="minorHAnsi"/>
        </w:rPr>
        <w:t xml:space="preserve">developing </w:t>
      </w:r>
      <w:r w:rsidR="00F450F7" w:rsidRPr="006955AF">
        <w:rPr>
          <w:rFonts w:ascii="Times" w:hAnsi="Times" w:cstheme="minorHAnsi"/>
        </w:rPr>
        <w:t xml:space="preserve">principles to guide the </w:t>
      </w:r>
      <w:r w:rsidR="00AB6001">
        <w:rPr>
          <w:rFonts w:ascii="Times" w:hAnsi="Times" w:cstheme="minorHAnsi"/>
        </w:rPr>
        <w:t xml:space="preserve">quantification of </w:t>
      </w:r>
      <w:r w:rsidR="00F450F7" w:rsidRPr="006955AF">
        <w:rPr>
          <w:rFonts w:ascii="Times" w:hAnsi="Times" w:cstheme="minorHAnsi"/>
        </w:rPr>
        <w:t>profits due from a defaulti</w:t>
      </w:r>
      <w:r w:rsidR="00F450F7" w:rsidRPr="008524B7">
        <w:rPr>
          <w:rFonts w:ascii="Times" w:hAnsi="Times" w:cstheme="minorHAnsi"/>
        </w:rPr>
        <w:t>ng trustee</w:t>
      </w:r>
      <w:r w:rsidR="00731FF3" w:rsidRPr="008524B7">
        <w:rPr>
          <w:rFonts w:ascii="Times" w:hAnsi="Times" w:cstheme="minorHAnsi"/>
        </w:rPr>
        <w:t xml:space="preserve">, particularly </w:t>
      </w:r>
      <w:r w:rsidR="004008CF" w:rsidRPr="008524B7">
        <w:rPr>
          <w:rFonts w:ascii="Times" w:hAnsi="Times" w:cstheme="minorHAnsi"/>
        </w:rPr>
        <w:t>those that</w:t>
      </w:r>
      <w:r w:rsidR="00731FF3" w:rsidRPr="008524B7">
        <w:rPr>
          <w:rFonts w:ascii="Times" w:hAnsi="Times" w:cstheme="minorHAnsi"/>
        </w:rPr>
        <w:t xml:space="preserve"> guide the award of any allowance </w:t>
      </w:r>
      <w:r w:rsidR="00731FF3" w:rsidRPr="008524B7">
        <w:rPr>
          <w:rFonts w:ascii="Times" w:hAnsi="Times" w:cstheme="minorHAnsi"/>
        </w:rPr>
        <w:lastRenderedPageBreak/>
        <w:t>to the defaulting trustee</w:t>
      </w:r>
      <w:r w:rsidR="00C32A34" w:rsidRPr="008524B7">
        <w:rPr>
          <w:rFonts w:ascii="Times" w:hAnsi="Times" w:cstheme="minorHAnsi"/>
        </w:rPr>
        <w:t xml:space="preserve">. </w:t>
      </w:r>
      <w:r w:rsidR="008446E6">
        <w:rPr>
          <w:rFonts w:ascii="Times" w:hAnsi="Times" w:cstheme="minorHAnsi"/>
        </w:rPr>
        <w:t xml:space="preserve"> </w:t>
      </w:r>
      <w:r w:rsidR="000749F7" w:rsidRPr="008524B7">
        <w:rPr>
          <w:rFonts w:ascii="Times" w:hAnsi="Times" w:cstheme="minorHAnsi"/>
        </w:rPr>
        <w:t>Thus far</w:t>
      </w:r>
      <w:r w:rsidR="00C32A34" w:rsidRPr="008524B7">
        <w:rPr>
          <w:rFonts w:ascii="Times" w:hAnsi="Times" w:cstheme="minorHAnsi"/>
        </w:rPr>
        <w:t xml:space="preserve">, disgorgement of profits </w:t>
      </w:r>
      <w:r w:rsidR="000749F7" w:rsidRPr="008524B7">
        <w:rPr>
          <w:rFonts w:ascii="Times" w:hAnsi="Times" w:cstheme="minorHAnsi"/>
        </w:rPr>
        <w:t xml:space="preserve">has been </w:t>
      </w:r>
      <w:r w:rsidR="008C6538" w:rsidRPr="008524B7">
        <w:rPr>
          <w:rFonts w:ascii="Times" w:hAnsi="Times" w:cstheme="minorHAnsi"/>
        </w:rPr>
        <w:t xml:space="preserve">primarily </w:t>
      </w:r>
      <w:r w:rsidR="00C32A34" w:rsidRPr="008524B7">
        <w:rPr>
          <w:rFonts w:ascii="Times" w:hAnsi="Times" w:cstheme="minorHAnsi"/>
        </w:rPr>
        <w:t>governed by the exhortation that the fiduciary</w:t>
      </w:r>
      <w:r w:rsidR="00C32A34" w:rsidRPr="006955AF">
        <w:rPr>
          <w:rFonts w:ascii="Times" w:hAnsi="Times" w:cstheme="minorHAnsi"/>
        </w:rPr>
        <w:t xml:space="preserve"> must account for </w:t>
      </w:r>
      <w:r w:rsidR="00C32A34" w:rsidRPr="006955AF">
        <w:rPr>
          <w:rFonts w:ascii="Times" w:hAnsi="Times" w:cstheme="minorHAnsi"/>
          <w:i/>
        </w:rPr>
        <w:t>all</w:t>
      </w:r>
      <w:r w:rsidR="00C32A34" w:rsidRPr="006955AF">
        <w:rPr>
          <w:rFonts w:ascii="Times" w:hAnsi="Times" w:cstheme="minorHAnsi"/>
        </w:rPr>
        <w:t xml:space="preserve"> profits obtained </w:t>
      </w:r>
      <w:r w:rsidR="002652C7" w:rsidRPr="006955AF">
        <w:rPr>
          <w:rFonts w:ascii="Times" w:hAnsi="Times" w:cstheme="minorHAnsi"/>
        </w:rPr>
        <w:t xml:space="preserve">“by the use of” </w:t>
      </w:r>
      <w:r w:rsidR="00C32A34" w:rsidRPr="006955AF">
        <w:rPr>
          <w:rFonts w:ascii="Times" w:hAnsi="Times" w:cstheme="minorHAnsi"/>
        </w:rPr>
        <w:t>the fiduciary position.</w:t>
      </w:r>
      <w:r w:rsidR="00C32A34" w:rsidRPr="006955AF">
        <w:rPr>
          <w:rStyle w:val="FootnoteReference"/>
        </w:rPr>
        <w:footnoteReference w:id="84"/>
      </w:r>
      <w:r w:rsidR="00C32A34" w:rsidRPr="006955AF">
        <w:rPr>
          <w:rFonts w:ascii="Times" w:hAnsi="Times" w:cstheme="minorHAnsi"/>
        </w:rPr>
        <w:t xml:space="preserve">  This broad and simplistic rule is tempered by vague notions of fairness and equitable discretion that may limit the extent of recovery in individual cases.</w:t>
      </w:r>
      <w:r w:rsidR="00C32A34" w:rsidRPr="006955AF">
        <w:rPr>
          <w:rStyle w:val="FootnoteReference"/>
        </w:rPr>
        <w:footnoteReference w:id="85"/>
      </w:r>
      <w:r w:rsidR="00C32A34" w:rsidRPr="006955AF">
        <w:rPr>
          <w:rFonts w:ascii="Times" w:hAnsi="Times" w:cstheme="minorHAnsi"/>
        </w:rPr>
        <w:t xml:space="preserve">  </w:t>
      </w:r>
      <w:r w:rsidR="00727791" w:rsidRPr="006955AF">
        <w:rPr>
          <w:rFonts w:ascii="Times" w:hAnsi="Times" w:cstheme="minorHAnsi"/>
        </w:rPr>
        <w:t xml:space="preserve">Fortunately, </w:t>
      </w:r>
      <w:r w:rsidR="00AF5204" w:rsidRPr="006955AF">
        <w:rPr>
          <w:rFonts w:ascii="Times" w:hAnsi="Times" w:cstheme="minorHAnsi"/>
        </w:rPr>
        <w:t>the recent decision of</w:t>
      </w:r>
      <w:r w:rsidR="00F92557" w:rsidRPr="006955AF">
        <w:rPr>
          <w:rFonts w:ascii="Times" w:hAnsi="Times" w:cstheme="minorHAnsi"/>
        </w:rPr>
        <w:t xml:space="preserve"> the High Court of Australia </w:t>
      </w:r>
      <w:r w:rsidR="006B6B44" w:rsidRPr="006955AF">
        <w:rPr>
          <w:rFonts w:ascii="Times" w:hAnsi="Times" w:cstheme="minorHAnsi"/>
        </w:rPr>
        <w:t xml:space="preserve">in </w:t>
      </w:r>
      <w:r w:rsidRPr="006955AF">
        <w:rPr>
          <w:rFonts w:ascii="Times" w:hAnsi="Times" w:cstheme="minorHAnsi"/>
          <w:i/>
        </w:rPr>
        <w:t>Ancient Order of Foresters in Victoria Friendly Society Ltd v Lifeplan Australia Friendly Society Ltd</w:t>
      </w:r>
      <w:r w:rsidR="0074355C" w:rsidRPr="006955AF">
        <w:rPr>
          <w:rStyle w:val="FootnoteReference"/>
          <w:rFonts w:cstheme="minorHAnsi"/>
        </w:rPr>
        <w:footnoteReference w:id="86"/>
      </w:r>
      <w:r w:rsidR="00AF5204" w:rsidRPr="006955AF">
        <w:rPr>
          <w:rFonts w:ascii="Times" w:hAnsi="Times" w:cstheme="minorHAnsi"/>
        </w:rPr>
        <w:t xml:space="preserve"> </w:t>
      </w:r>
      <w:r w:rsidR="003B0037" w:rsidRPr="006955AF">
        <w:rPr>
          <w:rFonts w:ascii="Times" w:hAnsi="Times" w:cstheme="minorHAnsi"/>
        </w:rPr>
        <w:t xml:space="preserve">shows </w:t>
      </w:r>
      <w:r w:rsidR="00AB79FC" w:rsidRPr="006955AF">
        <w:rPr>
          <w:rFonts w:ascii="Times" w:hAnsi="Times" w:cstheme="minorHAnsi"/>
        </w:rPr>
        <w:t>greater judicial willingness to expl</w:t>
      </w:r>
      <w:r w:rsidR="00032807" w:rsidRPr="006955AF">
        <w:rPr>
          <w:rFonts w:ascii="Times" w:hAnsi="Times" w:cstheme="minorHAnsi"/>
        </w:rPr>
        <w:t>ain</w:t>
      </w:r>
      <w:r w:rsidR="00AB79FC" w:rsidRPr="006955AF">
        <w:rPr>
          <w:rFonts w:ascii="Times" w:hAnsi="Times" w:cstheme="minorHAnsi"/>
        </w:rPr>
        <w:t xml:space="preserve"> the factors underlying the </w:t>
      </w:r>
      <w:r w:rsidR="000749F7" w:rsidRPr="006955AF">
        <w:rPr>
          <w:rFonts w:ascii="Times" w:hAnsi="Times" w:cstheme="minorHAnsi"/>
        </w:rPr>
        <w:t xml:space="preserve">exercise of </w:t>
      </w:r>
      <w:r w:rsidR="00AB79FC" w:rsidRPr="006955AF">
        <w:rPr>
          <w:rFonts w:ascii="Times" w:hAnsi="Times" w:cstheme="minorHAnsi"/>
        </w:rPr>
        <w:t>discretion.</w:t>
      </w:r>
    </w:p>
    <w:p w14:paraId="5E701485" w14:textId="77777777" w:rsidR="002652C7" w:rsidRPr="006955AF" w:rsidRDefault="002652C7" w:rsidP="00A217B5">
      <w:pPr>
        <w:spacing w:line="360" w:lineRule="auto"/>
        <w:jc w:val="both"/>
        <w:rPr>
          <w:rFonts w:ascii="Times" w:hAnsi="Times" w:cstheme="minorHAnsi"/>
        </w:rPr>
      </w:pPr>
    </w:p>
    <w:p w14:paraId="0B655644" w14:textId="1B2BF691" w:rsidR="009947E8" w:rsidRPr="006955AF" w:rsidRDefault="00B4046B" w:rsidP="00A217B5">
      <w:pPr>
        <w:spacing w:line="360" w:lineRule="auto"/>
        <w:jc w:val="both"/>
        <w:rPr>
          <w:rFonts w:ascii="Times" w:hAnsi="Times" w:cstheme="minorHAnsi"/>
        </w:rPr>
      </w:pPr>
      <w:r w:rsidRPr="006955AF">
        <w:rPr>
          <w:rFonts w:ascii="Times" w:hAnsi="Times" w:cstheme="minorHAnsi"/>
        </w:rPr>
        <w:t xml:space="preserve">Lifeplan provided funeral products under which a customer would make payments towards a fund that would be paid on his death to a funeral director to meet the expenses of a pre-arranged funeral. </w:t>
      </w:r>
      <w:r w:rsidR="008446E6">
        <w:rPr>
          <w:rFonts w:ascii="Times" w:hAnsi="Times" w:cstheme="minorHAnsi"/>
        </w:rPr>
        <w:t xml:space="preserve"> </w:t>
      </w:r>
      <w:r w:rsidRPr="006955AF">
        <w:rPr>
          <w:rFonts w:ascii="Times" w:hAnsi="Times" w:cstheme="minorHAnsi"/>
        </w:rPr>
        <w:t>Senior managers of Lifeplan approached its competitor</w:t>
      </w:r>
      <w:r w:rsidR="004C2CC9" w:rsidRPr="006955AF">
        <w:rPr>
          <w:rFonts w:ascii="Times" w:hAnsi="Times" w:cstheme="minorHAnsi"/>
        </w:rPr>
        <w:t>, Foresters,</w:t>
      </w:r>
      <w:r w:rsidRPr="006955AF">
        <w:rPr>
          <w:rFonts w:ascii="Times" w:hAnsi="Times" w:cstheme="minorHAnsi"/>
        </w:rPr>
        <w:t xml:space="preserve"> whose business was of a much smaller scale, with a five-year plan to </w:t>
      </w:r>
      <w:r w:rsidR="0061555C" w:rsidRPr="006955AF">
        <w:rPr>
          <w:rFonts w:ascii="Times" w:hAnsi="Times" w:cstheme="minorHAnsi"/>
        </w:rPr>
        <w:t>divert</w:t>
      </w:r>
      <w:r w:rsidRPr="006955AF">
        <w:rPr>
          <w:rFonts w:ascii="Times" w:hAnsi="Times" w:cstheme="minorHAnsi"/>
        </w:rPr>
        <w:t xml:space="preserve"> existing </w:t>
      </w:r>
      <w:r w:rsidR="00E651ED" w:rsidRPr="006955AF">
        <w:rPr>
          <w:rFonts w:ascii="Times" w:hAnsi="Times" w:cstheme="minorHAnsi"/>
        </w:rPr>
        <w:t xml:space="preserve">funeral products </w:t>
      </w:r>
      <w:r w:rsidRPr="006955AF">
        <w:rPr>
          <w:rFonts w:ascii="Times" w:hAnsi="Times" w:cstheme="minorHAnsi"/>
        </w:rPr>
        <w:t>business of Lifeplan</w:t>
      </w:r>
      <w:r w:rsidR="0061555C" w:rsidRPr="006955AF">
        <w:rPr>
          <w:rFonts w:ascii="Times" w:hAnsi="Times" w:cstheme="minorHAnsi"/>
        </w:rPr>
        <w:t xml:space="preserve"> to Foresters</w:t>
      </w:r>
      <w:r w:rsidRPr="006955AF">
        <w:rPr>
          <w:rFonts w:ascii="Times" w:hAnsi="Times" w:cstheme="minorHAnsi"/>
        </w:rPr>
        <w:t>.</w:t>
      </w:r>
      <w:r w:rsidR="00E651ED" w:rsidRPr="006955AF">
        <w:rPr>
          <w:rFonts w:ascii="Times" w:hAnsi="Times" w:cstheme="minorHAnsi"/>
        </w:rPr>
        <w:t xml:space="preserve"> </w:t>
      </w:r>
      <w:r w:rsidR="008446E6">
        <w:rPr>
          <w:rFonts w:ascii="Times" w:hAnsi="Times" w:cstheme="minorHAnsi"/>
        </w:rPr>
        <w:t xml:space="preserve"> </w:t>
      </w:r>
      <w:r w:rsidR="00127676" w:rsidRPr="006955AF">
        <w:rPr>
          <w:rFonts w:ascii="Times" w:hAnsi="Times" w:cstheme="minorHAnsi"/>
        </w:rPr>
        <w:t xml:space="preserve">The managers were held </w:t>
      </w:r>
      <w:r w:rsidR="004D6BF6" w:rsidRPr="006955AF">
        <w:rPr>
          <w:rFonts w:ascii="Times" w:hAnsi="Times" w:cstheme="minorHAnsi"/>
        </w:rPr>
        <w:t xml:space="preserve">liable for breach of </w:t>
      </w:r>
      <w:r w:rsidR="00127676" w:rsidRPr="006955AF">
        <w:rPr>
          <w:rFonts w:ascii="Times" w:hAnsi="Times" w:cstheme="minorHAnsi"/>
        </w:rPr>
        <w:t xml:space="preserve">fiduciary duty and Foresters was liable for knowingly assisting the breach. </w:t>
      </w:r>
      <w:r w:rsidR="008446E6">
        <w:rPr>
          <w:rFonts w:ascii="Times" w:hAnsi="Times" w:cstheme="minorHAnsi"/>
        </w:rPr>
        <w:t xml:space="preserve"> </w:t>
      </w:r>
      <w:r w:rsidR="00397F71" w:rsidRPr="006955AF">
        <w:rPr>
          <w:rFonts w:ascii="Times" w:hAnsi="Times" w:cstheme="minorHAnsi"/>
        </w:rPr>
        <w:t xml:space="preserve">Foresters argued that it should only be required to account for profits </w:t>
      </w:r>
      <w:r w:rsidR="00AF6927" w:rsidRPr="006955AF">
        <w:rPr>
          <w:rFonts w:ascii="Times" w:hAnsi="Times" w:cstheme="minorHAnsi"/>
        </w:rPr>
        <w:t xml:space="preserve">directly </w:t>
      </w:r>
      <w:r w:rsidR="00397F71" w:rsidRPr="006955AF">
        <w:rPr>
          <w:rFonts w:ascii="Times" w:hAnsi="Times" w:cstheme="minorHAnsi"/>
        </w:rPr>
        <w:t xml:space="preserve">resulting from </w:t>
      </w:r>
      <w:r w:rsidR="00AF6927" w:rsidRPr="006955AF">
        <w:rPr>
          <w:rFonts w:ascii="Times" w:hAnsi="Times" w:cstheme="minorHAnsi"/>
        </w:rPr>
        <w:t xml:space="preserve">its </w:t>
      </w:r>
      <w:r w:rsidR="00397F71" w:rsidRPr="006955AF">
        <w:rPr>
          <w:rFonts w:ascii="Times" w:hAnsi="Times" w:cstheme="minorHAnsi"/>
        </w:rPr>
        <w:t xml:space="preserve">specific acts of </w:t>
      </w:r>
      <w:r w:rsidR="00AF6927" w:rsidRPr="006955AF">
        <w:rPr>
          <w:rFonts w:ascii="Times" w:hAnsi="Times" w:cstheme="minorHAnsi"/>
        </w:rPr>
        <w:t xml:space="preserve">assistance and not the overall effect of the breach in capturing the business connections of Lifeplan. </w:t>
      </w:r>
      <w:r w:rsidR="008446E6">
        <w:rPr>
          <w:rFonts w:ascii="Times" w:hAnsi="Times" w:cstheme="minorHAnsi"/>
        </w:rPr>
        <w:t xml:space="preserve"> </w:t>
      </w:r>
      <w:r w:rsidR="00AF6927" w:rsidRPr="006955AF">
        <w:rPr>
          <w:rFonts w:ascii="Times" w:hAnsi="Times" w:cstheme="minorHAnsi"/>
        </w:rPr>
        <w:t xml:space="preserve">It also sought to limit recovery to </w:t>
      </w:r>
      <w:r w:rsidR="00397F71" w:rsidRPr="006955AF">
        <w:rPr>
          <w:rFonts w:ascii="Times" w:hAnsi="Times" w:cstheme="minorHAnsi"/>
        </w:rPr>
        <w:t xml:space="preserve">actual profits </w:t>
      </w:r>
      <w:r w:rsidR="00AF6927" w:rsidRPr="006955AF">
        <w:rPr>
          <w:rFonts w:ascii="Times" w:hAnsi="Times" w:cstheme="minorHAnsi"/>
        </w:rPr>
        <w:t xml:space="preserve">already accrued, and not </w:t>
      </w:r>
      <w:r w:rsidR="005E5438" w:rsidRPr="006955AF">
        <w:rPr>
          <w:rFonts w:ascii="Times" w:hAnsi="Times" w:cstheme="minorHAnsi"/>
        </w:rPr>
        <w:t>to account for</w:t>
      </w:r>
      <w:r w:rsidR="00F67E82" w:rsidRPr="006955AF">
        <w:rPr>
          <w:rFonts w:ascii="Times" w:hAnsi="Times" w:cstheme="minorHAnsi"/>
        </w:rPr>
        <w:t xml:space="preserve"> </w:t>
      </w:r>
      <w:r w:rsidR="00AF6927" w:rsidRPr="006955AF">
        <w:rPr>
          <w:rFonts w:ascii="Times" w:hAnsi="Times" w:cstheme="minorHAnsi"/>
        </w:rPr>
        <w:t>the net present value of the funeral bond contracts</w:t>
      </w:r>
      <w:r w:rsidR="005E5438" w:rsidRPr="006955AF">
        <w:rPr>
          <w:rFonts w:ascii="Times" w:hAnsi="Times" w:cstheme="minorHAnsi"/>
        </w:rPr>
        <w:t xml:space="preserve"> which were yet to be performed</w:t>
      </w:r>
      <w:r w:rsidR="00AF6927" w:rsidRPr="006955AF">
        <w:rPr>
          <w:rFonts w:ascii="Times" w:hAnsi="Times" w:cstheme="minorHAnsi"/>
        </w:rPr>
        <w:t>.</w:t>
      </w:r>
      <w:r w:rsidR="00397F71" w:rsidRPr="006955AF">
        <w:rPr>
          <w:rFonts w:ascii="Times" w:hAnsi="Times" w:cstheme="minorHAnsi"/>
        </w:rPr>
        <w:t xml:space="preserve"> </w:t>
      </w:r>
      <w:r w:rsidR="008446E6">
        <w:rPr>
          <w:rFonts w:ascii="Times" w:hAnsi="Times" w:cstheme="minorHAnsi"/>
        </w:rPr>
        <w:t xml:space="preserve"> </w:t>
      </w:r>
      <w:r w:rsidR="00873C08" w:rsidRPr="006955AF">
        <w:rPr>
          <w:rFonts w:ascii="Times" w:hAnsi="Times" w:cstheme="minorHAnsi"/>
        </w:rPr>
        <w:t xml:space="preserve">Since </w:t>
      </w:r>
      <w:r w:rsidR="00D57254" w:rsidRPr="006955AF">
        <w:rPr>
          <w:rFonts w:ascii="Times" w:hAnsi="Times" w:cstheme="minorHAnsi"/>
        </w:rPr>
        <w:t xml:space="preserve">the </w:t>
      </w:r>
      <w:r w:rsidR="007B0FE4" w:rsidRPr="006955AF">
        <w:rPr>
          <w:rFonts w:ascii="Times" w:hAnsi="Times" w:cstheme="minorHAnsi"/>
        </w:rPr>
        <w:t>majority</w:t>
      </w:r>
      <w:r w:rsidR="00D57254" w:rsidRPr="006955AF">
        <w:rPr>
          <w:rFonts w:ascii="Times" w:hAnsi="Times" w:cstheme="minorHAnsi"/>
        </w:rPr>
        <w:t xml:space="preserve"> decided, </w:t>
      </w:r>
      <w:r w:rsidR="007B0FE4" w:rsidRPr="006955AF">
        <w:rPr>
          <w:rFonts w:ascii="Times" w:hAnsi="Times" w:cstheme="minorHAnsi"/>
        </w:rPr>
        <w:t>either</w:t>
      </w:r>
      <w:r w:rsidR="00D57254" w:rsidRPr="006955AF">
        <w:rPr>
          <w:rFonts w:ascii="Times" w:hAnsi="Times" w:cstheme="minorHAnsi"/>
        </w:rPr>
        <w:t xml:space="preserve"> on principle</w:t>
      </w:r>
      <w:r w:rsidR="00D57254" w:rsidRPr="006955AF">
        <w:rPr>
          <w:rStyle w:val="FootnoteReference"/>
          <w:rFonts w:cstheme="minorHAnsi"/>
        </w:rPr>
        <w:footnoteReference w:id="87"/>
      </w:r>
      <w:r w:rsidR="00D57254" w:rsidRPr="006955AF">
        <w:rPr>
          <w:rFonts w:ascii="Times" w:hAnsi="Times" w:cstheme="minorHAnsi"/>
        </w:rPr>
        <w:t xml:space="preserve"> or on the facts</w:t>
      </w:r>
      <w:r w:rsidR="00080A7A" w:rsidRPr="006955AF">
        <w:rPr>
          <w:rStyle w:val="FootnoteReference"/>
          <w:rFonts w:cstheme="minorHAnsi"/>
        </w:rPr>
        <w:footnoteReference w:id="88"/>
      </w:r>
      <w:r w:rsidR="00D57254" w:rsidRPr="006955AF">
        <w:rPr>
          <w:rFonts w:ascii="Times" w:hAnsi="Times" w:cstheme="minorHAnsi"/>
        </w:rPr>
        <w:t xml:space="preserve">, </w:t>
      </w:r>
      <w:r w:rsidR="00F14425" w:rsidRPr="006955AF">
        <w:rPr>
          <w:rFonts w:ascii="Times" w:hAnsi="Times" w:cstheme="minorHAnsi"/>
        </w:rPr>
        <w:t xml:space="preserve">that </w:t>
      </w:r>
      <w:r w:rsidR="007B0FE4" w:rsidRPr="006955AF">
        <w:rPr>
          <w:rFonts w:ascii="Times" w:hAnsi="Times" w:cstheme="minorHAnsi"/>
        </w:rPr>
        <w:t>Foresters</w:t>
      </w:r>
      <w:r w:rsidR="00D57254" w:rsidRPr="006955AF">
        <w:rPr>
          <w:rFonts w:ascii="Times" w:hAnsi="Times" w:cstheme="minorHAnsi"/>
        </w:rPr>
        <w:t xml:space="preserve"> was </w:t>
      </w:r>
      <w:r w:rsidR="00080A7A" w:rsidRPr="006955AF">
        <w:rPr>
          <w:rFonts w:ascii="Times" w:hAnsi="Times" w:cstheme="minorHAnsi"/>
        </w:rPr>
        <w:t xml:space="preserve">liable in the same way </w:t>
      </w:r>
      <w:r w:rsidR="00D57254" w:rsidRPr="006955AF">
        <w:rPr>
          <w:rFonts w:ascii="Times" w:hAnsi="Times" w:cstheme="minorHAnsi"/>
        </w:rPr>
        <w:t xml:space="preserve">as </w:t>
      </w:r>
      <w:r w:rsidR="00080A7A" w:rsidRPr="006955AF">
        <w:rPr>
          <w:rFonts w:ascii="Times" w:hAnsi="Times" w:cstheme="minorHAnsi"/>
        </w:rPr>
        <w:t>the errant fiduciaries</w:t>
      </w:r>
      <w:r w:rsidR="00873C08" w:rsidRPr="006955AF">
        <w:rPr>
          <w:rFonts w:ascii="Times" w:hAnsi="Times" w:cstheme="minorHAnsi"/>
        </w:rPr>
        <w:t xml:space="preserve">, the principles stated in </w:t>
      </w:r>
      <w:r w:rsidR="00D57254" w:rsidRPr="006955AF">
        <w:rPr>
          <w:rFonts w:ascii="Times" w:hAnsi="Times" w:cstheme="minorHAnsi"/>
          <w:i/>
        </w:rPr>
        <w:t xml:space="preserve">Lifeplan </w:t>
      </w:r>
      <w:r w:rsidR="005E5438" w:rsidRPr="006955AF">
        <w:rPr>
          <w:rFonts w:ascii="Times" w:hAnsi="Times" w:cstheme="minorHAnsi"/>
        </w:rPr>
        <w:t xml:space="preserve">and applied to an assistant </w:t>
      </w:r>
      <w:r w:rsidR="00873C08" w:rsidRPr="006955AF">
        <w:rPr>
          <w:rFonts w:ascii="Times" w:hAnsi="Times" w:cstheme="minorHAnsi"/>
        </w:rPr>
        <w:t xml:space="preserve">are </w:t>
      </w:r>
      <w:r w:rsidR="005E5438" w:rsidRPr="006955AF">
        <w:rPr>
          <w:rFonts w:ascii="Times" w:hAnsi="Times" w:cstheme="minorHAnsi"/>
        </w:rPr>
        <w:t xml:space="preserve">also </w:t>
      </w:r>
      <w:r w:rsidR="00873C08" w:rsidRPr="006955AF">
        <w:rPr>
          <w:rFonts w:ascii="Times" w:hAnsi="Times" w:cstheme="minorHAnsi"/>
        </w:rPr>
        <w:t>applicable to an account of profits by a</w:t>
      </w:r>
      <w:r w:rsidR="005E5438" w:rsidRPr="006955AF">
        <w:rPr>
          <w:rFonts w:ascii="Times" w:hAnsi="Times" w:cstheme="minorHAnsi"/>
        </w:rPr>
        <w:t xml:space="preserve">n errant trustee (or other </w:t>
      </w:r>
      <w:r w:rsidR="00873C08" w:rsidRPr="006955AF">
        <w:rPr>
          <w:rFonts w:ascii="Times" w:hAnsi="Times" w:cstheme="minorHAnsi"/>
        </w:rPr>
        <w:t>fiduciary</w:t>
      </w:r>
      <w:r w:rsidR="005E5438" w:rsidRPr="006955AF">
        <w:rPr>
          <w:rFonts w:ascii="Times" w:hAnsi="Times" w:cstheme="minorHAnsi"/>
        </w:rPr>
        <w:t>)</w:t>
      </w:r>
      <w:r w:rsidR="00873C08" w:rsidRPr="006955AF">
        <w:rPr>
          <w:rFonts w:ascii="Times" w:hAnsi="Times" w:cstheme="minorHAnsi"/>
        </w:rPr>
        <w:t>.</w:t>
      </w:r>
      <w:r w:rsidR="00DB75B0">
        <w:rPr>
          <w:rFonts w:ascii="Times" w:hAnsi="Times" w:cstheme="minorHAnsi"/>
        </w:rPr>
        <w:t xml:space="preserve">  </w:t>
      </w:r>
      <w:r w:rsidR="00DB75B0" w:rsidRPr="008524B7">
        <w:rPr>
          <w:rFonts w:ascii="Times" w:hAnsi="Times" w:cstheme="minorHAnsi"/>
        </w:rPr>
        <w:t>The majority held that Forresters’ extraordinary increase in profits arose from the breach, and hence it was not inequitable to require it to account for the net present value of the future benefits likely to arise from the business.</w:t>
      </w:r>
      <w:r w:rsidR="00DB75B0" w:rsidRPr="008524B7">
        <w:rPr>
          <w:rStyle w:val="FootnoteReference"/>
          <w:rFonts w:cstheme="minorHAnsi"/>
        </w:rPr>
        <w:footnoteReference w:id="89"/>
      </w:r>
    </w:p>
    <w:p w14:paraId="5DF719F0" w14:textId="6BAAEE6B" w:rsidR="004F61C3" w:rsidRPr="006955AF" w:rsidRDefault="004F61C3" w:rsidP="00A217B5">
      <w:pPr>
        <w:spacing w:line="360" w:lineRule="auto"/>
        <w:jc w:val="both"/>
        <w:rPr>
          <w:rFonts w:ascii="Times" w:hAnsi="Times" w:cstheme="minorHAnsi"/>
        </w:rPr>
      </w:pPr>
    </w:p>
    <w:p w14:paraId="5D1C0321" w14:textId="7EC9697B" w:rsidR="00394DC5" w:rsidRPr="006955AF" w:rsidRDefault="000749F7" w:rsidP="00A217B5">
      <w:pPr>
        <w:spacing w:line="360" w:lineRule="auto"/>
        <w:jc w:val="both"/>
        <w:rPr>
          <w:rFonts w:ascii="Times" w:hAnsi="Times" w:cstheme="minorHAnsi"/>
        </w:rPr>
      </w:pPr>
      <w:r w:rsidRPr="006955AF">
        <w:rPr>
          <w:rFonts w:ascii="Times" w:hAnsi="Times" w:cstheme="minorHAnsi"/>
        </w:rPr>
        <w:lastRenderedPageBreak/>
        <w:t>The majority</w:t>
      </w:r>
      <w:r w:rsidR="007B0FE4" w:rsidRPr="006955AF">
        <w:rPr>
          <w:rFonts w:ascii="Times" w:hAnsi="Times" w:cstheme="minorHAnsi"/>
        </w:rPr>
        <w:t xml:space="preserve"> </w:t>
      </w:r>
      <w:r w:rsidR="003C1651" w:rsidRPr="006955AF">
        <w:rPr>
          <w:rFonts w:ascii="Times" w:hAnsi="Times" w:cstheme="minorHAnsi"/>
        </w:rPr>
        <w:t xml:space="preserve">adopted </w:t>
      </w:r>
      <w:r w:rsidR="00FC5FE4" w:rsidRPr="006955AF">
        <w:rPr>
          <w:rFonts w:ascii="Times" w:hAnsi="Times" w:cstheme="minorHAnsi"/>
        </w:rPr>
        <w:t xml:space="preserve">a </w:t>
      </w:r>
      <w:r w:rsidR="003C1651" w:rsidRPr="006955AF">
        <w:rPr>
          <w:rFonts w:ascii="Times" w:hAnsi="Times" w:cstheme="minorHAnsi"/>
        </w:rPr>
        <w:t>two</w:t>
      </w:r>
      <w:r w:rsidR="00FC5FE4" w:rsidRPr="006955AF">
        <w:rPr>
          <w:rFonts w:ascii="Times" w:hAnsi="Times" w:cstheme="minorHAnsi"/>
        </w:rPr>
        <w:t>-</w:t>
      </w:r>
      <w:r w:rsidR="003C1651" w:rsidRPr="006955AF">
        <w:rPr>
          <w:rFonts w:ascii="Times" w:hAnsi="Times" w:cstheme="minorHAnsi"/>
        </w:rPr>
        <w:t xml:space="preserve">stage analysis: </w:t>
      </w:r>
      <w:r w:rsidR="00DF6C52">
        <w:rPr>
          <w:rFonts w:ascii="Times" w:hAnsi="Times" w:cstheme="minorHAnsi"/>
        </w:rPr>
        <w:t xml:space="preserve"> </w:t>
      </w:r>
      <w:r w:rsidR="00BA026E" w:rsidRPr="006955AF">
        <w:rPr>
          <w:rFonts w:ascii="Times" w:hAnsi="Times" w:cstheme="minorHAnsi"/>
        </w:rPr>
        <w:t xml:space="preserve">establishment of </w:t>
      </w:r>
      <w:r w:rsidR="007B0FE4" w:rsidRPr="006955AF">
        <w:rPr>
          <w:rFonts w:ascii="Times" w:hAnsi="Times" w:cstheme="minorHAnsi"/>
        </w:rPr>
        <w:t xml:space="preserve">causation </w:t>
      </w:r>
      <w:r w:rsidR="00CC6D2F" w:rsidRPr="006955AF">
        <w:rPr>
          <w:rFonts w:ascii="Times" w:hAnsi="Times" w:cstheme="minorHAnsi"/>
        </w:rPr>
        <w:t xml:space="preserve">between the wrongdoing and the profit, </w:t>
      </w:r>
      <w:r w:rsidR="007B0FE4" w:rsidRPr="006955AF">
        <w:rPr>
          <w:rFonts w:ascii="Times" w:hAnsi="Times" w:cstheme="minorHAnsi"/>
        </w:rPr>
        <w:t xml:space="preserve">and quantification of the </w:t>
      </w:r>
      <w:r w:rsidR="00CC6D2F" w:rsidRPr="006955AF">
        <w:rPr>
          <w:rFonts w:ascii="Times" w:hAnsi="Times" w:cstheme="minorHAnsi"/>
        </w:rPr>
        <w:t>benefits</w:t>
      </w:r>
      <w:r w:rsidR="007B0FE4" w:rsidRPr="006955AF">
        <w:rPr>
          <w:rFonts w:ascii="Times" w:hAnsi="Times" w:cstheme="minorHAnsi"/>
        </w:rPr>
        <w:t xml:space="preserve"> to be disgorged.</w:t>
      </w:r>
      <w:r w:rsidR="00727791" w:rsidRPr="006955AF">
        <w:rPr>
          <w:rFonts w:ascii="Times" w:hAnsi="Times" w:cstheme="minorHAnsi"/>
        </w:rPr>
        <w:t xml:space="preserve"> </w:t>
      </w:r>
      <w:r w:rsidR="008446E6">
        <w:rPr>
          <w:rFonts w:ascii="Times" w:hAnsi="Times" w:cstheme="minorHAnsi"/>
        </w:rPr>
        <w:t xml:space="preserve"> </w:t>
      </w:r>
      <w:r w:rsidR="00FC5FE4" w:rsidRPr="006955AF">
        <w:rPr>
          <w:rFonts w:ascii="Times" w:hAnsi="Times" w:cstheme="minorHAnsi"/>
        </w:rPr>
        <w:t xml:space="preserve">On causation, </w:t>
      </w:r>
      <w:r w:rsidR="00B33E2E" w:rsidRPr="006955AF">
        <w:rPr>
          <w:rFonts w:ascii="Times" w:hAnsi="Times" w:cstheme="minorHAnsi"/>
        </w:rPr>
        <w:t>Kiefel C</w:t>
      </w:r>
      <w:r w:rsidR="00BC4810">
        <w:rPr>
          <w:rFonts w:ascii="Times" w:hAnsi="Times" w:cstheme="minorHAnsi"/>
        </w:rPr>
        <w:t>.</w:t>
      </w:r>
      <w:r w:rsidR="00B33E2E" w:rsidRPr="006955AF">
        <w:rPr>
          <w:rFonts w:ascii="Times" w:hAnsi="Times" w:cstheme="minorHAnsi"/>
        </w:rPr>
        <w:t>J</w:t>
      </w:r>
      <w:r w:rsidR="00BC4810">
        <w:rPr>
          <w:rFonts w:ascii="Times" w:hAnsi="Times" w:cstheme="minorHAnsi"/>
        </w:rPr>
        <w:t>.</w:t>
      </w:r>
      <w:r w:rsidR="00B33E2E" w:rsidRPr="006955AF">
        <w:rPr>
          <w:rFonts w:ascii="Times" w:hAnsi="Times" w:cstheme="minorHAnsi"/>
        </w:rPr>
        <w:t>, Keane and Edelman JJ</w:t>
      </w:r>
      <w:r w:rsidR="00BC4810">
        <w:rPr>
          <w:rFonts w:ascii="Times" w:hAnsi="Times" w:cstheme="minorHAnsi"/>
        </w:rPr>
        <w:t>.</w:t>
      </w:r>
      <w:r w:rsidR="00B33E2E" w:rsidRPr="006955AF">
        <w:rPr>
          <w:rFonts w:ascii="Times" w:hAnsi="Times" w:cstheme="minorHAnsi"/>
        </w:rPr>
        <w:t xml:space="preserve"> </w:t>
      </w:r>
      <w:r w:rsidR="00747E44" w:rsidRPr="006955AF">
        <w:rPr>
          <w:rFonts w:ascii="Times" w:hAnsi="Times" w:cstheme="minorHAnsi"/>
        </w:rPr>
        <w:t xml:space="preserve">held </w:t>
      </w:r>
      <w:r w:rsidR="0097756E" w:rsidRPr="006955AF">
        <w:rPr>
          <w:rFonts w:ascii="Times" w:hAnsi="Times" w:cstheme="minorHAnsi"/>
        </w:rPr>
        <w:t xml:space="preserve">that </w:t>
      </w:r>
      <w:r w:rsidR="00FC5FE4" w:rsidRPr="006955AF">
        <w:rPr>
          <w:rFonts w:ascii="Times" w:hAnsi="Times" w:cstheme="minorHAnsi"/>
        </w:rPr>
        <w:t xml:space="preserve">as against a dishonest fiduciary, </w:t>
      </w:r>
      <w:r w:rsidR="001A7AA8" w:rsidRPr="006955AF">
        <w:rPr>
          <w:rFonts w:ascii="Times" w:hAnsi="Times" w:cstheme="minorHAnsi"/>
        </w:rPr>
        <w:t xml:space="preserve">it </w:t>
      </w:r>
      <w:r w:rsidR="004D5D6E" w:rsidRPr="006955AF">
        <w:rPr>
          <w:rFonts w:ascii="Times" w:hAnsi="Times" w:cstheme="minorHAnsi"/>
        </w:rPr>
        <w:t xml:space="preserve">sufficed </w:t>
      </w:r>
      <w:r w:rsidR="001A7AA8" w:rsidRPr="006955AF">
        <w:rPr>
          <w:rFonts w:ascii="Times" w:hAnsi="Times" w:cstheme="minorHAnsi"/>
        </w:rPr>
        <w:t>to show that but for the wrongdoing</w:t>
      </w:r>
      <w:r w:rsidR="0097756E" w:rsidRPr="006955AF">
        <w:rPr>
          <w:rFonts w:ascii="Times" w:hAnsi="Times" w:cstheme="minorHAnsi"/>
        </w:rPr>
        <w:t xml:space="preserve">, the profit would not have been made, </w:t>
      </w:r>
      <w:r w:rsidR="00FC5FE4" w:rsidRPr="006955AF">
        <w:rPr>
          <w:rFonts w:ascii="Times" w:hAnsi="Times" w:cstheme="minorHAnsi"/>
        </w:rPr>
        <w:t>or</w:t>
      </w:r>
      <w:r w:rsidR="0097756E" w:rsidRPr="006955AF">
        <w:rPr>
          <w:rFonts w:ascii="Times" w:hAnsi="Times" w:cstheme="minorHAnsi"/>
        </w:rPr>
        <w:t xml:space="preserve"> that the wrongdoing</w:t>
      </w:r>
      <w:r w:rsidR="00815CD2" w:rsidRPr="006955AF">
        <w:rPr>
          <w:rFonts w:ascii="Times" w:hAnsi="Times" w:cstheme="minorHAnsi"/>
        </w:rPr>
        <w:t xml:space="preserve"> contributed to </w:t>
      </w:r>
      <w:r w:rsidR="00C27E56" w:rsidRPr="006955AF">
        <w:rPr>
          <w:rFonts w:ascii="Times" w:hAnsi="Times" w:cstheme="minorHAnsi"/>
        </w:rPr>
        <w:t xml:space="preserve">the </w:t>
      </w:r>
      <w:r w:rsidR="00815CD2" w:rsidRPr="006955AF">
        <w:rPr>
          <w:rFonts w:ascii="Times" w:hAnsi="Times" w:cstheme="minorHAnsi"/>
        </w:rPr>
        <w:t>profit</w:t>
      </w:r>
      <w:r w:rsidR="00C27E56" w:rsidRPr="006955AF">
        <w:rPr>
          <w:rFonts w:ascii="Times" w:hAnsi="Times" w:cstheme="minorHAnsi"/>
        </w:rPr>
        <w:t xml:space="preserve">, even though there </w:t>
      </w:r>
      <w:r w:rsidR="00CC6D2F" w:rsidRPr="006955AF">
        <w:rPr>
          <w:rFonts w:ascii="Times" w:hAnsi="Times" w:cstheme="minorHAnsi"/>
        </w:rPr>
        <w:t>we</w:t>
      </w:r>
      <w:r w:rsidR="00C27E56" w:rsidRPr="006955AF">
        <w:rPr>
          <w:rFonts w:ascii="Times" w:hAnsi="Times" w:cstheme="minorHAnsi"/>
        </w:rPr>
        <w:t xml:space="preserve">re other contributing </w:t>
      </w:r>
      <w:r w:rsidR="00815CD2" w:rsidRPr="006955AF">
        <w:rPr>
          <w:rFonts w:ascii="Times" w:hAnsi="Times" w:cstheme="minorHAnsi"/>
        </w:rPr>
        <w:t>factors</w:t>
      </w:r>
      <w:r w:rsidR="00C27E56" w:rsidRPr="006955AF">
        <w:rPr>
          <w:rFonts w:ascii="Times" w:hAnsi="Times" w:cstheme="minorHAnsi"/>
        </w:rPr>
        <w:t>.</w:t>
      </w:r>
      <w:r w:rsidR="00394DC5" w:rsidRPr="006955AF">
        <w:rPr>
          <w:rStyle w:val="FootnoteReference"/>
          <w:rFonts w:cstheme="minorHAnsi"/>
        </w:rPr>
        <w:footnoteReference w:id="90"/>
      </w:r>
      <w:r w:rsidR="00C27E56" w:rsidRPr="006955AF">
        <w:rPr>
          <w:rFonts w:ascii="Times" w:hAnsi="Times" w:cstheme="minorHAnsi"/>
        </w:rPr>
        <w:t xml:space="preserve"> </w:t>
      </w:r>
      <w:r w:rsidR="006955AF">
        <w:rPr>
          <w:rFonts w:ascii="Times" w:hAnsi="Times" w:cstheme="minorHAnsi"/>
        </w:rPr>
        <w:t>T</w:t>
      </w:r>
      <w:r w:rsidR="00C27E56" w:rsidRPr="006955AF">
        <w:rPr>
          <w:rFonts w:ascii="Times" w:hAnsi="Times" w:cstheme="minorHAnsi"/>
        </w:rPr>
        <w:t>he</w:t>
      </w:r>
      <w:r w:rsidR="00B33E2E" w:rsidRPr="006955AF">
        <w:rPr>
          <w:rFonts w:ascii="Times" w:hAnsi="Times" w:cstheme="minorHAnsi"/>
        </w:rPr>
        <w:t xml:space="preserve"> judges</w:t>
      </w:r>
      <w:r w:rsidR="00822AC1" w:rsidRPr="006955AF">
        <w:rPr>
          <w:rFonts w:ascii="Times" w:hAnsi="Times" w:cstheme="minorHAnsi"/>
        </w:rPr>
        <w:t xml:space="preserve"> were</w:t>
      </w:r>
      <w:r w:rsidR="00C27E56" w:rsidRPr="006955AF">
        <w:rPr>
          <w:rFonts w:ascii="Times" w:hAnsi="Times" w:cstheme="minorHAnsi"/>
        </w:rPr>
        <w:t xml:space="preserve"> silent as to the position of good faith fiduciaries. </w:t>
      </w:r>
      <w:r w:rsidR="008446E6">
        <w:rPr>
          <w:rFonts w:ascii="Times" w:hAnsi="Times" w:cstheme="minorHAnsi"/>
        </w:rPr>
        <w:t xml:space="preserve"> </w:t>
      </w:r>
      <w:r w:rsidR="00822AC1" w:rsidRPr="006955AF">
        <w:rPr>
          <w:rFonts w:ascii="Times" w:hAnsi="Times" w:cstheme="minorHAnsi"/>
        </w:rPr>
        <w:t>Furthermore</w:t>
      </w:r>
      <w:r w:rsidR="00C27E56" w:rsidRPr="006955AF">
        <w:rPr>
          <w:rFonts w:ascii="Times" w:hAnsi="Times" w:cstheme="minorHAnsi"/>
        </w:rPr>
        <w:t xml:space="preserve">, </w:t>
      </w:r>
      <w:r w:rsidR="00394DC5" w:rsidRPr="006955AF">
        <w:rPr>
          <w:rFonts w:ascii="Times" w:hAnsi="Times" w:cstheme="minorHAnsi"/>
        </w:rPr>
        <w:t xml:space="preserve">it </w:t>
      </w:r>
      <w:r w:rsidR="00822AC1" w:rsidRPr="006955AF">
        <w:rPr>
          <w:rFonts w:ascii="Times" w:hAnsi="Times" w:cstheme="minorHAnsi"/>
        </w:rPr>
        <w:t>wa</w:t>
      </w:r>
      <w:r w:rsidR="00394DC5" w:rsidRPr="006955AF">
        <w:rPr>
          <w:rFonts w:ascii="Times" w:hAnsi="Times" w:cstheme="minorHAnsi"/>
        </w:rPr>
        <w:t>s not open to a dishonest fiduciary to argue</w:t>
      </w:r>
      <w:r w:rsidR="00C532C7" w:rsidRPr="006955AF">
        <w:rPr>
          <w:rFonts w:ascii="Times" w:hAnsi="Times" w:cstheme="minorHAnsi"/>
        </w:rPr>
        <w:t xml:space="preserve"> that but for his </w:t>
      </w:r>
      <w:r w:rsidR="00394DC5" w:rsidRPr="006955AF">
        <w:rPr>
          <w:rFonts w:ascii="Times" w:hAnsi="Times" w:cstheme="minorHAnsi"/>
        </w:rPr>
        <w:t>breach</w:t>
      </w:r>
      <w:r w:rsidR="00C532C7" w:rsidRPr="006955AF">
        <w:rPr>
          <w:rFonts w:ascii="Times" w:hAnsi="Times" w:cstheme="minorHAnsi"/>
        </w:rPr>
        <w:t xml:space="preserve">, </w:t>
      </w:r>
      <w:r w:rsidR="00963A4C" w:rsidRPr="006955AF">
        <w:rPr>
          <w:rFonts w:ascii="Times" w:hAnsi="Times" w:cstheme="minorHAnsi"/>
        </w:rPr>
        <w:t xml:space="preserve">the profit would </w:t>
      </w:r>
      <w:r w:rsidR="00B33E2E" w:rsidRPr="006955AF">
        <w:rPr>
          <w:rFonts w:ascii="Times" w:hAnsi="Times" w:cstheme="minorHAnsi"/>
        </w:rPr>
        <w:t xml:space="preserve">still </w:t>
      </w:r>
      <w:r w:rsidR="00394DC5" w:rsidRPr="006955AF">
        <w:rPr>
          <w:rFonts w:ascii="Times" w:hAnsi="Times" w:cstheme="minorHAnsi"/>
        </w:rPr>
        <w:t>have been made.</w:t>
      </w:r>
      <w:r w:rsidR="00727AE7" w:rsidRPr="006955AF">
        <w:rPr>
          <w:rStyle w:val="FootnoteReference"/>
          <w:rFonts w:cstheme="minorHAnsi"/>
        </w:rPr>
        <w:footnoteReference w:id="91"/>
      </w:r>
      <w:r w:rsidR="0097756E" w:rsidRPr="006955AF">
        <w:rPr>
          <w:rFonts w:ascii="Times" w:hAnsi="Times" w:cstheme="minorHAnsi"/>
        </w:rPr>
        <w:t xml:space="preserve"> </w:t>
      </w:r>
      <w:r w:rsidR="00B33E2E" w:rsidRPr="006955AF">
        <w:rPr>
          <w:rFonts w:ascii="Times" w:hAnsi="Times" w:cstheme="minorHAnsi"/>
        </w:rPr>
        <w:t xml:space="preserve">In contrast, </w:t>
      </w:r>
      <w:r w:rsidR="000E5264" w:rsidRPr="006955AF">
        <w:rPr>
          <w:rFonts w:ascii="Times" w:hAnsi="Times" w:cstheme="minorHAnsi"/>
        </w:rPr>
        <w:t>Gageler J</w:t>
      </w:r>
      <w:r w:rsidR="00BC4810">
        <w:rPr>
          <w:rFonts w:ascii="Times" w:hAnsi="Times" w:cstheme="minorHAnsi"/>
        </w:rPr>
        <w:t>.</w:t>
      </w:r>
      <w:r w:rsidR="000E5264" w:rsidRPr="006955AF">
        <w:rPr>
          <w:rFonts w:ascii="Times" w:hAnsi="Times" w:cstheme="minorHAnsi"/>
        </w:rPr>
        <w:t xml:space="preserve"> </w:t>
      </w:r>
      <w:r w:rsidR="003C1651" w:rsidRPr="006955AF">
        <w:rPr>
          <w:rFonts w:ascii="Times" w:hAnsi="Times" w:cstheme="minorHAnsi"/>
        </w:rPr>
        <w:t xml:space="preserve">adhered to the formulation </w:t>
      </w:r>
      <w:r w:rsidR="003A7DFF" w:rsidRPr="006955AF">
        <w:rPr>
          <w:rFonts w:ascii="Times" w:hAnsi="Times" w:cstheme="minorHAnsi"/>
        </w:rPr>
        <w:t xml:space="preserve">laid down for equitable compensation, that is, </w:t>
      </w:r>
      <w:r w:rsidR="00F14425" w:rsidRPr="006955AF">
        <w:rPr>
          <w:rFonts w:ascii="Times" w:hAnsi="Times" w:cstheme="minorHAnsi"/>
        </w:rPr>
        <w:t>common sense causation with the benefit of hindsight</w:t>
      </w:r>
      <w:r w:rsidR="003A7DFF" w:rsidRPr="006955AF">
        <w:rPr>
          <w:rFonts w:ascii="Times" w:hAnsi="Times" w:cstheme="minorHAnsi"/>
        </w:rPr>
        <w:t>.</w:t>
      </w:r>
      <w:r w:rsidR="00F14425" w:rsidRPr="006955AF">
        <w:rPr>
          <w:rStyle w:val="FootnoteReference"/>
          <w:rFonts w:cstheme="minorHAnsi"/>
        </w:rPr>
        <w:footnoteReference w:id="92"/>
      </w:r>
      <w:r w:rsidR="003C1651" w:rsidRPr="006955AF">
        <w:rPr>
          <w:rFonts w:ascii="Times" w:hAnsi="Times" w:cstheme="minorHAnsi"/>
        </w:rPr>
        <w:t xml:space="preserve"> </w:t>
      </w:r>
      <w:r w:rsidR="003A7DFF" w:rsidRPr="006955AF">
        <w:rPr>
          <w:rFonts w:ascii="Times" w:hAnsi="Times" w:cstheme="minorHAnsi"/>
        </w:rPr>
        <w:t xml:space="preserve">His Honour </w:t>
      </w:r>
      <w:r w:rsidR="00BF2C9C">
        <w:rPr>
          <w:rFonts w:ascii="Times" w:hAnsi="Times" w:cstheme="minorHAnsi"/>
        </w:rPr>
        <w:t xml:space="preserve">and Nettle J, dissenting, </w:t>
      </w:r>
      <w:r w:rsidR="003C1651" w:rsidRPr="006955AF">
        <w:rPr>
          <w:rFonts w:ascii="Times" w:hAnsi="Times" w:cstheme="minorHAnsi"/>
        </w:rPr>
        <w:t>reject</w:t>
      </w:r>
      <w:r w:rsidR="003A7DFF" w:rsidRPr="006955AF">
        <w:rPr>
          <w:rFonts w:ascii="Times" w:hAnsi="Times" w:cstheme="minorHAnsi"/>
        </w:rPr>
        <w:t>ed</w:t>
      </w:r>
      <w:r w:rsidR="003C1651" w:rsidRPr="006955AF">
        <w:rPr>
          <w:rFonts w:ascii="Times" w:hAnsi="Times" w:cstheme="minorHAnsi"/>
        </w:rPr>
        <w:t xml:space="preserve"> both the use of </w:t>
      </w:r>
      <w:r w:rsidR="00FC5FE4" w:rsidRPr="006955AF">
        <w:rPr>
          <w:rFonts w:ascii="Times" w:hAnsi="Times" w:cstheme="minorHAnsi"/>
        </w:rPr>
        <w:t xml:space="preserve">common law labels of </w:t>
      </w:r>
      <w:r w:rsidR="003C1651" w:rsidRPr="006955AF">
        <w:rPr>
          <w:rFonts w:ascii="Times" w:hAnsi="Times" w:cstheme="minorHAnsi"/>
        </w:rPr>
        <w:t>factual causation</w:t>
      </w:r>
      <w:r w:rsidR="00FC5FE4" w:rsidRPr="006955AF">
        <w:rPr>
          <w:rFonts w:ascii="Times" w:hAnsi="Times" w:cstheme="minorHAnsi"/>
        </w:rPr>
        <w:t xml:space="preserve">, remoteness or </w:t>
      </w:r>
      <w:r w:rsidR="00FC5FE4" w:rsidRPr="00C64508">
        <w:rPr>
          <w:rFonts w:ascii="Times" w:hAnsi="Times" w:cstheme="minorHAnsi"/>
          <w:i/>
        </w:rPr>
        <w:t>novus actus interveniens</w:t>
      </w:r>
      <w:r w:rsidR="00822AC1" w:rsidRPr="006955AF">
        <w:rPr>
          <w:rFonts w:ascii="Times" w:hAnsi="Times" w:cstheme="minorHAnsi"/>
        </w:rPr>
        <w:t>.</w:t>
      </w:r>
      <w:r w:rsidR="00822AC1" w:rsidRPr="006955AF">
        <w:rPr>
          <w:rStyle w:val="FootnoteReference"/>
          <w:rFonts w:cstheme="minorHAnsi"/>
        </w:rPr>
        <w:footnoteReference w:id="93"/>
      </w:r>
      <w:r w:rsidR="00822AC1" w:rsidRPr="006955AF">
        <w:rPr>
          <w:rFonts w:ascii="Times" w:hAnsi="Times" w:cstheme="minorHAnsi"/>
        </w:rPr>
        <w:t xml:space="preserve"> </w:t>
      </w:r>
      <w:r w:rsidR="00AB0496" w:rsidRPr="006955AF">
        <w:rPr>
          <w:rFonts w:ascii="Times" w:hAnsi="Times" w:cstheme="minorHAnsi"/>
        </w:rPr>
        <w:t>Despite the</w:t>
      </w:r>
      <w:r w:rsidR="003A7DFF" w:rsidRPr="006955AF">
        <w:rPr>
          <w:rFonts w:ascii="Times" w:hAnsi="Times" w:cstheme="minorHAnsi"/>
        </w:rPr>
        <w:t>ir</w:t>
      </w:r>
      <w:r w:rsidR="00AB0496" w:rsidRPr="006955AF">
        <w:rPr>
          <w:rFonts w:ascii="Times" w:hAnsi="Times" w:cstheme="minorHAnsi"/>
        </w:rPr>
        <w:t xml:space="preserve"> difference</w:t>
      </w:r>
      <w:r w:rsidR="003A7DFF" w:rsidRPr="006955AF">
        <w:rPr>
          <w:rFonts w:ascii="Times" w:hAnsi="Times" w:cstheme="minorHAnsi"/>
        </w:rPr>
        <w:t>s</w:t>
      </w:r>
      <w:r w:rsidR="00AB0496" w:rsidRPr="006955AF">
        <w:rPr>
          <w:rFonts w:ascii="Times" w:hAnsi="Times" w:cstheme="minorHAnsi"/>
        </w:rPr>
        <w:t xml:space="preserve">, the majority </w:t>
      </w:r>
      <w:r w:rsidR="002B30FB" w:rsidRPr="006955AF">
        <w:rPr>
          <w:rFonts w:ascii="Times" w:hAnsi="Times" w:cstheme="minorHAnsi"/>
        </w:rPr>
        <w:t>(</w:t>
      </w:r>
      <w:r w:rsidR="006955AF">
        <w:rPr>
          <w:rFonts w:ascii="Times" w:hAnsi="Times" w:cstheme="minorHAnsi"/>
        </w:rPr>
        <w:t>including</w:t>
      </w:r>
      <w:r w:rsidR="003A7DFF" w:rsidRPr="006955AF">
        <w:rPr>
          <w:rFonts w:ascii="Times" w:hAnsi="Times" w:cstheme="minorHAnsi"/>
        </w:rPr>
        <w:t xml:space="preserve"> Gageler J</w:t>
      </w:r>
      <w:r w:rsidR="00BC4810">
        <w:rPr>
          <w:rFonts w:ascii="Times" w:hAnsi="Times" w:cstheme="minorHAnsi"/>
        </w:rPr>
        <w:t>.</w:t>
      </w:r>
      <w:r w:rsidR="002B30FB" w:rsidRPr="006955AF">
        <w:rPr>
          <w:rFonts w:ascii="Times" w:hAnsi="Times" w:cstheme="minorHAnsi"/>
        </w:rPr>
        <w:t>)</w:t>
      </w:r>
      <w:r w:rsidR="003A7DFF" w:rsidRPr="006955AF">
        <w:rPr>
          <w:rFonts w:ascii="Times" w:hAnsi="Times" w:cstheme="minorHAnsi"/>
        </w:rPr>
        <w:t xml:space="preserve"> </w:t>
      </w:r>
      <w:r w:rsidR="00DD0B63" w:rsidRPr="006955AF">
        <w:rPr>
          <w:rFonts w:ascii="Times" w:hAnsi="Times" w:cstheme="minorHAnsi"/>
        </w:rPr>
        <w:t xml:space="preserve">had no difficulty accepting </w:t>
      </w:r>
      <w:r w:rsidR="00285BFB" w:rsidRPr="006955AF">
        <w:rPr>
          <w:rFonts w:ascii="Times" w:hAnsi="Times" w:cstheme="minorHAnsi"/>
        </w:rPr>
        <w:t xml:space="preserve">that </w:t>
      </w:r>
      <w:r w:rsidR="00A0385B" w:rsidRPr="006955AF">
        <w:rPr>
          <w:rFonts w:ascii="Times" w:hAnsi="Times" w:cstheme="minorHAnsi"/>
        </w:rPr>
        <w:t xml:space="preserve">causation was established, </w:t>
      </w:r>
      <w:r w:rsidR="00DD0B63" w:rsidRPr="006955AF">
        <w:rPr>
          <w:rFonts w:ascii="Times" w:hAnsi="Times" w:cstheme="minorHAnsi"/>
        </w:rPr>
        <w:t xml:space="preserve">as </w:t>
      </w:r>
      <w:r w:rsidR="00A0385B" w:rsidRPr="006955AF">
        <w:rPr>
          <w:rFonts w:ascii="Times" w:hAnsi="Times" w:cstheme="minorHAnsi"/>
        </w:rPr>
        <w:t xml:space="preserve">the fiduciary’s plan to capture the business connections of Lifeplan could only have succeeded with </w:t>
      </w:r>
      <w:r w:rsidR="00EE5824" w:rsidRPr="006955AF">
        <w:rPr>
          <w:rFonts w:ascii="Times" w:hAnsi="Times" w:cstheme="minorHAnsi"/>
        </w:rPr>
        <w:t>Foresters’</w:t>
      </w:r>
      <w:r w:rsidR="00A0385B" w:rsidRPr="006955AF">
        <w:rPr>
          <w:rFonts w:ascii="Times" w:hAnsi="Times" w:cstheme="minorHAnsi"/>
        </w:rPr>
        <w:t xml:space="preserve"> participation.</w:t>
      </w:r>
      <w:r w:rsidR="003A7DFF" w:rsidRPr="006955AF">
        <w:rPr>
          <w:rStyle w:val="FootnoteReference"/>
          <w:rFonts w:cstheme="minorHAnsi"/>
        </w:rPr>
        <w:footnoteReference w:id="94"/>
      </w:r>
    </w:p>
    <w:p w14:paraId="5E7558EF" w14:textId="56E1BB2A" w:rsidR="00727AE7" w:rsidRPr="006955AF" w:rsidRDefault="00727AE7" w:rsidP="00A217B5">
      <w:pPr>
        <w:spacing w:line="360" w:lineRule="auto"/>
        <w:jc w:val="both"/>
        <w:rPr>
          <w:rFonts w:ascii="Times" w:hAnsi="Times" w:cstheme="minorHAnsi"/>
        </w:rPr>
      </w:pPr>
    </w:p>
    <w:p w14:paraId="2F7D1D11" w14:textId="7A0DACFA" w:rsidR="0095338A" w:rsidRPr="008524B7" w:rsidRDefault="001C0BB5" w:rsidP="00A217B5">
      <w:pPr>
        <w:spacing w:line="360" w:lineRule="auto"/>
        <w:jc w:val="both"/>
        <w:rPr>
          <w:rFonts w:ascii="Times" w:hAnsi="Times" w:cstheme="minorHAnsi"/>
        </w:rPr>
      </w:pPr>
      <w:r w:rsidRPr="008524B7">
        <w:rPr>
          <w:rFonts w:ascii="Times" w:hAnsi="Times" w:cstheme="minorHAnsi"/>
        </w:rPr>
        <w:t xml:space="preserve">On </w:t>
      </w:r>
      <w:r w:rsidR="008634A5">
        <w:rPr>
          <w:rFonts w:ascii="Times" w:hAnsi="Times" w:cstheme="minorHAnsi"/>
        </w:rPr>
        <w:t xml:space="preserve">the issue of </w:t>
      </w:r>
      <w:r w:rsidRPr="008524B7">
        <w:rPr>
          <w:rFonts w:ascii="Times" w:hAnsi="Times" w:cstheme="minorHAnsi"/>
        </w:rPr>
        <w:t xml:space="preserve">quantification, the majority held that </w:t>
      </w:r>
      <w:r w:rsidR="004F4F17" w:rsidRPr="008524B7">
        <w:rPr>
          <w:rFonts w:ascii="Times" w:hAnsi="Times" w:cstheme="minorHAnsi"/>
        </w:rPr>
        <w:t xml:space="preserve">the onus </w:t>
      </w:r>
      <w:r w:rsidR="00747E44" w:rsidRPr="008524B7">
        <w:rPr>
          <w:rFonts w:ascii="Times" w:hAnsi="Times" w:cstheme="minorHAnsi"/>
        </w:rPr>
        <w:t>wa</w:t>
      </w:r>
      <w:r w:rsidR="004F4F17" w:rsidRPr="008524B7">
        <w:rPr>
          <w:rFonts w:ascii="Times" w:hAnsi="Times" w:cstheme="minorHAnsi"/>
        </w:rPr>
        <w:t xml:space="preserve">s on the errant fiduciary to show that </w:t>
      </w:r>
      <w:r w:rsidR="00914F63" w:rsidRPr="008524B7">
        <w:rPr>
          <w:rFonts w:ascii="Times" w:hAnsi="Times" w:cstheme="minorHAnsi"/>
        </w:rPr>
        <w:t>it would be inequitable to require him to</w:t>
      </w:r>
      <w:r w:rsidR="004F4F17" w:rsidRPr="008524B7">
        <w:rPr>
          <w:rFonts w:ascii="Times" w:hAnsi="Times" w:cstheme="minorHAnsi"/>
        </w:rPr>
        <w:t xml:space="preserve"> account for the full value of the advantage</w:t>
      </w:r>
      <w:r w:rsidR="00914F63" w:rsidRPr="008524B7">
        <w:rPr>
          <w:rFonts w:ascii="Times" w:hAnsi="Times" w:cstheme="minorHAnsi"/>
        </w:rPr>
        <w:t xml:space="preserve"> obtained</w:t>
      </w:r>
      <w:r w:rsidR="004F4F17" w:rsidRPr="008524B7">
        <w:rPr>
          <w:rFonts w:ascii="Times" w:hAnsi="Times" w:cstheme="minorHAnsi"/>
        </w:rPr>
        <w:t>.</w:t>
      </w:r>
      <w:r w:rsidR="004F4F17" w:rsidRPr="008524B7">
        <w:rPr>
          <w:rStyle w:val="FootnoteReference"/>
          <w:rFonts w:cstheme="minorHAnsi"/>
        </w:rPr>
        <w:footnoteReference w:id="95"/>
      </w:r>
      <w:r w:rsidR="004F4F17" w:rsidRPr="008524B7">
        <w:rPr>
          <w:rFonts w:ascii="Times" w:hAnsi="Times" w:cstheme="minorHAnsi"/>
        </w:rPr>
        <w:t xml:space="preserve"> </w:t>
      </w:r>
      <w:r w:rsidR="008C6538" w:rsidRPr="008524B7">
        <w:rPr>
          <w:rFonts w:ascii="Times" w:hAnsi="Times" w:cstheme="minorHAnsi"/>
        </w:rPr>
        <w:t>This is consistent with, and justified by, the rule governing due performance of a trust whereby the trustee must strictly account for disbursements from the trust fund, including any due to the trustee personally.</w:t>
      </w:r>
      <w:r w:rsidR="004A699F" w:rsidRPr="008524B7">
        <w:rPr>
          <w:rStyle w:val="FootnoteReference"/>
          <w:rFonts w:cstheme="minorHAnsi"/>
        </w:rPr>
        <w:footnoteReference w:id="96"/>
      </w:r>
      <w:r w:rsidR="00BE2101" w:rsidRPr="008524B7">
        <w:rPr>
          <w:rFonts w:ascii="Times" w:hAnsi="Times" w:cstheme="minorHAnsi"/>
        </w:rPr>
        <w:t xml:space="preserve">  </w:t>
      </w:r>
      <w:r w:rsidR="00F16D23" w:rsidRPr="008524B7">
        <w:rPr>
          <w:rFonts w:ascii="Times" w:hAnsi="Times" w:cstheme="minorHAnsi"/>
        </w:rPr>
        <w:t>Kiefel C</w:t>
      </w:r>
      <w:r w:rsidR="00BC4810">
        <w:rPr>
          <w:rFonts w:ascii="Times" w:hAnsi="Times" w:cstheme="minorHAnsi"/>
        </w:rPr>
        <w:t>.</w:t>
      </w:r>
      <w:r w:rsidR="00F16D23" w:rsidRPr="008524B7">
        <w:rPr>
          <w:rFonts w:ascii="Times" w:hAnsi="Times" w:cstheme="minorHAnsi"/>
        </w:rPr>
        <w:t>J</w:t>
      </w:r>
      <w:r w:rsidR="00BC4810">
        <w:rPr>
          <w:rFonts w:ascii="Times" w:hAnsi="Times" w:cstheme="minorHAnsi"/>
        </w:rPr>
        <w:t>.</w:t>
      </w:r>
      <w:r w:rsidR="00F16D23" w:rsidRPr="008524B7">
        <w:rPr>
          <w:rFonts w:ascii="Times" w:hAnsi="Times" w:cstheme="minorHAnsi"/>
        </w:rPr>
        <w:t>, Keane and Edelman JJ</w:t>
      </w:r>
      <w:r w:rsidR="00BC4810">
        <w:rPr>
          <w:rFonts w:ascii="Times" w:hAnsi="Times" w:cstheme="minorHAnsi"/>
        </w:rPr>
        <w:t>.</w:t>
      </w:r>
      <w:r w:rsidRPr="008524B7">
        <w:rPr>
          <w:rFonts w:ascii="Times" w:hAnsi="Times" w:cstheme="minorHAnsi"/>
        </w:rPr>
        <w:t xml:space="preserve"> </w:t>
      </w:r>
      <w:r w:rsidR="008C6538" w:rsidRPr="008524B7">
        <w:rPr>
          <w:rFonts w:ascii="Times" w:hAnsi="Times" w:cstheme="minorHAnsi"/>
        </w:rPr>
        <w:t>went on to hold</w:t>
      </w:r>
      <w:r w:rsidRPr="008524B7">
        <w:rPr>
          <w:rFonts w:ascii="Times" w:hAnsi="Times" w:cstheme="minorHAnsi"/>
        </w:rPr>
        <w:t xml:space="preserve"> </w:t>
      </w:r>
      <w:r w:rsidR="00F16D23" w:rsidRPr="008524B7">
        <w:rPr>
          <w:rFonts w:ascii="Times" w:hAnsi="Times" w:cstheme="minorHAnsi"/>
        </w:rPr>
        <w:t xml:space="preserve">that </w:t>
      </w:r>
      <w:r w:rsidRPr="008524B7">
        <w:rPr>
          <w:rFonts w:ascii="Times" w:hAnsi="Times" w:cstheme="minorHAnsi"/>
        </w:rPr>
        <w:t xml:space="preserve">apart from allowance </w:t>
      </w:r>
      <w:r w:rsidR="004F4F17" w:rsidRPr="008524B7">
        <w:rPr>
          <w:rFonts w:ascii="Times" w:hAnsi="Times" w:cstheme="minorHAnsi"/>
        </w:rPr>
        <w:t xml:space="preserve">for labour and skill, </w:t>
      </w:r>
      <w:r w:rsidR="008F1969" w:rsidRPr="008524B7">
        <w:rPr>
          <w:rFonts w:ascii="Times" w:hAnsi="Times" w:cstheme="minorHAnsi"/>
        </w:rPr>
        <w:t xml:space="preserve">the fiduciary needed to show that </w:t>
      </w:r>
      <w:r w:rsidR="004F4F17" w:rsidRPr="008524B7">
        <w:rPr>
          <w:rFonts w:ascii="Times" w:hAnsi="Times" w:cstheme="minorHAnsi"/>
        </w:rPr>
        <w:t>the profit ha</w:t>
      </w:r>
      <w:r w:rsidR="00747E44" w:rsidRPr="008524B7">
        <w:rPr>
          <w:rFonts w:ascii="Times" w:hAnsi="Times" w:cstheme="minorHAnsi"/>
        </w:rPr>
        <w:t>d</w:t>
      </w:r>
      <w:r w:rsidR="004F4F17" w:rsidRPr="008524B7">
        <w:rPr>
          <w:rFonts w:ascii="Times" w:hAnsi="Times" w:cstheme="minorHAnsi"/>
        </w:rPr>
        <w:t xml:space="preserve"> no </w:t>
      </w:r>
      <w:r w:rsidR="000E5815" w:rsidRPr="008524B7">
        <w:rPr>
          <w:rFonts w:ascii="Times" w:hAnsi="Times" w:cstheme="minorHAnsi"/>
        </w:rPr>
        <w:t>“</w:t>
      </w:r>
      <w:r w:rsidR="004F4F17" w:rsidRPr="008524B7">
        <w:rPr>
          <w:rFonts w:ascii="Times" w:hAnsi="Times" w:cstheme="minorHAnsi"/>
        </w:rPr>
        <w:t>reasonable connection</w:t>
      </w:r>
      <w:r w:rsidR="000E5815" w:rsidRPr="008524B7">
        <w:rPr>
          <w:rFonts w:ascii="Times" w:hAnsi="Times" w:cstheme="minorHAnsi"/>
        </w:rPr>
        <w:t>”</w:t>
      </w:r>
      <w:r w:rsidR="004F4F17" w:rsidRPr="008524B7">
        <w:rPr>
          <w:rFonts w:ascii="Times" w:hAnsi="Times" w:cstheme="minorHAnsi"/>
        </w:rPr>
        <w:t xml:space="preserve"> with the wrongdoing. </w:t>
      </w:r>
      <w:r w:rsidR="008446E6">
        <w:rPr>
          <w:rFonts w:ascii="Times" w:hAnsi="Times" w:cstheme="minorHAnsi"/>
        </w:rPr>
        <w:t xml:space="preserve"> </w:t>
      </w:r>
      <w:r w:rsidR="000E5815" w:rsidRPr="008524B7">
        <w:rPr>
          <w:rFonts w:ascii="Times" w:hAnsi="Times" w:cstheme="minorHAnsi"/>
        </w:rPr>
        <w:t xml:space="preserve">This </w:t>
      </w:r>
      <w:r w:rsidR="008F1969" w:rsidRPr="008524B7">
        <w:rPr>
          <w:rFonts w:ascii="Times" w:hAnsi="Times" w:cstheme="minorHAnsi"/>
        </w:rPr>
        <w:t xml:space="preserve">involved </w:t>
      </w:r>
      <w:r w:rsidR="00DD0B63" w:rsidRPr="008524B7">
        <w:rPr>
          <w:rFonts w:ascii="Times" w:hAnsi="Times" w:cstheme="minorHAnsi"/>
        </w:rPr>
        <w:t xml:space="preserve">considering </w:t>
      </w:r>
      <w:r w:rsidR="009270FE" w:rsidRPr="008524B7">
        <w:rPr>
          <w:rFonts w:ascii="Times" w:hAnsi="Times" w:cstheme="minorHAnsi"/>
        </w:rPr>
        <w:t>all the circumstances, including the nature of the wrongdoer’s conduct.</w:t>
      </w:r>
      <w:r w:rsidR="009270FE" w:rsidRPr="008524B7">
        <w:rPr>
          <w:rStyle w:val="FootnoteReference"/>
          <w:rFonts w:cstheme="minorHAnsi"/>
        </w:rPr>
        <w:footnoteReference w:id="97"/>
      </w:r>
      <w:r w:rsidR="001E2310" w:rsidRPr="008524B7">
        <w:rPr>
          <w:rFonts w:ascii="Times" w:hAnsi="Times" w:cstheme="minorHAnsi"/>
        </w:rPr>
        <w:t xml:space="preserve"> </w:t>
      </w:r>
      <w:r w:rsidR="008C6538" w:rsidRPr="008524B7">
        <w:rPr>
          <w:rFonts w:ascii="Times" w:hAnsi="Times" w:cstheme="minorHAnsi"/>
        </w:rPr>
        <w:t>Again, this is consistent with, and justified by, the rule</w:t>
      </w:r>
      <w:r w:rsidR="0095338A" w:rsidRPr="008524B7">
        <w:rPr>
          <w:rFonts w:ascii="Times" w:hAnsi="Times" w:cstheme="minorHAnsi"/>
        </w:rPr>
        <w:t>s</w:t>
      </w:r>
      <w:r w:rsidR="008C6538" w:rsidRPr="008524B7">
        <w:rPr>
          <w:rFonts w:ascii="Times" w:hAnsi="Times" w:cstheme="minorHAnsi"/>
        </w:rPr>
        <w:t xml:space="preserve"> governing due performance of a trust whereby the trustee</w:t>
      </w:r>
      <w:r w:rsidR="0095338A" w:rsidRPr="008524B7">
        <w:rPr>
          <w:rFonts w:ascii="Times" w:hAnsi="Times" w:cstheme="minorHAnsi"/>
        </w:rPr>
        <w:t xml:space="preserve"> must </w:t>
      </w:r>
      <w:r w:rsidR="0095338A" w:rsidRPr="008524B7">
        <w:rPr>
          <w:rFonts w:ascii="Times" w:hAnsi="Times" w:cstheme="minorHAnsi"/>
        </w:rPr>
        <w:lastRenderedPageBreak/>
        <w:t xml:space="preserve">keep </w:t>
      </w:r>
      <w:r w:rsidR="00792EE2" w:rsidRPr="008524B7">
        <w:rPr>
          <w:rFonts w:ascii="Times" w:hAnsi="Times" w:cstheme="minorHAnsi"/>
        </w:rPr>
        <w:t>trust property separate and account for it separately</w:t>
      </w:r>
      <w:r w:rsidR="00BE2101" w:rsidRPr="008524B7">
        <w:rPr>
          <w:rFonts w:ascii="Times" w:hAnsi="Times" w:cstheme="minorHAnsi"/>
        </w:rPr>
        <w:t xml:space="preserve"> (unless otherwise permitted by the terms of the trust)</w:t>
      </w:r>
      <w:r w:rsidR="00792EE2" w:rsidRPr="008524B7">
        <w:rPr>
          <w:rFonts w:ascii="Times" w:hAnsi="Times" w:cstheme="minorHAnsi"/>
        </w:rPr>
        <w:t>,</w:t>
      </w:r>
      <w:r w:rsidR="00854275" w:rsidRPr="008524B7">
        <w:rPr>
          <w:rStyle w:val="FootnoteReference"/>
          <w:rFonts w:cstheme="minorHAnsi"/>
        </w:rPr>
        <w:footnoteReference w:id="98"/>
      </w:r>
      <w:r w:rsidR="00792EE2" w:rsidRPr="008524B7">
        <w:rPr>
          <w:rFonts w:ascii="Times" w:hAnsi="Times" w:cstheme="minorHAnsi"/>
        </w:rPr>
        <w:t xml:space="preserve"> </w:t>
      </w:r>
      <w:r w:rsidR="0095338A" w:rsidRPr="008524B7">
        <w:rPr>
          <w:rFonts w:ascii="Times" w:hAnsi="Times" w:cstheme="minorHAnsi"/>
        </w:rPr>
        <w:t>so if he fails in that duty, he, not the trust fund, bears the burden of any uncertainty he created.</w:t>
      </w:r>
      <w:r w:rsidR="00792EE2" w:rsidRPr="008524B7">
        <w:rPr>
          <w:rStyle w:val="FootnoteReference"/>
          <w:rFonts w:cstheme="minorHAnsi"/>
        </w:rPr>
        <w:footnoteReference w:id="99"/>
      </w:r>
      <w:r w:rsidR="0095338A" w:rsidRPr="008524B7">
        <w:rPr>
          <w:rFonts w:ascii="Times" w:hAnsi="Times" w:cstheme="minorHAnsi"/>
        </w:rPr>
        <w:t xml:space="preserve">  </w:t>
      </w:r>
    </w:p>
    <w:p w14:paraId="0448B44D" w14:textId="77777777" w:rsidR="0095338A" w:rsidRPr="008524B7" w:rsidRDefault="0095338A" w:rsidP="00A217B5">
      <w:pPr>
        <w:spacing w:line="360" w:lineRule="auto"/>
        <w:jc w:val="both"/>
        <w:rPr>
          <w:rFonts w:ascii="Times" w:hAnsi="Times" w:cstheme="minorHAnsi"/>
        </w:rPr>
      </w:pPr>
    </w:p>
    <w:p w14:paraId="519AEC7B" w14:textId="57E29AF8" w:rsidR="00943AFB" w:rsidRPr="008524B7" w:rsidRDefault="0095338A" w:rsidP="00A217B5">
      <w:pPr>
        <w:spacing w:line="360" w:lineRule="auto"/>
        <w:jc w:val="both"/>
        <w:rPr>
          <w:rFonts w:ascii="Times" w:hAnsi="Times" w:cstheme="minorHAnsi"/>
        </w:rPr>
      </w:pPr>
      <w:r w:rsidRPr="008524B7">
        <w:rPr>
          <w:rFonts w:ascii="Times" w:hAnsi="Times" w:cstheme="minorHAnsi"/>
        </w:rPr>
        <w:t xml:space="preserve">Although the issue was not raised in </w:t>
      </w:r>
      <w:r w:rsidRPr="008524B7">
        <w:rPr>
          <w:rFonts w:ascii="Times" w:hAnsi="Times" w:cstheme="minorHAnsi"/>
          <w:i/>
        </w:rPr>
        <w:t>Lifeplan</w:t>
      </w:r>
      <w:r w:rsidRPr="008524B7">
        <w:rPr>
          <w:rFonts w:ascii="Times" w:hAnsi="Times" w:cstheme="minorHAnsi"/>
        </w:rPr>
        <w:t>, there is support in case law to deny or reduce the award of equitable allowance for skills and effort if the fiduciary is dishonest.</w:t>
      </w:r>
      <w:r w:rsidR="00DB75B0" w:rsidRPr="008524B7">
        <w:rPr>
          <w:rStyle w:val="FootnoteReference"/>
          <w:rFonts w:cstheme="minorHAnsi"/>
        </w:rPr>
        <w:footnoteReference w:id="100"/>
      </w:r>
      <w:r w:rsidRPr="008524B7">
        <w:rPr>
          <w:rFonts w:ascii="Times" w:hAnsi="Times" w:cstheme="minorHAnsi"/>
        </w:rPr>
        <w:t xml:space="preserve">  Again, this fits the same pattern</w:t>
      </w:r>
      <w:r w:rsidR="00DB75B0" w:rsidRPr="008524B7">
        <w:rPr>
          <w:rFonts w:ascii="Times" w:hAnsi="Times" w:cstheme="minorHAnsi"/>
        </w:rPr>
        <w:t xml:space="preserve"> of supporting the rules which govern due performance</w:t>
      </w:r>
      <w:r w:rsidRPr="008524B7">
        <w:rPr>
          <w:rFonts w:ascii="Times" w:hAnsi="Times" w:cstheme="minorHAnsi"/>
        </w:rPr>
        <w:t>:</w:t>
      </w:r>
      <w:r w:rsidR="00287ECC" w:rsidRPr="008524B7">
        <w:rPr>
          <w:rFonts w:ascii="Times" w:hAnsi="Times" w:cstheme="minorHAnsi"/>
        </w:rPr>
        <w:t xml:space="preserve"> </w:t>
      </w:r>
      <w:r w:rsidRPr="008524B7">
        <w:rPr>
          <w:rFonts w:ascii="Times" w:hAnsi="Times" w:cstheme="minorHAnsi"/>
        </w:rPr>
        <w:t xml:space="preserve"> if the trustee, thro</w:t>
      </w:r>
      <w:r w:rsidR="00DB75B0" w:rsidRPr="008524B7">
        <w:rPr>
          <w:rFonts w:ascii="Times" w:hAnsi="Times" w:cstheme="minorHAnsi"/>
        </w:rPr>
        <w:t>u</w:t>
      </w:r>
      <w:r w:rsidRPr="008524B7">
        <w:rPr>
          <w:rFonts w:ascii="Times" w:hAnsi="Times" w:cstheme="minorHAnsi"/>
        </w:rPr>
        <w:t>gh</w:t>
      </w:r>
      <w:r w:rsidR="00DB75B0" w:rsidRPr="008524B7">
        <w:rPr>
          <w:rFonts w:ascii="Times" w:hAnsi="Times" w:cstheme="minorHAnsi"/>
        </w:rPr>
        <w:t xml:space="preserve"> dishonesty, fails in his duty to account correctly for his activity, he must bear the burden of the error he culpably created in the trust’s accounts.</w:t>
      </w:r>
      <w:r w:rsidR="00BE63DA" w:rsidRPr="008524B7">
        <w:rPr>
          <w:rStyle w:val="FootnoteReference"/>
          <w:rFonts w:cstheme="minorHAnsi"/>
        </w:rPr>
        <w:footnoteReference w:id="101"/>
      </w:r>
    </w:p>
    <w:p w14:paraId="07CC5B56" w14:textId="3387BC5B" w:rsidR="00911CEC" w:rsidRPr="008524B7" w:rsidRDefault="00911CEC" w:rsidP="00A217B5">
      <w:pPr>
        <w:spacing w:line="360" w:lineRule="auto"/>
        <w:jc w:val="both"/>
        <w:rPr>
          <w:rFonts w:ascii="Times" w:hAnsi="Times" w:cstheme="minorHAnsi"/>
        </w:rPr>
      </w:pPr>
    </w:p>
    <w:p w14:paraId="7951BF74" w14:textId="6034488A" w:rsidR="00D86C36" w:rsidRPr="008524B7" w:rsidRDefault="00D86C36" w:rsidP="00A217B5">
      <w:pPr>
        <w:spacing w:line="360" w:lineRule="auto"/>
        <w:jc w:val="both"/>
        <w:rPr>
          <w:rFonts w:ascii="Times" w:hAnsi="Times" w:cstheme="minorHAnsi"/>
        </w:rPr>
      </w:pPr>
      <w:r w:rsidRPr="008524B7">
        <w:rPr>
          <w:rFonts w:ascii="Times" w:hAnsi="Times" w:cstheme="minorHAnsi"/>
        </w:rPr>
        <w:t xml:space="preserve">In summary, the accounting exercise </w:t>
      </w:r>
      <w:r w:rsidR="004F44A0" w:rsidRPr="008524B7">
        <w:rPr>
          <w:rFonts w:ascii="Times" w:hAnsi="Times" w:cstheme="minorHAnsi"/>
        </w:rPr>
        <w:t>is, naturally, informed by the duties of the trustee</w:t>
      </w:r>
      <w:r w:rsidR="0022641C" w:rsidRPr="008524B7">
        <w:rPr>
          <w:rFonts w:ascii="Times" w:hAnsi="Times" w:cstheme="minorHAnsi"/>
        </w:rPr>
        <w:t xml:space="preserve"> as well as his culpability</w:t>
      </w:r>
      <w:r w:rsidR="004F44A0" w:rsidRPr="008524B7">
        <w:rPr>
          <w:rFonts w:ascii="Times" w:hAnsi="Times" w:cstheme="minorHAnsi"/>
        </w:rPr>
        <w:t xml:space="preserve">.  But that should be done thoroughly and consciously in the context of an account of profits made in breach of trust.  The scope of the account may be deterrent, but it is not penal:  the point of accounting is to secure, protect and promote due performance of the trust, rather than any broader societal goals that might be furthered by penalties or punishment.  And even deterrence should be informed by the interest it seeks to </w:t>
      </w:r>
      <w:r w:rsidR="000511B9" w:rsidRPr="008524B7">
        <w:rPr>
          <w:rFonts w:ascii="Times" w:hAnsi="Times" w:cstheme="minorHAnsi"/>
        </w:rPr>
        <w:t>uphold.</w:t>
      </w:r>
    </w:p>
    <w:p w14:paraId="134EF93D" w14:textId="77777777" w:rsidR="00D86C36" w:rsidRPr="008524B7" w:rsidRDefault="00D86C36" w:rsidP="00A217B5">
      <w:pPr>
        <w:spacing w:line="360" w:lineRule="auto"/>
        <w:jc w:val="both"/>
        <w:rPr>
          <w:rFonts w:ascii="Times" w:hAnsi="Times" w:cstheme="minorHAnsi"/>
        </w:rPr>
      </w:pPr>
    </w:p>
    <w:p w14:paraId="29FDD7A8" w14:textId="071377C8" w:rsidR="00911CEC" w:rsidRPr="008524B7" w:rsidRDefault="00911CEC" w:rsidP="00A217B5">
      <w:pPr>
        <w:pStyle w:val="ListParagraph"/>
        <w:numPr>
          <w:ilvl w:val="0"/>
          <w:numId w:val="6"/>
        </w:numPr>
        <w:spacing w:line="360" w:lineRule="auto"/>
        <w:jc w:val="both"/>
        <w:rPr>
          <w:rFonts w:ascii="Times" w:hAnsi="Times" w:cstheme="minorHAnsi"/>
          <w:i/>
        </w:rPr>
      </w:pPr>
      <w:r w:rsidRPr="008524B7">
        <w:rPr>
          <w:rFonts w:ascii="Times" w:hAnsi="Times" w:cstheme="minorHAnsi"/>
          <w:i/>
        </w:rPr>
        <w:t>Con</w:t>
      </w:r>
      <w:r w:rsidR="004522E6" w:rsidRPr="008524B7">
        <w:rPr>
          <w:rFonts w:ascii="Times" w:hAnsi="Times" w:cstheme="minorHAnsi"/>
          <w:i/>
        </w:rPr>
        <w:t>tracts and Performance:  A Con</w:t>
      </w:r>
      <w:r w:rsidRPr="008524B7">
        <w:rPr>
          <w:rFonts w:ascii="Times" w:hAnsi="Times" w:cstheme="minorHAnsi"/>
          <w:i/>
        </w:rPr>
        <w:t>trast</w:t>
      </w:r>
    </w:p>
    <w:p w14:paraId="0A4700D5" w14:textId="77777777" w:rsidR="00911CEC" w:rsidRPr="006955AF" w:rsidRDefault="00911CEC" w:rsidP="00A217B5">
      <w:pPr>
        <w:spacing w:line="360" w:lineRule="auto"/>
        <w:jc w:val="both"/>
        <w:rPr>
          <w:rFonts w:ascii="Times" w:hAnsi="Times" w:cstheme="minorHAnsi"/>
        </w:rPr>
      </w:pPr>
    </w:p>
    <w:p w14:paraId="60F792B7" w14:textId="2E881ECC" w:rsidR="00911CEC" w:rsidRPr="006955AF" w:rsidRDefault="00911CEC" w:rsidP="00A217B5">
      <w:pPr>
        <w:spacing w:line="360" w:lineRule="auto"/>
        <w:jc w:val="both"/>
        <w:rPr>
          <w:rFonts w:ascii="Times" w:hAnsi="Times" w:cstheme="minorHAnsi"/>
        </w:rPr>
      </w:pPr>
      <w:r w:rsidRPr="006955AF">
        <w:rPr>
          <w:rFonts w:ascii="Times" w:hAnsi="Times" w:cstheme="minorHAnsi"/>
        </w:rPr>
        <w:lastRenderedPageBreak/>
        <w:t>The law of contract is said</w:t>
      </w:r>
      <w:r w:rsidR="00F51E3A">
        <w:rPr>
          <w:rFonts w:ascii="Times" w:hAnsi="Times" w:cstheme="minorHAnsi"/>
        </w:rPr>
        <w:t>, somewhat loosely,</w:t>
      </w:r>
      <w:r w:rsidRPr="006955AF">
        <w:rPr>
          <w:rFonts w:ascii="Times" w:hAnsi="Times" w:cstheme="minorHAnsi"/>
        </w:rPr>
        <w:t xml:space="preserve"> to protect the parties’ interest in performance of a contract.  But what the law of contract does, and how it does it, is significantly different from what the foregoing survey has shown about the law of trusts.  Contract law is different from trust law both in the remedies it provides and in their extent.  And these features show that </w:t>
      </w:r>
      <w:r w:rsidR="00FF1894">
        <w:rPr>
          <w:rFonts w:ascii="Times" w:hAnsi="Times" w:cstheme="minorHAnsi"/>
        </w:rPr>
        <w:t xml:space="preserve">the central concern of </w:t>
      </w:r>
      <w:r w:rsidR="0052682F">
        <w:rPr>
          <w:rFonts w:ascii="Times" w:hAnsi="Times" w:cstheme="minorHAnsi"/>
        </w:rPr>
        <w:t>these remedies</w:t>
      </w:r>
      <w:r w:rsidRPr="006955AF">
        <w:rPr>
          <w:rFonts w:ascii="Times" w:hAnsi="Times" w:cstheme="minorHAnsi"/>
        </w:rPr>
        <w:t xml:space="preserve"> is </w:t>
      </w:r>
      <w:r w:rsidR="00FF1894">
        <w:rPr>
          <w:rFonts w:ascii="Times" w:hAnsi="Times" w:cstheme="minorHAnsi"/>
        </w:rPr>
        <w:t xml:space="preserve">not </w:t>
      </w:r>
      <w:r w:rsidRPr="006955AF">
        <w:rPr>
          <w:rFonts w:ascii="Times" w:hAnsi="Times" w:cstheme="minorHAnsi"/>
        </w:rPr>
        <w:t xml:space="preserve">protecting performance </w:t>
      </w:r>
      <w:r w:rsidRPr="000E3919">
        <w:rPr>
          <w:rFonts w:ascii="Times" w:hAnsi="Times" w:cstheme="minorHAnsi"/>
          <w:i/>
        </w:rPr>
        <w:t>per se</w:t>
      </w:r>
      <w:r w:rsidRPr="006955AF">
        <w:rPr>
          <w:rFonts w:ascii="Times" w:hAnsi="Times" w:cstheme="minorHAnsi"/>
        </w:rPr>
        <w:t xml:space="preserve">, but </w:t>
      </w:r>
      <w:r w:rsidR="00FF1894">
        <w:rPr>
          <w:rFonts w:ascii="Times" w:hAnsi="Times" w:cstheme="minorHAnsi"/>
        </w:rPr>
        <w:t xml:space="preserve">rather </w:t>
      </w:r>
      <w:r w:rsidRPr="006955AF">
        <w:rPr>
          <w:rFonts w:ascii="Times" w:hAnsi="Times" w:cstheme="minorHAnsi"/>
        </w:rPr>
        <w:t>protecting parties from the reasonably foreseeable consequences of non-performance</w:t>
      </w:r>
      <w:r w:rsidR="00836157">
        <w:rPr>
          <w:rFonts w:ascii="Times" w:hAnsi="Times" w:cstheme="minorHAnsi"/>
        </w:rPr>
        <w:t xml:space="preserve"> using </w:t>
      </w:r>
      <w:r w:rsidRPr="006955AF">
        <w:rPr>
          <w:rFonts w:ascii="Times" w:hAnsi="Times" w:cstheme="minorHAnsi"/>
        </w:rPr>
        <w:t>an award of money</w:t>
      </w:r>
      <w:r w:rsidR="00836157">
        <w:rPr>
          <w:rFonts w:ascii="Times" w:hAnsi="Times" w:cstheme="minorHAnsi"/>
        </w:rPr>
        <w:t>,</w:t>
      </w:r>
      <w:r w:rsidRPr="006955AF">
        <w:rPr>
          <w:rFonts w:ascii="Times" w:hAnsi="Times" w:cstheme="minorHAnsi"/>
        </w:rPr>
        <w:t xml:space="preserve"> that is, damages.</w:t>
      </w:r>
      <w:r w:rsidR="00123B7B" w:rsidRPr="006955AF">
        <w:rPr>
          <w:rStyle w:val="FootnoteReference"/>
          <w:rFonts w:cstheme="minorHAnsi"/>
        </w:rPr>
        <w:footnoteReference w:id="102"/>
      </w:r>
      <w:r w:rsidRPr="006955AF">
        <w:rPr>
          <w:rFonts w:ascii="Times" w:hAnsi="Times" w:cstheme="minorHAnsi"/>
        </w:rPr>
        <w:t xml:space="preserve">  This appears plainly from a survey of current remedies for breach of contract.</w:t>
      </w:r>
    </w:p>
    <w:p w14:paraId="14C45E2F" w14:textId="77777777" w:rsidR="00911CEC" w:rsidRPr="006955AF" w:rsidRDefault="00911CEC" w:rsidP="00A217B5">
      <w:pPr>
        <w:spacing w:line="360" w:lineRule="auto"/>
        <w:jc w:val="both"/>
        <w:rPr>
          <w:rFonts w:ascii="Times" w:hAnsi="Times" w:cstheme="minorHAnsi"/>
        </w:rPr>
      </w:pPr>
    </w:p>
    <w:p w14:paraId="4C5DF389" w14:textId="77777777" w:rsidR="00911CEC" w:rsidRPr="006955AF" w:rsidRDefault="00911CEC" w:rsidP="00A217B5">
      <w:pPr>
        <w:spacing w:line="360" w:lineRule="auto"/>
        <w:jc w:val="both"/>
        <w:rPr>
          <w:rFonts w:ascii="Times" w:hAnsi="Times" w:cstheme="minorHAnsi"/>
        </w:rPr>
      </w:pPr>
      <w:r w:rsidRPr="006955AF">
        <w:rPr>
          <w:rFonts w:ascii="Times" w:hAnsi="Times" w:cstheme="minorHAnsi"/>
        </w:rPr>
        <w:t xml:space="preserve">The law of remedies for breach of contract was recently re-affirmed and restated in authoritative fashion by the Supreme Court in </w:t>
      </w:r>
      <w:r w:rsidRPr="006955AF">
        <w:rPr>
          <w:rFonts w:ascii="Times" w:hAnsi="Times" w:cstheme="minorHAnsi"/>
          <w:i/>
        </w:rPr>
        <w:t>Morris-Garner v One Step (Support) Ltd</w:t>
      </w:r>
      <w:r w:rsidRPr="006955AF">
        <w:rPr>
          <w:rFonts w:ascii="Times" w:hAnsi="Times" w:cstheme="minorHAnsi"/>
        </w:rPr>
        <w:t>.</w:t>
      </w:r>
      <w:r w:rsidRPr="006955AF">
        <w:rPr>
          <w:rStyle w:val="FootnoteReference"/>
        </w:rPr>
        <w:footnoteReference w:id="103"/>
      </w:r>
      <w:r w:rsidRPr="006955AF">
        <w:rPr>
          <w:rFonts w:ascii="Times" w:hAnsi="Times" w:cstheme="minorHAnsi"/>
        </w:rPr>
        <w:t xml:space="preserve">  Lord Reed, with whom Lady Hale, Lord Wilson and Lord Carnwath agreed, began his discussion as follows.</w:t>
      </w:r>
      <w:r w:rsidRPr="006955AF">
        <w:rPr>
          <w:rStyle w:val="FootnoteReference"/>
        </w:rPr>
        <w:footnoteReference w:id="104"/>
      </w:r>
    </w:p>
    <w:p w14:paraId="4B54AD07" w14:textId="77777777" w:rsidR="00911CEC" w:rsidRPr="006955AF" w:rsidRDefault="00911CEC" w:rsidP="00A217B5">
      <w:pPr>
        <w:spacing w:line="360" w:lineRule="auto"/>
        <w:jc w:val="both"/>
        <w:rPr>
          <w:rFonts w:ascii="Times" w:hAnsi="Times" w:cstheme="minorHAnsi"/>
        </w:rPr>
      </w:pPr>
    </w:p>
    <w:p w14:paraId="0A7ED2B8" w14:textId="77777777" w:rsidR="00911CEC" w:rsidRPr="006955AF" w:rsidRDefault="00911CEC" w:rsidP="00A217B5">
      <w:pPr>
        <w:spacing w:line="360" w:lineRule="auto"/>
        <w:ind w:left="720"/>
        <w:jc w:val="both"/>
        <w:rPr>
          <w:rFonts w:ascii="Times" w:hAnsi="Times" w:cstheme="minorHAnsi"/>
        </w:rPr>
      </w:pPr>
      <w:r w:rsidRPr="006955AF">
        <w:rPr>
          <w:rFonts w:ascii="Times" w:hAnsi="Times" w:cstheme="minorHAnsi"/>
        </w:rPr>
        <w:t xml:space="preserve">“In </w:t>
      </w:r>
      <w:r w:rsidRPr="006955AF">
        <w:rPr>
          <w:rFonts w:ascii="Times" w:hAnsi="Times" w:cstheme="minorHAnsi"/>
          <w:i/>
        </w:rPr>
        <w:t>Robinson v Harman</w:t>
      </w:r>
      <w:r w:rsidRPr="006955AF">
        <w:rPr>
          <w:rFonts w:ascii="Times" w:hAnsi="Times" w:cstheme="minorHAnsi"/>
        </w:rPr>
        <w:t xml:space="preserve"> (1848) 1 Exch 850, Parke B said:</w:t>
      </w:r>
    </w:p>
    <w:p w14:paraId="3E6682E8" w14:textId="77777777" w:rsidR="00911CEC" w:rsidRPr="006955AF" w:rsidRDefault="00911CEC" w:rsidP="00A217B5">
      <w:pPr>
        <w:spacing w:line="360" w:lineRule="auto"/>
        <w:ind w:left="720"/>
        <w:jc w:val="both"/>
        <w:rPr>
          <w:rFonts w:ascii="Times" w:hAnsi="Times" w:cstheme="minorHAnsi"/>
        </w:rPr>
      </w:pPr>
    </w:p>
    <w:p w14:paraId="7DB8E29B" w14:textId="77777777" w:rsidR="00911CEC" w:rsidRPr="006955AF" w:rsidRDefault="00911CEC" w:rsidP="00A217B5">
      <w:pPr>
        <w:spacing w:line="360" w:lineRule="auto"/>
        <w:ind w:left="1440"/>
        <w:jc w:val="both"/>
        <w:rPr>
          <w:rFonts w:ascii="Times" w:hAnsi="Times" w:cstheme="minorHAnsi"/>
        </w:rPr>
      </w:pPr>
      <w:r w:rsidRPr="006955AF">
        <w:rPr>
          <w:rFonts w:ascii="Times" w:hAnsi="Times" w:cstheme="minorHAnsi"/>
        </w:rPr>
        <w:t>‘The rule of the common law is, that where a party sustains a loss by reason of a breach of contract, he is, so far as money can do it, to be placed in the same situation, with respect to damages, as if the contract had been performed.’</w:t>
      </w:r>
    </w:p>
    <w:p w14:paraId="38DA5CD4" w14:textId="77777777" w:rsidR="00911CEC" w:rsidRPr="006955AF" w:rsidRDefault="00911CEC" w:rsidP="00A217B5">
      <w:pPr>
        <w:spacing w:line="360" w:lineRule="auto"/>
        <w:ind w:left="720"/>
        <w:jc w:val="both"/>
        <w:rPr>
          <w:rFonts w:ascii="Times" w:hAnsi="Times" w:cstheme="minorHAnsi"/>
        </w:rPr>
      </w:pPr>
    </w:p>
    <w:p w14:paraId="2C28090F" w14:textId="7100EBD9" w:rsidR="00911CEC" w:rsidRPr="006955AF" w:rsidRDefault="00911CEC" w:rsidP="00A217B5">
      <w:pPr>
        <w:spacing w:line="360" w:lineRule="auto"/>
        <w:ind w:left="720"/>
        <w:jc w:val="both"/>
        <w:rPr>
          <w:rFonts w:ascii="Times" w:hAnsi="Times" w:cstheme="minorHAnsi"/>
        </w:rPr>
      </w:pPr>
      <w:r w:rsidRPr="006955AF">
        <w:rPr>
          <w:rFonts w:ascii="Times" w:hAnsi="Times" w:cstheme="minorHAnsi"/>
        </w:rPr>
        <w:t xml:space="preserve">That statement has been endorsed on many occasions at the highest level, most recently in </w:t>
      </w:r>
      <w:r w:rsidRPr="006955AF">
        <w:rPr>
          <w:rFonts w:ascii="Times" w:hAnsi="Times" w:cstheme="minorHAnsi"/>
          <w:i/>
        </w:rPr>
        <w:t>Bunge SA v Nidera NV (formerly Nidera Handelscompagnie BV)</w:t>
      </w:r>
      <w:r w:rsidRPr="006955AF">
        <w:rPr>
          <w:rFonts w:ascii="Times" w:hAnsi="Times" w:cstheme="minorHAnsi"/>
        </w:rPr>
        <w:t xml:space="preserve"> [2015] UKSC 43; [2015] Bus LR 987, para 14, where it was described as the ‘fundamental principle of the common law of damages’.  It has also been described as the ‘ruling principle’ (</w:t>
      </w:r>
      <w:r w:rsidRPr="006955AF">
        <w:rPr>
          <w:rFonts w:ascii="Times" w:hAnsi="Times" w:cstheme="minorHAnsi"/>
          <w:i/>
        </w:rPr>
        <w:t>Wertheim v Chicoutimi Pulp Co</w:t>
      </w:r>
      <w:r w:rsidRPr="006955AF">
        <w:rPr>
          <w:rFonts w:ascii="Times" w:hAnsi="Times" w:cstheme="minorHAnsi"/>
        </w:rPr>
        <w:t xml:space="preserve"> [1911] AC 301, 307), the ‘fundamental basis’ for </w:t>
      </w:r>
      <w:r w:rsidRPr="006955AF">
        <w:rPr>
          <w:rFonts w:ascii="Times" w:hAnsi="Times" w:cstheme="minorHAnsi"/>
        </w:rPr>
        <w:lastRenderedPageBreak/>
        <w:t>assessing damages (</w:t>
      </w:r>
      <w:r w:rsidRPr="006955AF">
        <w:rPr>
          <w:rFonts w:ascii="Times" w:hAnsi="Times" w:cstheme="minorHAnsi"/>
          <w:i/>
        </w:rPr>
        <w:t>British Westinghouse Electric and Manufacturing Co Ltd v Underground Electric Railways Co of London Ltd (No 2)</w:t>
      </w:r>
      <w:r w:rsidRPr="006955AF">
        <w:rPr>
          <w:rFonts w:ascii="Times" w:hAnsi="Times" w:cstheme="minorHAnsi"/>
        </w:rPr>
        <w:t xml:space="preserve"> [1912] AC 673, 689), and the ‘lodestar’ (</w:t>
      </w:r>
      <w:r w:rsidRPr="006955AF">
        <w:rPr>
          <w:rFonts w:ascii="Times" w:hAnsi="Times" w:cstheme="minorHAnsi"/>
          <w:i/>
        </w:rPr>
        <w:t>Golden Strait Corpn v Nippon Yusen Kubishika Kaisha (The Golden Victory)</w:t>
      </w:r>
      <w:r w:rsidRPr="006955AF">
        <w:rPr>
          <w:rFonts w:ascii="Times" w:hAnsi="Times" w:cstheme="minorHAnsi"/>
        </w:rPr>
        <w:t xml:space="preserve"> [2007] UKHL 12; [2007] 2 AC 353, para 36).</w:t>
      </w:r>
      <w:r w:rsidR="00E019A5">
        <w:rPr>
          <w:rFonts w:ascii="Times" w:hAnsi="Times" w:cstheme="minorHAnsi"/>
        </w:rPr>
        <w:t>”</w:t>
      </w:r>
    </w:p>
    <w:p w14:paraId="16F04856" w14:textId="77777777" w:rsidR="00911CEC" w:rsidRPr="006955AF" w:rsidRDefault="00911CEC" w:rsidP="00A217B5">
      <w:pPr>
        <w:spacing w:line="360" w:lineRule="auto"/>
        <w:jc w:val="both"/>
        <w:rPr>
          <w:rFonts w:ascii="Times" w:hAnsi="Times" w:cstheme="minorHAnsi"/>
        </w:rPr>
      </w:pPr>
    </w:p>
    <w:p w14:paraId="1B13D473" w14:textId="77777777" w:rsidR="00911CEC" w:rsidRPr="006955AF" w:rsidRDefault="00911CEC" w:rsidP="00A217B5">
      <w:pPr>
        <w:spacing w:line="360" w:lineRule="auto"/>
        <w:jc w:val="both"/>
        <w:rPr>
          <w:rFonts w:ascii="Times" w:hAnsi="Times" w:cstheme="minorHAnsi"/>
        </w:rPr>
      </w:pPr>
      <w:r w:rsidRPr="006955AF">
        <w:rPr>
          <w:rFonts w:ascii="Times" w:hAnsi="Times" w:cstheme="minorHAnsi"/>
        </w:rPr>
        <w:t>He continued:</w:t>
      </w:r>
      <w:r w:rsidRPr="006955AF">
        <w:rPr>
          <w:rStyle w:val="FootnoteReference"/>
        </w:rPr>
        <w:footnoteReference w:id="105"/>
      </w:r>
    </w:p>
    <w:p w14:paraId="62CA0502" w14:textId="77777777" w:rsidR="00911CEC" w:rsidRPr="006955AF" w:rsidRDefault="00911CEC" w:rsidP="00A217B5">
      <w:pPr>
        <w:spacing w:line="360" w:lineRule="auto"/>
        <w:jc w:val="both"/>
        <w:rPr>
          <w:rFonts w:ascii="Times" w:hAnsi="Times" w:cstheme="minorHAnsi"/>
        </w:rPr>
      </w:pPr>
    </w:p>
    <w:p w14:paraId="7B2F17A2" w14:textId="78A3FDFB" w:rsidR="00911CEC" w:rsidRPr="006955AF" w:rsidRDefault="00911CEC" w:rsidP="00A217B5">
      <w:pPr>
        <w:spacing w:line="360" w:lineRule="auto"/>
        <w:ind w:left="720"/>
        <w:jc w:val="both"/>
        <w:rPr>
          <w:rFonts w:ascii="Times" w:hAnsi="Times" w:cstheme="minorHAnsi"/>
        </w:rPr>
      </w:pPr>
      <w:r w:rsidRPr="006955AF">
        <w:rPr>
          <w:rFonts w:ascii="Times" w:hAnsi="Times" w:cstheme="minorHAnsi"/>
        </w:rPr>
        <w:t xml:space="preserve">“The compensatory nature of damages for breach of contract, and the nature of the loss for which they are designed to compensate, were explained by Lord Diplock in </w:t>
      </w:r>
      <w:r w:rsidRPr="006955AF">
        <w:rPr>
          <w:rFonts w:ascii="Times" w:hAnsi="Times" w:cstheme="minorHAnsi"/>
          <w:i/>
        </w:rPr>
        <w:t>Photo Production Ltd v Securicor Transport Ltd</w:t>
      </w:r>
      <w:r w:rsidRPr="006955AF">
        <w:rPr>
          <w:rFonts w:ascii="Times" w:hAnsi="Times" w:cstheme="minorHAnsi"/>
        </w:rPr>
        <w:t xml:space="preserve"> [1980] AC 827, 848-849.  As his Lordship stated, a contract is the source of primary legal obligations upon each party to it to procure that whatever he has promised will be done is done.  Leaving aside the comparatively rare cases in which the court is able to enforce a primary obligation by decreeing specific performance of it,</w:t>
      </w:r>
      <w:r w:rsidR="00E019A5">
        <w:rPr>
          <w:rFonts w:ascii="Times" w:hAnsi="Times" w:cstheme="minorHAnsi"/>
        </w:rPr>
        <w:t xml:space="preserve"> </w:t>
      </w:r>
      <w:r w:rsidRPr="006955AF">
        <w:rPr>
          <w:rFonts w:ascii="Times" w:hAnsi="Times" w:cstheme="minorHAnsi"/>
        </w:rPr>
        <w:t>breaches of primary obligations give rise to ‘substituted or secondary obligations’ on the part of the party in default.  Those secondary obligations of the contract breaker arise by implication of law:</w:t>
      </w:r>
    </w:p>
    <w:p w14:paraId="58AA8FFF" w14:textId="77777777" w:rsidR="00911CEC" w:rsidRPr="006955AF" w:rsidRDefault="00911CEC" w:rsidP="00A217B5">
      <w:pPr>
        <w:spacing w:line="360" w:lineRule="auto"/>
        <w:jc w:val="both"/>
        <w:rPr>
          <w:rFonts w:ascii="Times" w:hAnsi="Times" w:cstheme="minorHAnsi"/>
        </w:rPr>
      </w:pPr>
    </w:p>
    <w:p w14:paraId="22630414" w14:textId="77777777" w:rsidR="00911CEC" w:rsidRPr="006955AF" w:rsidRDefault="00911CEC" w:rsidP="00A217B5">
      <w:pPr>
        <w:spacing w:line="360" w:lineRule="auto"/>
        <w:ind w:left="1440"/>
        <w:jc w:val="both"/>
        <w:rPr>
          <w:rFonts w:ascii="Times" w:hAnsi="Times" w:cstheme="minorHAnsi"/>
        </w:rPr>
      </w:pPr>
      <w:r w:rsidRPr="006955AF">
        <w:rPr>
          <w:rFonts w:ascii="Times" w:hAnsi="Times" w:cstheme="minorHAnsi"/>
        </w:rPr>
        <w:t>‘The contract, however, is just as much the source of secondary obligations as it is of primary obligations...  Every failure to perform a primary obligation is a breach of contract.  The secondary obligation on the part of the contract breaker to which it gives rise by implication of the common law is to pay monetary compensation to the other party for the loss sustained by him in consequence of the breach...’ (p 849)</w:t>
      </w:r>
    </w:p>
    <w:p w14:paraId="4BA02FF5" w14:textId="77777777" w:rsidR="00911CEC" w:rsidRPr="006955AF" w:rsidRDefault="00911CEC" w:rsidP="00A217B5">
      <w:pPr>
        <w:spacing w:line="360" w:lineRule="auto"/>
        <w:jc w:val="both"/>
        <w:rPr>
          <w:rFonts w:ascii="Times" w:hAnsi="Times" w:cstheme="minorHAnsi"/>
        </w:rPr>
      </w:pPr>
    </w:p>
    <w:p w14:paraId="5B5CA8C9" w14:textId="77777777" w:rsidR="00911CEC" w:rsidRPr="006955AF" w:rsidRDefault="00911CEC" w:rsidP="00A217B5">
      <w:pPr>
        <w:spacing w:line="360" w:lineRule="auto"/>
        <w:ind w:left="720"/>
        <w:jc w:val="both"/>
        <w:rPr>
          <w:rFonts w:ascii="Times" w:hAnsi="Times" w:cstheme="minorHAnsi"/>
        </w:rPr>
      </w:pPr>
      <w:r w:rsidRPr="006955AF">
        <w:rPr>
          <w:rFonts w:ascii="Times" w:hAnsi="Times" w:cstheme="minorHAnsi"/>
        </w:rPr>
        <w:t xml:space="preserve">“Damages for breach of contract are in that sense a substitute for performance.  That is why they are generally regarded as an adequate remedy.  The courts will not prevent self-interested breaches of contract where the interests of the innocent party can be adequately protected by an award of damages.  Nor will the courts award damages designed to deprive the contract breaker of any profit he may have made as a consequence of his failure in performance.  Their function is confined to enforcing either the primary obligation to perform, or the contract breaker’s secondary obligation </w:t>
      </w:r>
      <w:r w:rsidRPr="006955AF">
        <w:rPr>
          <w:rFonts w:ascii="Times" w:hAnsi="Times" w:cstheme="minorHAnsi"/>
        </w:rPr>
        <w:lastRenderedPageBreak/>
        <w:t xml:space="preserve">to pay damages as a substitute for performance (subject, according to the decision in </w:t>
      </w:r>
      <w:r w:rsidRPr="006955AF">
        <w:rPr>
          <w:rFonts w:ascii="Times" w:hAnsi="Times" w:cstheme="minorHAnsi"/>
          <w:i/>
        </w:rPr>
        <w:t>Attorney General v Blake</w:t>
      </w:r>
      <w:r w:rsidRPr="006955AF">
        <w:rPr>
          <w:rFonts w:ascii="Times" w:hAnsi="Times" w:cstheme="minorHAnsi"/>
        </w:rPr>
        <w:t>, to a discretion to order an account of profits in exceptional circumstances where the other remedies are inadequate).  The damages awarded cannot therefore be affected by whether the breach was deliberate or self-interested.”</w:t>
      </w:r>
    </w:p>
    <w:p w14:paraId="0CC41E9C" w14:textId="77777777" w:rsidR="00911CEC" w:rsidRPr="006955AF" w:rsidRDefault="00911CEC" w:rsidP="00A217B5">
      <w:pPr>
        <w:spacing w:line="360" w:lineRule="auto"/>
        <w:jc w:val="both"/>
        <w:rPr>
          <w:rFonts w:ascii="Times" w:hAnsi="Times" w:cstheme="minorHAnsi"/>
        </w:rPr>
      </w:pPr>
    </w:p>
    <w:p w14:paraId="5AD6F640" w14:textId="77777777" w:rsidR="00911CEC" w:rsidRPr="006955AF" w:rsidRDefault="00911CEC" w:rsidP="00A217B5">
      <w:pPr>
        <w:spacing w:line="360" w:lineRule="auto"/>
        <w:jc w:val="both"/>
        <w:rPr>
          <w:rFonts w:ascii="Times" w:hAnsi="Times" w:cstheme="minorHAnsi"/>
        </w:rPr>
      </w:pPr>
      <w:r w:rsidRPr="006955AF">
        <w:rPr>
          <w:rFonts w:ascii="Times" w:hAnsi="Times" w:cstheme="minorHAnsi"/>
        </w:rPr>
        <w:t>Much that is vital can be unpacked from these paragraphs.</w:t>
      </w:r>
    </w:p>
    <w:p w14:paraId="03B1DC35" w14:textId="77777777" w:rsidR="00911CEC" w:rsidRPr="006955AF" w:rsidRDefault="00911CEC" w:rsidP="00A217B5">
      <w:pPr>
        <w:spacing w:line="360" w:lineRule="auto"/>
        <w:jc w:val="both"/>
        <w:rPr>
          <w:rFonts w:ascii="Times" w:hAnsi="Times" w:cstheme="minorHAnsi"/>
        </w:rPr>
      </w:pPr>
    </w:p>
    <w:p w14:paraId="42B43E79" w14:textId="66FF197C" w:rsidR="00EB7900" w:rsidRDefault="00911CEC" w:rsidP="00A217B5">
      <w:pPr>
        <w:spacing w:line="360" w:lineRule="auto"/>
        <w:jc w:val="both"/>
        <w:rPr>
          <w:rFonts w:ascii="Times" w:hAnsi="Times" w:cstheme="minorHAnsi"/>
        </w:rPr>
      </w:pPr>
      <w:r w:rsidRPr="006955AF">
        <w:rPr>
          <w:rFonts w:ascii="Times" w:hAnsi="Times" w:cstheme="minorHAnsi"/>
        </w:rPr>
        <w:t>First, only in “comparatively rare cases” will a court actually compel performance of a contract through an order for specific performance (or, occasionally, by an injunction)</w:t>
      </w:r>
      <w:r w:rsidR="00DC4E48" w:rsidRPr="006955AF">
        <w:rPr>
          <w:rFonts w:ascii="Times" w:hAnsi="Times" w:cstheme="minorHAnsi"/>
        </w:rPr>
        <w:t xml:space="preserve"> or an award based on cost of cure</w:t>
      </w:r>
      <w:r w:rsidRPr="006955AF">
        <w:rPr>
          <w:rFonts w:ascii="Times" w:hAnsi="Times" w:cstheme="minorHAnsi"/>
        </w:rPr>
        <w:t>.</w:t>
      </w:r>
      <w:r w:rsidR="00DC4E48" w:rsidRPr="006955AF">
        <w:rPr>
          <w:rStyle w:val="FootnoteReference"/>
          <w:rFonts w:cstheme="minorHAnsi"/>
        </w:rPr>
        <w:footnoteReference w:id="106"/>
      </w:r>
      <w:r w:rsidRPr="006955AF">
        <w:rPr>
          <w:rFonts w:ascii="Times" w:hAnsi="Times" w:cstheme="minorHAnsi"/>
        </w:rPr>
        <w:t xml:space="preserve">  In the </w:t>
      </w:r>
      <w:r w:rsidR="0093302F">
        <w:rPr>
          <w:rFonts w:ascii="Times" w:hAnsi="Times" w:cstheme="minorHAnsi"/>
        </w:rPr>
        <w:t xml:space="preserve">great </w:t>
      </w:r>
      <w:r w:rsidRPr="006955AF">
        <w:rPr>
          <w:rFonts w:ascii="Times" w:hAnsi="Times" w:cstheme="minorHAnsi"/>
        </w:rPr>
        <w:t>majority of cases, damages in lieu of actual performance is the remedy.  This contrasts sharply with the law of trusts</w:t>
      </w:r>
      <w:r w:rsidR="0091555E" w:rsidRPr="006955AF">
        <w:rPr>
          <w:rFonts w:ascii="Times" w:hAnsi="Times" w:cstheme="minorHAnsi"/>
        </w:rPr>
        <w:t xml:space="preserve">, </w:t>
      </w:r>
      <w:r w:rsidR="006F1976">
        <w:rPr>
          <w:rFonts w:ascii="Times" w:hAnsi="Times" w:cstheme="minorHAnsi"/>
        </w:rPr>
        <w:t xml:space="preserve">in which </w:t>
      </w:r>
      <w:r w:rsidRPr="006955AF">
        <w:rPr>
          <w:rFonts w:ascii="Times" w:hAnsi="Times" w:cstheme="minorHAnsi"/>
        </w:rPr>
        <w:t>there are a good number of mechanisms habitually employed for securing actual performance of the trust.</w:t>
      </w:r>
      <w:r w:rsidRPr="006955AF">
        <w:rPr>
          <w:rStyle w:val="FootnoteReference"/>
        </w:rPr>
        <w:footnoteReference w:id="107"/>
      </w:r>
      <w:r w:rsidRPr="006955AF">
        <w:rPr>
          <w:rFonts w:ascii="Times" w:hAnsi="Times" w:cstheme="minorHAnsi"/>
        </w:rPr>
        <w:t xml:space="preserve">  So it is certainly possible that the interest in actual performance of a contract should be strong enough that the courts will secure actual performance of the contract; but such a strong interest in performance is certainly not universal.  Indeed, it is “comparatively rare”.</w:t>
      </w:r>
    </w:p>
    <w:p w14:paraId="5EF133C8" w14:textId="665C5C7E" w:rsidR="00EB7900" w:rsidRDefault="00EB7900" w:rsidP="00A217B5">
      <w:pPr>
        <w:spacing w:line="360" w:lineRule="auto"/>
        <w:jc w:val="both"/>
        <w:rPr>
          <w:rFonts w:ascii="Times" w:hAnsi="Times" w:cstheme="minorHAnsi"/>
        </w:rPr>
      </w:pPr>
    </w:p>
    <w:p w14:paraId="31C9400D" w14:textId="59D1C808" w:rsidR="008F0DD5" w:rsidRDefault="00EB7900" w:rsidP="00A217B5">
      <w:pPr>
        <w:spacing w:line="360" w:lineRule="auto"/>
        <w:jc w:val="both"/>
        <w:rPr>
          <w:rFonts w:ascii="Times" w:hAnsi="Times" w:cstheme="minorHAnsi"/>
        </w:rPr>
      </w:pPr>
      <w:r>
        <w:rPr>
          <w:rFonts w:ascii="Times" w:hAnsi="Times" w:cstheme="minorHAnsi"/>
        </w:rPr>
        <w:t xml:space="preserve">There is one area of the law that might, at first sight, </w:t>
      </w:r>
      <w:r w:rsidR="003D2237">
        <w:rPr>
          <w:rFonts w:ascii="Times" w:hAnsi="Times" w:cstheme="minorHAnsi"/>
        </w:rPr>
        <w:t xml:space="preserve">suggest a greater willingness to procure the </w:t>
      </w:r>
      <w:r w:rsidR="00487499">
        <w:rPr>
          <w:rFonts w:ascii="Times" w:hAnsi="Times" w:cstheme="minorHAnsi"/>
        </w:rPr>
        <w:t>“</w:t>
      </w:r>
      <w:r w:rsidR="003D2237">
        <w:rPr>
          <w:rFonts w:ascii="Times" w:hAnsi="Times" w:cstheme="minorHAnsi"/>
        </w:rPr>
        <w:t>performance</w:t>
      </w:r>
      <w:r w:rsidR="00487499">
        <w:rPr>
          <w:rFonts w:ascii="Times" w:hAnsi="Times" w:cstheme="minorHAnsi"/>
        </w:rPr>
        <w:t>”</w:t>
      </w:r>
      <w:r w:rsidR="003D2237">
        <w:rPr>
          <w:rFonts w:ascii="Times" w:hAnsi="Times" w:cstheme="minorHAnsi"/>
        </w:rPr>
        <w:t xml:space="preserve"> of a contract:  cases where a court will issue an injunction to enforce a “negative obligation”, that is, a contractual obligation to desist from certain action.</w:t>
      </w:r>
      <w:r w:rsidR="0026193C">
        <w:rPr>
          <w:rStyle w:val="FootnoteReference"/>
          <w:rFonts w:cstheme="minorHAnsi"/>
        </w:rPr>
        <w:footnoteReference w:id="108"/>
      </w:r>
      <w:r w:rsidR="003D2237">
        <w:rPr>
          <w:rFonts w:ascii="Times" w:hAnsi="Times" w:cstheme="minorHAnsi"/>
        </w:rPr>
        <w:t xml:space="preserve">  Here, it is not uncommon for an injunction to issue, provided the obligation is truly negative, in the sense that complete inactivity would amount to “performance” of that obligation</w:t>
      </w:r>
      <w:r w:rsidR="00771A01">
        <w:rPr>
          <w:rFonts w:ascii="Times" w:hAnsi="Times" w:cstheme="minorHAnsi"/>
        </w:rPr>
        <w:t>:</w:t>
      </w:r>
      <w:r w:rsidR="003D2237">
        <w:rPr>
          <w:rFonts w:ascii="Times" w:hAnsi="Times" w:cstheme="minorHAnsi"/>
        </w:rPr>
        <w:t xml:space="preserve">  </w:t>
      </w:r>
      <w:r w:rsidR="00771A01">
        <w:rPr>
          <w:rFonts w:ascii="Times" w:hAnsi="Times" w:cstheme="minorHAnsi"/>
        </w:rPr>
        <w:t>t</w:t>
      </w:r>
      <w:r w:rsidR="00487499">
        <w:rPr>
          <w:rFonts w:ascii="Times" w:hAnsi="Times" w:cstheme="minorHAnsi"/>
        </w:rPr>
        <w:t>he key to this area of the law is that the “performance” in question is inactivity.</w:t>
      </w:r>
      <w:r w:rsidR="00771A01">
        <w:rPr>
          <w:rStyle w:val="FootnoteReference"/>
          <w:rFonts w:cstheme="minorHAnsi"/>
        </w:rPr>
        <w:footnoteReference w:id="109"/>
      </w:r>
      <w:r w:rsidR="00487499">
        <w:rPr>
          <w:rFonts w:ascii="Times" w:hAnsi="Times" w:cstheme="minorHAnsi"/>
        </w:rPr>
        <w:t xml:space="preserve">  The law of contract, supplemented by the auxiliary jurisdiction of equity, still does not require action of the person subject to the contractual negative obligation, </w:t>
      </w:r>
      <w:r w:rsidR="00771A01">
        <w:rPr>
          <w:rFonts w:ascii="Times" w:hAnsi="Times" w:cstheme="minorHAnsi"/>
        </w:rPr>
        <w:t xml:space="preserve">just inaction.  By contrast, </w:t>
      </w:r>
      <w:r w:rsidR="00487499">
        <w:rPr>
          <w:rFonts w:ascii="Times" w:hAnsi="Times" w:cstheme="minorHAnsi"/>
        </w:rPr>
        <w:t xml:space="preserve">the law of trusts can </w:t>
      </w:r>
      <w:r w:rsidR="00487499">
        <w:rPr>
          <w:rFonts w:ascii="Times" w:hAnsi="Times" w:cstheme="minorHAnsi"/>
        </w:rPr>
        <w:lastRenderedPageBreak/>
        <w:t xml:space="preserve">and does require a trustee to take all action necessary to execute the trust.  </w:t>
      </w:r>
      <w:r w:rsidR="00771A01">
        <w:rPr>
          <w:rFonts w:ascii="Times" w:hAnsi="Times" w:cstheme="minorHAnsi"/>
        </w:rPr>
        <w:t xml:space="preserve">The distinction between the law of contract and the law of trusts in their approach to performance still stands. </w:t>
      </w:r>
    </w:p>
    <w:p w14:paraId="599F83CC" w14:textId="77777777" w:rsidR="00911CEC" w:rsidRPr="006955AF" w:rsidRDefault="00911CEC" w:rsidP="00A217B5">
      <w:pPr>
        <w:spacing w:line="360" w:lineRule="auto"/>
        <w:jc w:val="both"/>
        <w:rPr>
          <w:rFonts w:ascii="Times" w:hAnsi="Times" w:cstheme="minorHAnsi"/>
        </w:rPr>
      </w:pPr>
    </w:p>
    <w:p w14:paraId="57901288" w14:textId="33B23BE2" w:rsidR="00911CEC" w:rsidRPr="006955AF" w:rsidRDefault="00911CEC" w:rsidP="00A217B5">
      <w:pPr>
        <w:spacing w:line="360" w:lineRule="auto"/>
        <w:jc w:val="both"/>
        <w:rPr>
          <w:rFonts w:ascii="Times" w:hAnsi="Times" w:cstheme="minorHAnsi"/>
        </w:rPr>
      </w:pPr>
      <w:r w:rsidRPr="006955AF">
        <w:rPr>
          <w:rFonts w:ascii="Times" w:hAnsi="Times" w:cstheme="minorHAnsi"/>
        </w:rPr>
        <w:t>Secondly, a breach of contract will very rarely result in an account of profits made by the party in breach as a result of h</w:t>
      </w:r>
      <w:r w:rsidR="006F1976">
        <w:rPr>
          <w:rFonts w:ascii="Times" w:hAnsi="Times" w:cstheme="minorHAnsi"/>
        </w:rPr>
        <w:t>is</w:t>
      </w:r>
      <w:r w:rsidRPr="006955AF">
        <w:rPr>
          <w:rFonts w:ascii="Times" w:hAnsi="Times" w:cstheme="minorHAnsi"/>
        </w:rPr>
        <w:t xml:space="preserve"> breach.  While </w:t>
      </w:r>
      <w:r w:rsidRPr="006955AF">
        <w:rPr>
          <w:rFonts w:ascii="Times" w:hAnsi="Times" w:cstheme="minorHAnsi"/>
          <w:i/>
        </w:rPr>
        <w:t>Attorney General v Blake</w:t>
      </w:r>
      <w:r w:rsidRPr="006955AF">
        <w:rPr>
          <w:rStyle w:val="FootnoteReference"/>
        </w:rPr>
        <w:footnoteReference w:id="110"/>
      </w:r>
      <w:r w:rsidRPr="006955AF">
        <w:rPr>
          <w:rFonts w:ascii="Times" w:hAnsi="Times" w:cstheme="minorHAnsi"/>
        </w:rPr>
        <w:t xml:space="preserve"> is a high-profile case, and the subject of much comment,</w:t>
      </w:r>
      <w:r w:rsidRPr="006955AF">
        <w:rPr>
          <w:rStyle w:val="FootnoteReference"/>
        </w:rPr>
        <w:footnoteReference w:id="111"/>
      </w:r>
      <w:r w:rsidRPr="006955AF">
        <w:rPr>
          <w:rFonts w:ascii="Times" w:hAnsi="Times" w:cstheme="minorHAnsi"/>
        </w:rPr>
        <w:t xml:space="preserve"> it is a quite exceptional case.  In the majority of cases, a party may choose to commit a self-interested “efficient breach” of contract and profit by that breach.  The interests of the innocent party are then adequately protected by an award of damages.  The exceptional case, such as </w:t>
      </w:r>
      <w:r w:rsidRPr="006955AF">
        <w:rPr>
          <w:rFonts w:ascii="Times" w:hAnsi="Times" w:cstheme="minorHAnsi"/>
          <w:i/>
        </w:rPr>
        <w:t>Blake</w:t>
      </w:r>
      <w:r w:rsidRPr="006955AF">
        <w:rPr>
          <w:rFonts w:ascii="Times" w:hAnsi="Times" w:cstheme="minorHAnsi"/>
        </w:rPr>
        <w:t>, is the rare case where there is an extraordinarily strong interest in performance (that there should be no “efficient betrayal” of the Crown), but the remedies through which a strong interest in actual performance of the contract are normally given effect, remedies such as specific performance or an injunction, are unavailable or practically impossible to enforce.</w:t>
      </w:r>
    </w:p>
    <w:p w14:paraId="4D23DB0D" w14:textId="77777777" w:rsidR="00911CEC" w:rsidRPr="006955AF" w:rsidRDefault="00911CEC" w:rsidP="00A217B5">
      <w:pPr>
        <w:spacing w:line="360" w:lineRule="auto"/>
        <w:jc w:val="both"/>
        <w:rPr>
          <w:rFonts w:ascii="Times" w:hAnsi="Times" w:cstheme="minorHAnsi"/>
        </w:rPr>
      </w:pPr>
    </w:p>
    <w:p w14:paraId="73974DEC" w14:textId="77777777" w:rsidR="00911CEC" w:rsidRPr="006955AF" w:rsidRDefault="00911CEC" w:rsidP="00A217B5">
      <w:pPr>
        <w:spacing w:line="360" w:lineRule="auto"/>
        <w:jc w:val="both"/>
        <w:rPr>
          <w:rFonts w:ascii="Times" w:hAnsi="Times" w:cstheme="minorHAnsi"/>
        </w:rPr>
      </w:pPr>
      <w:r w:rsidRPr="006955AF">
        <w:rPr>
          <w:rFonts w:ascii="Times" w:hAnsi="Times" w:cstheme="minorHAnsi"/>
        </w:rPr>
        <w:t>This body of contract law stands in stark contrast to the law of trusts, where the beneficiaries’ interest in due performance of the trust is protected by the award, as a matter of course, of an account of profits made by the trustee in breach of trust or fiduciary duty.</w:t>
      </w:r>
      <w:r w:rsidRPr="006955AF">
        <w:rPr>
          <w:rStyle w:val="FootnoteReference"/>
        </w:rPr>
        <w:footnoteReference w:id="112"/>
      </w:r>
      <w:r w:rsidRPr="006955AF">
        <w:rPr>
          <w:rFonts w:ascii="Times" w:hAnsi="Times" w:cstheme="minorHAnsi"/>
        </w:rPr>
        <w:t xml:space="preserve">  It is true that, as a matter of doctrine, the order for an account of profits lies in the discretion of the court, and the court can mould the terms of the account to reflect the breach of duty and its circumstances; but the discretion is judicial, not arbitrary, and the account issues in the overwhelming majority of cases as a matter of course.</w:t>
      </w:r>
      <w:r w:rsidRPr="006955AF">
        <w:rPr>
          <w:rStyle w:val="FootnoteReference"/>
        </w:rPr>
        <w:footnoteReference w:id="113"/>
      </w:r>
    </w:p>
    <w:p w14:paraId="0E954C86" w14:textId="77777777" w:rsidR="00911CEC" w:rsidRPr="006955AF" w:rsidRDefault="00911CEC" w:rsidP="00A217B5">
      <w:pPr>
        <w:spacing w:line="360" w:lineRule="auto"/>
        <w:jc w:val="both"/>
        <w:rPr>
          <w:rFonts w:ascii="Times" w:hAnsi="Times" w:cstheme="minorHAnsi"/>
        </w:rPr>
      </w:pPr>
    </w:p>
    <w:p w14:paraId="10A578D7" w14:textId="6696C85D" w:rsidR="00911CEC" w:rsidRPr="006955AF" w:rsidRDefault="00911CEC" w:rsidP="00A217B5">
      <w:pPr>
        <w:spacing w:line="360" w:lineRule="auto"/>
        <w:jc w:val="both"/>
        <w:rPr>
          <w:rFonts w:ascii="Times" w:hAnsi="Times" w:cstheme="minorHAnsi"/>
        </w:rPr>
      </w:pPr>
      <w:r w:rsidRPr="006955AF">
        <w:rPr>
          <w:rFonts w:ascii="Times" w:hAnsi="Times" w:cstheme="minorHAnsi"/>
        </w:rPr>
        <w:t>In the vast majority of cases, that leaves an award of compensatory damages as the remedy for a breach of contract:  that is, “monetary compensation to the other party for the loss sustained by him in consequence of the breach.”</w:t>
      </w:r>
      <w:r w:rsidRPr="006955AF">
        <w:rPr>
          <w:rStyle w:val="FootnoteReference"/>
        </w:rPr>
        <w:footnoteReference w:id="114"/>
      </w:r>
      <w:r w:rsidRPr="006955AF">
        <w:rPr>
          <w:rFonts w:ascii="Times" w:hAnsi="Times" w:cstheme="minorHAnsi"/>
        </w:rPr>
        <w:t xml:space="preserve">  Of course, calculation of those damages can be a matter of dispute, and can be done in various ways, as witness the points at issue  in </w:t>
      </w:r>
      <w:r w:rsidRPr="006955AF">
        <w:rPr>
          <w:rFonts w:ascii="Times" w:hAnsi="Times" w:cstheme="minorHAnsi"/>
          <w:i/>
        </w:rPr>
        <w:t>Morris-</w:t>
      </w:r>
      <w:r w:rsidRPr="006955AF">
        <w:rPr>
          <w:rFonts w:ascii="Times" w:hAnsi="Times" w:cstheme="minorHAnsi"/>
          <w:i/>
        </w:rPr>
        <w:lastRenderedPageBreak/>
        <w:t>Garner v One Step (Support) Ltd</w:t>
      </w:r>
      <w:r w:rsidRPr="006955AF">
        <w:rPr>
          <w:rFonts w:ascii="Times" w:hAnsi="Times" w:cstheme="minorHAnsi"/>
        </w:rPr>
        <w:t xml:space="preserve"> itself.</w:t>
      </w:r>
      <w:r w:rsidRPr="006955AF">
        <w:rPr>
          <w:rStyle w:val="FootnoteReference"/>
        </w:rPr>
        <w:footnoteReference w:id="115"/>
      </w:r>
      <w:r w:rsidRPr="006955AF">
        <w:rPr>
          <w:rFonts w:ascii="Times" w:hAnsi="Times" w:cstheme="minorHAnsi"/>
        </w:rPr>
        <w:t xml:space="preserve">  But that must not obscure the fact that all these bases of calculation seek to make a monetary estimate, appropriate to the context and purpose of the contract, of loss which reasonably foreseeably results from breach of the contract.</w:t>
      </w:r>
      <w:r w:rsidRPr="006955AF">
        <w:rPr>
          <w:rStyle w:val="FootnoteReference"/>
        </w:rPr>
        <w:footnoteReference w:id="116"/>
      </w:r>
    </w:p>
    <w:p w14:paraId="37198083" w14:textId="77777777" w:rsidR="00911CEC" w:rsidRPr="006955AF" w:rsidRDefault="00911CEC" w:rsidP="00A217B5">
      <w:pPr>
        <w:spacing w:line="360" w:lineRule="auto"/>
        <w:jc w:val="both"/>
        <w:rPr>
          <w:rFonts w:ascii="Times" w:hAnsi="Times" w:cstheme="minorHAnsi"/>
        </w:rPr>
      </w:pPr>
    </w:p>
    <w:p w14:paraId="6863E21A" w14:textId="77777777" w:rsidR="00911CEC" w:rsidRPr="006955AF" w:rsidRDefault="00911CEC" w:rsidP="00A217B5">
      <w:pPr>
        <w:spacing w:line="360" w:lineRule="auto"/>
        <w:jc w:val="both"/>
        <w:rPr>
          <w:rFonts w:ascii="Times" w:hAnsi="Times" w:cstheme="minorHAnsi"/>
        </w:rPr>
      </w:pPr>
      <w:r w:rsidRPr="006955AF">
        <w:rPr>
          <w:rFonts w:ascii="Times" w:hAnsi="Times" w:cstheme="minorHAnsi"/>
        </w:rPr>
        <w:t>At a high level of generality, damages for breach of contract seek to compensate the innocent party from the reasonably foreseeable consequences of non-performance by the counterparty who is in breach of contract.  To that extent, damages protect the performance interest in contract.  But they do not necessarily aim to provide  the monetary equivalent of securing due performance.</w:t>
      </w:r>
      <w:r w:rsidRPr="006955AF">
        <w:rPr>
          <w:rStyle w:val="FootnoteReference"/>
        </w:rPr>
        <w:footnoteReference w:id="117"/>
      </w:r>
      <w:r w:rsidRPr="006955AF">
        <w:rPr>
          <w:rFonts w:ascii="Times" w:hAnsi="Times" w:cstheme="minorHAnsi"/>
        </w:rPr>
        <w:t xml:space="preserve">  While the damages awarded in a particular case may be the monetary equivalent (or best estimate) of performance, that is not their aim, which is rather compensation of sufficiently proximate loss caused by non-performance.  And where a contract is breached, and the sum required to secure performance of a contractual task does not match the sum which compensates for reasonably foreseeable loss caused by the breach, the latter sum will constitute the amount of damages awarded to remedy the breach.</w:t>
      </w:r>
      <w:r w:rsidRPr="006955AF">
        <w:rPr>
          <w:rStyle w:val="FootnoteReference"/>
        </w:rPr>
        <w:footnoteReference w:id="118"/>
      </w:r>
    </w:p>
    <w:p w14:paraId="5AE5E858" w14:textId="77777777" w:rsidR="00911CEC" w:rsidRPr="006955AF" w:rsidRDefault="00911CEC" w:rsidP="00A217B5">
      <w:pPr>
        <w:spacing w:line="360" w:lineRule="auto"/>
        <w:jc w:val="both"/>
        <w:rPr>
          <w:rFonts w:ascii="Times" w:hAnsi="Times" w:cstheme="minorHAnsi"/>
        </w:rPr>
      </w:pPr>
    </w:p>
    <w:p w14:paraId="410F5D32" w14:textId="77777777" w:rsidR="00911CEC" w:rsidRPr="006955AF" w:rsidRDefault="00911CEC" w:rsidP="00A217B5">
      <w:pPr>
        <w:spacing w:line="360" w:lineRule="auto"/>
        <w:jc w:val="both"/>
        <w:rPr>
          <w:rFonts w:ascii="Times" w:hAnsi="Times" w:cstheme="minorHAnsi"/>
        </w:rPr>
      </w:pPr>
      <w:r w:rsidRPr="006955AF">
        <w:rPr>
          <w:rFonts w:ascii="Times" w:hAnsi="Times" w:cstheme="minorHAnsi"/>
        </w:rPr>
        <w:t>By contrast, as has been seen, and again at a high level of generality, the law of trusts does seek to procure actual performance – due execution – of the trust through a variety of mechanisms.  And where actual performance of the trust is not feasible, or not required by the beneficiaries, the monetary remedies for breach of trust seek to protect performance, so a court can certainly order payment of the monetary equivalent of performance.</w:t>
      </w:r>
    </w:p>
    <w:p w14:paraId="05773038" w14:textId="77777777" w:rsidR="00911CEC" w:rsidRPr="006955AF" w:rsidRDefault="00911CEC" w:rsidP="00A217B5">
      <w:pPr>
        <w:spacing w:line="360" w:lineRule="auto"/>
        <w:jc w:val="both"/>
        <w:rPr>
          <w:rFonts w:ascii="Times" w:hAnsi="Times" w:cstheme="minorHAnsi"/>
        </w:rPr>
      </w:pPr>
    </w:p>
    <w:p w14:paraId="48817AC8" w14:textId="27AD644F" w:rsidR="00911CEC" w:rsidRPr="006955AF" w:rsidRDefault="00911CEC" w:rsidP="00A217B5">
      <w:pPr>
        <w:spacing w:line="360" w:lineRule="auto"/>
        <w:jc w:val="both"/>
        <w:rPr>
          <w:rFonts w:ascii="Times" w:hAnsi="Times" w:cstheme="minorHAnsi"/>
        </w:rPr>
      </w:pPr>
      <w:r w:rsidRPr="006955AF">
        <w:rPr>
          <w:rFonts w:ascii="Times" w:hAnsi="Times" w:cstheme="minorHAnsi"/>
        </w:rPr>
        <w:t xml:space="preserve">In summary, performance – “the performance interest” – in the law of contract is not accorded, and, without major change to our law of contract, cannot be accorded, the same significance or importance that it has in the law of trusts.  In the most general terms, </w:t>
      </w:r>
      <w:r w:rsidR="009A3280">
        <w:rPr>
          <w:rFonts w:ascii="Times" w:hAnsi="Times" w:cstheme="minorHAnsi"/>
        </w:rPr>
        <w:t xml:space="preserve">redressing harm (so far as possible to do so) </w:t>
      </w:r>
      <w:r w:rsidRPr="006955AF">
        <w:rPr>
          <w:rFonts w:ascii="Times" w:hAnsi="Times" w:cstheme="minorHAnsi"/>
        </w:rPr>
        <w:t xml:space="preserve">remains the </w:t>
      </w:r>
      <w:r w:rsidR="009A3280">
        <w:rPr>
          <w:rFonts w:ascii="Times" w:hAnsi="Times" w:cstheme="minorHAnsi"/>
        </w:rPr>
        <w:t xml:space="preserve">principal </w:t>
      </w:r>
      <w:r w:rsidRPr="006955AF">
        <w:rPr>
          <w:rFonts w:ascii="Times" w:hAnsi="Times" w:cstheme="minorHAnsi"/>
        </w:rPr>
        <w:t xml:space="preserve">concern of remedies for breach of contract, and thus of contract law itself.  In similarly general terms, securing performance is the </w:t>
      </w:r>
      <w:r w:rsidR="009A3280">
        <w:rPr>
          <w:rFonts w:ascii="Times" w:hAnsi="Times" w:cstheme="minorHAnsi"/>
        </w:rPr>
        <w:t>principal</w:t>
      </w:r>
      <w:r w:rsidRPr="006955AF">
        <w:rPr>
          <w:rFonts w:ascii="Times" w:hAnsi="Times" w:cstheme="minorHAnsi"/>
        </w:rPr>
        <w:t xml:space="preserve"> concern of the law of trusts.</w:t>
      </w:r>
    </w:p>
    <w:p w14:paraId="2A502B77" w14:textId="77777777" w:rsidR="00911CEC" w:rsidRPr="006955AF" w:rsidRDefault="00911CEC" w:rsidP="00A217B5">
      <w:pPr>
        <w:spacing w:line="360" w:lineRule="auto"/>
        <w:jc w:val="both"/>
        <w:rPr>
          <w:rFonts w:ascii="Times" w:hAnsi="Times" w:cstheme="minorHAnsi"/>
        </w:rPr>
      </w:pPr>
    </w:p>
    <w:p w14:paraId="60A041C8" w14:textId="66B58A56" w:rsidR="00911CEC" w:rsidRPr="00FE2069" w:rsidRDefault="00317D21" w:rsidP="00A217B5">
      <w:pPr>
        <w:pStyle w:val="ListParagraph"/>
        <w:numPr>
          <w:ilvl w:val="0"/>
          <w:numId w:val="6"/>
        </w:numPr>
        <w:spacing w:line="360" w:lineRule="auto"/>
        <w:jc w:val="both"/>
        <w:rPr>
          <w:rFonts w:ascii="Times" w:hAnsi="Times" w:cstheme="minorHAnsi"/>
        </w:rPr>
      </w:pPr>
      <w:r w:rsidRPr="00FE2069">
        <w:rPr>
          <w:rFonts w:ascii="Times" w:hAnsi="Times" w:cstheme="minorHAnsi"/>
          <w:i/>
        </w:rPr>
        <w:lastRenderedPageBreak/>
        <w:t>Implications</w:t>
      </w:r>
    </w:p>
    <w:p w14:paraId="000279A6" w14:textId="7A0174FF" w:rsidR="00317D21" w:rsidRPr="006955AF" w:rsidRDefault="00317D21" w:rsidP="00A217B5">
      <w:pPr>
        <w:spacing w:line="360" w:lineRule="auto"/>
        <w:jc w:val="both"/>
        <w:rPr>
          <w:rFonts w:ascii="Times" w:hAnsi="Times" w:cstheme="minorHAnsi"/>
          <w:i/>
        </w:rPr>
      </w:pPr>
    </w:p>
    <w:p w14:paraId="24F25479" w14:textId="6E483C70" w:rsidR="00317D21" w:rsidRPr="006955AF" w:rsidRDefault="00D3444E" w:rsidP="00A217B5">
      <w:pPr>
        <w:spacing w:line="360" w:lineRule="auto"/>
        <w:jc w:val="both"/>
        <w:rPr>
          <w:rFonts w:ascii="Times" w:hAnsi="Times" w:cstheme="minorHAnsi"/>
        </w:rPr>
      </w:pPr>
      <w:r w:rsidRPr="006955AF">
        <w:rPr>
          <w:rFonts w:ascii="Times" w:hAnsi="Times" w:cstheme="minorHAnsi"/>
        </w:rPr>
        <w:t xml:space="preserve">What </w:t>
      </w:r>
      <w:r w:rsidR="006F1976">
        <w:rPr>
          <w:rFonts w:ascii="Times" w:hAnsi="Times" w:cstheme="minorHAnsi"/>
        </w:rPr>
        <w:t xml:space="preserve">emerges </w:t>
      </w:r>
      <w:r w:rsidRPr="006955AF">
        <w:rPr>
          <w:rFonts w:ascii="Times" w:hAnsi="Times" w:cstheme="minorHAnsi"/>
        </w:rPr>
        <w:t>clearly from the foregoing survey is</w:t>
      </w:r>
      <w:r w:rsidR="003055E7">
        <w:rPr>
          <w:rFonts w:ascii="Times" w:hAnsi="Times" w:cstheme="minorHAnsi"/>
        </w:rPr>
        <w:t xml:space="preserve"> </w:t>
      </w:r>
      <w:r w:rsidRPr="006955AF">
        <w:rPr>
          <w:rFonts w:ascii="Times" w:hAnsi="Times" w:cstheme="minorHAnsi"/>
        </w:rPr>
        <w:t xml:space="preserve">the vital importance of remedies in the </w:t>
      </w:r>
      <w:r w:rsidR="00CD3235" w:rsidRPr="006955AF">
        <w:rPr>
          <w:rFonts w:ascii="Times" w:hAnsi="Times" w:cstheme="minorHAnsi"/>
        </w:rPr>
        <w:t>theory</w:t>
      </w:r>
      <w:r w:rsidR="003055E7">
        <w:rPr>
          <w:rFonts w:ascii="Times" w:hAnsi="Times" w:cstheme="minorHAnsi"/>
        </w:rPr>
        <w:t>,</w:t>
      </w:r>
      <w:r w:rsidR="00CD3235" w:rsidRPr="006955AF">
        <w:rPr>
          <w:rFonts w:ascii="Times" w:hAnsi="Times" w:cstheme="minorHAnsi"/>
        </w:rPr>
        <w:t xml:space="preserve"> as well as the practice</w:t>
      </w:r>
      <w:r w:rsidR="003055E7">
        <w:rPr>
          <w:rFonts w:ascii="Times" w:hAnsi="Times" w:cstheme="minorHAnsi"/>
        </w:rPr>
        <w:t>,</w:t>
      </w:r>
      <w:r w:rsidR="00CD3235" w:rsidRPr="006955AF">
        <w:rPr>
          <w:rFonts w:ascii="Times" w:hAnsi="Times" w:cstheme="minorHAnsi"/>
        </w:rPr>
        <w:t xml:space="preserve"> of the </w:t>
      </w:r>
      <w:r w:rsidRPr="006955AF">
        <w:rPr>
          <w:rFonts w:ascii="Times" w:hAnsi="Times" w:cstheme="minorHAnsi"/>
        </w:rPr>
        <w:t>law.  What is practically possible for a court system in a particular society shapes the available remedies a court may decree.  Within that realm, choice narrows the range of remedies further.  And what remedies may be decreed vitally shapes the content of rights protected.</w:t>
      </w:r>
    </w:p>
    <w:p w14:paraId="076C37A2" w14:textId="5D9EFF84" w:rsidR="00D3444E" w:rsidRPr="006955AF" w:rsidRDefault="00D3444E" w:rsidP="00A217B5">
      <w:pPr>
        <w:spacing w:line="360" w:lineRule="auto"/>
        <w:jc w:val="both"/>
        <w:rPr>
          <w:rFonts w:ascii="Times" w:hAnsi="Times" w:cstheme="minorHAnsi"/>
        </w:rPr>
      </w:pPr>
    </w:p>
    <w:p w14:paraId="37BD579A" w14:textId="27C7532C" w:rsidR="00D3444E" w:rsidRPr="006955AF" w:rsidRDefault="00D3444E" w:rsidP="00A217B5">
      <w:pPr>
        <w:spacing w:line="360" w:lineRule="auto"/>
        <w:jc w:val="both"/>
        <w:rPr>
          <w:rFonts w:ascii="Times" w:hAnsi="Times" w:cstheme="minorHAnsi"/>
        </w:rPr>
      </w:pPr>
      <w:r w:rsidRPr="006955AF">
        <w:rPr>
          <w:rFonts w:ascii="Times" w:hAnsi="Times" w:cstheme="minorHAnsi"/>
        </w:rPr>
        <w:t>In the law of trusts, the courts have</w:t>
      </w:r>
      <w:r w:rsidR="00BF6B60" w:rsidRPr="006955AF">
        <w:rPr>
          <w:rFonts w:ascii="Times" w:hAnsi="Times" w:cstheme="minorHAnsi"/>
        </w:rPr>
        <w:t>,</w:t>
      </w:r>
      <w:r w:rsidRPr="006955AF">
        <w:rPr>
          <w:rFonts w:ascii="Times" w:hAnsi="Times" w:cstheme="minorHAnsi"/>
        </w:rPr>
        <w:t xml:space="preserve"> </w:t>
      </w:r>
      <w:r w:rsidR="00BF6B60" w:rsidRPr="006955AF">
        <w:rPr>
          <w:rFonts w:ascii="Times" w:hAnsi="Times" w:cstheme="minorHAnsi"/>
        </w:rPr>
        <w:t>through the range of judicial remedies that respond to threatened or real non-performance of a trust, pri</w:t>
      </w:r>
      <w:r w:rsidRPr="006955AF">
        <w:rPr>
          <w:rFonts w:ascii="Times" w:hAnsi="Times" w:cstheme="minorHAnsi"/>
        </w:rPr>
        <w:t xml:space="preserve">vileged the performance interest to a degree not seen in the law of contract.  </w:t>
      </w:r>
      <w:r w:rsidR="000720AA">
        <w:rPr>
          <w:rFonts w:ascii="Times" w:hAnsi="Times" w:cstheme="minorHAnsi"/>
        </w:rPr>
        <w:t>So far, t</w:t>
      </w:r>
      <w:r w:rsidR="00094DBE" w:rsidRPr="006955AF">
        <w:rPr>
          <w:rFonts w:ascii="Times" w:hAnsi="Times" w:cstheme="minorHAnsi"/>
        </w:rPr>
        <w:t>his article has shown how.  But that still leaves the interesting question of why.</w:t>
      </w:r>
    </w:p>
    <w:p w14:paraId="201A6ADE" w14:textId="30828D75" w:rsidR="00911CEC" w:rsidRPr="006955AF" w:rsidRDefault="00911CEC" w:rsidP="00A217B5">
      <w:pPr>
        <w:spacing w:line="360" w:lineRule="auto"/>
        <w:jc w:val="both"/>
        <w:rPr>
          <w:rFonts w:ascii="Times" w:hAnsi="Times" w:cstheme="minorHAnsi"/>
        </w:rPr>
      </w:pPr>
    </w:p>
    <w:p w14:paraId="35C8EEF0" w14:textId="479EAA82" w:rsidR="009B34D6" w:rsidRPr="00093E5A" w:rsidRDefault="000720AA" w:rsidP="00A217B5">
      <w:pPr>
        <w:spacing w:line="360" w:lineRule="auto"/>
        <w:jc w:val="both"/>
        <w:rPr>
          <w:rFonts w:ascii="Times" w:hAnsi="Times" w:cstheme="minorHAnsi"/>
        </w:rPr>
      </w:pPr>
      <w:r>
        <w:rPr>
          <w:rFonts w:ascii="Times" w:hAnsi="Times" w:cstheme="minorHAnsi"/>
        </w:rPr>
        <w:t>T</w:t>
      </w:r>
      <w:r w:rsidR="00554097" w:rsidRPr="006955AF">
        <w:rPr>
          <w:rFonts w:ascii="Times" w:hAnsi="Times" w:cstheme="minorHAnsi"/>
        </w:rPr>
        <w:t xml:space="preserve">here is a </w:t>
      </w:r>
      <w:r>
        <w:rPr>
          <w:rFonts w:ascii="Times" w:hAnsi="Times" w:cstheme="minorHAnsi"/>
        </w:rPr>
        <w:t xml:space="preserve">basic, </w:t>
      </w:r>
      <w:r w:rsidR="00554097" w:rsidRPr="006955AF">
        <w:rPr>
          <w:rFonts w:ascii="Times" w:hAnsi="Times" w:cstheme="minorHAnsi"/>
        </w:rPr>
        <w:t xml:space="preserve">pragmatic reason why the law can protect the performance interest in the law of trusts much more effectively than in the law of contract.  </w:t>
      </w:r>
      <w:r w:rsidR="00DD5F21" w:rsidRPr="006955AF">
        <w:rPr>
          <w:rFonts w:ascii="Times" w:hAnsi="Times" w:cstheme="minorHAnsi"/>
        </w:rPr>
        <w:t xml:space="preserve">A trust can </w:t>
      </w:r>
      <w:r w:rsidR="009B34D6" w:rsidRPr="006955AF">
        <w:rPr>
          <w:rFonts w:ascii="Times" w:hAnsi="Times" w:cstheme="minorHAnsi"/>
        </w:rPr>
        <w:t xml:space="preserve">almost always </w:t>
      </w:r>
      <w:r w:rsidR="00DD5F21" w:rsidRPr="006955AF">
        <w:rPr>
          <w:rFonts w:ascii="Times" w:hAnsi="Times" w:cstheme="minorHAnsi"/>
        </w:rPr>
        <w:t xml:space="preserve">be performed </w:t>
      </w:r>
      <w:r w:rsidR="009B34D6" w:rsidRPr="006955AF">
        <w:rPr>
          <w:rFonts w:ascii="Times" w:hAnsi="Times" w:cstheme="minorHAnsi"/>
        </w:rPr>
        <w:t xml:space="preserve">entirely adequately </w:t>
      </w:r>
      <w:r w:rsidR="00DD5F21" w:rsidRPr="006955AF">
        <w:rPr>
          <w:rFonts w:ascii="Times" w:hAnsi="Times" w:cstheme="minorHAnsi"/>
        </w:rPr>
        <w:t xml:space="preserve">by a substitute for the original person(s) who undertook to perform it – </w:t>
      </w:r>
      <w:r w:rsidR="009B34D6" w:rsidRPr="006955AF">
        <w:rPr>
          <w:rFonts w:ascii="Times" w:hAnsi="Times" w:cstheme="minorHAnsi"/>
        </w:rPr>
        <w:t xml:space="preserve">that is, </w:t>
      </w:r>
      <w:r w:rsidR="00DD5F21" w:rsidRPr="006955AF">
        <w:rPr>
          <w:rFonts w:ascii="Times" w:hAnsi="Times" w:cstheme="minorHAnsi"/>
        </w:rPr>
        <w:t>the original trustee(s).</w:t>
      </w:r>
      <w:r w:rsidR="009B34D6" w:rsidRPr="006955AF">
        <w:rPr>
          <w:rFonts w:ascii="Times" w:hAnsi="Times" w:cstheme="minorHAnsi"/>
        </w:rPr>
        <w:t xml:space="preserve">  </w:t>
      </w:r>
      <w:r w:rsidR="009B34D6" w:rsidRPr="006955AF">
        <w:rPr>
          <w:rFonts w:ascii="Times" w:hAnsi="Times"/>
        </w:rPr>
        <w:t xml:space="preserve">Trust obligations are inherently confined to the preservation, management and distribution of assets – the trust property – which makes it entirely feasible for a substitute trustee </w:t>
      </w:r>
      <w:r w:rsidR="00014ED7">
        <w:rPr>
          <w:rFonts w:ascii="Times" w:hAnsi="Times"/>
        </w:rPr>
        <w:t xml:space="preserve">(or the court) </w:t>
      </w:r>
      <w:r w:rsidR="009B34D6" w:rsidRPr="006955AF">
        <w:rPr>
          <w:rFonts w:ascii="Times" w:hAnsi="Times"/>
        </w:rPr>
        <w:t xml:space="preserve">to perform the trust.  </w:t>
      </w:r>
      <w:r w:rsidR="00B35EFB">
        <w:rPr>
          <w:rFonts w:ascii="Times" w:hAnsi="Times"/>
        </w:rPr>
        <w:t xml:space="preserve">The </w:t>
      </w:r>
      <w:r w:rsidR="00E05D61">
        <w:rPr>
          <w:rFonts w:ascii="Times" w:hAnsi="Times"/>
        </w:rPr>
        <w:t xml:space="preserve">maxim </w:t>
      </w:r>
      <w:r w:rsidR="00B35EFB">
        <w:rPr>
          <w:rFonts w:ascii="Times" w:hAnsi="Times"/>
        </w:rPr>
        <w:t>of trust law is that a trust shall not fail for want of a trustee:</w:t>
      </w:r>
      <w:r w:rsidR="00250A23">
        <w:rPr>
          <w:rStyle w:val="FootnoteReference"/>
        </w:rPr>
        <w:footnoteReference w:id="119"/>
      </w:r>
      <w:r w:rsidR="00B35EFB">
        <w:rPr>
          <w:rFonts w:ascii="Times" w:hAnsi="Times"/>
        </w:rPr>
        <w:t xml:space="preserve">  the court can instead supply a substitute trustee to perform the trust unless, very rarely, the identity of the trustee is vital to the execution of the trust.</w:t>
      </w:r>
      <w:r w:rsidR="00B35EFB">
        <w:rPr>
          <w:rStyle w:val="FootnoteReference"/>
        </w:rPr>
        <w:footnoteReference w:id="120"/>
      </w:r>
      <w:r w:rsidR="00B35EFB">
        <w:rPr>
          <w:rFonts w:ascii="Times" w:hAnsi="Times"/>
        </w:rPr>
        <w:t xml:space="preserve">  </w:t>
      </w:r>
      <w:r w:rsidR="00B35EFB">
        <w:rPr>
          <w:rFonts w:ascii="Times" w:hAnsi="Times" w:cstheme="minorHAnsi"/>
        </w:rPr>
        <w:t xml:space="preserve">And as a matter of practice, </w:t>
      </w:r>
      <w:r w:rsidR="004E4B11" w:rsidRPr="006955AF">
        <w:rPr>
          <w:rFonts w:ascii="Times" w:hAnsi="Times" w:cstheme="minorHAnsi"/>
        </w:rPr>
        <w:t xml:space="preserve">the overwhelming majority of trusts </w:t>
      </w:r>
      <w:r w:rsidR="00B35EFB">
        <w:rPr>
          <w:rFonts w:ascii="Times" w:hAnsi="Times" w:cstheme="minorHAnsi"/>
        </w:rPr>
        <w:t xml:space="preserve">explicitly </w:t>
      </w:r>
      <w:r w:rsidR="004E4B11" w:rsidRPr="006955AF">
        <w:rPr>
          <w:rFonts w:ascii="Times" w:hAnsi="Times" w:cstheme="minorHAnsi"/>
        </w:rPr>
        <w:t xml:space="preserve">contemplate </w:t>
      </w:r>
      <w:r w:rsidR="00B35EFB">
        <w:rPr>
          <w:rFonts w:ascii="Times" w:hAnsi="Times" w:cstheme="minorHAnsi"/>
        </w:rPr>
        <w:t>that substitutes may act in place of the original trustees.</w:t>
      </w:r>
      <w:r w:rsidR="004E4B11" w:rsidRPr="006955AF">
        <w:rPr>
          <w:rStyle w:val="FootnoteReference"/>
          <w:rFonts w:cstheme="minorHAnsi"/>
        </w:rPr>
        <w:footnoteReference w:id="121"/>
      </w:r>
      <w:r w:rsidR="00B35EFB">
        <w:rPr>
          <w:rFonts w:ascii="Times" w:hAnsi="Times" w:cstheme="minorHAnsi"/>
        </w:rPr>
        <w:t xml:space="preserve">  </w:t>
      </w:r>
      <w:r w:rsidR="00A44F19">
        <w:rPr>
          <w:rFonts w:ascii="Times" w:hAnsi="Times" w:cstheme="minorHAnsi"/>
        </w:rPr>
        <w:t>T</w:t>
      </w:r>
      <w:r w:rsidR="00C3349C">
        <w:rPr>
          <w:rFonts w:ascii="Times" w:hAnsi="Times" w:cstheme="minorHAnsi"/>
        </w:rPr>
        <w:t xml:space="preserve">he rhetoric that trusteeship is “personal” to </w:t>
      </w:r>
      <w:r w:rsidR="001610A5">
        <w:rPr>
          <w:rFonts w:ascii="Times" w:hAnsi="Times" w:cstheme="minorHAnsi"/>
        </w:rPr>
        <w:t>a</w:t>
      </w:r>
      <w:r w:rsidR="00C3349C">
        <w:rPr>
          <w:rFonts w:ascii="Times" w:hAnsi="Times" w:cstheme="minorHAnsi"/>
        </w:rPr>
        <w:t xml:space="preserve"> trustee must be read in that light:</w:t>
      </w:r>
      <w:r w:rsidR="00187992">
        <w:rPr>
          <w:rStyle w:val="FootnoteReference"/>
          <w:rFonts w:cstheme="minorHAnsi"/>
        </w:rPr>
        <w:footnoteReference w:id="122"/>
      </w:r>
      <w:r w:rsidR="00C3349C">
        <w:rPr>
          <w:rFonts w:ascii="Times" w:hAnsi="Times" w:cstheme="minorHAnsi"/>
        </w:rPr>
        <w:t xml:space="preserve">  trusteeship is “personal” in </w:t>
      </w:r>
      <w:r w:rsidR="00C3349C">
        <w:rPr>
          <w:rFonts w:ascii="Times" w:hAnsi="Times" w:cstheme="minorHAnsi"/>
        </w:rPr>
        <w:lastRenderedPageBreak/>
        <w:t>the sense that it requires trustees to devote their own minds to the execution of their trust</w:t>
      </w:r>
      <w:r w:rsidR="00F570CC">
        <w:rPr>
          <w:rFonts w:ascii="Times" w:hAnsi="Times" w:cstheme="minorHAnsi"/>
        </w:rPr>
        <w:t>,</w:t>
      </w:r>
      <w:r w:rsidR="00187992">
        <w:rPr>
          <w:rStyle w:val="FootnoteReference"/>
          <w:rFonts w:cstheme="minorHAnsi"/>
        </w:rPr>
        <w:footnoteReference w:id="123"/>
      </w:r>
      <w:r w:rsidR="00F570CC">
        <w:rPr>
          <w:rFonts w:ascii="Times" w:hAnsi="Times" w:cstheme="minorHAnsi"/>
        </w:rPr>
        <w:t xml:space="preserve"> </w:t>
      </w:r>
      <w:r w:rsidR="00093E5A">
        <w:rPr>
          <w:rFonts w:ascii="Times" w:hAnsi="Times" w:cstheme="minorHAnsi"/>
        </w:rPr>
        <w:t>and to act themselves save where authorised to engage delegates;</w:t>
      </w:r>
      <w:r w:rsidR="001610A5">
        <w:rPr>
          <w:rStyle w:val="FootnoteReference"/>
          <w:rFonts w:cstheme="minorHAnsi"/>
        </w:rPr>
        <w:footnoteReference w:id="124"/>
      </w:r>
      <w:r w:rsidR="00093E5A">
        <w:rPr>
          <w:rFonts w:ascii="Times" w:hAnsi="Times" w:cstheme="minorHAnsi"/>
        </w:rPr>
        <w:t xml:space="preserve"> </w:t>
      </w:r>
      <w:r w:rsidR="00F570CC">
        <w:rPr>
          <w:rFonts w:ascii="Times" w:hAnsi="Times" w:cstheme="minorHAnsi"/>
        </w:rPr>
        <w:t xml:space="preserve">but </w:t>
      </w:r>
      <w:r w:rsidR="00093E5A">
        <w:rPr>
          <w:rFonts w:ascii="Times" w:hAnsi="Times" w:cstheme="minorHAnsi"/>
        </w:rPr>
        <w:t>trustees of any stripe can still be replaced</w:t>
      </w:r>
      <w:r w:rsidR="00C3349C">
        <w:rPr>
          <w:rFonts w:ascii="Times" w:hAnsi="Times" w:cstheme="minorHAnsi"/>
        </w:rPr>
        <w:t xml:space="preserve">.  </w:t>
      </w:r>
      <w:r w:rsidR="00DD5F21" w:rsidRPr="006955AF">
        <w:rPr>
          <w:rFonts w:ascii="Times" w:hAnsi="Times" w:cstheme="minorHAnsi"/>
        </w:rPr>
        <w:t xml:space="preserve">By contrast, contracts are far more various, and often demand performance by the obligee in person, so the law </w:t>
      </w:r>
      <w:r w:rsidR="006F27CE" w:rsidRPr="006955AF">
        <w:rPr>
          <w:rFonts w:ascii="Times" w:hAnsi="Times" w:cstheme="minorHAnsi"/>
        </w:rPr>
        <w:t xml:space="preserve">simply </w:t>
      </w:r>
      <w:r w:rsidR="00DD5F21" w:rsidRPr="006955AF">
        <w:rPr>
          <w:rFonts w:ascii="Times" w:hAnsi="Times" w:cstheme="minorHAnsi"/>
        </w:rPr>
        <w:t>cannot, in general, decree performance by a substitute party.</w:t>
      </w:r>
    </w:p>
    <w:p w14:paraId="5C9F67DD" w14:textId="77777777" w:rsidR="009B34D6" w:rsidRPr="006955AF" w:rsidRDefault="009B34D6" w:rsidP="00A217B5">
      <w:pPr>
        <w:spacing w:line="360" w:lineRule="auto"/>
        <w:jc w:val="both"/>
        <w:rPr>
          <w:rFonts w:ascii="Times" w:hAnsi="Times" w:cstheme="minorHAnsi"/>
        </w:rPr>
      </w:pPr>
    </w:p>
    <w:p w14:paraId="3C48D3DF" w14:textId="2FC4C313" w:rsidR="009B34D6" w:rsidRPr="006955AF" w:rsidRDefault="009B34D6" w:rsidP="00A217B5">
      <w:pPr>
        <w:spacing w:line="360" w:lineRule="auto"/>
        <w:jc w:val="both"/>
        <w:rPr>
          <w:rFonts w:ascii="Times" w:hAnsi="Times" w:cstheme="minorHAnsi"/>
        </w:rPr>
      </w:pPr>
      <w:r w:rsidRPr="006955AF">
        <w:rPr>
          <w:rFonts w:ascii="Times" w:hAnsi="Times" w:cstheme="minorHAnsi"/>
        </w:rPr>
        <w:t xml:space="preserve">This </w:t>
      </w:r>
      <w:r w:rsidR="00DD5F21" w:rsidRPr="006955AF">
        <w:rPr>
          <w:rFonts w:ascii="Times" w:hAnsi="Times" w:cstheme="minorHAnsi"/>
        </w:rPr>
        <w:t xml:space="preserve">is not to say that the law of contract can never procure performance through a substitute:  one example to the contrary would be specific performance of a contract for the sale of land achieved through the court ordering that the necessary transfer documents be signed on behalf of </w:t>
      </w:r>
      <w:r w:rsidR="00014ED7">
        <w:rPr>
          <w:rFonts w:ascii="Times" w:hAnsi="Times" w:cstheme="minorHAnsi"/>
        </w:rPr>
        <w:t xml:space="preserve">the </w:t>
      </w:r>
      <w:r w:rsidR="00DD5F21" w:rsidRPr="006955AF">
        <w:rPr>
          <w:rFonts w:ascii="Times" w:hAnsi="Times" w:cstheme="minorHAnsi"/>
        </w:rPr>
        <w:t>recalcitrant vendor</w:t>
      </w:r>
      <w:r w:rsidR="00014ED7">
        <w:rPr>
          <w:rFonts w:ascii="Times" w:hAnsi="Times" w:cstheme="minorHAnsi"/>
        </w:rPr>
        <w:t xml:space="preserve"> or purchaser</w:t>
      </w:r>
      <w:r w:rsidR="00DD5F21" w:rsidRPr="006955AF">
        <w:rPr>
          <w:rFonts w:ascii="Times" w:hAnsi="Times" w:cstheme="minorHAnsi"/>
        </w:rPr>
        <w:t>.</w:t>
      </w:r>
      <w:r w:rsidR="007C5717" w:rsidRPr="006955AF">
        <w:rPr>
          <w:rStyle w:val="FootnoteReference"/>
          <w:rFonts w:cstheme="minorHAnsi"/>
        </w:rPr>
        <w:footnoteReference w:id="125"/>
      </w:r>
      <w:r w:rsidR="00DD5F21" w:rsidRPr="006955AF">
        <w:rPr>
          <w:rFonts w:ascii="Times" w:hAnsi="Times" w:cstheme="minorHAnsi"/>
        </w:rPr>
        <w:t xml:space="preserve">  But it is to say that such</w:t>
      </w:r>
      <w:r w:rsidR="00460573" w:rsidRPr="006955AF">
        <w:rPr>
          <w:rFonts w:ascii="Times" w:hAnsi="Times" w:cstheme="minorHAnsi"/>
        </w:rPr>
        <w:t xml:space="preserve"> cases are outliers:  in many, many cases, the court practically could not order performance of a contract by a substitute (for example, a contract of employment, or a contract that would involve continued oversight by the court)</w:t>
      </w:r>
      <w:r w:rsidR="00F91BDD" w:rsidRPr="006955AF">
        <w:rPr>
          <w:rFonts w:ascii="Times" w:hAnsi="Times" w:cstheme="minorHAnsi"/>
        </w:rPr>
        <w:t>.</w:t>
      </w:r>
      <w:r w:rsidR="00460573" w:rsidRPr="006955AF">
        <w:rPr>
          <w:rStyle w:val="FootnoteReference"/>
          <w:rFonts w:cstheme="minorHAnsi"/>
        </w:rPr>
        <w:footnoteReference w:id="126"/>
      </w:r>
    </w:p>
    <w:p w14:paraId="5E1486DC" w14:textId="77777777" w:rsidR="009B34D6" w:rsidRPr="006955AF" w:rsidRDefault="009B34D6" w:rsidP="00A217B5">
      <w:pPr>
        <w:spacing w:line="360" w:lineRule="auto"/>
        <w:jc w:val="both"/>
        <w:rPr>
          <w:rFonts w:ascii="Times" w:hAnsi="Times" w:cstheme="minorHAnsi"/>
        </w:rPr>
      </w:pPr>
    </w:p>
    <w:p w14:paraId="67157884" w14:textId="0F697354" w:rsidR="00DD5F21" w:rsidRPr="006955AF" w:rsidRDefault="004E4B11" w:rsidP="00A217B5">
      <w:pPr>
        <w:spacing w:line="360" w:lineRule="auto"/>
        <w:jc w:val="both"/>
        <w:rPr>
          <w:rFonts w:ascii="Times" w:hAnsi="Times" w:cstheme="minorHAnsi"/>
        </w:rPr>
      </w:pPr>
      <w:r w:rsidRPr="006955AF">
        <w:rPr>
          <w:rFonts w:ascii="Times" w:hAnsi="Times" w:cstheme="minorHAnsi"/>
        </w:rPr>
        <w:t>By contrast, new trustees, or ultimately the court, can perfectly execute the vast majority of trusts.  And it is interesting to note that, in th</w:t>
      </w:r>
      <w:r w:rsidR="00EA0290">
        <w:rPr>
          <w:rFonts w:ascii="Times" w:hAnsi="Times" w:cstheme="minorHAnsi"/>
        </w:rPr>
        <w:t xml:space="preserve">at </w:t>
      </w:r>
      <w:r w:rsidR="00A151E2" w:rsidRPr="006955AF">
        <w:rPr>
          <w:rFonts w:ascii="Times" w:hAnsi="Times" w:cstheme="minorHAnsi"/>
        </w:rPr>
        <w:t xml:space="preserve">rare case </w:t>
      </w:r>
      <w:r w:rsidR="009B34D6" w:rsidRPr="006955AF">
        <w:rPr>
          <w:rFonts w:ascii="Times" w:hAnsi="Times" w:cstheme="minorHAnsi"/>
        </w:rPr>
        <w:t xml:space="preserve">indeed </w:t>
      </w:r>
      <w:r w:rsidR="00A151E2" w:rsidRPr="006955AF">
        <w:rPr>
          <w:rFonts w:ascii="Times" w:hAnsi="Times" w:cstheme="minorHAnsi"/>
        </w:rPr>
        <w:t xml:space="preserve">where the identity of the trustee </w:t>
      </w:r>
      <w:r w:rsidR="00DE67DF" w:rsidRPr="006955AF">
        <w:rPr>
          <w:rFonts w:ascii="Times" w:hAnsi="Times" w:cstheme="minorHAnsi"/>
        </w:rPr>
        <w:t xml:space="preserve">was crucial, and the trust by its terms could not be performed by a substitute, the </w:t>
      </w:r>
      <w:r w:rsidR="00AF2BA0" w:rsidRPr="006955AF">
        <w:rPr>
          <w:rFonts w:ascii="Times" w:hAnsi="Times" w:cstheme="minorHAnsi"/>
        </w:rPr>
        <w:t>trust was held void when the person named as trustee refused to perform it:</w:t>
      </w:r>
      <w:r w:rsidR="00443407">
        <w:rPr>
          <w:rStyle w:val="FootnoteReference"/>
          <w:rFonts w:cstheme="minorHAnsi"/>
        </w:rPr>
        <w:footnoteReference w:id="127"/>
      </w:r>
      <w:r w:rsidR="00AF2BA0" w:rsidRPr="006955AF">
        <w:rPr>
          <w:rFonts w:ascii="Times" w:hAnsi="Times" w:cstheme="minorHAnsi"/>
        </w:rPr>
        <w:t xml:space="preserve">  performa</w:t>
      </w:r>
      <w:r w:rsidR="009B34D6" w:rsidRPr="006955AF">
        <w:rPr>
          <w:rFonts w:ascii="Times" w:hAnsi="Times" w:cstheme="minorHAnsi"/>
        </w:rPr>
        <w:t xml:space="preserve">nce was vital to a trust, and where performance by a substitute was not possible, </w:t>
      </w:r>
      <w:r w:rsidR="00153024">
        <w:rPr>
          <w:rFonts w:ascii="Times" w:hAnsi="Times" w:cstheme="minorHAnsi"/>
        </w:rPr>
        <w:t xml:space="preserve">the impossibility of </w:t>
      </w:r>
      <w:r w:rsidR="009B34D6" w:rsidRPr="006955AF">
        <w:rPr>
          <w:rFonts w:ascii="Times" w:hAnsi="Times" w:cstheme="minorHAnsi"/>
        </w:rPr>
        <w:t>performance was fatal to the trust.</w:t>
      </w:r>
    </w:p>
    <w:p w14:paraId="34D8B240" w14:textId="783B226E" w:rsidR="009B34D6" w:rsidRPr="006955AF" w:rsidRDefault="009B34D6" w:rsidP="00A217B5">
      <w:pPr>
        <w:spacing w:line="360" w:lineRule="auto"/>
        <w:jc w:val="both"/>
        <w:rPr>
          <w:rFonts w:ascii="Times" w:hAnsi="Times" w:cstheme="minorHAnsi"/>
        </w:rPr>
      </w:pPr>
    </w:p>
    <w:p w14:paraId="2BB39DF3" w14:textId="6DB7BB18" w:rsidR="00DD5F21" w:rsidRPr="006955AF" w:rsidRDefault="009B34D6" w:rsidP="00A217B5">
      <w:pPr>
        <w:spacing w:line="360" w:lineRule="auto"/>
        <w:jc w:val="both"/>
        <w:rPr>
          <w:rFonts w:ascii="Times" w:hAnsi="Times" w:cstheme="minorHAnsi"/>
        </w:rPr>
      </w:pPr>
      <w:r w:rsidRPr="006955AF">
        <w:rPr>
          <w:rFonts w:ascii="Times" w:hAnsi="Times" w:cstheme="minorHAnsi"/>
        </w:rPr>
        <w:t xml:space="preserve">So the courts have </w:t>
      </w:r>
      <w:r w:rsidR="006F27CE" w:rsidRPr="006955AF">
        <w:rPr>
          <w:rFonts w:ascii="Times" w:hAnsi="Times" w:cstheme="minorHAnsi"/>
        </w:rPr>
        <w:t xml:space="preserve">the </w:t>
      </w:r>
      <w:r w:rsidR="00C3349C">
        <w:rPr>
          <w:rFonts w:ascii="Times" w:hAnsi="Times" w:cstheme="minorHAnsi"/>
        </w:rPr>
        <w:t xml:space="preserve">key </w:t>
      </w:r>
      <w:r w:rsidR="006F27CE" w:rsidRPr="006955AF">
        <w:rPr>
          <w:rFonts w:ascii="Times" w:hAnsi="Times" w:cstheme="minorHAnsi"/>
        </w:rPr>
        <w:t xml:space="preserve">remedial means at their disposal – the various possibilities of performance of a trust by a substitute, ultimately including the courts themselves – to accord performance of the trust – the performance interest – the centrality it has in the law.  </w:t>
      </w:r>
      <w:r w:rsidR="00451933" w:rsidRPr="006955AF">
        <w:rPr>
          <w:rFonts w:ascii="Times" w:hAnsi="Times" w:cstheme="minorHAnsi"/>
        </w:rPr>
        <w:t>The law of trusts is constructed around the availability of performance by a substitute</w:t>
      </w:r>
      <w:r w:rsidR="008A0E4B" w:rsidRPr="006955AF">
        <w:rPr>
          <w:rFonts w:ascii="Times" w:hAnsi="Times" w:cstheme="minorHAnsi"/>
        </w:rPr>
        <w:t>,</w:t>
      </w:r>
      <w:r w:rsidR="00451933" w:rsidRPr="006955AF">
        <w:rPr>
          <w:rFonts w:ascii="Times" w:hAnsi="Times" w:cstheme="minorHAnsi"/>
        </w:rPr>
        <w:t xml:space="preserve"> rather than </w:t>
      </w:r>
      <w:r w:rsidR="008A0E4B" w:rsidRPr="006955AF">
        <w:rPr>
          <w:rFonts w:ascii="Times" w:hAnsi="Times" w:cstheme="minorHAnsi"/>
        </w:rPr>
        <w:t xml:space="preserve">the possibility of </w:t>
      </w:r>
      <w:r w:rsidR="00451933" w:rsidRPr="006955AF">
        <w:rPr>
          <w:rFonts w:ascii="Times" w:hAnsi="Times" w:cstheme="minorHAnsi"/>
        </w:rPr>
        <w:t xml:space="preserve">a substitute for performance.  Performance by a substitute </w:t>
      </w:r>
      <w:r w:rsidR="006F27CE" w:rsidRPr="006955AF">
        <w:rPr>
          <w:rFonts w:ascii="Times" w:hAnsi="Times" w:cstheme="minorHAnsi"/>
        </w:rPr>
        <w:t xml:space="preserve">is simply not available </w:t>
      </w:r>
      <w:r w:rsidR="006F27CE" w:rsidRPr="006955AF">
        <w:rPr>
          <w:rFonts w:ascii="Times" w:hAnsi="Times" w:cstheme="minorHAnsi"/>
        </w:rPr>
        <w:lastRenderedPageBreak/>
        <w:t xml:space="preserve">to </w:t>
      </w:r>
      <w:r w:rsidR="008A0E4B" w:rsidRPr="006955AF">
        <w:rPr>
          <w:rFonts w:ascii="Times" w:hAnsi="Times" w:cstheme="minorHAnsi"/>
        </w:rPr>
        <w:t xml:space="preserve">remotely </w:t>
      </w:r>
      <w:r w:rsidR="006F27CE" w:rsidRPr="006955AF">
        <w:rPr>
          <w:rFonts w:ascii="Times" w:hAnsi="Times" w:cstheme="minorHAnsi"/>
        </w:rPr>
        <w:t>the same extent in the law of contract</w:t>
      </w:r>
      <w:r w:rsidR="008A0E4B" w:rsidRPr="006955AF">
        <w:rPr>
          <w:rFonts w:ascii="Times" w:hAnsi="Times" w:cstheme="minorHAnsi"/>
        </w:rPr>
        <w:t>:  contract law has to focus on providing a substitute for performance</w:t>
      </w:r>
      <w:r w:rsidR="00DD5F21" w:rsidRPr="006955AF">
        <w:rPr>
          <w:rFonts w:ascii="Times" w:hAnsi="Times" w:cstheme="minorHAnsi"/>
        </w:rPr>
        <w:t xml:space="preserve"> </w:t>
      </w:r>
      <w:r w:rsidR="008A0E4B" w:rsidRPr="006955AF">
        <w:rPr>
          <w:rFonts w:ascii="Times" w:hAnsi="Times" w:cstheme="minorHAnsi"/>
        </w:rPr>
        <w:t xml:space="preserve">where </w:t>
      </w:r>
      <w:r w:rsidR="00D87B7F" w:rsidRPr="006955AF">
        <w:rPr>
          <w:rFonts w:ascii="Times" w:hAnsi="Times" w:cstheme="minorHAnsi"/>
        </w:rPr>
        <w:t>a party has breached the contract.</w:t>
      </w:r>
    </w:p>
    <w:p w14:paraId="336B728A" w14:textId="2D5E6164" w:rsidR="00911CEC" w:rsidRDefault="00911CEC" w:rsidP="00A217B5">
      <w:pPr>
        <w:spacing w:line="360" w:lineRule="auto"/>
        <w:jc w:val="both"/>
        <w:rPr>
          <w:rFonts w:ascii="Times" w:hAnsi="Times" w:cstheme="minorHAnsi"/>
        </w:rPr>
      </w:pPr>
    </w:p>
    <w:p w14:paraId="5C92DED9" w14:textId="1716785D" w:rsidR="00B305D3" w:rsidRDefault="00AB0629" w:rsidP="00A217B5">
      <w:pPr>
        <w:spacing w:line="360" w:lineRule="auto"/>
        <w:jc w:val="both"/>
        <w:rPr>
          <w:rFonts w:ascii="Times" w:hAnsi="Times" w:cstheme="minorHAnsi"/>
        </w:rPr>
      </w:pPr>
      <w:r>
        <w:rPr>
          <w:rFonts w:ascii="Times" w:hAnsi="Times" w:cstheme="minorHAnsi"/>
        </w:rPr>
        <w:t xml:space="preserve">The foregoing survey shows that </w:t>
      </w:r>
      <w:r w:rsidR="008E1DD1">
        <w:rPr>
          <w:rFonts w:ascii="Times" w:hAnsi="Times" w:cstheme="minorHAnsi"/>
        </w:rPr>
        <w:t xml:space="preserve">the </w:t>
      </w:r>
      <w:r>
        <w:rPr>
          <w:rFonts w:ascii="Times" w:hAnsi="Times" w:cstheme="minorHAnsi"/>
        </w:rPr>
        <w:t xml:space="preserve">law can, </w:t>
      </w:r>
      <w:r w:rsidR="008E1DD1">
        <w:rPr>
          <w:rFonts w:ascii="Times" w:hAnsi="Times" w:cstheme="minorHAnsi"/>
        </w:rPr>
        <w:t xml:space="preserve">both </w:t>
      </w:r>
      <w:r>
        <w:rPr>
          <w:rFonts w:ascii="Times" w:hAnsi="Times" w:cstheme="minorHAnsi"/>
        </w:rPr>
        <w:t xml:space="preserve">in theory and in practice, </w:t>
      </w:r>
      <w:r w:rsidR="008E1DD1">
        <w:rPr>
          <w:rFonts w:ascii="Times" w:hAnsi="Times" w:cstheme="minorHAnsi"/>
        </w:rPr>
        <w:t xml:space="preserve">place greater importance on the performance of a trust, as compared to the performance of a contract.  However, </w:t>
      </w:r>
      <w:r w:rsidR="004100C4">
        <w:rPr>
          <w:rFonts w:ascii="Times" w:hAnsi="Times" w:cstheme="minorHAnsi"/>
        </w:rPr>
        <w:t xml:space="preserve">it is another question why </w:t>
      </w:r>
      <w:r w:rsidR="008E1DD1">
        <w:rPr>
          <w:rFonts w:ascii="Times" w:hAnsi="Times" w:cstheme="minorHAnsi"/>
        </w:rPr>
        <w:t>the law</w:t>
      </w:r>
      <w:r w:rsidR="004100C4">
        <w:rPr>
          <w:rFonts w:ascii="Times" w:hAnsi="Times" w:cstheme="minorHAnsi"/>
        </w:rPr>
        <w:t xml:space="preserve"> chose, and continues to choose, to </w:t>
      </w:r>
      <w:r w:rsidR="008E1DD1">
        <w:rPr>
          <w:rFonts w:ascii="Times" w:hAnsi="Times" w:cstheme="minorHAnsi"/>
        </w:rPr>
        <w:t>do so.</w:t>
      </w:r>
      <w:r w:rsidR="004100C4">
        <w:rPr>
          <w:rFonts w:ascii="Times" w:hAnsi="Times" w:cstheme="minorHAnsi"/>
        </w:rPr>
        <w:t xml:space="preserve"> </w:t>
      </w:r>
      <w:r w:rsidR="008E1DD1">
        <w:rPr>
          <w:rFonts w:ascii="Times" w:hAnsi="Times" w:cstheme="minorHAnsi"/>
        </w:rPr>
        <w:t xml:space="preserve"> </w:t>
      </w:r>
      <w:r w:rsidR="00B305D3">
        <w:rPr>
          <w:rFonts w:ascii="Times" w:hAnsi="Times" w:cstheme="minorHAnsi"/>
        </w:rPr>
        <w:t xml:space="preserve">There is not space here to investigate </w:t>
      </w:r>
      <w:r w:rsidR="008E1DD1">
        <w:rPr>
          <w:rFonts w:ascii="Times" w:hAnsi="Times" w:cstheme="minorHAnsi"/>
        </w:rPr>
        <w:t xml:space="preserve">fully </w:t>
      </w:r>
      <w:r w:rsidR="00B305D3">
        <w:rPr>
          <w:rFonts w:ascii="Times" w:hAnsi="Times" w:cstheme="minorHAnsi"/>
        </w:rPr>
        <w:t xml:space="preserve">the reasons </w:t>
      </w:r>
      <w:r w:rsidR="008E1DD1">
        <w:rPr>
          <w:rFonts w:ascii="Times" w:hAnsi="Times" w:cstheme="minorHAnsi"/>
        </w:rPr>
        <w:t xml:space="preserve">for this </w:t>
      </w:r>
      <w:r w:rsidR="00752224">
        <w:rPr>
          <w:rFonts w:ascii="Times" w:hAnsi="Times" w:cstheme="minorHAnsi"/>
        </w:rPr>
        <w:t xml:space="preserve">choice.  </w:t>
      </w:r>
      <w:r w:rsidR="00B305D3">
        <w:rPr>
          <w:rFonts w:ascii="Times" w:hAnsi="Times" w:cstheme="minorHAnsi"/>
        </w:rPr>
        <w:t>But it is worth raising a few possibilities.</w:t>
      </w:r>
    </w:p>
    <w:p w14:paraId="75DD4B61" w14:textId="77777777" w:rsidR="00B305D3" w:rsidRDefault="00B305D3" w:rsidP="00A217B5">
      <w:pPr>
        <w:spacing w:line="360" w:lineRule="auto"/>
        <w:jc w:val="both"/>
        <w:rPr>
          <w:rFonts w:ascii="Times" w:hAnsi="Times" w:cstheme="minorHAnsi"/>
        </w:rPr>
      </w:pPr>
    </w:p>
    <w:p w14:paraId="4CA07E6A" w14:textId="74A5B50C" w:rsidR="0043219C" w:rsidRDefault="0043219C" w:rsidP="00A217B5">
      <w:pPr>
        <w:spacing w:line="360" w:lineRule="auto"/>
        <w:jc w:val="both"/>
        <w:rPr>
          <w:rFonts w:ascii="Times" w:hAnsi="Times" w:cstheme="minorHAnsi"/>
        </w:rPr>
      </w:pPr>
      <w:r w:rsidRPr="0043219C">
        <w:rPr>
          <w:rFonts w:ascii="Times" w:hAnsi="Times" w:cstheme="minorHAnsi"/>
        </w:rPr>
        <w:t>In historical and social terms, it may well be that the institution of property, and particularly the control and enjoyment of land, was see</w:t>
      </w:r>
      <w:r w:rsidR="00FE2069">
        <w:rPr>
          <w:rFonts w:ascii="Times" w:hAnsi="Times" w:cstheme="minorHAnsi"/>
        </w:rPr>
        <w:t>n</w:t>
      </w:r>
      <w:r w:rsidRPr="0043219C">
        <w:rPr>
          <w:rFonts w:ascii="Times" w:hAnsi="Times" w:cstheme="minorHAnsi"/>
        </w:rPr>
        <w:t xml:space="preserve"> as particularly important</w:t>
      </w:r>
      <w:r w:rsidR="000720AA">
        <w:rPr>
          <w:rFonts w:ascii="Times" w:hAnsi="Times" w:cstheme="minorHAnsi"/>
        </w:rPr>
        <w:t xml:space="preserve"> and deserving of more protection than mere contract</w:t>
      </w:r>
      <w:r w:rsidRPr="0043219C">
        <w:rPr>
          <w:rFonts w:ascii="Times" w:hAnsi="Times" w:cstheme="minorHAnsi"/>
        </w:rPr>
        <w:t>.</w:t>
      </w:r>
      <w:r>
        <w:rPr>
          <w:rStyle w:val="FootnoteReference"/>
          <w:rFonts w:cstheme="minorHAnsi"/>
        </w:rPr>
        <w:footnoteReference w:id="128"/>
      </w:r>
      <w:r>
        <w:rPr>
          <w:rFonts w:ascii="Times" w:hAnsi="Times" w:cs="Calibri (Body)"/>
          <w:vertAlign w:val="superscript"/>
        </w:rPr>
        <w:t xml:space="preserve"> </w:t>
      </w:r>
      <w:r>
        <w:rPr>
          <w:rFonts w:ascii="Times" w:hAnsi="Times" w:cstheme="minorHAnsi"/>
        </w:rPr>
        <w:t xml:space="preserve"> </w:t>
      </w:r>
      <w:r w:rsidRPr="0043219C">
        <w:rPr>
          <w:rFonts w:ascii="Times" w:hAnsi="Times" w:cstheme="minorHAnsi"/>
        </w:rPr>
        <w:t xml:space="preserve">The trust, through which the control and enjoyment of property came to be mediated in so many cases, especially for the wealthy and </w:t>
      </w:r>
      <w:r w:rsidR="000720AA">
        <w:rPr>
          <w:rFonts w:ascii="Times" w:hAnsi="Times" w:cstheme="minorHAnsi"/>
        </w:rPr>
        <w:t xml:space="preserve">the </w:t>
      </w:r>
      <w:r w:rsidRPr="0043219C">
        <w:rPr>
          <w:rFonts w:ascii="Times" w:hAnsi="Times" w:cstheme="minorHAnsi"/>
        </w:rPr>
        <w:t xml:space="preserve">powerful, may well similarly have been accorded a special </w:t>
      </w:r>
      <w:r w:rsidR="000720AA">
        <w:rPr>
          <w:rFonts w:ascii="Times" w:hAnsi="Times" w:cstheme="minorHAnsi"/>
        </w:rPr>
        <w:t>significance</w:t>
      </w:r>
      <w:r w:rsidRPr="0043219C">
        <w:rPr>
          <w:rFonts w:ascii="Times" w:hAnsi="Times" w:cstheme="minorHAnsi"/>
        </w:rPr>
        <w:t>, expressed through the importance given to the performance interest in the law of trusts.</w:t>
      </w:r>
    </w:p>
    <w:p w14:paraId="23021C9F" w14:textId="2310C12D" w:rsidR="00A742F3" w:rsidRDefault="00A742F3" w:rsidP="00A217B5">
      <w:pPr>
        <w:spacing w:line="360" w:lineRule="auto"/>
        <w:jc w:val="both"/>
        <w:rPr>
          <w:rFonts w:ascii="Times" w:hAnsi="Times" w:cstheme="minorHAnsi"/>
        </w:rPr>
      </w:pPr>
    </w:p>
    <w:p w14:paraId="02354D14" w14:textId="0D191E05" w:rsidR="00A742F3" w:rsidRPr="0043219C" w:rsidRDefault="00F054D6" w:rsidP="00A217B5">
      <w:pPr>
        <w:spacing w:line="360" w:lineRule="auto"/>
        <w:jc w:val="both"/>
        <w:rPr>
          <w:rFonts w:ascii="Times" w:hAnsi="Times" w:cstheme="minorHAnsi"/>
        </w:rPr>
      </w:pPr>
      <w:r>
        <w:rPr>
          <w:rFonts w:ascii="Times" w:hAnsi="Times" w:cstheme="minorHAnsi"/>
        </w:rPr>
        <w:t>T</w:t>
      </w:r>
      <w:r w:rsidR="00A742F3" w:rsidRPr="00A742F3">
        <w:rPr>
          <w:rFonts w:ascii="Times" w:hAnsi="Times" w:cstheme="minorHAnsi"/>
        </w:rPr>
        <w:t>he different nature of the relationships involved in trusts and contract</w:t>
      </w:r>
      <w:r w:rsidR="008025CA">
        <w:rPr>
          <w:rFonts w:ascii="Times" w:hAnsi="Times" w:cstheme="minorHAnsi"/>
        </w:rPr>
        <w:t xml:space="preserve"> may also explain why trust law privileges the performance interest to  degree not seen in the law of contract.  A trustee is charged with </w:t>
      </w:r>
      <w:r w:rsidR="00A742F3" w:rsidRPr="00A742F3">
        <w:rPr>
          <w:rFonts w:ascii="Times" w:hAnsi="Times" w:cstheme="minorHAnsi"/>
        </w:rPr>
        <w:t xml:space="preserve">protecting </w:t>
      </w:r>
      <w:r w:rsidR="008025CA">
        <w:rPr>
          <w:rFonts w:ascii="Times" w:hAnsi="Times" w:cstheme="minorHAnsi"/>
        </w:rPr>
        <w:t xml:space="preserve">trust </w:t>
      </w:r>
      <w:r w:rsidR="00A742F3" w:rsidRPr="00A742F3">
        <w:rPr>
          <w:rFonts w:ascii="Times" w:hAnsi="Times" w:cstheme="minorHAnsi"/>
        </w:rPr>
        <w:t xml:space="preserve">assets and </w:t>
      </w:r>
      <w:r w:rsidR="008025CA">
        <w:rPr>
          <w:rFonts w:ascii="Times" w:hAnsi="Times" w:cstheme="minorHAnsi"/>
        </w:rPr>
        <w:t xml:space="preserve">the </w:t>
      </w:r>
      <w:r w:rsidR="00A742F3" w:rsidRPr="00A742F3">
        <w:rPr>
          <w:rFonts w:ascii="Times" w:hAnsi="Times" w:cstheme="minorHAnsi"/>
        </w:rPr>
        <w:t xml:space="preserve">interests of the beneficiary, rather than promising to perform </w:t>
      </w:r>
      <w:r w:rsidR="008025CA">
        <w:rPr>
          <w:rFonts w:ascii="Times" w:hAnsi="Times" w:cstheme="minorHAnsi"/>
        </w:rPr>
        <w:t xml:space="preserve">a task </w:t>
      </w:r>
      <w:r w:rsidR="00A742F3" w:rsidRPr="00A742F3">
        <w:rPr>
          <w:rFonts w:ascii="Times" w:hAnsi="Times" w:cstheme="minorHAnsi"/>
        </w:rPr>
        <w:t xml:space="preserve">for </w:t>
      </w:r>
      <w:r w:rsidR="000952B8">
        <w:rPr>
          <w:rFonts w:ascii="Times" w:hAnsi="Times" w:cstheme="minorHAnsi"/>
        </w:rPr>
        <w:t xml:space="preserve">some </w:t>
      </w:r>
      <w:r w:rsidR="00A742F3" w:rsidRPr="00A742F3">
        <w:rPr>
          <w:rFonts w:ascii="Times" w:hAnsi="Times" w:cstheme="minorHAnsi"/>
        </w:rPr>
        <w:t>mutually agreed benefit</w:t>
      </w:r>
      <w:r w:rsidR="000F2BA1">
        <w:rPr>
          <w:rFonts w:ascii="Times" w:hAnsi="Times" w:cstheme="minorHAnsi"/>
        </w:rPr>
        <w:t>.  T</w:t>
      </w:r>
      <w:r w:rsidR="0022670F">
        <w:rPr>
          <w:rFonts w:ascii="Times" w:hAnsi="Times" w:cstheme="minorHAnsi"/>
        </w:rPr>
        <w:t xml:space="preserve">he core concern of trust law is </w:t>
      </w:r>
      <w:r w:rsidR="00A742F3" w:rsidRPr="00A742F3">
        <w:rPr>
          <w:rFonts w:ascii="Times" w:hAnsi="Times" w:cstheme="minorHAnsi"/>
        </w:rPr>
        <w:t>safeguarding interests</w:t>
      </w:r>
      <w:r w:rsidR="0022670F">
        <w:rPr>
          <w:rFonts w:ascii="Times" w:hAnsi="Times" w:cstheme="minorHAnsi"/>
        </w:rPr>
        <w:t>; the core concern of contract law is m</w:t>
      </w:r>
      <w:r w:rsidR="00A742F3" w:rsidRPr="00A742F3">
        <w:rPr>
          <w:rFonts w:ascii="Times" w:hAnsi="Times" w:cstheme="minorHAnsi"/>
        </w:rPr>
        <w:t>arket exchange</w:t>
      </w:r>
      <w:r w:rsidR="008025CA">
        <w:rPr>
          <w:rFonts w:ascii="Times" w:hAnsi="Times" w:cstheme="minorHAnsi"/>
        </w:rPr>
        <w:t>.</w:t>
      </w:r>
      <w:r w:rsidR="000F2BA1">
        <w:rPr>
          <w:rFonts w:ascii="Times" w:hAnsi="Times" w:cstheme="minorHAnsi"/>
        </w:rPr>
        <w:t xml:space="preserve">  The a</w:t>
      </w:r>
      <w:r w:rsidR="00A742F3" w:rsidRPr="00A742F3">
        <w:rPr>
          <w:rFonts w:ascii="Times" w:hAnsi="Times" w:cstheme="minorHAnsi"/>
        </w:rPr>
        <w:t xml:space="preserve">bility to breach </w:t>
      </w:r>
      <w:r w:rsidR="000F2BA1">
        <w:rPr>
          <w:rFonts w:ascii="Times" w:hAnsi="Times" w:cstheme="minorHAnsi"/>
        </w:rPr>
        <w:t xml:space="preserve">a contract </w:t>
      </w:r>
      <w:r w:rsidR="00A742F3" w:rsidRPr="00A742F3">
        <w:rPr>
          <w:rFonts w:ascii="Times" w:hAnsi="Times" w:cstheme="minorHAnsi"/>
        </w:rPr>
        <w:t xml:space="preserve">and pay </w:t>
      </w:r>
      <w:r w:rsidR="000F2BA1">
        <w:rPr>
          <w:rFonts w:ascii="Times" w:hAnsi="Times" w:cstheme="minorHAnsi"/>
        </w:rPr>
        <w:t xml:space="preserve">damages </w:t>
      </w:r>
      <w:r w:rsidR="00A742F3" w:rsidRPr="00A742F3">
        <w:rPr>
          <w:rFonts w:ascii="Times" w:hAnsi="Times" w:cstheme="minorHAnsi"/>
        </w:rPr>
        <w:t>may be highly significant in operation of a market</w:t>
      </w:r>
      <w:r w:rsidR="000F2BA1">
        <w:rPr>
          <w:rFonts w:ascii="Times" w:hAnsi="Times" w:cstheme="minorHAnsi"/>
        </w:rPr>
        <w:t xml:space="preserve">.  There is no such concern </w:t>
      </w:r>
      <w:r w:rsidR="00BC52A9">
        <w:rPr>
          <w:rFonts w:ascii="Times" w:hAnsi="Times" w:cstheme="minorHAnsi"/>
        </w:rPr>
        <w:t>to accommodate an analogous a</w:t>
      </w:r>
      <w:r w:rsidR="00A742F3" w:rsidRPr="00A742F3">
        <w:rPr>
          <w:rFonts w:ascii="Times" w:hAnsi="Times" w:cstheme="minorHAnsi"/>
        </w:rPr>
        <w:t xml:space="preserve">bility to </w:t>
      </w:r>
      <w:r w:rsidR="00BC52A9">
        <w:rPr>
          <w:rFonts w:ascii="Times" w:hAnsi="Times" w:cstheme="minorHAnsi"/>
        </w:rPr>
        <w:t xml:space="preserve">breach </w:t>
      </w:r>
      <w:r w:rsidR="00A742F3" w:rsidRPr="00A742F3">
        <w:rPr>
          <w:rFonts w:ascii="Times" w:hAnsi="Times" w:cstheme="minorHAnsi"/>
        </w:rPr>
        <w:t>a trust</w:t>
      </w:r>
      <w:r w:rsidR="00BC52A9">
        <w:rPr>
          <w:rFonts w:ascii="Times" w:hAnsi="Times" w:cstheme="minorHAnsi"/>
        </w:rPr>
        <w:t xml:space="preserve"> and pay compensation.</w:t>
      </w:r>
    </w:p>
    <w:p w14:paraId="441E81D3" w14:textId="77777777" w:rsidR="0043219C" w:rsidRPr="0043219C" w:rsidRDefault="0043219C" w:rsidP="00A217B5">
      <w:pPr>
        <w:spacing w:line="360" w:lineRule="auto"/>
        <w:jc w:val="both"/>
        <w:rPr>
          <w:rFonts w:ascii="Times" w:hAnsi="Times" w:cstheme="minorHAnsi"/>
        </w:rPr>
      </w:pPr>
    </w:p>
    <w:p w14:paraId="68837B7C" w14:textId="0FE0A2A7" w:rsidR="00585453" w:rsidRPr="006955AF" w:rsidRDefault="000952B8" w:rsidP="00A217B5">
      <w:pPr>
        <w:spacing w:line="360" w:lineRule="auto"/>
        <w:jc w:val="both"/>
        <w:rPr>
          <w:rFonts w:ascii="Times" w:hAnsi="Times"/>
        </w:rPr>
      </w:pPr>
      <w:r>
        <w:rPr>
          <w:rFonts w:ascii="Times" w:hAnsi="Times" w:cstheme="minorHAnsi"/>
        </w:rPr>
        <w:t>A</w:t>
      </w:r>
      <w:r w:rsidR="00CA3DAA" w:rsidRPr="006955AF">
        <w:rPr>
          <w:rFonts w:ascii="Times" w:hAnsi="Times" w:cstheme="minorHAnsi"/>
        </w:rPr>
        <w:t xml:space="preserve">ll </w:t>
      </w:r>
      <w:r>
        <w:rPr>
          <w:rFonts w:ascii="Times" w:hAnsi="Times" w:cstheme="minorHAnsi"/>
        </w:rPr>
        <w:t xml:space="preserve">this </w:t>
      </w:r>
      <w:r w:rsidR="00CA3DAA" w:rsidRPr="006955AF">
        <w:rPr>
          <w:rFonts w:ascii="Times" w:hAnsi="Times" w:cstheme="minorHAnsi"/>
        </w:rPr>
        <w:t>has implications for</w:t>
      </w:r>
      <w:r w:rsidR="00B107A5" w:rsidRPr="006955AF">
        <w:rPr>
          <w:rFonts w:ascii="Times" w:hAnsi="Times" w:cstheme="minorHAnsi"/>
        </w:rPr>
        <w:t xml:space="preserve"> </w:t>
      </w:r>
      <w:r w:rsidR="00585453" w:rsidRPr="006955AF">
        <w:rPr>
          <w:rFonts w:ascii="Times" w:hAnsi="Times"/>
        </w:rPr>
        <w:t>the</w:t>
      </w:r>
      <w:r w:rsidR="00EA0290">
        <w:rPr>
          <w:rFonts w:ascii="Times" w:hAnsi="Times"/>
        </w:rPr>
        <w:t xml:space="preserve"> </w:t>
      </w:r>
      <w:r w:rsidR="00585453" w:rsidRPr="006955AF">
        <w:rPr>
          <w:rFonts w:ascii="Times" w:hAnsi="Times"/>
        </w:rPr>
        <w:t>conceptualisation of an interest under a trust</w:t>
      </w:r>
      <w:r w:rsidR="00A277EB" w:rsidRPr="006955AF">
        <w:rPr>
          <w:rFonts w:ascii="Times" w:hAnsi="Times"/>
        </w:rPr>
        <w:t>:  that conceptualisation</w:t>
      </w:r>
      <w:r w:rsidR="00585453" w:rsidRPr="006955AF">
        <w:rPr>
          <w:rFonts w:ascii="Times" w:hAnsi="Times"/>
        </w:rPr>
        <w:t xml:space="preserve"> must accommodate and reflect the implications of the </w:t>
      </w:r>
      <w:r w:rsidR="00A277EB" w:rsidRPr="006955AF">
        <w:rPr>
          <w:rFonts w:ascii="Times" w:hAnsi="Times"/>
        </w:rPr>
        <w:t xml:space="preserve">courts’ </w:t>
      </w:r>
      <w:r w:rsidR="00585453" w:rsidRPr="006955AF">
        <w:rPr>
          <w:rFonts w:ascii="Times" w:hAnsi="Times"/>
        </w:rPr>
        <w:t>jurisdiction</w:t>
      </w:r>
      <w:r w:rsidR="00A277EB" w:rsidRPr="006955AF">
        <w:rPr>
          <w:rFonts w:ascii="Times" w:hAnsi="Times"/>
        </w:rPr>
        <w:t xml:space="preserve"> to procure performance of the trust by a </w:t>
      </w:r>
      <w:r w:rsidR="00B107A5" w:rsidRPr="006955AF">
        <w:rPr>
          <w:rFonts w:ascii="Times" w:hAnsi="Times"/>
        </w:rPr>
        <w:t>substitute</w:t>
      </w:r>
      <w:r w:rsidR="00585453" w:rsidRPr="006955AF">
        <w:rPr>
          <w:rFonts w:ascii="Times" w:hAnsi="Times"/>
        </w:rPr>
        <w:t xml:space="preserve">.  An interest under a trust, while it may be conceptualised as a single interest, is a complex of juridical components.  The interest will involve proprietary aspects – the right to maintain and when necessary restore the integrity of </w:t>
      </w:r>
      <w:r w:rsidR="00585453" w:rsidRPr="006955AF">
        <w:rPr>
          <w:rFonts w:ascii="Times" w:hAnsi="Times"/>
        </w:rPr>
        <w:lastRenderedPageBreak/>
        <w:t>the trust fund – as well as claims on the trustee by way of obligation.</w:t>
      </w:r>
      <w:r w:rsidR="00585453" w:rsidRPr="006955AF">
        <w:rPr>
          <w:rStyle w:val="FootnoteReference"/>
        </w:rPr>
        <w:footnoteReference w:id="129"/>
      </w:r>
      <w:r w:rsidR="00585453" w:rsidRPr="006955AF">
        <w:rPr>
          <w:rFonts w:ascii="Times" w:hAnsi="Times"/>
        </w:rPr>
        <w:t xml:space="preserve">  But that interest also still crucially involves the holder’s – the beneficiary’s – right to invoke the jurisdiction of the court</w:t>
      </w:r>
      <w:r w:rsidR="00DD6DC2">
        <w:rPr>
          <w:rFonts w:ascii="Times" w:hAnsi="Times"/>
        </w:rPr>
        <w:t>.</w:t>
      </w:r>
      <w:r w:rsidR="00A277EB" w:rsidRPr="006955AF">
        <w:rPr>
          <w:rFonts w:ascii="Times" w:hAnsi="Times"/>
        </w:rPr>
        <w:t xml:space="preserve"> </w:t>
      </w:r>
      <w:r w:rsidR="008446E6">
        <w:rPr>
          <w:rFonts w:ascii="Times" w:hAnsi="Times"/>
        </w:rPr>
        <w:t xml:space="preserve"> </w:t>
      </w:r>
      <w:r w:rsidR="00585453" w:rsidRPr="006955AF">
        <w:rPr>
          <w:rFonts w:ascii="Times" w:hAnsi="Times"/>
        </w:rPr>
        <w:t>The non-</w:t>
      </w:r>
      <w:r w:rsidR="00DD6DC2">
        <w:rPr>
          <w:rFonts w:ascii="Times" w:hAnsi="Times"/>
        </w:rPr>
        <w:t xml:space="preserve">obligational </w:t>
      </w:r>
      <w:r w:rsidR="00585453" w:rsidRPr="006955AF">
        <w:rPr>
          <w:rFonts w:ascii="Times" w:hAnsi="Times"/>
        </w:rPr>
        <w:t xml:space="preserve">aspects of the interest cannot simply be reduced to nothing more than a series of obligations owed </w:t>
      </w:r>
      <w:r w:rsidR="00A277EB" w:rsidRPr="006955AF">
        <w:rPr>
          <w:rFonts w:ascii="Times" w:hAnsi="Times"/>
        </w:rPr>
        <w:t xml:space="preserve">by the trustee </w:t>
      </w:r>
      <w:r w:rsidR="00585453" w:rsidRPr="006955AF">
        <w:rPr>
          <w:rFonts w:ascii="Times" w:hAnsi="Times"/>
        </w:rPr>
        <w:t xml:space="preserve">to the holder of the interest.  Of course, this is not to say that in a modern conceptualisation </w:t>
      </w:r>
      <w:r w:rsidR="00AE31F0">
        <w:rPr>
          <w:rFonts w:ascii="Times" w:hAnsi="Times"/>
        </w:rPr>
        <w:t xml:space="preserve">of the </w:t>
      </w:r>
      <w:r w:rsidR="00585453" w:rsidRPr="006955AF">
        <w:rPr>
          <w:rFonts w:ascii="Times" w:hAnsi="Times"/>
        </w:rPr>
        <w:t xml:space="preserve">trust, such obligations do not exist: </w:t>
      </w:r>
      <w:r w:rsidR="00DF6C52">
        <w:rPr>
          <w:rFonts w:ascii="Times" w:hAnsi="Times"/>
        </w:rPr>
        <w:t xml:space="preserve"> </w:t>
      </w:r>
      <w:r w:rsidR="00585453" w:rsidRPr="006955AF">
        <w:rPr>
          <w:rFonts w:ascii="Times" w:hAnsi="Times"/>
        </w:rPr>
        <w:t>far from it.  It is simply to emphasise that they are not the whole of the interest-holder’s rights.</w:t>
      </w:r>
    </w:p>
    <w:p w14:paraId="7615C9B7" w14:textId="77777777" w:rsidR="004100C4" w:rsidRDefault="004100C4" w:rsidP="00A217B5">
      <w:pPr>
        <w:spacing w:line="360" w:lineRule="auto"/>
        <w:jc w:val="both"/>
        <w:rPr>
          <w:rFonts w:ascii="Times" w:hAnsi="Times"/>
        </w:rPr>
      </w:pPr>
    </w:p>
    <w:p w14:paraId="2D2DE2ED" w14:textId="305A9575" w:rsidR="00CD3235" w:rsidRPr="006955AF" w:rsidRDefault="00A2411B" w:rsidP="00A217B5">
      <w:pPr>
        <w:spacing w:line="360" w:lineRule="auto"/>
        <w:jc w:val="both"/>
        <w:rPr>
          <w:rFonts w:ascii="Times" w:hAnsi="Times"/>
        </w:rPr>
      </w:pPr>
      <w:r w:rsidRPr="006955AF">
        <w:rPr>
          <w:rFonts w:ascii="Times" w:hAnsi="Times"/>
        </w:rPr>
        <w:t>T</w:t>
      </w:r>
      <w:r w:rsidR="00585453" w:rsidRPr="006955AF">
        <w:rPr>
          <w:rFonts w:ascii="Times" w:hAnsi="Times"/>
        </w:rPr>
        <w:t xml:space="preserve">he ability of the court to intervene in the administration </w:t>
      </w:r>
      <w:r w:rsidR="00FE2583">
        <w:rPr>
          <w:rFonts w:ascii="Times" w:hAnsi="Times"/>
        </w:rPr>
        <w:t xml:space="preserve">of the </w:t>
      </w:r>
      <w:r w:rsidR="00585453" w:rsidRPr="006955AF">
        <w:rPr>
          <w:rFonts w:ascii="Times" w:hAnsi="Times"/>
        </w:rPr>
        <w:t>trust when necessary</w:t>
      </w:r>
      <w:r w:rsidR="004B4167">
        <w:rPr>
          <w:rFonts w:ascii="Times" w:hAnsi="Times"/>
        </w:rPr>
        <w:t>,</w:t>
      </w:r>
      <w:r w:rsidR="00585453" w:rsidRPr="006955AF">
        <w:rPr>
          <w:rFonts w:ascii="Times" w:hAnsi="Times"/>
        </w:rPr>
        <w:t xml:space="preserve"> and</w:t>
      </w:r>
      <w:r w:rsidRPr="006955AF">
        <w:rPr>
          <w:rFonts w:ascii="Times" w:hAnsi="Times"/>
        </w:rPr>
        <w:t xml:space="preserve">, crucially, the ability of the court to procure performance of the trust through the appointment of new trustees, or ultimately through execution of the trust by the court itself, </w:t>
      </w:r>
      <w:r w:rsidR="00585453" w:rsidRPr="006955AF">
        <w:rPr>
          <w:rFonts w:ascii="Times" w:hAnsi="Times"/>
        </w:rPr>
        <w:t>cannot be conceptualised as obligations owed by the trustees.  Nor are they in any sense rights of property</w:t>
      </w:r>
      <w:r w:rsidR="00207882">
        <w:rPr>
          <w:rFonts w:ascii="Times" w:hAnsi="Times"/>
        </w:rPr>
        <w:t>, which beneficiaries also have</w:t>
      </w:r>
      <w:r w:rsidR="00512C6A">
        <w:rPr>
          <w:rFonts w:ascii="Times" w:hAnsi="Times"/>
        </w:rPr>
        <w:t xml:space="preserve"> as part of their interests under a trust</w:t>
      </w:r>
      <w:r w:rsidR="00585453" w:rsidRPr="006955AF">
        <w:rPr>
          <w:rFonts w:ascii="Times" w:hAnsi="Times"/>
        </w:rPr>
        <w:t>.  Nor could they be practically replicated by private bargain.</w:t>
      </w:r>
    </w:p>
    <w:p w14:paraId="1C8B90BD" w14:textId="77777777" w:rsidR="00CD3235" w:rsidRPr="006955AF" w:rsidRDefault="00CD3235" w:rsidP="00A217B5">
      <w:pPr>
        <w:spacing w:line="360" w:lineRule="auto"/>
        <w:jc w:val="both"/>
        <w:rPr>
          <w:rFonts w:ascii="Times" w:hAnsi="Times"/>
        </w:rPr>
      </w:pPr>
    </w:p>
    <w:p w14:paraId="0E9C28C6" w14:textId="296410BC" w:rsidR="00256BA8" w:rsidRPr="006955AF" w:rsidRDefault="00207882" w:rsidP="00A217B5">
      <w:pPr>
        <w:spacing w:line="360" w:lineRule="auto"/>
        <w:jc w:val="both"/>
        <w:rPr>
          <w:rFonts w:ascii="Times" w:hAnsi="Times" w:cstheme="minorHAnsi"/>
        </w:rPr>
      </w:pPr>
      <w:r>
        <w:rPr>
          <w:rFonts w:ascii="Times" w:hAnsi="Times"/>
        </w:rPr>
        <w:t xml:space="preserve">There is, therefore, a </w:t>
      </w:r>
      <w:r w:rsidR="00CD3235" w:rsidRPr="006955AF">
        <w:rPr>
          <w:rFonts w:ascii="Times" w:hAnsi="Times"/>
        </w:rPr>
        <w:t xml:space="preserve">danger </w:t>
      </w:r>
      <w:r>
        <w:rPr>
          <w:rFonts w:ascii="Times" w:hAnsi="Times"/>
        </w:rPr>
        <w:t>in</w:t>
      </w:r>
      <w:r w:rsidR="00CD3235" w:rsidRPr="006955AF">
        <w:rPr>
          <w:rFonts w:ascii="Times" w:hAnsi="Times"/>
        </w:rPr>
        <w:t xml:space="preserve"> thinking about trust and contract </w:t>
      </w:r>
      <w:r>
        <w:rPr>
          <w:rFonts w:ascii="Times" w:hAnsi="Times"/>
        </w:rPr>
        <w:t xml:space="preserve">just </w:t>
      </w:r>
      <w:r w:rsidR="00CD3235" w:rsidRPr="006955AF">
        <w:rPr>
          <w:rFonts w:ascii="Times" w:hAnsi="Times"/>
        </w:rPr>
        <w:t xml:space="preserve">as obligations, quite aside from any question of the proprietary rights of beneficiaries.  </w:t>
      </w:r>
      <w:r w:rsidR="00EB1CA6">
        <w:rPr>
          <w:rFonts w:ascii="Times" w:hAnsi="Times"/>
        </w:rPr>
        <w:t>T</w:t>
      </w:r>
      <w:r w:rsidR="004646B1" w:rsidRPr="006955AF">
        <w:rPr>
          <w:rFonts w:ascii="Times" w:hAnsi="Times"/>
        </w:rPr>
        <w:t xml:space="preserve">o talk of a law of obligations might be a perfectly useful categorisation to delimit the category </w:t>
      </w:r>
      <w:r w:rsidR="00527651">
        <w:rPr>
          <w:rFonts w:ascii="Times" w:hAnsi="Times"/>
        </w:rPr>
        <w:t xml:space="preserve">of </w:t>
      </w:r>
      <w:r w:rsidR="004646B1" w:rsidRPr="006955AF">
        <w:rPr>
          <w:rFonts w:ascii="Times" w:hAnsi="Times"/>
        </w:rPr>
        <w:t>people bound</w:t>
      </w:r>
      <w:r w:rsidR="008A05CD">
        <w:rPr>
          <w:rFonts w:ascii="Times" w:hAnsi="Times"/>
        </w:rPr>
        <w:t xml:space="preserve"> by the right at issue</w:t>
      </w:r>
      <w:r w:rsidR="004646B1" w:rsidRPr="006955AF">
        <w:rPr>
          <w:rFonts w:ascii="Times" w:hAnsi="Times"/>
        </w:rPr>
        <w:t xml:space="preserve">, in contradistinction to the law of property.  </w:t>
      </w:r>
      <w:r w:rsidR="00097722">
        <w:rPr>
          <w:rFonts w:ascii="Times" w:hAnsi="Times"/>
        </w:rPr>
        <w:t xml:space="preserve">But categorisations are always purposive:  they </w:t>
      </w:r>
      <w:r w:rsidR="00220816">
        <w:rPr>
          <w:rFonts w:ascii="Times" w:hAnsi="Times"/>
        </w:rPr>
        <w:t xml:space="preserve">are used to construct groups by reference to </w:t>
      </w:r>
      <w:r w:rsidR="00D64537">
        <w:rPr>
          <w:rFonts w:ascii="Times" w:hAnsi="Times"/>
        </w:rPr>
        <w:t xml:space="preserve">one or more </w:t>
      </w:r>
      <w:r w:rsidR="00220816">
        <w:rPr>
          <w:rFonts w:ascii="Times" w:hAnsi="Times"/>
        </w:rPr>
        <w:t>particular char</w:t>
      </w:r>
      <w:r w:rsidR="00D64537">
        <w:rPr>
          <w:rFonts w:ascii="Times" w:hAnsi="Times"/>
        </w:rPr>
        <w:t>acteristics</w:t>
      </w:r>
      <w:r w:rsidR="006304AB">
        <w:rPr>
          <w:rFonts w:ascii="Times" w:hAnsi="Times"/>
        </w:rPr>
        <w:t xml:space="preserve">.  </w:t>
      </w:r>
      <w:r w:rsidR="00D64537">
        <w:rPr>
          <w:rFonts w:ascii="Times" w:hAnsi="Times"/>
        </w:rPr>
        <w:t xml:space="preserve">So a categorisation made by reference to one characteristic </w:t>
      </w:r>
      <w:r w:rsidR="009579DE">
        <w:rPr>
          <w:rFonts w:ascii="Times" w:hAnsi="Times"/>
        </w:rPr>
        <w:t>is unlikely to</w:t>
      </w:r>
      <w:r w:rsidR="00D64537">
        <w:rPr>
          <w:rFonts w:ascii="Times" w:hAnsi="Times"/>
        </w:rPr>
        <w:t xml:space="preserve"> be useful when the focus </w:t>
      </w:r>
      <w:r w:rsidR="009579DE">
        <w:rPr>
          <w:rFonts w:ascii="Times" w:hAnsi="Times"/>
        </w:rPr>
        <w:t xml:space="preserve">of enquiry </w:t>
      </w:r>
      <w:r w:rsidR="00D64537">
        <w:rPr>
          <w:rFonts w:ascii="Times" w:hAnsi="Times"/>
        </w:rPr>
        <w:t xml:space="preserve">is on a different characteristic.  In the present context, a categorisation drawn by reference to the persons bound by a right </w:t>
      </w:r>
      <w:r w:rsidR="004646B1" w:rsidRPr="006955AF">
        <w:rPr>
          <w:rFonts w:ascii="Times" w:hAnsi="Times"/>
        </w:rPr>
        <w:t xml:space="preserve">is less than helpful </w:t>
      </w:r>
      <w:r w:rsidR="00CB62BB" w:rsidRPr="006955AF">
        <w:rPr>
          <w:rFonts w:ascii="Times" w:hAnsi="Times"/>
        </w:rPr>
        <w:t>when the purpose</w:t>
      </w:r>
      <w:r w:rsidR="009579DE">
        <w:rPr>
          <w:rFonts w:ascii="Times" w:hAnsi="Times"/>
        </w:rPr>
        <w:t>s</w:t>
      </w:r>
      <w:r w:rsidR="00CB62BB" w:rsidRPr="006955AF">
        <w:rPr>
          <w:rFonts w:ascii="Times" w:hAnsi="Times"/>
        </w:rPr>
        <w:t xml:space="preserve"> of </w:t>
      </w:r>
      <w:r w:rsidR="009579DE">
        <w:rPr>
          <w:rFonts w:ascii="Times" w:hAnsi="Times"/>
        </w:rPr>
        <w:t xml:space="preserve">the </w:t>
      </w:r>
      <w:r w:rsidR="00CB62BB" w:rsidRPr="006955AF">
        <w:rPr>
          <w:rFonts w:ascii="Times" w:hAnsi="Times"/>
        </w:rPr>
        <w:t xml:space="preserve">enquiry </w:t>
      </w:r>
      <w:r w:rsidR="009579DE">
        <w:rPr>
          <w:rFonts w:ascii="Times" w:hAnsi="Times"/>
        </w:rPr>
        <w:t>are</w:t>
      </w:r>
      <w:r w:rsidR="00CB62BB" w:rsidRPr="006955AF">
        <w:rPr>
          <w:rFonts w:ascii="Times" w:hAnsi="Times"/>
        </w:rPr>
        <w:t xml:space="preserve"> to ascertain the content and purpose of </w:t>
      </w:r>
      <w:r w:rsidR="000D7D18" w:rsidRPr="006955AF">
        <w:rPr>
          <w:rFonts w:ascii="Times" w:hAnsi="Times"/>
        </w:rPr>
        <w:t xml:space="preserve">the various </w:t>
      </w:r>
      <w:r w:rsidR="00CB62BB" w:rsidRPr="006955AF">
        <w:rPr>
          <w:rFonts w:ascii="Times" w:hAnsi="Times"/>
        </w:rPr>
        <w:t>obligations.</w:t>
      </w:r>
      <w:r w:rsidR="00FB76DA">
        <w:rPr>
          <w:rFonts w:ascii="Times" w:hAnsi="Times"/>
        </w:rPr>
        <w:t xml:space="preserve">  And as has been seen, a trustee’s obligations </w:t>
      </w:r>
      <w:r w:rsidR="00F87446">
        <w:rPr>
          <w:rFonts w:ascii="Times" w:hAnsi="Times"/>
        </w:rPr>
        <w:t xml:space="preserve">are </w:t>
      </w:r>
      <w:r w:rsidR="005F4E1F">
        <w:rPr>
          <w:rFonts w:ascii="Times" w:hAnsi="Times"/>
        </w:rPr>
        <w:t>quite distinct from those of a contracting party.</w:t>
      </w:r>
    </w:p>
    <w:p w14:paraId="5E8D4924" w14:textId="77777777" w:rsidR="00256BA8" w:rsidRPr="006955AF" w:rsidRDefault="00256BA8" w:rsidP="00A217B5">
      <w:pPr>
        <w:spacing w:line="360" w:lineRule="auto"/>
        <w:jc w:val="both"/>
        <w:rPr>
          <w:rFonts w:ascii="Times" w:hAnsi="Times" w:cstheme="minorHAnsi"/>
        </w:rPr>
      </w:pPr>
    </w:p>
    <w:p w14:paraId="1D12E28D" w14:textId="0136C653" w:rsidR="00B1214C" w:rsidRPr="006955AF" w:rsidRDefault="006304AB" w:rsidP="00A217B5">
      <w:pPr>
        <w:spacing w:line="360" w:lineRule="auto"/>
        <w:jc w:val="both"/>
        <w:rPr>
          <w:rFonts w:ascii="Times" w:hAnsi="Times"/>
        </w:rPr>
      </w:pPr>
      <w:r>
        <w:rPr>
          <w:rFonts w:ascii="Times" w:hAnsi="Times" w:cstheme="minorHAnsi"/>
        </w:rPr>
        <w:t>So, w</w:t>
      </w:r>
      <w:r w:rsidR="009B08BB">
        <w:rPr>
          <w:rFonts w:ascii="Times" w:hAnsi="Times" w:cstheme="minorHAnsi"/>
        </w:rPr>
        <w:t xml:space="preserve">hen the focus of enquiry </w:t>
      </w:r>
      <w:r w:rsidR="002026A9">
        <w:rPr>
          <w:rFonts w:ascii="Times" w:hAnsi="Times" w:cstheme="minorHAnsi"/>
        </w:rPr>
        <w:t xml:space="preserve">is on </w:t>
      </w:r>
      <w:r w:rsidR="00D64537">
        <w:rPr>
          <w:rFonts w:ascii="Times" w:hAnsi="Times" w:cstheme="minorHAnsi"/>
        </w:rPr>
        <w:t xml:space="preserve">the content of </w:t>
      </w:r>
      <w:r w:rsidR="002026A9">
        <w:rPr>
          <w:rFonts w:ascii="Times" w:hAnsi="Times" w:cstheme="minorHAnsi"/>
        </w:rPr>
        <w:t xml:space="preserve">a trustee’s obligations, conflating the obligations of a trustee with those of a contracting party will </w:t>
      </w:r>
      <w:r w:rsidR="00841C99" w:rsidRPr="006955AF">
        <w:rPr>
          <w:rFonts w:ascii="Times" w:hAnsi="Times" w:cstheme="minorHAnsi"/>
        </w:rPr>
        <w:t xml:space="preserve">only lead to confusion, as witness </w:t>
      </w:r>
      <w:r w:rsidR="00841C99" w:rsidRPr="006955AF">
        <w:rPr>
          <w:rFonts w:ascii="Times" w:hAnsi="Times" w:cstheme="minorHAnsi"/>
          <w:i/>
        </w:rPr>
        <w:t>Target</w:t>
      </w:r>
      <w:r w:rsidR="00841C99" w:rsidRPr="006955AF">
        <w:rPr>
          <w:rFonts w:ascii="Times" w:hAnsi="Times" w:cstheme="minorHAnsi"/>
        </w:rPr>
        <w:t xml:space="preserve">, </w:t>
      </w:r>
      <w:r w:rsidR="00841C99" w:rsidRPr="006955AF">
        <w:rPr>
          <w:rFonts w:ascii="Times" w:hAnsi="Times" w:cstheme="minorHAnsi"/>
          <w:i/>
        </w:rPr>
        <w:t>AIB</w:t>
      </w:r>
      <w:r w:rsidR="00841C99" w:rsidRPr="006955AF">
        <w:rPr>
          <w:rFonts w:ascii="Times" w:hAnsi="Times" w:cstheme="minorHAnsi"/>
        </w:rPr>
        <w:t xml:space="preserve"> and other cases.  Yet these cases can be perfectly well explained in orthodox ways</w:t>
      </w:r>
      <w:r w:rsidR="000952B8">
        <w:rPr>
          <w:rFonts w:ascii="Times" w:hAnsi="Times" w:cstheme="minorHAnsi"/>
        </w:rPr>
        <w:t xml:space="preserve">.  </w:t>
      </w:r>
      <w:r w:rsidR="00841C99" w:rsidRPr="006955AF">
        <w:rPr>
          <w:rFonts w:ascii="Times" w:hAnsi="Times"/>
        </w:rPr>
        <w:t xml:space="preserve">There is no need for a separate body of “commercial trust law”.  </w:t>
      </w:r>
      <w:r w:rsidR="00C82048" w:rsidRPr="006955AF">
        <w:rPr>
          <w:rFonts w:ascii="Times" w:hAnsi="Times"/>
        </w:rPr>
        <w:t>T</w:t>
      </w:r>
      <w:r w:rsidR="00972E50" w:rsidRPr="006955AF">
        <w:rPr>
          <w:rFonts w:ascii="Times" w:hAnsi="Times"/>
        </w:rPr>
        <w:t>here is no need</w:t>
      </w:r>
      <w:r w:rsidR="001B0F79" w:rsidRPr="006955AF">
        <w:rPr>
          <w:rFonts w:ascii="Times" w:hAnsi="Times"/>
        </w:rPr>
        <w:t xml:space="preserve"> to in</w:t>
      </w:r>
      <w:r w:rsidR="00C82048" w:rsidRPr="006955AF">
        <w:rPr>
          <w:rFonts w:ascii="Times" w:hAnsi="Times"/>
        </w:rPr>
        <w:t>troduce</w:t>
      </w:r>
      <w:r>
        <w:rPr>
          <w:rFonts w:ascii="Times" w:hAnsi="Times"/>
        </w:rPr>
        <w:t xml:space="preserve"> </w:t>
      </w:r>
      <w:r w:rsidR="006C1569">
        <w:rPr>
          <w:rFonts w:ascii="Times" w:hAnsi="Times"/>
        </w:rPr>
        <w:t xml:space="preserve">common law </w:t>
      </w:r>
      <w:r>
        <w:rPr>
          <w:rFonts w:ascii="Times" w:hAnsi="Times"/>
        </w:rPr>
        <w:t xml:space="preserve">concepts </w:t>
      </w:r>
      <w:r w:rsidR="006C1569">
        <w:rPr>
          <w:rFonts w:ascii="Times" w:hAnsi="Times"/>
        </w:rPr>
        <w:t xml:space="preserve">used in </w:t>
      </w:r>
      <w:r>
        <w:rPr>
          <w:rFonts w:ascii="Times" w:hAnsi="Times"/>
        </w:rPr>
        <w:t xml:space="preserve">the law of contract </w:t>
      </w:r>
      <w:r w:rsidR="00A50832">
        <w:rPr>
          <w:rFonts w:ascii="Times" w:hAnsi="Times"/>
        </w:rPr>
        <w:t>–</w:t>
      </w:r>
      <w:r>
        <w:rPr>
          <w:rFonts w:ascii="Times" w:hAnsi="Times"/>
        </w:rPr>
        <w:t xml:space="preserve"> </w:t>
      </w:r>
      <w:r w:rsidR="00DD6DC2">
        <w:rPr>
          <w:rFonts w:ascii="Times" w:hAnsi="Times"/>
        </w:rPr>
        <w:t xml:space="preserve">remoteness, </w:t>
      </w:r>
      <w:r w:rsidR="00DD6DC2" w:rsidRPr="000E3919">
        <w:rPr>
          <w:rFonts w:ascii="Times" w:hAnsi="Times"/>
          <w:i/>
        </w:rPr>
        <w:t>novus actus interveniens</w:t>
      </w:r>
      <w:r w:rsidR="00DD6DC2">
        <w:rPr>
          <w:rFonts w:ascii="Times" w:hAnsi="Times"/>
        </w:rPr>
        <w:t xml:space="preserve">, </w:t>
      </w:r>
      <w:r w:rsidR="00C82048" w:rsidRPr="006955AF">
        <w:rPr>
          <w:rFonts w:ascii="Times" w:hAnsi="Times"/>
        </w:rPr>
        <w:t>mitigation of loss</w:t>
      </w:r>
      <w:r>
        <w:rPr>
          <w:rFonts w:ascii="Times" w:hAnsi="Times"/>
        </w:rPr>
        <w:t xml:space="preserve">, </w:t>
      </w:r>
      <w:r w:rsidR="00C82048" w:rsidRPr="006955AF">
        <w:rPr>
          <w:rFonts w:ascii="Times" w:hAnsi="Times"/>
        </w:rPr>
        <w:t xml:space="preserve">consequential loss </w:t>
      </w:r>
      <w:r>
        <w:rPr>
          <w:rFonts w:ascii="Times" w:hAnsi="Times"/>
        </w:rPr>
        <w:t xml:space="preserve">and </w:t>
      </w:r>
      <w:r w:rsidRPr="006955AF">
        <w:rPr>
          <w:rFonts w:ascii="Times" w:hAnsi="Times"/>
        </w:rPr>
        <w:t>contributory negligence</w:t>
      </w:r>
      <w:r>
        <w:rPr>
          <w:rFonts w:ascii="Times" w:hAnsi="Times"/>
        </w:rPr>
        <w:t xml:space="preserve"> (so far as it applies to </w:t>
      </w:r>
      <w:r>
        <w:rPr>
          <w:rFonts w:ascii="Times" w:hAnsi="Times"/>
        </w:rPr>
        <w:lastRenderedPageBreak/>
        <w:t>contracts)</w:t>
      </w:r>
      <w:r w:rsidR="00A50832">
        <w:rPr>
          <w:rFonts w:ascii="Times" w:hAnsi="Times"/>
        </w:rPr>
        <w:t xml:space="preserve"> – </w:t>
      </w:r>
      <w:r w:rsidR="00C82048" w:rsidRPr="006955AF">
        <w:rPr>
          <w:rFonts w:ascii="Times" w:hAnsi="Times"/>
        </w:rPr>
        <w:t xml:space="preserve">into the law of trusts, so long as the exercise of accounting for a trustee’s liability is undertaken correctly in response to the terms of a trust.  </w:t>
      </w:r>
      <w:r w:rsidR="00714DCB" w:rsidRPr="006955AF">
        <w:rPr>
          <w:rFonts w:ascii="Times" w:hAnsi="Times"/>
        </w:rPr>
        <w:t>Once the terms of a trust are properly understood (and in a commercial context, these terms may well be moulded by its contractual context) and the remedies for breach are properly applied (</w:t>
      </w:r>
      <w:r w:rsidR="003341A6" w:rsidRPr="006955AF">
        <w:rPr>
          <w:rFonts w:ascii="Times" w:hAnsi="Times"/>
        </w:rPr>
        <w:t>most</w:t>
      </w:r>
      <w:r w:rsidR="00516AA0">
        <w:rPr>
          <w:rFonts w:ascii="Times" w:hAnsi="Times"/>
        </w:rPr>
        <w:t xml:space="preserve"> importantly</w:t>
      </w:r>
      <w:r w:rsidR="003341A6" w:rsidRPr="006955AF">
        <w:rPr>
          <w:rFonts w:ascii="Times" w:hAnsi="Times"/>
        </w:rPr>
        <w:t>, the principles of accounting) then a per</w:t>
      </w:r>
      <w:r w:rsidR="004F45F6" w:rsidRPr="006955AF">
        <w:rPr>
          <w:rFonts w:ascii="Times" w:hAnsi="Times"/>
        </w:rPr>
        <w:t xml:space="preserve">fectly orthodox result </w:t>
      </w:r>
      <w:r w:rsidR="00F2262C">
        <w:rPr>
          <w:rFonts w:ascii="Times" w:hAnsi="Times"/>
        </w:rPr>
        <w:t>can</w:t>
      </w:r>
      <w:r w:rsidR="004F45F6" w:rsidRPr="006955AF">
        <w:rPr>
          <w:rFonts w:ascii="Times" w:hAnsi="Times"/>
        </w:rPr>
        <w:t xml:space="preserve"> be achieved </w:t>
      </w:r>
      <w:r w:rsidR="00516AA0" w:rsidRPr="006955AF">
        <w:rPr>
          <w:rFonts w:ascii="Times" w:hAnsi="Times"/>
        </w:rPr>
        <w:t>(and in a commercial context, th</w:t>
      </w:r>
      <w:r w:rsidR="00516AA0">
        <w:rPr>
          <w:rFonts w:ascii="Times" w:hAnsi="Times"/>
        </w:rPr>
        <w:t xml:space="preserve">at result will necessarily reflect how the terms of the trust were </w:t>
      </w:r>
      <w:r w:rsidR="00516AA0" w:rsidRPr="006955AF">
        <w:rPr>
          <w:rFonts w:ascii="Times" w:hAnsi="Times"/>
        </w:rPr>
        <w:t>moulded by its contractual context)</w:t>
      </w:r>
      <w:r w:rsidR="004F45F6" w:rsidRPr="006955AF">
        <w:rPr>
          <w:rFonts w:ascii="Times" w:hAnsi="Times"/>
        </w:rPr>
        <w:t>.  Trustees should be duly accountable for their trust, which is to preserve, manage and distribute a trust fund</w:t>
      </w:r>
      <w:r w:rsidR="00516AA0">
        <w:rPr>
          <w:rFonts w:ascii="Times" w:hAnsi="Times"/>
        </w:rPr>
        <w:t xml:space="preserve"> on the terms applicable to that trust</w:t>
      </w:r>
      <w:r w:rsidR="004F45F6" w:rsidRPr="006955AF">
        <w:rPr>
          <w:rFonts w:ascii="Times" w:hAnsi="Times"/>
        </w:rPr>
        <w:t xml:space="preserve">; but they should not – at least as a matter of trust law – be held </w:t>
      </w:r>
      <w:r w:rsidR="002B08C5">
        <w:rPr>
          <w:rFonts w:ascii="Times" w:hAnsi="Times"/>
        </w:rPr>
        <w:t>to other standards</w:t>
      </w:r>
      <w:r w:rsidR="003121E2" w:rsidRPr="006955AF">
        <w:rPr>
          <w:rFonts w:ascii="Times" w:hAnsi="Times"/>
        </w:rPr>
        <w:t>.</w:t>
      </w:r>
    </w:p>
    <w:p w14:paraId="6CD9345B" w14:textId="63BA7488" w:rsidR="00D17870" w:rsidRPr="00B1214C" w:rsidRDefault="00D17870" w:rsidP="00A217B5">
      <w:pPr>
        <w:spacing w:line="360" w:lineRule="auto"/>
        <w:jc w:val="both"/>
      </w:pPr>
    </w:p>
    <w:p w14:paraId="7FAEB2FD" w14:textId="7D6FFC94" w:rsidR="000C363D" w:rsidRPr="006955AF" w:rsidRDefault="00D17870" w:rsidP="00A217B5">
      <w:pPr>
        <w:spacing w:line="360" w:lineRule="auto"/>
        <w:jc w:val="both"/>
        <w:rPr>
          <w:rFonts w:ascii="Times" w:hAnsi="Times"/>
        </w:rPr>
      </w:pPr>
      <w:r w:rsidRPr="006955AF">
        <w:rPr>
          <w:rFonts w:ascii="Times" w:hAnsi="Times"/>
        </w:rPr>
        <w:t xml:space="preserve">Trust law and contract law indeed share some similarities.  But they also </w:t>
      </w:r>
      <w:r w:rsidR="0006117B" w:rsidRPr="006955AF">
        <w:rPr>
          <w:rFonts w:ascii="Times" w:hAnsi="Times"/>
        </w:rPr>
        <w:t xml:space="preserve">show </w:t>
      </w:r>
      <w:r w:rsidR="00EA0290">
        <w:rPr>
          <w:rFonts w:ascii="Times" w:hAnsi="Times"/>
        </w:rPr>
        <w:t>important</w:t>
      </w:r>
      <w:r w:rsidRPr="006955AF">
        <w:rPr>
          <w:rFonts w:ascii="Times" w:hAnsi="Times"/>
        </w:rPr>
        <w:t xml:space="preserve"> differences in the significance a</w:t>
      </w:r>
      <w:r w:rsidR="0006117B" w:rsidRPr="006955AF">
        <w:rPr>
          <w:rFonts w:ascii="Times" w:hAnsi="Times"/>
        </w:rPr>
        <w:t>n</w:t>
      </w:r>
      <w:r w:rsidRPr="006955AF">
        <w:rPr>
          <w:rFonts w:ascii="Times" w:hAnsi="Times"/>
        </w:rPr>
        <w:t xml:space="preserve">d effect they </w:t>
      </w:r>
      <w:r w:rsidR="0006117B" w:rsidRPr="006955AF">
        <w:rPr>
          <w:rFonts w:ascii="Times" w:hAnsi="Times"/>
        </w:rPr>
        <w:t xml:space="preserve">respectively </w:t>
      </w:r>
      <w:r w:rsidRPr="006955AF">
        <w:rPr>
          <w:rFonts w:ascii="Times" w:hAnsi="Times"/>
        </w:rPr>
        <w:t xml:space="preserve">attribute to the </w:t>
      </w:r>
      <w:r w:rsidR="0006117B" w:rsidRPr="006955AF">
        <w:rPr>
          <w:rFonts w:ascii="Times" w:hAnsi="Times"/>
        </w:rPr>
        <w:t>interest in having a voluntary obligation performed.  Much becomes clear, and much confusion is avoided, if those differences are recognised and respected</w:t>
      </w:r>
      <w:r w:rsidR="00931C7C" w:rsidRPr="006955AF">
        <w:rPr>
          <w:rFonts w:ascii="Times" w:hAnsi="Times"/>
        </w:rPr>
        <w:t>.</w:t>
      </w:r>
      <w:r w:rsidR="00E506BA" w:rsidRPr="006955AF">
        <w:rPr>
          <w:rFonts w:ascii="Times" w:hAnsi="Times"/>
        </w:rPr>
        <w:t xml:space="preserve"> </w:t>
      </w:r>
    </w:p>
    <w:sectPr w:rsidR="000C363D" w:rsidRPr="006955AF" w:rsidSect="00C937FC">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ECA33" w14:textId="77777777" w:rsidR="00357DD9" w:rsidRDefault="00357DD9" w:rsidP="00C937FC">
      <w:r>
        <w:separator/>
      </w:r>
    </w:p>
  </w:endnote>
  <w:endnote w:type="continuationSeparator" w:id="0">
    <w:p w14:paraId="67828D5D" w14:textId="77777777" w:rsidR="00357DD9" w:rsidRDefault="00357DD9" w:rsidP="00C937FC">
      <w:r>
        <w:continuationSeparator/>
      </w:r>
    </w:p>
  </w:endnote>
  <w:endnote w:type="continuationNotice" w:id="1">
    <w:p w14:paraId="4AD368D4" w14:textId="77777777" w:rsidR="00357DD9" w:rsidRDefault="0035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3108" w14:textId="77777777" w:rsidR="00D54067" w:rsidRDefault="00D54067" w:rsidP="00CD7D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A3DE56" w14:textId="77777777" w:rsidR="00D54067" w:rsidRDefault="00D54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66CF" w14:textId="77777777" w:rsidR="00D54067" w:rsidRPr="007723BF" w:rsidRDefault="00D54067" w:rsidP="00CD7DAB">
    <w:pPr>
      <w:pStyle w:val="Footer"/>
      <w:framePr w:wrap="none" w:vAnchor="text" w:hAnchor="margin" w:xAlign="center" w:y="1"/>
      <w:rPr>
        <w:rStyle w:val="PageNumber"/>
        <w:rFonts w:ascii="Times New Roman" w:hAnsi="Times New Roman" w:cs="Times New Roman (Body CS)"/>
      </w:rPr>
    </w:pPr>
    <w:r w:rsidRPr="007723BF">
      <w:rPr>
        <w:rStyle w:val="PageNumber"/>
        <w:rFonts w:ascii="Times New Roman" w:hAnsi="Times New Roman" w:cs="Times New Roman (Body CS)"/>
      </w:rPr>
      <w:fldChar w:fldCharType="begin"/>
    </w:r>
    <w:r w:rsidRPr="00474276">
      <w:rPr>
        <w:rStyle w:val="PageNumber"/>
        <w:rFonts w:ascii="Times New Roman" w:hAnsi="Times New Roman" w:cs="Times New Roman (Body CS)"/>
      </w:rPr>
      <w:instrText xml:space="preserve">PAGE  </w:instrText>
    </w:r>
    <w:r w:rsidRPr="007723BF">
      <w:rPr>
        <w:rStyle w:val="PageNumber"/>
        <w:rFonts w:ascii="Times New Roman" w:hAnsi="Times New Roman" w:cs="Times New Roman (Body CS)"/>
      </w:rPr>
      <w:fldChar w:fldCharType="separate"/>
    </w:r>
    <w:r>
      <w:rPr>
        <w:rStyle w:val="PageNumber"/>
        <w:rFonts w:ascii="Times New Roman" w:hAnsi="Times New Roman" w:cs="Times New Roman (Body CS)"/>
        <w:noProof/>
      </w:rPr>
      <w:t>- 25 -</w:t>
    </w:r>
    <w:r w:rsidRPr="007723BF">
      <w:rPr>
        <w:rStyle w:val="PageNumber"/>
        <w:rFonts w:ascii="Times New Roman" w:hAnsi="Times New Roman" w:cs="Times New Roman (Body CS)"/>
      </w:rPr>
      <w:fldChar w:fldCharType="end"/>
    </w:r>
  </w:p>
  <w:p w14:paraId="11A6A6B0" w14:textId="77777777" w:rsidR="00D54067" w:rsidRDefault="00D54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612B5" w14:textId="77777777" w:rsidR="00357DD9" w:rsidRDefault="00357DD9" w:rsidP="00C937FC">
      <w:r>
        <w:separator/>
      </w:r>
    </w:p>
  </w:footnote>
  <w:footnote w:type="continuationSeparator" w:id="0">
    <w:p w14:paraId="796A459D" w14:textId="77777777" w:rsidR="00357DD9" w:rsidRDefault="00357DD9" w:rsidP="00C937FC">
      <w:r>
        <w:continuationSeparator/>
      </w:r>
    </w:p>
  </w:footnote>
  <w:footnote w:type="continuationNotice" w:id="1">
    <w:p w14:paraId="27F9EB95" w14:textId="77777777" w:rsidR="00357DD9" w:rsidRDefault="00357DD9"/>
  </w:footnote>
  <w:footnote w:id="2">
    <w:p w14:paraId="3118FE97" w14:textId="452E4879" w:rsidR="00D54067" w:rsidRPr="00416BAE" w:rsidRDefault="00D54067" w:rsidP="00A217B5">
      <w:pPr>
        <w:pStyle w:val="FootnoteText"/>
        <w:spacing w:line="360" w:lineRule="auto"/>
        <w:jc w:val="both"/>
      </w:pPr>
      <w:r w:rsidRPr="00416BAE">
        <w:rPr>
          <w:rStyle w:val="FootnoteReference"/>
        </w:rPr>
        <w:t>*</w:t>
      </w:r>
      <w:r w:rsidRPr="00416BAE">
        <w:t xml:space="preserve"> </w:t>
      </w:r>
      <w:r w:rsidRPr="00416BAE">
        <w:tab/>
        <w:t>Professor of Law, University of Hong Kong.</w:t>
      </w:r>
    </w:p>
  </w:footnote>
  <w:footnote w:id="3">
    <w:p w14:paraId="26EBB768" w14:textId="60D15D1B" w:rsidR="00D54067" w:rsidRPr="0022079A" w:rsidRDefault="00D54067" w:rsidP="00A217B5">
      <w:pPr>
        <w:pStyle w:val="FootnoteText"/>
        <w:spacing w:line="360" w:lineRule="auto"/>
        <w:jc w:val="both"/>
        <w:rPr>
          <w:lang w:val="en-HK"/>
        </w:rPr>
      </w:pPr>
      <w:r w:rsidRPr="00416BAE">
        <w:rPr>
          <w:rStyle w:val="FootnoteReference"/>
        </w:rPr>
        <w:t>**</w:t>
      </w:r>
      <w:r w:rsidRPr="00416BAE">
        <w:t xml:space="preserve"> </w:t>
      </w:r>
      <w:r w:rsidRPr="00416BAE">
        <w:tab/>
        <w:t xml:space="preserve">Professor of Law, University of York.  We are grateful, with the normal caveats, to </w:t>
      </w:r>
      <w:r>
        <w:t xml:space="preserve">Professor Matthew Conaglen, Professor David Fox, Professor Simon Halliday, </w:t>
      </w:r>
      <w:r w:rsidR="002A7467">
        <w:t xml:space="preserve">Mr Liam Kilvington, </w:t>
      </w:r>
      <w:r>
        <w:t xml:space="preserve">Professor Jenny Steele, Professor Hans Tjio, Dr Peter Turner and Professor Peter Watts QC </w:t>
      </w:r>
      <w:r w:rsidRPr="00416BAE">
        <w:t>for helpful comments on earlier drafts of the article.</w:t>
      </w:r>
      <w:r>
        <w:t xml:space="preserve">  </w:t>
      </w:r>
      <w:r w:rsidRPr="005B3285">
        <w:t xml:space="preserve">Research for this </w:t>
      </w:r>
      <w:r>
        <w:t xml:space="preserve">article </w:t>
      </w:r>
      <w:r w:rsidRPr="005B3285">
        <w:t xml:space="preserve">was funded by the </w:t>
      </w:r>
      <w:r>
        <w:t xml:space="preserve">Hong Kong </w:t>
      </w:r>
      <w:r w:rsidRPr="005B3285">
        <w:t>RGC General Research Fund 2017-2018 (project number: 17611917)</w:t>
      </w:r>
      <w:r>
        <w:t>.</w:t>
      </w:r>
    </w:p>
  </w:footnote>
  <w:footnote w:id="4">
    <w:p w14:paraId="0F85EB6E" w14:textId="04199C4A"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Morice v Bishop of Durham</w:t>
      </w:r>
      <w:r w:rsidRPr="00416BAE">
        <w:t xml:space="preserve"> (1805) 10 Ves</w:t>
      </w:r>
      <w:r>
        <w:t>.</w:t>
      </w:r>
      <w:r w:rsidRPr="00416BAE">
        <w:t xml:space="preserve"> 522</w:t>
      </w:r>
      <w:r>
        <w:t xml:space="preserve">, </w:t>
      </w:r>
      <w:r w:rsidRPr="00416BAE">
        <w:t>539-40</w:t>
      </w:r>
      <w:r>
        <w:t>,</w:t>
      </w:r>
      <w:r w:rsidRPr="00416BAE">
        <w:t xml:space="preserve"> 32 E</w:t>
      </w:r>
      <w:r>
        <w:t>.</w:t>
      </w:r>
      <w:r w:rsidRPr="00416BAE">
        <w:t>R</w:t>
      </w:r>
      <w:r>
        <w:t>.</w:t>
      </w:r>
      <w:r w:rsidRPr="00416BAE">
        <w:t xml:space="preserve"> 947</w:t>
      </w:r>
      <w:r>
        <w:t xml:space="preserve">, </w:t>
      </w:r>
      <w:r w:rsidRPr="00416BAE">
        <w:t>954.</w:t>
      </w:r>
    </w:p>
  </w:footnote>
  <w:footnote w:id="5">
    <w:p w14:paraId="15FA7083" w14:textId="5A1F7339" w:rsidR="00D54067" w:rsidRPr="000E3919" w:rsidRDefault="00D54067" w:rsidP="00A217B5">
      <w:pPr>
        <w:pStyle w:val="FootnoteText"/>
        <w:spacing w:line="360" w:lineRule="auto"/>
        <w:rPr>
          <w:lang w:val="en-US"/>
        </w:rPr>
      </w:pPr>
      <w:r>
        <w:rPr>
          <w:rStyle w:val="FootnoteReference"/>
        </w:rPr>
        <w:footnoteRef/>
      </w:r>
      <w:r>
        <w:t xml:space="preserve"> See R.C. Nolan, </w:t>
      </w:r>
      <w:r w:rsidRPr="00A4030B">
        <w:t>“</w:t>
      </w:r>
      <w:r>
        <w:t xml:space="preserve"> ‘</w:t>
      </w:r>
      <w:r w:rsidRPr="00A4030B">
        <w:t>The execution of a trust shall be under the control of the court</w:t>
      </w:r>
      <w:r>
        <w:t>’</w:t>
      </w:r>
      <w:r w:rsidRPr="00A4030B">
        <w:t xml:space="preserve">: </w:t>
      </w:r>
      <w:r w:rsidR="00DF6C52">
        <w:t xml:space="preserve"> </w:t>
      </w:r>
      <w:r w:rsidRPr="00A4030B">
        <w:t>A Maxim in Modern Times</w:t>
      </w:r>
      <w:r>
        <w:t xml:space="preserve">” </w:t>
      </w:r>
      <w:r w:rsidRPr="00A4030B">
        <w:t>(2016) 2</w:t>
      </w:r>
      <w:r>
        <w:t xml:space="preserve"> </w:t>
      </w:r>
      <w:r w:rsidRPr="00A4030B">
        <w:t xml:space="preserve">(2) </w:t>
      </w:r>
      <w:r>
        <w:t>C.J.C.C.L.</w:t>
      </w:r>
      <w:r w:rsidRPr="00A4030B">
        <w:t xml:space="preserve"> 469</w:t>
      </w:r>
      <w:r>
        <w:t xml:space="preserve"> and </w:t>
      </w:r>
      <w:r w:rsidRPr="00D97301">
        <w:t xml:space="preserve">“Invoking the Administrative Jurisdiction: </w:t>
      </w:r>
      <w:r w:rsidR="00DF6C52">
        <w:t xml:space="preserve"> </w:t>
      </w:r>
      <w:r w:rsidRPr="00D97301">
        <w:t>The Enforcement of Modern Trust Structures” in P</w:t>
      </w:r>
      <w:r>
        <w:t>.</w:t>
      </w:r>
      <w:r w:rsidRPr="00D97301">
        <w:t xml:space="preserve"> Davies and J</w:t>
      </w:r>
      <w:r>
        <w:t>.</w:t>
      </w:r>
      <w:r w:rsidRPr="00D97301">
        <w:t xml:space="preserve"> Penner (eds) </w:t>
      </w:r>
      <w:r w:rsidRPr="000E3919">
        <w:rPr>
          <w:i/>
        </w:rPr>
        <w:t>Equity, Trusts and Commerce</w:t>
      </w:r>
      <w:r w:rsidRPr="00D97301">
        <w:t xml:space="preserve"> (Oxford: </w:t>
      </w:r>
      <w:r w:rsidR="002A7467">
        <w:t xml:space="preserve"> </w:t>
      </w:r>
      <w:r w:rsidRPr="00D97301">
        <w:t xml:space="preserve">Hart Publishing, 2017) </w:t>
      </w:r>
      <w:proofErr w:type="spellStart"/>
      <w:r w:rsidRPr="00D97301">
        <w:t>ch</w:t>
      </w:r>
      <w:r w:rsidR="00434FC5">
        <w:t>.</w:t>
      </w:r>
      <w:proofErr w:type="spellEnd"/>
      <w:r w:rsidRPr="00D97301">
        <w:t xml:space="preserve"> 7</w:t>
      </w:r>
      <w:r>
        <w:t>.</w:t>
      </w:r>
    </w:p>
  </w:footnote>
  <w:footnote w:id="6">
    <w:p w14:paraId="78B4417E" w14:textId="4087CC9C"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McPhail v Doulton</w:t>
      </w:r>
      <w:r w:rsidRPr="00416BAE">
        <w:t xml:space="preserve"> [1971] A</w:t>
      </w:r>
      <w:r>
        <w:t>.</w:t>
      </w:r>
      <w:r w:rsidRPr="00416BAE">
        <w:t>C</w:t>
      </w:r>
      <w:r>
        <w:t>.</w:t>
      </w:r>
      <w:r w:rsidRPr="00416BAE">
        <w:t xml:space="preserve"> 424</w:t>
      </w:r>
      <w:r>
        <w:t xml:space="preserve">, </w:t>
      </w:r>
      <w:r w:rsidRPr="00416BAE">
        <w:t xml:space="preserve">439-40, 443. </w:t>
      </w:r>
    </w:p>
  </w:footnote>
  <w:footnote w:id="7">
    <w:p w14:paraId="649E91AD" w14:textId="2C1A2014" w:rsidR="00D54067" w:rsidRPr="00416BAE" w:rsidRDefault="00D54067" w:rsidP="00A217B5">
      <w:pPr>
        <w:pStyle w:val="FootnoteText"/>
        <w:spacing w:line="360" w:lineRule="auto"/>
        <w:jc w:val="both"/>
      </w:pPr>
      <w:r w:rsidRPr="00416BAE">
        <w:rPr>
          <w:rStyle w:val="FootnoteReference"/>
        </w:rPr>
        <w:footnoteRef/>
      </w:r>
      <w:r w:rsidRPr="00416BAE">
        <w:t xml:space="preserve"> </w:t>
      </w:r>
      <w:r>
        <w:t xml:space="preserve">[1971] A.C. 424, </w:t>
      </w:r>
      <w:r w:rsidRPr="00416BAE">
        <w:t>440.</w:t>
      </w:r>
    </w:p>
  </w:footnote>
  <w:footnote w:id="8">
    <w:p w14:paraId="71AEE173" w14:textId="14820E9B" w:rsidR="00D54067" w:rsidRPr="00416BAE" w:rsidRDefault="00D54067" w:rsidP="00A217B5">
      <w:pPr>
        <w:pStyle w:val="FootnoteText"/>
        <w:spacing w:line="360" w:lineRule="auto"/>
        <w:jc w:val="both"/>
      </w:pPr>
      <w:r w:rsidRPr="00416BAE">
        <w:rPr>
          <w:rStyle w:val="FootnoteReference"/>
        </w:rPr>
        <w:footnoteRef/>
      </w:r>
      <w:r w:rsidRPr="00416BAE">
        <w:t xml:space="preserve"> </w:t>
      </w:r>
      <w:r>
        <w:t xml:space="preserve">[1971] A.C. 424, </w:t>
      </w:r>
      <w:r w:rsidRPr="00416BAE">
        <w:t>450-51, 452.</w:t>
      </w:r>
    </w:p>
  </w:footnote>
  <w:footnote w:id="9">
    <w:p w14:paraId="65A73A2B" w14:textId="5B8022B6"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Target Holdings Ltd v Redferns</w:t>
      </w:r>
      <w:r w:rsidRPr="00416BAE">
        <w:t xml:space="preserve"> [1996] A</w:t>
      </w:r>
      <w:r>
        <w:t>.</w:t>
      </w:r>
      <w:r w:rsidRPr="00416BAE">
        <w:t>C</w:t>
      </w:r>
      <w:r>
        <w:t>.</w:t>
      </w:r>
      <w:r w:rsidRPr="00416BAE">
        <w:t xml:space="preserve"> 421</w:t>
      </w:r>
      <w:r>
        <w:t xml:space="preserve">, </w:t>
      </w:r>
      <w:r w:rsidRPr="00416BAE">
        <w:t>434.</w:t>
      </w:r>
    </w:p>
  </w:footnote>
  <w:footnote w:id="10">
    <w:p w14:paraId="27B45906" w14:textId="3D91CC7A" w:rsidR="00D54067" w:rsidRPr="00416BAE" w:rsidRDefault="00D54067" w:rsidP="00A217B5">
      <w:pPr>
        <w:pStyle w:val="FootnoteText"/>
        <w:spacing w:line="360" w:lineRule="auto"/>
        <w:jc w:val="both"/>
      </w:pPr>
      <w:r w:rsidRPr="00416BAE">
        <w:rPr>
          <w:rStyle w:val="FootnoteReference"/>
        </w:rPr>
        <w:footnoteRef/>
      </w:r>
      <w:r w:rsidRPr="00416BAE">
        <w:t xml:space="preserve"> [2003] UKPC 26</w:t>
      </w:r>
      <w:r>
        <w:t>,</w:t>
      </w:r>
      <w:r w:rsidRPr="00416BAE">
        <w:t xml:space="preserve"> [2003] 2 A</w:t>
      </w:r>
      <w:r>
        <w:t>.</w:t>
      </w:r>
      <w:r w:rsidRPr="00416BAE">
        <w:t>C</w:t>
      </w:r>
      <w:r>
        <w:t>.</w:t>
      </w:r>
      <w:r w:rsidRPr="00416BAE">
        <w:t xml:space="preserve"> 709 at [36].</w:t>
      </w:r>
    </w:p>
  </w:footnote>
  <w:footnote w:id="11">
    <w:p w14:paraId="5D7FFC0A" w14:textId="4D4C8919" w:rsidR="00D54067" w:rsidRPr="00AA04E3" w:rsidRDefault="00D54067" w:rsidP="00A217B5">
      <w:pPr>
        <w:pStyle w:val="FootnoteText"/>
        <w:spacing w:line="360" w:lineRule="auto"/>
        <w:jc w:val="both"/>
        <w:rPr>
          <w:lang w:val="en-US"/>
        </w:rPr>
      </w:pPr>
      <w:r>
        <w:rPr>
          <w:rStyle w:val="FootnoteReference"/>
        </w:rPr>
        <w:footnoteRef/>
      </w:r>
      <w:r>
        <w:t xml:space="preserve"> </w:t>
      </w:r>
      <w:r w:rsidRPr="00550AC5">
        <w:t>[2001] W</w:t>
      </w:r>
      <w:r>
        <w:t>.</w:t>
      </w:r>
      <w:r w:rsidRPr="00550AC5">
        <w:t>T</w:t>
      </w:r>
      <w:r>
        <w:t>.</w:t>
      </w:r>
      <w:r w:rsidRPr="00550AC5">
        <w:t>L</w:t>
      </w:r>
      <w:r>
        <w:t>.</w:t>
      </w:r>
      <w:r w:rsidRPr="00550AC5">
        <w:t>R</w:t>
      </w:r>
      <w:r>
        <w:t>.</w:t>
      </w:r>
      <w:r w:rsidRPr="00550AC5">
        <w:t xml:space="preserve"> 901</w:t>
      </w:r>
      <w:r>
        <w:t xml:space="preserve">, esp. </w:t>
      </w:r>
      <w:r w:rsidRPr="00416BAE">
        <w:t>922-24</w:t>
      </w:r>
      <w:r>
        <w:t>.</w:t>
      </w:r>
    </w:p>
  </w:footnote>
  <w:footnote w:id="12">
    <w:p w14:paraId="308D6EC5" w14:textId="2701A047" w:rsidR="00D54067" w:rsidRPr="00416BAE" w:rsidRDefault="00D54067" w:rsidP="00A217B5">
      <w:pPr>
        <w:pStyle w:val="FootnoteText"/>
        <w:spacing w:line="360" w:lineRule="auto"/>
        <w:jc w:val="both"/>
      </w:pPr>
      <w:r w:rsidRPr="00416BAE">
        <w:rPr>
          <w:rStyle w:val="FootnoteReference"/>
        </w:rPr>
        <w:footnoteRef/>
      </w:r>
      <w:r w:rsidRPr="00416BAE">
        <w:t xml:space="preserve"> For a </w:t>
      </w:r>
      <w:r>
        <w:t>relatively recent</w:t>
      </w:r>
      <w:r w:rsidRPr="00416BAE">
        <w:t xml:space="preserve"> example, see </w:t>
      </w:r>
      <w:r w:rsidRPr="00416BAE">
        <w:rPr>
          <w:i/>
        </w:rPr>
        <w:t>Re Erskine 1948 Trust, Gregg v Pigott</w:t>
      </w:r>
      <w:r w:rsidRPr="00416BAE">
        <w:t xml:space="preserve"> [2012] EWHC 732 (Ch)</w:t>
      </w:r>
      <w:r>
        <w:t>,</w:t>
      </w:r>
      <w:r w:rsidRPr="00416BAE">
        <w:t xml:space="preserve"> [2012] 2 All E</w:t>
      </w:r>
      <w:r>
        <w:t>.</w:t>
      </w:r>
      <w:r w:rsidRPr="00416BAE">
        <w:t>R</w:t>
      </w:r>
      <w:r>
        <w:t>.</w:t>
      </w:r>
      <w:r w:rsidRPr="00416BAE">
        <w:t xml:space="preserve"> 532.</w:t>
      </w:r>
    </w:p>
  </w:footnote>
  <w:footnote w:id="13">
    <w:p w14:paraId="1072FCC0" w14:textId="0C346365" w:rsidR="00D54067" w:rsidRPr="00416BAE" w:rsidRDefault="00D54067" w:rsidP="00A217B5">
      <w:pPr>
        <w:pStyle w:val="FootnoteText"/>
        <w:spacing w:line="360" w:lineRule="auto"/>
        <w:jc w:val="both"/>
      </w:pPr>
      <w:r w:rsidRPr="00416BAE">
        <w:rPr>
          <w:rStyle w:val="FootnoteReference"/>
        </w:rPr>
        <w:footnoteRef/>
      </w:r>
      <w:r w:rsidRPr="00416BAE">
        <w:t xml:space="preserve"> For a useful historical and comparative analysis of the relevant law in England and Australia, see </w:t>
      </w:r>
      <w:r w:rsidRPr="00416BAE">
        <w:rPr>
          <w:i/>
        </w:rPr>
        <w:t>Macedonian Orthodox Community Church St Petka Inc v His Eminence Bishop Petar The Diocesan Bishop of The Macedonian Orthodox Diocese of Australia and New Zealand</w:t>
      </w:r>
      <w:r w:rsidRPr="00416BAE">
        <w:t xml:space="preserve"> [2008] HCA 42</w:t>
      </w:r>
      <w:r>
        <w:t>;</w:t>
      </w:r>
      <w:r w:rsidRPr="00416BAE">
        <w:t xml:space="preserve"> (2008) 237 C</w:t>
      </w:r>
      <w:r>
        <w:t>.</w:t>
      </w:r>
      <w:r w:rsidRPr="00416BAE">
        <w:t>L</w:t>
      </w:r>
      <w:r>
        <w:t>.</w:t>
      </w:r>
      <w:r w:rsidRPr="00416BAE">
        <w:t>R</w:t>
      </w:r>
      <w:r>
        <w:t>.</w:t>
      </w:r>
      <w:r w:rsidRPr="00416BAE">
        <w:t xml:space="preserve"> 66, esp. [33]-[49].</w:t>
      </w:r>
    </w:p>
  </w:footnote>
  <w:footnote w:id="14">
    <w:p w14:paraId="5133BDAA" w14:textId="478C2057" w:rsidR="00D54067" w:rsidRPr="00416BAE" w:rsidRDefault="00D54067" w:rsidP="00A217B5">
      <w:pPr>
        <w:pStyle w:val="FootnoteText"/>
        <w:spacing w:line="360" w:lineRule="auto"/>
        <w:jc w:val="both"/>
      </w:pPr>
      <w:r w:rsidRPr="00416BAE">
        <w:rPr>
          <w:rStyle w:val="FootnoteReference"/>
        </w:rPr>
        <w:footnoteRef/>
      </w:r>
      <w:r w:rsidRPr="00416BAE">
        <w:t xml:space="preserve"> See </w:t>
      </w:r>
      <w:r>
        <w:t xml:space="preserve">D. Hayton, P. Matthews and C. Mitchell (eds), </w:t>
      </w:r>
      <w:r w:rsidRPr="006D1A9E">
        <w:rPr>
          <w:i/>
        </w:rPr>
        <w:t xml:space="preserve">Underhill </w:t>
      </w:r>
      <w:r>
        <w:rPr>
          <w:i/>
        </w:rPr>
        <w:t>and</w:t>
      </w:r>
      <w:r w:rsidRPr="006D1A9E">
        <w:rPr>
          <w:i/>
        </w:rPr>
        <w:t xml:space="preserve"> Hayton</w:t>
      </w:r>
      <w:r>
        <w:rPr>
          <w:i/>
        </w:rPr>
        <w:t xml:space="preserve"> Law of Trusts and </w:t>
      </w:r>
      <w:r w:rsidRPr="00C27D2B">
        <w:rPr>
          <w:i/>
        </w:rPr>
        <w:t>Trustees</w:t>
      </w:r>
      <w:r>
        <w:t>, 19</w:t>
      </w:r>
      <w:r w:rsidRPr="006D1A9E">
        <w:t>th</w:t>
      </w:r>
      <w:r>
        <w:t xml:space="preserve"> edn (London: </w:t>
      </w:r>
      <w:r w:rsidR="002A7467">
        <w:t xml:space="preserve"> </w:t>
      </w:r>
      <w:r>
        <w:t>LexisNexis, 2016) (“</w:t>
      </w:r>
      <w:r>
        <w:rPr>
          <w:i/>
        </w:rPr>
        <w:t>Underhill and Hayton</w:t>
      </w:r>
      <w:r>
        <w:t xml:space="preserve">”), </w:t>
      </w:r>
      <w:r w:rsidRPr="00416BAE">
        <w:t>Article 85.</w:t>
      </w:r>
    </w:p>
  </w:footnote>
  <w:footnote w:id="15">
    <w:p w14:paraId="4389F942" w14:textId="08D463F5"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174694">
        <w:rPr>
          <w:i/>
        </w:rPr>
        <w:t>Ibid</w:t>
      </w:r>
      <w:r>
        <w:t xml:space="preserve">, </w:t>
      </w:r>
      <w:r w:rsidRPr="00416BAE">
        <w:t>Article 86.2.</w:t>
      </w:r>
    </w:p>
  </w:footnote>
  <w:footnote w:id="16">
    <w:p w14:paraId="5BD7D243" w14:textId="4F002D51" w:rsidR="00D54067" w:rsidRPr="00416BAE" w:rsidRDefault="00D54067" w:rsidP="00A217B5">
      <w:pPr>
        <w:pStyle w:val="FootnoteText"/>
        <w:spacing w:line="360" w:lineRule="auto"/>
        <w:jc w:val="both"/>
      </w:pPr>
      <w:r w:rsidRPr="00416BAE">
        <w:rPr>
          <w:rStyle w:val="FootnoteReference"/>
        </w:rPr>
        <w:footnoteRef/>
      </w:r>
      <w:r w:rsidRPr="00416BAE">
        <w:t xml:space="preserve"> [2001] W</w:t>
      </w:r>
      <w:r>
        <w:t>.</w:t>
      </w:r>
      <w:r w:rsidRPr="00416BAE">
        <w:t>T</w:t>
      </w:r>
      <w:r>
        <w:t>.</w:t>
      </w:r>
      <w:r w:rsidRPr="00416BAE">
        <w:t>L</w:t>
      </w:r>
      <w:r>
        <w:t>.</w:t>
      </w:r>
      <w:r w:rsidRPr="00416BAE">
        <w:t>R</w:t>
      </w:r>
      <w:r>
        <w:t>.</w:t>
      </w:r>
      <w:r w:rsidRPr="00416BAE">
        <w:t xml:space="preserve"> 901</w:t>
      </w:r>
      <w:r>
        <w:t xml:space="preserve">, </w:t>
      </w:r>
      <w:r w:rsidRPr="00416BAE">
        <w:t>922-24.</w:t>
      </w:r>
    </w:p>
  </w:footnote>
  <w:footnote w:id="17">
    <w:p w14:paraId="76226AB8" w14:textId="195B651C" w:rsidR="00D54067" w:rsidRPr="00416BAE" w:rsidRDefault="00D54067" w:rsidP="00A217B5">
      <w:pPr>
        <w:pStyle w:val="FootnoteText"/>
        <w:spacing w:line="360" w:lineRule="auto"/>
        <w:jc w:val="both"/>
      </w:pPr>
      <w:r w:rsidRPr="00416BAE">
        <w:rPr>
          <w:rStyle w:val="FootnoteReference"/>
        </w:rPr>
        <w:footnoteRef/>
      </w:r>
      <w:r w:rsidRPr="00416BAE">
        <w:t xml:space="preserve"> See, for example, </w:t>
      </w:r>
      <w:r w:rsidRPr="00416BAE">
        <w:rPr>
          <w:i/>
        </w:rPr>
        <w:t>Citibank NA v MBIA Assurance SA</w:t>
      </w:r>
      <w:r w:rsidRPr="00416BAE">
        <w:t xml:space="preserve"> [2006] EWHC 3215 (Ch), [2007] EWCA Civ 11, an application for directions.  A</w:t>
      </w:r>
      <w:r>
        <w:t xml:space="preserve">n </w:t>
      </w:r>
      <w:r w:rsidRPr="00416BAE">
        <w:t xml:space="preserve">example of an alternative means of proceeding, namely an application for a declaration rather than directions, is </w:t>
      </w:r>
      <w:r w:rsidRPr="00416BAE">
        <w:rPr>
          <w:i/>
        </w:rPr>
        <w:t>BNY Mellon Corporate Trustee Services Ltd v LBG Capital No 1 plc</w:t>
      </w:r>
      <w:r w:rsidRPr="00416BAE">
        <w:t xml:space="preserve"> [2015] EWHC 1560 (Ch)</w:t>
      </w:r>
      <w:r>
        <w:t xml:space="preserve">; </w:t>
      </w:r>
      <w:r w:rsidRPr="006C5675">
        <w:t>[2015] EWCA Civ 1257</w:t>
      </w:r>
      <w:r>
        <w:t xml:space="preserve">; [2016] UKSC </w:t>
      </w:r>
      <w:r w:rsidRPr="008B4915">
        <w:t>29, [2016] 2 B</w:t>
      </w:r>
      <w:r>
        <w:t>.</w:t>
      </w:r>
      <w:r w:rsidRPr="008B4915">
        <w:t>C</w:t>
      </w:r>
      <w:r>
        <w:t>.</w:t>
      </w:r>
      <w:r w:rsidRPr="008B4915">
        <w:t>L</w:t>
      </w:r>
      <w:r>
        <w:t>.</w:t>
      </w:r>
      <w:r w:rsidRPr="008B4915">
        <w:t>C</w:t>
      </w:r>
      <w:r>
        <w:t>.</w:t>
      </w:r>
      <w:r w:rsidRPr="008B4915">
        <w:t xml:space="preserve"> 163</w:t>
      </w:r>
      <w:r w:rsidRPr="00416BAE">
        <w:t>.</w:t>
      </w:r>
    </w:p>
  </w:footnote>
  <w:footnote w:id="18">
    <w:p w14:paraId="7910939A" w14:textId="65C18DA2" w:rsidR="00D54067" w:rsidRPr="008B5C01" w:rsidRDefault="00D54067" w:rsidP="00A217B5">
      <w:pPr>
        <w:pStyle w:val="FootnoteText"/>
        <w:spacing w:line="360" w:lineRule="auto"/>
        <w:jc w:val="both"/>
        <w:rPr>
          <w:lang w:val="en-US"/>
        </w:rPr>
      </w:pPr>
      <w:r>
        <w:rPr>
          <w:rStyle w:val="FootnoteReference"/>
        </w:rPr>
        <w:footnoteRef/>
      </w:r>
      <w:r>
        <w:t xml:space="preserve"> See L. Tucker, N. Le Poidevin and J. Brightwell (eds), </w:t>
      </w:r>
      <w:r w:rsidRPr="00416BAE">
        <w:rPr>
          <w:i/>
        </w:rPr>
        <w:t>Lewin on Trusts</w:t>
      </w:r>
      <w:r>
        <w:t>, 19</w:t>
      </w:r>
      <w:r w:rsidRPr="006D1A9E">
        <w:t>th</w:t>
      </w:r>
      <w:r>
        <w:t xml:space="preserve"> edn</w:t>
      </w:r>
      <w:r w:rsidRPr="00416BAE">
        <w:t xml:space="preserve"> (London</w:t>
      </w:r>
      <w:r>
        <w:t>:</w:t>
      </w:r>
      <w:r w:rsidRPr="00416BAE">
        <w:t xml:space="preserve"> </w:t>
      </w:r>
      <w:r w:rsidR="002A7467">
        <w:t xml:space="preserve"> </w:t>
      </w:r>
      <w:r w:rsidRPr="00416BAE">
        <w:t>Sweet &amp; Maxwell, 2014)</w:t>
      </w:r>
      <w:r>
        <w:t xml:space="preserve"> (“</w:t>
      </w:r>
      <w:r>
        <w:rPr>
          <w:i/>
        </w:rPr>
        <w:t>Lewin on Trusts</w:t>
      </w:r>
      <w:r>
        <w:t xml:space="preserve">”), §27-084 and, eg, </w:t>
      </w:r>
      <w:r w:rsidRPr="008B5C01">
        <w:rPr>
          <w:i/>
        </w:rPr>
        <w:t>Marley v Mutual Security Merchant Bank and Trust Co Ltd</w:t>
      </w:r>
      <w:r>
        <w:t xml:space="preserve"> </w:t>
      </w:r>
      <w:r w:rsidRPr="003507B2">
        <w:t>[1991] 3 All E</w:t>
      </w:r>
      <w:r>
        <w:t>.</w:t>
      </w:r>
      <w:r w:rsidRPr="003507B2">
        <w:t>R</w:t>
      </w:r>
      <w:r>
        <w:t>.</w:t>
      </w:r>
      <w:r w:rsidRPr="003507B2">
        <w:t xml:space="preserve"> 198</w:t>
      </w:r>
      <w:r>
        <w:t xml:space="preserve"> (PC);</w:t>
      </w:r>
      <w:r w:rsidRPr="003507B2">
        <w:t xml:space="preserve"> </w:t>
      </w:r>
      <w:r w:rsidRPr="008B5C01">
        <w:rPr>
          <w:i/>
        </w:rPr>
        <w:t>Angus v Emmott</w:t>
      </w:r>
      <w:r w:rsidRPr="003507B2">
        <w:t xml:space="preserve"> [2010] EWHC 154 (Ch)</w:t>
      </w:r>
      <w:r>
        <w:t>,</w:t>
      </w:r>
      <w:r w:rsidRPr="003507B2">
        <w:t xml:space="preserve"> [2010] W</w:t>
      </w:r>
      <w:r>
        <w:t>.</w:t>
      </w:r>
      <w:r w:rsidRPr="003507B2">
        <w:t>T</w:t>
      </w:r>
      <w:r>
        <w:t>.</w:t>
      </w:r>
      <w:r w:rsidRPr="003507B2">
        <w:t>L</w:t>
      </w:r>
      <w:r>
        <w:t>.</w:t>
      </w:r>
      <w:r w:rsidRPr="003507B2">
        <w:t>R</w:t>
      </w:r>
      <w:r>
        <w:t>.</w:t>
      </w:r>
      <w:r w:rsidRPr="003507B2">
        <w:t xml:space="preserve"> 531.</w:t>
      </w:r>
    </w:p>
  </w:footnote>
  <w:footnote w:id="19">
    <w:p w14:paraId="5D6D2B17" w14:textId="37C503B3" w:rsidR="00D54067" w:rsidRPr="008B5C01" w:rsidRDefault="00D54067" w:rsidP="00A217B5">
      <w:pPr>
        <w:pStyle w:val="FootnoteText"/>
        <w:spacing w:line="360" w:lineRule="auto"/>
        <w:jc w:val="both"/>
        <w:rPr>
          <w:rStyle w:val="FootnoteReference"/>
        </w:rPr>
      </w:pPr>
      <w:r w:rsidRPr="00416BAE">
        <w:rPr>
          <w:rStyle w:val="FootnoteReference"/>
        </w:rPr>
        <w:footnoteRef/>
      </w:r>
      <w:r>
        <w:rPr>
          <w:b/>
        </w:rPr>
        <w:t xml:space="preserve"> </w:t>
      </w:r>
      <w:r>
        <w:t xml:space="preserve">See </w:t>
      </w:r>
      <w:r w:rsidRPr="00416BAE">
        <w:rPr>
          <w:i/>
        </w:rPr>
        <w:t>Lewin on Trusts</w:t>
      </w:r>
      <w:r>
        <w:t xml:space="preserve"> (</w:t>
      </w:r>
      <w:r>
        <w:rPr>
          <w:i/>
        </w:rPr>
        <w:t>ibid</w:t>
      </w:r>
      <w:r>
        <w:t xml:space="preserve">), §27-080 and, eg, </w:t>
      </w:r>
      <w:r w:rsidRPr="008B5C01">
        <w:rPr>
          <w:i/>
        </w:rPr>
        <w:t>Marley v Mutual Security Merchant Bank and Trust Co Ltd</w:t>
      </w:r>
      <w:r w:rsidRPr="003507B2">
        <w:t xml:space="preserve"> [1991] 3 All E</w:t>
      </w:r>
      <w:r>
        <w:t>.</w:t>
      </w:r>
      <w:r w:rsidRPr="003507B2">
        <w:t>R</w:t>
      </w:r>
      <w:r>
        <w:t>.</w:t>
      </w:r>
      <w:r w:rsidRPr="003507B2">
        <w:t xml:space="preserve"> 198</w:t>
      </w:r>
      <w:r>
        <w:t xml:space="preserve"> (P.C.) as explained in </w:t>
      </w:r>
      <w:r w:rsidRPr="006955AF">
        <w:rPr>
          <w:rFonts w:ascii="Times" w:hAnsi="Times"/>
          <w:i/>
        </w:rPr>
        <w:t>Public Trustee v Cooper</w:t>
      </w:r>
      <w:r>
        <w:rPr>
          <w:rFonts w:ascii="Times" w:hAnsi="Times"/>
        </w:rPr>
        <w:t xml:space="preserve">,  </w:t>
      </w:r>
      <w:r w:rsidRPr="00416BAE">
        <w:t>[2001] W</w:t>
      </w:r>
      <w:r>
        <w:t>.</w:t>
      </w:r>
      <w:r w:rsidRPr="00416BAE">
        <w:t>T</w:t>
      </w:r>
      <w:r>
        <w:t>.</w:t>
      </w:r>
      <w:r w:rsidRPr="00416BAE">
        <w:t>L</w:t>
      </w:r>
      <w:r>
        <w:t>.</w:t>
      </w:r>
      <w:r w:rsidRPr="00416BAE">
        <w:t>R</w:t>
      </w:r>
      <w:r>
        <w:t>.</w:t>
      </w:r>
      <w:r w:rsidRPr="00416BAE">
        <w:t xml:space="preserve"> 901</w:t>
      </w:r>
      <w:r>
        <w:t xml:space="preserve">; </w:t>
      </w:r>
      <w:r>
        <w:rPr>
          <w:i/>
        </w:rPr>
        <w:t>Richard v Mackay</w:t>
      </w:r>
      <w:r w:rsidRPr="008B5C01">
        <w:t xml:space="preserve"> [1987] 3 WLUK 42; [2008] W</w:t>
      </w:r>
      <w:r>
        <w:t>.</w:t>
      </w:r>
      <w:r w:rsidRPr="008B5C01">
        <w:t>T</w:t>
      </w:r>
      <w:r>
        <w:t>.</w:t>
      </w:r>
      <w:r w:rsidRPr="008B5C01">
        <w:t>L</w:t>
      </w:r>
      <w:r>
        <w:t>.</w:t>
      </w:r>
      <w:r w:rsidRPr="008B5C01">
        <w:t>R</w:t>
      </w:r>
      <w:r>
        <w:t>.</w:t>
      </w:r>
      <w:r w:rsidRPr="008B5C01">
        <w:t xml:space="preserve"> 1667;</w:t>
      </w:r>
      <w:r>
        <w:t xml:space="preserve"> </w:t>
      </w:r>
      <w:r>
        <w:rPr>
          <w:i/>
        </w:rPr>
        <w:t>X v A</w:t>
      </w:r>
      <w:r>
        <w:t xml:space="preserve"> </w:t>
      </w:r>
      <w:r w:rsidRPr="003507B2">
        <w:t>[2005] EWHC 2706 (Ch)</w:t>
      </w:r>
      <w:r>
        <w:t>,</w:t>
      </w:r>
      <w:r w:rsidRPr="003507B2">
        <w:t xml:space="preserve"> [2006] 1 W</w:t>
      </w:r>
      <w:r>
        <w:t>.</w:t>
      </w:r>
      <w:r w:rsidRPr="003507B2">
        <w:t>L</w:t>
      </w:r>
      <w:r>
        <w:t>.</w:t>
      </w:r>
      <w:r w:rsidRPr="003507B2">
        <w:t>R</w:t>
      </w:r>
      <w:r>
        <w:t>.</w:t>
      </w:r>
      <w:r w:rsidRPr="003507B2">
        <w:t xml:space="preserve"> 741</w:t>
      </w:r>
      <w:r>
        <w:t>.</w:t>
      </w:r>
    </w:p>
  </w:footnote>
  <w:footnote w:id="20">
    <w:p w14:paraId="1C5D5494" w14:textId="11B08B70" w:rsidR="00D54067" w:rsidRPr="00AA04E3" w:rsidRDefault="00D54067" w:rsidP="00A217B5">
      <w:pPr>
        <w:pStyle w:val="FootnoteText"/>
        <w:spacing w:line="360" w:lineRule="auto"/>
        <w:jc w:val="both"/>
        <w:rPr>
          <w:lang w:val="en-US"/>
        </w:rPr>
      </w:pPr>
      <w:r>
        <w:rPr>
          <w:rStyle w:val="FootnoteReference"/>
        </w:rPr>
        <w:footnoteRef/>
      </w:r>
      <w:r>
        <w:t xml:space="preserve"> </w:t>
      </w:r>
      <w:r>
        <w:rPr>
          <w:lang w:val="en-US"/>
        </w:rPr>
        <w:t xml:space="preserve">See, recently, </w:t>
      </w:r>
      <w:r w:rsidRPr="00AA04E3">
        <w:rPr>
          <w:i/>
          <w:lang w:val="en-US"/>
        </w:rPr>
        <w:t>Gas &amp; Electricity Markets Authority v Spark Energy Supply Ltd</w:t>
      </w:r>
      <w:r>
        <w:rPr>
          <w:lang w:val="en-US"/>
        </w:rPr>
        <w:t xml:space="preserve"> </w:t>
      </w:r>
      <w:r w:rsidRPr="00D404C7">
        <w:rPr>
          <w:lang w:val="en-US"/>
        </w:rPr>
        <w:t>[2018] EWHC 2522 (Ch)</w:t>
      </w:r>
      <w:r>
        <w:rPr>
          <w:lang w:val="en-US"/>
        </w:rPr>
        <w:t>.</w:t>
      </w:r>
    </w:p>
  </w:footnote>
  <w:footnote w:id="21">
    <w:p w14:paraId="2AC6F7F3" w14:textId="08CA9A22" w:rsidR="00D54067" w:rsidRPr="00416BAE" w:rsidRDefault="00D54067" w:rsidP="00A217B5">
      <w:pPr>
        <w:pStyle w:val="FootnoteText"/>
        <w:spacing w:line="360" w:lineRule="auto"/>
        <w:jc w:val="both"/>
      </w:pPr>
      <w:r w:rsidRPr="00416BAE">
        <w:rPr>
          <w:rStyle w:val="FootnoteReference"/>
        </w:rPr>
        <w:footnoteRef/>
      </w:r>
      <w:r w:rsidRPr="00416BAE">
        <w:t xml:space="preserve"> See, </w:t>
      </w:r>
      <w:r>
        <w:t>eg</w:t>
      </w:r>
      <w:r w:rsidRPr="00416BAE">
        <w:t xml:space="preserve">, </w:t>
      </w:r>
      <w:r w:rsidRPr="00416BAE">
        <w:rPr>
          <w:i/>
        </w:rPr>
        <w:t>Re New</w:t>
      </w:r>
      <w:r w:rsidRPr="00416BAE">
        <w:t xml:space="preserve"> [1901] 2 Ch</w:t>
      </w:r>
      <w:r>
        <w:t>.</w:t>
      </w:r>
      <w:r w:rsidRPr="00416BAE">
        <w:t xml:space="preserve"> 534, </w:t>
      </w:r>
      <w:r w:rsidRPr="00416BAE">
        <w:rPr>
          <w:i/>
        </w:rPr>
        <w:t xml:space="preserve">Re </w:t>
      </w:r>
      <w:proofErr w:type="spellStart"/>
      <w:r w:rsidRPr="00416BAE">
        <w:rPr>
          <w:i/>
        </w:rPr>
        <w:t>Tollemache</w:t>
      </w:r>
      <w:proofErr w:type="spellEnd"/>
      <w:r w:rsidRPr="00416BAE">
        <w:t xml:space="preserve"> [1903] 1</w:t>
      </w:r>
      <w:r w:rsidR="00850781">
        <w:t xml:space="preserve"> Ch. </w:t>
      </w:r>
      <w:r w:rsidRPr="00416BAE">
        <w:t xml:space="preserve">955, </w:t>
      </w:r>
      <w:r w:rsidRPr="00416BAE">
        <w:rPr>
          <w:i/>
        </w:rPr>
        <w:t>Chapman v Chapman</w:t>
      </w:r>
      <w:r w:rsidRPr="00416BAE">
        <w:t xml:space="preserve"> [1954] A</w:t>
      </w:r>
      <w:r>
        <w:t>.</w:t>
      </w:r>
      <w:r w:rsidRPr="00416BAE">
        <w:t>C</w:t>
      </w:r>
      <w:r>
        <w:t>.</w:t>
      </w:r>
      <w:r w:rsidRPr="00416BAE">
        <w:t xml:space="preserve"> 429, and, more generally, </w:t>
      </w:r>
      <w:r w:rsidRPr="006D1A9E">
        <w:rPr>
          <w:i/>
        </w:rPr>
        <w:t xml:space="preserve">Underhill </w:t>
      </w:r>
      <w:r>
        <w:rPr>
          <w:i/>
        </w:rPr>
        <w:t>and</w:t>
      </w:r>
      <w:r w:rsidRPr="006D1A9E">
        <w:rPr>
          <w:i/>
        </w:rPr>
        <w:t xml:space="preserve"> Hayton</w:t>
      </w:r>
      <w:r w:rsidRPr="00416BAE">
        <w:t xml:space="preserve"> (</w:t>
      </w:r>
      <w:r w:rsidRPr="00416BAE">
        <w:rPr>
          <w:i/>
        </w:rPr>
        <w:t>op cit</w:t>
      </w:r>
      <w:r w:rsidRPr="00416BAE">
        <w:t xml:space="preserve"> n</w:t>
      </w:r>
      <w:r>
        <w:t xml:space="preserve"> 11</w:t>
      </w:r>
      <w:r w:rsidRPr="00416BAE">
        <w:t xml:space="preserve">), </w:t>
      </w:r>
      <w:r>
        <w:t>§§</w:t>
      </w:r>
      <w:r w:rsidRPr="00416BAE">
        <w:t>43.20</w:t>
      </w:r>
      <w:r>
        <w:rPr>
          <w:lang w:val="en-US"/>
        </w:rPr>
        <w:t>–</w:t>
      </w:r>
      <w:r w:rsidRPr="00416BAE">
        <w:t xml:space="preserve">43.25, and </w:t>
      </w:r>
      <w:r w:rsidRPr="00416BAE">
        <w:rPr>
          <w:i/>
        </w:rPr>
        <w:t>Lewin on Trusts</w:t>
      </w:r>
      <w:r>
        <w:t xml:space="preserve"> (</w:t>
      </w:r>
      <w:r>
        <w:rPr>
          <w:i/>
        </w:rPr>
        <w:t>op cit</w:t>
      </w:r>
      <w:r>
        <w:t xml:space="preserve"> n 15), §</w:t>
      </w:r>
      <w:r w:rsidRPr="00416BAE">
        <w:t>45-050.</w:t>
      </w:r>
    </w:p>
  </w:footnote>
  <w:footnote w:id="22">
    <w:p w14:paraId="2E22F201" w14:textId="63D14AA1"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Re Beddoe</w:t>
      </w:r>
      <w:r w:rsidRPr="00416BAE">
        <w:t xml:space="preserve"> [1893] 1 Ch</w:t>
      </w:r>
      <w:r>
        <w:t>.</w:t>
      </w:r>
      <w:r w:rsidRPr="00416BAE">
        <w:t xml:space="preserve"> 547; </w:t>
      </w:r>
      <w:r w:rsidRPr="00416BAE">
        <w:rPr>
          <w:i/>
        </w:rPr>
        <w:t>Evans v Evans</w:t>
      </w:r>
      <w:r w:rsidRPr="00416BAE">
        <w:t xml:space="preserve"> [1986] 1 W</w:t>
      </w:r>
      <w:r>
        <w:t>.</w:t>
      </w:r>
      <w:r w:rsidRPr="00416BAE">
        <w:t>L</w:t>
      </w:r>
      <w:r>
        <w:t>.</w:t>
      </w:r>
      <w:r w:rsidRPr="00416BAE">
        <w:t>R</w:t>
      </w:r>
      <w:r>
        <w:t>.</w:t>
      </w:r>
      <w:r w:rsidRPr="00416BAE">
        <w:t xml:space="preserve"> 101; </w:t>
      </w:r>
      <w:r w:rsidRPr="00416BAE">
        <w:rPr>
          <w:i/>
        </w:rPr>
        <w:t>Alsop Wilkinson v Neary</w:t>
      </w:r>
      <w:r w:rsidRPr="00416BAE">
        <w:t xml:space="preserve"> [1996] 1 W</w:t>
      </w:r>
      <w:r>
        <w:t>.</w:t>
      </w:r>
      <w:r w:rsidRPr="00416BAE">
        <w:t>L</w:t>
      </w:r>
      <w:r>
        <w:t>.</w:t>
      </w:r>
      <w:r w:rsidRPr="00416BAE">
        <w:t>R</w:t>
      </w:r>
      <w:r>
        <w:t>.</w:t>
      </w:r>
      <w:r w:rsidRPr="00416BAE">
        <w:t xml:space="preserve"> 120.</w:t>
      </w:r>
    </w:p>
  </w:footnote>
  <w:footnote w:id="23">
    <w:p w14:paraId="0DAAEA35" w14:textId="126A7CB6"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Re Jackson</w:t>
      </w:r>
      <w:r w:rsidRPr="00416BAE">
        <w:t xml:space="preserve"> (1882) 21 Ch</w:t>
      </w:r>
      <w:r>
        <w:t>.</w:t>
      </w:r>
      <w:r w:rsidRPr="00416BAE">
        <w:t>D</w:t>
      </w:r>
      <w:r>
        <w:t>.</w:t>
      </w:r>
      <w:r w:rsidRPr="00416BAE">
        <w:t xml:space="preserve"> 768.</w:t>
      </w:r>
    </w:p>
  </w:footnote>
  <w:footnote w:id="24">
    <w:p w14:paraId="70E79E8F" w14:textId="4D636C7F" w:rsidR="00D54067" w:rsidRPr="00416BAE" w:rsidRDefault="00D54067" w:rsidP="00A217B5">
      <w:pPr>
        <w:pStyle w:val="FootnoteText"/>
        <w:spacing w:line="360" w:lineRule="auto"/>
        <w:jc w:val="both"/>
      </w:pPr>
      <w:r w:rsidRPr="00416BAE">
        <w:rPr>
          <w:rStyle w:val="FootnoteReference"/>
        </w:rPr>
        <w:footnoteRef/>
      </w:r>
      <w:r w:rsidRPr="00416BAE">
        <w:t xml:space="preserve"> See, </w:t>
      </w:r>
      <w:r>
        <w:t>eg</w:t>
      </w:r>
      <w:r w:rsidRPr="00416BAE">
        <w:t xml:space="preserve">, </w:t>
      </w:r>
      <w:r w:rsidRPr="00416BAE">
        <w:rPr>
          <w:i/>
        </w:rPr>
        <w:t>Campbell v Walker</w:t>
      </w:r>
      <w:r w:rsidRPr="00416BAE">
        <w:t xml:space="preserve"> (1800) 5 Ves</w:t>
      </w:r>
      <w:r>
        <w:t>.</w:t>
      </w:r>
      <w:r w:rsidRPr="00416BAE">
        <w:t xml:space="preserve"> 678, </w:t>
      </w:r>
      <w:r>
        <w:t xml:space="preserve">31 E.R. 801; </w:t>
      </w:r>
      <w:r w:rsidRPr="00416BAE">
        <w:rPr>
          <w:i/>
        </w:rPr>
        <w:t>Farmer v Dean</w:t>
      </w:r>
      <w:r w:rsidRPr="00416BAE">
        <w:t xml:space="preserve"> (1863) 32 Beav</w:t>
      </w:r>
      <w:r>
        <w:t>.</w:t>
      </w:r>
      <w:r w:rsidRPr="00416BAE">
        <w:t xml:space="preserve"> 327, </w:t>
      </w:r>
      <w:r>
        <w:t xml:space="preserve">55 E.R. 128; </w:t>
      </w:r>
      <w:r w:rsidRPr="00416BAE">
        <w:rPr>
          <w:i/>
        </w:rPr>
        <w:t>Holder v Holder</w:t>
      </w:r>
      <w:r w:rsidRPr="00416BAE">
        <w:t xml:space="preserve"> [1968</w:t>
      </w:r>
      <w:r>
        <w:t>]</w:t>
      </w:r>
      <w:r w:rsidRPr="00416BAE">
        <w:t xml:space="preserve"> 1 Ch</w:t>
      </w:r>
      <w:r>
        <w:t>.</w:t>
      </w:r>
      <w:r w:rsidRPr="00416BAE">
        <w:t xml:space="preserve"> 353 and, more generally,</w:t>
      </w:r>
      <w:r>
        <w:t xml:space="preserve"> J. McGhee (ed),</w:t>
      </w:r>
      <w:r w:rsidRPr="00416BAE">
        <w:t xml:space="preserve"> </w:t>
      </w:r>
      <w:r w:rsidRPr="00416BAE">
        <w:rPr>
          <w:i/>
        </w:rPr>
        <w:t>Snell’s Equity</w:t>
      </w:r>
      <w:r>
        <w:t>, 33</w:t>
      </w:r>
      <w:r w:rsidRPr="006D1A9E">
        <w:t>rd</w:t>
      </w:r>
      <w:r>
        <w:t xml:space="preserve"> edn (London: </w:t>
      </w:r>
      <w:r w:rsidR="002A7467">
        <w:t xml:space="preserve"> </w:t>
      </w:r>
      <w:r>
        <w:t>Sweet &amp; Maxwell, 2015) (“</w:t>
      </w:r>
      <w:r>
        <w:rPr>
          <w:i/>
        </w:rPr>
        <w:t>Snell’s Equity</w:t>
      </w:r>
      <w:r>
        <w:t>”), §</w:t>
      </w:r>
      <w:r w:rsidRPr="00416BAE">
        <w:t xml:space="preserve">17-017.  Note also </w:t>
      </w:r>
      <w:r>
        <w:t xml:space="preserve">M. </w:t>
      </w:r>
      <w:r w:rsidRPr="00416BAE">
        <w:t xml:space="preserve">Conaglen, “The Extent of Fiduciary Accounting and the Importance of Authorisation Mechanisms” [2011] </w:t>
      </w:r>
      <w:r>
        <w:t>C.L.J.</w:t>
      </w:r>
      <w:r w:rsidRPr="00416BAE">
        <w:t xml:space="preserve"> 548</w:t>
      </w:r>
      <w:r>
        <w:t xml:space="preserve">, </w:t>
      </w:r>
      <w:r w:rsidRPr="00416BAE">
        <w:t>564-73.</w:t>
      </w:r>
    </w:p>
  </w:footnote>
  <w:footnote w:id="25">
    <w:p w14:paraId="00BAD3B5" w14:textId="2EFDBCC3"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Re Duke of Norfolk’s Settlement</w:t>
      </w:r>
      <w:r w:rsidRPr="00416BAE">
        <w:t xml:space="preserve"> [1982] Ch</w:t>
      </w:r>
      <w:r>
        <w:t>.</w:t>
      </w:r>
      <w:r w:rsidRPr="00416BAE">
        <w:t xml:space="preserve"> 61.</w:t>
      </w:r>
    </w:p>
  </w:footnote>
  <w:footnote w:id="26">
    <w:p w14:paraId="1A586EB1" w14:textId="6898F1AD" w:rsidR="00D54067" w:rsidRPr="00416BAE" w:rsidRDefault="00D54067" w:rsidP="00A217B5">
      <w:pPr>
        <w:pStyle w:val="FootnoteText"/>
        <w:spacing w:line="360" w:lineRule="auto"/>
        <w:jc w:val="both"/>
      </w:pPr>
      <w:r w:rsidRPr="00416BAE">
        <w:rPr>
          <w:rStyle w:val="FootnoteReference"/>
        </w:rPr>
        <w:footnoteRef/>
      </w:r>
      <w:r w:rsidRPr="00416BAE">
        <w:t xml:space="preserve"> See, </w:t>
      </w:r>
      <w:r>
        <w:t>eg</w:t>
      </w:r>
      <w:r w:rsidRPr="00416BAE">
        <w:t xml:space="preserve">, </w:t>
      </w:r>
      <w:r w:rsidRPr="00416BAE">
        <w:rPr>
          <w:i/>
        </w:rPr>
        <w:t>Re De Teissier’s Settled Estates</w:t>
      </w:r>
      <w:r w:rsidRPr="00416BAE">
        <w:t xml:space="preserve"> [1893] 1 Ch</w:t>
      </w:r>
      <w:r>
        <w:t>.</w:t>
      </w:r>
      <w:r w:rsidRPr="00416BAE">
        <w:t xml:space="preserve"> 153 and see more generally </w:t>
      </w:r>
      <w:r w:rsidRPr="00416BAE">
        <w:rPr>
          <w:i/>
        </w:rPr>
        <w:t>Snell’s Equity</w:t>
      </w:r>
      <w:r>
        <w:t xml:space="preserve"> (</w:t>
      </w:r>
      <w:r>
        <w:rPr>
          <w:i/>
        </w:rPr>
        <w:t>op cit</w:t>
      </w:r>
      <w:r>
        <w:t xml:space="preserve"> n </w:t>
      </w:r>
      <w:r w:rsidRPr="003653A1">
        <w:t>21</w:t>
      </w:r>
      <w:r>
        <w:t>),</w:t>
      </w:r>
      <w:r w:rsidRPr="00416BAE">
        <w:t xml:space="preserve"> </w:t>
      </w:r>
      <w:r>
        <w:t>§</w:t>
      </w:r>
      <w:r w:rsidRPr="00416BAE">
        <w:t>28-053.</w:t>
      </w:r>
    </w:p>
  </w:footnote>
  <w:footnote w:id="27">
    <w:p w14:paraId="4D9B4F06" w14:textId="5EEC64A6"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Re Lord Hylton’s Settlement</w:t>
      </w:r>
      <w:r w:rsidRPr="00416BAE">
        <w:t xml:space="preserve"> [1954] 1 W</w:t>
      </w:r>
      <w:r>
        <w:t>.</w:t>
      </w:r>
      <w:r w:rsidRPr="00416BAE">
        <w:t>L</w:t>
      </w:r>
      <w:r>
        <w:t>.</w:t>
      </w:r>
      <w:r w:rsidRPr="00416BAE">
        <w:t>R</w:t>
      </w:r>
      <w:r>
        <w:t>.</w:t>
      </w:r>
      <w:r w:rsidRPr="00416BAE">
        <w:t xml:space="preserve"> 1055, </w:t>
      </w:r>
      <w:r w:rsidRPr="00416BAE">
        <w:rPr>
          <w:i/>
        </w:rPr>
        <w:t>Chapman v Chapman</w:t>
      </w:r>
      <w:r w:rsidRPr="00416BAE">
        <w:t xml:space="preserve"> [1954] A</w:t>
      </w:r>
      <w:r>
        <w:t>.</w:t>
      </w:r>
      <w:r w:rsidRPr="00416BAE">
        <w:t>C</w:t>
      </w:r>
      <w:r>
        <w:t>.</w:t>
      </w:r>
      <w:r w:rsidRPr="00416BAE">
        <w:t xml:space="preserve"> 429.</w:t>
      </w:r>
    </w:p>
  </w:footnote>
  <w:footnote w:id="28">
    <w:p w14:paraId="5A336C89" w14:textId="180FBA26"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Chapman v Chapman</w:t>
      </w:r>
      <w:r w:rsidRPr="00416BAE">
        <w:t xml:space="preserve"> [1954] A</w:t>
      </w:r>
      <w:r>
        <w:t>.</w:t>
      </w:r>
      <w:r w:rsidRPr="00416BAE">
        <w:t>C</w:t>
      </w:r>
      <w:r>
        <w:t>.</w:t>
      </w:r>
      <w:r w:rsidRPr="00416BAE">
        <w:t xml:space="preserve"> 429.  In response to the </w:t>
      </w:r>
      <w:r w:rsidRPr="00416BAE">
        <w:rPr>
          <w:i/>
        </w:rPr>
        <w:t xml:space="preserve">Chapman </w:t>
      </w:r>
      <w:r w:rsidRPr="00416BAE">
        <w:t xml:space="preserve">case, statutory jurisdiction to approve alterations of beneficial interests on behalf of certain categories of people was conferred on the court by the Variation of Trusts Act 1958: </w:t>
      </w:r>
      <w:r>
        <w:t xml:space="preserve"> </w:t>
      </w:r>
      <w:r w:rsidRPr="00416BAE">
        <w:t xml:space="preserve">see </w:t>
      </w:r>
      <w:r w:rsidRPr="006D1A9E">
        <w:rPr>
          <w:i/>
        </w:rPr>
        <w:t xml:space="preserve">Underhill </w:t>
      </w:r>
      <w:r>
        <w:rPr>
          <w:i/>
        </w:rPr>
        <w:t>and</w:t>
      </w:r>
      <w:r w:rsidRPr="006D1A9E">
        <w:rPr>
          <w:i/>
        </w:rPr>
        <w:t xml:space="preserve"> Hayton</w:t>
      </w:r>
      <w:r w:rsidRPr="00416BAE" w:rsidDel="00BA0AAC">
        <w:t xml:space="preserve"> </w:t>
      </w:r>
      <w:r w:rsidRPr="00416BAE">
        <w:t>(</w:t>
      </w:r>
      <w:r w:rsidRPr="00416BAE">
        <w:rPr>
          <w:i/>
        </w:rPr>
        <w:t xml:space="preserve">op cit </w:t>
      </w:r>
      <w:r w:rsidRPr="00416BAE">
        <w:t>n</w:t>
      </w:r>
      <w:r>
        <w:t xml:space="preserve"> 11</w:t>
      </w:r>
      <w:r w:rsidRPr="00416BAE">
        <w:t>)</w:t>
      </w:r>
      <w:r>
        <w:t>, §</w:t>
      </w:r>
      <w:r w:rsidRPr="00416BAE">
        <w:t>43.25.</w:t>
      </w:r>
    </w:p>
  </w:footnote>
  <w:footnote w:id="29">
    <w:p w14:paraId="52BEA15D" w14:textId="7307AFF9" w:rsidR="00D54067" w:rsidRPr="00AA447D" w:rsidRDefault="00D54067" w:rsidP="00A217B5">
      <w:pPr>
        <w:pStyle w:val="FootnoteText"/>
        <w:spacing w:line="360" w:lineRule="auto"/>
        <w:jc w:val="both"/>
        <w:rPr>
          <w:lang w:val="en-US"/>
        </w:rPr>
      </w:pPr>
      <w:r>
        <w:rPr>
          <w:rStyle w:val="FootnoteReference"/>
        </w:rPr>
        <w:footnoteRef/>
      </w:r>
      <w:r>
        <w:t xml:space="preserve"> </w:t>
      </w:r>
      <w:r>
        <w:rPr>
          <w:lang w:val="en-US"/>
        </w:rPr>
        <w:t xml:space="preserve">See </w:t>
      </w:r>
      <w:r w:rsidRPr="00416BAE">
        <w:rPr>
          <w:i/>
        </w:rPr>
        <w:t>Lewin on Trusts</w:t>
      </w:r>
      <w:r>
        <w:t xml:space="preserve"> (</w:t>
      </w:r>
      <w:r>
        <w:rPr>
          <w:i/>
        </w:rPr>
        <w:t>op cit</w:t>
      </w:r>
      <w:r>
        <w:t xml:space="preserve"> n 15), §§</w:t>
      </w:r>
      <w:r>
        <w:rPr>
          <w:lang w:val="en-US"/>
        </w:rPr>
        <w:t xml:space="preserve">27-082–27-084 and, eg, </w:t>
      </w:r>
      <w:r w:rsidRPr="00AE04EC">
        <w:rPr>
          <w:i/>
          <w:lang w:val="en-US"/>
        </w:rPr>
        <w:t>Re Earl of Strafford</w:t>
      </w:r>
      <w:r w:rsidRPr="00AE04EC">
        <w:rPr>
          <w:lang w:val="en-US"/>
        </w:rPr>
        <w:t xml:space="preserve"> [1980] Ch. 28</w:t>
      </w:r>
      <w:r>
        <w:rPr>
          <w:lang w:val="en-US"/>
        </w:rPr>
        <w:t xml:space="preserve">; </w:t>
      </w:r>
      <w:r w:rsidRPr="00AE04EC">
        <w:rPr>
          <w:i/>
          <w:lang w:val="en-US"/>
        </w:rPr>
        <w:t>Re William Makin &amp; Sons Ltd</w:t>
      </w:r>
      <w:r w:rsidRPr="00AE04EC">
        <w:rPr>
          <w:lang w:val="en-US"/>
        </w:rPr>
        <w:t xml:space="preserve"> [1992] P</w:t>
      </w:r>
      <w:r>
        <w:rPr>
          <w:lang w:val="en-US"/>
        </w:rPr>
        <w:t>.</w:t>
      </w:r>
      <w:r w:rsidRPr="00AE04EC">
        <w:rPr>
          <w:lang w:val="en-US"/>
        </w:rPr>
        <w:t>L</w:t>
      </w:r>
      <w:r>
        <w:rPr>
          <w:lang w:val="en-US"/>
        </w:rPr>
        <w:t>.</w:t>
      </w:r>
      <w:r w:rsidRPr="00AE04EC">
        <w:rPr>
          <w:lang w:val="en-US"/>
        </w:rPr>
        <w:t>R</w:t>
      </w:r>
      <w:r>
        <w:rPr>
          <w:lang w:val="en-US"/>
        </w:rPr>
        <w:t>.</w:t>
      </w:r>
      <w:r w:rsidRPr="00AE04EC">
        <w:rPr>
          <w:lang w:val="en-US"/>
        </w:rPr>
        <w:t xml:space="preserve"> 177; </w:t>
      </w:r>
      <w:r w:rsidRPr="00AE04EC">
        <w:rPr>
          <w:i/>
          <w:lang w:val="en-US"/>
        </w:rPr>
        <w:t>Thrells Ltd v Lomas</w:t>
      </w:r>
      <w:r w:rsidRPr="00AE04EC">
        <w:rPr>
          <w:lang w:val="en-US"/>
        </w:rPr>
        <w:t xml:space="preserve"> [1993] 1 W</w:t>
      </w:r>
      <w:r>
        <w:rPr>
          <w:lang w:val="en-US"/>
        </w:rPr>
        <w:t>.</w:t>
      </w:r>
      <w:r w:rsidRPr="00AE04EC">
        <w:rPr>
          <w:lang w:val="en-US"/>
        </w:rPr>
        <w:t>L</w:t>
      </w:r>
      <w:r>
        <w:rPr>
          <w:lang w:val="en-US"/>
        </w:rPr>
        <w:t>.</w:t>
      </w:r>
      <w:r w:rsidRPr="00AE04EC">
        <w:rPr>
          <w:lang w:val="en-US"/>
        </w:rPr>
        <w:t>R</w:t>
      </w:r>
      <w:r>
        <w:rPr>
          <w:lang w:val="en-US"/>
        </w:rPr>
        <w:t>.</w:t>
      </w:r>
      <w:r w:rsidRPr="00AE04EC">
        <w:rPr>
          <w:lang w:val="en-US"/>
        </w:rPr>
        <w:t xml:space="preserve"> 456;</w:t>
      </w:r>
      <w:r>
        <w:rPr>
          <w:lang w:val="en-US"/>
        </w:rPr>
        <w:t xml:space="preserve"> </w:t>
      </w:r>
      <w:r w:rsidRPr="00AA447D">
        <w:rPr>
          <w:i/>
          <w:lang w:val="en-US"/>
        </w:rPr>
        <w:t>Re Drexel Burnham Lambert UK Pension Plan</w:t>
      </w:r>
      <w:r w:rsidRPr="00AA447D">
        <w:rPr>
          <w:lang w:val="en-US"/>
        </w:rPr>
        <w:t xml:space="preserve"> [1995] 1 W</w:t>
      </w:r>
      <w:r>
        <w:rPr>
          <w:lang w:val="en-US"/>
        </w:rPr>
        <w:t>.</w:t>
      </w:r>
      <w:r w:rsidRPr="00AA447D">
        <w:rPr>
          <w:lang w:val="en-US"/>
        </w:rPr>
        <w:t>L</w:t>
      </w:r>
      <w:r>
        <w:rPr>
          <w:lang w:val="en-US"/>
        </w:rPr>
        <w:t>.</w:t>
      </w:r>
      <w:r w:rsidRPr="00AA447D">
        <w:rPr>
          <w:lang w:val="en-US"/>
        </w:rPr>
        <w:t>R</w:t>
      </w:r>
      <w:r>
        <w:rPr>
          <w:lang w:val="en-US"/>
        </w:rPr>
        <w:t>.</w:t>
      </w:r>
      <w:r w:rsidRPr="00AA447D">
        <w:rPr>
          <w:lang w:val="en-US"/>
        </w:rPr>
        <w:t xml:space="preserve"> 32</w:t>
      </w:r>
      <w:r>
        <w:rPr>
          <w:lang w:val="en-US"/>
        </w:rPr>
        <w:t xml:space="preserve">; </w:t>
      </w:r>
      <w:r w:rsidRPr="00AA447D">
        <w:rPr>
          <w:i/>
          <w:lang w:val="en-US"/>
        </w:rPr>
        <w:t>Public Trustee v Cooper</w:t>
      </w:r>
      <w:r>
        <w:rPr>
          <w:lang w:val="en-US"/>
        </w:rPr>
        <w:t xml:space="preserve"> [2001] W.T.L.R. 901, 922-23.</w:t>
      </w:r>
    </w:p>
  </w:footnote>
  <w:footnote w:id="30">
    <w:p w14:paraId="354D64DA" w14:textId="7E7AEAE6" w:rsidR="00D54067" w:rsidRPr="00416BAE" w:rsidRDefault="00D54067" w:rsidP="00A217B5">
      <w:pPr>
        <w:pStyle w:val="FootnoteText"/>
        <w:spacing w:line="360" w:lineRule="auto"/>
        <w:jc w:val="both"/>
      </w:pPr>
      <w:r w:rsidRPr="00416BAE">
        <w:rPr>
          <w:rStyle w:val="FootnoteReference"/>
        </w:rPr>
        <w:footnoteRef/>
      </w:r>
      <w:r w:rsidRPr="00416BAE">
        <w:t xml:space="preserve"> Public Trustee Act 1906, s</w:t>
      </w:r>
      <w:r>
        <w:t>.</w:t>
      </w:r>
      <w:r w:rsidRPr="00416BAE">
        <w:t xml:space="preserve">13.  See, generally, </w:t>
      </w:r>
      <w:r w:rsidRPr="006D1A9E">
        <w:rPr>
          <w:i/>
        </w:rPr>
        <w:t xml:space="preserve">Underhill </w:t>
      </w:r>
      <w:r>
        <w:rPr>
          <w:i/>
        </w:rPr>
        <w:t>and</w:t>
      </w:r>
      <w:r w:rsidRPr="006D1A9E">
        <w:rPr>
          <w:i/>
        </w:rPr>
        <w:t xml:space="preserve"> Hayton</w:t>
      </w:r>
      <w:r w:rsidRPr="00416BAE" w:rsidDel="00BA0AAC">
        <w:t xml:space="preserve"> </w:t>
      </w:r>
      <w:r w:rsidRPr="00416BAE">
        <w:t>(</w:t>
      </w:r>
      <w:r w:rsidRPr="00416BAE">
        <w:rPr>
          <w:i/>
        </w:rPr>
        <w:t xml:space="preserve">op cit </w:t>
      </w:r>
      <w:r w:rsidRPr="00416BAE">
        <w:t>n</w:t>
      </w:r>
      <w:r>
        <w:t xml:space="preserve"> 11</w:t>
      </w:r>
      <w:r w:rsidRPr="00416BAE">
        <w:t>)</w:t>
      </w:r>
      <w:r>
        <w:t xml:space="preserve">, </w:t>
      </w:r>
      <w:r w:rsidRPr="00416BAE">
        <w:t>Article 84.</w:t>
      </w:r>
    </w:p>
  </w:footnote>
  <w:footnote w:id="31">
    <w:p w14:paraId="2F5B5363" w14:textId="74C6E38D" w:rsidR="00D54067" w:rsidRPr="00416BAE" w:rsidRDefault="00D54067" w:rsidP="00A217B5">
      <w:pPr>
        <w:pStyle w:val="FootnoteText"/>
        <w:spacing w:line="360" w:lineRule="auto"/>
        <w:jc w:val="both"/>
      </w:pPr>
      <w:r w:rsidRPr="00416BAE">
        <w:rPr>
          <w:rStyle w:val="FootnoteReference"/>
        </w:rPr>
        <w:footnoteRef/>
      </w:r>
      <w:r w:rsidRPr="00416BAE">
        <w:t xml:space="preserve"> </w:t>
      </w:r>
      <w:r>
        <w:t xml:space="preserve">Law Reform Committee, </w:t>
      </w:r>
      <w:r w:rsidRPr="00542FE4">
        <w:rPr>
          <w:i/>
        </w:rPr>
        <w:t>The Powers and Duties of Trustees</w:t>
      </w:r>
      <w:r w:rsidRPr="00E64460">
        <w:t xml:space="preserve"> (1982)</w:t>
      </w:r>
      <w:r>
        <w:t xml:space="preserve">, </w:t>
      </w:r>
      <w:r w:rsidRPr="00416BAE">
        <w:t>Cmnd 8733</w:t>
      </w:r>
      <w:r>
        <w:t>,</w:t>
      </w:r>
      <w:r w:rsidRPr="00416BAE">
        <w:t xml:space="preserve"> </w:t>
      </w:r>
      <w:r>
        <w:t>§</w:t>
      </w:r>
      <w:r w:rsidRPr="00416BAE">
        <w:t>4.48.</w:t>
      </w:r>
    </w:p>
  </w:footnote>
  <w:footnote w:id="32">
    <w:p w14:paraId="5B7B33E4" w14:textId="2B1670A3" w:rsidR="00D54067" w:rsidRPr="00416BAE" w:rsidRDefault="00D54067" w:rsidP="00A217B5">
      <w:pPr>
        <w:pStyle w:val="FootnoteText"/>
        <w:spacing w:line="360" w:lineRule="auto"/>
        <w:jc w:val="both"/>
      </w:pPr>
      <w:r w:rsidRPr="00416BAE">
        <w:rPr>
          <w:rStyle w:val="FootnoteReference"/>
        </w:rPr>
        <w:footnoteRef/>
      </w:r>
      <w:r w:rsidRPr="00416BAE">
        <w:t xml:space="preserve"> The principal statutory jurisdiction is now s</w:t>
      </w:r>
      <w:r>
        <w:t xml:space="preserve"> </w:t>
      </w:r>
      <w:r w:rsidRPr="00416BAE">
        <w:t xml:space="preserve">41 of the Trustee Act 1925.  The inherent jurisdiction is illustrated by, </w:t>
      </w:r>
      <w:r w:rsidRPr="00416BAE">
        <w:rPr>
          <w:i/>
        </w:rPr>
        <w:t>eg</w:t>
      </w:r>
      <w:r w:rsidRPr="00416BAE">
        <w:t xml:space="preserve">, </w:t>
      </w:r>
      <w:r w:rsidRPr="00416BAE">
        <w:rPr>
          <w:i/>
        </w:rPr>
        <w:t>Re Chetwynd’s Settlement</w:t>
      </w:r>
      <w:r w:rsidRPr="00416BAE">
        <w:t xml:space="preserve"> [1902] 1 Ch</w:t>
      </w:r>
      <w:r>
        <w:t>.</w:t>
      </w:r>
      <w:r w:rsidRPr="00416BAE">
        <w:t xml:space="preserve"> 692; </w:t>
      </w:r>
      <w:r w:rsidRPr="00416BAE">
        <w:rPr>
          <w:i/>
        </w:rPr>
        <w:t>Re Harrison’s Settlement Trusts</w:t>
      </w:r>
      <w:r w:rsidRPr="00416BAE">
        <w:t xml:space="preserve"> [1965] 3 All E</w:t>
      </w:r>
      <w:r>
        <w:t>.</w:t>
      </w:r>
      <w:r w:rsidRPr="00416BAE">
        <w:t>R</w:t>
      </w:r>
      <w:r>
        <w:t>.</w:t>
      </w:r>
      <w:r w:rsidRPr="00416BAE">
        <w:t xml:space="preserve"> 795 and </w:t>
      </w:r>
      <w:r w:rsidRPr="00416BAE">
        <w:rPr>
          <w:i/>
        </w:rPr>
        <w:t>Clarke v Heathfield (No 2)</w:t>
      </w:r>
      <w:r w:rsidRPr="00416BAE">
        <w:t xml:space="preserve"> [1985] I</w:t>
      </w:r>
      <w:r>
        <w:t>.</w:t>
      </w:r>
      <w:r w:rsidRPr="00416BAE">
        <w:t>C</w:t>
      </w:r>
      <w:r>
        <w:t>.</w:t>
      </w:r>
      <w:r w:rsidRPr="00416BAE">
        <w:t>R</w:t>
      </w:r>
      <w:r>
        <w:t>.</w:t>
      </w:r>
      <w:r w:rsidRPr="00416BAE">
        <w:t xml:space="preserve"> 606.  See, generally, </w:t>
      </w:r>
      <w:r w:rsidRPr="006D1A9E">
        <w:rPr>
          <w:i/>
        </w:rPr>
        <w:t xml:space="preserve">Underhill </w:t>
      </w:r>
      <w:r>
        <w:rPr>
          <w:i/>
        </w:rPr>
        <w:t>and</w:t>
      </w:r>
      <w:r w:rsidRPr="006D1A9E">
        <w:rPr>
          <w:i/>
        </w:rPr>
        <w:t xml:space="preserve"> Hayton</w:t>
      </w:r>
      <w:r w:rsidRPr="00416BAE" w:rsidDel="00875882">
        <w:t xml:space="preserve"> </w:t>
      </w:r>
      <w:r w:rsidRPr="00416BAE">
        <w:t>(</w:t>
      </w:r>
      <w:r w:rsidRPr="00416BAE">
        <w:rPr>
          <w:i/>
        </w:rPr>
        <w:t xml:space="preserve">op cit </w:t>
      </w:r>
      <w:r w:rsidRPr="00416BAE">
        <w:t>n</w:t>
      </w:r>
      <w:r>
        <w:t xml:space="preserve"> 11</w:t>
      </w:r>
      <w:r w:rsidRPr="00416BAE">
        <w:t>)</w:t>
      </w:r>
      <w:r>
        <w:t xml:space="preserve">, </w:t>
      </w:r>
      <w:r w:rsidRPr="00416BAE">
        <w:t>Articles 70 and 71.</w:t>
      </w:r>
    </w:p>
  </w:footnote>
  <w:footnote w:id="33">
    <w:p w14:paraId="20E1D7B0" w14:textId="7094FDC1" w:rsidR="00D54067" w:rsidRPr="00416BAE" w:rsidRDefault="00D54067" w:rsidP="00A217B5">
      <w:pPr>
        <w:pStyle w:val="FootnoteText"/>
        <w:spacing w:line="360" w:lineRule="auto"/>
        <w:jc w:val="both"/>
      </w:pPr>
      <w:r w:rsidRPr="00416BAE">
        <w:rPr>
          <w:rStyle w:val="FootnoteReference"/>
        </w:rPr>
        <w:footnoteRef/>
      </w:r>
      <w:r w:rsidRPr="00416BAE">
        <w:t xml:space="preserve"> Judicial Trustees Act 1896.  See, generally, </w:t>
      </w:r>
      <w:r w:rsidRPr="006D1A9E">
        <w:rPr>
          <w:i/>
        </w:rPr>
        <w:t xml:space="preserve">Underhill </w:t>
      </w:r>
      <w:r>
        <w:rPr>
          <w:i/>
        </w:rPr>
        <w:t>and</w:t>
      </w:r>
      <w:r w:rsidRPr="006D1A9E">
        <w:rPr>
          <w:i/>
        </w:rPr>
        <w:t xml:space="preserve"> Hayton</w:t>
      </w:r>
      <w:r w:rsidRPr="00416BAE">
        <w:t xml:space="preserve"> (</w:t>
      </w:r>
      <w:r w:rsidRPr="00416BAE">
        <w:rPr>
          <w:i/>
        </w:rPr>
        <w:t xml:space="preserve">op cit </w:t>
      </w:r>
      <w:r w:rsidRPr="00416BAE">
        <w:t>n</w:t>
      </w:r>
      <w:r>
        <w:t xml:space="preserve"> 11</w:t>
      </w:r>
      <w:r w:rsidRPr="00416BAE">
        <w:t>)</w:t>
      </w:r>
      <w:r>
        <w:t xml:space="preserve">, </w:t>
      </w:r>
      <w:r w:rsidRPr="00416BAE">
        <w:t>Article 74.</w:t>
      </w:r>
    </w:p>
  </w:footnote>
  <w:footnote w:id="34">
    <w:p w14:paraId="5615336C" w14:textId="1ED7C236" w:rsidR="00D54067" w:rsidRPr="00416BAE" w:rsidRDefault="00D54067" w:rsidP="00A217B5">
      <w:pPr>
        <w:pStyle w:val="FootnoteText"/>
        <w:spacing w:line="360" w:lineRule="auto"/>
        <w:jc w:val="both"/>
      </w:pPr>
      <w:r w:rsidRPr="00416BAE">
        <w:rPr>
          <w:rStyle w:val="FootnoteReference"/>
        </w:rPr>
        <w:footnoteRef/>
      </w:r>
      <w:r w:rsidRPr="00416BAE">
        <w:t xml:space="preserve"> Public Trustee Act 1906.  See, generally, </w:t>
      </w:r>
      <w:r w:rsidRPr="006D1A9E">
        <w:rPr>
          <w:i/>
        </w:rPr>
        <w:t xml:space="preserve">Underhill </w:t>
      </w:r>
      <w:r>
        <w:rPr>
          <w:i/>
        </w:rPr>
        <w:t>and</w:t>
      </w:r>
      <w:r w:rsidRPr="006D1A9E">
        <w:rPr>
          <w:i/>
        </w:rPr>
        <w:t xml:space="preserve"> Hayton</w:t>
      </w:r>
      <w:r w:rsidRPr="00416BAE">
        <w:t xml:space="preserve"> (</w:t>
      </w:r>
      <w:r w:rsidRPr="00416BAE">
        <w:rPr>
          <w:i/>
        </w:rPr>
        <w:t xml:space="preserve">op cit </w:t>
      </w:r>
      <w:r w:rsidRPr="00416BAE">
        <w:t xml:space="preserve">n </w:t>
      </w:r>
      <w:r>
        <w:t>11</w:t>
      </w:r>
      <w:r w:rsidRPr="00416BAE">
        <w:t>)</w:t>
      </w:r>
      <w:r>
        <w:t xml:space="preserve">, </w:t>
      </w:r>
      <w:r w:rsidRPr="00416BAE">
        <w:t>Articles 74 and 75.</w:t>
      </w:r>
    </w:p>
  </w:footnote>
  <w:footnote w:id="35">
    <w:p w14:paraId="3317D005" w14:textId="56425713" w:rsidR="00D54067" w:rsidRPr="00416BAE" w:rsidRDefault="00D54067" w:rsidP="00A217B5">
      <w:pPr>
        <w:pStyle w:val="FootnoteText"/>
        <w:spacing w:line="360" w:lineRule="auto"/>
        <w:jc w:val="both"/>
      </w:pPr>
      <w:r w:rsidRPr="00416BAE">
        <w:rPr>
          <w:rStyle w:val="FootnoteReference"/>
        </w:rPr>
        <w:footnoteRef/>
      </w:r>
      <w:r w:rsidRPr="00416BAE">
        <w:t xml:space="preserve"> See, generally, </w:t>
      </w:r>
      <w:r w:rsidRPr="006D1A9E">
        <w:rPr>
          <w:i/>
        </w:rPr>
        <w:t xml:space="preserve">Underhill </w:t>
      </w:r>
      <w:r>
        <w:rPr>
          <w:i/>
        </w:rPr>
        <w:t>and</w:t>
      </w:r>
      <w:r w:rsidRPr="006D1A9E">
        <w:rPr>
          <w:i/>
        </w:rPr>
        <w:t xml:space="preserve"> Hayton</w:t>
      </w:r>
      <w:r w:rsidRPr="00416BAE">
        <w:t xml:space="preserve"> (</w:t>
      </w:r>
      <w:r w:rsidRPr="00416BAE">
        <w:rPr>
          <w:i/>
        </w:rPr>
        <w:t xml:space="preserve">op cit </w:t>
      </w:r>
      <w:r w:rsidRPr="00416BAE">
        <w:t xml:space="preserve">n </w:t>
      </w:r>
      <w:r>
        <w:t>11</w:t>
      </w:r>
      <w:r w:rsidRPr="00416BAE">
        <w:t>)</w:t>
      </w:r>
      <w:r>
        <w:t xml:space="preserve">, </w:t>
      </w:r>
      <w:r w:rsidRPr="00416BAE">
        <w:t>Article 91.</w:t>
      </w:r>
    </w:p>
  </w:footnote>
  <w:footnote w:id="36">
    <w:p w14:paraId="5EDC9B6B" w14:textId="4A135C5A"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 xml:space="preserve">Underhill and Hayton </w:t>
      </w:r>
      <w:r w:rsidRPr="00416BAE">
        <w:t>(</w:t>
      </w:r>
      <w:r w:rsidRPr="00416BAE">
        <w:rPr>
          <w:i/>
        </w:rPr>
        <w:t xml:space="preserve">op cit </w:t>
      </w:r>
      <w:r w:rsidRPr="00416BAE">
        <w:t xml:space="preserve">n </w:t>
      </w:r>
      <w:r w:rsidRPr="005D3426">
        <w:t>11</w:t>
      </w:r>
      <w:r w:rsidRPr="00416BAE">
        <w:t>)</w:t>
      </w:r>
      <w:r>
        <w:t>, §</w:t>
      </w:r>
      <w:r w:rsidRPr="00416BAE">
        <w:t>91.7.</w:t>
      </w:r>
    </w:p>
  </w:footnote>
  <w:footnote w:id="37">
    <w:p w14:paraId="68623061" w14:textId="22B64B38"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193A2F">
        <w:rPr>
          <w:i/>
        </w:rPr>
        <w:t>Ibid</w:t>
      </w:r>
      <w:r>
        <w:t>, §</w:t>
      </w:r>
      <w:r w:rsidRPr="00416BAE">
        <w:t>91.10.</w:t>
      </w:r>
    </w:p>
  </w:footnote>
  <w:footnote w:id="38">
    <w:p w14:paraId="2F6FA774" w14:textId="63CACA7A" w:rsidR="00D54067" w:rsidRPr="00416BAE" w:rsidRDefault="00D54067" w:rsidP="00A217B5">
      <w:pPr>
        <w:pStyle w:val="FootnoteText"/>
        <w:spacing w:line="360" w:lineRule="auto"/>
        <w:jc w:val="both"/>
      </w:pPr>
      <w:r w:rsidRPr="00416BAE">
        <w:rPr>
          <w:rStyle w:val="FootnoteReference"/>
        </w:rPr>
        <w:footnoteRef/>
      </w:r>
      <w:r w:rsidRPr="00416BAE">
        <w:t xml:space="preserve"> The jurisdiction </w:t>
      </w:r>
      <w:r>
        <w:t>wa</w:t>
      </w:r>
      <w:r w:rsidRPr="00416BAE">
        <w:t>s inherent to the Court of Chancery</w:t>
      </w:r>
      <w:r>
        <w:t xml:space="preserve">, and it survives as part of the inherent jurisdiction of that court’s successors in England and elsewhere.  In </w:t>
      </w:r>
      <w:r w:rsidRPr="00416BAE">
        <w:t xml:space="preserve">England and Wales, the procedure is now governed by Civil Procedure Rules, Part 64 and Practice Direction A.  See, generally, </w:t>
      </w:r>
      <w:r w:rsidRPr="006D1A9E">
        <w:rPr>
          <w:i/>
        </w:rPr>
        <w:t xml:space="preserve">Underhill </w:t>
      </w:r>
      <w:r>
        <w:rPr>
          <w:i/>
        </w:rPr>
        <w:t>and</w:t>
      </w:r>
      <w:r w:rsidRPr="006D1A9E">
        <w:rPr>
          <w:i/>
        </w:rPr>
        <w:t xml:space="preserve"> Hayton</w:t>
      </w:r>
      <w:r>
        <w:t xml:space="preserve"> </w:t>
      </w:r>
      <w:r w:rsidRPr="00416BAE">
        <w:t>(</w:t>
      </w:r>
      <w:r w:rsidRPr="00416BAE">
        <w:rPr>
          <w:i/>
        </w:rPr>
        <w:t xml:space="preserve">op cit </w:t>
      </w:r>
      <w:r w:rsidRPr="00416BAE">
        <w:t xml:space="preserve">n </w:t>
      </w:r>
      <w:r>
        <w:t>11</w:t>
      </w:r>
      <w:r w:rsidRPr="00416BAE">
        <w:t>)</w:t>
      </w:r>
      <w:r>
        <w:t xml:space="preserve">, </w:t>
      </w:r>
      <w:r w:rsidRPr="00416BAE">
        <w:t>Article 86.</w:t>
      </w:r>
    </w:p>
  </w:footnote>
  <w:footnote w:id="39">
    <w:p w14:paraId="08B74C98" w14:textId="75C685BB" w:rsidR="00D54067" w:rsidRPr="00416BAE" w:rsidRDefault="00D54067" w:rsidP="00A217B5">
      <w:pPr>
        <w:pStyle w:val="FootnoteText"/>
        <w:spacing w:line="360" w:lineRule="auto"/>
        <w:jc w:val="both"/>
      </w:pPr>
      <w:r w:rsidRPr="00416BAE">
        <w:rPr>
          <w:rStyle w:val="FootnoteReference"/>
        </w:rPr>
        <w:footnoteRef/>
      </w:r>
      <w:r w:rsidRPr="00416BAE">
        <w:t xml:space="preserve"> See, eg, </w:t>
      </w:r>
      <w:r w:rsidRPr="00416BAE">
        <w:rPr>
          <w:i/>
        </w:rPr>
        <w:t>Morice v Bishop of Durham</w:t>
      </w:r>
      <w:r w:rsidRPr="00416BAE">
        <w:t xml:space="preserve"> (1805) 10 Ves</w:t>
      </w:r>
      <w:r>
        <w:t>.</w:t>
      </w:r>
      <w:r w:rsidRPr="00416BAE">
        <w:t xml:space="preserve"> 522</w:t>
      </w:r>
      <w:r>
        <w:t xml:space="preserve">, </w:t>
      </w:r>
      <w:r w:rsidRPr="00416BAE">
        <w:t>539-40</w:t>
      </w:r>
      <w:r>
        <w:t>,</w:t>
      </w:r>
      <w:r w:rsidRPr="00416BAE">
        <w:t xml:space="preserve"> 32 E</w:t>
      </w:r>
      <w:r>
        <w:t>.</w:t>
      </w:r>
      <w:r w:rsidRPr="00416BAE">
        <w:t>R</w:t>
      </w:r>
      <w:r>
        <w:t>.</w:t>
      </w:r>
      <w:r w:rsidRPr="00416BAE">
        <w:t xml:space="preserve"> 947</w:t>
      </w:r>
      <w:r>
        <w:t xml:space="preserve">, </w:t>
      </w:r>
      <w:r w:rsidRPr="00416BAE">
        <w:t xml:space="preserve">954, </w:t>
      </w:r>
      <w:r w:rsidRPr="00416BAE">
        <w:rPr>
          <w:i/>
        </w:rPr>
        <w:t>per</w:t>
      </w:r>
      <w:r w:rsidRPr="00416BAE">
        <w:t xml:space="preserve"> Lord Eldon LC, cited as the text to note </w:t>
      </w:r>
      <w:r>
        <w:t>1</w:t>
      </w:r>
      <w:r w:rsidRPr="00416BAE">
        <w:t xml:space="preserve"> above.</w:t>
      </w:r>
    </w:p>
  </w:footnote>
  <w:footnote w:id="40">
    <w:p w14:paraId="19A45EAD" w14:textId="13889188" w:rsidR="00D54067" w:rsidRPr="00416BAE" w:rsidRDefault="00D54067" w:rsidP="00A217B5">
      <w:pPr>
        <w:pStyle w:val="FootnoteText"/>
        <w:spacing w:line="360" w:lineRule="auto"/>
        <w:jc w:val="both"/>
      </w:pPr>
      <w:r w:rsidRPr="00416BAE">
        <w:rPr>
          <w:rStyle w:val="FootnoteReference"/>
        </w:rPr>
        <w:footnoteRef/>
      </w:r>
      <w:r w:rsidRPr="00416BAE">
        <w:t xml:space="preserve"> (1885) 28 Ch</w:t>
      </w:r>
      <w:r>
        <w:t>.</w:t>
      </w:r>
      <w:r w:rsidRPr="00416BAE">
        <w:t>D</w:t>
      </w:r>
      <w:r>
        <w:t>.</w:t>
      </w:r>
      <w:r w:rsidRPr="00416BAE">
        <w:t xml:space="preserve"> 457.</w:t>
      </w:r>
    </w:p>
  </w:footnote>
  <w:footnote w:id="41">
    <w:p w14:paraId="46EA9F86" w14:textId="3A714A3E" w:rsidR="00D54067" w:rsidRPr="00416BAE" w:rsidRDefault="00D54067" w:rsidP="00A217B5">
      <w:pPr>
        <w:pStyle w:val="FootnoteText"/>
        <w:spacing w:line="360" w:lineRule="auto"/>
        <w:jc w:val="both"/>
      </w:pPr>
      <w:r w:rsidRPr="00416BAE">
        <w:rPr>
          <w:rStyle w:val="FootnoteReference"/>
        </w:rPr>
        <w:footnoteRef/>
      </w:r>
      <w:r w:rsidRPr="00416BAE">
        <w:t xml:space="preserve"> (1885) 29 Ch</w:t>
      </w:r>
      <w:r>
        <w:t>.</w:t>
      </w:r>
      <w:r w:rsidRPr="00416BAE">
        <w:t>D</w:t>
      </w:r>
      <w:r>
        <w:t>.</w:t>
      </w:r>
      <w:r w:rsidRPr="00416BAE">
        <w:t xml:space="preserve"> 913.</w:t>
      </w:r>
    </w:p>
  </w:footnote>
  <w:footnote w:id="42">
    <w:p w14:paraId="436AB581" w14:textId="5C0547D9" w:rsidR="00D54067" w:rsidRPr="00E618F0" w:rsidRDefault="00D54067" w:rsidP="00A217B5">
      <w:pPr>
        <w:pStyle w:val="FootnoteText"/>
        <w:spacing w:line="360" w:lineRule="auto"/>
        <w:jc w:val="both"/>
      </w:pPr>
      <w:r w:rsidRPr="00416BAE">
        <w:rPr>
          <w:rStyle w:val="FootnoteReference"/>
        </w:rPr>
        <w:footnoteRef/>
      </w:r>
      <w:r w:rsidRPr="00416BAE">
        <w:t xml:space="preserve"> </w:t>
      </w:r>
      <w:r>
        <w:rPr>
          <w:i/>
        </w:rPr>
        <w:t xml:space="preserve">Re Wilson </w:t>
      </w:r>
      <w:r w:rsidRPr="00416BAE">
        <w:t>(1885) 28 Ch</w:t>
      </w:r>
      <w:r>
        <w:t>.</w:t>
      </w:r>
      <w:r w:rsidRPr="00416BAE">
        <w:t>D</w:t>
      </w:r>
      <w:r>
        <w:t>.</w:t>
      </w:r>
      <w:r w:rsidRPr="00416BAE">
        <w:t xml:space="preserve"> 457</w:t>
      </w:r>
      <w:r>
        <w:t xml:space="preserve">; </w:t>
      </w:r>
      <w:r>
        <w:rPr>
          <w:i/>
        </w:rPr>
        <w:t xml:space="preserve">Re Blake </w:t>
      </w:r>
      <w:r w:rsidRPr="00416BAE">
        <w:t>(1885) 29 Ch</w:t>
      </w:r>
      <w:r>
        <w:t>.</w:t>
      </w:r>
      <w:r w:rsidRPr="00416BAE">
        <w:t>D</w:t>
      </w:r>
      <w:r>
        <w:t>.</w:t>
      </w:r>
      <w:r w:rsidRPr="00416BAE">
        <w:t xml:space="preserve"> 913</w:t>
      </w:r>
      <w:r>
        <w:t>.</w:t>
      </w:r>
    </w:p>
  </w:footnote>
  <w:footnote w:id="43">
    <w:p w14:paraId="24969F12" w14:textId="51A245D8"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6D1A9E">
        <w:rPr>
          <w:i/>
        </w:rPr>
        <w:t xml:space="preserve">Underhill </w:t>
      </w:r>
      <w:r>
        <w:rPr>
          <w:i/>
        </w:rPr>
        <w:t>and</w:t>
      </w:r>
      <w:r w:rsidRPr="006D1A9E">
        <w:rPr>
          <w:i/>
        </w:rPr>
        <w:t xml:space="preserve"> Hayton</w:t>
      </w:r>
      <w:r w:rsidRPr="00416BAE">
        <w:t xml:space="preserve"> (</w:t>
      </w:r>
      <w:r w:rsidRPr="00416BAE">
        <w:rPr>
          <w:i/>
        </w:rPr>
        <w:t xml:space="preserve">op cit </w:t>
      </w:r>
      <w:r w:rsidRPr="00416BAE">
        <w:t xml:space="preserve">n </w:t>
      </w:r>
      <w:r>
        <w:t>11</w:t>
      </w:r>
      <w:r w:rsidRPr="00416BAE">
        <w:t>)</w:t>
      </w:r>
      <w:r>
        <w:t xml:space="preserve">, § </w:t>
      </w:r>
      <w:r w:rsidRPr="00416BAE">
        <w:t>86.2.</w:t>
      </w:r>
    </w:p>
  </w:footnote>
  <w:footnote w:id="44">
    <w:p w14:paraId="1A865E5A" w14:textId="36C7D537"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Knight v Knight</w:t>
      </w:r>
      <w:r w:rsidRPr="00416BAE">
        <w:t xml:space="preserve"> (1840) 3 Beav</w:t>
      </w:r>
      <w:r w:rsidR="00F202B3">
        <w:t>.</w:t>
      </w:r>
      <w:r w:rsidRPr="00416BAE">
        <w:t xml:space="preserve"> 148</w:t>
      </w:r>
      <w:r>
        <w:t>,</w:t>
      </w:r>
      <w:r w:rsidRPr="00416BAE">
        <w:t xml:space="preserve"> 49 E</w:t>
      </w:r>
      <w:r>
        <w:t>.</w:t>
      </w:r>
      <w:r w:rsidRPr="00416BAE">
        <w:t>R</w:t>
      </w:r>
      <w:r>
        <w:t>.</w:t>
      </w:r>
      <w:r w:rsidRPr="00416BAE">
        <w:t xml:space="preserve"> 58.</w:t>
      </w:r>
    </w:p>
  </w:footnote>
  <w:footnote w:id="45">
    <w:p w14:paraId="1F047C3C" w14:textId="2B4B7BE5" w:rsidR="00D54067" w:rsidRPr="00416BAE" w:rsidRDefault="00D54067" w:rsidP="00A217B5">
      <w:pPr>
        <w:pStyle w:val="FootnoteText"/>
        <w:spacing w:line="360" w:lineRule="auto"/>
        <w:jc w:val="both"/>
      </w:pPr>
      <w:r w:rsidRPr="00416BAE">
        <w:rPr>
          <w:rStyle w:val="FootnoteReference"/>
        </w:rPr>
        <w:footnoteRef/>
      </w:r>
      <w:r w:rsidRPr="00416BAE">
        <w:t xml:space="preserve"> </w:t>
      </w:r>
      <w:r>
        <w:t xml:space="preserve">See, eg, </w:t>
      </w:r>
      <w:r w:rsidRPr="00416BAE">
        <w:rPr>
          <w:i/>
        </w:rPr>
        <w:t>Knight v Knight</w:t>
      </w:r>
      <w:r w:rsidRPr="00416BAE">
        <w:t xml:space="preserve"> (1840) 3 Beav</w:t>
      </w:r>
      <w:r w:rsidR="00F202B3">
        <w:t>.</w:t>
      </w:r>
      <w:r w:rsidRPr="00416BAE">
        <w:t xml:space="preserve"> 148</w:t>
      </w:r>
      <w:r>
        <w:t>,</w:t>
      </w:r>
      <w:r w:rsidRPr="00416BAE">
        <w:t xml:space="preserve"> 49 E</w:t>
      </w:r>
      <w:r>
        <w:t>.</w:t>
      </w:r>
      <w:r w:rsidRPr="00416BAE">
        <w:t>R</w:t>
      </w:r>
      <w:r>
        <w:t>.</w:t>
      </w:r>
      <w:r w:rsidRPr="00416BAE">
        <w:t xml:space="preserve"> 58</w:t>
      </w:r>
      <w:r>
        <w:t xml:space="preserve">; </w:t>
      </w:r>
      <w:r w:rsidRPr="00E76E14">
        <w:rPr>
          <w:i/>
        </w:rPr>
        <w:t>White v Briggs</w:t>
      </w:r>
      <w:r>
        <w:t xml:space="preserve"> (1848) 2 Ph 583, 41 E.R. 1068; </w:t>
      </w:r>
      <w:r w:rsidRPr="00E76E14">
        <w:rPr>
          <w:i/>
        </w:rPr>
        <w:t>Staden v Jones</w:t>
      </w:r>
      <w:r>
        <w:t xml:space="preserve"> [2008] EWCA Civ 936. </w:t>
      </w:r>
      <w:r w:rsidRPr="00416BAE">
        <w:t xml:space="preserve">The intention is objectively ascertained:  </w:t>
      </w:r>
      <w:r w:rsidRPr="00416BAE">
        <w:rPr>
          <w:i/>
        </w:rPr>
        <w:t>Byrnes v Kendle</w:t>
      </w:r>
      <w:r w:rsidRPr="00416BAE">
        <w:t xml:space="preserve"> [2011] HCA 26</w:t>
      </w:r>
      <w:r>
        <w:t>,</w:t>
      </w:r>
      <w:r w:rsidRPr="00416BAE">
        <w:t xml:space="preserve"> (2011) 243 C</w:t>
      </w:r>
      <w:r>
        <w:t>.</w:t>
      </w:r>
      <w:r w:rsidRPr="00416BAE">
        <w:t>L</w:t>
      </w:r>
      <w:r>
        <w:t>.</w:t>
      </w:r>
      <w:r w:rsidRPr="00416BAE">
        <w:t>R</w:t>
      </w:r>
      <w:r>
        <w:t>.</w:t>
      </w:r>
      <w:r w:rsidRPr="00416BAE">
        <w:t xml:space="preserve"> 253</w:t>
      </w:r>
      <w:r>
        <w:t xml:space="preserve"> (trusts); and note </w:t>
      </w:r>
      <w:r w:rsidRPr="00E76E14">
        <w:rPr>
          <w:i/>
        </w:rPr>
        <w:t>Staden v Jones</w:t>
      </w:r>
      <w:r>
        <w:t xml:space="preserve"> (above), applying </w:t>
      </w:r>
      <w:r w:rsidRPr="00E76E14">
        <w:rPr>
          <w:i/>
        </w:rPr>
        <w:t>Investors Compensation Scheme v West Bromwich BS</w:t>
      </w:r>
      <w:r>
        <w:t xml:space="preserve"> [1998] 1 W.L.R. 896 (contracts), and also note </w:t>
      </w:r>
      <w:r w:rsidRPr="00E76E14">
        <w:rPr>
          <w:i/>
        </w:rPr>
        <w:t>Marley v Rawlings</w:t>
      </w:r>
      <w:r>
        <w:t xml:space="preserve"> [2014] UKSC 2, [2014] 1 All E.R. 807 (unilateral non-contractual documents).</w:t>
      </w:r>
    </w:p>
  </w:footnote>
  <w:footnote w:id="46">
    <w:p w14:paraId="42124BE4" w14:textId="595E4C87" w:rsidR="00D54067" w:rsidRPr="00416BAE" w:rsidRDefault="00D54067" w:rsidP="00A217B5">
      <w:pPr>
        <w:pStyle w:val="FootnoteText"/>
        <w:spacing w:line="360" w:lineRule="auto"/>
        <w:jc w:val="both"/>
      </w:pPr>
      <w:r w:rsidRPr="00416BAE">
        <w:rPr>
          <w:rStyle w:val="FootnoteReference"/>
        </w:rPr>
        <w:footnoteRef/>
      </w:r>
      <w:r w:rsidRPr="00416BAE">
        <w:t xml:space="preserve"> See, for example, </w:t>
      </w:r>
      <w:r w:rsidRPr="00416BAE">
        <w:rPr>
          <w:i/>
        </w:rPr>
        <w:t>Sprange v Barnard</w:t>
      </w:r>
      <w:r w:rsidRPr="00416BAE">
        <w:t xml:space="preserve"> (1789) 2 Bro</w:t>
      </w:r>
      <w:r>
        <w:t>.</w:t>
      </w:r>
      <w:r w:rsidRPr="00416BAE">
        <w:t xml:space="preserve"> C</w:t>
      </w:r>
      <w:r>
        <w:t>.</w:t>
      </w:r>
      <w:r w:rsidRPr="00416BAE">
        <w:t>C</w:t>
      </w:r>
      <w:r>
        <w:t>.</w:t>
      </w:r>
      <w:r w:rsidRPr="00416BAE">
        <w:t xml:space="preserve"> 585</w:t>
      </w:r>
      <w:r>
        <w:t xml:space="preserve">, 29 E.R. 320 and </w:t>
      </w:r>
      <w:r w:rsidRPr="00416BAE">
        <w:rPr>
          <w:i/>
        </w:rPr>
        <w:t>Knight v Knight</w:t>
      </w:r>
      <w:r w:rsidRPr="00416BAE">
        <w:t xml:space="preserve"> (1840) 3 Beav</w:t>
      </w:r>
      <w:r>
        <w:t>.</w:t>
      </w:r>
      <w:r w:rsidRPr="00416BAE">
        <w:t xml:space="preserve"> 148</w:t>
      </w:r>
      <w:r>
        <w:t xml:space="preserve">, 49 E.R. 58.  The continuing importance of the principal is evidenced in </w:t>
      </w:r>
      <w:r w:rsidRPr="00416BAE">
        <w:rPr>
          <w:i/>
        </w:rPr>
        <w:t>Pearson v Lehman Brothers Finance SA</w:t>
      </w:r>
      <w:r w:rsidRPr="00416BAE">
        <w:t xml:space="preserve"> [2011] EWCA Civ 1544.  See, generally, </w:t>
      </w:r>
      <w:r w:rsidRPr="006D1A9E">
        <w:rPr>
          <w:i/>
        </w:rPr>
        <w:t xml:space="preserve">Underhill </w:t>
      </w:r>
      <w:r>
        <w:rPr>
          <w:i/>
        </w:rPr>
        <w:t>and</w:t>
      </w:r>
      <w:r w:rsidRPr="006D1A9E">
        <w:rPr>
          <w:i/>
        </w:rPr>
        <w:t xml:space="preserve"> Hayton</w:t>
      </w:r>
      <w:r w:rsidRPr="00416BAE">
        <w:t xml:space="preserve"> (</w:t>
      </w:r>
      <w:r w:rsidRPr="00416BAE">
        <w:rPr>
          <w:i/>
        </w:rPr>
        <w:t xml:space="preserve">op cit </w:t>
      </w:r>
      <w:r w:rsidRPr="00416BAE">
        <w:t xml:space="preserve">n </w:t>
      </w:r>
      <w:r>
        <w:t>11</w:t>
      </w:r>
      <w:r w:rsidRPr="00416BAE">
        <w:t>)</w:t>
      </w:r>
      <w:r>
        <w:t>, §§</w:t>
      </w:r>
      <w:r w:rsidRPr="00416BAE">
        <w:t xml:space="preserve"> 8.11-8.33.</w:t>
      </w:r>
    </w:p>
  </w:footnote>
  <w:footnote w:id="47">
    <w:p w14:paraId="52F64756" w14:textId="11AAC7D0" w:rsidR="00D54067" w:rsidRPr="00416BAE" w:rsidRDefault="00D54067" w:rsidP="00A217B5">
      <w:pPr>
        <w:pStyle w:val="FootnoteText"/>
        <w:spacing w:line="360" w:lineRule="auto"/>
        <w:jc w:val="both"/>
      </w:pPr>
      <w:r w:rsidRPr="00416BAE">
        <w:rPr>
          <w:rStyle w:val="FootnoteReference"/>
        </w:rPr>
        <w:footnoteRef/>
      </w:r>
      <w:r w:rsidRPr="00416BAE">
        <w:t xml:space="preserve"> See, </w:t>
      </w:r>
      <w:r>
        <w:t>eg</w:t>
      </w:r>
      <w:r w:rsidRPr="00416BAE">
        <w:t xml:space="preserve">, </w:t>
      </w:r>
      <w:r w:rsidRPr="00416BAE">
        <w:rPr>
          <w:i/>
        </w:rPr>
        <w:t>Re Gulbenkian’s Settlement Trusts</w:t>
      </w:r>
      <w:r w:rsidRPr="00416BAE">
        <w:t xml:space="preserve"> [1970] A</w:t>
      </w:r>
      <w:r>
        <w:t>.</w:t>
      </w:r>
      <w:r w:rsidRPr="00416BAE">
        <w:t>C</w:t>
      </w:r>
      <w:r>
        <w:t>.</w:t>
      </w:r>
      <w:r w:rsidRPr="00416BAE">
        <w:t xml:space="preserve"> 508,</w:t>
      </w:r>
      <w:r w:rsidRPr="00416BAE">
        <w:rPr>
          <w:i/>
        </w:rPr>
        <w:t xml:space="preserve"> McPhail v Doulton</w:t>
      </w:r>
      <w:r w:rsidRPr="00416BAE">
        <w:t xml:space="preserve"> [1971] A</w:t>
      </w:r>
      <w:r>
        <w:t>.</w:t>
      </w:r>
      <w:r w:rsidRPr="00416BAE">
        <w:t>C</w:t>
      </w:r>
      <w:r>
        <w:t>.</w:t>
      </w:r>
      <w:r w:rsidRPr="00416BAE">
        <w:t xml:space="preserve"> 424.  See, generally, </w:t>
      </w:r>
      <w:r w:rsidRPr="006D1A9E">
        <w:rPr>
          <w:i/>
        </w:rPr>
        <w:t xml:space="preserve">Underhill </w:t>
      </w:r>
      <w:r>
        <w:rPr>
          <w:i/>
        </w:rPr>
        <w:t>and</w:t>
      </w:r>
      <w:r w:rsidRPr="006D1A9E">
        <w:rPr>
          <w:i/>
        </w:rPr>
        <w:t xml:space="preserve"> Hayton</w:t>
      </w:r>
      <w:r w:rsidRPr="00416BAE" w:rsidDel="002514D4">
        <w:t xml:space="preserve"> </w:t>
      </w:r>
      <w:r w:rsidRPr="00416BAE">
        <w:t>(</w:t>
      </w:r>
      <w:r w:rsidRPr="00416BAE">
        <w:rPr>
          <w:i/>
        </w:rPr>
        <w:t xml:space="preserve">op cit </w:t>
      </w:r>
      <w:r w:rsidRPr="00416BAE">
        <w:t xml:space="preserve">n </w:t>
      </w:r>
      <w:r>
        <w:t>11</w:t>
      </w:r>
      <w:r w:rsidRPr="00416BAE">
        <w:t>)</w:t>
      </w:r>
      <w:r>
        <w:t xml:space="preserve">, §§ </w:t>
      </w:r>
      <w:r w:rsidRPr="00416BAE">
        <w:t>8.34-8.70.</w:t>
      </w:r>
    </w:p>
  </w:footnote>
  <w:footnote w:id="48">
    <w:p w14:paraId="65C0BB02" w14:textId="7A462C82" w:rsidR="00D54067" w:rsidRPr="00416BAE" w:rsidRDefault="00D54067" w:rsidP="00A217B5">
      <w:pPr>
        <w:pStyle w:val="FootnoteText"/>
        <w:spacing w:line="360" w:lineRule="auto"/>
        <w:jc w:val="both"/>
        <w:rPr>
          <w:b/>
        </w:rPr>
      </w:pPr>
      <w:r w:rsidRPr="00416BAE">
        <w:rPr>
          <w:rStyle w:val="FootnoteReference"/>
        </w:rPr>
        <w:footnoteRef/>
      </w:r>
      <w:r w:rsidRPr="00416BAE">
        <w:t xml:space="preserve"> See, eg, </w:t>
      </w:r>
      <w:r w:rsidRPr="00416BAE">
        <w:rPr>
          <w:i/>
        </w:rPr>
        <w:t>Re London Wine Co (Shippers) Ltd</w:t>
      </w:r>
      <w:r w:rsidRPr="00416BAE">
        <w:t xml:space="preserve"> [1986] P</w:t>
      </w:r>
      <w:r>
        <w:t>.</w:t>
      </w:r>
      <w:r w:rsidRPr="00416BAE">
        <w:t>C</w:t>
      </w:r>
      <w:r>
        <w:t>.</w:t>
      </w:r>
      <w:r w:rsidRPr="00416BAE">
        <w:t>C</w:t>
      </w:r>
      <w:r>
        <w:t>.</w:t>
      </w:r>
      <w:r w:rsidRPr="00416BAE">
        <w:t xml:space="preserve"> 121.  See generally</w:t>
      </w:r>
      <w:r>
        <w:t xml:space="preserve"> G. Jones and W. Goodhart, </w:t>
      </w:r>
      <w:r>
        <w:rPr>
          <w:i/>
        </w:rPr>
        <w:t>Specific Performance</w:t>
      </w:r>
      <w:r>
        <w:t xml:space="preserve">, 2nd edn (London: </w:t>
      </w:r>
      <w:r w:rsidR="002A7467">
        <w:t xml:space="preserve"> </w:t>
      </w:r>
      <w:r>
        <w:t>Butterworths, 1996),</w:t>
      </w:r>
      <w:r w:rsidRPr="00416BAE">
        <w:t xml:space="preserve"> </w:t>
      </w:r>
      <w:r>
        <w:t xml:space="preserve">at pp. </w:t>
      </w:r>
      <w:r w:rsidRPr="00416BAE">
        <w:t>9-11.</w:t>
      </w:r>
      <w:r>
        <w:t xml:space="preserve">  Note also J.D. Heydon, M.J. Leeming and P.G. Turner (eds), Meagher, Gummow &amp; Lehane, </w:t>
      </w:r>
      <w:r>
        <w:rPr>
          <w:i/>
        </w:rPr>
        <w:t>Equity:  Doctrines &amp; Remedies</w:t>
      </w:r>
      <w:r>
        <w:t>, 5</w:t>
      </w:r>
      <w:r w:rsidRPr="00936593">
        <w:rPr>
          <w:vertAlign w:val="superscript"/>
        </w:rPr>
        <w:t>th</w:t>
      </w:r>
      <w:r>
        <w:t xml:space="preserve"> edn (Sydney:  LexisNexis, 2015) (“</w:t>
      </w:r>
      <w:r>
        <w:rPr>
          <w:i/>
        </w:rPr>
        <w:t>Meagher, Gummow &amp; Lehane</w:t>
      </w:r>
      <w:r>
        <w:t>”), §[20-025].</w:t>
      </w:r>
    </w:p>
  </w:footnote>
  <w:footnote w:id="49">
    <w:p w14:paraId="45667FE0" w14:textId="49F65076" w:rsidR="00D54067" w:rsidRPr="00416BAE" w:rsidRDefault="00D54067" w:rsidP="00A217B5">
      <w:pPr>
        <w:pStyle w:val="FootnoteText"/>
        <w:spacing w:line="360" w:lineRule="auto"/>
        <w:jc w:val="both"/>
      </w:pPr>
      <w:r w:rsidRPr="00416BAE">
        <w:rPr>
          <w:rStyle w:val="FootnoteReference"/>
        </w:rPr>
        <w:footnoteRef/>
      </w:r>
      <w:r w:rsidRPr="00416BAE">
        <w:t xml:space="preserve"> [1970] A</w:t>
      </w:r>
      <w:r>
        <w:t>.</w:t>
      </w:r>
      <w:r w:rsidRPr="00416BAE">
        <w:t>C</w:t>
      </w:r>
      <w:r>
        <w:t>.</w:t>
      </w:r>
      <w:r w:rsidRPr="00416BAE">
        <w:t xml:space="preserve"> 508.</w:t>
      </w:r>
    </w:p>
  </w:footnote>
  <w:footnote w:id="50">
    <w:p w14:paraId="08449363" w14:textId="52B8B1C1" w:rsidR="00D54067" w:rsidRPr="00892307" w:rsidRDefault="00D54067" w:rsidP="00A217B5">
      <w:pPr>
        <w:pStyle w:val="FootnoteText"/>
        <w:spacing w:line="360" w:lineRule="auto"/>
        <w:jc w:val="both"/>
      </w:pPr>
      <w:r w:rsidRPr="00416BAE">
        <w:rPr>
          <w:rStyle w:val="FootnoteReference"/>
        </w:rPr>
        <w:footnoteRef/>
      </w:r>
      <w:r w:rsidRPr="00416BAE">
        <w:t xml:space="preserve"> </w:t>
      </w:r>
      <w:r>
        <w:t>See the text to n</w:t>
      </w:r>
      <w:r w:rsidR="00F202B3">
        <w:t>ote</w:t>
      </w:r>
      <w:r>
        <w:t xml:space="preserve"> 35 above.</w:t>
      </w:r>
    </w:p>
  </w:footnote>
  <w:footnote w:id="51">
    <w:p w14:paraId="0C7E5448" w14:textId="5FC03833" w:rsidR="00D54067" w:rsidRPr="00416BAE" w:rsidRDefault="00D54067" w:rsidP="00A217B5">
      <w:pPr>
        <w:pStyle w:val="FootnoteText"/>
        <w:spacing w:line="360" w:lineRule="auto"/>
        <w:jc w:val="both"/>
        <w:rPr>
          <w:b/>
        </w:rPr>
      </w:pPr>
      <w:r w:rsidRPr="00416BAE">
        <w:rPr>
          <w:rStyle w:val="FootnoteReference"/>
        </w:rPr>
        <w:footnoteRef/>
      </w:r>
      <w:r w:rsidRPr="00416BAE">
        <w:t xml:space="preserve"> </w:t>
      </w:r>
      <w:r>
        <w:t xml:space="preserve">For a consideration of this distinction, see D. </w:t>
      </w:r>
      <w:r w:rsidRPr="00041030">
        <w:t xml:space="preserve">Hayton, “Developing the Obligation Characteristic of the Trust” (2001) 117 </w:t>
      </w:r>
      <w:r>
        <w:t xml:space="preserve">L.Q.R. </w:t>
      </w:r>
      <w:r w:rsidRPr="00041030">
        <w:t>96</w:t>
      </w:r>
      <w:r>
        <w:t>.</w:t>
      </w:r>
    </w:p>
  </w:footnote>
  <w:footnote w:id="52">
    <w:p w14:paraId="736E31A4" w14:textId="62429021" w:rsidR="00D54067" w:rsidRPr="00416BAE" w:rsidRDefault="00D54067" w:rsidP="00A217B5">
      <w:pPr>
        <w:pStyle w:val="FootnoteText"/>
        <w:spacing w:line="360" w:lineRule="auto"/>
        <w:jc w:val="both"/>
      </w:pPr>
      <w:r w:rsidRPr="00416BAE">
        <w:rPr>
          <w:rStyle w:val="FootnoteReference"/>
        </w:rPr>
        <w:footnoteRef/>
      </w:r>
      <w:r w:rsidRPr="00416BAE">
        <w:t xml:space="preserve"> See, </w:t>
      </w:r>
      <w:r w:rsidRPr="00542FE4">
        <w:t>eg</w:t>
      </w:r>
      <w:r w:rsidRPr="00416BAE">
        <w:t>, Trusts (Special Provisions) Act 1989 (Bahamas), ss</w:t>
      </w:r>
      <w:r>
        <w:t xml:space="preserve">. </w:t>
      </w:r>
      <w:r w:rsidRPr="00416BAE">
        <w:t>12A-12D; Trustee Act 1961 (British Virgin Islands), ss</w:t>
      </w:r>
      <w:r>
        <w:t xml:space="preserve">. </w:t>
      </w:r>
      <w:r w:rsidRPr="00416BAE">
        <w:t>84, 84A; Trusts Act (Cap 202) (Belize), s</w:t>
      </w:r>
      <w:r>
        <w:t xml:space="preserve">. </w:t>
      </w:r>
      <w:r w:rsidRPr="00416BAE">
        <w:t>15; Trusts Law (20</w:t>
      </w:r>
      <w:r>
        <w:t>17</w:t>
      </w:r>
      <w:r w:rsidRPr="00416BAE">
        <w:t xml:space="preserve"> Revision) (Cayman), P</w:t>
      </w:r>
      <w:r>
        <w:t xml:space="preserve">t </w:t>
      </w:r>
      <w:r w:rsidRPr="00416BAE">
        <w:t>VIII; International Trusts Act 1984 (Cook Islands), ss</w:t>
      </w:r>
      <w:r>
        <w:t xml:space="preserve">. </w:t>
      </w:r>
      <w:r w:rsidRPr="00416BAE">
        <w:t>6, 12(2)-(4). Labuan Trusts Act 1996 (Laws of Malaysia, Act 554), s</w:t>
      </w:r>
      <w:r>
        <w:t xml:space="preserve">. </w:t>
      </w:r>
      <w:r w:rsidRPr="00416BAE">
        <w:t>11A.</w:t>
      </w:r>
    </w:p>
  </w:footnote>
  <w:footnote w:id="53">
    <w:p w14:paraId="1DA0F48B" w14:textId="157CE9E9" w:rsidR="00D54067" w:rsidRPr="00416BAE" w:rsidRDefault="00D54067" w:rsidP="00A217B5">
      <w:pPr>
        <w:pStyle w:val="FootnoteText"/>
        <w:spacing w:line="360" w:lineRule="auto"/>
        <w:jc w:val="both"/>
      </w:pPr>
      <w:r w:rsidRPr="00416BAE">
        <w:rPr>
          <w:rStyle w:val="FootnoteReference"/>
        </w:rPr>
        <w:footnoteRef/>
      </w:r>
      <w:r w:rsidRPr="00416BAE">
        <w:t xml:space="preserve"> See Part</w:t>
      </w:r>
      <w:r>
        <w:t xml:space="preserve"> </w:t>
      </w:r>
      <w:r w:rsidR="00665CEF">
        <w:t>2</w:t>
      </w:r>
      <w:r w:rsidRPr="00416BAE">
        <w:t xml:space="preserve"> above, particularly the classic formulation of Lord Eldon, cited as the text to note</w:t>
      </w:r>
      <w:r>
        <w:t xml:space="preserve"> 1 above</w:t>
      </w:r>
      <w:r w:rsidRPr="00416BAE">
        <w:t>.</w:t>
      </w:r>
    </w:p>
  </w:footnote>
  <w:footnote w:id="54">
    <w:p w14:paraId="7A4129C2" w14:textId="1CBFCB0C" w:rsidR="00D54067" w:rsidRPr="00416BAE" w:rsidRDefault="00D54067" w:rsidP="00A217B5">
      <w:pPr>
        <w:pStyle w:val="FootnoteText"/>
        <w:spacing w:line="360" w:lineRule="auto"/>
        <w:jc w:val="both"/>
      </w:pPr>
      <w:r w:rsidRPr="00416BAE">
        <w:rPr>
          <w:rStyle w:val="FootnoteReference"/>
        </w:rPr>
        <w:footnoteRef/>
      </w:r>
      <w:r w:rsidRPr="00416BAE">
        <w:t xml:space="preserve"> See below, text to n</w:t>
      </w:r>
      <w:r>
        <w:t>n</w:t>
      </w:r>
      <w:r w:rsidRPr="00416BAE">
        <w:t xml:space="preserve"> </w:t>
      </w:r>
      <w:r>
        <w:t>107-08 above</w:t>
      </w:r>
      <w:r w:rsidRPr="00416BAE">
        <w:t>.</w:t>
      </w:r>
    </w:p>
  </w:footnote>
  <w:footnote w:id="55">
    <w:p w14:paraId="1F984438" w14:textId="71267866" w:rsidR="00D54067" w:rsidRPr="00416BAE" w:rsidRDefault="00D54067" w:rsidP="00A217B5">
      <w:pPr>
        <w:pStyle w:val="FootnoteText"/>
        <w:spacing w:line="360" w:lineRule="auto"/>
        <w:jc w:val="both"/>
      </w:pPr>
      <w:r w:rsidRPr="00416BAE">
        <w:rPr>
          <w:rStyle w:val="FootnoteReference"/>
        </w:rPr>
        <w:footnoteRef/>
      </w:r>
      <w:r w:rsidRPr="00416BAE">
        <w:t xml:space="preserve"> See, generally, M</w:t>
      </w:r>
      <w:r>
        <w:t>.</w:t>
      </w:r>
      <w:r w:rsidRPr="00416BAE">
        <w:t xml:space="preserve"> Conaglen, “Equitable Compensation for Breach of Trust: </w:t>
      </w:r>
      <w:r w:rsidR="002A7467">
        <w:t xml:space="preserve"> </w:t>
      </w:r>
      <w:r w:rsidRPr="00416BAE">
        <w:t>Off Target” (2016) 40(1) M</w:t>
      </w:r>
      <w:r>
        <w:t>.U.L.R.</w:t>
      </w:r>
      <w:r w:rsidRPr="00416BAE">
        <w:t xml:space="preserve"> 126</w:t>
      </w:r>
      <w:r>
        <w:t xml:space="preserve">; L. Ho, “An Account of Accounts” (2016) </w:t>
      </w:r>
      <w:r w:rsidRPr="00E618F0">
        <w:t>28 S</w:t>
      </w:r>
      <w:r>
        <w:t>.</w:t>
      </w:r>
      <w:r w:rsidRPr="00E618F0">
        <w:t>Ac</w:t>
      </w:r>
      <w:r>
        <w:t>.</w:t>
      </w:r>
      <w:r w:rsidRPr="00E618F0">
        <w:t>L</w:t>
      </w:r>
      <w:r>
        <w:t>.</w:t>
      </w:r>
      <w:r w:rsidRPr="00E618F0">
        <w:t>J</w:t>
      </w:r>
      <w:r>
        <w:t>.</w:t>
      </w:r>
      <w:r w:rsidRPr="00E618F0">
        <w:t xml:space="preserve"> 849</w:t>
      </w:r>
      <w:r w:rsidRPr="00416BAE">
        <w:t>.</w:t>
      </w:r>
    </w:p>
  </w:footnote>
  <w:footnote w:id="56">
    <w:p w14:paraId="10C9100E" w14:textId="5B102344" w:rsidR="00D54067" w:rsidRPr="00416BAE" w:rsidRDefault="00D54067" w:rsidP="00A217B5">
      <w:pPr>
        <w:pStyle w:val="FootnoteText"/>
        <w:spacing w:line="360" w:lineRule="auto"/>
        <w:jc w:val="both"/>
      </w:pPr>
      <w:r w:rsidRPr="00416BAE">
        <w:rPr>
          <w:rStyle w:val="FootnoteReference"/>
        </w:rPr>
        <w:footnoteRef/>
      </w:r>
      <w:r>
        <w:rPr>
          <w:i/>
        </w:rPr>
        <w:t>Ibid</w:t>
      </w:r>
      <w:r>
        <w:t xml:space="preserve">, and see also </w:t>
      </w:r>
      <w:r w:rsidRPr="00416BAE">
        <w:rPr>
          <w:i/>
        </w:rPr>
        <w:t>Ultraframe (UK) Ltd v Fielding</w:t>
      </w:r>
      <w:r w:rsidRPr="00416BAE">
        <w:t xml:space="preserve"> [2005] EWHC 1638 (Ch) at </w:t>
      </w:r>
      <w:r>
        <w:t>[</w:t>
      </w:r>
      <w:r w:rsidRPr="00416BAE">
        <w:t>1513</w:t>
      </w:r>
      <w:r>
        <w:t>]</w:t>
      </w:r>
      <w:r w:rsidRPr="00416BAE">
        <w:t xml:space="preserve"> </w:t>
      </w:r>
      <w:r>
        <w:rPr>
          <w:i/>
        </w:rPr>
        <w:t xml:space="preserve">per </w:t>
      </w:r>
      <w:r w:rsidRPr="00416BAE">
        <w:t>Lewison J</w:t>
      </w:r>
      <w:r>
        <w:t>; C. Mitchell, “</w:t>
      </w:r>
      <w:r w:rsidRPr="00E618F0">
        <w:t>Stewardship of Property and Liability to Account” [2014] Conv</w:t>
      </w:r>
      <w:r>
        <w:t>.</w:t>
      </w:r>
      <w:r w:rsidRPr="00E618F0">
        <w:t xml:space="preserve"> 215</w:t>
      </w:r>
      <w:r>
        <w:t xml:space="preserve">, </w:t>
      </w:r>
      <w:r w:rsidRPr="00E618F0">
        <w:t>223–224</w:t>
      </w:r>
      <w:r w:rsidRPr="00416BAE">
        <w:t xml:space="preserve">. </w:t>
      </w:r>
    </w:p>
  </w:footnote>
  <w:footnote w:id="57">
    <w:p w14:paraId="564D265E" w14:textId="7C2B2819"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rFonts w:ascii="Times" w:hAnsi="Times"/>
        </w:rPr>
        <w:t xml:space="preserve"> [1919] A</w:t>
      </w:r>
      <w:r>
        <w:rPr>
          <w:rFonts w:ascii="Times" w:hAnsi="Times"/>
        </w:rPr>
        <w:t>.</w:t>
      </w:r>
      <w:r w:rsidRPr="00416BAE">
        <w:rPr>
          <w:rFonts w:ascii="Times" w:hAnsi="Times"/>
        </w:rPr>
        <w:t>C</w:t>
      </w:r>
      <w:r>
        <w:rPr>
          <w:rFonts w:ascii="Times" w:hAnsi="Times"/>
        </w:rPr>
        <w:t>.</w:t>
      </w:r>
      <w:r w:rsidRPr="00416BAE">
        <w:rPr>
          <w:rFonts w:ascii="Times" w:hAnsi="Times"/>
        </w:rPr>
        <w:t xml:space="preserve"> 658 (P</w:t>
      </w:r>
      <w:r>
        <w:rPr>
          <w:rFonts w:ascii="Times" w:hAnsi="Times"/>
        </w:rPr>
        <w:t>.</w:t>
      </w:r>
      <w:r w:rsidRPr="00416BAE">
        <w:rPr>
          <w:rFonts w:ascii="Times" w:hAnsi="Times"/>
        </w:rPr>
        <w:t>C</w:t>
      </w:r>
      <w:r>
        <w:rPr>
          <w:rFonts w:ascii="Times" w:hAnsi="Times"/>
        </w:rPr>
        <w:t>.</w:t>
      </w:r>
      <w:r w:rsidRPr="00416BAE">
        <w:rPr>
          <w:rFonts w:ascii="Times" w:hAnsi="Times"/>
        </w:rPr>
        <w:t>)</w:t>
      </w:r>
      <w:r>
        <w:rPr>
          <w:rFonts w:ascii="Times" w:hAnsi="Times"/>
        </w:rPr>
        <w:t xml:space="preserve"> at</w:t>
      </w:r>
      <w:r w:rsidRPr="00416BAE">
        <w:rPr>
          <w:rFonts w:ascii="Times" w:hAnsi="Times"/>
        </w:rPr>
        <w:t xml:space="preserve"> 666.</w:t>
      </w:r>
    </w:p>
  </w:footnote>
  <w:footnote w:id="58">
    <w:p w14:paraId="34CD4351" w14:textId="03942747" w:rsidR="00D54067" w:rsidRPr="00416BAE" w:rsidRDefault="00D54067" w:rsidP="00A217B5">
      <w:pPr>
        <w:pStyle w:val="FootnoteText"/>
        <w:spacing w:line="360" w:lineRule="auto"/>
        <w:jc w:val="both"/>
      </w:pPr>
      <w:r w:rsidRPr="00416BAE">
        <w:rPr>
          <w:rStyle w:val="FootnoteReference"/>
        </w:rPr>
        <w:footnoteRef/>
      </w:r>
      <w:r w:rsidRPr="00416BAE">
        <w:t xml:space="preserve"> R</w:t>
      </w:r>
      <w:r>
        <w:t>.C.</w:t>
      </w:r>
      <w:r w:rsidRPr="00416BAE">
        <w:t xml:space="preserve"> Nolan, “Invoking the Administrative Jurisdiction: </w:t>
      </w:r>
      <w:r w:rsidR="002A7467">
        <w:t xml:space="preserve"> </w:t>
      </w:r>
      <w:r w:rsidRPr="00416BAE">
        <w:t>The Enforcement of Modern Trust Structures”</w:t>
      </w:r>
      <w:r>
        <w:t xml:space="preserve"> (</w:t>
      </w:r>
      <w:r w:rsidRPr="008F70AE">
        <w:rPr>
          <w:i/>
        </w:rPr>
        <w:t>op cit</w:t>
      </w:r>
      <w:r w:rsidRPr="008F70AE">
        <w:t xml:space="preserve"> n</w:t>
      </w:r>
      <w:r>
        <w:rPr>
          <w:b/>
        </w:rPr>
        <w:t xml:space="preserve"> </w:t>
      </w:r>
      <w:r>
        <w:t xml:space="preserve">2), </w:t>
      </w:r>
      <w:r w:rsidR="009A6142">
        <w:t xml:space="preserve">at p. </w:t>
      </w:r>
      <w:r w:rsidRPr="00416BAE">
        <w:t>175; J</w:t>
      </w:r>
      <w:r>
        <w:t>.</w:t>
      </w:r>
      <w:r w:rsidRPr="00416BAE">
        <w:t xml:space="preserve"> Penner, </w:t>
      </w:r>
      <w:r>
        <w:t>“</w:t>
      </w:r>
      <w:r w:rsidRPr="00416BAE">
        <w:t>The Beneficiary’s Performance Interest in a Trust</w:t>
      </w:r>
      <w:r>
        <w:t>”, in R</w:t>
      </w:r>
      <w:r w:rsidR="0096301C">
        <w:t>.</w:t>
      </w:r>
      <w:r>
        <w:t>C</w:t>
      </w:r>
      <w:r w:rsidR="0096301C">
        <w:t>.</w:t>
      </w:r>
      <w:r>
        <w:t xml:space="preserve"> Nolan, K</w:t>
      </w:r>
      <w:r w:rsidR="0096301C">
        <w:t>.</w:t>
      </w:r>
      <w:r>
        <w:t>F</w:t>
      </w:r>
      <w:r w:rsidR="0096301C">
        <w:t>.</w:t>
      </w:r>
      <w:r>
        <w:t>K</w:t>
      </w:r>
      <w:r w:rsidR="0096301C">
        <w:t>.</w:t>
      </w:r>
      <w:r>
        <w:t xml:space="preserve"> Low &amp; H</w:t>
      </w:r>
      <w:r w:rsidR="0096301C">
        <w:t>.</w:t>
      </w:r>
      <w:r>
        <w:t>W</w:t>
      </w:r>
      <w:r w:rsidR="0096301C">
        <w:t>.</w:t>
      </w:r>
      <w:r>
        <w:t xml:space="preserve"> Tang (eds) </w:t>
      </w:r>
      <w:r>
        <w:rPr>
          <w:i/>
        </w:rPr>
        <w:t>Trusts and Modern Wealth Management</w:t>
      </w:r>
      <w:r>
        <w:t xml:space="preserve"> (Cambridge</w:t>
      </w:r>
      <w:r w:rsidR="00AB35A4">
        <w:t xml:space="preserve">: </w:t>
      </w:r>
      <w:r>
        <w:t xml:space="preserve"> CUP, 2017)</w:t>
      </w:r>
      <w:r w:rsidR="00D56183">
        <w:t xml:space="preserve"> </w:t>
      </w:r>
      <w:proofErr w:type="spellStart"/>
      <w:r w:rsidR="00D56183">
        <w:t>ch</w:t>
      </w:r>
      <w:r w:rsidR="00434FC5">
        <w:t>.</w:t>
      </w:r>
      <w:proofErr w:type="spellEnd"/>
      <w:r w:rsidR="00D56183">
        <w:t xml:space="preserve"> 9</w:t>
      </w:r>
      <w:r w:rsidRPr="00416BAE">
        <w:t>.</w:t>
      </w:r>
    </w:p>
  </w:footnote>
  <w:footnote w:id="59">
    <w:p w14:paraId="251D2A49" w14:textId="2EFCAC6D"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 xml:space="preserve">Cocker v Quayle </w:t>
      </w:r>
      <w:r w:rsidRPr="00416BAE">
        <w:t>(1830) 1 Russ</w:t>
      </w:r>
      <w:r>
        <w:t>.</w:t>
      </w:r>
      <w:r w:rsidRPr="00416BAE">
        <w:t xml:space="preserve"> &amp; M</w:t>
      </w:r>
      <w:r>
        <w:t>.</w:t>
      </w:r>
      <w:r w:rsidRPr="00416BAE">
        <w:t xml:space="preserve"> 535</w:t>
      </w:r>
      <w:r>
        <w:t>,</w:t>
      </w:r>
      <w:r w:rsidRPr="00416BAE">
        <w:t xml:space="preserve"> 39 E</w:t>
      </w:r>
      <w:r w:rsidR="00D56183">
        <w:t>.</w:t>
      </w:r>
      <w:r w:rsidRPr="00416BAE">
        <w:t>R</w:t>
      </w:r>
      <w:r w:rsidR="00D56183">
        <w:t>.</w:t>
      </w:r>
      <w:r w:rsidRPr="00416BAE">
        <w:t xml:space="preserve"> 206; </w:t>
      </w:r>
      <w:r w:rsidRPr="00416BAE">
        <w:rPr>
          <w:i/>
        </w:rPr>
        <w:t>Magnus v Queensland National Bank</w:t>
      </w:r>
      <w:r w:rsidRPr="00416BAE">
        <w:t xml:space="preserve"> (1888) 37 Ch</w:t>
      </w:r>
      <w:r>
        <w:t>.</w:t>
      </w:r>
      <w:r w:rsidRPr="00416BAE">
        <w:t>D</w:t>
      </w:r>
      <w:r>
        <w:t>.</w:t>
      </w:r>
      <w:r w:rsidRPr="00416BAE">
        <w:t xml:space="preserve"> 466 (C</w:t>
      </w:r>
      <w:r>
        <w:t>.</w:t>
      </w:r>
      <w:r w:rsidRPr="00416BAE">
        <w:t>A</w:t>
      </w:r>
      <w:r>
        <w:t>.</w:t>
      </w:r>
      <w:r w:rsidRPr="00416BAE">
        <w:t>).</w:t>
      </w:r>
    </w:p>
  </w:footnote>
  <w:footnote w:id="60">
    <w:p w14:paraId="3F09E376" w14:textId="1BBB5624"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Libertarian Investments Ltd v Hall</w:t>
      </w:r>
      <w:r>
        <w:t xml:space="preserve"> </w:t>
      </w:r>
      <w:r w:rsidRPr="009655B7">
        <w:t>[2013] HKCFA 93</w:t>
      </w:r>
      <w:r>
        <w:t xml:space="preserve">, </w:t>
      </w:r>
      <w:r w:rsidRPr="00416BAE">
        <w:rPr>
          <w:bCs/>
        </w:rPr>
        <w:t>(2013) 16 H</w:t>
      </w:r>
      <w:r>
        <w:rPr>
          <w:bCs/>
        </w:rPr>
        <w:t>.</w:t>
      </w:r>
      <w:r w:rsidRPr="00416BAE">
        <w:rPr>
          <w:bCs/>
        </w:rPr>
        <w:t>K</w:t>
      </w:r>
      <w:r>
        <w:rPr>
          <w:bCs/>
        </w:rPr>
        <w:t>.</w:t>
      </w:r>
      <w:r w:rsidRPr="00416BAE">
        <w:rPr>
          <w:bCs/>
        </w:rPr>
        <w:t>C</w:t>
      </w:r>
      <w:r>
        <w:rPr>
          <w:bCs/>
        </w:rPr>
        <w:t>.</w:t>
      </w:r>
      <w:r w:rsidRPr="00416BAE">
        <w:rPr>
          <w:bCs/>
        </w:rPr>
        <w:t>F</w:t>
      </w:r>
      <w:r>
        <w:rPr>
          <w:bCs/>
        </w:rPr>
        <w:t>.</w:t>
      </w:r>
      <w:r w:rsidRPr="00416BAE">
        <w:rPr>
          <w:bCs/>
        </w:rPr>
        <w:t>A</w:t>
      </w:r>
      <w:r>
        <w:rPr>
          <w:bCs/>
        </w:rPr>
        <w:t>.</w:t>
      </w:r>
      <w:r w:rsidRPr="00416BAE">
        <w:rPr>
          <w:bCs/>
        </w:rPr>
        <w:t>R</w:t>
      </w:r>
      <w:r>
        <w:rPr>
          <w:bCs/>
        </w:rPr>
        <w:t>.</w:t>
      </w:r>
      <w:r w:rsidRPr="00416BAE">
        <w:rPr>
          <w:bCs/>
        </w:rPr>
        <w:t xml:space="preserve"> 6</w:t>
      </w:r>
      <w:r>
        <w:rPr>
          <w:bCs/>
        </w:rPr>
        <w:t>8</w:t>
      </w:r>
      <w:r w:rsidRPr="00416BAE">
        <w:rPr>
          <w:bCs/>
        </w:rPr>
        <w:t>1</w:t>
      </w:r>
      <w:r w:rsidRPr="00416BAE">
        <w:t xml:space="preserve"> at [170], </w:t>
      </w:r>
      <w:r w:rsidRPr="00416BAE">
        <w:rPr>
          <w:i/>
        </w:rPr>
        <w:t>per</w:t>
      </w:r>
      <w:r w:rsidRPr="00416BAE">
        <w:t xml:space="preserve"> Millett N</w:t>
      </w:r>
      <w:r>
        <w:t>.</w:t>
      </w:r>
      <w:r w:rsidRPr="00416BAE">
        <w:t>P</w:t>
      </w:r>
      <w:r>
        <w:t>.</w:t>
      </w:r>
      <w:r w:rsidRPr="00416BAE">
        <w:t>J</w:t>
      </w:r>
      <w:r>
        <w:t>.</w:t>
      </w:r>
      <w:r w:rsidRPr="00416BAE">
        <w:t>, surcharging is “akin to the payment of damages”.</w:t>
      </w:r>
    </w:p>
  </w:footnote>
  <w:footnote w:id="61">
    <w:p w14:paraId="12D822D7" w14:textId="68A21EF5"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Byrchall v Bradford</w:t>
      </w:r>
      <w:r w:rsidRPr="00416BAE">
        <w:t xml:space="preserve"> (1822) 6 Mad</w:t>
      </w:r>
      <w:r>
        <w:t>.</w:t>
      </w:r>
      <w:r w:rsidRPr="00416BAE">
        <w:t xml:space="preserve"> 235</w:t>
      </w:r>
      <w:r>
        <w:t>,</w:t>
      </w:r>
      <w:r w:rsidRPr="00416BAE">
        <w:t xml:space="preserve"> 56 E</w:t>
      </w:r>
      <w:r>
        <w:t>.</w:t>
      </w:r>
      <w:r w:rsidRPr="00416BAE">
        <w:t>R</w:t>
      </w:r>
      <w:r>
        <w:t>.</w:t>
      </w:r>
      <w:r w:rsidRPr="00416BAE">
        <w:t xml:space="preserve"> 108; </w:t>
      </w:r>
      <w:r w:rsidRPr="00416BAE">
        <w:rPr>
          <w:i/>
        </w:rPr>
        <w:t>Pride v Fooks</w:t>
      </w:r>
      <w:r w:rsidRPr="00416BAE">
        <w:t xml:space="preserve"> (1839–1840) 2 Beav</w:t>
      </w:r>
      <w:r>
        <w:t>.</w:t>
      </w:r>
      <w:r w:rsidRPr="00416BAE">
        <w:t xml:space="preserve"> 430</w:t>
      </w:r>
      <w:r>
        <w:t xml:space="preserve">, </w:t>
      </w:r>
      <w:r w:rsidRPr="00416BAE">
        <w:t>48 E</w:t>
      </w:r>
      <w:r>
        <w:t>.</w:t>
      </w:r>
      <w:r w:rsidRPr="00416BAE">
        <w:t>R</w:t>
      </w:r>
      <w:r>
        <w:t>.</w:t>
      </w:r>
      <w:r w:rsidRPr="00416BAE">
        <w:t xml:space="preserve"> 1248.</w:t>
      </w:r>
    </w:p>
  </w:footnote>
  <w:footnote w:id="62">
    <w:p w14:paraId="7A0B41A9" w14:textId="28F66738" w:rsidR="00D54067" w:rsidRPr="00416BAE" w:rsidRDefault="00D54067" w:rsidP="00A217B5">
      <w:pPr>
        <w:pStyle w:val="FootnoteText"/>
        <w:spacing w:line="360" w:lineRule="auto"/>
        <w:jc w:val="both"/>
      </w:pPr>
      <w:r w:rsidRPr="00416BAE">
        <w:rPr>
          <w:rStyle w:val="FootnoteReference"/>
        </w:rPr>
        <w:footnoteRef/>
      </w:r>
      <w:r w:rsidRPr="00416BAE">
        <w:t xml:space="preserve"> J</w:t>
      </w:r>
      <w:r>
        <w:t>.</w:t>
      </w:r>
      <w:r w:rsidRPr="00416BAE">
        <w:t xml:space="preserve"> Glister, </w:t>
      </w:r>
      <w:r w:rsidRPr="00416BAE">
        <w:rPr>
          <w:lang w:eastAsia="zh-TW"/>
        </w:rPr>
        <w:t>“Breach of Trust and Consequential Loss” (2014) 8 J</w:t>
      </w:r>
      <w:r>
        <w:rPr>
          <w:lang w:eastAsia="zh-TW"/>
        </w:rPr>
        <w:t>. Eq.</w:t>
      </w:r>
      <w:r w:rsidRPr="00416BAE">
        <w:rPr>
          <w:lang w:eastAsia="zh-TW"/>
        </w:rPr>
        <w:t xml:space="preserve"> 235</w:t>
      </w:r>
      <w:r w:rsidRPr="00416BAE">
        <w:t>.</w:t>
      </w:r>
    </w:p>
  </w:footnote>
  <w:footnote w:id="63">
    <w:p w14:paraId="4DDC717E" w14:textId="512B74EC" w:rsidR="00D54067" w:rsidRPr="00416BAE" w:rsidRDefault="00D54067" w:rsidP="00A217B5">
      <w:pPr>
        <w:pStyle w:val="FootnoteText"/>
        <w:spacing w:line="360" w:lineRule="auto"/>
        <w:jc w:val="both"/>
      </w:pPr>
      <w:r w:rsidRPr="00416BAE">
        <w:rPr>
          <w:rStyle w:val="FootnoteReference"/>
        </w:rPr>
        <w:footnoteRef/>
      </w:r>
      <w:r w:rsidRPr="00416BAE">
        <w:t xml:space="preserve"> [1996] A</w:t>
      </w:r>
      <w:r>
        <w:t>.</w:t>
      </w:r>
      <w:r w:rsidRPr="00416BAE">
        <w:t>C</w:t>
      </w:r>
      <w:r>
        <w:t>.</w:t>
      </w:r>
      <w:r w:rsidRPr="00416BAE">
        <w:t xml:space="preserve"> 421.</w:t>
      </w:r>
    </w:p>
  </w:footnote>
  <w:footnote w:id="64">
    <w:p w14:paraId="02F5E1C1" w14:textId="035B9C7F" w:rsidR="00D54067" w:rsidRPr="00416BAE" w:rsidRDefault="00D54067" w:rsidP="00A217B5">
      <w:pPr>
        <w:pStyle w:val="FootnoteText"/>
        <w:spacing w:line="360" w:lineRule="auto"/>
        <w:jc w:val="both"/>
      </w:pPr>
      <w:r w:rsidRPr="00416BAE">
        <w:rPr>
          <w:rStyle w:val="FootnoteReference"/>
        </w:rPr>
        <w:footnoteRef/>
      </w:r>
      <w:r w:rsidRPr="00416BAE">
        <w:t xml:space="preserve"> [2014] UKSC 58</w:t>
      </w:r>
      <w:r>
        <w:t>,</w:t>
      </w:r>
      <w:r w:rsidRPr="00416BAE">
        <w:t xml:space="preserve"> [2015] A</w:t>
      </w:r>
      <w:r>
        <w:t>.</w:t>
      </w:r>
      <w:r w:rsidRPr="00416BAE">
        <w:t>C</w:t>
      </w:r>
      <w:r>
        <w:t>.</w:t>
      </w:r>
      <w:r w:rsidRPr="00416BAE">
        <w:t xml:space="preserve"> 1503.</w:t>
      </w:r>
    </w:p>
  </w:footnote>
  <w:footnote w:id="65">
    <w:p w14:paraId="7C77F543" w14:textId="6DD9E8E4" w:rsidR="00D54067" w:rsidRPr="000E3919" w:rsidRDefault="00D54067" w:rsidP="00A217B5">
      <w:pPr>
        <w:pStyle w:val="FootnoteText"/>
        <w:spacing w:line="360" w:lineRule="auto"/>
        <w:rPr>
          <w:lang w:val="en-US"/>
        </w:rPr>
      </w:pPr>
      <w:r>
        <w:rPr>
          <w:rStyle w:val="FootnoteReference"/>
        </w:rPr>
        <w:footnoteRef/>
      </w:r>
      <w:r>
        <w:t xml:space="preserve"> </w:t>
      </w:r>
      <w:r>
        <w:rPr>
          <w:lang w:val="en-US"/>
        </w:rPr>
        <w:t>For an overview of this development, see M. Conaglen, “</w:t>
      </w:r>
      <w:r w:rsidRPr="00D61FF6">
        <w:rPr>
          <w:lang w:val="en-US"/>
        </w:rPr>
        <w:t xml:space="preserve">Equitable Compensation for Breach of Trust: </w:t>
      </w:r>
      <w:r w:rsidR="002A7467">
        <w:rPr>
          <w:lang w:val="en-US"/>
        </w:rPr>
        <w:t xml:space="preserve"> </w:t>
      </w:r>
      <w:r w:rsidRPr="00D61FF6">
        <w:rPr>
          <w:lang w:val="en-US"/>
        </w:rPr>
        <w:t>Off Target”</w:t>
      </w:r>
      <w:r>
        <w:rPr>
          <w:lang w:val="en-US"/>
        </w:rPr>
        <w:t xml:space="preserve"> (</w:t>
      </w:r>
      <w:r w:rsidRPr="00982BCC">
        <w:rPr>
          <w:i/>
          <w:lang w:val="en-US"/>
        </w:rPr>
        <w:t>op cit</w:t>
      </w:r>
      <w:r w:rsidRPr="00982BCC">
        <w:rPr>
          <w:lang w:val="en-US"/>
        </w:rPr>
        <w:t xml:space="preserve"> n </w:t>
      </w:r>
      <w:r>
        <w:rPr>
          <w:lang w:val="en-US"/>
        </w:rPr>
        <w:t>52), 146-150.</w:t>
      </w:r>
    </w:p>
  </w:footnote>
  <w:footnote w:id="66">
    <w:p w14:paraId="778124BD" w14:textId="4ACBE5BD"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Ibid</w:t>
      </w:r>
      <w:r>
        <w:t xml:space="preserve"> at </w:t>
      </w:r>
      <w:r w:rsidRPr="00416BAE">
        <w:t xml:space="preserve">[136] (emphasis </w:t>
      </w:r>
      <w:r>
        <w:t>added</w:t>
      </w:r>
      <w:r w:rsidRPr="00416BAE">
        <w:t>).</w:t>
      </w:r>
    </w:p>
  </w:footnote>
  <w:footnote w:id="67">
    <w:p w14:paraId="32F926BB" w14:textId="2EA01B3B" w:rsidR="00D54067" w:rsidRPr="00416BAE" w:rsidRDefault="00D54067" w:rsidP="00A217B5">
      <w:pPr>
        <w:pStyle w:val="FootnoteText"/>
        <w:spacing w:line="360" w:lineRule="auto"/>
        <w:jc w:val="both"/>
        <w:rPr>
          <w:i/>
        </w:rPr>
      </w:pPr>
      <w:r w:rsidRPr="00416BAE">
        <w:rPr>
          <w:rStyle w:val="FootnoteReference"/>
        </w:rPr>
        <w:footnoteRef/>
      </w:r>
      <w:r w:rsidRPr="00416BAE">
        <w:t xml:space="preserve"> </w:t>
      </w:r>
      <w:r>
        <w:rPr>
          <w:i/>
        </w:rPr>
        <w:t>Ibid</w:t>
      </w:r>
      <w:r>
        <w:t xml:space="preserve"> </w:t>
      </w:r>
      <w:r w:rsidRPr="00416BAE">
        <w:t xml:space="preserve">(emphasis added). </w:t>
      </w:r>
      <w:r w:rsidR="008446E6">
        <w:t xml:space="preserve"> </w:t>
      </w:r>
      <w:r w:rsidRPr="00416BAE">
        <w:t>By the same token, the confusing language of causation in a strict sense should also be abandoned.</w:t>
      </w:r>
    </w:p>
  </w:footnote>
  <w:footnote w:id="68">
    <w:p w14:paraId="6A19A0D4" w14:textId="6AE5F94C" w:rsidR="00D54067" w:rsidRPr="00416BAE" w:rsidRDefault="00D54067" w:rsidP="00A217B5">
      <w:pPr>
        <w:pStyle w:val="FootnoteText"/>
        <w:spacing w:line="360" w:lineRule="auto"/>
        <w:jc w:val="both"/>
      </w:pPr>
      <w:r w:rsidRPr="00416BAE">
        <w:rPr>
          <w:rStyle w:val="FootnoteReference"/>
        </w:rPr>
        <w:footnoteRef/>
      </w:r>
      <w:r w:rsidRPr="00416BAE">
        <w:t xml:space="preserve"> [2017] EWCA Civ 1193.</w:t>
      </w:r>
    </w:p>
  </w:footnote>
  <w:footnote w:id="69">
    <w:p w14:paraId="743BE0F2" w14:textId="424F5FD1" w:rsidR="00D54067" w:rsidRPr="00416BAE" w:rsidRDefault="00D54067" w:rsidP="00A217B5">
      <w:pPr>
        <w:pStyle w:val="FootnoteText"/>
        <w:spacing w:line="360" w:lineRule="auto"/>
        <w:jc w:val="both"/>
      </w:pPr>
      <w:r w:rsidRPr="00416BAE">
        <w:rPr>
          <w:rStyle w:val="FootnoteReference"/>
        </w:rPr>
        <w:footnoteRef/>
      </w:r>
      <w:r w:rsidRPr="00416BAE">
        <w:t xml:space="preserve"> [2017] EWCA Civ</w:t>
      </w:r>
      <w:r>
        <w:t xml:space="preserve"> 1193</w:t>
      </w:r>
      <w:r w:rsidRPr="00416BAE">
        <w:t xml:space="preserve"> </w:t>
      </w:r>
      <w:r w:rsidRPr="00416BAE">
        <w:rPr>
          <w:lang w:eastAsia="zh-TW"/>
        </w:rPr>
        <w:t xml:space="preserve">at </w:t>
      </w:r>
      <w:r w:rsidRPr="00416BAE">
        <w:t>[61]-[62].</w:t>
      </w:r>
    </w:p>
  </w:footnote>
  <w:footnote w:id="70">
    <w:p w14:paraId="38318E63" w14:textId="3CBA69D1" w:rsidR="00D54067" w:rsidRPr="00416BAE" w:rsidRDefault="00D54067" w:rsidP="00A217B5">
      <w:pPr>
        <w:pStyle w:val="FootnoteText"/>
        <w:spacing w:line="360" w:lineRule="auto"/>
        <w:jc w:val="both"/>
      </w:pPr>
      <w:r w:rsidRPr="00416BAE">
        <w:rPr>
          <w:rStyle w:val="FootnoteReference"/>
        </w:rPr>
        <w:footnoteRef/>
      </w:r>
      <w:r w:rsidRPr="00416BAE">
        <w:t xml:space="preserve"> See, eg, </w:t>
      </w:r>
      <w:r w:rsidRPr="00416BAE">
        <w:rPr>
          <w:i/>
        </w:rPr>
        <w:t>Pickering v Pickering</w:t>
      </w:r>
      <w:r w:rsidRPr="00416BAE">
        <w:t xml:space="preserve"> (1839) 4 My</w:t>
      </w:r>
      <w:r>
        <w:t>.</w:t>
      </w:r>
      <w:r w:rsidRPr="00416BAE">
        <w:t xml:space="preserve"> &amp; Cr</w:t>
      </w:r>
      <w:r>
        <w:t>.</w:t>
      </w:r>
      <w:r w:rsidRPr="00416BAE">
        <w:t xml:space="preserve"> 289</w:t>
      </w:r>
      <w:r w:rsidR="001F0EB9">
        <w:t>,</w:t>
      </w:r>
      <w:r>
        <w:t xml:space="preserve"> </w:t>
      </w:r>
      <w:r w:rsidRPr="00416BAE">
        <w:t>298–9; 41 E</w:t>
      </w:r>
      <w:r>
        <w:t>.</w:t>
      </w:r>
      <w:r w:rsidRPr="00416BAE">
        <w:t>R</w:t>
      </w:r>
      <w:r>
        <w:t>.</w:t>
      </w:r>
      <w:r w:rsidRPr="00416BAE">
        <w:t xml:space="preserve"> 113</w:t>
      </w:r>
      <w:r w:rsidR="001F0EB9">
        <w:t>,</w:t>
      </w:r>
      <w:r>
        <w:t xml:space="preserve"> </w:t>
      </w:r>
      <w:r w:rsidRPr="00416BAE">
        <w:t xml:space="preserve">116; and, more generally, </w:t>
      </w:r>
      <w:r w:rsidRPr="006D1A9E">
        <w:rPr>
          <w:i/>
        </w:rPr>
        <w:t xml:space="preserve">Underhill </w:t>
      </w:r>
      <w:r>
        <w:rPr>
          <w:i/>
        </w:rPr>
        <w:t>and</w:t>
      </w:r>
      <w:r w:rsidRPr="006D1A9E">
        <w:rPr>
          <w:i/>
        </w:rPr>
        <w:t xml:space="preserve"> Hayton</w:t>
      </w:r>
      <w:r w:rsidRPr="00416BAE" w:rsidDel="002514D4">
        <w:t xml:space="preserve"> </w:t>
      </w:r>
      <w:r w:rsidRPr="00416BAE">
        <w:t>(</w:t>
      </w:r>
      <w:r w:rsidRPr="00416BAE">
        <w:rPr>
          <w:i/>
        </w:rPr>
        <w:t>op cit</w:t>
      </w:r>
      <w:r w:rsidRPr="00416BAE">
        <w:t xml:space="preserve"> n </w:t>
      </w:r>
      <w:r>
        <w:t>11</w:t>
      </w:r>
      <w:r w:rsidRPr="00416BAE">
        <w:t xml:space="preserve">), </w:t>
      </w:r>
      <w:r>
        <w:t>Article 58</w:t>
      </w:r>
      <w:r w:rsidRPr="00416BAE">
        <w:t xml:space="preserve">.  In the case of a solicitor’s client account, </w:t>
      </w:r>
      <w:r>
        <w:t xml:space="preserve">note </w:t>
      </w:r>
      <w:r w:rsidRPr="00416BAE">
        <w:t>also Rule 22 of the Solicitors' Accounts Rules 1998.</w:t>
      </w:r>
    </w:p>
  </w:footnote>
  <w:footnote w:id="71">
    <w:p w14:paraId="60304A26" w14:textId="2D70A144" w:rsidR="00D54067" w:rsidRPr="00416BAE" w:rsidRDefault="00D54067" w:rsidP="00A217B5">
      <w:pPr>
        <w:pStyle w:val="FootnoteText"/>
        <w:spacing w:line="360" w:lineRule="auto"/>
        <w:jc w:val="both"/>
      </w:pPr>
      <w:r w:rsidRPr="00416BAE">
        <w:rPr>
          <w:rStyle w:val="FootnoteReference"/>
        </w:rPr>
        <w:footnoteRef/>
      </w:r>
      <w:r w:rsidRPr="00416BAE">
        <w:t xml:space="preserve"> For criticism of the distinction, see P</w:t>
      </w:r>
      <w:r>
        <w:t>.</w:t>
      </w:r>
      <w:r w:rsidRPr="00416BAE">
        <w:t xml:space="preserve"> Davies, </w:t>
      </w:r>
      <w:r>
        <w:rPr>
          <w:lang w:eastAsia="zh-TW"/>
        </w:rPr>
        <w:t>“</w:t>
      </w:r>
      <w:r w:rsidRPr="00416BAE">
        <w:t>Equitable Compensation and the SAAMCO Principle</w:t>
      </w:r>
      <w:r>
        <w:rPr>
          <w:lang w:eastAsia="zh-TW"/>
        </w:rPr>
        <w:t>”</w:t>
      </w:r>
      <w:r w:rsidRPr="00416BAE">
        <w:t xml:space="preserve"> (2018) 134 L</w:t>
      </w:r>
      <w:r>
        <w:t>.Q.R.</w:t>
      </w:r>
      <w:r w:rsidRPr="00416BAE">
        <w:t xml:space="preserve"> 165</w:t>
      </w:r>
      <w:r w:rsidR="009A6142">
        <w:t>,</w:t>
      </w:r>
      <w:r>
        <w:t xml:space="preserve"> </w:t>
      </w:r>
      <w:r w:rsidRPr="00416BAE">
        <w:t>167-68.</w:t>
      </w:r>
    </w:p>
  </w:footnote>
  <w:footnote w:id="72">
    <w:p w14:paraId="68C683AA" w14:textId="4228749D" w:rsidR="00D54067" w:rsidRPr="00416BAE" w:rsidRDefault="00D54067" w:rsidP="00A217B5">
      <w:pPr>
        <w:pStyle w:val="FootnoteText"/>
        <w:spacing w:line="360" w:lineRule="auto"/>
        <w:jc w:val="both"/>
      </w:pPr>
      <w:r w:rsidRPr="00416BAE">
        <w:rPr>
          <w:rStyle w:val="FootnoteReference"/>
        </w:rPr>
        <w:footnoteRef/>
      </w:r>
      <w:r w:rsidRPr="00416BAE">
        <w:t xml:space="preserve"> [2018] EWCA </w:t>
      </w:r>
      <w:r>
        <w:t xml:space="preserve">Civ </w:t>
      </w:r>
      <w:r w:rsidRPr="00416BAE">
        <w:t>1594.</w:t>
      </w:r>
    </w:p>
  </w:footnote>
  <w:footnote w:id="73">
    <w:p w14:paraId="7C03F10B" w14:textId="1DE94934"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 xml:space="preserve">Ibid </w:t>
      </w:r>
      <w:r w:rsidRPr="00416BAE">
        <w:t>at [12], [16].</w:t>
      </w:r>
    </w:p>
  </w:footnote>
  <w:footnote w:id="74">
    <w:p w14:paraId="58676F0A" w14:textId="5FF896A2" w:rsidR="00D54067" w:rsidRPr="00416BAE" w:rsidRDefault="00D54067" w:rsidP="00A217B5">
      <w:pPr>
        <w:pStyle w:val="FootnoteText"/>
        <w:spacing w:line="360" w:lineRule="auto"/>
        <w:jc w:val="both"/>
      </w:pPr>
      <w:r w:rsidRPr="00416BAE">
        <w:rPr>
          <w:rStyle w:val="FootnoteReference"/>
        </w:rPr>
        <w:footnoteRef/>
      </w:r>
      <w:r w:rsidRPr="00416BAE">
        <w:t xml:space="preserve"> See text to </w:t>
      </w:r>
      <w:r>
        <w:t>notes 107-08 below</w:t>
      </w:r>
      <w:r w:rsidRPr="00416BAE">
        <w:t>.</w:t>
      </w:r>
    </w:p>
  </w:footnote>
  <w:footnote w:id="75">
    <w:p w14:paraId="6A1DF695" w14:textId="592DF066" w:rsidR="00D54067" w:rsidRPr="00416BAE" w:rsidRDefault="00D54067" w:rsidP="00A217B5">
      <w:pPr>
        <w:pStyle w:val="FootnoteText"/>
        <w:spacing w:line="360" w:lineRule="auto"/>
        <w:jc w:val="both"/>
      </w:pPr>
      <w:r w:rsidRPr="00416BAE">
        <w:rPr>
          <w:rStyle w:val="FootnoteReference"/>
        </w:rPr>
        <w:footnoteRef/>
      </w:r>
      <w:r w:rsidRPr="00416BAE">
        <w:t xml:space="preserve"> L</w:t>
      </w:r>
      <w:r>
        <w:t>.</w:t>
      </w:r>
      <w:r w:rsidRPr="00416BAE">
        <w:t xml:space="preserve"> Smith, </w:t>
      </w:r>
      <w:r>
        <w:t>“</w:t>
      </w:r>
      <w:r w:rsidRPr="00416BAE">
        <w:t>Deterrence, Prophylaxis and Punishment in Fiduciary Obligations</w:t>
      </w:r>
      <w:r>
        <w:t>”</w:t>
      </w:r>
      <w:r w:rsidRPr="00416BAE">
        <w:t xml:space="preserve"> (2013) 7 </w:t>
      </w:r>
      <w:r w:rsidRPr="0036124D">
        <w:t>J</w:t>
      </w:r>
      <w:r>
        <w:t xml:space="preserve">. Eq. </w:t>
      </w:r>
      <w:r w:rsidRPr="00416BAE">
        <w:t xml:space="preserve">87, 101-102; </w:t>
      </w:r>
      <w:r w:rsidRPr="00416BAE">
        <w:rPr>
          <w:i/>
        </w:rPr>
        <w:t xml:space="preserve">Robinson v Robinson </w:t>
      </w:r>
      <w:r w:rsidRPr="00416BAE">
        <w:t>(1851) 1 De G</w:t>
      </w:r>
      <w:r>
        <w:t>.</w:t>
      </w:r>
      <w:r w:rsidRPr="00416BAE">
        <w:t>M</w:t>
      </w:r>
      <w:r>
        <w:t xml:space="preserve">. </w:t>
      </w:r>
      <w:r w:rsidRPr="00416BAE">
        <w:t>&amp; G</w:t>
      </w:r>
      <w:r>
        <w:t>.</w:t>
      </w:r>
      <w:r w:rsidRPr="00416BAE">
        <w:t xml:space="preserve"> 247</w:t>
      </w:r>
      <w:r>
        <w:t>,</w:t>
      </w:r>
      <w:r w:rsidRPr="00416BAE">
        <w:t xml:space="preserve"> 257</w:t>
      </w:r>
      <w:r>
        <w:t>, 42 E.R. 547, 551</w:t>
      </w:r>
      <w:r w:rsidRPr="00416BAE">
        <w:t xml:space="preserve">; </w:t>
      </w:r>
      <w:r>
        <w:t xml:space="preserve">and, </w:t>
      </w:r>
      <w:r w:rsidRPr="00416BAE">
        <w:t>more recently</w:t>
      </w:r>
      <w:r>
        <w:t>,</w:t>
      </w:r>
      <w:r w:rsidRPr="00416BAE">
        <w:t xml:space="preserve"> </w:t>
      </w:r>
      <w:r w:rsidRPr="00416BAE">
        <w:rPr>
          <w:i/>
        </w:rPr>
        <w:t>Tang Ying Loi v Tang Ying Yip</w:t>
      </w:r>
      <w:r w:rsidRPr="00416BAE">
        <w:t xml:space="preserve"> [2017] HKCFA 3</w:t>
      </w:r>
      <w:r>
        <w:t>,</w:t>
      </w:r>
      <w:r w:rsidRPr="00416BAE">
        <w:t xml:space="preserve"> </w:t>
      </w:r>
      <w:r w:rsidRPr="00CA4C84">
        <w:t>(2017) 20 H</w:t>
      </w:r>
      <w:r>
        <w:t>.</w:t>
      </w:r>
      <w:r w:rsidRPr="00CA4C84">
        <w:t>K</w:t>
      </w:r>
      <w:r>
        <w:t>.</w:t>
      </w:r>
      <w:r w:rsidRPr="00CA4C84">
        <w:t>C</w:t>
      </w:r>
      <w:r>
        <w:t>.</w:t>
      </w:r>
      <w:r w:rsidRPr="00CA4C84">
        <w:t>F</w:t>
      </w:r>
      <w:r>
        <w:t>.</w:t>
      </w:r>
      <w:r w:rsidRPr="00CA4C84">
        <w:t>A</w:t>
      </w:r>
      <w:r>
        <w:t>.</w:t>
      </w:r>
      <w:r w:rsidRPr="00CA4C84">
        <w:t>R</w:t>
      </w:r>
      <w:r>
        <w:t>.</w:t>
      </w:r>
      <w:r w:rsidRPr="00CA4C84">
        <w:t xml:space="preserve"> 53</w:t>
      </w:r>
      <w:r w:rsidRPr="00416BAE">
        <w:t>.</w:t>
      </w:r>
    </w:p>
  </w:footnote>
  <w:footnote w:id="76">
    <w:p w14:paraId="75E615AD" w14:textId="7FC5C212" w:rsidR="00D54067" w:rsidRPr="00416BAE" w:rsidRDefault="00D54067" w:rsidP="00A217B5">
      <w:pPr>
        <w:pStyle w:val="FootnoteText"/>
        <w:spacing w:line="360" w:lineRule="auto"/>
        <w:jc w:val="both"/>
      </w:pPr>
      <w:r w:rsidRPr="00416BAE">
        <w:rPr>
          <w:rStyle w:val="FootnoteReference"/>
        </w:rPr>
        <w:footnoteRef/>
      </w:r>
      <w:r w:rsidRPr="00416BAE">
        <w:t xml:space="preserve"> (1845) 43 U</w:t>
      </w:r>
      <w:r>
        <w:t>.</w:t>
      </w:r>
      <w:r w:rsidRPr="00416BAE">
        <w:t>S</w:t>
      </w:r>
      <w:r>
        <w:t>.</w:t>
      </w:r>
      <w:r w:rsidRPr="00416BAE">
        <w:t xml:space="preserve"> 333</w:t>
      </w:r>
      <w:r>
        <w:t xml:space="preserve">, </w:t>
      </w:r>
      <w:r w:rsidRPr="00416BAE">
        <w:t>401.</w:t>
      </w:r>
    </w:p>
  </w:footnote>
  <w:footnote w:id="77">
    <w:p w14:paraId="1F9ACAD4" w14:textId="5D84476A" w:rsidR="00D54067" w:rsidRPr="0036124D" w:rsidRDefault="00D54067" w:rsidP="00A217B5">
      <w:pPr>
        <w:pStyle w:val="FootnoteText"/>
        <w:spacing w:line="360" w:lineRule="auto"/>
        <w:jc w:val="both"/>
        <w:rPr>
          <w:lang w:val="en-CA"/>
        </w:rPr>
      </w:pPr>
      <w:r>
        <w:rPr>
          <w:rStyle w:val="FootnoteReference"/>
        </w:rPr>
        <w:footnoteRef/>
      </w:r>
      <w:r>
        <w:t xml:space="preserve"> </w:t>
      </w:r>
      <w:r w:rsidRPr="00416BAE">
        <w:t>[2017] HKCFA 3</w:t>
      </w:r>
      <w:r>
        <w:t xml:space="preserve">, </w:t>
      </w:r>
      <w:r w:rsidRPr="00CA4C84">
        <w:t>(2017) 20 H</w:t>
      </w:r>
      <w:r>
        <w:t>.</w:t>
      </w:r>
      <w:r w:rsidRPr="00CA4C84">
        <w:t>K</w:t>
      </w:r>
      <w:r>
        <w:t>.</w:t>
      </w:r>
      <w:r w:rsidRPr="00CA4C84">
        <w:t>C</w:t>
      </w:r>
      <w:r>
        <w:t>.</w:t>
      </w:r>
      <w:r w:rsidRPr="00CA4C84">
        <w:t>F</w:t>
      </w:r>
      <w:r>
        <w:t>.</w:t>
      </w:r>
      <w:r w:rsidRPr="00CA4C84">
        <w:t>A</w:t>
      </w:r>
      <w:r>
        <w:t>.</w:t>
      </w:r>
      <w:r w:rsidRPr="00CA4C84">
        <w:t>R</w:t>
      </w:r>
      <w:r>
        <w:t>.</w:t>
      </w:r>
      <w:r w:rsidRPr="00CA4C84">
        <w:t xml:space="preserve"> 53</w:t>
      </w:r>
      <w:r>
        <w:t>.</w:t>
      </w:r>
    </w:p>
  </w:footnote>
  <w:footnote w:id="78">
    <w:p w14:paraId="303B0508" w14:textId="79782D98"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Ibid</w:t>
      </w:r>
      <w:r>
        <w:t xml:space="preserve"> at </w:t>
      </w:r>
      <w:r w:rsidRPr="00416BAE">
        <w:t>[27].</w:t>
      </w:r>
    </w:p>
  </w:footnote>
  <w:footnote w:id="79">
    <w:p w14:paraId="3769B00C" w14:textId="0E9CC0E6"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D35AAD">
        <w:rPr>
          <w:i/>
          <w:iCs/>
          <w:lang w:bidi="en-US"/>
        </w:rPr>
        <w:t>F</w:t>
      </w:r>
      <w:r>
        <w:rPr>
          <w:i/>
          <w:iCs/>
          <w:lang w:bidi="en-US"/>
        </w:rPr>
        <w:t>.</w:t>
      </w:r>
      <w:r w:rsidRPr="00D35AAD">
        <w:rPr>
          <w:i/>
          <w:iCs/>
          <w:lang w:bidi="en-US"/>
        </w:rPr>
        <w:t>H</w:t>
      </w:r>
      <w:r>
        <w:rPr>
          <w:i/>
          <w:iCs/>
          <w:lang w:bidi="en-US"/>
        </w:rPr>
        <w:t>.</w:t>
      </w:r>
      <w:r w:rsidRPr="00D35AAD">
        <w:rPr>
          <w:i/>
          <w:iCs/>
          <w:lang w:bidi="en-US"/>
        </w:rPr>
        <w:t>R</w:t>
      </w:r>
      <w:r>
        <w:rPr>
          <w:i/>
          <w:iCs/>
          <w:lang w:bidi="en-US"/>
        </w:rPr>
        <w:t>.</w:t>
      </w:r>
      <w:r w:rsidRPr="00D35AAD">
        <w:rPr>
          <w:i/>
          <w:iCs/>
          <w:lang w:bidi="en-US"/>
        </w:rPr>
        <w:t xml:space="preserve"> European Ventures LLP v </w:t>
      </w:r>
      <w:r w:rsidRPr="00DD6DC2">
        <w:rPr>
          <w:i/>
          <w:iCs/>
          <w:lang w:bidi="en-US"/>
        </w:rPr>
        <w:t>Cedar Capital Partners LLC</w:t>
      </w:r>
      <w:r w:rsidRPr="0036124D">
        <w:rPr>
          <w:i/>
          <w:iCs/>
          <w:lang w:bidi="en-US"/>
        </w:rPr>
        <w:t> </w:t>
      </w:r>
      <w:r w:rsidRPr="00CC253D">
        <w:rPr>
          <w:lang w:bidi="en-US"/>
        </w:rPr>
        <w:t>[2014] UKSC 45</w:t>
      </w:r>
      <w:r>
        <w:rPr>
          <w:lang w:bidi="en-US"/>
        </w:rPr>
        <w:t xml:space="preserve">, </w:t>
      </w:r>
      <w:r w:rsidRPr="00C41E09">
        <w:rPr>
          <w:lang w:bidi="en-US"/>
        </w:rPr>
        <w:t>[2015] 1 A</w:t>
      </w:r>
      <w:r>
        <w:rPr>
          <w:lang w:bidi="en-US"/>
        </w:rPr>
        <w:t>.</w:t>
      </w:r>
      <w:r w:rsidRPr="00C41E09">
        <w:rPr>
          <w:lang w:bidi="en-US"/>
        </w:rPr>
        <w:t>C</w:t>
      </w:r>
      <w:r>
        <w:rPr>
          <w:lang w:bidi="en-US"/>
        </w:rPr>
        <w:t>.</w:t>
      </w:r>
      <w:r w:rsidRPr="00C41E09">
        <w:rPr>
          <w:lang w:bidi="en-US"/>
        </w:rPr>
        <w:t xml:space="preserve"> 250</w:t>
      </w:r>
      <w:r w:rsidRPr="00CC253D">
        <w:rPr>
          <w:lang w:bidi="en-US"/>
        </w:rPr>
        <w:t>.</w:t>
      </w:r>
    </w:p>
  </w:footnote>
  <w:footnote w:id="80">
    <w:p w14:paraId="477DE2E5" w14:textId="342BBC4A" w:rsidR="00D54067" w:rsidRPr="00416BAE" w:rsidRDefault="00D54067" w:rsidP="00A217B5">
      <w:pPr>
        <w:pStyle w:val="FootnoteText"/>
        <w:spacing w:line="360" w:lineRule="auto"/>
        <w:jc w:val="both"/>
      </w:pPr>
      <w:r w:rsidRPr="00416BAE">
        <w:rPr>
          <w:rStyle w:val="FootnoteReference"/>
        </w:rPr>
        <w:footnoteRef/>
      </w:r>
      <w:r w:rsidRPr="00416BAE">
        <w:t xml:space="preserve"> For breach of fiduciary duty, see M</w:t>
      </w:r>
      <w:r>
        <w:t>.</w:t>
      </w:r>
      <w:r w:rsidRPr="00416BAE">
        <w:t xml:space="preserve"> Conaglen, </w:t>
      </w:r>
      <w:r w:rsidRPr="00416BAE">
        <w:rPr>
          <w:i/>
        </w:rPr>
        <w:t xml:space="preserve">Fiduciary Loyalty: </w:t>
      </w:r>
      <w:r w:rsidR="002A7467">
        <w:rPr>
          <w:i/>
        </w:rPr>
        <w:t xml:space="preserve"> </w:t>
      </w:r>
      <w:r w:rsidRPr="00416BAE">
        <w:rPr>
          <w:i/>
        </w:rPr>
        <w:t>Protecting the Due Performance of Non-Fiduciary Duties</w:t>
      </w:r>
      <w:r w:rsidRPr="00416BAE">
        <w:t xml:space="preserve"> (London</w:t>
      </w:r>
      <w:r>
        <w:t>:</w:t>
      </w:r>
      <w:r w:rsidRPr="00416BAE">
        <w:t xml:space="preserve"> </w:t>
      </w:r>
      <w:r w:rsidR="002A7467">
        <w:t xml:space="preserve"> </w:t>
      </w:r>
      <w:r w:rsidRPr="00416BAE">
        <w:t>Hart Publishing, 2010); M</w:t>
      </w:r>
      <w:r>
        <w:t>.</w:t>
      </w:r>
      <w:r w:rsidRPr="00416BAE">
        <w:t xml:space="preserve"> Conaglen, “The Extent of Fiduciary Accounting and the Importance of Authorisation Mechanisms”</w:t>
      </w:r>
      <w:r>
        <w:t xml:space="preserve"> (</w:t>
      </w:r>
      <w:r>
        <w:rPr>
          <w:i/>
        </w:rPr>
        <w:t>op cit</w:t>
      </w:r>
      <w:r w:rsidRPr="00416BAE">
        <w:t xml:space="preserve"> n </w:t>
      </w:r>
      <w:r>
        <w:t>21),</w:t>
      </w:r>
      <w:r w:rsidRPr="00416BAE">
        <w:t xml:space="preserve"> 557-560.  For breach of contract, see D</w:t>
      </w:r>
      <w:r>
        <w:t>.</w:t>
      </w:r>
      <w:r w:rsidRPr="00416BAE">
        <w:t xml:space="preserve"> Fox, </w:t>
      </w:r>
      <w:r>
        <w:rPr>
          <w:lang w:eastAsia="zh-TW"/>
        </w:rPr>
        <w:t>“</w:t>
      </w:r>
      <w:r w:rsidRPr="00416BAE">
        <w:t>Restitutionary Damages to Deter Breach of Contract</w:t>
      </w:r>
      <w:r>
        <w:rPr>
          <w:lang w:eastAsia="zh-TW"/>
        </w:rPr>
        <w:t>”</w:t>
      </w:r>
      <w:r w:rsidRPr="00416BAE">
        <w:t xml:space="preserve"> </w:t>
      </w:r>
      <w:r>
        <w:t>[</w:t>
      </w:r>
      <w:r w:rsidRPr="00416BAE">
        <w:t>2001</w:t>
      </w:r>
      <w:r>
        <w:t>]</w:t>
      </w:r>
      <w:r w:rsidRPr="00416BAE">
        <w:t xml:space="preserve"> </w:t>
      </w:r>
      <w:r>
        <w:t>C.L.J.</w:t>
      </w:r>
      <w:r w:rsidRPr="00416BAE">
        <w:t xml:space="preserve"> 33</w:t>
      </w:r>
      <w:r>
        <w:t xml:space="preserve">, </w:t>
      </w:r>
      <w:r w:rsidRPr="00416BAE">
        <w:t>33-35; J</w:t>
      </w:r>
      <w:r>
        <w:t>.</w:t>
      </w:r>
      <w:r w:rsidRPr="00416BAE">
        <w:t xml:space="preserve"> Edelman, </w:t>
      </w:r>
      <w:r w:rsidRPr="00416BAE">
        <w:rPr>
          <w:i/>
        </w:rPr>
        <w:t>Gain-Based Damages – Contract, Tort, Equity and Intellectual Property</w:t>
      </w:r>
      <w:r w:rsidRPr="00416BAE">
        <w:t xml:space="preserve"> (Oxford</w:t>
      </w:r>
      <w:r>
        <w:t>:</w:t>
      </w:r>
      <w:r w:rsidRPr="00416BAE">
        <w:t xml:space="preserve"> </w:t>
      </w:r>
      <w:r w:rsidR="002A7467">
        <w:t xml:space="preserve"> </w:t>
      </w:r>
      <w:r w:rsidRPr="00416BAE">
        <w:t>Hart Publishing, 2002)</w:t>
      </w:r>
      <w:r>
        <w:t xml:space="preserve">, </w:t>
      </w:r>
      <w:r w:rsidRPr="00416BAE">
        <w:t>5-23;</w:t>
      </w:r>
      <w:r w:rsidRPr="00416BAE">
        <w:rPr>
          <w:i/>
        </w:rPr>
        <w:t xml:space="preserve"> </w:t>
      </w:r>
      <w:r w:rsidRPr="00416BAE">
        <w:t>J</w:t>
      </w:r>
      <w:r>
        <w:t>.</w:t>
      </w:r>
      <w:r w:rsidRPr="00416BAE">
        <w:t xml:space="preserve"> Edelman, </w:t>
      </w:r>
      <w:r>
        <w:rPr>
          <w:lang w:eastAsia="zh-TW"/>
        </w:rPr>
        <w:t>“</w:t>
      </w:r>
      <w:r w:rsidRPr="00416BAE">
        <w:t>Profit and Gains from Breach of Contract</w:t>
      </w:r>
      <w:r>
        <w:rPr>
          <w:lang w:eastAsia="zh-TW"/>
        </w:rPr>
        <w:t>”</w:t>
      </w:r>
      <w:r w:rsidRPr="00416BAE">
        <w:t xml:space="preserve"> [2001] </w:t>
      </w:r>
      <w:r>
        <w:t>L.M.C.L.Q.</w:t>
      </w:r>
      <w:r w:rsidRPr="00416BAE">
        <w:t xml:space="preserve"> 9, 11; </w:t>
      </w:r>
      <w:r w:rsidR="00FF2E82" w:rsidRPr="00416BAE">
        <w:t>S</w:t>
      </w:r>
      <w:r w:rsidR="00FF2E82">
        <w:t>.</w:t>
      </w:r>
      <w:r w:rsidR="00FF2E82" w:rsidRPr="00416BAE">
        <w:t xml:space="preserve"> Rowan, </w:t>
      </w:r>
      <w:r w:rsidR="00FF2E82" w:rsidRPr="00416BAE">
        <w:rPr>
          <w:i/>
        </w:rPr>
        <w:t>Remedies for Breach of Contract</w:t>
      </w:r>
      <w:r w:rsidR="00FF2E82" w:rsidRPr="00416BAE">
        <w:rPr>
          <w:i/>
          <w:lang w:eastAsia="zh-TW"/>
        </w:rPr>
        <w:t>:</w:t>
      </w:r>
      <w:r w:rsidR="00FF2E82" w:rsidRPr="00416BAE">
        <w:rPr>
          <w:i/>
        </w:rPr>
        <w:t xml:space="preserve"> </w:t>
      </w:r>
      <w:r w:rsidR="002A7467">
        <w:rPr>
          <w:i/>
        </w:rPr>
        <w:t xml:space="preserve"> </w:t>
      </w:r>
      <w:r w:rsidR="00FF2E82" w:rsidRPr="00416BAE">
        <w:rPr>
          <w:i/>
        </w:rPr>
        <w:t>A Comparative Analysis of the Protection of Performance</w:t>
      </w:r>
      <w:r w:rsidR="00FF2E82" w:rsidRPr="00416BAE">
        <w:t xml:space="preserve"> (Oxford: </w:t>
      </w:r>
      <w:r w:rsidR="002A7467">
        <w:t xml:space="preserve"> </w:t>
      </w:r>
      <w:r w:rsidR="00FF2E82" w:rsidRPr="00416BAE">
        <w:t>O</w:t>
      </w:r>
      <w:r w:rsidR="00FF2E82" w:rsidRPr="00416BAE">
        <w:rPr>
          <w:lang w:eastAsia="zh-TW"/>
        </w:rPr>
        <w:t xml:space="preserve">xford </w:t>
      </w:r>
      <w:r w:rsidR="00FF2E82" w:rsidRPr="00416BAE">
        <w:t>U</w:t>
      </w:r>
      <w:r w:rsidR="00FF2E82" w:rsidRPr="00416BAE">
        <w:rPr>
          <w:lang w:eastAsia="zh-TW"/>
        </w:rPr>
        <w:t xml:space="preserve">niversity </w:t>
      </w:r>
      <w:r w:rsidR="00FF2E82" w:rsidRPr="00416BAE">
        <w:t>P</w:t>
      </w:r>
      <w:r w:rsidR="00FF2E82" w:rsidRPr="00416BAE">
        <w:rPr>
          <w:lang w:eastAsia="zh-TW"/>
        </w:rPr>
        <w:t>ress</w:t>
      </w:r>
      <w:r w:rsidR="00FF2E82" w:rsidRPr="00416BAE">
        <w:t>, 2012)</w:t>
      </w:r>
      <w:r w:rsidR="00FF2E82">
        <w:rPr>
          <w:lang w:eastAsia="zh-TW"/>
        </w:rPr>
        <w:t xml:space="preserve">, </w:t>
      </w:r>
      <w:r w:rsidR="00F202B3">
        <w:rPr>
          <w:lang w:eastAsia="zh-TW"/>
        </w:rPr>
        <w:t xml:space="preserve">at p. </w:t>
      </w:r>
      <w:r w:rsidR="00FF2E82">
        <w:rPr>
          <w:lang w:eastAsia="zh-TW"/>
        </w:rPr>
        <w:t>157;</w:t>
      </w:r>
      <w:r w:rsidRPr="00416BAE">
        <w:t xml:space="preserve"> K</w:t>
      </w:r>
      <w:r>
        <w:t>.</w:t>
      </w:r>
      <w:r w:rsidRPr="00416BAE">
        <w:t xml:space="preserve"> Barnett, </w:t>
      </w:r>
      <w:r w:rsidRPr="00416BAE">
        <w:rPr>
          <w:i/>
        </w:rPr>
        <w:t>Accounting for Profit for Breach of Contract</w:t>
      </w:r>
      <w:r w:rsidRPr="00416BAE">
        <w:t xml:space="preserve"> (Oxford</w:t>
      </w:r>
      <w:r>
        <w:t>:</w:t>
      </w:r>
      <w:r w:rsidRPr="00416BAE">
        <w:t xml:space="preserve"> </w:t>
      </w:r>
      <w:r w:rsidR="002A7467">
        <w:t xml:space="preserve"> </w:t>
      </w:r>
      <w:r w:rsidRPr="00416BAE">
        <w:t>Hart Publishing, 2012)</w:t>
      </w:r>
      <w:r>
        <w:t xml:space="preserve">, </w:t>
      </w:r>
      <w:r w:rsidR="00F202B3">
        <w:t xml:space="preserve">at pp. </w:t>
      </w:r>
      <w:r w:rsidRPr="00416BAE">
        <w:t>26-32.</w:t>
      </w:r>
    </w:p>
  </w:footnote>
  <w:footnote w:id="81">
    <w:p w14:paraId="634A0C14" w14:textId="0FEDE1BE" w:rsidR="00D54067" w:rsidRPr="00416BAE" w:rsidRDefault="00D54067" w:rsidP="00A217B5">
      <w:pPr>
        <w:pStyle w:val="FootnoteText"/>
        <w:spacing w:line="360" w:lineRule="auto"/>
        <w:jc w:val="both"/>
        <w:rPr>
          <w:color w:val="227E4D"/>
        </w:rPr>
      </w:pPr>
      <w:r w:rsidRPr="00416BAE">
        <w:rPr>
          <w:rStyle w:val="FootnoteReference"/>
        </w:rPr>
        <w:footnoteRef/>
      </w:r>
      <w:r w:rsidRPr="00416BAE">
        <w:t xml:space="preserve"> </w:t>
      </w:r>
      <w:r w:rsidRPr="00416BAE">
        <w:rPr>
          <w:i/>
        </w:rPr>
        <w:t>Consul Development Pty Ltd v DPC Estates Pty Ltd</w:t>
      </w:r>
      <w:r w:rsidRPr="00416BAE">
        <w:t xml:space="preserve"> (1975) 132 C</w:t>
      </w:r>
      <w:r>
        <w:t>.</w:t>
      </w:r>
      <w:r w:rsidRPr="00416BAE">
        <w:t>L</w:t>
      </w:r>
      <w:r>
        <w:t>.</w:t>
      </w:r>
      <w:r w:rsidRPr="00416BAE">
        <w:t>R</w:t>
      </w:r>
      <w:r>
        <w:t>.</w:t>
      </w:r>
      <w:r w:rsidRPr="00416BAE">
        <w:t xml:space="preserve"> 373</w:t>
      </w:r>
      <w:r>
        <w:t xml:space="preserve">, </w:t>
      </w:r>
      <w:r w:rsidRPr="00416BAE">
        <w:t>397</w:t>
      </w:r>
      <w:r>
        <w:t xml:space="preserve">; </w:t>
      </w:r>
      <w:r w:rsidRPr="00416BAE">
        <w:rPr>
          <w:i/>
        </w:rPr>
        <w:t>Warman International Ltd v Dwyer</w:t>
      </w:r>
      <w:r w:rsidRPr="00416BAE">
        <w:t xml:space="preserve"> (1995) 182 C</w:t>
      </w:r>
      <w:r>
        <w:t>.</w:t>
      </w:r>
      <w:r w:rsidRPr="00416BAE">
        <w:t>L</w:t>
      </w:r>
      <w:r>
        <w:t>.</w:t>
      </w:r>
      <w:r w:rsidRPr="00416BAE">
        <w:t>R</w:t>
      </w:r>
      <w:r>
        <w:t>.</w:t>
      </w:r>
      <w:r w:rsidRPr="00416BAE">
        <w:t xml:space="preserve"> 544</w:t>
      </w:r>
      <w:r w:rsidR="00AF7368">
        <w:t>,</w:t>
      </w:r>
      <w:r>
        <w:t xml:space="preserve"> </w:t>
      </w:r>
      <w:r w:rsidRPr="00416BAE">
        <w:t>557-558; and</w:t>
      </w:r>
      <w:r>
        <w:t>,</w:t>
      </w:r>
      <w:r w:rsidRPr="00416BAE">
        <w:t xml:space="preserve"> more recently, </w:t>
      </w:r>
      <w:r w:rsidRPr="00416BAE">
        <w:rPr>
          <w:i/>
        </w:rPr>
        <w:t>Ancient Order of Foresters in Victoria Friendly Society Ltd v Lifeplan Australia Friendly Society Ltd</w:t>
      </w:r>
      <w:r w:rsidRPr="00416BAE">
        <w:t xml:space="preserve"> [2018] HCA 43</w:t>
      </w:r>
      <w:r>
        <w:t xml:space="preserve"> at</w:t>
      </w:r>
      <w:r w:rsidRPr="00416BAE">
        <w:t xml:space="preserve"> [9], [78], [178] (“</w:t>
      </w:r>
      <w:r w:rsidRPr="00416BAE">
        <w:rPr>
          <w:i/>
        </w:rPr>
        <w:t>Lifeplan</w:t>
      </w:r>
      <w:r w:rsidRPr="00416BAE">
        <w:t xml:space="preserve">”).  For a contrary view, see </w:t>
      </w:r>
      <w:r>
        <w:t>L.</w:t>
      </w:r>
      <w:r w:rsidRPr="00416BAE">
        <w:t xml:space="preserve"> Smith, n</w:t>
      </w:r>
      <w:r w:rsidR="00AF7368">
        <w:t>ote</w:t>
      </w:r>
      <w:r w:rsidRPr="00416BAE">
        <w:t xml:space="preserve"> </w:t>
      </w:r>
      <w:r>
        <w:t>72</w:t>
      </w:r>
      <w:r w:rsidR="00AF7368">
        <w:t xml:space="preserve"> above</w:t>
      </w:r>
      <w:r w:rsidRPr="00416BAE">
        <w:t>.</w:t>
      </w:r>
    </w:p>
  </w:footnote>
  <w:footnote w:id="82">
    <w:p w14:paraId="32034598" w14:textId="2342AF62" w:rsidR="00D54067" w:rsidRPr="00416BAE" w:rsidRDefault="00D54067" w:rsidP="00A217B5">
      <w:pPr>
        <w:pStyle w:val="FootnoteText"/>
        <w:spacing w:line="360" w:lineRule="auto"/>
        <w:jc w:val="both"/>
      </w:pPr>
      <w:r w:rsidRPr="00416BAE">
        <w:rPr>
          <w:rStyle w:val="FootnoteReference"/>
        </w:rPr>
        <w:footnoteRef/>
      </w:r>
      <w:r w:rsidRPr="00416BAE">
        <w:t xml:space="preserve"> </w:t>
      </w:r>
      <w:r>
        <w:t xml:space="preserve">Lord </w:t>
      </w:r>
      <w:r w:rsidRPr="00416BAE">
        <w:t xml:space="preserve">Millett, </w:t>
      </w:r>
      <w:r>
        <w:t>“</w:t>
      </w:r>
      <w:r w:rsidRPr="00416BAE">
        <w:t>Bribes and Secret Commissions</w:t>
      </w:r>
      <w:r>
        <w:t>”</w:t>
      </w:r>
      <w:r w:rsidRPr="00416BAE">
        <w:t xml:space="preserve"> [1993] R</w:t>
      </w:r>
      <w:r w:rsidR="00432670">
        <w:t>.L.R</w:t>
      </w:r>
      <w:r w:rsidRPr="00416BAE">
        <w:t xml:space="preserve"> 7, 20, albeit Lord Millett considers this assumption as based on estoppel rather than legal fiction.</w:t>
      </w:r>
    </w:p>
  </w:footnote>
  <w:footnote w:id="83">
    <w:p w14:paraId="5B8AEA5D" w14:textId="47FE1B54" w:rsidR="00D54067" w:rsidRPr="00416BAE" w:rsidRDefault="00D54067" w:rsidP="00A217B5">
      <w:pPr>
        <w:pStyle w:val="FootnoteText"/>
        <w:spacing w:line="360" w:lineRule="auto"/>
        <w:jc w:val="both"/>
      </w:pPr>
      <w:r w:rsidRPr="00416BAE">
        <w:rPr>
          <w:rStyle w:val="FootnoteReference"/>
        </w:rPr>
        <w:footnoteRef/>
      </w:r>
      <w:r w:rsidRPr="00416BAE">
        <w:t xml:space="preserve"> See, eg, </w:t>
      </w:r>
      <w:r w:rsidRPr="00416BAE">
        <w:rPr>
          <w:i/>
        </w:rPr>
        <w:t>Thornton v Stokill</w:t>
      </w:r>
      <w:r w:rsidRPr="00416BAE">
        <w:t xml:space="preserve"> (1855) 1 Jur</w:t>
      </w:r>
      <w:r>
        <w:t>.</w:t>
      </w:r>
      <w:r w:rsidRPr="00416BAE">
        <w:t xml:space="preserve"> N</w:t>
      </w:r>
      <w:r>
        <w:t>.</w:t>
      </w:r>
      <w:r w:rsidRPr="00416BAE">
        <w:t>S</w:t>
      </w:r>
      <w:r>
        <w:t>.</w:t>
      </w:r>
      <w:r w:rsidRPr="00416BAE">
        <w:t xml:space="preserve"> 751, though apparently </w:t>
      </w:r>
      <w:r w:rsidRPr="00416BAE">
        <w:rPr>
          <w:i/>
        </w:rPr>
        <w:t>contra</w:t>
      </w:r>
      <w:r w:rsidRPr="00416BAE">
        <w:t xml:space="preserve"> </w:t>
      </w:r>
      <w:r w:rsidRPr="00416BAE">
        <w:rPr>
          <w:i/>
        </w:rPr>
        <w:t>Re Lake</w:t>
      </w:r>
      <w:r w:rsidRPr="00416BAE">
        <w:t xml:space="preserve"> [1903] 1 K</w:t>
      </w:r>
      <w:r>
        <w:t>.</w:t>
      </w:r>
      <w:r w:rsidRPr="00416BAE">
        <w:t>B</w:t>
      </w:r>
      <w:r>
        <w:t>.</w:t>
      </w:r>
      <w:r w:rsidRPr="00416BAE">
        <w:t xml:space="preserve"> 439; </w:t>
      </w:r>
      <w:r w:rsidRPr="00416BAE">
        <w:rPr>
          <w:i/>
        </w:rPr>
        <w:t>Tang Man Sit v Capacious Investments Ltd</w:t>
      </w:r>
      <w:r w:rsidRPr="00416BAE">
        <w:t xml:space="preserve"> [1996] A</w:t>
      </w:r>
      <w:r>
        <w:t>.</w:t>
      </w:r>
      <w:r w:rsidRPr="00416BAE">
        <w:t>C</w:t>
      </w:r>
      <w:r>
        <w:t>.</w:t>
      </w:r>
      <w:r w:rsidRPr="00416BAE">
        <w:t xml:space="preserve"> 514; </w:t>
      </w:r>
      <w:r w:rsidRPr="00416BAE">
        <w:rPr>
          <w:i/>
        </w:rPr>
        <w:t>Warman International Ltd v Dwyer</w:t>
      </w:r>
      <w:r w:rsidRPr="00416BAE">
        <w:t xml:space="preserve"> (1995) 182 C</w:t>
      </w:r>
      <w:r>
        <w:t>.</w:t>
      </w:r>
      <w:r w:rsidRPr="00416BAE">
        <w:t>L</w:t>
      </w:r>
      <w:r>
        <w:t>.</w:t>
      </w:r>
      <w:r w:rsidRPr="00416BAE">
        <w:t>R</w:t>
      </w:r>
      <w:r>
        <w:t>.</w:t>
      </w:r>
      <w:r w:rsidRPr="00416BAE">
        <w:t xml:space="preserve"> 544</w:t>
      </w:r>
      <w:r>
        <w:t>.</w:t>
      </w:r>
    </w:p>
  </w:footnote>
  <w:footnote w:id="84">
    <w:p w14:paraId="3B4EDC54" w14:textId="5235BA32" w:rsidR="00D54067" w:rsidRPr="00416BAE" w:rsidRDefault="00D54067" w:rsidP="00A217B5">
      <w:pPr>
        <w:pStyle w:val="FootnoteText"/>
        <w:spacing w:line="360" w:lineRule="auto"/>
        <w:jc w:val="both"/>
      </w:pPr>
      <w:r w:rsidRPr="00416BAE">
        <w:rPr>
          <w:rStyle w:val="FootnoteReference"/>
        </w:rPr>
        <w:footnoteRef/>
      </w:r>
      <w:r w:rsidRPr="00416BAE">
        <w:t xml:space="preserve"> M Conaglen, n</w:t>
      </w:r>
      <w:r w:rsidR="00AF7368">
        <w:t>ote</w:t>
      </w:r>
      <w:r w:rsidRPr="00416BAE">
        <w:t xml:space="preserve"> </w:t>
      </w:r>
      <w:r>
        <w:t>21</w:t>
      </w:r>
      <w:r w:rsidRPr="00416BAE">
        <w:t xml:space="preserve"> above. </w:t>
      </w:r>
    </w:p>
  </w:footnote>
  <w:footnote w:id="85">
    <w:p w14:paraId="5B675071" w14:textId="33ECEE72"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Warman International Ltd v Dwyer</w:t>
      </w:r>
      <w:r>
        <w:t xml:space="preserve"> </w:t>
      </w:r>
      <w:r w:rsidRPr="00416BAE">
        <w:t>(1995) 182 C</w:t>
      </w:r>
      <w:r>
        <w:t>.</w:t>
      </w:r>
      <w:r w:rsidRPr="00416BAE">
        <w:t>L</w:t>
      </w:r>
      <w:r>
        <w:t>.</w:t>
      </w:r>
      <w:r w:rsidRPr="00416BAE">
        <w:t>R</w:t>
      </w:r>
      <w:r>
        <w:t>.</w:t>
      </w:r>
      <w:r w:rsidRPr="00416BAE">
        <w:t xml:space="preserve"> 544</w:t>
      </w:r>
      <w:r>
        <w:t xml:space="preserve">, </w:t>
      </w:r>
      <w:r w:rsidRPr="00416BAE">
        <w:t xml:space="preserve">567; </w:t>
      </w:r>
      <w:r w:rsidRPr="00416BAE">
        <w:rPr>
          <w:i/>
        </w:rPr>
        <w:t>Chan v Zacharia</w:t>
      </w:r>
      <w:r w:rsidRPr="00416BAE">
        <w:t xml:space="preserve"> (1984) 154 C</w:t>
      </w:r>
      <w:r>
        <w:t>.</w:t>
      </w:r>
      <w:r w:rsidRPr="00416BAE">
        <w:t>L</w:t>
      </w:r>
      <w:r>
        <w:t>.</w:t>
      </w:r>
      <w:r w:rsidRPr="00416BAE">
        <w:t>R</w:t>
      </w:r>
      <w:r>
        <w:t>.</w:t>
      </w:r>
      <w:r w:rsidRPr="00416BAE">
        <w:t xml:space="preserve"> 178</w:t>
      </w:r>
      <w:r>
        <w:t>,</w:t>
      </w:r>
      <w:r w:rsidRPr="00416BAE">
        <w:t xml:space="preserve"> 204-5.  </w:t>
      </w:r>
    </w:p>
  </w:footnote>
  <w:footnote w:id="86">
    <w:p w14:paraId="6017F868" w14:textId="575F70D4" w:rsidR="00D54067" w:rsidRPr="00416BAE" w:rsidRDefault="00D54067" w:rsidP="00A217B5">
      <w:pPr>
        <w:pStyle w:val="FootnoteText"/>
        <w:spacing w:line="360" w:lineRule="auto"/>
        <w:jc w:val="both"/>
      </w:pPr>
      <w:r w:rsidRPr="00416BAE">
        <w:rPr>
          <w:rStyle w:val="FootnoteReference"/>
        </w:rPr>
        <w:footnoteRef/>
      </w:r>
      <w:r w:rsidRPr="00416BAE">
        <w:t xml:space="preserve"> [2018] HCA 43</w:t>
      </w:r>
      <w:r w:rsidR="004F4E43">
        <w:t>.</w:t>
      </w:r>
    </w:p>
  </w:footnote>
  <w:footnote w:id="87">
    <w:p w14:paraId="717B6326" w14:textId="1B56C468"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Lifeplan</w:t>
      </w:r>
      <w:r>
        <w:t xml:space="preserve"> </w:t>
      </w:r>
      <w:r w:rsidRPr="00416BAE">
        <w:t>at [70]-[71], [74], [85]-[94]</w:t>
      </w:r>
      <w:r>
        <w:t xml:space="preserve"> </w:t>
      </w:r>
      <w:r>
        <w:rPr>
          <w:i/>
        </w:rPr>
        <w:t>per</w:t>
      </w:r>
      <w:r w:rsidRPr="00416BAE">
        <w:t xml:space="preserve"> Gageler J.</w:t>
      </w:r>
    </w:p>
  </w:footnote>
  <w:footnote w:id="88">
    <w:p w14:paraId="0F8B7035" w14:textId="60D32A66"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Lifeplan</w:t>
      </w:r>
      <w:r>
        <w:t xml:space="preserve"> </w:t>
      </w:r>
      <w:r w:rsidRPr="00416BAE">
        <w:t>at [5]</w:t>
      </w:r>
      <w:r>
        <w:t xml:space="preserve"> </w:t>
      </w:r>
      <w:r>
        <w:rPr>
          <w:i/>
        </w:rPr>
        <w:t>per</w:t>
      </w:r>
      <w:r w:rsidRPr="00416BAE">
        <w:t xml:space="preserve"> Kiefel C</w:t>
      </w:r>
      <w:r>
        <w:t>.</w:t>
      </w:r>
      <w:r w:rsidRPr="00416BAE">
        <w:t>J</w:t>
      </w:r>
      <w:r>
        <w:t>.</w:t>
      </w:r>
      <w:r w:rsidRPr="00416BAE">
        <w:t>, Keane and Edelman JJ.</w:t>
      </w:r>
    </w:p>
  </w:footnote>
  <w:footnote w:id="89">
    <w:p w14:paraId="38FD9A19" w14:textId="6BE1F0EE"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Lifeplan</w:t>
      </w:r>
      <w:r>
        <w:t xml:space="preserve"> at </w:t>
      </w:r>
      <w:r w:rsidRPr="00416BAE">
        <w:t>[23]–[24]</w:t>
      </w:r>
      <w:r>
        <w:t xml:space="preserve"> </w:t>
      </w:r>
      <w:r w:rsidRPr="00542FE4">
        <w:rPr>
          <w:i/>
        </w:rPr>
        <w:t xml:space="preserve">per </w:t>
      </w:r>
      <w:r w:rsidRPr="00416BAE">
        <w:t>Kiefel C</w:t>
      </w:r>
      <w:r>
        <w:t>.</w:t>
      </w:r>
      <w:r w:rsidRPr="00416BAE">
        <w:t>J</w:t>
      </w:r>
      <w:r>
        <w:t>.</w:t>
      </w:r>
      <w:r w:rsidRPr="00416BAE">
        <w:t>, Keane and Edelman JJ</w:t>
      </w:r>
      <w:r>
        <w:t>.</w:t>
      </w:r>
      <w:r w:rsidRPr="00416BAE">
        <w:t>, [75], [110]</w:t>
      </w:r>
      <w:r>
        <w:t xml:space="preserve"> </w:t>
      </w:r>
      <w:r>
        <w:rPr>
          <w:i/>
        </w:rPr>
        <w:t>per</w:t>
      </w:r>
      <w:r w:rsidRPr="00416BAE">
        <w:t xml:space="preserve"> Gageler J</w:t>
      </w:r>
      <w:r>
        <w:t>.</w:t>
      </w:r>
    </w:p>
  </w:footnote>
  <w:footnote w:id="90">
    <w:p w14:paraId="7C3CD302" w14:textId="40A471A8"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Lifeplan</w:t>
      </w:r>
      <w:r>
        <w:t xml:space="preserve"> </w:t>
      </w:r>
      <w:r w:rsidRPr="00416BAE">
        <w:t>at [9]</w:t>
      </w:r>
      <w:r>
        <w:t xml:space="preserve"> </w:t>
      </w:r>
      <w:r>
        <w:rPr>
          <w:i/>
        </w:rPr>
        <w:t>per</w:t>
      </w:r>
      <w:r w:rsidRPr="00416BAE">
        <w:t xml:space="preserve"> Kiefel C</w:t>
      </w:r>
      <w:r>
        <w:t>.</w:t>
      </w:r>
      <w:r w:rsidRPr="00416BAE">
        <w:t>J</w:t>
      </w:r>
      <w:r>
        <w:t>.</w:t>
      </w:r>
      <w:r w:rsidRPr="00416BAE">
        <w:t>, Keane and Edelman JJ</w:t>
      </w:r>
      <w:r>
        <w:t>.</w:t>
      </w:r>
      <w:r w:rsidRPr="00416BAE">
        <w:t xml:space="preserve">, </w:t>
      </w:r>
      <w:r>
        <w:t xml:space="preserve">and </w:t>
      </w:r>
      <w:r w:rsidRPr="00416BAE">
        <w:t>at [88]</w:t>
      </w:r>
      <w:r>
        <w:t xml:space="preserve"> </w:t>
      </w:r>
      <w:r>
        <w:rPr>
          <w:i/>
        </w:rPr>
        <w:t>per</w:t>
      </w:r>
      <w:r w:rsidRPr="006D1A9E">
        <w:rPr>
          <w:i/>
        </w:rPr>
        <w:t xml:space="preserve"> </w:t>
      </w:r>
      <w:r w:rsidRPr="00416BAE">
        <w:t>Gageler J.</w:t>
      </w:r>
    </w:p>
  </w:footnote>
  <w:footnote w:id="91">
    <w:p w14:paraId="4ED86681" w14:textId="79B45295"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 xml:space="preserve">Lifeplan </w:t>
      </w:r>
      <w:r>
        <w:t>at [9]</w:t>
      </w:r>
      <w:r w:rsidRPr="00542FE4">
        <w:t>.</w:t>
      </w:r>
    </w:p>
  </w:footnote>
  <w:footnote w:id="92">
    <w:p w14:paraId="061EA285" w14:textId="78D25037" w:rsidR="00D54067" w:rsidRPr="00416BAE" w:rsidRDefault="00D54067" w:rsidP="00A217B5">
      <w:pPr>
        <w:pStyle w:val="FootnoteText"/>
        <w:spacing w:line="360" w:lineRule="auto"/>
        <w:jc w:val="both"/>
        <w:rPr>
          <w:i/>
        </w:rPr>
      </w:pPr>
      <w:r w:rsidRPr="00416BAE">
        <w:rPr>
          <w:rStyle w:val="FootnoteReference"/>
        </w:rPr>
        <w:footnoteRef/>
      </w:r>
      <w:r w:rsidRPr="00416BAE">
        <w:t xml:space="preserve"> </w:t>
      </w:r>
      <w:r w:rsidRPr="00416BAE">
        <w:rPr>
          <w:i/>
        </w:rPr>
        <w:t>Canson Enterprise</w:t>
      </w:r>
      <w:r w:rsidRPr="00416BAE">
        <w:t xml:space="preserve"> </w:t>
      </w:r>
      <w:r w:rsidRPr="00416BAE">
        <w:rPr>
          <w:i/>
        </w:rPr>
        <w:t xml:space="preserve">Canson Enterprises Ltd v Boughton &amp; Co </w:t>
      </w:r>
      <w:r w:rsidRPr="00416BAE">
        <w:t>[1991] 3 S</w:t>
      </w:r>
      <w:r>
        <w:t>.</w:t>
      </w:r>
      <w:r w:rsidRPr="00416BAE">
        <w:t>C</w:t>
      </w:r>
      <w:r>
        <w:t>.</w:t>
      </w:r>
      <w:r w:rsidRPr="00416BAE">
        <w:t>R</w:t>
      </w:r>
      <w:r>
        <w:t>.</w:t>
      </w:r>
      <w:r w:rsidRPr="00416BAE">
        <w:t xml:space="preserve"> 534</w:t>
      </w:r>
      <w:r>
        <w:t>,</w:t>
      </w:r>
      <w:r w:rsidRPr="00416BAE">
        <w:t xml:space="preserve"> 556, adopted in</w:t>
      </w:r>
      <w:r w:rsidRPr="00416BAE">
        <w:rPr>
          <w:i/>
        </w:rPr>
        <w:t xml:space="preserve"> Target Holdings Ltd v Redferns </w:t>
      </w:r>
      <w:r w:rsidRPr="00416BAE">
        <w:t>[1996] A</w:t>
      </w:r>
      <w:r>
        <w:t>.</w:t>
      </w:r>
      <w:r w:rsidRPr="00416BAE">
        <w:t>C</w:t>
      </w:r>
      <w:r>
        <w:t>.</w:t>
      </w:r>
      <w:r w:rsidRPr="00416BAE">
        <w:t xml:space="preserve"> 421</w:t>
      </w:r>
      <w:r>
        <w:t>,</w:t>
      </w:r>
      <w:r w:rsidRPr="00416BAE">
        <w:t xml:space="preserve"> 438-439.</w:t>
      </w:r>
    </w:p>
  </w:footnote>
  <w:footnote w:id="93">
    <w:p w14:paraId="1D4E83AB" w14:textId="375C535B"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Lifeplan</w:t>
      </w:r>
      <w:r w:rsidRPr="00416BAE">
        <w:t xml:space="preserve"> at [89]</w:t>
      </w:r>
      <w:r>
        <w:t xml:space="preserve"> </w:t>
      </w:r>
      <w:r>
        <w:rPr>
          <w:i/>
        </w:rPr>
        <w:t xml:space="preserve">per </w:t>
      </w:r>
      <w:r>
        <w:t xml:space="preserve">Gageler J., and at [179] </w:t>
      </w:r>
      <w:r>
        <w:rPr>
          <w:i/>
        </w:rPr>
        <w:t>per</w:t>
      </w:r>
      <w:r>
        <w:t xml:space="preserve"> Nettle J</w:t>
      </w:r>
      <w:r w:rsidRPr="00416BAE">
        <w:t>.</w:t>
      </w:r>
    </w:p>
  </w:footnote>
  <w:footnote w:id="94">
    <w:p w14:paraId="28D10688" w14:textId="6BF689D2" w:rsidR="00D54067" w:rsidRPr="00416BAE" w:rsidRDefault="00D54067" w:rsidP="00A217B5">
      <w:pPr>
        <w:pStyle w:val="FootnoteText"/>
        <w:spacing w:line="360" w:lineRule="auto"/>
        <w:jc w:val="both"/>
      </w:pPr>
      <w:r w:rsidRPr="00416BAE">
        <w:rPr>
          <w:rStyle w:val="FootnoteReference"/>
        </w:rPr>
        <w:footnoteRef/>
      </w:r>
      <w:r w:rsidRPr="00416BAE">
        <w:t xml:space="preserve"> Nettle J</w:t>
      </w:r>
      <w:r>
        <w:t>.</w:t>
      </w:r>
      <w:r w:rsidRPr="00416BAE">
        <w:t xml:space="preserve"> did not distinguish between causation and quantification.</w:t>
      </w:r>
    </w:p>
  </w:footnote>
  <w:footnote w:id="95">
    <w:p w14:paraId="28C5C893" w14:textId="04E4D85A"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Lifeplan</w:t>
      </w:r>
      <w:r>
        <w:t xml:space="preserve"> </w:t>
      </w:r>
      <w:r w:rsidRPr="00416BAE">
        <w:t>at [13]</w:t>
      </w:r>
      <w:r>
        <w:t xml:space="preserve"> </w:t>
      </w:r>
      <w:r>
        <w:rPr>
          <w:i/>
        </w:rPr>
        <w:t xml:space="preserve">per </w:t>
      </w:r>
      <w:r w:rsidRPr="00416BAE">
        <w:t>Kiefel C</w:t>
      </w:r>
      <w:r>
        <w:t>.</w:t>
      </w:r>
      <w:r w:rsidRPr="00416BAE">
        <w:t>J</w:t>
      </w:r>
      <w:r>
        <w:t>.</w:t>
      </w:r>
      <w:r w:rsidRPr="00416BAE">
        <w:t>, Keane and Edelman JJ</w:t>
      </w:r>
      <w:r>
        <w:t>.</w:t>
      </w:r>
      <w:r w:rsidRPr="00416BAE">
        <w:t xml:space="preserve">, </w:t>
      </w:r>
      <w:r>
        <w:t xml:space="preserve">and </w:t>
      </w:r>
      <w:r w:rsidRPr="00416BAE">
        <w:t>at [91]</w:t>
      </w:r>
      <w:r>
        <w:t xml:space="preserve"> </w:t>
      </w:r>
      <w:r>
        <w:rPr>
          <w:i/>
        </w:rPr>
        <w:t>per</w:t>
      </w:r>
      <w:r w:rsidRPr="006D1A9E">
        <w:rPr>
          <w:i/>
        </w:rPr>
        <w:t xml:space="preserve"> </w:t>
      </w:r>
      <w:r w:rsidRPr="00416BAE">
        <w:t>Gageler J.</w:t>
      </w:r>
    </w:p>
  </w:footnote>
  <w:footnote w:id="96">
    <w:p w14:paraId="6E32F4E4" w14:textId="0FACC11C" w:rsidR="00D54067" w:rsidRPr="00E76E14" w:rsidRDefault="00D54067" w:rsidP="00A217B5">
      <w:pPr>
        <w:pStyle w:val="FootnoteText"/>
        <w:spacing w:line="360" w:lineRule="auto"/>
        <w:jc w:val="both"/>
        <w:rPr>
          <w:lang w:val="en-US"/>
        </w:rPr>
      </w:pPr>
      <w:r>
        <w:rPr>
          <w:rStyle w:val="FootnoteReference"/>
        </w:rPr>
        <w:footnoteRef/>
      </w:r>
      <w:r>
        <w:t xml:space="preserve"> </w:t>
      </w:r>
      <w:r w:rsidRPr="006D1A9E">
        <w:rPr>
          <w:i/>
        </w:rPr>
        <w:t xml:space="preserve">Underhill </w:t>
      </w:r>
      <w:r>
        <w:rPr>
          <w:i/>
        </w:rPr>
        <w:t>and</w:t>
      </w:r>
      <w:r w:rsidRPr="006D1A9E">
        <w:rPr>
          <w:i/>
        </w:rPr>
        <w:t xml:space="preserve"> Hayton</w:t>
      </w:r>
      <w:r w:rsidRPr="00416BAE">
        <w:t xml:space="preserve"> (</w:t>
      </w:r>
      <w:r w:rsidRPr="00416BAE">
        <w:rPr>
          <w:i/>
        </w:rPr>
        <w:t>op cit</w:t>
      </w:r>
      <w:r w:rsidRPr="00416BAE">
        <w:t xml:space="preserve"> n </w:t>
      </w:r>
      <w:r>
        <w:t>11</w:t>
      </w:r>
      <w:r w:rsidRPr="00416BAE">
        <w:t xml:space="preserve">), </w:t>
      </w:r>
      <w:r>
        <w:t>§56.23, and the cases cited there.</w:t>
      </w:r>
    </w:p>
  </w:footnote>
  <w:footnote w:id="97">
    <w:p w14:paraId="22BA3B90" w14:textId="63AF49A4"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Lifeplan</w:t>
      </w:r>
      <w:r>
        <w:t xml:space="preserve"> </w:t>
      </w:r>
      <w:r w:rsidRPr="00416BAE">
        <w:t>at [15]-[16]</w:t>
      </w:r>
      <w:r>
        <w:t xml:space="preserve"> </w:t>
      </w:r>
      <w:r>
        <w:rPr>
          <w:i/>
        </w:rPr>
        <w:t>per</w:t>
      </w:r>
      <w:r>
        <w:t xml:space="preserve"> </w:t>
      </w:r>
      <w:r w:rsidRPr="00416BAE">
        <w:t>Kiefel C</w:t>
      </w:r>
      <w:r>
        <w:t>.</w:t>
      </w:r>
      <w:r w:rsidRPr="00416BAE">
        <w:t>J</w:t>
      </w:r>
      <w:r>
        <w:t>.</w:t>
      </w:r>
      <w:r w:rsidRPr="00416BAE">
        <w:t>, Keane and Edelman JJ.</w:t>
      </w:r>
    </w:p>
  </w:footnote>
  <w:footnote w:id="98">
    <w:p w14:paraId="606AF7D9" w14:textId="738FAE8B" w:rsidR="00D54067" w:rsidRPr="00A85F44" w:rsidRDefault="00D54067" w:rsidP="00A217B5">
      <w:pPr>
        <w:pStyle w:val="FootnoteText"/>
        <w:spacing w:line="360" w:lineRule="auto"/>
        <w:jc w:val="both"/>
      </w:pPr>
      <w:r>
        <w:rPr>
          <w:rStyle w:val="FootnoteReference"/>
        </w:rPr>
        <w:footnoteRef/>
      </w:r>
      <w:r>
        <w:t xml:space="preserve"> </w:t>
      </w:r>
      <w:r w:rsidRPr="00A85F44">
        <w:t xml:space="preserve">See, eg, </w:t>
      </w:r>
      <w:r w:rsidRPr="00A85F44">
        <w:rPr>
          <w:i/>
        </w:rPr>
        <w:t>South Australia Insurance Co v Randall</w:t>
      </w:r>
      <w:r w:rsidRPr="00A85F44">
        <w:t xml:space="preserve"> (1869) L</w:t>
      </w:r>
      <w:r>
        <w:t>.</w:t>
      </w:r>
      <w:r w:rsidRPr="00A85F44">
        <w:t>R</w:t>
      </w:r>
      <w:r>
        <w:t>.</w:t>
      </w:r>
      <w:r w:rsidRPr="00A85F44">
        <w:t xml:space="preserve"> 3 P</w:t>
      </w:r>
      <w:r>
        <w:t>.</w:t>
      </w:r>
      <w:r w:rsidRPr="00A85F44">
        <w:t>C</w:t>
      </w:r>
      <w:r>
        <w:t>.</w:t>
      </w:r>
      <w:r w:rsidRPr="00A85F44">
        <w:t xml:space="preserve"> 101; </w:t>
      </w:r>
      <w:r w:rsidRPr="00A85F44">
        <w:rPr>
          <w:i/>
        </w:rPr>
        <w:t>Re Nevill</w:t>
      </w:r>
      <w:r w:rsidRPr="00A85F44">
        <w:t xml:space="preserve"> (1871) L</w:t>
      </w:r>
      <w:r>
        <w:t>.</w:t>
      </w:r>
      <w:r w:rsidRPr="00A85F44">
        <w:t>R</w:t>
      </w:r>
      <w:r>
        <w:t>.</w:t>
      </w:r>
      <w:r w:rsidRPr="00A85F44">
        <w:t xml:space="preserve"> 6 Ch</w:t>
      </w:r>
      <w:r>
        <w:t>.</w:t>
      </w:r>
      <w:r w:rsidRPr="00A85F44">
        <w:t xml:space="preserve"> App</w:t>
      </w:r>
      <w:r>
        <w:t>.</w:t>
      </w:r>
      <w:r w:rsidRPr="00A85F44">
        <w:t xml:space="preserve"> 397; </w:t>
      </w:r>
      <w:r w:rsidRPr="00A85F44">
        <w:rPr>
          <w:i/>
        </w:rPr>
        <w:t>Re Gross</w:t>
      </w:r>
      <w:r w:rsidRPr="00A85F44">
        <w:t xml:space="preserve"> (1871) 6 Ch</w:t>
      </w:r>
      <w:r>
        <w:t>.</w:t>
      </w:r>
      <w:r w:rsidRPr="00A85F44">
        <w:t xml:space="preserve"> App</w:t>
      </w:r>
      <w:r>
        <w:t>.</w:t>
      </w:r>
      <w:r w:rsidRPr="00A85F44">
        <w:t xml:space="preserve"> 632; </w:t>
      </w:r>
      <w:r w:rsidRPr="00A85F44">
        <w:rPr>
          <w:i/>
        </w:rPr>
        <w:t>Re Tilley’s WT</w:t>
      </w:r>
      <w:r w:rsidRPr="00A85F44">
        <w:t xml:space="preserve"> [1967] Ch</w:t>
      </w:r>
      <w:r>
        <w:t>.</w:t>
      </w:r>
      <w:r w:rsidRPr="00A85F44">
        <w:t xml:space="preserve"> 1179; </w:t>
      </w:r>
      <w:r w:rsidRPr="00A85F44">
        <w:rPr>
          <w:i/>
        </w:rPr>
        <w:t>Re Bond Worth Ltd</w:t>
      </w:r>
      <w:r w:rsidRPr="00A85F44">
        <w:t xml:space="preserve"> [1980] Ch</w:t>
      </w:r>
      <w:r>
        <w:t>.</w:t>
      </w:r>
      <w:r w:rsidRPr="00A85F44">
        <w:t xml:space="preserve"> 228; </w:t>
      </w:r>
      <w:r w:rsidRPr="00A85F44">
        <w:rPr>
          <w:i/>
        </w:rPr>
        <w:t>Paragon Finance plc v Thakerar &amp; Co</w:t>
      </w:r>
      <w:r w:rsidRPr="00A85F44">
        <w:t xml:space="preserve"> [1999] 1 All E</w:t>
      </w:r>
      <w:r>
        <w:t>.</w:t>
      </w:r>
      <w:r w:rsidRPr="00A85F44">
        <w:t>R</w:t>
      </w:r>
      <w:r>
        <w:t>.</w:t>
      </w:r>
      <w:r w:rsidRPr="00A85F44">
        <w:t xml:space="preserve"> 400, 416; </w:t>
      </w:r>
      <w:r w:rsidRPr="00A85F44">
        <w:rPr>
          <w:i/>
        </w:rPr>
        <w:t>Foskett v McKeown</w:t>
      </w:r>
      <w:r w:rsidRPr="00A85F44">
        <w:t xml:space="preserve"> [2001] 1 A</w:t>
      </w:r>
      <w:r>
        <w:t>.</w:t>
      </w:r>
      <w:r w:rsidRPr="00A85F44">
        <w:t>C</w:t>
      </w:r>
      <w:r>
        <w:t>.</w:t>
      </w:r>
      <w:r w:rsidRPr="00A85F44">
        <w:t xml:space="preserve"> 102</w:t>
      </w:r>
      <w:r>
        <w:t xml:space="preserve">; </w:t>
      </w:r>
      <w:r w:rsidRPr="00E76E14">
        <w:rPr>
          <w:i/>
        </w:rPr>
        <w:t>Re Lehman Brothers International (Europe)</w:t>
      </w:r>
      <w:r w:rsidRPr="00BE2101">
        <w:t xml:space="preserve"> [2010] EWHC 2914 (Ch) and [2011] EWCA Civ 1544, [2012] 2 B</w:t>
      </w:r>
      <w:r>
        <w:t>.</w:t>
      </w:r>
      <w:r w:rsidRPr="00BE2101">
        <w:t>C</w:t>
      </w:r>
      <w:r>
        <w:t>.</w:t>
      </w:r>
      <w:r w:rsidRPr="00BE2101">
        <w:t>L</w:t>
      </w:r>
      <w:r>
        <w:t>.</w:t>
      </w:r>
      <w:r w:rsidRPr="00BE2101">
        <w:t>C</w:t>
      </w:r>
      <w:r>
        <w:t>.</w:t>
      </w:r>
      <w:r w:rsidRPr="00BE2101">
        <w:t xml:space="preserve"> 151; </w:t>
      </w:r>
      <w:r w:rsidRPr="00E76E14">
        <w:rPr>
          <w:i/>
        </w:rPr>
        <w:t>Re Lehman Brothers International (Europe)</w:t>
      </w:r>
      <w:r w:rsidRPr="00BE2101">
        <w:t xml:space="preserve"> [2012] UKSC 6, [2012] 3 All E</w:t>
      </w:r>
      <w:r>
        <w:t>.</w:t>
      </w:r>
      <w:r w:rsidRPr="00BE2101">
        <w:t>R</w:t>
      </w:r>
      <w:r>
        <w:t>.</w:t>
      </w:r>
      <w:r w:rsidRPr="00BE2101">
        <w:t xml:space="preserve"> 1.</w:t>
      </w:r>
    </w:p>
  </w:footnote>
  <w:footnote w:id="99">
    <w:p w14:paraId="03904ADE" w14:textId="53497E7B" w:rsidR="00D54067" w:rsidRPr="00792EE2" w:rsidRDefault="00D54067" w:rsidP="00A217B5">
      <w:pPr>
        <w:pStyle w:val="FootnoteText"/>
        <w:spacing w:line="360" w:lineRule="auto"/>
        <w:jc w:val="both"/>
      </w:pPr>
      <w:r>
        <w:rPr>
          <w:rStyle w:val="FootnoteReference"/>
        </w:rPr>
        <w:footnoteRef/>
      </w:r>
      <w:r>
        <w:t xml:space="preserve"> </w:t>
      </w:r>
      <w:r w:rsidRPr="00E76E14">
        <w:rPr>
          <w:i/>
        </w:rPr>
        <w:t>Lupton v White</w:t>
      </w:r>
      <w:r w:rsidRPr="00792EE2">
        <w:t xml:space="preserve"> (1808) 15 Ves</w:t>
      </w:r>
      <w:r>
        <w:t>.</w:t>
      </w:r>
      <w:r w:rsidRPr="00792EE2">
        <w:t xml:space="preserve"> Jun</w:t>
      </w:r>
      <w:r>
        <w:t>.</w:t>
      </w:r>
      <w:r w:rsidRPr="00792EE2">
        <w:t xml:space="preserve"> 432</w:t>
      </w:r>
      <w:r>
        <w:t>, 33 E.R. 817</w:t>
      </w:r>
      <w:r w:rsidRPr="00792EE2">
        <w:t xml:space="preserve">, illustrating a rule as to the burden of proof.  See also </w:t>
      </w:r>
      <w:r w:rsidRPr="00E76E14">
        <w:rPr>
          <w:i/>
        </w:rPr>
        <w:t>Gray v Haig</w:t>
      </w:r>
      <w:r>
        <w:t xml:space="preserve"> </w:t>
      </w:r>
      <w:r w:rsidRPr="00792EE2">
        <w:t>(1855) 20 Beav</w:t>
      </w:r>
      <w:r>
        <w:t>.</w:t>
      </w:r>
      <w:r w:rsidRPr="00792EE2">
        <w:t xml:space="preserve"> 219</w:t>
      </w:r>
      <w:r>
        <w:t xml:space="preserve">, 52 E.R. 587; </w:t>
      </w:r>
      <w:r w:rsidRPr="00E76E14">
        <w:rPr>
          <w:i/>
        </w:rPr>
        <w:t>Cook v Addison</w:t>
      </w:r>
      <w:r>
        <w:t xml:space="preserve"> </w:t>
      </w:r>
      <w:r w:rsidRPr="00792EE2">
        <w:t>(1869) L</w:t>
      </w:r>
      <w:r>
        <w:t>.</w:t>
      </w:r>
      <w:r w:rsidRPr="00792EE2">
        <w:t>R</w:t>
      </w:r>
      <w:r>
        <w:t>.</w:t>
      </w:r>
      <w:r w:rsidRPr="00792EE2">
        <w:t xml:space="preserve"> 7 Eq</w:t>
      </w:r>
      <w:r>
        <w:t>.</w:t>
      </w:r>
      <w:r w:rsidRPr="00792EE2">
        <w:t xml:space="preserve"> 466, 470</w:t>
      </w:r>
      <w:r>
        <w:t xml:space="preserve"> </w:t>
      </w:r>
      <w:r>
        <w:rPr>
          <w:i/>
        </w:rPr>
        <w:t>per</w:t>
      </w:r>
      <w:r>
        <w:t xml:space="preserve"> </w:t>
      </w:r>
      <w:r w:rsidRPr="00792EE2">
        <w:t>Sir John Stuart V-C</w:t>
      </w:r>
      <w:r>
        <w:t xml:space="preserve">; </w:t>
      </w:r>
      <w:r w:rsidRPr="00E76E14">
        <w:rPr>
          <w:i/>
        </w:rPr>
        <w:t>Re Oatway</w:t>
      </w:r>
      <w:r w:rsidRPr="00792EE2">
        <w:t xml:space="preserve"> [1903] 2 Ch</w:t>
      </w:r>
      <w:r>
        <w:t>.</w:t>
      </w:r>
      <w:r w:rsidRPr="00792EE2">
        <w:t xml:space="preserve"> 356</w:t>
      </w:r>
      <w:r>
        <w:t xml:space="preserve">, </w:t>
      </w:r>
      <w:r w:rsidRPr="00792EE2">
        <w:t xml:space="preserve">359, </w:t>
      </w:r>
      <w:r w:rsidRPr="00E76E14">
        <w:rPr>
          <w:i/>
        </w:rPr>
        <w:t>per</w:t>
      </w:r>
      <w:r w:rsidRPr="00792EE2">
        <w:t xml:space="preserve"> Joyce J</w:t>
      </w:r>
      <w:r>
        <w:t xml:space="preserve">; </w:t>
      </w:r>
      <w:r w:rsidRPr="00E76E14">
        <w:rPr>
          <w:i/>
        </w:rPr>
        <w:t>Re Tilley’s WT</w:t>
      </w:r>
      <w:r w:rsidRPr="00792EE2">
        <w:t xml:space="preserve"> [1967] Ch</w:t>
      </w:r>
      <w:r>
        <w:t>.</w:t>
      </w:r>
      <w:r w:rsidRPr="00792EE2">
        <w:t xml:space="preserve"> 1179</w:t>
      </w:r>
      <w:r>
        <w:t xml:space="preserve">, </w:t>
      </w:r>
      <w:r w:rsidRPr="00792EE2">
        <w:t xml:space="preserve">1183, </w:t>
      </w:r>
      <w:r w:rsidRPr="00E76E14">
        <w:rPr>
          <w:i/>
        </w:rPr>
        <w:t>per</w:t>
      </w:r>
      <w:r w:rsidRPr="00792EE2">
        <w:t xml:space="preserve"> Ungoed-Thomas J.</w:t>
      </w:r>
    </w:p>
  </w:footnote>
  <w:footnote w:id="100">
    <w:p w14:paraId="45D29A98" w14:textId="44AB78F0"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Phipps v Boardman</w:t>
      </w:r>
      <w:r w:rsidRPr="00416BAE">
        <w:t>, [1964] 1 W</w:t>
      </w:r>
      <w:r>
        <w:t>.</w:t>
      </w:r>
      <w:r w:rsidRPr="00416BAE">
        <w:t>L</w:t>
      </w:r>
      <w:r>
        <w:t>.</w:t>
      </w:r>
      <w:r w:rsidRPr="00416BAE">
        <w:t>R</w:t>
      </w:r>
      <w:r>
        <w:t>.</w:t>
      </w:r>
      <w:r w:rsidRPr="00416BAE">
        <w:t xml:space="preserve"> 993</w:t>
      </w:r>
      <w:r>
        <w:t xml:space="preserve"> (Ch.D.), </w:t>
      </w:r>
      <w:r w:rsidRPr="00416BAE">
        <w:t>1018</w:t>
      </w:r>
      <w:r>
        <w:t xml:space="preserve">, </w:t>
      </w:r>
      <w:r>
        <w:rPr>
          <w:i/>
        </w:rPr>
        <w:t xml:space="preserve">per </w:t>
      </w:r>
      <w:r w:rsidRPr="00416BAE">
        <w:t>Wilberforce J</w:t>
      </w:r>
      <w:r w:rsidR="00BC4810">
        <w:t>.</w:t>
      </w:r>
      <w:r w:rsidRPr="00416BAE">
        <w:t xml:space="preserve"> and [1965] Ch</w:t>
      </w:r>
      <w:r>
        <w:t>.</w:t>
      </w:r>
      <w:r w:rsidRPr="00416BAE">
        <w:t xml:space="preserve"> 992 (CA)</w:t>
      </w:r>
      <w:r>
        <w:t xml:space="preserve"> at</w:t>
      </w:r>
      <w:r w:rsidRPr="00416BAE">
        <w:t xml:space="preserve"> 1020, aff’d </w:t>
      </w:r>
      <w:r w:rsidRPr="00416BAE">
        <w:rPr>
          <w:i/>
        </w:rPr>
        <w:t>sub nom Boardman v Phipps</w:t>
      </w:r>
      <w:r w:rsidRPr="00416BAE">
        <w:t xml:space="preserve"> [1967] 2 A</w:t>
      </w:r>
      <w:r>
        <w:t>.</w:t>
      </w:r>
      <w:r w:rsidRPr="00416BAE">
        <w:t>C</w:t>
      </w:r>
      <w:r>
        <w:t>.</w:t>
      </w:r>
      <w:r w:rsidRPr="00416BAE">
        <w:t xml:space="preserve"> 46; </w:t>
      </w:r>
      <w:r w:rsidRPr="00416BAE">
        <w:rPr>
          <w:i/>
        </w:rPr>
        <w:t>Hospital Products International Pty Ltd v United States Surgical Corporation</w:t>
      </w:r>
      <w:r w:rsidRPr="00416BAE">
        <w:rPr>
          <w:bCs/>
        </w:rPr>
        <w:t xml:space="preserve"> </w:t>
      </w:r>
      <w:r w:rsidRPr="00416BAE">
        <w:t>(1984) 156 C</w:t>
      </w:r>
      <w:r>
        <w:t>.</w:t>
      </w:r>
      <w:r w:rsidRPr="00416BAE">
        <w:t>L</w:t>
      </w:r>
      <w:r>
        <w:t>.</w:t>
      </w:r>
      <w:r w:rsidRPr="00416BAE">
        <w:t>R</w:t>
      </w:r>
      <w:r>
        <w:t>.</w:t>
      </w:r>
      <w:r w:rsidRPr="00416BAE">
        <w:t xml:space="preserve"> 4</w:t>
      </w:r>
      <w:r>
        <w:t xml:space="preserve">1.  </w:t>
      </w:r>
      <w:r w:rsidRPr="00416BAE">
        <w:t>Cf</w:t>
      </w:r>
      <w:r>
        <w:t>.</w:t>
      </w:r>
      <w:r w:rsidRPr="00416BAE">
        <w:t xml:space="preserve"> </w:t>
      </w:r>
      <w:r w:rsidRPr="00416BAE">
        <w:rPr>
          <w:i/>
        </w:rPr>
        <w:t>Warman International Ltd v Dwyer</w:t>
      </w:r>
      <w:r>
        <w:t xml:space="preserve"> </w:t>
      </w:r>
      <w:r w:rsidRPr="00416BAE">
        <w:t>(1995) 182 C</w:t>
      </w:r>
      <w:r>
        <w:t>.</w:t>
      </w:r>
      <w:r w:rsidRPr="00416BAE">
        <w:t>L</w:t>
      </w:r>
      <w:r>
        <w:t>.</w:t>
      </w:r>
      <w:r w:rsidRPr="00416BAE">
        <w:t>R</w:t>
      </w:r>
      <w:r>
        <w:t>.</w:t>
      </w:r>
      <w:r w:rsidRPr="00416BAE">
        <w:t xml:space="preserve"> 544</w:t>
      </w:r>
      <w:r>
        <w:t>;</w:t>
      </w:r>
      <w:r w:rsidRPr="00416BAE">
        <w:t xml:space="preserve"> </w:t>
      </w:r>
      <w:r w:rsidRPr="00416BAE">
        <w:rPr>
          <w:i/>
        </w:rPr>
        <w:t>O’Sullivan v Management Agency Ltd</w:t>
      </w:r>
      <w:r w:rsidRPr="00416BAE">
        <w:t xml:space="preserve"> [1985] Q</w:t>
      </w:r>
      <w:r>
        <w:t>.</w:t>
      </w:r>
      <w:r w:rsidRPr="00416BAE">
        <w:t>B</w:t>
      </w:r>
      <w:r>
        <w:t>.</w:t>
      </w:r>
      <w:r w:rsidRPr="00416BAE">
        <w:t xml:space="preserve"> 428.</w:t>
      </w:r>
    </w:p>
  </w:footnote>
  <w:footnote w:id="101">
    <w:p w14:paraId="698C03E0" w14:textId="3838F807" w:rsidR="00D54067" w:rsidRPr="00E76E14" w:rsidRDefault="00D54067" w:rsidP="00A217B5">
      <w:pPr>
        <w:pStyle w:val="FootnoteText"/>
        <w:spacing w:line="360" w:lineRule="auto"/>
        <w:jc w:val="both"/>
        <w:rPr>
          <w:lang w:val="en-US"/>
        </w:rPr>
      </w:pPr>
      <w:r>
        <w:rPr>
          <w:rStyle w:val="FootnoteReference"/>
        </w:rPr>
        <w:footnoteRef/>
      </w:r>
      <w:r>
        <w:t xml:space="preserve"> </w:t>
      </w:r>
      <w:r>
        <w:rPr>
          <w:lang w:val="en-US"/>
        </w:rPr>
        <w:t>See the cases cited in n</w:t>
      </w:r>
      <w:r w:rsidR="00F202B3">
        <w:rPr>
          <w:lang w:val="en-US"/>
        </w:rPr>
        <w:t>ote</w:t>
      </w:r>
      <w:r>
        <w:rPr>
          <w:lang w:val="en-US"/>
        </w:rPr>
        <w:t xml:space="preserve"> 96 above.</w:t>
      </w:r>
    </w:p>
  </w:footnote>
  <w:footnote w:id="102">
    <w:p w14:paraId="7C26972D" w14:textId="15B642B8"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lang w:eastAsia="zh-TW"/>
        </w:rPr>
        <w:t>D</w:t>
      </w:r>
      <w:r>
        <w:rPr>
          <w:lang w:eastAsia="zh-TW"/>
        </w:rPr>
        <w:t>.</w:t>
      </w:r>
      <w:r w:rsidRPr="00416BAE">
        <w:rPr>
          <w:lang w:eastAsia="zh-TW"/>
        </w:rPr>
        <w:t xml:space="preserve"> </w:t>
      </w:r>
      <w:r w:rsidRPr="00416BAE">
        <w:t>Friedma</w:t>
      </w:r>
      <w:r>
        <w:t>n</w:t>
      </w:r>
      <w:r w:rsidRPr="00416BAE">
        <w:t xml:space="preserve">n, </w:t>
      </w:r>
      <w:r>
        <w:rPr>
          <w:lang w:eastAsia="zh-TW"/>
        </w:rPr>
        <w:t>“</w:t>
      </w:r>
      <w:r w:rsidRPr="00416BAE">
        <w:t>The Performance Interest in Contract Damages</w:t>
      </w:r>
      <w:r>
        <w:rPr>
          <w:lang w:eastAsia="zh-TW"/>
        </w:rPr>
        <w:t>”</w:t>
      </w:r>
      <w:r w:rsidRPr="00416BAE">
        <w:t xml:space="preserve"> (1995)</w:t>
      </w:r>
      <w:r w:rsidRPr="00416BAE">
        <w:rPr>
          <w:lang w:eastAsia="zh-TW"/>
        </w:rPr>
        <w:t xml:space="preserve"> 111</w:t>
      </w:r>
      <w:r w:rsidRPr="00416BAE">
        <w:t xml:space="preserve"> L</w:t>
      </w:r>
      <w:r w:rsidR="00654847">
        <w:t>.Q.R</w:t>
      </w:r>
      <w:r w:rsidRPr="00416BAE">
        <w:t xml:space="preserve"> 628</w:t>
      </w:r>
      <w:r>
        <w:t xml:space="preserve">, </w:t>
      </w:r>
      <w:r w:rsidRPr="00416BAE">
        <w:t>629; B</w:t>
      </w:r>
      <w:r>
        <w:t>.</w:t>
      </w:r>
      <w:r w:rsidRPr="00416BAE">
        <w:t xml:space="preserve"> Coote, </w:t>
      </w:r>
      <w:r>
        <w:rPr>
          <w:lang w:eastAsia="zh-TW"/>
        </w:rPr>
        <w:t>“</w:t>
      </w:r>
      <w:r w:rsidRPr="00416BAE">
        <w:t xml:space="preserve">Contract Damages, </w:t>
      </w:r>
      <w:r w:rsidRPr="00416BAE">
        <w:rPr>
          <w:i/>
        </w:rPr>
        <w:t>Ruxley</w:t>
      </w:r>
      <w:r w:rsidRPr="00416BAE">
        <w:t xml:space="preserve"> and the Performance Interest</w:t>
      </w:r>
      <w:r>
        <w:rPr>
          <w:lang w:eastAsia="zh-TW"/>
        </w:rPr>
        <w:t>”</w:t>
      </w:r>
      <w:r w:rsidRPr="00416BAE">
        <w:t xml:space="preserve"> [1997] C</w:t>
      </w:r>
      <w:r w:rsidR="00654847">
        <w:t xml:space="preserve">.L.J. </w:t>
      </w:r>
      <w:r w:rsidRPr="00416BAE">
        <w:t>537</w:t>
      </w:r>
      <w:r>
        <w:t xml:space="preserve">, </w:t>
      </w:r>
      <w:r w:rsidRPr="00416BAE">
        <w:t>541-44; C</w:t>
      </w:r>
      <w:r>
        <w:t>.</w:t>
      </w:r>
      <w:r w:rsidRPr="00416BAE">
        <w:t xml:space="preserve"> Webb, </w:t>
      </w:r>
      <w:r>
        <w:rPr>
          <w:lang w:eastAsia="zh-TW"/>
        </w:rPr>
        <w:t>“</w:t>
      </w:r>
      <w:r w:rsidRPr="00416BAE">
        <w:t xml:space="preserve">Performance and Compensation: </w:t>
      </w:r>
      <w:r w:rsidR="002A7467">
        <w:t xml:space="preserve"> </w:t>
      </w:r>
      <w:r w:rsidRPr="00416BAE">
        <w:t>An Analysis of Contract Damages and Contractual Obligation</w:t>
      </w:r>
      <w:r>
        <w:rPr>
          <w:lang w:eastAsia="zh-TW"/>
        </w:rPr>
        <w:t>”</w:t>
      </w:r>
      <w:r w:rsidRPr="00416BAE">
        <w:t xml:space="preserve"> (2006) 26 </w:t>
      </w:r>
      <w:r w:rsidR="00F202B3">
        <w:t>O.J.L.S.</w:t>
      </w:r>
      <w:r w:rsidRPr="00416BAE">
        <w:t xml:space="preserve"> 41</w:t>
      </w:r>
      <w:r>
        <w:t xml:space="preserve">, </w:t>
      </w:r>
      <w:r w:rsidRPr="00416BAE">
        <w:t>45; S</w:t>
      </w:r>
      <w:r>
        <w:t>.</w:t>
      </w:r>
      <w:r w:rsidRPr="00416BAE">
        <w:t xml:space="preserve"> Rowan, </w:t>
      </w:r>
      <w:r w:rsidRPr="00416BAE">
        <w:rPr>
          <w:i/>
        </w:rPr>
        <w:t>Remedies for Breach of Contract</w:t>
      </w:r>
      <w:r w:rsidRPr="00416BAE">
        <w:rPr>
          <w:i/>
          <w:lang w:eastAsia="zh-TW"/>
        </w:rPr>
        <w:t>:</w:t>
      </w:r>
      <w:r w:rsidRPr="00416BAE">
        <w:rPr>
          <w:i/>
        </w:rPr>
        <w:t xml:space="preserve"> </w:t>
      </w:r>
      <w:r w:rsidR="002A7467">
        <w:rPr>
          <w:i/>
        </w:rPr>
        <w:t xml:space="preserve"> </w:t>
      </w:r>
      <w:r w:rsidRPr="00416BAE">
        <w:rPr>
          <w:i/>
        </w:rPr>
        <w:t>A Comparative Analysis of the Protection of Performance</w:t>
      </w:r>
      <w:r w:rsidRPr="00416BAE">
        <w:t xml:space="preserve"> (</w:t>
      </w:r>
      <w:r w:rsidR="00FF2E82">
        <w:rPr>
          <w:i/>
        </w:rPr>
        <w:t>op cit</w:t>
      </w:r>
      <w:r w:rsidR="00FF2E82">
        <w:t xml:space="preserve"> n 77</w:t>
      </w:r>
      <w:r w:rsidRPr="00416BAE">
        <w:t>)</w:t>
      </w:r>
      <w:r>
        <w:rPr>
          <w:lang w:eastAsia="zh-TW"/>
        </w:rPr>
        <w:t xml:space="preserve">, </w:t>
      </w:r>
      <w:r w:rsidR="00AF7368">
        <w:rPr>
          <w:lang w:eastAsia="zh-TW"/>
        </w:rPr>
        <w:t xml:space="preserve">p. </w:t>
      </w:r>
      <w:r w:rsidRPr="00416BAE">
        <w:t>30.</w:t>
      </w:r>
    </w:p>
  </w:footnote>
  <w:footnote w:id="103">
    <w:p w14:paraId="7F086F6B" w14:textId="0BAF39AB" w:rsidR="00D54067" w:rsidRPr="00416BAE" w:rsidRDefault="00D54067" w:rsidP="00A217B5">
      <w:pPr>
        <w:pStyle w:val="FootnoteText"/>
        <w:spacing w:line="360" w:lineRule="auto"/>
        <w:jc w:val="both"/>
      </w:pPr>
      <w:r w:rsidRPr="00416BAE">
        <w:rPr>
          <w:rStyle w:val="FootnoteReference"/>
        </w:rPr>
        <w:footnoteRef/>
      </w:r>
      <w:r w:rsidRPr="00416BAE">
        <w:t xml:space="preserve"> [2018] UKSC 20</w:t>
      </w:r>
      <w:r>
        <w:t xml:space="preserve">, </w:t>
      </w:r>
      <w:r w:rsidRPr="00623F4F">
        <w:t>[2018] 2 W</w:t>
      </w:r>
      <w:r>
        <w:t>.</w:t>
      </w:r>
      <w:r w:rsidRPr="00623F4F">
        <w:t>L</w:t>
      </w:r>
      <w:r>
        <w:t>.</w:t>
      </w:r>
      <w:r w:rsidRPr="00623F4F">
        <w:t>R</w:t>
      </w:r>
      <w:r>
        <w:t>.</w:t>
      </w:r>
      <w:r w:rsidRPr="00623F4F">
        <w:t xml:space="preserve"> 1353</w:t>
      </w:r>
      <w:r w:rsidRPr="00416BAE">
        <w:t>.</w:t>
      </w:r>
    </w:p>
  </w:footnote>
  <w:footnote w:id="104">
    <w:p w14:paraId="01A74CF1" w14:textId="54C617F5" w:rsidR="00D54067" w:rsidRPr="00416BAE" w:rsidRDefault="00D54067" w:rsidP="00A217B5">
      <w:pPr>
        <w:pStyle w:val="FootnoteText"/>
        <w:spacing w:line="360" w:lineRule="auto"/>
        <w:jc w:val="both"/>
      </w:pPr>
      <w:r w:rsidRPr="00416BAE">
        <w:rPr>
          <w:rStyle w:val="FootnoteReference"/>
        </w:rPr>
        <w:footnoteRef/>
      </w:r>
      <w:r w:rsidRPr="00416BAE">
        <w:t xml:space="preserve"> </w:t>
      </w:r>
      <w:r>
        <w:rPr>
          <w:i/>
        </w:rPr>
        <w:t xml:space="preserve">Ibid </w:t>
      </w:r>
      <w:r>
        <w:t xml:space="preserve">at </w:t>
      </w:r>
      <w:r w:rsidRPr="00416BAE">
        <w:t>[32].</w:t>
      </w:r>
    </w:p>
  </w:footnote>
  <w:footnote w:id="105">
    <w:p w14:paraId="0A3F70C7" w14:textId="0E2AC52B" w:rsidR="00D54067" w:rsidRPr="00416BAE" w:rsidRDefault="00D54067" w:rsidP="00A217B5">
      <w:pPr>
        <w:pStyle w:val="FootnoteText"/>
        <w:spacing w:line="360" w:lineRule="auto"/>
        <w:jc w:val="both"/>
      </w:pPr>
      <w:r w:rsidRPr="00416BAE">
        <w:rPr>
          <w:rStyle w:val="FootnoteReference"/>
        </w:rPr>
        <w:footnoteRef/>
      </w:r>
      <w:r w:rsidRPr="00416BAE">
        <w:t xml:space="preserve"> [2018] UKSC 20</w:t>
      </w:r>
      <w:r w:rsidRPr="00416BAE" w:rsidDel="009044BE">
        <w:rPr>
          <w:i/>
        </w:rPr>
        <w:t xml:space="preserve"> </w:t>
      </w:r>
      <w:r>
        <w:t xml:space="preserve">at </w:t>
      </w:r>
      <w:r w:rsidRPr="00416BAE">
        <w:t>[34]-[35].</w:t>
      </w:r>
    </w:p>
  </w:footnote>
  <w:footnote w:id="106">
    <w:p w14:paraId="6BA34B68" w14:textId="0A1D08A3" w:rsidR="00D54067" w:rsidRPr="00416BAE" w:rsidRDefault="00D54067" w:rsidP="00A217B5">
      <w:pPr>
        <w:pStyle w:val="FootnoteText"/>
        <w:spacing w:line="360" w:lineRule="auto"/>
        <w:jc w:val="both"/>
      </w:pPr>
      <w:r w:rsidRPr="00416BAE">
        <w:rPr>
          <w:rStyle w:val="FootnoteReference"/>
        </w:rPr>
        <w:footnoteRef/>
      </w:r>
      <w:r w:rsidRPr="00416BAE">
        <w:t xml:space="preserve"> </w:t>
      </w:r>
      <w:r>
        <w:t xml:space="preserve">As to specific performance, see, eg, </w:t>
      </w:r>
      <w:r>
        <w:rPr>
          <w:i/>
        </w:rPr>
        <w:t>Wilson v Northampton &amp; Banbury Junction Railwa</w:t>
      </w:r>
      <w:r w:rsidRPr="00D02920">
        <w:rPr>
          <w:i/>
        </w:rPr>
        <w:t xml:space="preserve">y Co </w:t>
      </w:r>
      <w:r>
        <w:t xml:space="preserve">(1874) LR. 9 Ch. App 279, 297, </w:t>
      </w:r>
      <w:r>
        <w:rPr>
          <w:i/>
        </w:rPr>
        <w:t xml:space="preserve">per </w:t>
      </w:r>
      <w:r>
        <w:t xml:space="preserve">Lord Selborne.  The cases are best discussed in </w:t>
      </w:r>
      <w:r>
        <w:rPr>
          <w:i/>
        </w:rPr>
        <w:t>Equity:  Doctrines &amp; Remedies</w:t>
      </w:r>
      <w:r>
        <w:t xml:space="preserve"> (</w:t>
      </w:r>
      <w:r>
        <w:rPr>
          <w:i/>
        </w:rPr>
        <w:t>op cit</w:t>
      </w:r>
      <w:r>
        <w:t xml:space="preserve"> n 45), §§[20-030]-[20-0050].  As regards </w:t>
      </w:r>
      <w:r w:rsidRPr="00416BAE">
        <w:t>the claim for cost of cure</w:t>
      </w:r>
      <w:r>
        <w:t xml:space="preserve">, see </w:t>
      </w:r>
      <w:r w:rsidRPr="00416BAE">
        <w:rPr>
          <w:i/>
        </w:rPr>
        <w:t>Ruxley Electronics and Construction Ltd v Forsyth</w:t>
      </w:r>
      <w:r w:rsidRPr="00416BAE">
        <w:t xml:space="preserve"> [1996] A</w:t>
      </w:r>
      <w:r>
        <w:t>.</w:t>
      </w:r>
      <w:r w:rsidRPr="00416BAE">
        <w:t>C</w:t>
      </w:r>
      <w:r>
        <w:t>.</w:t>
      </w:r>
      <w:r w:rsidRPr="00416BAE">
        <w:t xml:space="preserve"> 344, discussed in B Coote, “Contract Damages, </w:t>
      </w:r>
      <w:r w:rsidRPr="00416BAE">
        <w:rPr>
          <w:i/>
        </w:rPr>
        <w:t>Ruxley</w:t>
      </w:r>
      <w:r w:rsidRPr="00416BAE">
        <w:t xml:space="preserve">, and the Performance Interest” </w:t>
      </w:r>
      <w:r>
        <w:t>(</w:t>
      </w:r>
      <w:r>
        <w:rPr>
          <w:i/>
        </w:rPr>
        <w:t xml:space="preserve">op cit </w:t>
      </w:r>
      <w:r>
        <w:t>n 99)</w:t>
      </w:r>
      <w:r w:rsidRPr="00416BAE">
        <w:t>.</w:t>
      </w:r>
    </w:p>
  </w:footnote>
  <w:footnote w:id="107">
    <w:p w14:paraId="3ED630C0" w14:textId="785A29EB" w:rsidR="00D54067" w:rsidRPr="00416BAE" w:rsidRDefault="00D54067" w:rsidP="00A217B5">
      <w:pPr>
        <w:pStyle w:val="FootnoteText"/>
        <w:spacing w:line="360" w:lineRule="auto"/>
        <w:jc w:val="both"/>
      </w:pPr>
      <w:r w:rsidRPr="00416BAE">
        <w:rPr>
          <w:rStyle w:val="FootnoteReference"/>
        </w:rPr>
        <w:footnoteRef/>
      </w:r>
      <w:r w:rsidRPr="00416BAE">
        <w:t xml:space="preserve"> See above, </w:t>
      </w:r>
      <w:r>
        <w:t>Part 3</w:t>
      </w:r>
      <w:r w:rsidRPr="00416BAE">
        <w:t>.</w:t>
      </w:r>
    </w:p>
  </w:footnote>
  <w:footnote w:id="108">
    <w:p w14:paraId="3C7AD33D" w14:textId="4E667DA9" w:rsidR="00D54067" w:rsidRPr="00F04474" w:rsidRDefault="00D54067" w:rsidP="00A217B5">
      <w:pPr>
        <w:pStyle w:val="FootnoteText"/>
        <w:spacing w:line="360" w:lineRule="auto"/>
      </w:pPr>
      <w:r>
        <w:rPr>
          <w:rStyle w:val="FootnoteReference"/>
        </w:rPr>
        <w:footnoteRef/>
      </w:r>
      <w:r>
        <w:t xml:space="preserve"> See </w:t>
      </w:r>
      <w:r>
        <w:rPr>
          <w:i/>
        </w:rPr>
        <w:t>Meagher, Gummow &amp; Lehane</w:t>
      </w:r>
      <w:r>
        <w:t xml:space="preserve"> (</w:t>
      </w:r>
      <w:r>
        <w:rPr>
          <w:i/>
        </w:rPr>
        <w:t>op cit</w:t>
      </w:r>
      <w:r>
        <w:t xml:space="preserve"> n 45), §§</w:t>
      </w:r>
      <w:r>
        <w:rPr>
          <w:lang w:val="en-US"/>
        </w:rPr>
        <w:t>[21-195]-[21-235].</w:t>
      </w:r>
    </w:p>
  </w:footnote>
  <w:footnote w:id="109">
    <w:p w14:paraId="064ECA9F" w14:textId="4922A9CB" w:rsidR="00D54067" w:rsidRPr="00387073" w:rsidRDefault="00D54067" w:rsidP="00A217B5">
      <w:pPr>
        <w:pStyle w:val="FootnoteText"/>
        <w:spacing w:line="360" w:lineRule="auto"/>
        <w:rPr>
          <w:lang w:val="en-US"/>
        </w:rPr>
      </w:pPr>
      <w:r>
        <w:rPr>
          <w:rStyle w:val="FootnoteReference"/>
        </w:rPr>
        <w:footnoteRef/>
      </w:r>
      <w:r>
        <w:t xml:space="preserve"> </w:t>
      </w:r>
      <w:r>
        <w:rPr>
          <w:i/>
        </w:rPr>
        <w:t xml:space="preserve">Ibid </w:t>
      </w:r>
      <w:r>
        <w:t>§[</w:t>
      </w:r>
      <w:r>
        <w:rPr>
          <w:lang w:val="en-US"/>
        </w:rPr>
        <w:t>21-200].</w:t>
      </w:r>
    </w:p>
  </w:footnote>
  <w:footnote w:id="110">
    <w:p w14:paraId="3A190C68" w14:textId="4F3A901A" w:rsidR="00D54067" w:rsidRPr="00416BAE" w:rsidRDefault="00D54067" w:rsidP="00A217B5">
      <w:pPr>
        <w:pStyle w:val="FootnoteText"/>
        <w:spacing w:line="360" w:lineRule="auto"/>
        <w:jc w:val="both"/>
      </w:pPr>
      <w:r w:rsidRPr="00416BAE">
        <w:rPr>
          <w:rStyle w:val="FootnoteReference"/>
        </w:rPr>
        <w:footnoteRef/>
      </w:r>
      <w:r w:rsidRPr="00416BAE">
        <w:t xml:space="preserve"> [2000] UKHL 45, [2001] 1 A</w:t>
      </w:r>
      <w:r>
        <w:t>.</w:t>
      </w:r>
      <w:r w:rsidRPr="00416BAE">
        <w:t>C</w:t>
      </w:r>
      <w:r>
        <w:t>.</w:t>
      </w:r>
      <w:r w:rsidRPr="00416BAE">
        <w:t xml:space="preserve"> 268.</w:t>
      </w:r>
    </w:p>
  </w:footnote>
  <w:footnote w:id="111">
    <w:p w14:paraId="6DFDBB0F" w14:textId="3CA87054" w:rsidR="00D54067" w:rsidRPr="00193907" w:rsidRDefault="00D54067" w:rsidP="00A217B5">
      <w:pPr>
        <w:pStyle w:val="FootnoteText"/>
        <w:spacing w:line="360" w:lineRule="auto"/>
        <w:jc w:val="both"/>
      </w:pPr>
      <w:r w:rsidRPr="00416BAE">
        <w:rPr>
          <w:rStyle w:val="FootnoteReference"/>
        </w:rPr>
        <w:footnoteRef/>
      </w:r>
      <w:r w:rsidRPr="00416BAE">
        <w:t xml:space="preserve"> </w:t>
      </w:r>
      <w:r w:rsidR="00193907">
        <w:t xml:space="preserve">See, eg, </w:t>
      </w:r>
      <w:r w:rsidR="00193907" w:rsidRPr="00193907">
        <w:rPr>
          <w:i/>
        </w:rPr>
        <w:t>Chitty on Contacts</w:t>
      </w:r>
      <w:r w:rsidR="008C20A7">
        <w:t>, 33</w:t>
      </w:r>
      <w:r w:rsidR="008C20A7" w:rsidRPr="008C20A7">
        <w:rPr>
          <w:vertAlign w:val="superscript"/>
        </w:rPr>
        <w:t>rd</w:t>
      </w:r>
      <w:r w:rsidR="008C20A7">
        <w:t xml:space="preserve"> edn</w:t>
      </w:r>
      <w:r w:rsidR="00193907">
        <w:t xml:space="preserve"> (</w:t>
      </w:r>
      <w:r w:rsidR="00C77597">
        <w:t xml:space="preserve">London:  Sweet &amp; Maxwell, </w:t>
      </w:r>
      <w:r w:rsidR="008C20A7">
        <w:t>2016</w:t>
      </w:r>
      <w:r w:rsidR="00193907">
        <w:t>), §§</w:t>
      </w:r>
      <w:r w:rsidR="00193907">
        <w:rPr>
          <w:lang w:val="en-US"/>
        </w:rPr>
        <w:t>[26-062]-[26-065] and the works cited there.</w:t>
      </w:r>
    </w:p>
  </w:footnote>
  <w:footnote w:id="112">
    <w:p w14:paraId="39FE2104" w14:textId="76CFEBEA" w:rsidR="00D54067" w:rsidRPr="00416BAE" w:rsidRDefault="00D54067" w:rsidP="00A217B5">
      <w:pPr>
        <w:pStyle w:val="FootnoteText"/>
        <w:spacing w:line="360" w:lineRule="auto"/>
        <w:jc w:val="both"/>
      </w:pPr>
      <w:r w:rsidRPr="00416BAE">
        <w:rPr>
          <w:rStyle w:val="FootnoteReference"/>
        </w:rPr>
        <w:footnoteRef/>
      </w:r>
      <w:r w:rsidRPr="00416BAE">
        <w:t xml:space="preserve"> See</w:t>
      </w:r>
      <w:r>
        <w:t xml:space="preserve"> </w:t>
      </w:r>
      <w:r w:rsidR="003D4C2E">
        <w:t>Part 5(ii) above.</w:t>
      </w:r>
    </w:p>
  </w:footnote>
  <w:footnote w:id="113">
    <w:p w14:paraId="654565F3" w14:textId="0D424B4B" w:rsidR="00D54067" w:rsidRPr="00416BAE" w:rsidRDefault="00D54067" w:rsidP="00A217B5">
      <w:pPr>
        <w:pStyle w:val="FootnoteText"/>
        <w:spacing w:line="360" w:lineRule="auto"/>
        <w:jc w:val="both"/>
      </w:pPr>
      <w:r w:rsidRPr="00416BAE">
        <w:rPr>
          <w:rStyle w:val="FootnoteReference"/>
        </w:rPr>
        <w:footnoteRef/>
      </w:r>
      <w:r w:rsidRPr="00416BAE">
        <w:t xml:space="preserve"> See, most fully on these points, </w:t>
      </w:r>
      <w:r w:rsidRPr="00416BAE">
        <w:rPr>
          <w:i/>
        </w:rPr>
        <w:t>Warman v Dwyer</w:t>
      </w:r>
      <w:r w:rsidRPr="00416BAE">
        <w:t xml:space="preserve"> (1995) 182 C</w:t>
      </w:r>
      <w:r>
        <w:t>.</w:t>
      </w:r>
      <w:r w:rsidRPr="00416BAE">
        <w:t>L</w:t>
      </w:r>
      <w:r>
        <w:t>.</w:t>
      </w:r>
      <w:r w:rsidRPr="00416BAE">
        <w:t>R</w:t>
      </w:r>
      <w:r>
        <w:t>.</w:t>
      </w:r>
      <w:r w:rsidRPr="00416BAE">
        <w:t xml:space="preserve"> 544.</w:t>
      </w:r>
    </w:p>
  </w:footnote>
  <w:footnote w:id="114">
    <w:p w14:paraId="6A4101D9" w14:textId="530B79AB"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Photo Production Ltd v Securicor Transport Ltd</w:t>
      </w:r>
      <w:r w:rsidRPr="00416BAE">
        <w:t xml:space="preserve"> [1980] A</w:t>
      </w:r>
      <w:r>
        <w:t>.</w:t>
      </w:r>
      <w:r w:rsidRPr="00416BAE">
        <w:t>C</w:t>
      </w:r>
      <w:r>
        <w:t>.</w:t>
      </w:r>
      <w:r w:rsidRPr="00416BAE">
        <w:t xml:space="preserve"> 827, 849, </w:t>
      </w:r>
      <w:r w:rsidRPr="00416BAE">
        <w:rPr>
          <w:i/>
        </w:rPr>
        <w:t>per</w:t>
      </w:r>
      <w:r w:rsidRPr="00416BAE">
        <w:t xml:space="preserve"> Lord Diplock.</w:t>
      </w:r>
    </w:p>
  </w:footnote>
  <w:footnote w:id="115">
    <w:p w14:paraId="5AF0C915" w14:textId="5BB9430D" w:rsidR="00D54067" w:rsidRPr="00416BAE" w:rsidRDefault="00D54067" w:rsidP="00A217B5">
      <w:pPr>
        <w:pStyle w:val="FootnoteText"/>
        <w:spacing w:line="360" w:lineRule="auto"/>
        <w:jc w:val="both"/>
      </w:pPr>
      <w:r w:rsidRPr="00416BAE">
        <w:rPr>
          <w:rStyle w:val="FootnoteReference"/>
        </w:rPr>
        <w:footnoteRef/>
      </w:r>
      <w:r w:rsidRPr="00416BAE">
        <w:t xml:space="preserve"> [2018] UKSC 20</w:t>
      </w:r>
      <w:r>
        <w:t xml:space="preserve">, </w:t>
      </w:r>
      <w:r w:rsidRPr="00D4346B">
        <w:t>[2018] 2 W</w:t>
      </w:r>
      <w:r>
        <w:t>.</w:t>
      </w:r>
      <w:r w:rsidRPr="00D4346B">
        <w:t>L</w:t>
      </w:r>
      <w:r>
        <w:t>.</w:t>
      </w:r>
      <w:r w:rsidRPr="00D4346B">
        <w:t>R</w:t>
      </w:r>
      <w:r>
        <w:t>.</w:t>
      </w:r>
      <w:r w:rsidRPr="00D4346B">
        <w:t xml:space="preserve"> 1353</w:t>
      </w:r>
      <w:r w:rsidRPr="00416BAE">
        <w:t>.</w:t>
      </w:r>
    </w:p>
  </w:footnote>
  <w:footnote w:id="116">
    <w:p w14:paraId="625F1001" w14:textId="1C3FA970" w:rsidR="00D54067" w:rsidRPr="00416BAE" w:rsidRDefault="00D54067" w:rsidP="00A217B5">
      <w:pPr>
        <w:pStyle w:val="FootnoteText"/>
        <w:spacing w:line="360" w:lineRule="auto"/>
        <w:jc w:val="both"/>
        <w:rPr>
          <w:i/>
        </w:rPr>
      </w:pPr>
      <w:r w:rsidRPr="00416BAE">
        <w:rPr>
          <w:rStyle w:val="FootnoteReference"/>
        </w:rPr>
        <w:footnoteRef/>
      </w:r>
      <w:r w:rsidRPr="00416BAE">
        <w:t xml:space="preserve"> </w:t>
      </w:r>
      <w:r>
        <w:rPr>
          <w:i/>
        </w:rPr>
        <w:t>Ibid</w:t>
      </w:r>
      <w:r w:rsidRPr="006D1A9E">
        <w:t>.</w:t>
      </w:r>
    </w:p>
  </w:footnote>
  <w:footnote w:id="117">
    <w:p w14:paraId="73F5ED59" w14:textId="6B242C8F"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Ruxley Electronics &amp; Constructions Ltd v Forsyth</w:t>
      </w:r>
      <w:r w:rsidRPr="00416BAE">
        <w:t xml:space="preserve"> [1996] A</w:t>
      </w:r>
      <w:r>
        <w:t>.</w:t>
      </w:r>
      <w:r w:rsidRPr="00416BAE">
        <w:t>C</w:t>
      </w:r>
      <w:r>
        <w:t>.</w:t>
      </w:r>
      <w:r w:rsidRPr="00416BAE">
        <w:t xml:space="preserve"> 344.</w:t>
      </w:r>
    </w:p>
  </w:footnote>
  <w:footnote w:id="118">
    <w:p w14:paraId="3C9F5A41" w14:textId="00ED1AD9" w:rsidR="00D54067" w:rsidRPr="00416BAE" w:rsidRDefault="00D54067" w:rsidP="00A217B5">
      <w:pPr>
        <w:pStyle w:val="FootnoteText"/>
        <w:spacing w:line="360" w:lineRule="auto"/>
        <w:jc w:val="both"/>
        <w:rPr>
          <w:i/>
        </w:rPr>
      </w:pPr>
      <w:r w:rsidRPr="00416BAE">
        <w:rPr>
          <w:rStyle w:val="FootnoteReference"/>
        </w:rPr>
        <w:footnoteRef/>
      </w:r>
      <w:r w:rsidRPr="00416BAE">
        <w:t xml:space="preserve"> </w:t>
      </w:r>
      <w:r>
        <w:rPr>
          <w:i/>
        </w:rPr>
        <w:t>Ibid</w:t>
      </w:r>
      <w:r w:rsidRPr="00416BAE">
        <w:rPr>
          <w:i/>
        </w:rPr>
        <w:t>.</w:t>
      </w:r>
    </w:p>
  </w:footnote>
  <w:footnote w:id="119">
    <w:p w14:paraId="577D2087" w14:textId="09A2881F" w:rsidR="00D54067" w:rsidRPr="00250A23" w:rsidRDefault="00D54067" w:rsidP="00A217B5">
      <w:pPr>
        <w:pStyle w:val="FootnoteText"/>
        <w:spacing w:line="360" w:lineRule="auto"/>
        <w:jc w:val="both"/>
      </w:pPr>
      <w:r>
        <w:rPr>
          <w:rStyle w:val="FootnoteReference"/>
        </w:rPr>
        <w:footnoteRef/>
      </w:r>
      <w:r>
        <w:t xml:space="preserve"> See, eg, </w:t>
      </w:r>
      <w:r w:rsidRPr="00096386">
        <w:rPr>
          <w:i/>
        </w:rPr>
        <w:t>Reeve v A-G</w:t>
      </w:r>
      <w:r w:rsidRPr="00096386">
        <w:t xml:space="preserve"> (1843) 3 Hare 191</w:t>
      </w:r>
      <w:r>
        <w:t xml:space="preserve">, 67 E.R. 351; </w:t>
      </w:r>
      <w:r>
        <w:rPr>
          <w:i/>
        </w:rPr>
        <w:t>Re Lawton</w:t>
      </w:r>
      <w:r>
        <w:t xml:space="preserve"> </w:t>
      </w:r>
      <w:r w:rsidRPr="007560C2">
        <w:t>[1936] 3 All E</w:t>
      </w:r>
      <w:r>
        <w:t>.</w:t>
      </w:r>
      <w:r w:rsidRPr="007560C2">
        <w:t>R</w:t>
      </w:r>
      <w:r>
        <w:t>.</w:t>
      </w:r>
      <w:r w:rsidRPr="007560C2">
        <w:t xml:space="preserve"> 378</w:t>
      </w:r>
      <w:r>
        <w:t xml:space="preserve"> at </w:t>
      </w:r>
      <w:r w:rsidRPr="007560C2">
        <w:t>380</w:t>
      </w:r>
      <w:r>
        <w:t xml:space="preserve"> </w:t>
      </w:r>
      <w:r>
        <w:rPr>
          <w:i/>
        </w:rPr>
        <w:t>per</w:t>
      </w:r>
      <w:r>
        <w:t xml:space="preserve"> Bennett J; </w:t>
      </w:r>
      <w:r w:rsidRPr="006D1A9E">
        <w:rPr>
          <w:i/>
        </w:rPr>
        <w:t xml:space="preserve">Underhill </w:t>
      </w:r>
      <w:r>
        <w:rPr>
          <w:i/>
        </w:rPr>
        <w:t>and</w:t>
      </w:r>
      <w:r w:rsidRPr="006D1A9E">
        <w:rPr>
          <w:i/>
        </w:rPr>
        <w:t xml:space="preserve"> Hayton</w:t>
      </w:r>
      <w:r w:rsidRPr="00416BAE" w:rsidDel="002514D4">
        <w:t xml:space="preserve"> </w:t>
      </w:r>
      <w:r w:rsidRPr="00416BAE">
        <w:t>(</w:t>
      </w:r>
      <w:r w:rsidRPr="00416BAE">
        <w:rPr>
          <w:i/>
        </w:rPr>
        <w:t>op cit</w:t>
      </w:r>
      <w:r w:rsidRPr="00416BAE">
        <w:t xml:space="preserve"> n </w:t>
      </w:r>
      <w:r>
        <w:t>11</w:t>
      </w:r>
      <w:r w:rsidRPr="00416BAE">
        <w:t>)</w:t>
      </w:r>
      <w:r>
        <w:t>, §34.6</w:t>
      </w:r>
      <w:r w:rsidRPr="00250A23">
        <w:t>.</w:t>
      </w:r>
    </w:p>
  </w:footnote>
  <w:footnote w:id="120">
    <w:p w14:paraId="67959517" w14:textId="45C20F71" w:rsidR="00D54067" w:rsidRPr="00B35EFB" w:rsidRDefault="00D54067" w:rsidP="00A217B5">
      <w:pPr>
        <w:pStyle w:val="FootnoteText"/>
        <w:spacing w:line="360" w:lineRule="auto"/>
        <w:jc w:val="both"/>
        <w:rPr>
          <w:lang w:val="en-US"/>
        </w:rPr>
      </w:pPr>
      <w:r>
        <w:rPr>
          <w:rStyle w:val="FootnoteReference"/>
        </w:rPr>
        <w:footnoteRef/>
      </w:r>
      <w:r>
        <w:t xml:space="preserve"> </w:t>
      </w:r>
      <w:r>
        <w:rPr>
          <w:lang w:val="en-US"/>
        </w:rPr>
        <w:t xml:space="preserve">See, eg, </w:t>
      </w:r>
      <w:r w:rsidRPr="00B35EFB">
        <w:rPr>
          <w:i/>
          <w:lang w:val="en-US"/>
        </w:rPr>
        <w:t>Re Lysaght</w:t>
      </w:r>
      <w:r w:rsidRPr="00B35EFB">
        <w:rPr>
          <w:lang w:val="en-US"/>
        </w:rPr>
        <w:t xml:space="preserve"> [1966] Ch</w:t>
      </w:r>
      <w:r>
        <w:rPr>
          <w:lang w:val="en-US"/>
        </w:rPr>
        <w:t>.</w:t>
      </w:r>
      <w:r w:rsidRPr="00B35EFB">
        <w:rPr>
          <w:lang w:val="en-US"/>
        </w:rPr>
        <w:t xml:space="preserve"> 191.</w:t>
      </w:r>
    </w:p>
  </w:footnote>
  <w:footnote w:id="121">
    <w:p w14:paraId="57CD67E1" w14:textId="131518FD" w:rsidR="00D54067" w:rsidRPr="00416BAE" w:rsidRDefault="00D54067" w:rsidP="00A217B5">
      <w:pPr>
        <w:pStyle w:val="FootnoteText"/>
        <w:spacing w:line="360" w:lineRule="auto"/>
        <w:jc w:val="both"/>
      </w:pPr>
      <w:r w:rsidRPr="00416BAE">
        <w:rPr>
          <w:rStyle w:val="FootnoteReference"/>
        </w:rPr>
        <w:footnoteRef/>
      </w:r>
      <w:r w:rsidRPr="00416BAE">
        <w:t xml:space="preserve"> See, e.g., the definitions of “trustee”</w:t>
      </w:r>
      <w:r>
        <w:t>, and the provisions for the appointment and retirement of trustees,</w:t>
      </w:r>
      <w:r w:rsidRPr="00416BAE">
        <w:t xml:space="preserve"> in the precedent settlements </w:t>
      </w:r>
      <w:r>
        <w:t xml:space="preserve">of Lord Millett (ed), </w:t>
      </w:r>
      <w:r w:rsidRPr="00FE2069">
        <w:rPr>
          <w:i/>
        </w:rPr>
        <w:t>The Encyclopaedia of Forms and Precedents</w:t>
      </w:r>
      <w:r>
        <w:t>,</w:t>
      </w:r>
      <w:r w:rsidRPr="00416BAE">
        <w:t xml:space="preserve"> </w:t>
      </w:r>
      <w:r>
        <w:t>5</w:t>
      </w:r>
      <w:r w:rsidRPr="006D1A9E">
        <w:t>th</w:t>
      </w:r>
      <w:r>
        <w:t xml:space="preserve"> edn (London: </w:t>
      </w:r>
      <w:r w:rsidR="002A7467">
        <w:t xml:space="preserve"> </w:t>
      </w:r>
      <w:r>
        <w:t>LexisNexis, 2005), vol 40(1).</w:t>
      </w:r>
    </w:p>
  </w:footnote>
  <w:footnote w:id="122">
    <w:p w14:paraId="2D0005AF" w14:textId="4546B4FA" w:rsidR="00D54067" w:rsidRPr="00DA4EBC" w:rsidRDefault="00D54067" w:rsidP="00A217B5">
      <w:pPr>
        <w:pStyle w:val="FootnoteText"/>
        <w:spacing w:line="360" w:lineRule="auto"/>
        <w:rPr>
          <w:lang w:val="en-US"/>
        </w:rPr>
      </w:pPr>
      <w:r>
        <w:rPr>
          <w:rStyle w:val="FootnoteReference"/>
        </w:rPr>
        <w:footnoteRef/>
      </w:r>
      <w:r>
        <w:t xml:space="preserve"> </w:t>
      </w:r>
      <w:r w:rsidR="00DA4EBC">
        <w:rPr>
          <w:lang w:val="en-US"/>
        </w:rPr>
        <w:t xml:space="preserve">See, eg, </w:t>
      </w:r>
      <w:r w:rsidR="00DA4EBC" w:rsidRPr="00497CC9">
        <w:rPr>
          <w:i/>
          <w:lang w:val="en-US"/>
        </w:rPr>
        <w:t xml:space="preserve">Lewin </w:t>
      </w:r>
      <w:r w:rsidR="00497CC9" w:rsidRPr="00497CC9">
        <w:rPr>
          <w:i/>
          <w:lang w:val="en-US"/>
        </w:rPr>
        <w:t>on Trusts</w:t>
      </w:r>
      <w:r w:rsidR="00497CC9">
        <w:rPr>
          <w:lang w:val="en-US"/>
        </w:rPr>
        <w:t xml:space="preserve"> </w:t>
      </w:r>
      <w:r w:rsidR="00DA4EBC">
        <w:rPr>
          <w:lang w:val="en-US"/>
        </w:rPr>
        <w:t>(</w:t>
      </w:r>
      <w:r w:rsidR="00DA4EBC">
        <w:rPr>
          <w:i/>
          <w:lang w:val="en-US"/>
        </w:rPr>
        <w:t>op cit</w:t>
      </w:r>
      <w:r w:rsidR="00DA4EBC">
        <w:rPr>
          <w:lang w:val="en-US"/>
        </w:rPr>
        <w:t xml:space="preserve"> n </w:t>
      </w:r>
      <w:r w:rsidR="00497CC9">
        <w:rPr>
          <w:lang w:val="en-US"/>
        </w:rPr>
        <w:t>15</w:t>
      </w:r>
      <w:r w:rsidR="00DA4EBC">
        <w:rPr>
          <w:lang w:val="en-US"/>
        </w:rPr>
        <w:t xml:space="preserve">), </w:t>
      </w:r>
      <w:r w:rsidR="00DA4EBC">
        <w:t>§§[29-093]-[29-120].</w:t>
      </w:r>
    </w:p>
  </w:footnote>
  <w:footnote w:id="123">
    <w:p w14:paraId="1CD2F9A6" w14:textId="072BC0EE" w:rsidR="00D54067" w:rsidRPr="00187992" w:rsidRDefault="00D54067" w:rsidP="00A217B5">
      <w:pPr>
        <w:pStyle w:val="FootnoteText"/>
        <w:spacing w:line="360" w:lineRule="auto"/>
      </w:pPr>
      <w:r>
        <w:rPr>
          <w:rStyle w:val="FootnoteReference"/>
        </w:rPr>
        <w:footnoteRef/>
      </w:r>
      <w:r>
        <w:t xml:space="preserve"> See, eg, </w:t>
      </w:r>
      <w:r w:rsidRPr="000E3919">
        <w:rPr>
          <w:i/>
        </w:rPr>
        <w:t>Wilson v Turner</w:t>
      </w:r>
      <w:r>
        <w:t xml:space="preserve"> (1883) 22 Ch.D. 521 and </w:t>
      </w:r>
      <w:r w:rsidRPr="000E3919">
        <w:rPr>
          <w:i/>
        </w:rPr>
        <w:t>Turner v Turner</w:t>
      </w:r>
      <w:r>
        <w:t xml:space="preserve"> [1984] Ch. 100.</w:t>
      </w:r>
    </w:p>
  </w:footnote>
  <w:footnote w:id="124">
    <w:p w14:paraId="56940E27" w14:textId="20645ADB" w:rsidR="00D54067" w:rsidRPr="000E3919" w:rsidRDefault="00D54067" w:rsidP="00A217B5">
      <w:pPr>
        <w:pStyle w:val="FootnoteText"/>
        <w:spacing w:line="360" w:lineRule="auto"/>
        <w:rPr>
          <w:lang w:val="en-US"/>
        </w:rPr>
      </w:pPr>
      <w:r>
        <w:rPr>
          <w:rStyle w:val="FootnoteReference"/>
        </w:rPr>
        <w:footnoteRef/>
      </w:r>
      <w:r>
        <w:t xml:space="preserve"> </w:t>
      </w:r>
      <w:r w:rsidR="00BF7533" w:rsidRPr="00497CC9">
        <w:rPr>
          <w:i/>
          <w:lang w:val="en-US"/>
        </w:rPr>
        <w:t>Lewin on Trusts</w:t>
      </w:r>
      <w:r w:rsidR="00BF7533">
        <w:rPr>
          <w:lang w:val="en-US"/>
        </w:rPr>
        <w:t xml:space="preserve"> (</w:t>
      </w:r>
      <w:r w:rsidR="00BF7533">
        <w:rPr>
          <w:i/>
          <w:lang w:val="en-US"/>
        </w:rPr>
        <w:t>op cit</w:t>
      </w:r>
      <w:r w:rsidR="00BF7533">
        <w:rPr>
          <w:lang w:val="en-US"/>
        </w:rPr>
        <w:t xml:space="preserve"> n 15), </w:t>
      </w:r>
      <w:r w:rsidR="00BF7533">
        <w:t xml:space="preserve">§§[29-093]-[29-120].  Indeed, the express terms of </w:t>
      </w:r>
      <w:r>
        <w:rPr>
          <w:lang w:val="en-US"/>
        </w:rPr>
        <w:t xml:space="preserve">settlements </w:t>
      </w:r>
      <w:r w:rsidR="00BF7533">
        <w:rPr>
          <w:lang w:val="en-US"/>
        </w:rPr>
        <w:t xml:space="preserve">are </w:t>
      </w:r>
      <w:r>
        <w:rPr>
          <w:lang w:val="en-US"/>
        </w:rPr>
        <w:t xml:space="preserve">very commonly more permissive </w:t>
      </w:r>
      <w:r w:rsidR="00BF7533">
        <w:rPr>
          <w:lang w:val="en-US"/>
        </w:rPr>
        <w:t xml:space="preserve">still </w:t>
      </w:r>
      <w:r>
        <w:rPr>
          <w:lang w:val="en-US"/>
        </w:rPr>
        <w:t>of delegation</w:t>
      </w:r>
      <w:r w:rsidR="00BF7533">
        <w:rPr>
          <w:lang w:val="en-US"/>
        </w:rPr>
        <w:t>:  s</w:t>
      </w:r>
      <w:r>
        <w:rPr>
          <w:lang w:val="en-US"/>
        </w:rPr>
        <w:t xml:space="preserve">ee </w:t>
      </w:r>
      <w:r w:rsidRPr="00FE2069">
        <w:rPr>
          <w:i/>
        </w:rPr>
        <w:t>The Encyclopaedia of Forms and Precedents</w:t>
      </w:r>
      <w:r>
        <w:t xml:space="preserve">, </w:t>
      </w:r>
      <w:r w:rsidR="00BF7533">
        <w:t>(</w:t>
      </w:r>
      <w:r>
        <w:rPr>
          <w:i/>
        </w:rPr>
        <w:t xml:space="preserve">op cit </w:t>
      </w:r>
      <w:r>
        <w:t>n 118)</w:t>
      </w:r>
      <w:r>
        <w:rPr>
          <w:lang w:val="en-US"/>
        </w:rPr>
        <w:t>.</w:t>
      </w:r>
    </w:p>
  </w:footnote>
  <w:footnote w:id="125">
    <w:p w14:paraId="59EB8D46" w14:textId="44FE4053" w:rsidR="00D54067" w:rsidRPr="00416BAE" w:rsidRDefault="00D54067" w:rsidP="00A217B5">
      <w:pPr>
        <w:pStyle w:val="FootnoteText"/>
        <w:spacing w:line="360" w:lineRule="auto"/>
        <w:jc w:val="both"/>
      </w:pPr>
      <w:r w:rsidRPr="00416BAE">
        <w:rPr>
          <w:rStyle w:val="FootnoteReference"/>
        </w:rPr>
        <w:footnoteRef/>
      </w:r>
      <w:r w:rsidRPr="00416BAE">
        <w:t xml:space="preserve"> Senior Courts Act 1981, s</w:t>
      </w:r>
      <w:r w:rsidR="00BF7533">
        <w:t xml:space="preserve"> </w:t>
      </w:r>
      <w:r w:rsidRPr="00416BAE">
        <w:t>39.</w:t>
      </w:r>
    </w:p>
  </w:footnote>
  <w:footnote w:id="126">
    <w:p w14:paraId="462BD5BC" w14:textId="56937E67"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416BAE">
        <w:rPr>
          <w:i/>
        </w:rPr>
        <w:t>Co-operative Insurance Ltd v Argyll Stores Ltd</w:t>
      </w:r>
      <w:r w:rsidRPr="00416BAE">
        <w:t xml:space="preserve"> [1997] UKHL 17, [1998] A</w:t>
      </w:r>
      <w:r>
        <w:t>.</w:t>
      </w:r>
      <w:r w:rsidRPr="00416BAE">
        <w:t>C</w:t>
      </w:r>
      <w:r>
        <w:t>.</w:t>
      </w:r>
      <w:r w:rsidRPr="00416BAE">
        <w:t xml:space="preserve"> 1.</w:t>
      </w:r>
    </w:p>
  </w:footnote>
  <w:footnote w:id="127">
    <w:p w14:paraId="0E3ECB52" w14:textId="73651EEA" w:rsidR="00D54067" w:rsidRPr="00416BAE" w:rsidRDefault="00D54067" w:rsidP="00A217B5">
      <w:pPr>
        <w:pStyle w:val="FootnoteText"/>
        <w:spacing w:line="360" w:lineRule="auto"/>
        <w:jc w:val="both"/>
      </w:pPr>
      <w:r w:rsidRPr="00416BAE">
        <w:rPr>
          <w:rStyle w:val="FootnoteReference"/>
        </w:rPr>
        <w:footnoteRef/>
      </w:r>
      <w:r w:rsidRPr="00416BAE">
        <w:t xml:space="preserve"> </w:t>
      </w:r>
      <w:r w:rsidRPr="00FE2069">
        <w:rPr>
          <w:i/>
        </w:rPr>
        <w:t>Re Lysaght</w:t>
      </w:r>
      <w:r w:rsidRPr="00416BAE">
        <w:t xml:space="preserve"> [1966] Ch</w:t>
      </w:r>
      <w:r>
        <w:t>.</w:t>
      </w:r>
      <w:r w:rsidRPr="00416BAE">
        <w:t xml:space="preserve"> 191.  The failed trust was charitable in nature, and so on failure the assets were applied </w:t>
      </w:r>
      <w:r w:rsidRPr="00FE2069">
        <w:rPr>
          <w:i/>
        </w:rPr>
        <w:t>cy-près</w:t>
      </w:r>
      <w:r w:rsidRPr="00416BAE">
        <w:t xml:space="preserve"> by the court.</w:t>
      </w:r>
    </w:p>
  </w:footnote>
  <w:footnote w:id="128">
    <w:p w14:paraId="412F8A89" w14:textId="08885B7C" w:rsidR="00D54067" w:rsidRPr="00416BAE" w:rsidRDefault="00D54067" w:rsidP="00A217B5">
      <w:pPr>
        <w:pStyle w:val="FootnoteText"/>
        <w:spacing w:line="360" w:lineRule="auto"/>
        <w:jc w:val="both"/>
      </w:pPr>
      <w:r w:rsidRPr="00416BAE">
        <w:rPr>
          <w:rStyle w:val="FootnoteReference"/>
        </w:rPr>
        <w:footnoteRef/>
      </w:r>
      <w:r w:rsidRPr="00416BAE">
        <w:t xml:space="preserve"> For this argument in the context of restitution for wrongs, see </w:t>
      </w:r>
      <w:r>
        <w:t xml:space="preserve">I.M. </w:t>
      </w:r>
      <w:r w:rsidRPr="00416BAE">
        <w:t>Jackman, “Restitution for Wrongs” [1989] C</w:t>
      </w:r>
      <w:r>
        <w:t>.L.J.</w:t>
      </w:r>
      <w:r w:rsidRPr="00416BAE">
        <w:t xml:space="preserve"> 302.</w:t>
      </w:r>
    </w:p>
  </w:footnote>
  <w:footnote w:id="129">
    <w:p w14:paraId="49D6FCBB" w14:textId="722A5FD6" w:rsidR="00D54067" w:rsidRPr="00416BAE" w:rsidRDefault="00D54067" w:rsidP="00A217B5">
      <w:pPr>
        <w:pStyle w:val="FootnoteText"/>
        <w:spacing w:line="360" w:lineRule="auto"/>
        <w:jc w:val="both"/>
      </w:pPr>
      <w:r w:rsidRPr="00416BAE">
        <w:rPr>
          <w:rStyle w:val="FootnoteReference"/>
        </w:rPr>
        <w:footnoteRef/>
      </w:r>
      <w:r w:rsidRPr="00416BAE">
        <w:t xml:space="preserve"> </w:t>
      </w:r>
      <w:r>
        <w:t xml:space="preserve">R.C. </w:t>
      </w:r>
      <w:r w:rsidRPr="00416BAE">
        <w:t>Nolan, “Equitable Property” (2006) 122 L</w:t>
      </w:r>
      <w:r>
        <w:t>.Q.R.</w:t>
      </w:r>
      <w:r w:rsidRPr="00416BAE">
        <w:t xml:space="preserve"> 232.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A78"/>
    <w:multiLevelType w:val="hybridMultilevel"/>
    <w:tmpl w:val="76D2E2A0"/>
    <w:lvl w:ilvl="0" w:tplc="FBDA6A56">
      <w:start w:val="1"/>
      <w:numFmt w:val="decimal"/>
      <w:lvlText w:val="&quot;(%1)"/>
      <w:lvlJc w:val="left"/>
      <w:pPr>
        <w:ind w:left="1260" w:hanging="360"/>
      </w:pPr>
      <w:rPr>
        <w:rFonts w:hint="default"/>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15:restartNumberingAfterBreak="0">
    <w:nsid w:val="1C005583"/>
    <w:multiLevelType w:val="hybridMultilevel"/>
    <w:tmpl w:val="1A08E582"/>
    <w:lvl w:ilvl="0" w:tplc="4978E66A">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DC0385"/>
    <w:multiLevelType w:val="hybridMultilevel"/>
    <w:tmpl w:val="642A1026"/>
    <w:lvl w:ilvl="0" w:tplc="0134825E">
      <w:start w:val="1"/>
      <w:numFmt w:val="decimal"/>
      <w:lvlText w:val="%1."/>
      <w:lvlJc w:val="left"/>
      <w:pPr>
        <w:ind w:left="720" w:hanging="360"/>
      </w:pPr>
      <w:rPr>
        <w:rFonts w:cs="Times New Roman (Body C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64875"/>
    <w:multiLevelType w:val="multilevel"/>
    <w:tmpl w:val="0960F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72143C3"/>
    <w:multiLevelType w:val="hybridMultilevel"/>
    <w:tmpl w:val="8EF84834"/>
    <w:lvl w:ilvl="0" w:tplc="568833A4">
      <w:start w:val="1"/>
      <w:numFmt w:val="bullet"/>
      <w:lvlText w:val="-"/>
      <w:lvlJc w:val="left"/>
      <w:pPr>
        <w:ind w:left="720" w:hanging="360"/>
      </w:pPr>
      <w:rPr>
        <w:rFonts w:ascii="Calibri" w:eastAsiaTheme="minorHAnsi"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6929246E"/>
    <w:multiLevelType w:val="multilevel"/>
    <w:tmpl w:val="DE1EA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D34421"/>
    <w:multiLevelType w:val="hybridMultilevel"/>
    <w:tmpl w:val="A628E14E"/>
    <w:lvl w:ilvl="0" w:tplc="9B2A0BB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48"/>
    <w:rsid w:val="00000E9C"/>
    <w:rsid w:val="000036C4"/>
    <w:rsid w:val="0000582F"/>
    <w:rsid w:val="00006505"/>
    <w:rsid w:val="00006F11"/>
    <w:rsid w:val="00007FF0"/>
    <w:rsid w:val="000108CE"/>
    <w:rsid w:val="0001210D"/>
    <w:rsid w:val="00012CEC"/>
    <w:rsid w:val="00013A1A"/>
    <w:rsid w:val="00013C03"/>
    <w:rsid w:val="00014ED7"/>
    <w:rsid w:val="00015DF1"/>
    <w:rsid w:val="0001728F"/>
    <w:rsid w:val="00020D91"/>
    <w:rsid w:val="00020F6F"/>
    <w:rsid w:val="00022584"/>
    <w:rsid w:val="00023D65"/>
    <w:rsid w:val="00025A21"/>
    <w:rsid w:val="0002637C"/>
    <w:rsid w:val="00026966"/>
    <w:rsid w:val="00032491"/>
    <w:rsid w:val="00032707"/>
    <w:rsid w:val="00032807"/>
    <w:rsid w:val="00040083"/>
    <w:rsid w:val="00041030"/>
    <w:rsid w:val="00042575"/>
    <w:rsid w:val="00045047"/>
    <w:rsid w:val="00046AA0"/>
    <w:rsid w:val="00047E10"/>
    <w:rsid w:val="00050661"/>
    <w:rsid w:val="000511B9"/>
    <w:rsid w:val="000516A4"/>
    <w:rsid w:val="00054E5D"/>
    <w:rsid w:val="00056295"/>
    <w:rsid w:val="00057F32"/>
    <w:rsid w:val="0006020E"/>
    <w:rsid w:val="0006117B"/>
    <w:rsid w:val="000627A4"/>
    <w:rsid w:val="00062BC6"/>
    <w:rsid w:val="00066135"/>
    <w:rsid w:val="00070D6A"/>
    <w:rsid w:val="00071696"/>
    <w:rsid w:val="000720AA"/>
    <w:rsid w:val="00072BB7"/>
    <w:rsid w:val="0007333B"/>
    <w:rsid w:val="000749F7"/>
    <w:rsid w:val="00074AF4"/>
    <w:rsid w:val="00074DEF"/>
    <w:rsid w:val="00077067"/>
    <w:rsid w:val="0007718E"/>
    <w:rsid w:val="00080A7A"/>
    <w:rsid w:val="00082D11"/>
    <w:rsid w:val="00083327"/>
    <w:rsid w:val="00083563"/>
    <w:rsid w:val="0008795C"/>
    <w:rsid w:val="000879A9"/>
    <w:rsid w:val="000910C1"/>
    <w:rsid w:val="00091A77"/>
    <w:rsid w:val="00093E5A"/>
    <w:rsid w:val="000942A7"/>
    <w:rsid w:val="0009466A"/>
    <w:rsid w:val="00094DBE"/>
    <w:rsid w:val="000952B8"/>
    <w:rsid w:val="00095604"/>
    <w:rsid w:val="00096323"/>
    <w:rsid w:val="00096386"/>
    <w:rsid w:val="00097722"/>
    <w:rsid w:val="00097E1C"/>
    <w:rsid w:val="000A00D4"/>
    <w:rsid w:val="000A0500"/>
    <w:rsid w:val="000A5A53"/>
    <w:rsid w:val="000A5B56"/>
    <w:rsid w:val="000A5F23"/>
    <w:rsid w:val="000A68E0"/>
    <w:rsid w:val="000B0945"/>
    <w:rsid w:val="000B1DF2"/>
    <w:rsid w:val="000B316F"/>
    <w:rsid w:val="000B33CB"/>
    <w:rsid w:val="000B355E"/>
    <w:rsid w:val="000B46BD"/>
    <w:rsid w:val="000B47C8"/>
    <w:rsid w:val="000B6421"/>
    <w:rsid w:val="000C075D"/>
    <w:rsid w:val="000C16EF"/>
    <w:rsid w:val="000C1A93"/>
    <w:rsid w:val="000C2C43"/>
    <w:rsid w:val="000C363D"/>
    <w:rsid w:val="000C3728"/>
    <w:rsid w:val="000C42FC"/>
    <w:rsid w:val="000C44E1"/>
    <w:rsid w:val="000C4D0F"/>
    <w:rsid w:val="000C4DD7"/>
    <w:rsid w:val="000D0303"/>
    <w:rsid w:val="000D70E7"/>
    <w:rsid w:val="000D73E2"/>
    <w:rsid w:val="000D75FD"/>
    <w:rsid w:val="000D7D18"/>
    <w:rsid w:val="000E2DC2"/>
    <w:rsid w:val="000E3919"/>
    <w:rsid w:val="000E5264"/>
    <w:rsid w:val="000E5815"/>
    <w:rsid w:val="000E7988"/>
    <w:rsid w:val="000F1727"/>
    <w:rsid w:val="000F1EAC"/>
    <w:rsid w:val="000F2BA1"/>
    <w:rsid w:val="001036CE"/>
    <w:rsid w:val="00104650"/>
    <w:rsid w:val="00104873"/>
    <w:rsid w:val="001069D9"/>
    <w:rsid w:val="00107172"/>
    <w:rsid w:val="00107FE4"/>
    <w:rsid w:val="00112B34"/>
    <w:rsid w:val="001166A7"/>
    <w:rsid w:val="00123B7B"/>
    <w:rsid w:val="001275FF"/>
    <w:rsid w:val="00127676"/>
    <w:rsid w:val="00131071"/>
    <w:rsid w:val="00137731"/>
    <w:rsid w:val="00140A8D"/>
    <w:rsid w:val="0014484C"/>
    <w:rsid w:val="0015173A"/>
    <w:rsid w:val="00152076"/>
    <w:rsid w:val="00152368"/>
    <w:rsid w:val="00153024"/>
    <w:rsid w:val="00155A41"/>
    <w:rsid w:val="001610A5"/>
    <w:rsid w:val="0016307A"/>
    <w:rsid w:val="001637C6"/>
    <w:rsid w:val="001657AC"/>
    <w:rsid w:val="0016759D"/>
    <w:rsid w:val="00167A42"/>
    <w:rsid w:val="00167D4E"/>
    <w:rsid w:val="0017129E"/>
    <w:rsid w:val="00171733"/>
    <w:rsid w:val="00174694"/>
    <w:rsid w:val="0017601E"/>
    <w:rsid w:val="00176667"/>
    <w:rsid w:val="00177F3C"/>
    <w:rsid w:val="00180650"/>
    <w:rsid w:val="0018217E"/>
    <w:rsid w:val="00183B37"/>
    <w:rsid w:val="00187992"/>
    <w:rsid w:val="00193907"/>
    <w:rsid w:val="00193A2F"/>
    <w:rsid w:val="00196484"/>
    <w:rsid w:val="00196C6F"/>
    <w:rsid w:val="00196E22"/>
    <w:rsid w:val="001A0101"/>
    <w:rsid w:val="001A090E"/>
    <w:rsid w:val="001A2108"/>
    <w:rsid w:val="001A2A92"/>
    <w:rsid w:val="001A3D8B"/>
    <w:rsid w:val="001A7AA8"/>
    <w:rsid w:val="001B0F79"/>
    <w:rsid w:val="001B3847"/>
    <w:rsid w:val="001B52CE"/>
    <w:rsid w:val="001B5844"/>
    <w:rsid w:val="001B5C0B"/>
    <w:rsid w:val="001C03D5"/>
    <w:rsid w:val="001C0BB5"/>
    <w:rsid w:val="001C3E96"/>
    <w:rsid w:val="001C4E4A"/>
    <w:rsid w:val="001C6BEF"/>
    <w:rsid w:val="001D02B1"/>
    <w:rsid w:val="001D060B"/>
    <w:rsid w:val="001D08AF"/>
    <w:rsid w:val="001D14CB"/>
    <w:rsid w:val="001D3884"/>
    <w:rsid w:val="001D3F20"/>
    <w:rsid w:val="001D570E"/>
    <w:rsid w:val="001D7EEC"/>
    <w:rsid w:val="001E01F2"/>
    <w:rsid w:val="001E03E0"/>
    <w:rsid w:val="001E1376"/>
    <w:rsid w:val="001E1D61"/>
    <w:rsid w:val="001E20DE"/>
    <w:rsid w:val="001E2310"/>
    <w:rsid w:val="001E38A7"/>
    <w:rsid w:val="001E511B"/>
    <w:rsid w:val="001E58F7"/>
    <w:rsid w:val="001E6BFD"/>
    <w:rsid w:val="001F088E"/>
    <w:rsid w:val="001F0EB9"/>
    <w:rsid w:val="001F27A8"/>
    <w:rsid w:val="001F2EAA"/>
    <w:rsid w:val="001F6B77"/>
    <w:rsid w:val="001F6E03"/>
    <w:rsid w:val="0020112E"/>
    <w:rsid w:val="00201198"/>
    <w:rsid w:val="00202540"/>
    <w:rsid w:val="002026A9"/>
    <w:rsid w:val="0020357A"/>
    <w:rsid w:val="00205077"/>
    <w:rsid w:val="002055DF"/>
    <w:rsid w:val="00206235"/>
    <w:rsid w:val="002070C6"/>
    <w:rsid w:val="00207882"/>
    <w:rsid w:val="00215AB7"/>
    <w:rsid w:val="00215D43"/>
    <w:rsid w:val="0022079A"/>
    <w:rsid w:val="00220816"/>
    <w:rsid w:val="002223E2"/>
    <w:rsid w:val="00223232"/>
    <w:rsid w:val="00224158"/>
    <w:rsid w:val="00224AFB"/>
    <w:rsid w:val="00224D7B"/>
    <w:rsid w:val="00225B6E"/>
    <w:rsid w:val="0022641C"/>
    <w:rsid w:val="0022670F"/>
    <w:rsid w:val="002271F2"/>
    <w:rsid w:val="0023187C"/>
    <w:rsid w:val="00233710"/>
    <w:rsid w:val="00235754"/>
    <w:rsid w:val="0024033C"/>
    <w:rsid w:val="002429C5"/>
    <w:rsid w:val="00242B55"/>
    <w:rsid w:val="002438AD"/>
    <w:rsid w:val="002443A6"/>
    <w:rsid w:val="00247914"/>
    <w:rsid w:val="00250496"/>
    <w:rsid w:val="00250A23"/>
    <w:rsid w:val="002514D4"/>
    <w:rsid w:val="002516FE"/>
    <w:rsid w:val="00251711"/>
    <w:rsid w:val="002519DA"/>
    <w:rsid w:val="00256BA8"/>
    <w:rsid w:val="00257864"/>
    <w:rsid w:val="00257C6A"/>
    <w:rsid w:val="00257C7F"/>
    <w:rsid w:val="00260927"/>
    <w:rsid w:val="0026193C"/>
    <w:rsid w:val="00261D91"/>
    <w:rsid w:val="00261E14"/>
    <w:rsid w:val="00262AB5"/>
    <w:rsid w:val="00262F3A"/>
    <w:rsid w:val="00263496"/>
    <w:rsid w:val="00263F73"/>
    <w:rsid w:val="002641EB"/>
    <w:rsid w:val="002652C7"/>
    <w:rsid w:val="002656D1"/>
    <w:rsid w:val="00266045"/>
    <w:rsid w:val="00272534"/>
    <w:rsid w:val="002731F1"/>
    <w:rsid w:val="00274EC3"/>
    <w:rsid w:val="00276A40"/>
    <w:rsid w:val="002773C2"/>
    <w:rsid w:val="00277984"/>
    <w:rsid w:val="00281F28"/>
    <w:rsid w:val="00282C7E"/>
    <w:rsid w:val="00282D1D"/>
    <w:rsid w:val="00285BFB"/>
    <w:rsid w:val="002867A5"/>
    <w:rsid w:val="00287A88"/>
    <w:rsid w:val="00287B43"/>
    <w:rsid w:val="00287ECC"/>
    <w:rsid w:val="00291939"/>
    <w:rsid w:val="0029491E"/>
    <w:rsid w:val="0029611C"/>
    <w:rsid w:val="002A0602"/>
    <w:rsid w:val="002A151C"/>
    <w:rsid w:val="002A2AC5"/>
    <w:rsid w:val="002A7467"/>
    <w:rsid w:val="002B08C5"/>
    <w:rsid w:val="002B2200"/>
    <w:rsid w:val="002B2FBE"/>
    <w:rsid w:val="002B30FB"/>
    <w:rsid w:val="002B3751"/>
    <w:rsid w:val="002B58C3"/>
    <w:rsid w:val="002B6405"/>
    <w:rsid w:val="002B640A"/>
    <w:rsid w:val="002B64D9"/>
    <w:rsid w:val="002B6AAD"/>
    <w:rsid w:val="002C01C6"/>
    <w:rsid w:val="002C3B9C"/>
    <w:rsid w:val="002C3EA1"/>
    <w:rsid w:val="002C4401"/>
    <w:rsid w:val="002C4854"/>
    <w:rsid w:val="002D05E1"/>
    <w:rsid w:val="002D49EE"/>
    <w:rsid w:val="002D56DA"/>
    <w:rsid w:val="002E0554"/>
    <w:rsid w:val="002E0A7A"/>
    <w:rsid w:val="002E3FD1"/>
    <w:rsid w:val="002E79B7"/>
    <w:rsid w:val="002F056E"/>
    <w:rsid w:val="002F0E6B"/>
    <w:rsid w:val="002F17AF"/>
    <w:rsid w:val="002F1A44"/>
    <w:rsid w:val="002F1E55"/>
    <w:rsid w:val="002F4F3D"/>
    <w:rsid w:val="002F50C5"/>
    <w:rsid w:val="002F606A"/>
    <w:rsid w:val="002F79F5"/>
    <w:rsid w:val="002F7A51"/>
    <w:rsid w:val="002F7B68"/>
    <w:rsid w:val="00300FC8"/>
    <w:rsid w:val="00303083"/>
    <w:rsid w:val="0030313D"/>
    <w:rsid w:val="00303555"/>
    <w:rsid w:val="003055E7"/>
    <w:rsid w:val="00306E06"/>
    <w:rsid w:val="00310036"/>
    <w:rsid w:val="00311D4F"/>
    <w:rsid w:val="003121E2"/>
    <w:rsid w:val="0031449A"/>
    <w:rsid w:val="00314B9E"/>
    <w:rsid w:val="003156CD"/>
    <w:rsid w:val="003165D8"/>
    <w:rsid w:val="00317D21"/>
    <w:rsid w:val="00317D5B"/>
    <w:rsid w:val="003217D9"/>
    <w:rsid w:val="00324192"/>
    <w:rsid w:val="003262E9"/>
    <w:rsid w:val="003263D0"/>
    <w:rsid w:val="003266A1"/>
    <w:rsid w:val="003275DE"/>
    <w:rsid w:val="00327A50"/>
    <w:rsid w:val="0033229D"/>
    <w:rsid w:val="00332537"/>
    <w:rsid w:val="003341A6"/>
    <w:rsid w:val="00334EB4"/>
    <w:rsid w:val="00334F93"/>
    <w:rsid w:val="00335322"/>
    <w:rsid w:val="00335F5C"/>
    <w:rsid w:val="003365BA"/>
    <w:rsid w:val="003374C6"/>
    <w:rsid w:val="00337A98"/>
    <w:rsid w:val="00341315"/>
    <w:rsid w:val="00343C72"/>
    <w:rsid w:val="003474E8"/>
    <w:rsid w:val="003507B2"/>
    <w:rsid w:val="00350874"/>
    <w:rsid w:val="00350C83"/>
    <w:rsid w:val="0035135C"/>
    <w:rsid w:val="003529B6"/>
    <w:rsid w:val="00352BAC"/>
    <w:rsid w:val="00356C3C"/>
    <w:rsid w:val="00357DD9"/>
    <w:rsid w:val="00360789"/>
    <w:rsid w:val="0036124D"/>
    <w:rsid w:val="00361614"/>
    <w:rsid w:val="003653A1"/>
    <w:rsid w:val="003657B8"/>
    <w:rsid w:val="00365F66"/>
    <w:rsid w:val="003669B4"/>
    <w:rsid w:val="0036706D"/>
    <w:rsid w:val="0037020D"/>
    <w:rsid w:val="00373779"/>
    <w:rsid w:val="00376EBF"/>
    <w:rsid w:val="00377B6C"/>
    <w:rsid w:val="00380B68"/>
    <w:rsid w:val="003829FE"/>
    <w:rsid w:val="0039022C"/>
    <w:rsid w:val="0039066C"/>
    <w:rsid w:val="003911E2"/>
    <w:rsid w:val="00392A12"/>
    <w:rsid w:val="00392C88"/>
    <w:rsid w:val="00392F54"/>
    <w:rsid w:val="00393B41"/>
    <w:rsid w:val="00394DC5"/>
    <w:rsid w:val="00395453"/>
    <w:rsid w:val="003968B5"/>
    <w:rsid w:val="00396DA0"/>
    <w:rsid w:val="00397F71"/>
    <w:rsid w:val="00397FD7"/>
    <w:rsid w:val="003A0F4C"/>
    <w:rsid w:val="003A22DF"/>
    <w:rsid w:val="003A33A2"/>
    <w:rsid w:val="003A5E0D"/>
    <w:rsid w:val="003A5E6F"/>
    <w:rsid w:val="003A7C6E"/>
    <w:rsid w:val="003A7DFF"/>
    <w:rsid w:val="003A7E54"/>
    <w:rsid w:val="003B0037"/>
    <w:rsid w:val="003B0547"/>
    <w:rsid w:val="003B0B9C"/>
    <w:rsid w:val="003B2930"/>
    <w:rsid w:val="003B2CB3"/>
    <w:rsid w:val="003B5B71"/>
    <w:rsid w:val="003B65AF"/>
    <w:rsid w:val="003B6DB5"/>
    <w:rsid w:val="003B7235"/>
    <w:rsid w:val="003B7B61"/>
    <w:rsid w:val="003C0229"/>
    <w:rsid w:val="003C0DFF"/>
    <w:rsid w:val="003C1651"/>
    <w:rsid w:val="003C1E6D"/>
    <w:rsid w:val="003C2F73"/>
    <w:rsid w:val="003C610A"/>
    <w:rsid w:val="003C6480"/>
    <w:rsid w:val="003C6FF4"/>
    <w:rsid w:val="003C7506"/>
    <w:rsid w:val="003C7F37"/>
    <w:rsid w:val="003D1118"/>
    <w:rsid w:val="003D2237"/>
    <w:rsid w:val="003D32B6"/>
    <w:rsid w:val="003D40CA"/>
    <w:rsid w:val="003D4C2E"/>
    <w:rsid w:val="003D6675"/>
    <w:rsid w:val="003D751B"/>
    <w:rsid w:val="003E2837"/>
    <w:rsid w:val="003F04C6"/>
    <w:rsid w:val="003F1180"/>
    <w:rsid w:val="003F274A"/>
    <w:rsid w:val="003F42BE"/>
    <w:rsid w:val="003F6401"/>
    <w:rsid w:val="004001CD"/>
    <w:rsid w:val="004008CF"/>
    <w:rsid w:val="00400EF9"/>
    <w:rsid w:val="00402CF7"/>
    <w:rsid w:val="00403A34"/>
    <w:rsid w:val="00403B08"/>
    <w:rsid w:val="00406730"/>
    <w:rsid w:val="004100C4"/>
    <w:rsid w:val="004107FC"/>
    <w:rsid w:val="00411D03"/>
    <w:rsid w:val="0041230B"/>
    <w:rsid w:val="00413A48"/>
    <w:rsid w:val="00414139"/>
    <w:rsid w:val="00414D96"/>
    <w:rsid w:val="00416BAE"/>
    <w:rsid w:val="00417C82"/>
    <w:rsid w:val="0042058B"/>
    <w:rsid w:val="004216CD"/>
    <w:rsid w:val="004219BB"/>
    <w:rsid w:val="00422BE1"/>
    <w:rsid w:val="0042553A"/>
    <w:rsid w:val="004274E6"/>
    <w:rsid w:val="0043219C"/>
    <w:rsid w:val="0043230B"/>
    <w:rsid w:val="00432670"/>
    <w:rsid w:val="00432A33"/>
    <w:rsid w:val="00432C0A"/>
    <w:rsid w:val="004335E4"/>
    <w:rsid w:val="004348F6"/>
    <w:rsid w:val="00434FC5"/>
    <w:rsid w:val="00436FE1"/>
    <w:rsid w:val="0044039D"/>
    <w:rsid w:val="0044296E"/>
    <w:rsid w:val="00443407"/>
    <w:rsid w:val="004449AC"/>
    <w:rsid w:val="00444B08"/>
    <w:rsid w:val="00446EFB"/>
    <w:rsid w:val="00451933"/>
    <w:rsid w:val="004522E6"/>
    <w:rsid w:val="004528E0"/>
    <w:rsid w:val="0046011A"/>
    <w:rsid w:val="00460573"/>
    <w:rsid w:val="00460F2C"/>
    <w:rsid w:val="004646B1"/>
    <w:rsid w:val="00464952"/>
    <w:rsid w:val="0046534E"/>
    <w:rsid w:val="00466F16"/>
    <w:rsid w:val="00466FA3"/>
    <w:rsid w:val="0046734A"/>
    <w:rsid w:val="0047146C"/>
    <w:rsid w:val="004714D2"/>
    <w:rsid w:val="004717BB"/>
    <w:rsid w:val="0047358B"/>
    <w:rsid w:val="00473691"/>
    <w:rsid w:val="00474276"/>
    <w:rsid w:val="00474A4C"/>
    <w:rsid w:val="004750DC"/>
    <w:rsid w:val="004771A7"/>
    <w:rsid w:val="00480851"/>
    <w:rsid w:val="004810FB"/>
    <w:rsid w:val="00483DBB"/>
    <w:rsid w:val="004844DE"/>
    <w:rsid w:val="0048493D"/>
    <w:rsid w:val="00485909"/>
    <w:rsid w:val="00486978"/>
    <w:rsid w:val="00487499"/>
    <w:rsid w:val="00492278"/>
    <w:rsid w:val="004926AE"/>
    <w:rsid w:val="00493099"/>
    <w:rsid w:val="00495D88"/>
    <w:rsid w:val="0049727E"/>
    <w:rsid w:val="00497CC9"/>
    <w:rsid w:val="004A0BAB"/>
    <w:rsid w:val="004A4628"/>
    <w:rsid w:val="004A470C"/>
    <w:rsid w:val="004A4DBA"/>
    <w:rsid w:val="004A699F"/>
    <w:rsid w:val="004A7CDB"/>
    <w:rsid w:val="004B206E"/>
    <w:rsid w:val="004B234D"/>
    <w:rsid w:val="004B4167"/>
    <w:rsid w:val="004B5408"/>
    <w:rsid w:val="004B57E3"/>
    <w:rsid w:val="004C051A"/>
    <w:rsid w:val="004C25E1"/>
    <w:rsid w:val="004C2BBB"/>
    <w:rsid w:val="004C2CC9"/>
    <w:rsid w:val="004C2E38"/>
    <w:rsid w:val="004C5455"/>
    <w:rsid w:val="004C6C7B"/>
    <w:rsid w:val="004C71E5"/>
    <w:rsid w:val="004C7FEF"/>
    <w:rsid w:val="004D03D8"/>
    <w:rsid w:val="004D1210"/>
    <w:rsid w:val="004D23E1"/>
    <w:rsid w:val="004D25E1"/>
    <w:rsid w:val="004D5D6E"/>
    <w:rsid w:val="004D613B"/>
    <w:rsid w:val="004D6BF6"/>
    <w:rsid w:val="004E046D"/>
    <w:rsid w:val="004E0492"/>
    <w:rsid w:val="004E0E62"/>
    <w:rsid w:val="004E0F64"/>
    <w:rsid w:val="004E343B"/>
    <w:rsid w:val="004E34D1"/>
    <w:rsid w:val="004E450C"/>
    <w:rsid w:val="004E4B11"/>
    <w:rsid w:val="004E4D52"/>
    <w:rsid w:val="004F0CE2"/>
    <w:rsid w:val="004F1DC9"/>
    <w:rsid w:val="004F20A5"/>
    <w:rsid w:val="004F25B2"/>
    <w:rsid w:val="004F3D34"/>
    <w:rsid w:val="004F44A0"/>
    <w:rsid w:val="004F45F6"/>
    <w:rsid w:val="004F4B30"/>
    <w:rsid w:val="004F4E43"/>
    <w:rsid w:val="004F4F17"/>
    <w:rsid w:val="004F61C3"/>
    <w:rsid w:val="004F74F0"/>
    <w:rsid w:val="0050333C"/>
    <w:rsid w:val="00503C2F"/>
    <w:rsid w:val="0050718C"/>
    <w:rsid w:val="00512C6A"/>
    <w:rsid w:val="00513260"/>
    <w:rsid w:val="00513501"/>
    <w:rsid w:val="0051388F"/>
    <w:rsid w:val="00514905"/>
    <w:rsid w:val="00515DA5"/>
    <w:rsid w:val="00516AA0"/>
    <w:rsid w:val="00526637"/>
    <w:rsid w:val="0052682F"/>
    <w:rsid w:val="00526A53"/>
    <w:rsid w:val="00527651"/>
    <w:rsid w:val="005302AE"/>
    <w:rsid w:val="005348EE"/>
    <w:rsid w:val="00534CCB"/>
    <w:rsid w:val="005355AD"/>
    <w:rsid w:val="00542466"/>
    <w:rsid w:val="00542FE4"/>
    <w:rsid w:val="005446E2"/>
    <w:rsid w:val="005455C0"/>
    <w:rsid w:val="005457BD"/>
    <w:rsid w:val="00550AC5"/>
    <w:rsid w:val="00552689"/>
    <w:rsid w:val="00552DD9"/>
    <w:rsid w:val="005531F4"/>
    <w:rsid w:val="00553568"/>
    <w:rsid w:val="00554097"/>
    <w:rsid w:val="00555841"/>
    <w:rsid w:val="00557343"/>
    <w:rsid w:val="005579C1"/>
    <w:rsid w:val="00560782"/>
    <w:rsid w:val="005619B1"/>
    <w:rsid w:val="005622F5"/>
    <w:rsid w:val="005663E7"/>
    <w:rsid w:val="00570FA7"/>
    <w:rsid w:val="00571AC8"/>
    <w:rsid w:val="0057280E"/>
    <w:rsid w:val="005733A6"/>
    <w:rsid w:val="00573D06"/>
    <w:rsid w:val="0057552D"/>
    <w:rsid w:val="0058168F"/>
    <w:rsid w:val="00581AC8"/>
    <w:rsid w:val="00582301"/>
    <w:rsid w:val="00582D2E"/>
    <w:rsid w:val="00585453"/>
    <w:rsid w:val="00585A10"/>
    <w:rsid w:val="00586010"/>
    <w:rsid w:val="0058697F"/>
    <w:rsid w:val="005916B7"/>
    <w:rsid w:val="005916E4"/>
    <w:rsid w:val="00591F07"/>
    <w:rsid w:val="005952A8"/>
    <w:rsid w:val="00596170"/>
    <w:rsid w:val="005978E0"/>
    <w:rsid w:val="005A060A"/>
    <w:rsid w:val="005A2A63"/>
    <w:rsid w:val="005A3EBE"/>
    <w:rsid w:val="005A60E1"/>
    <w:rsid w:val="005A6929"/>
    <w:rsid w:val="005A6B36"/>
    <w:rsid w:val="005B2966"/>
    <w:rsid w:val="005B3285"/>
    <w:rsid w:val="005B6F25"/>
    <w:rsid w:val="005C4372"/>
    <w:rsid w:val="005C523B"/>
    <w:rsid w:val="005D3426"/>
    <w:rsid w:val="005D4B34"/>
    <w:rsid w:val="005D6892"/>
    <w:rsid w:val="005E1D0C"/>
    <w:rsid w:val="005E4220"/>
    <w:rsid w:val="005E5438"/>
    <w:rsid w:val="005E5AE8"/>
    <w:rsid w:val="005E62F4"/>
    <w:rsid w:val="005F3528"/>
    <w:rsid w:val="005F4E1F"/>
    <w:rsid w:val="005F63E8"/>
    <w:rsid w:val="006021C9"/>
    <w:rsid w:val="00602373"/>
    <w:rsid w:val="00604556"/>
    <w:rsid w:val="00606653"/>
    <w:rsid w:val="00613BB6"/>
    <w:rsid w:val="0061555C"/>
    <w:rsid w:val="006215FC"/>
    <w:rsid w:val="00621727"/>
    <w:rsid w:val="00623F4F"/>
    <w:rsid w:val="00624570"/>
    <w:rsid w:val="006260FE"/>
    <w:rsid w:val="00626FC1"/>
    <w:rsid w:val="006304AB"/>
    <w:rsid w:val="00630A17"/>
    <w:rsid w:val="006324EF"/>
    <w:rsid w:val="00632742"/>
    <w:rsid w:val="00632C5F"/>
    <w:rsid w:val="00633E7D"/>
    <w:rsid w:val="00634007"/>
    <w:rsid w:val="00636C5D"/>
    <w:rsid w:val="00641C18"/>
    <w:rsid w:val="00641C95"/>
    <w:rsid w:val="0064242B"/>
    <w:rsid w:val="0064468C"/>
    <w:rsid w:val="0064498F"/>
    <w:rsid w:val="006460D9"/>
    <w:rsid w:val="006465EE"/>
    <w:rsid w:val="00647104"/>
    <w:rsid w:val="00650C5D"/>
    <w:rsid w:val="00650EC7"/>
    <w:rsid w:val="00651139"/>
    <w:rsid w:val="00652553"/>
    <w:rsid w:val="00654757"/>
    <w:rsid w:val="00654847"/>
    <w:rsid w:val="006560B9"/>
    <w:rsid w:val="00660FCF"/>
    <w:rsid w:val="00661C8D"/>
    <w:rsid w:val="00661FF7"/>
    <w:rsid w:val="00662E06"/>
    <w:rsid w:val="00664505"/>
    <w:rsid w:val="00664FC9"/>
    <w:rsid w:val="00665CEF"/>
    <w:rsid w:val="00665EF7"/>
    <w:rsid w:val="0066740E"/>
    <w:rsid w:val="00670896"/>
    <w:rsid w:val="00671993"/>
    <w:rsid w:val="00671B86"/>
    <w:rsid w:val="0067200B"/>
    <w:rsid w:val="0067296E"/>
    <w:rsid w:val="0067516B"/>
    <w:rsid w:val="00675BF2"/>
    <w:rsid w:val="0068071F"/>
    <w:rsid w:val="00681E3F"/>
    <w:rsid w:val="0068203D"/>
    <w:rsid w:val="006849A5"/>
    <w:rsid w:val="00690F02"/>
    <w:rsid w:val="0069136E"/>
    <w:rsid w:val="00691425"/>
    <w:rsid w:val="00691969"/>
    <w:rsid w:val="00692A9F"/>
    <w:rsid w:val="00694664"/>
    <w:rsid w:val="006955AF"/>
    <w:rsid w:val="00696150"/>
    <w:rsid w:val="006976BF"/>
    <w:rsid w:val="006A00DC"/>
    <w:rsid w:val="006A7646"/>
    <w:rsid w:val="006B17B1"/>
    <w:rsid w:val="006B3CBC"/>
    <w:rsid w:val="006B41A6"/>
    <w:rsid w:val="006B6B44"/>
    <w:rsid w:val="006C0C8E"/>
    <w:rsid w:val="006C1569"/>
    <w:rsid w:val="006C39AF"/>
    <w:rsid w:val="006C4FAE"/>
    <w:rsid w:val="006C50A2"/>
    <w:rsid w:val="006C5675"/>
    <w:rsid w:val="006C6DB0"/>
    <w:rsid w:val="006D0F5D"/>
    <w:rsid w:val="006D173C"/>
    <w:rsid w:val="006D1A9E"/>
    <w:rsid w:val="006D2B89"/>
    <w:rsid w:val="006D62C8"/>
    <w:rsid w:val="006E0D9C"/>
    <w:rsid w:val="006E1371"/>
    <w:rsid w:val="006E36FA"/>
    <w:rsid w:val="006E4ADE"/>
    <w:rsid w:val="006E5E29"/>
    <w:rsid w:val="006E6224"/>
    <w:rsid w:val="006F0E25"/>
    <w:rsid w:val="006F1976"/>
    <w:rsid w:val="006F26C6"/>
    <w:rsid w:val="006F27CE"/>
    <w:rsid w:val="006F3245"/>
    <w:rsid w:val="006F3933"/>
    <w:rsid w:val="006F61A3"/>
    <w:rsid w:val="006F6B0E"/>
    <w:rsid w:val="006F7075"/>
    <w:rsid w:val="006F7F86"/>
    <w:rsid w:val="00700174"/>
    <w:rsid w:val="0070192D"/>
    <w:rsid w:val="00702A6A"/>
    <w:rsid w:val="00705112"/>
    <w:rsid w:val="007063FB"/>
    <w:rsid w:val="00706976"/>
    <w:rsid w:val="007072BF"/>
    <w:rsid w:val="00710288"/>
    <w:rsid w:val="00710E1F"/>
    <w:rsid w:val="00711B57"/>
    <w:rsid w:val="007133B0"/>
    <w:rsid w:val="00714488"/>
    <w:rsid w:val="00714DCB"/>
    <w:rsid w:val="007152CF"/>
    <w:rsid w:val="00716FFD"/>
    <w:rsid w:val="0071789A"/>
    <w:rsid w:val="00723933"/>
    <w:rsid w:val="00727791"/>
    <w:rsid w:val="00727AE7"/>
    <w:rsid w:val="00727AF3"/>
    <w:rsid w:val="00730B00"/>
    <w:rsid w:val="007313BB"/>
    <w:rsid w:val="00731FF3"/>
    <w:rsid w:val="00732693"/>
    <w:rsid w:val="00734E91"/>
    <w:rsid w:val="007363DB"/>
    <w:rsid w:val="007404D1"/>
    <w:rsid w:val="0074157E"/>
    <w:rsid w:val="00743271"/>
    <w:rsid w:val="0074355C"/>
    <w:rsid w:val="00743B16"/>
    <w:rsid w:val="00744C1F"/>
    <w:rsid w:val="00745F87"/>
    <w:rsid w:val="00747634"/>
    <w:rsid w:val="00747E44"/>
    <w:rsid w:val="00751DDE"/>
    <w:rsid w:val="00752224"/>
    <w:rsid w:val="00752688"/>
    <w:rsid w:val="0075390A"/>
    <w:rsid w:val="00753DC0"/>
    <w:rsid w:val="007542D1"/>
    <w:rsid w:val="00754B2D"/>
    <w:rsid w:val="00755807"/>
    <w:rsid w:val="007560C2"/>
    <w:rsid w:val="00756CD9"/>
    <w:rsid w:val="00756E56"/>
    <w:rsid w:val="007571FC"/>
    <w:rsid w:val="007629C5"/>
    <w:rsid w:val="00763868"/>
    <w:rsid w:val="00765A77"/>
    <w:rsid w:val="0076624E"/>
    <w:rsid w:val="00770937"/>
    <w:rsid w:val="00770D29"/>
    <w:rsid w:val="0077132F"/>
    <w:rsid w:val="00771A01"/>
    <w:rsid w:val="007722FE"/>
    <w:rsid w:val="007723BF"/>
    <w:rsid w:val="00774030"/>
    <w:rsid w:val="00775208"/>
    <w:rsid w:val="007757BF"/>
    <w:rsid w:val="00777B3D"/>
    <w:rsid w:val="00780626"/>
    <w:rsid w:val="007808F7"/>
    <w:rsid w:val="00780966"/>
    <w:rsid w:val="00781B12"/>
    <w:rsid w:val="00782056"/>
    <w:rsid w:val="00784FA1"/>
    <w:rsid w:val="0078604C"/>
    <w:rsid w:val="0078615B"/>
    <w:rsid w:val="007869C6"/>
    <w:rsid w:val="007905A5"/>
    <w:rsid w:val="0079163B"/>
    <w:rsid w:val="00792EE2"/>
    <w:rsid w:val="0079327C"/>
    <w:rsid w:val="00793386"/>
    <w:rsid w:val="0079542C"/>
    <w:rsid w:val="00795895"/>
    <w:rsid w:val="00797B04"/>
    <w:rsid w:val="00797DFE"/>
    <w:rsid w:val="007A2131"/>
    <w:rsid w:val="007A2440"/>
    <w:rsid w:val="007A4EE7"/>
    <w:rsid w:val="007B0FE4"/>
    <w:rsid w:val="007B2E03"/>
    <w:rsid w:val="007B3C93"/>
    <w:rsid w:val="007B6A92"/>
    <w:rsid w:val="007C1082"/>
    <w:rsid w:val="007C5128"/>
    <w:rsid w:val="007C5717"/>
    <w:rsid w:val="007C7B7A"/>
    <w:rsid w:val="007C7D73"/>
    <w:rsid w:val="007D0683"/>
    <w:rsid w:val="007D2176"/>
    <w:rsid w:val="007D2C1A"/>
    <w:rsid w:val="007D2D41"/>
    <w:rsid w:val="007D675E"/>
    <w:rsid w:val="007E0C54"/>
    <w:rsid w:val="007E11F6"/>
    <w:rsid w:val="007E12F7"/>
    <w:rsid w:val="007E2D54"/>
    <w:rsid w:val="007F0C85"/>
    <w:rsid w:val="007F5081"/>
    <w:rsid w:val="007F6414"/>
    <w:rsid w:val="0080140C"/>
    <w:rsid w:val="00802302"/>
    <w:rsid w:val="008025CA"/>
    <w:rsid w:val="00804DA7"/>
    <w:rsid w:val="00804F5E"/>
    <w:rsid w:val="00807CB1"/>
    <w:rsid w:val="00813AA1"/>
    <w:rsid w:val="0081472C"/>
    <w:rsid w:val="00815CD2"/>
    <w:rsid w:val="00816F96"/>
    <w:rsid w:val="0082194A"/>
    <w:rsid w:val="00822AC1"/>
    <w:rsid w:val="00823BD3"/>
    <w:rsid w:val="00827099"/>
    <w:rsid w:val="00827453"/>
    <w:rsid w:val="00832277"/>
    <w:rsid w:val="00832AE2"/>
    <w:rsid w:val="00832C4B"/>
    <w:rsid w:val="00836157"/>
    <w:rsid w:val="00837ECC"/>
    <w:rsid w:val="0084052B"/>
    <w:rsid w:val="00841C99"/>
    <w:rsid w:val="008421B3"/>
    <w:rsid w:val="00842D8D"/>
    <w:rsid w:val="00843164"/>
    <w:rsid w:val="008446E6"/>
    <w:rsid w:val="00850781"/>
    <w:rsid w:val="008510E9"/>
    <w:rsid w:val="008516B3"/>
    <w:rsid w:val="00851CD0"/>
    <w:rsid w:val="00851EB0"/>
    <w:rsid w:val="008524B7"/>
    <w:rsid w:val="00852BFB"/>
    <w:rsid w:val="00852D44"/>
    <w:rsid w:val="008538B8"/>
    <w:rsid w:val="0085402D"/>
    <w:rsid w:val="00854275"/>
    <w:rsid w:val="00854E01"/>
    <w:rsid w:val="00856B04"/>
    <w:rsid w:val="008632DE"/>
    <w:rsid w:val="008634A5"/>
    <w:rsid w:val="00863DC3"/>
    <w:rsid w:val="00864481"/>
    <w:rsid w:val="00867391"/>
    <w:rsid w:val="00867448"/>
    <w:rsid w:val="008708F3"/>
    <w:rsid w:val="008718BE"/>
    <w:rsid w:val="00873C08"/>
    <w:rsid w:val="00874599"/>
    <w:rsid w:val="00875882"/>
    <w:rsid w:val="00876BAF"/>
    <w:rsid w:val="0087716D"/>
    <w:rsid w:val="00880BB0"/>
    <w:rsid w:val="008810C9"/>
    <w:rsid w:val="00881A12"/>
    <w:rsid w:val="0088297C"/>
    <w:rsid w:val="00883B7F"/>
    <w:rsid w:val="00884F1C"/>
    <w:rsid w:val="008867C8"/>
    <w:rsid w:val="00886BA0"/>
    <w:rsid w:val="0088713C"/>
    <w:rsid w:val="008915E5"/>
    <w:rsid w:val="0089225A"/>
    <w:rsid w:val="00892307"/>
    <w:rsid w:val="00893ECD"/>
    <w:rsid w:val="008944EB"/>
    <w:rsid w:val="00894F3B"/>
    <w:rsid w:val="00896865"/>
    <w:rsid w:val="008A05CD"/>
    <w:rsid w:val="008A0E4B"/>
    <w:rsid w:val="008A472B"/>
    <w:rsid w:val="008A6BB8"/>
    <w:rsid w:val="008A7B77"/>
    <w:rsid w:val="008B107D"/>
    <w:rsid w:val="008B129A"/>
    <w:rsid w:val="008B226F"/>
    <w:rsid w:val="008B3A07"/>
    <w:rsid w:val="008B4157"/>
    <w:rsid w:val="008B4915"/>
    <w:rsid w:val="008B5AB2"/>
    <w:rsid w:val="008B5C01"/>
    <w:rsid w:val="008B61AF"/>
    <w:rsid w:val="008B6A61"/>
    <w:rsid w:val="008B726A"/>
    <w:rsid w:val="008B7E9F"/>
    <w:rsid w:val="008C05E8"/>
    <w:rsid w:val="008C149C"/>
    <w:rsid w:val="008C1BD1"/>
    <w:rsid w:val="008C20A7"/>
    <w:rsid w:val="008C27A7"/>
    <w:rsid w:val="008C3B9F"/>
    <w:rsid w:val="008C4213"/>
    <w:rsid w:val="008C5AB4"/>
    <w:rsid w:val="008C6538"/>
    <w:rsid w:val="008C6D22"/>
    <w:rsid w:val="008C6FE1"/>
    <w:rsid w:val="008D53FF"/>
    <w:rsid w:val="008D6669"/>
    <w:rsid w:val="008E0320"/>
    <w:rsid w:val="008E1DD1"/>
    <w:rsid w:val="008E22BD"/>
    <w:rsid w:val="008E233A"/>
    <w:rsid w:val="008E3FB2"/>
    <w:rsid w:val="008E5876"/>
    <w:rsid w:val="008F0165"/>
    <w:rsid w:val="008F0382"/>
    <w:rsid w:val="008F0DD5"/>
    <w:rsid w:val="008F1969"/>
    <w:rsid w:val="008F248F"/>
    <w:rsid w:val="008F2F1B"/>
    <w:rsid w:val="008F35EA"/>
    <w:rsid w:val="008F7085"/>
    <w:rsid w:val="008F70AE"/>
    <w:rsid w:val="00902307"/>
    <w:rsid w:val="0090284B"/>
    <w:rsid w:val="009044BE"/>
    <w:rsid w:val="009059B6"/>
    <w:rsid w:val="00906BD1"/>
    <w:rsid w:val="00906CC5"/>
    <w:rsid w:val="009076CC"/>
    <w:rsid w:val="00911CA4"/>
    <w:rsid w:val="00911CEC"/>
    <w:rsid w:val="00912D67"/>
    <w:rsid w:val="00914F63"/>
    <w:rsid w:val="0091555E"/>
    <w:rsid w:val="009157FD"/>
    <w:rsid w:val="009163E8"/>
    <w:rsid w:val="00920452"/>
    <w:rsid w:val="00921E94"/>
    <w:rsid w:val="0092462E"/>
    <w:rsid w:val="009270FE"/>
    <w:rsid w:val="00931877"/>
    <w:rsid w:val="00931C7C"/>
    <w:rsid w:val="0093302F"/>
    <w:rsid w:val="00933B95"/>
    <w:rsid w:val="00936593"/>
    <w:rsid w:val="009405AF"/>
    <w:rsid w:val="00942A60"/>
    <w:rsid w:val="00943AFB"/>
    <w:rsid w:val="0094510C"/>
    <w:rsid w:val="0094541D"/>
    <w:rsid w:val="00945B30"/>
    <w:rsid w:val="00947242"/>
    <w:rsid w:val="009477E6"/>
    <w:rsid w:val="009507FB"/>
    <w:rsid w:val="0095092A"/>
    <w:rsid w:val="0095147E"/>
    <w:rsid w:val="00952D4E"/>
    <w:rsid w:val="0095338A"/>
    <w:rsid w:val="00953F65"/>
    <w:rsid w:val="00953FD7"/>
    <w:rsid w:val="00955FF9"/>
    <w:rsid w:val="009579DE"/>
    <w:rsid w:val="00960208"/>
    <w:rsid w:val="0096124E"/>
    <w:rsid w:val="00961A61"/>
    <w:rsid w:val="00961CEA"/>
    <w:rsid w:val="00962E07"/>
    <w:rsid w:val="0096301C"/>
    <w:rsid w:val="00963A4C"/>
    <w:rsid w:val="00964612"/>
    <w:rsid w:val="009655B7"/>
    <w:rsid w:val="00965901"/>
    <w:rsid w:val="00965B24"/>
    <w:rsid w:val="00967F7E"/>
    <w:rsid w:val="009726C3"/>
    <w:rsid w:val="00972A10"/>
    <w:rsid w:val="00972E50"/>
    <w:rsid w:val="00976A6F"/>
    <w:rsid w:val="0097756E"/>
    <w:rsid w:val="009807C1"/>
    <w:rsid w:val="009829F0"/>
    <w:rsid w:val="00982BCC"/>
    <w:rsid w:val="009849F2"/>
    <w:rsid w:val="0098611C"/>
    <w:rsid w:val="00987809"/>
    <w:rsid w:val="00990E93"/>
    <w:rsid w:val="00993794"/>
    <w:rsid w:val="009942F7"/>
    <w:rsid w:val="009947E8"/>
    <w:rsid w:val="0099551E"/>
    <w:rsid w:val="00997A94"/>
    <w:rsid w:val="009A18AE"/>
    <w:rsid w:val="009A2267"/>
    <w:rsid w:val="009A3280"/>
    <w:rsid w:val="009A4067"/>
    <w:rsid w:val="009A6142"/>
    <w:rsid w:val="009A6845"/>
    <w:rsid w:val="009A6A10"/>
    <w:rsid w:val="009B08BB"/>
    <w:rsid w:val="009B0E75"/>
    <w:rsid w:val="009B0F10"/>
    <w:rsid w:val="009B34D6"/>
    <w:rsid w:val="009B5B45"/>
    <w:rsid w:val="009B7251"/>
    <w:rsid w:val="009B7906"/>
    <w:rsid w:val="009C2045"/>
    <w:rsid w:val="009C65B4"/>
    <w:rsid w:val="009C696A"/>
    <w:rsid w:val="009D043E"/>
    <w:rsid w:val="009D1094"/>
    <w:rsid w:val="009D1B1E"/>
    <w:rsid w:val="009D499A"/>
    <w:rsid w:val="009D5220"/>
    <w:rsid w:val="009D5802"/>
    <w:rsid w:val="009E0F2E"/>
    <w:rsid w:val="009E3FEA"/>
    <w:rsid w:val="009E693E"/>
    <w:rsid w:val="009E72CD"/>
    <w:rsid w:val="009F1CB5"/>
    <w:rsid w:val="009F75FF"/>
    <w:rsid w:val="00A007F3"/>
    <w:rsid w:val="00A02791"/>
    <w:rsid w:val="00A0385B"/>
    <w:rsid w:val="00A106D4"/>
    <w:rsid w:val="00A12632"/>
    <w:rsid w:val="00A13F9C"/>
    <w:rsid w:val="00A151E2"/>
    <w:rsid w:val="00A1522B"/>
    <w:rsid w:val="00A15435"/>
    <w:rsid w:val="00A1590C"/>
    <w:rsid w:val="00A15AD5"/>
    <w:rsid w:val="00A162FD"/>
    <w:rsid w:val="00A1644B"/>
    <w:rsid w:val="00A170ED"/>
    <w:rsid w:val="00A173A2"/>
    <w:rsid w:val="00A17F9E"/>
    <w:rsid w:val="00A217B5"/>
    <w:rsid w:val="00A229E5"/>
    <w:rsid w:val="00A23E12"/>
    <w:rsid w:val="00A23EC2"/>
    <w:rsid w:val="00A2411B"/>
    <w:rsid w:val="00A251D9"/>
    <w:rsid w:val="00A277EB"/>
    <w:rsid w:val="00A308B4"/>
    <w:rsid w:val="00A32237"/>
    <w:rsid w:val="00A33349"/>
    <w:rsid w:val="00A34F25"/>
    <w:rsid w:val="00A36A6B"/>
    <w:rsid w:val="00A37BA4"/>
    <w:rsid w:val="00A4030B"/>
    <w:rsid w:val="00A4074C"/>
    <w:rsid w:val="00A40C12"/>
    <w:rsid w:val="00A41278"/>
    <w:rsid w:val="00A420EB"/>
    <w:rsid w:val="00A43C7A"/>
    <w:rsid w:val="00A44F19"/>
    <w:rsid w:val="00A50832"/>
    <w:rsid w:val="00A515E1"/>
    <w:rsid w:val="00A518D2"/>
    <w:rsid w:val="00A51F95"/>
    <w:rsid w:val="00A52866"/>
    <w:rsid w:val="00A52A50"/>
    <w:rsid w:val="00A54C0B"/>
    <w:rsid w:val="00A54EA7"/>
    <w:rsid w:val="00A577D4"/>
    <w:rsid w:val="00A578D1"/>
    <w:rsid w:val="00A60781"/>
    <w:rsid w:val="00A62DE2"/>
    <w:rsid w:val="00A64488"/>
    <w:rsid w:val="00A661C7"/>
    <w:rsid w:val="00A71C02"/>
    <w:rsid w:val="00A73FCF"/>
    <w:rsid w:val="00A742F3"/>
    <w:rsid w:val="00A75282"/>
    <w:rsid w:val="00A81A83"/>
    <w:rsid w:val="00A82018"/>
    <w:rsid w:val="00A83471"/>
    <w:rsid w:val="00A85F44"/>
    <w:rsid w:val="00A87B73"/>
    <w:rsid w:val="00A9154B"/>
    <w:rsid w:val="00A921ED"/>
    <w:rsid w:val="00A92EE4"/>
    <w:rsid w:val="00A92FFF"/>
    <w:rsid w:val="00AA04E3"/>
    <w:rsid w:val="00AA0A15"/>
    <w:rsid w:val="00AA13B7"/>
    <w:rsid w:val="00AA14B5"/>
    <w:rsid w:val="00AA205B"/>
    <w:rsid w:val="00AA2214"/>
    <w:rsid w:val="00AA3408"/>
    <w:rsid w:val="00AA447D"/>
    <w:rsid w:val="00AA5FCF"/>
    <w:rsid w:val="00AA6963"/>
    <w:rsid w:val="00AA7DBA"/>
    <w:rsid w:val="00AB0496"/>
    <w:rsid w:val="00AB0629"/>
    <w:rsid w:val="00AB1036"/>
    <w:rsid w:val="00AB185B"/>
    <w:rsid w:val="00AB1DF0"/>
    <w:rsid w:val="00AB2F17"/>
    <w:rsid w:val="00AB35A4"/>
    <w:rsid w:val="00AB4F1A"/>
    <w:rsid w:val="00AB58EB"/>
    <w:rsid w:val="00AB6001"/>
    <w:rsid w:val="00AB79FC"/>
    <w:rsid w:val="00AC0337"/>
    <w:rsid w:val="00AC260C"/>
    <w:rsid w:val="00AC3ECF"/>
    <w:rsid w:val="00AC6114"/>
    <w:rsid w:val="00AC741F"/>
    <w:rsid w:val="00AC75AE"/>
    <w:rsid w:val="00AD446F"/>
    <w:rsid w:val="00AD4773"/>
    <w:rsid w:val="00AE04EC"/>
    <w:rsid w:val="00AE31F0"/>
    <w:rsid w:val="00AE364F"/>
    <w:rsid w:val="00AE41C5"/>
    <w:rsid w:val="00AE66B6"/>
    <w:rsid w:val="00AE6BB0"/>
    <w:rsid w:val="00AE6EF3"/>
    <w:rsid w:val="00AE7DA1"/>
    <w:rsid w:val="00AE7FB2"/>
    <w:rsid w:val="00AF089F"/>
    <w:rsid w:val="00AF1179"/>
    <w:rsid w:val="00AF1783"/>
    <w:rsid w:val="00AF2BA0"/>
    <w:rsid w:val="00AF3375"/>
    <w:rsid w:val="00AF4855"/>
    <w:rsid w:val="00AF5204"/>
    <w:rsid w:val="00AF54D7"/>
    <w:rsid w:val="00AF5816"/>
    <w:rsid w:val="00AF6927"/>
    <w:rsid w:val="00AF7368"/>
    <w:rsid w:val="00B04B62"/>
    <w:rsid w:val="00B051A9"/>
    <w:rsid w:val="00B10486"/>
    <w:rsid w:val="00B107A5"/>
    <w:rsid w:val="00B10A68"/>
    <w:rsid w:val="00B1106C"/>
    <w:rsid w:val="00B115B1"/>
    <w:rsid w:val="00B1214C"/>
    <w:rsid w:val="00B13508"/>
    <w:rsid w:val="00B14C84"/>
    <w:rsid w:val="00B165EF"/>
    <w:rsid w:val="00B20D75"/>
    <w:rsid w:val="00B222D8"/>
    <w:rsid w:val="00B22948"/>
    <w:rsid w:val="00B22B3C"/>
    <w:rsid w:val="00B24C89"/>
    <w:rsid w:val="00B27DE9"/>
    <w:rsid w:val="00B305D3"/>
    <w:rsid w:val="00B30F0B"/>
    <w:rsid w:val="00B31373"/>
    <w:rsid w:val="00B31D3E"/>
    <w:rsid w:val="00B329AE"/>
    <w:rsid w:val="00B33046"/>
    <w:rsid w:val="00B337D3"/>
    <w:rsid w:val="00B33E2E"/>
    <w:rsid w:val="00B3455F"/>
    <w:rsid w:val="00B35EFB"/>
    <w:rsid w:val="00B3707B"/>
    <w:rsid w:val="00B4046B"/>
    <w:rsid w:val="00B4140F"/>
    <w:rsid w:val="00B44C16"/>
    <w:rsid w:val="00B50F33"/>
    <w:rsid w:val="00B522C7"/>
    <w:rsid w:val="00B52494"/>
    <w:rsid w:val="00B52B92"/>
    <w:rsid w:val="00B52EDC"/>
    <w:rsid w:val="00B54479"/>
    <w:rsid w:val="00B54686"/>
    <w:rsid w:val="00B55AF4"/>
    <w:rsid w:val="00B572D2"/>
    <w:rsid w:val="00B6096D"/>
    <w:rsid w:val="00B61B0F"/>
    <w:rsid w:val="00B62C8B"/>
    <w:rsid w:val="00B63BA6"/>
    <w:rsid w:val="00B670C5"/>
    <w:rsid w:val="00B705B9"/>
    <w:rsid w:val="00B71016"/>
    <w:rsid w:val="00B71F25"/>
    <w:rsid w:val="00B72148"/>
    <w:rsid w:val="00B73A89"/>
    <w:rsid w:val="00B7434E"/>
    <w:rsid w:val="00B800AD"/>
    <w:rsid w:val="00B819FB"/>
    <w:rsid w:val="00B84175"/>
    <w:rsid w:val="00B84FC4"/>
    <w:rsid w:val="00B85033"/>
    <w:rsid w:val="00B85FBD"/>
    <w:rsid w:val="00B90438"/>
    <w:rsid w:val="00B91567"/>
    <w:rsid w:val="00B92624"/>
    <w:rsid w:val="00B92E78"/>
    <w:rsid w:val="00B933A9"/>
    <w:rsid w:val="00B963D0"/>
    <w:rsid w:val="00B97165"/>
    <w:rsid w:val="00BA026E"/>
    <w:rsid w:val="00BA0AAC"/>
    <w:rsid w:val="00BA170A"/>
    <w:rsid w:val="00BA57CC"/>
    <w:rsid w:val="00BA5E79"/>
    <w:rsid w:val="00BB1F9E"/>
    <w:rsid w:val="00BB7F65"/>
    <w:rsid w:val="00BC2899"/>
    <w:rsid w:val="00BC35CE"/>
    <w:rsid w:val="00BC3F7D"/>
    <w:rsid w:val="00BC4810"/>
    <w:rsid w:val="00BC52A9"/>
    <w:rsid w:val="00BC57A2"/>
    <w:rsid w:val="00BC63F6"/>
    <w:rsid w:val="00BC6560"/>
    <w:rsid w:val="00BC74E0"/>
    <w:rsid w:val="00BD1108"/>
    <w:rsid w:val="00BD1414"/>
    <w:rsid w:val="00BD200E"/>
    <w:rsid w:val="00BD3B8F"/>
    <w:rsid w:val="00BD5D0F"/>
    <w:rsid w:val="00BE0BF0"/>
    <w:rsid w:val="00BE2101"/>
    <w:rsid w:val="00BE2E34"/>
    <w:rsid w:val="00BE48F3"/>
    <w:rsid w:val="00BE5152"/>
    <w:rsid w:val="00BE56A5"/>
    <w:rsid w:val="00BE63DA"/>
    <w:rsid w:val="00BE6686"/>
    <w:rsid w:val="00BE73BA"/>
    <w:rsid w:val="00BE772C"/>
    <w:rsid w:val="00BF1B08"/>
    <w:rsid w:val="00BF2C9C"/>
    <w:rsid w:val="00BF4188"/>
    <w:rsid w:val="00BF4448"/>
    <w:rsid w:val="00BF48AE"/>
    <w:rsid w:val="00BF6B60"/>
    <w:rsid w:val="00BF7533"/>
    <w:rsid w:val="00C03243"/>
    <w:rsid w:val="00C06A8B"/>
    <w:rsid w:val="00C06E60"/>
    <w:rsid w:val="00C07452"/>
    <w:rsid w:val="00C1208D"/>
    <w:rsid w:val="00C12F07"/>
    <w:rsid w:val="00C13217"/>
    <w:rsid w:val="00C13EFF"/>
    <w:rsid w:val="00C16F34"/>
    <w:rsid w:val="00C1706C"/>
    <w:rsid w:val="00C1790F"/>
    <w:rsid w:val="00C2017D"/>
    <w:rsid w:val="00C20582"/>
    <w:rsid w:val="00C25B14"/>
    <w:rsid w:val="00C27D2B"/>
    <w:rsid w:val="00C27E56"/>
    <w:rsid w:val="00C30C12"/>
    <w:rsid w:val="00C32A34"/>
    <w:rsid w:val="00C3349C"/>
    <w:rsid w:val="00C340E3"/>
    <w:rsid w:val="00C344D8"/>
    <w:rsid w:val="00C3601B"/>
    <w:rsid w:val="00C37538"/>
    <w:rsid w:val="00C377D7"/>
    <w:rsid w:val="00C37857"/>
    <w:rsid w:val="00C40E40"/>
    <w:rsid w:val="00C41772"/>
    <w:rsid w:val="00C41E09"/>
    <w:rsid w:val="00C45C4D"/>
    <w:rsid w:val="00C45F6C"/>
    <w:rsid w:val="00C532C7"/>
    <w:rsid w:val="00C5343C"/>
    <w:rsid w:val="00C544D0"/>
    <w:rsid w:val="00C55717"/>
    <w:rsid w:val="00C619EF"/>
    <w:rsid w:val="00C624A0"/>
    <w:rsid w:val="00C627B4"/>
    <w:rsid w:val="00C62D86"/>
    <w:rsid w:val="00C63128"/>
    <w:rsid w:val="00C64508"/>
    <w:rsid w:val="00C65D7A"/>
    <w:rsid w:val="00C7012C"/>
    <w:rsid w:val="00C7124B"/>
    <w:rsid w:val="00C74507"/>
    <w:rsid w:val="00C75172"/>
    <w:rsid w:val="00C77597"/>
    <w:rsid w:val="00C81157"/>
    <w:rsid w:val="00C82048"/>
    <w:rsid w:val="00C822EC"/>
    <w:rsid w:val="00C864C0"/>
    <w:rsid w:val="00C86D7A"/>
    <w:rsid w:val="00C87CF3"/>
    <w:rsid w:val="00C937FC"/>
    <w:rsid w:val="00C9397D"/>
    <w:rsid w:val="00CA2DDC"/>
    <w:rsid w:val="00CA35EB"/>
    <w:rsid w:val="00CA3DAA"/>
    <w:rsid w:val="00CA45E6"/>
    <w:rsid w:val="00CA4C84"/>
    <w:rsid w:val="00CA5C30"/>
    <w:rsid w:val="00CA5E26"/>
    <w:rsid w:val="00CA6AB8"/>
    <w:rsid w:val="00CA7330"/>
    <w:rsid w:val="00CB08D7"/>
    <w:rsid w:val="00CB1529"/>
    <w:rsid w:val="00CB36E4"/>
    <w:rsid w:val="00CB42E4"/>
    <w:rsid w:val="00CB5F99"/>
    <w:rsid w:val="00CB60BA"/>
    <w:rsid w:val="00CB62BB"/>
    <w:rsid w:val="00CB6D35"/>
    <w:rsid w:val="00CC0731"/>
    <w:rsid w:val="00CC094B"/>
    <w:rsid w:val="00CC15AF"/>
    <w:rsid w:val="00CC23F0"/>
    <w:rsid w:val="00CC253D"/>
    <w:rsid w:val="00CC2D00"/>
    <w:rsid w:val="00CC44DF"/>
    <w:rsid w:val="00CC4D2B"/>
    <w:rsid w:val="00CC535B"/>
    <w:rsid w:val="00CC6D2F"/>
    <w:rsid w:val="00CD3235"/>
    <w:rsid w:val="00CD671E"/>
    <w:rsid w:val="00CD6978"/>
    <w:rsid w:val="00CD7DAB"/>
    <w:rsid w:val="00CE207E"/>
    <w:rsid w:val="00CE30A6"/>
    <w:rsid w:val="00CE3E3C"/>
    <w:rsid w:val="00CE510D"/>
    <w:rsid w:val="00CE5698"/>
    <w:rsid w:val="00CE5F6F"/>
    <w:rsid w:val="00CE6904"/>
    <w:rsid w:val="00CE70CA"/>
    <w:rsid w:val="00CF109D"/>
    <w:rsid w:val="00CF270D"/>
    <w:rsid w:val="00CF55C5"/>
    <w:rsid w:val="00CF61C0"/>
    <w:rsid w:val="00D015F6"/>
    <w:rsid w:val="00D02920"/>
    <w:rsid w:val="00D034D8"/>
    <w:rsid w:val="00D06EAB"/>
    <w:rsid w:val="00D07AC4"/>
    <w:rsid w:val="00D07DC8"/>
    <w:rsid w:val="00D10C32"/>
    <w:rsid w:val="00D1273D"/>
    <w:rsid w:val="00D1597C"/>
    <w:rsid w:val="00D17870"/>
    <w:rsid w:val="00D17A5C"/>
    <w:rsid w:val="00D21DCD"/>
    <w:rsid w:val="00D23C2C"/>
    <w:rsid w:val="00D26CA4"/>
    <w:rsid w:val="00D3149C"/>
    <w:rsid w:val="00D3444E"/>
    <w:rsid w:val="00D351A2"/>
    <w:rsid w:val="00D35AAD"/>
    <w:rsid w:val="00D3650D"/>
    <w:rsid w:val="00D37A59"/>
    <w:rsid w:val="00D404C7"/>
    <w:rsid w:val="00D40DC3"/>
    <w:rsid w:val="00D4346B"/>
    <w:rsid w:val="00D46BD7"/>
    <w:rsid w:val="00D47A7D"/>
    <w:rsid w:val="00D515D5"/>
    <w:rsid w:val="00D51EFC"/>
    <w:rsid w:val="00D52470"/>
    <w:rsid w:val="00D53CEA"/>
    <w:rsid w:val="00D54067"/>
    <w:rsid w:val="00D541C9"/>
    <w:rsid w:val="00D55729"/>
    <w:rsid w:val="00D56183"/>
    <w:rsid w:val="00D57254"/>
    <w:rsid w:val="00D60A55"/>
    <w:rsid w:val="00D61C1D"/>
    <w:rsid w:val="00D61FF6"/>
    <w:rsid w:val="00D62378"/>
    <w:rsid w:val="00D6375F"/>
    <w:rsid w:val="00D6422F"/>
    <w:rsid w:val="00D64537"/>
    <w:rsid w:val="00D65193"/>
    <w:rsid w:val="00D6553D"/>
    <w:rsid w:val="00D65F5A"/>
    <w:rsid w:val="00D66324"/>
    <w:rsid w:val="00D665C8"/>
    <w:rsid w:val="00D66969"/>
    <w:rsid w:val="00D70259"/>
    <w:rsid w:val="00D70E6D"/>
    <w:rsid w:val="00D7412F"/>
    <w:rsid w:val="00D74D47"/>
    <w:rsid w:val="00D7556A"/>
    <w:rsid w:val="00D75D03"/>
    <w:rsid w:val="00D83838"/>
    <w:rsid w:val="00D8480C"/>
    <w:rsid w:val="00D86C36"/>
    <w:rsid w:val="00D87018"/>
    <w:rsid w:val="00D879BA"/>
    <w:rsid w:val="00D87B7F"/>
    <w:rsid w:val="00D97301"/>
    <w:rsid w:val="00D97653"/>
    <w:rsid w:val="00DA0163"/>
    <w:rsid w:val="00DA1226"/>
    <w:rsid w:val="00DA2577"/>
    <w:rsid w:val="00DA3C2A"/>
    <w:rsid w:val="00DA440A"/>
    <w:rsid w:val="00DA45D0"/>
    <w:rsid w:val="00DA4C17"/>
    <w:rsid w:val="00DA4EBC"/>
    <w:rsid w:val="00DA6B95"/>
    <w:rsid w:val="00DA6C96"/>
    <w:rsid w:val="00DB0BD3"/>
    <w:rsid w:val="00DB2573"/>
    <w:rsid w:val="00DB3D80"/>
    <w:rsid w:val="00DB5114"/>
    <w:rsid w:val="00DB75B0"/>
    <w:rsid w:val="00DC088B"/>
    <w:rsid w:val="00DC1E9E"/>
    <w:rsid w:val="00DC272D"/>
    <w:rsid w:val="00DC4660"/>
    <w:rsid w:val="00DC4E48"/>
    <w:rsid w:val="00DC5626"/>
    <w:rsid w:val="00DC7CE5"/>
    <w:rsid w:val="00DD0B63"/>
    <w:rsid w:val="00DD0EBF"/>
    <w:rsid w:val="00DD13CB"/>
    <w:rsid w:val="00DD18B9"/>
    <w:rsid w:val="00DD29F9"/>
    <w:rsid w:val="00DD34A9"/>
    <w:rsid w:val="00DD565A"/>
    <w:rsid w:val="00DD5F21"/>
    <w:rsid w:val="00DD5FA8"/>
    <w:rsid w:val="00DD6AE2"/>
    <w:rsid w:val="00DD6DC2"/>
    <w:rsid w:val="00DE37FB"/>
    <w:rsid w:val="00DE3AEF"/>
    <w:rsid w:val="00DE43C2"/>
    <w:rsid w:val="00DE44F5"/>
    <w:rsid w:val="00DE4CF2"/>
    <w:rsid w:val="00DE67DF"/>
    <w:rsid w:val="00DE74E8"/>
    <w:rsid w:val="00DF0490"/>
    <w:rsid w:val="00DF1939"/>
    <w:rsid w:val="00DF1EA8"/>
    <w:rsid w:val="00DF215D"/>
    <w:rsid w:val="00DF269C"/>
    <w:rsid w:val="00DF5B7D"/>
    <w:rsid w:val="00DF6183"/>
    <w:rsid w:val="00DF6C52"/>
    <w:rsid w:val="00DF702F"/>
    <w:rsid w:val="00E019A5"/>
    <w:rsid w:val="00E033C8"/>
    <w:rsid w:val="00E05D61"/>
    <w:rsid w:val="00E06B77"/>
    <w:rsid w:val="00E06E44"/>
    <w:rsid w:val="00E078F4"/>
    <w:rsid w:val="00E13187"/>
    <w:rsid w:val="00E13723"/>
    <w:rsid w:val="00E140AB"/>
    <w:rsid w:val="00E2237F"/>
    <w:rsid w:val="00E225A8"/>
    <w:rsid w:val="00E22956"/>
    <w:rsid w:val="00E22D80"/>
    <w:rsid w:val="00E2446A"/>
    <w:rsid w:val="00E24744"/>
    <w:rsid w:val="00E25A19"/>
    <w:rsid w:val="00E264ED"/>
    <w:rsid w:val="00E26BF2"/>
    <w:rsid w:val="00E27FA3"/>
    <w:rsid w:val="00E3236B"/>
    <w:rsid w:val="00E324D1"/>
    <w:rsid w:val="00E32699"/>
    <w:rsid w:val="00E33B9F"/>
    <w:rsid w:val="00E35542"/>
    <w:rsid w:val="00E35DC8"/>
    <w:rsid w:val="00E36B2D"/>
    <w:rsid w:val="00E37CA1"/>
    <w:rsid w:val="00E43ED2"/>
    <w:rsid w:val="00E4687A"/>
    <w:rsid w:val="00E47B87"/>
    <w:rsid w:val="00E506BA"/>
    <w:rsid w:val="00E507A2"/>
    <w:rsid w:val="00E52C1A"/>
    <w:rsid w:val="00E618F0"/>
    <w:rsid w:val="00E64460"/>
    <w:rsid w:val="00E651ED"/>
    <w:rsid w:val="00E65E44"/>
    <w:rsid w:val="00E67272"/>
    <w:rsid w:val="00E67582"/>
    <w:rsid w:val="00E70BF5"/>
    <w:rsid w:val="00E72BDD"/>
    <w:rsid w:val="00E76E14"/>
    <w:rsid w:val="00E76F8A"/>
    <w:rsid w:val="00E846B7"/>
    <w:rsid w:val="00E8598D"/>
    <w:rsid w:val="00E90FB2"/>
    <w:rsid w:val="00E91782"/>
    <w:rsid w:val="00E91C46"/>
    <w:rsid w:val="00E92E40"/>
    <w:rsid w:val="00E9356D"/>
    <w:rsid w:val="00E9396E"/>
    <w:rsid w:val="00E95BF4"/>
    <w:rsid w:val="00E9768C"/>
    <w:rsid w:val="00EA023B"/>
    <w:rsid w:val="00EA0290"/>
    <w:rsid w:val="00EA2166"/>
    <w:rsid w:val="00EA35B4"/>
    <w:rsid w:val="00EA520E"/>
    <w:rsid w:val="00EA5955"/>
    <w:rsid w:val="00EA5B5F"/>
    <w:rsid w:val="00EA7757"/>
    <w:rsid w:val="00EB1CA6"/>
    <w:rsid w:val="00EB5735"/>
    <w:rsid w:val="00EB6BE5"/>
    <w:rsid w:val="00EB7900"/>
    <w:rsid w:val="00EC09A9"/>
    <w:rsid w:val="00EC5474"/>
    <w:rsid w:val="00EC5875"/>
    <w:rsid w:val="00EC5F61"/>
    <w:rsid w:val="00ED4A5A"/>
    <w:rsid w:val="00ED4DA4"/>
    <w:rsid w:val="00EE1DA6"/>
    <w:rsid w:val="00EE2148"/>
    <w:rsid w:val="00EE2184"/>
    <w:rsid w:val="00EE263B"/>
    <w:rsid w:val="00EE263D"/>
    <w:rsid w:val="00EE2F30"/>
    <w:rsid w:val="00EE40C4"/>
    <w:rsid w:val="00EE5824"/>
    <w:rsid w:val="00EF06E5"/>
    <w:rsid w:val="00EF0EFF"/>
    <w:rsid w:val="00EF269E"/>
    <w:rsid w:val="00EF2E44"/>
    <w:rsid w:val="00EF3A67"/>
    <w:rsid w:val="00EF5417"/>
    <w:rsid w:val="00EF7EAF"/>
    <w:rsid w:val="00F01C34"/>
    <w:rsid w:val="00F0438C"/>
    <w:rsid w:val="00F04474"/>
    <w:rsid w:val="00F054D6"/>
    <w:rsid w:val="00F05623"/>
    <w:rsid w:val="00F056F0"/>
    <w:rsid w:val="00F0584E"/>
    <w:rsid w:val="00F0768B"/>
    <w:rsid w:val="00F10EBB"/>
    <w:rsid w:val="00F13C53"/>
    <w:rsid w:val="00F13D5E"/>
    <w:rsid w:val="00F14425"/>
    <w:rsid w:val="00F14C93"/>
    <w:rsid w:val="00F16D23"/>
    <w:rsid w:val="00F1701F"/>
    <w:rsid w:val="00F174C9"/>
    <w:rsid w:val="00F202B3"/>
    <w:rsid w:val="00F2245D"/>
    <w:rsid w:val="00F2262C"/>
    <w:rsid w:val="00F22A6B"/>
    <w:rsid w:val="00F22E2C"/>
    <w:rsid w:val="00F26BF5"/>
    <w:rsid w:val="00F27946"/>
    <w:rsid w:val="00F27BBE"/>
    <w:rsid w:val="00F30706"/>
    <w:rsid w:val="00F36EC7"/>
    <w:rsid w:val="00F4120B"/>
    <w:rsid w:val="00F42A2E"/>
    <w:rsid w:val="00F42F28"/>
    <w:rsid w:val="00F43482"/>
    <w:rsid w:val="00F43530"/>
    <w:rsid w:val="00F439E2"/>
    <w:rsid w:val="00F450F7"/>
    <w:rsid w:val="00F46985"/>
    <w:rsid w:val="00F47435"/>
    <w:rsid w:val="00F51E3A"/>
    <w:rsid w:val="00F532D1"/>
    <w:rsid w:val="00F56DA4"/>
    <w:rsid w:val="00F570CC"/>
    <w:rsid w:val="00F60117"/>
    <w:rsid w:val="00F615BF"/>
    <w:rsid w:val="00F62CEC"/>
    <w:rsid w:val="00F6600A"/>
    <w:rsid w:val="00F67245"/>
    <w:rsid w:val="00F6784B"/>
    <w:rsid w:val="00F67B92"/>
    <w:rsid w:val="00F67E18"/>
    <w:rsid w:val="00F67E82"/>
    <w:rsid w:val="00F71DCC"/>
    <w:rsid w:val="00F7369F"/>
    <w:rsid w:val="00F74795"/>
    <w:rsid w:val="00F74CF8"/>
    <w:rsid w:val="00F76894"/>
    <w:rsid w:val="00F8055B"/>
    <w:rsid w:val="00F81CEE"/>
    <w:rsid w:val="00F84488"/>
    <w:rsid w:val="00F845A6"/>
    <w:rsid w:val="00F85D31"/>
    <w:rsid w:val="00F86F06"/>
    <w:rsid w:val="00F87446"/>
    <w:rsid w:val="00F901D3"/>
    <w:rsid w:val="00F90FB4"/>
    <w:rsid w:val="00F91563"/>
    <w:rsid w:val="00F91BDD"/>
    <w:rsid w:val="00F92557"/>
    <w:rsid w:val="00F96758"/>
    <w:rsid w:val="00F96E09"/>
    <w:rsid w:val="00F97960"/>
    <w:rsid w:val="00FA1937"/>
    <w:rsid w:val="00FA1BC7"/>
    <w:rsid w:val="00FA2A27"/>
    <w:rsid w:val="00FA43E4"/>
    <w:rsid w:val="00FA4C97"/>
    <w:rsid w:val="00FA64EE"/>
    <w:rsid w:val="00FB0A85"/>
    <w:rsid w:val="00FB549D"/>
    <w:rsid w:val="00FB74C1"/>
    <w:rsid w:val="00FB76DA"/>
    <w:rsid w:val="00FC1B7D"/>
    <w:rsid w:val="00FC3929"/>
    <w:rsid w:val="00FC4006"/>
    <w:rsid w:val="00FC4A73"/>
    <w:rsid w:val="00FC5FE4"/>
    <w:rsid w:val="00FC6501"/>
    <w:rsid w:val="00FC700D"/>
    <w:rsid w:val="00FD16EC"/>
    <w:rsid w:val="00FD5D9F"/>
    <w:rsid w:val="00FD65EA"/>
    <w:rsid w:val="00FE0602"/>
    <w:rsid w:val="00FE0E91"/>
    <w:rsid w:val="00FE15AD"/>
    <w:rsid w:val="00FE2069"/>
    <w:rsid w:val="00FE2583"/>
    <w:rsid w:val="00FE26E1"/>
    <w:rsid w:val="00FE46F0"/>
    <w:rsid w:val="00FE6777"/>
    <w:rsid w:val="00FF06C9"/>
    <w:rsid w:val="00FF1656"/>
    <w:rsid w:val="00FF1894"/>
    <w:rsid w:val="00FF2D5A"/>
    <w:rsid w:val="00FF2E82"/>
    <w:rsid w:val="00FF49B6"/>
    <w:rsid w:val="00FF5887"/>
    <w:rsid w:val="00FF67D4"/>
    <w:rsid w:val="00FF6A71"/>
    <w:rsid w:val="00FF7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E58B5"/>
  <w14:defaultImageDpi w14:val="32767"/>
  <w15:docId w15:val="{06CF5B19-0D9A-7545-A5C7-E47F6F12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37FC"/>
    <w:pPr>
      <w:tabs>
        <w:tab w:val="center" w:pos="4513"/>
        <w:tab w:val="right" w:pos="9026"/>
      </w:tabs>
    </w:pPr>
  </w:style>
  <w:style w:type="character" w:customStyle="1" w:styleId="FooterChar">
    <w:name w:val="Footer Char"/>
    <w:basedOn w:val="DefaultParagraphFont"/>
    <w:link w:val="Footer"/>
    <w:uiPriority w:val="99"/>
    <w:rsid w:val="00C937FC"/>
  </w:style>
  <w:style w:type="character" w:styleId="PageNumber">
    <w:name w:val="page number"/>
    <w:basedOn w:val="DefaultParagraphFont"/>
    <w:uiPriority w:val="99"/>
    <w:semiHidden/>
    <w:unhideWhenUsed/>
    <w:rsid w:val="00C937FC"/>
  </w:style>
  <w:style w:type="paragraph" w:styleId="FootnoteText">
    <w:name w:val="footnote text"/>
    <w:basedOn w:val="Normal"/>
    <w:link w:val="FootnoteTextChar"/>
    <w:uiPriority w:val="99"/>
    <w:unhideWhenUsed/>
    <w:rsid w:val="000D70E7"/>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0D70E7"/>
    <w:rPr>
      <w:rFonts w:ascii="Times New Roman" w:hAnsi="Times New Roman" w:cs="Times New Roman"/>
      <w:sz w:val="20"/>
      <w:szCs w:val="20"/>
    </w:rPr>
  </w:style>
  <w:style w:type="character" w:styleId="FootnoteReference">
    <w:name w:val="footnote reference"/>
    <w:uiPriority w:val="99"/>
    <w:unhideWhenUsed/>
    <w:rsid w:val="009A18AE"/>
    <w:rPr>
      <w:rFonts w:ascii="Times New Roman" w:hAnsi="Times New Roman"/>
      <w:color w:val="000000" w:themeColor="text1"/>
      <w:sz w:val="24"/>
      <w:vertAlign w:val="superscript"/>
    </w:rPr>
  </w:style>
  <w:style w:type="paragraph" w:styleId="ListParagraph">
    <w:name w:val="List Paragraph"/>
    <w:basedOn w:val="Normal"/>
    <w:uiPriority w:val="34"/>
    <w:qFormat/>
    <w:rsid w:val="00023D65"/>
    <w:pPr>
      <w:ind w:left="720"/>
      <w:contextualSpacing/>
    </w:pPr>
  </w:style>
  <w:style w:type="character" w:styleId="CommentReference">
    <w:name w:val="annotation reference"/>
    <w:basedOn w:val="DefaultParagraphFont"/>
    <w:uiPriority w:val="99"/>
    <w:semiHidden/>
    <w:unhideWhenUsed/>
    <w:rsid w:val="00C45C4D"/>
    <w:rPr>
      <w:sz w:val="16"/>
      <w:szCs w:val="16"/>
    </w:rPr>
  </w:style>
  <w:style w:type="paragraph" w:styleId="CommentText">
    <w:name w:val="annotation text"/>
    <w:basedOn w:val="Normal"/>
    <w:link w:val="CommentTextChar"/>
    <w:uiPriority w:val="99"/>
    <w:semiHidden/>
    <w:unhideWhenUsed/>
    <w:rsid w:val="00C45C4D"/>
    <w:rPr>
      <w:sz w:val="20"/>
      <w:szCs w:val="20"/>
    </w:rPr>
  </w:style>
  <w:style w:type="character" w:customStyle="1" w:styleId="CommentTextChar">
    <w:name w:val="Comment Text Char"/>
    <w:basedOn w:val="DefaultParagraphFont"/>
    <w:link w:val="CommentText"/>
    <w:uiPriority w:val="99"/>
    <w:semiHidden/>
    <w:rsid w:val="00C45C4D"/>
    <w:rPr>
      <w:sz w:val="20"/>
      <w:szCs w:val="20"/>
    </w:rPr>
  </w:style>
  <w:style w:type="paragraph" w:styleId="CommentSubject">
    <w:name w:val="annotation subject"/>
    <w:basedOn w:val="CommentText"/>
    <w:next w:val="CommentText"/>
    <w:link w:val="CommentSubjectChar"/>
    <w:uiPriority w:val="99"/>
    <w:semiHidden/>
    <w:unhideWhenUsed/>
    <w:rsid w:val="00C45C4D"/>
    <w:rPr>
      <w:b/>
      <w:bCs/>
    </w:rPr>
  </w:style>
  <w:style w:type="character" w:customStyle="1" w:styleId="CommentSubjectChar">
    <w:name w:val="Comment Subject Char"/>
    <w:basedOn w:val="CommentTextChar"/>
    <w:link w:val="CommentSubject"/>
    <w:uiPriority w:val="99"/>
    <w:semiHidden/>
    <w:rsid w:val="00C45C4D"/>
    <w:rPr>
      <w:b/>
      <w:bCs/>
      <w:sz w:val="20"/>
      <w:szCs w:val="20"/>
    </w:rPr>
  </w:style>
  <w:style w:type="paragraph" w:styleId="BalloonText">
    <w:name w:val="Balloon Text"/>
    <w:basedOn w:val="Normal"/>
    <w:link w:val="BalloonTextChar"/>
    <w:uiPriority w:val="99"/>
    <w:semiHidden/>
    <w:unhideWhenUsed/>
    <w:rsid w:val="00C45C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5C4D"/>
    <w:rPr>
      <w:rFonts w:ascii="Times New Roman" w:hAnsi="Times New Roman" w:cs="Times New Roman"/>
      <w:sz w:val="18"/>
      <w:szCs w:val="18"/>
    </w:rPr>
  </w:style>
  <w:style w:type="paragraph" w:styleId="Revision">
    <w:name w:val="Revision"/>
    <w:hidden/>
    <w:uiPriority w:val="99"/>
    <w:semiHidden/>
    <w:rsid w:val="00F0438C"/>
  </w:style>
  <w:style w:type="paragraph" w:styleId="Header">
    <w:name w:val="header"/>
    <w:basedOn w:val="Normal"/>
    <w:link w:val="HeaderChar"/>
    <w:uiPriority w:val="99"/>
    <w:unhideWhenUsed/>
    <w:rsid w:val="007723BF"/>
    <w:pPr>
      <w:tabs>
        <w:tab w:val="center" w:pos="4513"/>
        <w:tab w:val="right" w:pos="9026"/>
      </w:tabs>
    </w:pPr>
  </w:style>
  <w:style w:type="character" w:customStyle="1" w:styleId="HeaderChar">
    <w:name w:val="Header Char"/>
    <w:basedOn w:val="DefaultParagraphFont"/>
    <w:link w:val="Header"/>
    <w:uiPriority w:val="99"/>
    <w:rsid w:val="0077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2651">
      <w:bodyDiv w:val="1"/>
      <w:marLeft w:val="0"/>
      <w:marRight w:val="0"/>
      <w:marTop w:val="0"/>
      <w:marBottom w:val="0"/>
      <w:divBdr>
        <w:top w:val="none" w:sz="0" w:space="0" w:color="auto"/>
        <w:left w:val="none" w:sz="0" w:space="0" w:color="auto"/>
        <w:bottom w:val="none" w:sz="0" w:space="0" w:color="auto"/>
        <w:right w:val="none" w:sz="0" w:space="0" w:color="auto"/>
      </w:divBdr>
    </w:div>
    <w:div w:id="218247080">
      <w:bodyDiv w:val="1"/>
      <w:marLeft w:val="0"/>
      <w:marRight w:val="0"/>
      <w:marTop w:val="0"/>
      <w:marBottom w:val="0"/>
      <w:divBdr>
        <w:top w:val="none" w:sz="0" w:space="0" w:color="auto"/>
        <w:left w:val="none" w:sz="0" w:space="0" w:color="auto"/>
        <w:bottom w:val="none" w:sz="0" w:space="0" w:color="auto"/>
        <w:right w:val="none" w:sz="0" w:space="0" w:color="auto"/>
      </w:divBdr>
    </w:div>
    <w:div w:id="313946891">
      <w:bodyDiv w:val="1"/>
      <w:marLeft w:val="0"/>
      <w:marRight w:val="0"/>
      <w:marTop w:val="0"/>
      <w:marBottom w:val="0"/>
      <w:divBdr>
        <w:top w:val="none" w:sz="0" w:space="0" w:color="auto"/>
        <w:left w:val="none" w:sz="0" w:space="0" w:color="auto"/>
        <w:bottom w:val="none" w:sz="0" w:space="0" w:color="auto"/>
        <w:right w:val="none" w:sz="0" w:space="0" w:color="auto"/>
      </w:divBdr>
      <w:divsChild>
        <w:div w:id="260379389">
          <w:marLeft w:val="0"/>
          <w:marRight w:val="0"/>
          <w:marTop w:val="0"/>
          <w:marBottom w:val="0"/>
          <w:divBdr>
            <w:top w:val="none" w:sz="0" w:space="0" w:color="auto"/>
            <w:left w:val="none" w:sz="0" w:space="0" w:color="auto"/>
            <w:bottom w:val="none" w:sz="0" w:space="0" w:color="auto"/>
            <w:right w:val="none" w:sz="0" w:space="0" w:color="auto"/>
          </w:divBdr>
          <w:divsChild>
            <w:div w:id="205802321">
              <w:marLeft w:val="0"/>
              <w:marRight w:val="0"/>
              <w:marTop w:val="0"/>
              <w:marBottom w:val="0"/>
              <w:divBdr>
                <w:top w:val="none" w:sz="0" w:space="0" w:color="auto"/>
                <w:left w:val="none" w:sz="0" w:space="0" w:color="auto"/>
                <w:bottom w:val="none" w:sz="0" w:space="0" w:color="auto"/>
                <w:right w:val="none" w:sz="0" w:space="0" w:color="auto"/>
              </w:divBdr>
              <w:divsChild>
                <w:div w:id="1376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4307">
      <w:bodyDiv w:val="1"/>
      <w:marLeft w:val="0"/>
      <w:marRight w:val="0"/>
      <w:marTop w:val="0"/>
      <w:marBottom w:val="0"/>
      <w:divBdr>
        <w:top w:val="none" w:sz="0" w:space="0" w:color="auto"/>
        <w:left w:val="none" w:sz="0" w:space="0" w:color="auto"/>
        <w:bottom w:val="none" w:sz="0" w:space="0" w:color="auto"/>
        <w:right w:val="none" w:sz="0" w:space="0" w:color="auto"/>
      </w:divBdr>
    </w:div>
    <w:div w:id="592593065">
      <w:bodyDiv w:val="1"/>
      <w:marLeft w:val="0"/>
      <w:marRight w:val="0"/>
      <w:marTop w:val="0"/>
      <w:marBottom w:val="0"/>
      <w:divBdr>
        <w:top w:val="none" w:sz="0" w:space="0" w:color="auto"/>
        <w:left w:val="none" w:sz="0" w:space="0" w:color="auto"/>
        <w:bottom w:val="none" w:sz="0" w:space="0" w:color="auto"/>
        <w:right w:val="none" w:sz="0" w:space="0" w:color="auto"/>
      </w:divBdr>
      <w:divsChild>
        <w:div w:id="509107911">
          <w:marLeft w:val="0"/>
          <w:marRight w:val="0"/>
          <w:marTop w:val="0"/>
          <w:marBottom w:val="0"/>
          <w:divBdr>
            <w:top w:val="none" w:sz="0" w:space="0" w:color="auto"/>
            <w:left w:val="none" w:sz="0" w:space="0" w:color="auto"/>
            <w:bottom w:val="none" w:sz="0" w:space="0" w:color="auto"/>
            <w:right w:val="none" w:sz="0" w:space="0" w:color="auto"/>
          </w:divBdr>
          <w:divsChild>
            <w:div w:id="1174881813">
              <w:marLeft w:val="0"/>
              <w:marRight w:val="0"/>
              <w:marTop w:val="0"/>
              <w:marBottom w:val="0"/>
              <w:divBdr>
                <w:top w:val="none" w:sz="0" w:space="0" w:color="auto"/>
                <w:left w:val="none" w:sz="0" w:space="0" w:color="auto"/>
                <w:bottom w:val="none" w:sz="0" w:space="0" w:color="auto"/>
                <w:right w:val="none" w:sz="0" w:space="0" w:color="auto"/>
              </w:divBdr>
              <w:divsChild>
                <w:div w:id="20079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1073">
      <w:bodyDiv w:val="1"/>
      <w:marLeft w:val="0"/>
      <w:marRight w:val="0"/>
      <w:marTop w:val="0"/>
      <w:marBottom w:val="0"/>
      <w:divBdr>
        <w:top w:val="none" w:sz="0" w:space="0" w:color="auto"/>
        <w:left w:val="none" w:sz="0" w:space="0" w:color="auto"/>
        <w:bottom w:val="none" w:sz="0" w:space="0" w:color="auto"/>
        <w:right w:val="none" w:sz="0" w:space="0" w:color="auto"/>
      </w:divBdr>
    </w:div>
    <w:div w:id="701370207">
      <w:bodyDiv w:val="1"/>
      <w:marLeft w:val="0"/>
      <w:marRight w:val="0"/>
      <w:marTop w:val="0"/>
      <w:marBottom w:val="0"/>
      <w:divBdr>
        <w:top w:val="none" w:sz="0" w:space="0" w:color="auto"/>
        <w:left w:val="none" w:sz="0" w:space="0" w:color="auto"/>
        <w:bottom w:val="none" w:sz="0" w:space="0" w:color="auto"/>
        <w:right w:val="none" w:sz="0" w:space="0" w:color="auto"/>
      </w:divBdr>
      <w:divsChild>
        <w:div w:id="37363582">
          <w:marLeft w:val="0"/>
          <w:marRight w:val="0"/>
          <w:marTop w:val="0"/>
          <w:marBottom w:val="0"/>
          <w:divBdr>
            <w:top w:val="none" w:sz="0" w:space="0" w:color="auto"/>
            <w:left w:val="none" w:sz="0" w:space="0" w:color="auto"/>
            <w:bottom w:val="none" w:sz="0" w:space="0" w:color="auto"/>
            <w:right w:val="none" w:sz="0" w:space="0" w:color="auto"/>
          </w:divBdr>
          <w:divsChild>
            <w:div w:id="873231782">
              <w:marLeft w:val="0"/>
              <w:marRight w:val="0"/>
              <w:marTop w:val="0"/>
              <w:marBottom w:val="0"/>
              <w:divBdr>
                <w:top w:val="none" w:sz="0" w:space="0" w:color="auto"/>
                <w:left w:val="none" w:sz="0" w:space="0" w:color="auto"/>
                <w:bottom w:val="none" w:sz="0" w:space="0" w:color="auto"/>
                <w:right w:val="none" w:sz="0" w:space="0" w:color="auto"/>
              </w:divBdr>
              <w:divsChild>
                <w:div w:id="2057076349">
                  <w:marLeft w:val="0"/>
                  <w:marRight w:val="0"/>
                  <w:marTop w:val="0"/>
                  <w:marBottom w:val="0"/>
                  <w:divBdr>
                    <w:top w:val="none" w:sz="0" w:space="0" w:color="auto"/>
                    <w:left w:val="none" w:sz="0" w:space="0" w:color="auto"/>
                    <w:bottom w:val="none" w:sz="0" w:space="0" w:color="auto"/>
                    <w:right w:val="none" w:sz="0" w:space="0" w:color="auto"/>
                  </w:divBdr>
                  <w:divsChild>
                    <w:div w:id="11609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72389">
      <w:bodyDiv w:val="1"/>
      <w:marLeft w:val="0"/>
      <w:marRight w:val="0"/>
      <w:marTop w:val="0"/>
      <w:marBottom w:val="0"/>
      <w:divBdr>
        <w:top w:val="none" w:sz="0" w:space="0" w:color="auto"/>
        <w:left w:val="none" w:sz="0" w:space="0" w:color="auto"/>
        <w:bottom w:val="none" w:sz="0" w:space="0" w:color="auto"/>
        <w:right w:val="none" w:sz="0" w:space="0" w:color="auto"/>
      </w:divBdr>
    </w:div>
    <w:div w:id="856164424">
      <w:bodyDiv w:val="1"/>
      <w:marLeft w:val="0"/>
      <w:marRight w:val="0"/>
      <w:marTop w:val="0"/>
      <w:marBottom w:val="0"/>
      <w:divBdr>
        <w:top w:val="none" w:sz="0" w:space="0" w:color="auto"/>
        <w:left w:val="none" w:sz="0" w:space="0" w:color="auto"/>
        <w:bottom w:val="none" w:sz="0" w:space="0" w:color="auto"/>
        <w:right w:val="none" w:sz="0" w:space="0" w:color="auto"/>
      </w:divBdr>
    </w:div>
    <w:div w:id="910387231">
      <w:bodyDiv w:val="1"/>
      <w:marLeft w:val="0"/>
      <w:marRight w:val="0"/>
      <w:marTop w:val="0"/>
      <w:marBottom w:val="0"/>
      <w:divBdr>
        <w:top w:val="none" w:sz="0" w:space="0" w:color="auto"/>
        <w:left w:val="none" w:sz="0" w:space="0" w:color="auto"/>
        <w:bottom w:val="none" w:sz="0" w:space="0" w:color="auto"/>
        <w:right w:val="none" w:sz="0" w:space="0" w:color="auto"/>
      </w:divBdr>
    </w:div>
    <w:div w:id="928083427">
      <w:bodyDiv w:val="1"/>
      <w:marLeft w:val="0"/>
      <w:marRight w:val="0"/>
      <w:marTop w:val="0"/>
      <w:marBottom w:val="0"/>
      <w:divBdr>
        <w:top w:val="none" w:sz="0" w:space="0" w:color="auto"/>
        <w:left w:val="none" w:sz="0" w:space="0" w:color="auto"/>
        <w:bottom w:val="none" w:sz="0" w:space="0" w:color="auto"/>
        <w:right w:val="none" w:sz="0" w:space="0" w:color="auto"/>
      </w:divBdr>
    </w:div>
    <w:div w:id="1101953855">
      <w:bodyDiv w:val="1"/>
      <w:marLeft w:val="0"/>
      <w:marRight w:val="0"/>
      <w:marTop w:val="0"/>
      <w:marBottom w:val="0"/>
      <w:divBdr>
        <w:top w:val="none" w:sz="0" w:space="0" w:color="auto"/>
        <w:left w:val="none" w:sz="0" w:space="0" w:color="auto"/>
        <w:bottom w:val="none" w:sz="0" w:space="0" w:color="auto"/>
        <w:right w:val="none" w:sz="0" w:space="0" w:color="auto"/>
      </w:divBdr>
    </w:div>
    <w:div w:id="1180856975">
      <w:bodyDiv w:val="1"/>
      <w:marLeft w:val="0"/>
      <w:marRight w:val="0"/>
      <w:marTop w:val="0"/>
      <w:marBottom w:val="0"/>
      <w:divBdr>
        <w:top w:val="none" w:sz="0" w:space="0" w:color="auto"/>
        <w:left w:val="none" w:sz="0" w:space="0" w:color="auto"/>
        <w:bottom w:val="none" w:sz="0" w:space="0" w:color="auto"/>
        <w:right w:val="none" w:sz="0" w:space="0" w:color="auto"/>
      </w:divBdr>
    </w:div>
    <w:div w:id="1221984805">
      <w:bodyDiv w:val="1"/>
      <w:marLeft w:val="0"/>
      <w:marRight w:val="0"/>
      <w:marTop w:val="0"/>
      <w:marBottom w:val="0"/>
      <w:divBdr>
        <w:top w:val="none" w:sz="0" w:space="0" w:color="auto"/>
        <w:left w:val="none" w:sz="0" w:space="0" w:color="auto"/>
        <w:bottom w:val="none" w:sz="0" w:space="0" w:color="auto"/>
        <w:right w:val="none" w:sz="0" w:space="0" w:color="auto"/>
      </w:divBdr>
    </w:div>
    <w:div w:id="1386296966">
      <w:bodyDiv w:val="1"/>
      <w:marLeft w:val="0"/>
      <w:marRight w:val="0"/>
      <w:marTop w:val="0"/>
      <w:marBottom w:val="0"/>
      <w:divBdr>
        <w:top w:val="none" w:sz="0" w:space="0" w:color="auto"/>
        <w:left w:val="none" w:sz="0" w:space="0" w:color="auto"/>
        <w:bottom w:val="none" w:sz="0" w:space="0" w:color="auto"/>
        <w:right w:val="none" w:sz="0" w:space="0" w:color="auto"/>
      </w:divBdr>
    </w:div>
    <w:div w:id="2005085143">
      <w:bodyDiv w:val="1"/>
      <w:marLeft w:val="0"/>
      <w:marRight w:val="0"/>
      <w:marTop w:val="0"/>
      <w:marBottom w:val="0"/>
      <w:divBdr>
        <w:top w:val="none" w:sz="0" w:space="0" w:color="auto"/>
        <w:left w:val="none" w:sz="0" w:space="0" w:color="auto"/>
        <w:bottom w:val="none" w:sz="0" w:space="0" w:color="auto"/>
        <w:right w:val="none" w:sz="0" w:space="0" w:color="auto"/>
      </w:divBdr>
    </w:div>
    <w:div w:id="2068145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152F5D-20C4-A546-AE99-79380AB0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38</Pages>
  <Words>10943</Words>
  <Characters>62381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Richard Nolan</cp:lastModifiedBy>
  <cp:revision>24</cp:revision>
  <cp:lastPrinted>2019-01-08T11:33:00Z</cp:lastPrinted>
  <dcterms:created xsi:type="dcterms:W3CDTF">2019-04-06T12:31:00Z</dcterms:created>
  <dcterms:modified xsi:type="dcterms:W3CDTF">2019-04-07T15:16:00Z</dcterms:modified>
  <cp:category/>
</cp:coreProperties>
</file>