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618" w:rsidRPr="005C688A" w:rsidRDefault="00C64618" w:rsidP="00C64618">
      <w:pPr>
        <w:tabs>
          <w:tab w:val="left" w:pos="851"/>
        </w:tabs>
        <w:spacing w:after="0" w:line="480" w:lineRule="auto"/>
        <w:rPr>
          <w:b/>
          <w:i/>
        </w:rPr>
      </w:pPr>
      <w:r>
        <w:rPr>
          <w:b/>
          <w:i/>
        </w:rPr>
        <w:t>T</w:t>
      </w:r>
      <w:r w:rsidRPr="005C688A">
        <w:rPr>
          <w:b/>
          <w:i/>
        </w:rPr>
        <w:t xml:space="preserve">able 1: </w:t>
      </w:r>
      <w:r>
        <w:rPr>
          <w:b/>
          <w:i/>
        </w:rPr>
        <w:t>Personal</w:t>
      </w:r>
      <w:r w:rsidRPr="005C688A">
        <w:rPr>
          <w:b/>
          <w:i/>
        </w:rPr>
        <w:t xml:space="preserve"> Characteristics and Family Demographics</w:t>
      </w:r>
      <w:r>
        <w:rPr>
          <w:b/>
          <w:i/>
        </w:rPr>
        <w:t xml:space="preserve"> for </w:t>
      </w:r>
      <w:proofErr w:type="spellStart"/>
      <w:r>
        <w:rPr>
          <w:b/>
          <w:i/>
        </w:rPr>
        <w:t>Primiparous</w:t>
      </w:r>
      <w:proofErr w:type="spellEnd"/>
      <w:r>
        <w:rPr>
          <w:b/>
          <w:i/>
        </w:rPr>
        <w:t xml:space="preserve"> and Multiparous Mothers (Differences compared using Independent Samples t-tests and Chi-Square)</w:t>
      </w:r>
      <w:r w:rsidRPr="005C688A">
        <w:rPr>
          <w:b/>
          <w:i/>
        </w:rPr>
        <w:t xml:space="preserve">. Figures are </w:t>
      </w:r>
      <w:proofErr w:type="spellStart"/>
      <w:r w:rsidRPr="005C688A">
        <w:rPr>
          <w:b/>
          <w:i/>
        </w:rPr>
        <w:t>no.s</w:t>
      </w:r>
      <w:proofErr w:type="spellEnd"/>
      <w:r w:rsidRPr="005C688A">
        <w:rPr>
          <w:b/>
          <w:i/>
        </w:rPr>
        <w:t xml:space="preserve"> (</w:t>
      </w:r>
      <w:proofErr w:type="gramStart"/>
      <w:r w:rsidRPr="005C688A">
        <w:rPr>
          <w:b/>
          <w:i/>
        </w:rPr>
        <w:t>%</w:t>
      </w:r>
      <w:proofErr w:type="gramEnd"/>
      <w:r w:rsidRPr="005C688A">
        <w:rPr>
          <w:b/>
          <w:i/>
        </w:rPr>
        <w:t>), unless otherwise stated</w:t>
      </w:r>
    </w:p>
    <w:tbl>
      <w:tblPr>
        <w:tblStyle w:val="TableGrid"/>
        <w:tblW w:w="8667" w:type="dxa"/>
        <w:jc w:val="center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1467"/>
        <w:gridCol w:w="1576"/>
        <w:gridCol w:w="1371"/>
      </w:tblGrid>
      <w:tr w:rsidR="00C64618" w:rsidRPr="005C688A" w:rsidTr="009F7F4B">
        <w:trPr>
          <w:trHeight w:val="537"/>
          <w:jc w:val="center"/>
        </w:trPr>
        <w:tc>
          <w:tcPr>
            <w:tcW w:w="4253" w:type="dxa"/>
            <w:tcBorders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</w:p>
        </w:tc>
        <w:tc>
          <w:tcPr>
            <w:tcW w:w="1467" w:type="dxa"/>
            <w:tcBorders>
              <w:left w:val="nil"/>
              <w:bottom w:val="single" w:sz="4" w:space="0" w:color="auto"/>
              <w:right w:val="nil"/>
            </w:tcBorders>
          </w:tcPr>
          <w:p w:rsidR="00C64618" w:rsidRDefault="00C64618" w:rsidP="009F7F4B">
            <w:pPr>
              <w:tabs>
                <w:tab w:val="left" w:pos="171"/>
              </w:tabs>
              <w:spacing w:line="360" w:lineRule="auto"/>
              <w:rPr>
                <w:i/>
              </w:rPr>
            </w:pPr>
            <w:proofErr w:type="spellStart"/>
            <w:r>
              <w:rPr>
                <w:i/>
              </w:rPr>
              <w:t>Primiparous</w:t>
            </w:r>
            <w:proofErr w:type="spellEnd"/>
          </w:p>
          <w:p w:rsidR="00C64618" w:rsidRPr="005C688A" w:rsidRDefault="00C64618" w:rsidP="009F7F4B">
            <w:pPr>
              <w:tabs>
                <w:tab w:val="left" w:pos="171"/>
              </w:tabs>
              <w:spacing w:line="360" w:lineRule="auto"/>
              <w:rPr>
                <w:i/>
              </w:rPr>
            </w:pPr>
            <w:r>
              <w:rPr>
                <w:i/>
              </w:rPr>
              <w:t>(n=105)</w:t>
            </w:r>
          </w:p>
        </w:tc>
        <w:tc>
          <w:tcPr>
            <w:tcW w:w="1576" w:type="dxa"/>
            <w:tcBorders>
              <w:left w:val="nil"/>
              <w:bottom w:val="single" w:sz="4" w:space="0" w:color="auto"/>
              <w:right w:val="nil"/>
            </w:tcBorders>
          </w:tcPr>
          <w:p w:rsidR="00C64618" w:rsidRDefault="00C64618" w:rsidP="009F7F4B">
            <w:pPr>
              <w:tabs>
                <w:tab w:val="left" w:pos="171"/>
              </w:tabs>
              <w:spacing w:line="360" w:lineRule="auto"/>
              <w:rPr>
                <w:i/>
              </w:rPr>
            </w:pPr>
            <w:r>
              <w:rPr>
                <w:i/>
              </w:rPr>
              <w:t>Multiparous</w:t>
            </w:r>
          </w:p>
          <w:p w:rsidR="00C64618" w:rsidRPr="005C688A" w:rsidRDefault="00C64618" w:rsidP="009F7F4B">
            <w:pPr>
              <w:tabs>
                <w:tab w:val="left" w:pos="171"/>
              </w:tabs>
              <w:spacing w:line="360" w:lineRule="auto"/>
              <w:rPr>
                <w:i/>
              </w:rPr>
            </w:pPr>
            <w:r>
              <w:rPr>
                <w:i/>
              </w:rPr>
              <w:t>(n=85)</w:t>
            </w:r>
          </w:p>
        </w:tc>
        <w:tc>
          <w:tcPr>
            <w:tcW w:w="1371" w:type="dxa"/>
            <w:tcBorders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171"/>
              </w:tabs>
              <w:spacing w:line="360" w:lineRule="auto"/>
              <w:jc w:val="center"/>
              <w:rPr>
                <w:i/>
              </w:rPr>
            </w:pPr>
            <w:r w:rsidRPr="005C688A">
              <w:rPr>
                <w:i/>
              </w:rPr>
              <w:t>Average Irish Values</w:t>
            </w: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>
              <w:t>Mean (SD)</w:t>
            </w:r>
            <w:r w:rsidRPr="005C688A">
              <w:t xml:space="preserve"> number of children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172A0C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 w:rsidRPr="00172A0C">
              <w:rPr>
                <w:color w:val="000000"/>
              </w:rPr>
              <w:t>--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172A0C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 w:rsidRPr="00172A0C">
              <w:rPr>
                <w:color w:val="000000"/>
              </w:rPr>
              <w:t>2.46 (0.78)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 xml:space="preserve">Lone parent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23 (22)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19 (22)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</w:rPr>
            </w:pPr>
            <w:r w:rsidRPr="005C688A">
              <w:rPr>
                <w:color w:val="000000"/>
              </w:rPr>
              <w:t xml:space="preserve">18% </w:t>
            </w:r>
            <w:r w:rsidRPr="005C688A">
              <w:rPr>
                <w:color w:val="000000"/>
                <w:vertAlign w:val="superscript"/>
              </w:rPr>
              <w:t>a</w:t>
            </w: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>Ethnic minority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19 (18)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17 (20)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right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nil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>Mean Age of Mothers (SD)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31.1 (5.5)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32.2 (5.2)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</w:rPr>
            </w:pPr>
            <w:r w:rsidRPr="005C688A">
              <w:rPr>
                <w:color w:val="000000"/>
              </w:rPr>
              <w:t xml:space="preserve">32.3 </w:t>
            </w:r>
            <w:r w:rsidRPr="005C688A">
              <w:rPr>
                <w:color w:val="000000"/>
                <w:vertAlign w:val="superscript"/>
              </w:rPr>
              <w:t>b</w:t>
            </w: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>Teen parent (at birth of first child)</w:t>
            </w:r>
            <w:r>
              <w:t xml:space="preserve"> *</w:t>
            </w:r>
            <w:r w:rsidRPr="005C688A">
              <w:t xml:space="preserve"> </w:t>
            </w:r>
          </w:p>
        </w:tc>
        <w:tc>
          <w:tcPr>
            <w:tcW w:w="14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 (2)</w:t>
            </w:r>
          </w:p>
        </w:tc>
        <w:tc>
          <w:tcPr>
            <w:tcW w:w="15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13 (15.3)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right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 xml:space="preserve">Mean Age of Infants in </w:t>
            </w:r>
            <w:r>
              <w:t>weeks</w:t>
            </w:r>
            <w:r w:rsidRPr="005C688A">
              <w:t xml:space="preserve"> (SD)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9.8 (3.3)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10.6 (3.1)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right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 xml:space="preserve">Boys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53 (50)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33 (45)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right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>Left school before finishing post primary</w:t>
            </w:r>
            <w:r>
              <w:t xml:space="preserve"> *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 (5)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16 (19)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right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Default="00C64618" w:rsidP="009F7F4B">
            <w:pPr>
              <w:tabs>
                <w:tab w:val="left" w:pos="851"/>
              </w:tabs>
              <w:spacing w:line="360" w:lineRule="auto"/>
            </w:pPr>
            <w:r>
              <w:t xml:space="preserve">Employment </w:t>
            </w:r>
            <w:r w:rsidRPr="00B8530D">
              <w:rPr>
                <w:b/>
              </w:rPr>
              <w:t>*</w:t>
            </w:r>
          </w:p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>Both parents working (full/part-time)</w:t>
            </w:r>
          </w:p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>
              <w:t xml:space="preserve">Lone parent/ both parents not </w:t>
            </w:r>
            <w:r w:rsidRPr="005C688A">
              <w:t xml:space="preserve">working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</w:p>
          <w:p w:rsidR="00C64618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83 (79)</w:t>
            </w:r>
          </w:p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6 (5.7)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</w:p>
          <w:p w:rsidR="00C64618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51 (60)</w:t>
            </w:r>
          </w:p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14 (16.5)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right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>At risk of poverty</w:t>
            </w:r>
            <w:r>
              <w:t xml:space="preserve"> </w:t>
            </w:r>
            <w:r w:rsidRPr="008672CC">
              <w:rPr>
                <w:b/>
              </w:rPr>
              <w:t xml:space="preserve">*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27 (26)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35 (41)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center"/>
              <w:rPr>
                <w:color w:val="000000"/>
              </w:rPr>
            </w:pPr>
            <w:r w:rsidRPr="005C688A">
              <w:rPr>
                <w:color w:val="000000"/>
              </w:rPr>
              <w:t xml:space="preserve">16.9% </w:t>
            </w:r>
            <w:r w:rsidRPr="005C688A">
              <w:rPr>
                <w:color w:val="000000"/>
                <w:vertAlign w:val="superscript"/>
              </w:rPr>
              <w:t>c</w:t>
            </w: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>History of depression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16 (15)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23 (27)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right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 xml:space="preserve">Stressful life events † 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26 (25)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21 (25)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right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4253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C688A">
              <w:t>History of criminality and/or drug abuse</w:t>
            </w:r>
            <w:r>
              <w:t xml:space="preserve"> </w:t>
            </w:r>
            <w:r w:rsidRPr="008672CC">
              <w:rPr>
                <w:b/>
              </w:rPr>
              <w:t>*</w:t>
            </w:r>
          </w:p>
        </w:tc>
        <w:tc>
          <w:tcPr>
            <w:tcW w:w="14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8 (8)</w:t>
            </w:r>
          </w:p>
        </w:tc>
        <w:tc>
          <w:tcPr>
            <w:tcW w:w="1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19 (22)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  <w:jc w:val="right"/>
              <w:rPr>
                <w:color w:val="000000"/>
              </w:rPr>
            </w:pPr>
          </w:p>
        </w:tc>
      </w:tr>
      <w:tr w:rsidR="00C64618" w:rsidRPr="005C688A" w:rsidTr="009F7F4B">
        <w:trPr>
          <w:jc w:val="center"/>
        </w:trPr>
        <w:tc>
          <w:tcPr>
            <w:tcW w:w="8667" w:type="dxa"/>
            <w:gridSpan w:val="4"/>
            <w:tcBorders>
              <w:top w:val="nil"/>
              <w:bottom w:val="single" w:sz="4" w:space="0" w:color="auto"/>
            </w:tcBorders>
          </w:tcPr>
          <w:p w:rsidR="00C64618" w:rsidRPr="00B8530D" w:rsidRDefault="00C64618" w:rsidP="009F7F4B">
            <w:pPr>
              <w:tabs>
                <w:tab w:val="left" w:pos="851"/>
              </w:tabs>
              <w:spacing w:line="360" w:lineRule="auto"/>
              <w:rPr>
                <w:b/>
                <w:sz w:val="20"/>
                <w:szCs w:val="20"/>
              </w:rPr>
            </w:pPr>
            <w:r w:rsidRPr="00B8530D">
              <w:rPr>
                <w:b/>
                <w:sz w:val="20"/>
                <w:szCs w:val="20"/>
              </w:rPr>
              <w:t xml:space="preserve">* </w:t>
            </w:r>
            <w:r w:rsidRPr="00B8530D">
              <w:rPr>
                <w:b/>
                <w:i/>
                <w:sz w:val="20"/>
                <w:szCs w:val="20"/>
              </w:rPr>
              <w:t>p</w:t>
            </w:r>
            <w:r w:rsidRPr="00B8530D">
              <w:rPr>
                <w:b/>
                <w:sz w:val="20"/>
                <w:szCs w:val="20"/>
              </w:rPr>
              <w:t xml:space="preserve"> &lt; .05</w:t>
            </w:r>
          </w:p>
          <w:p w:rsidR="00C64618" w:rsidRPr="00551BCE" w:rsidRDefault="00C64618" w:rsidP="009F7F4B">
            <w:p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551BCE">
              <w:rPr>
                <w:sz w:val="20"/>
                <w:szCs w:val="20"/>
              </w:rPr>
              <w:t>† Parent reported stress during pregnancy and major life events in previous year (e.g. bereavement, house move, separation, loss of employment)</w:t>
            </w:r>
          </w:p>
          <w:p w:rsidR="00C64618" w:rsidRPr="00551BCE" w:rsidRDefault="00C64618" w:rsidP="009F7F4B">
            <w:p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proofErr w:type="gramStart"/>
            <w:r w:rsidRPr="00551BCE">
              <w:rPr>
                <w:sz w:val="20"/>
                <w:szCs w:val="20"/>
                <w:vertAlign w:val="superscript"/>
              </w:rPr>
              <w:t>a</w:t>
            </w:r>
            <w:proofErr w:type="gramEnd"/>
            <w:r w:rsidRPr="00551BCE">
              <w:rPr>
                <w:sz w:val="20"/>
                <w:szCs w:val="20"/>
              </w:rPr>
              <w:t xml:space="preserve"> Data from 2011 census (CSO, 2012). </w:t>
            </w:r>
          </w:p>
          <w:p w:rsidR="00C64618" w:rsidRPr="00551BCE" w:rsidRDefault="00C64618" w:rsidP="009F7F4B">
            <w:pPr>
              <w:tabs>
                <w:tab w:val="left" w:pos="851"/>
              </w:tabs>
              <w:spacing w:line="360" w:lineRule="auto"/>
              <w:rPr>
                <w:sz w:val="20"/>
                <w:szCs w:val="20"/>
              </w:rPr>
            </w:pPr>
            <w:r w:rsidRPr="00551BCE">
              <w:rPr>
                <w:sz w:val="20"/>
                <w:szCs w:val="20"/>
                <w:vertAlign w:val="superscript"/>
              </w:rPr>
              <w:t>b</w:t>
            </w:r>
            <w:r w:rsidRPr="00551BCE">
              <w:rPr>
                <w:sz w:val="20"/>
                <w:szCs w:val="20"/>
              </w:rPr>
              <w:t xml:space="preserve"> Mean age of Irish Mothers (Mean age of Irish mothers at birth of first child is </w:t>
            </w:r>
            <w:r w:rsidRPr="00551BCE">
              <w:rPr>
                <w:color w:val="000000"/>
                <w:sz w:val="20"/>
                <w:szCs w:val="20"/>
              </w:rPr>
              <w:t>30.5)</w:t>
            </w:r>
            <w:r w:rsidRPr="00551BCE">
              <w:rPr>
                <w:sz w:val="20"/>
                <w:szCs w:val="20"/>
              </w:rPr>
              <w:t>; (</w:t>
            </w:r>
            <w:r w:rsidRPr="00551BCE">
              <w:rPr>
                <w:color w:val="000000"/>
                <w:sz w:val="20"/>
                <w:szCs w:val="20"/>
              </w:rPr>
              <w:t xml:space="preserve">CSO, 2015) </w:t>
            </w:r>
            <w:r w:rsidRPr="00551BCE">
              <w:rPr>
                <w:sz w:val="20"/>
                <w:szCs w:val="20"/>
              </w:rPr>
              <w:t xml:space="preserve"> </w:t>
            </w:r>
          </w:p>
          <w:p w:rsidR="00C64618" w:rsidRPr="005C688A" w:rsidRDefault="00C64618" w:rsidP="009F7F4B">
            <w:pPr>
              <w:tabs>
                <w:tab w:val="left" w:pos="851"/>
              </w:tabs>
              <w:spacing w:line="360" w:lineRule="auto"/>
            </w:pPr>
            <w:r w:rsidRPr="00551BCE">
              <w:rPr>
                <w:sz w:val="20"/>
                <w:szCs w:val="20"/>
                <w:vertAlign w:val="superscript"/>
              </w:rPr>
              <w:t>c</w:t>
            </w:r>
            <w:r w:rsidRPr="00551BCE">
              <w:rPr>
                <w:sz w:val="20"/>
                <w:szCs w:val="20"/>
              </w:rPr>
              <w:t xml:space="preserve"> The Survey of Income and Living Conditions (2015) categorises an </w:t>
            </w:r>
            <w:proofErr w:type="spellStart"/>
            <w:r w:rsidRPr="00551BCE">
              <w:rPr>
                <w:sz w:val="20"/>
                <w:szCs w:val="20"/>
              </w:rPr>
              <w:t>equivalised</w:t>
            </w:r>
            <w:proofErr w:type="spellEnd"/>
            <w:r w:rsidRPr="00551BCE">
              <w:rPr>
                <w:sz w:val="20"/>
                <w:szCs w:val="20"/>
              </w:rPr>
              <w:t xml:space="preserve"> disposable income per individual of 228.13/week as the threshold for at risk of poverty (CSO, 2017)</w:t>
            </w:r>
          </w:p>
        </w:tc>
      </w:tr>
    </w:tbl>
    <w:p w:rsidR="00C64618" w:rsidRPr="005C688A" w:rsidRDefault="00C64618" w:rsidP="00C64618">
      <w:pPr>
        <w:tabs>
          <w:tab w:val="left" w:pos="851"/>
        </w:tabs>
        <w:spacing w:after="0" w:line="480" w:lineRule="auto"/>
      </w:pPr>
    </w:p>
    <w:p w:rsidR="00C64618" w:rsidRPr="005C688A" w:rsidRDefault="00C64618" w:rsidP="00C64618">
      <w:pPr>
        <w:spacing w:after="0" w:line="480" w:lineRule="auto"/>
        <w:rPr>
          <w:b/>
        </w:rPr>
      </w:pPr>
      <w:r w:rsidRPr="005C688A">
        <w:rPr>
          <w:b/>
        </w:rPr>
        <w:br w:type="page"/>
      </w:r>
    </w:p>
    <w:p w:rsidR="00C64618" w:rsidRPr="005C688A" w:rsidRDefault="00C64618" w:rsidP="00C64618">
      <w:pPr>
        <w:spacing w:after="0" w:line="480" w:lineRule="auto"/>
        <w:rPr>
          <w:b/>
          <w:i/>
        </w:rPr>
      </w:pPr>
      <w:r w:rsidRPr="005C688A">
        <w:rPr>
          <w:b/>
          <w:i/>
        </w:rPr>
        <w:lastRenderedPageBreak/>
        <w:t>Table 2: Parent</w:t>
      </w:r>
      <w:r>
        <w:rPr>
          <w:b/>
          <w:i/>
        </w:rPr>
        <w:t xml:space="preserve"> wellbeing, parenting attitudes</w:t>
      </w:r>
      <w:r w:rsidRPr="005C688A">
        <w:rPr>
          <w:b/>
          <w:i/>
        </w:rPr>
        <w:t xml:space="preserve"> and parent-child relationships</w:t>
      </w:r>
      <w:r>
        <w:rPr>
          <w:b/>
          <w:i/>
        </w:rPr>
        <w:t xml:space="preserve"> (Differences compared using Independent Samples t-tests and Chi-Square)</w:t>
      </w:r>
      <w:r w:rsidRPr="005C688A">
        <w:rPr>
          <w:b/>
          <w:i/>
        </w:rPr>
        <w:t xml:space="preserve">. </w:t>
      </w:r>
      <w:r>
        <w:rPr>
          <w:b/>
          <w:i/>
        </w:rPr>
        <w:t xml:space="preserve"> </w:t>
      </w:r>
    </w:p>
    <w:tbl>
      <w:tblPr>
        <w:tblStyle w:val="TableGrid"/>
        <w:tblW w:w="8789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1417"/>
        <w:gridCol w:w="1312"/>
        <w:gridCol w:w="106"/>
      </w:tblGrid>
      <w:tr w:rsidR="00C64618" w:rsidRPr="005C688A" w:rsidTr="009F7F4B">
        <w:trPr>
          <w:trHeight w:val="550"/>
        </w:trPr>
        <w:tc>
          <w:tcPr>
            <w:tcW w:w="5954" w:type="dxa"/>
            <w:tcBorders>
              <w:bottom w:val="single" w:sz="4" w:space="0" w:color="auto"/>
            </w:tcBorders>
          </w:tcPr>
          <w:p w:rsidR="00C64618" w:rsidRPr="005C688A" w:rsidRDefault="00C64618" w:rsidP="009F7F4B">
            <w:pPr>
              <w:spacing w:line="480" w:lineRule="auto"/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4618" w:rsidRPr="00EF015D" w:rsidRDefault="00C64618" w:rsidP="009F7F4B">
            <w:pPr>
              <w:spacing w:line="480" w:lineRule="auto"/>
              <w:rPr>
                <w:i/>
                <w:color w:val="000000"/>
              </w:rPr>
            </w:pPr>
            <w:proofErr w:type="spellStart"/>
            <w:r w:rsidRPr="00EF015D">
              <w:rPr>
                <w:i/>
                <w:color w:val="000000"/>
              </w:rPr>
              <w:t>Primiparous</w:t>
            </w:r>
            <w:proofErr w:type="spellEnd"/>
          </w:p>
          <w:p w:rsidR="00C64618" w:rsidRPr="00EF015D" w:rsidRDefault="00C64618" w:rsidP="009F7F4B">
            <w:pPr>
              <w:spacing w:line="480" w:lineRule="auto"/>
              <w:rPr>
                <w:i/>
                <w:color w:val="000000"/>
              </w:rPr>
            </w:pPr>
            <w:r w:rsidRPr="00EF015D">
              <w:rPr>
                <w:i/>
                <w:color w:val="000000"/>
              </w:rPr>
              <w:t>(n=105)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64618" w:rsidRPr="00EF015D" w:rsidRDefault="00C64618" w:rsidP="009F7F4B">
            <w:pPr>
              <w:spacing w:line="480" w:lineRule="auto"/>
              <w:rPr>
                <w:i/>
                <w:color w:val="000000"/>
              </w:rPr>
            </w:pPr>
            <w:proofErr w:type="spellStart"/>
            <w:r w:rsidRPr="00EF015D">
              <w:rPr>
                <w:i/>
                <w:color w:val="000000"/>
              </w:rPr>
              <w:t>Mulitparous</w:t>
            </w:r>
            <w:proofErr w:type="spellEnd"/>
          </w:p>
          <w:p w:rsidR="00C64618" w:rsidRPr="00EF015D" w:rsidRDefault="00C64618" w:rsidP="009F7F4B">
            <w:pPr>
              <w:spacing w:line="480" w:lineRule="auto"/>
              <w:rPr>
                <w:i/>
                <w:color w:val="000000"/>
              </w:rPr>
            </w:pPr>
            <w:r w:rsidRPr="00EF015D">
              <w:rPr>
                <w:i/>
                <w:color w:val="000000"/>
              </w:rPr>
              <w:t xml:space="preserve">(n=85) </w:t>
            </w:r>
          </w:p>
        </w:tc>
      </w:tr>
      <w:tr w:rsidR="00C64618" w:rsidRPr="005C688A" w:rsidTr="009F7F4B">
        <w:trPr>
          <w:trHeight w:val="550"/>
        </w:trPr>
        <w:tc>
          <w:tcPr>
            <w:tcW w:w="5954" w:type="dxa"/>
            <w:tcBorders>
              <w:bottom w:val="single" w:sz="4" w:space="0" w:color="auto"/>
            </w:tcBorders>
          </w:tcPr>
          <w:p w:rsidR="00C64618" w:rsidRPr="005C688A" w:rsidRDefault="00C64618" w:rsidP="009F7F4B">
            <w:pPr>
              <w:spacing w:line="480" w:lineRule="auto"/>
            </w:pPr>
            <w:r w:rsidRPr="005C688A">
              <w:t xml:space="preserve">PHQ-9 </w:t>
            </w:r>
            <w:r w:rsidRPr="005C688A">
              <w:rPr>
                <w:vertAlign w:val="superscript"/>
              </w:rPr>
              <w:t>a</w:t>
            </w:r>
          </w:p>
          <w:p w:rsidR="00C64618" w:rsidRPr="005C688A" w:rsidRDefault="00C64618" w:rsidP="009F7F4B">
            <w:pPr>
              <w:spacing w:line="480" w:lineRule="auto"/>
            </w:pPr>
            <w:r w:rsidRPr="005C688A">
              <w:t>No (%) scoring ≥ 5 (Minimal – Major depression)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64618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3.66 (3.6)</w:t>
            </w:r>
          </w:p>
          <w:p w:rsidR="00C64618" w:rsidRPr="005C688A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31 (30)</w:t>
            </w: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</w:tcPr>
          <w:p w:rsidR="00C64618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3.68 (4.27)</w:t>
            </w:r>
          </w:p>
          <w:p w:rsidR="00C64618" w:rsidRPr="005C688A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22 (26)</w:t>
            </w:r>
          </w:p>
        </w:tc>
      </w:tr>
      <w:tr w:rsidR="00C64618" w:rsidRPr="005C688A" w:rsidTr="009F7F4B">
        <w:tc>
          <w:tcPr>
            <w:tcW w:w="5954" w:type="dxa"/>
            <w:tcBorders>
              <w:bottom w:val="nil"/>
            </w:tcBorders>
          </w:tcPr>
          <w:p w:rsidR="00C64618" w:rsidRPr="005C688A" w:rsidRDefault="00C64618" w:rsidP="009F7F4B">
            <w:pPr>
              <w:spacing w:line="480" w:lineRule="auto"/>
            </w:pPr>
            <w:r w:rsidRPr="005C688A">
              <w:t xml:space="preserve">PSOC </w:t>
            </w:r>
            <w:r w:rsidRPr="005C688A">
              <w:rPr>
                <w:vertAlign w:val="superscript"/>
              </w:rPr>
              <w:t>b</w:t>
            </w:r>
            <w:r w:rsidRPr="005C688A">
              <w:t xml:space="preserve"> </w:t>
            </w:r>
          </w:p>
          <w:p w:rsidR="00C64618" w:rsidRPr="005C688A" w:rsidRDefault="00C64618" w:rsidP="009F7F4B">
            <w:pPr>
              <w:spacing w:line="480" w:lineRule="auto"/>
            </w:pPr>
            <w:r w:rsidRPr="005C688A">
              <w:t>No (%) scoring ≥ 16 (Moderate – Low parental confidence)</w:t>
            </w:r>
          </w:p>
        </w:tc>
        <w:tc>
          <w:tcPr>
            <w:tcW w:w="1417" w:type="dxa"/>
            <w:tcBorders>
              <w:bottom w:val="nil"/>
            </w:tcBorders>
          </w:tcPr>
          <w:p w:rsidR="00C64618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73.7 (8.6)</w:t>
            </w:r>
          </w:p>
          <w:p w:rsidR="00C64618" w:rsidRPr="005C688A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31 (30)</w:t>
            </w:r>
          </w:p>
        </w:tc>
        <w:tc>
          <w:tcPr>
            <w:tcW w:w="1418" w:type="dxa"/>
            <w:gridSpan w:val="2"/>
            <w:tcBorders>
              <w:bottom w:val="nil"/>
            </w:tcBorders>
          </w:tcPr>
          <w:p w:rsidR="00C64618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75.9 (9.3)</w:t>
            </w:r>
          </w:p>
          <w:p w:rsidR="00C64618" w:rsidRPr="005C688A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22 (26)</w:t>
            </w:r>
          </w:p>
        </w:tc>
      </w:tr>
      <w:tr w:rsidR="00C64618" w:rsidRPr="005C688A" w:rsidTr="009F7F4B">
        <w:tc>
          <w:tcPr>
            <w:tcW w:w="5954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 xml:space="preserve">MPAS - Quality of Attachment Subscale </w:t>
            </w:r>
            <w:r w:rsidRPr="005C688A">
              <w:rPr>
                <w:vertAlign w:val="superscript"/>
              </w:rPr>
              <w:t>c</w:t>
            </w:r>
            <w:r w:rsidRPr="005C688A">
              <w:t xml:space="preserve"> </w:t>
            </w:r>
          </w:p>
        </w:tc>
        <w:tc>
          <w:tcPr>
            <w:tcW w:w="1417" w:type="dxa"/>
          </w:tcPr>
          <w:p w:rsidR="00C64618" w:rsidRPr="005C688A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41.79 (3.3)</w:t>
            </w:r>
          </w:p>
        </w:tc>
        <w:tc>
          <w:tcPr>
            <w:tcW w:w="1418" w:type="dxa"/>
            <w:gridSpan w:val="2"/>
          </w:tcPr>
          <w:p w:rsidR="00C64618" w:rsidRPr="005C688A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42.04 (3.6)</w:t>
            </w:r>
          </w:p>
        </w:tc>
      </w:tr>
      <w:tr w:rsidR="00C64618" w:rsidRPr="005C688A" w:rsidTr="009F7F4B">
        <w:tc>
          <w:tcPr>
            <w:tcW w:w="5954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HOME Total</w:t>
            </w:r>
          </w:p>
        </w:tc>
        <w:tc>
          <w:tcPr>
            <w:tcW w:w="1417" w:type="dxa"/>
          </w:tcPr>
          <w:p w:rsidR="00C64618" w:rsidRPr="005C688A" w:rsidRDefault="00C64618" w:rsidP="009F7F4B">
            <w:pPr>
              <w:spacing w:line="480" w:lineRule="auto"/>
            </w:pPr>
            <w:r>
              <w:t>14.05 (2.1)</w:t>
            </w:r>
          </w:p>
        </w:tc>
        <w:tc>
          <w:tcPr>
            <w:tcW w:w="1418" w:type="dxa"/>
            <w:gridSpan w:val="2"/>
          </w:tcPr>
          <w:p w:rsidR="00C64618" w:rsidRPr="005C688A" w:rsidRDefault="00C64618" w:rsidP="009F7F4B">
            <w:pPr>
              <w:spacing w:line="480" w:lineRule="auto"/>
            </w:pPr>
            <w:r>
              <w:t>14.78 (2.24)</w:t>
            </w:r>
          </w:p>
        </w:tc>
      </w:tr>
      <w:tr w:rsidR="00C64618" w:rsidRPr="005C688A" w:rsidTr="009F7F4B">
        <w:tc>
          <w:tcPr>
            <w:tcW w:w="5954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HOME-SF Cognitive Stimulation subscale</w:t>
            </w:r>
          </w:p>
        </w:tc>
        <w:tc>
          <w:tcPr>
            <w:tcW w:w="1417" w:type="dxa"/>
          </w:tcPr>
          <w:p w:rsidR="00C64618" w:rsidRPr="005C688A" w:rsidRDefault="00C64618" w:rsidP="009F7F4B">
            <w:pPr>
              <w:spacing w:line="480" w:lineRule="auto"/>
            </w:pPr>
            <w:r>
              <w:t>6.94 (1.4)</w:t>
            </w:r>
          </w:p>
        </w:tc>
        <w:tc>
          <w:tcPr>
            <w:tcW w:w="1418" w:type="dxa"/>
            <w:gridSpan w:val="2"/>
          </w:tcPr>
          <w:p w:rsidR="00C64618" w:rsidRPr="005C688A" w:rsidRDefault="00C64618" w:rsidP="009F7F4B">
            <w:pPr>
              <w:spacing w:line="480" w:lineRule="auto"/>
            </w:pPr>
            <w:r>
              <w:t>6.55 (1.3)</w:t>
            </w:r>
          </w:p>
        </w:tc>
      </w:tr>
      <w:tr w:rsidR="00C64618" w:rsidRPr="005C688A" w:rsidTr="009F7F4B">
        <w:tc>
          <w:tcPr>
            <w:tcW w:w="5954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HOME-SF Emotional Support subscale</w:t>
            </w:r>
          </w:p>
        </w:tc>
        <w:tc>
          <w:tcPr>
            <w:tcW w:w="1417" w:type="dxa"/>
          </w:tcPr>
          <w:p w:rsidR="00C64618" w:rsidRPr="005C688A" w:rsidRDefault="00C64618" w:rsidP="009F7F4B">
            <w:pPr>
              <w:spacing w:line="480" w:lineRule="auto"/>
            </w:pPr>
            <w:r>
              <w:t>6.01 (1.2)</w:t>
            </w:r>
          </w:p>
        </w:tc>
        <w:tc>
          <w:tcPr>
            <w:tcW w:w="1418" w:type="dxa"/>
            <w:gridSpan w:val="2"/>
          </w:tcPr>
          <w:p w:rsidR="00C64618" w:rsidRPr="005C688A" w:rsidRDefault="00C64618" w:rsidP="009F7F4B">
            <w:pPr>
              <w:spacing w:line="480" w:lineRule="auto"/>
            </w:pPr>
            <w:r>
              <w:t>6.73 (1.3)</w:t>
            </w:r>
          </w:p>
        </w:tc>
      </w:tr>
      <w:tr w:rsidR="00C64618" w:rsidRPr="005C688A" w:rsidTr="009F7F4B">
        <w:tc>
          <w:tcPr>
            <w:tcW w:w="5954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 xml:space="preserve">ICQ Fussy-difficult subscale </w:t>
            </w:r>
            <w:r w:rsidRPr="005C688A">
              <w:rPr>
                <w:vertAlign w:val="superscript"/>
              </w:rPr>
              <w:t>d</w:t>
            </w:r>
            <w:r>
              <w:rPr>
                <w:vertAlign w:val="superscript"/>
              </w:rPr>
              <w:t xml:space="preserve">  </w:t>
            </w:r>
            <w:r>
              <w:t>*</w:t>
            </w:r>
          </w:p>
        </w:tc>
        <w:tc>
          <w:tcPr>
            <w:tcW w:w="1417" w:type="dxa"/>
          </w:tcPr>
          <w:p w:rsidR="00C64618" w:rsidRPr="005C688A" w:rsidRDefault="00C64618" w:rsidP="009F7F4B">
            <w:pPr>
              <w:spacing w:line="480" w:lineRule="auto"/>
            </w:pPr>
            <w:r>
              <w:t>26.06 (7.7)</w:t>
            </w:r>
          </w:p>
        </w:tc>
        <w:tc>
          <w:tcPr>
            <w:tcW w:w="1418" w:type="dxa"/>
            <w:gridSpan w:val="2"/>
          </w:tcPr>
          <w:p w:rsidR="00C64618" w:rsidRPr="005C688A" w:rsidRDefault="00C64618" w:rsidP="009F7F4B">
            <w:pPr>
              <w:spacing w:line="480" w:lineRule="auto"/>
            </w:pPr>
            <w:r>
              <w:t>22.64 (8.14)</w:t>
            </w:r>
          </w:p>
        </w:tc>
      </w:tr>
      <w:tr w:rsidR="00C64618" w:rsidRPr="005C688A" w:rsidTr="009F7F4B">
        <w:trPr>
          <w:gridAfter w:val="1"/>
          <w:wAfter w:w="106" w:type="dxa"/>
        </w:trPr>
        <w:tc>
          <w:tcPr>
            <w:tcW w:w="8683" w:type="dxa"/>
            <w:gridSpan w:val="3"/>
          </w:tcPr>
          <w:p w:rsidR="00C64618" w:rsidRPr="00B8530D" w:rsidRDefault="00C64618" w:rsidP="009F7F4B">
            <w:pPr>
              <w:spacing w:line="480" w:lineRule="auto"/>
              <w:rPr>
                <w:b/>
                <w:sz w:val="20"/>
                <w:szCs w:val="20"/>
              </w:rPr>
            </w:pPr>
            <w:r w:rsidRPr="00B8530D">
              <w:rPr>
                <w:b/>
                <w:sz w:val="20"/>
                <w:szCs w:val="20"/>
              </w:rPr>
              <w:t>*</w:t>
            </w:r>
            <w:r w:rsidRPr="00B8530D">
              <w:rPr>
                <w:b/>
                <w:i/>
                <w:sz w:val="20"/>
                <w:szCs w:val="20"/>
              </w:rPr>
              <w:t>p</w:t>
            </w:r>
            <w:r w:rsidRPr="00B8530D">
              <w:rPr>
                <w:b/>
                <w:sz w:val="20"/>
                <w:szCs w:val="20"/>
              </w:rPr>
              <w:t xml:space="preserve"> &lt; 0.05</w:t>
            </w:r>
          </w:p>
          <w:p w:rsidR="00C64618" w:rsidRPr="00EF015D" w:rsidRDefault="00C64618" w:rsidP="009F7F4B">
            <w:pPr>
              <w:spacing w:line="480" w:lineRule="auto"/>
              <w:rPr>
                <w:sz w:val="20"/>
                <w:szCs w:val="20"/>
              </w:rPr>
            </w:pPr>
            <w:proofErr w:type="gramStart"/>
            <w:r w:rsidRPr="00EF015D">
              <w:rPr>
                <w:sz w:val="20"/>
                <w:szCs w:val="20"/>
              </w:rPr>
              <w:t xml:space="preserve">Note: PHQ-9 = Patient Health Questionnaire 9; PSOC = Parent Sense of Competence; MPAS = Maternal Post-Natal Attachment Scale; HOME-SF = Home Observation for Measurement of the Environment – Short Form; ICQ = Infant Characteristics Questionnaire; </w:t>
            </w:r>
            <w:r w:rsidRPr="00EF015D">
              <w:rPr>
                <w:sz w:val="20"/>
                <w:szCs w:val="20"/>
                <w:vertAlign w:val="superscript"/>
              </w:rPr>
              <w:t xml:space="preserve">a  </w:t>
            </w:r>
            <w:r w:rsidRPr="00EF015D">
              <w:rPr>
                <w:sz w:val="20"/>
                <w:szCs w:val="20"/>
              </w:rPr>
              <w:t>Range of possible scores=0-27;</w:t>
            </w:r>
            <w:r w:rsidRPr="00EF015D">
              <w:rPr>
                <w:sz w:val="20"/>
                <w:szCs w:val="20"/>
                <w:vertAlign w:val="superscript"/>
              </w:rPr>
              <w:t xml:space="preserve"> </w:t>
            </w:r>
            <w:r w:rsidRPr="00EF015D">
              <w:rPr>
                <w:sz w:val="20"/>
                <w:szCs w:val="20"/>
              </w:rPr>
              <w:t xml:space="preserve">Cut offs: 5-9=Minimal depression; 10-14=Minor depression; 15-19=Major depression, moderately severe; &gt;20=Major depression, severe; </w:t>
            </w:r>
            <w:r w:rsidRPr="00EF015D">
              <w:rPr>
                <w:sz w:val="20"/>
                <w:szCs w:val="20"/>
                <w:vertAlign w:val="superscript"/>
              </w:rPr>
              <w:t xml:space="preserve">b  </w:t>
            </w:r>
            <w:r w:rsidRPr="00EF015D">
              <w:rPr>
                <w:sz w:val="20"/>
                <w:szCs w:val="20"/>
              </w:rPr>
              <w:t xml:space="preserve">Range of possible scores=16-96; Cut offs: 16-50=Low parental confidence; 51-69=Moderate parental confidence; 70-96=High parental confidence; </w:t>
            </w:r>
            <w:r w:rsidRPr="00EF015D">
              <w:rPr>
                <w:sz w:val="20"/>
                <w:szCs w:val="20"/>
                <w:vertAlign w:val="superscript"/>
              </w:rPr>
              <w:t xml:space="preserve">c  </w:t>
            </w:r>
            <w:r w:rsidRPr="00EF015D">
              <w:rPr>
                <w:sz w:val="20"/>
                <w:szCs w:val="20"/>
              </w:rPr>
              <w:t>Range of possible scores=9-45; Higher scores</w:t>
            </w:r>
            <w:r>
              <w:rPr>
                <w:sz w:val="20"/>
                <w:szCs w:val="20"/>
              </w:rPr>
              <w:t xml:space="preserve"> indicate higher attachment.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</w:p>
          <w:p w:rsidR="00C64618" w:rsidRPr="00B8530D" w:rsidRDefault="00C64618" w:rsidP="009F7F4B">
            <w:pPr>
              <w:spacing w:line="480" w:lineRule="auto"/>
              <w:rPr>
                <w:sz w:val="20"/>
                <w:szCs w:val="20"/>
              </w:rPr>
            </w:pPr>
            <w:r w:rsidRPr="00EF015D">
              <w:rPr>
                <w:sz w:val="20"/>
                <w:szCs w:val="20"/>
                <w:vertAlign w:val="superscript"/>
              </w:rPr>
              <w:t>d</w:t>
            </w:r>
            <w:r w:rsidRPr="00EF015D">
              <w:rPr>
                <w:sz w:val="20"/>
                <w:szCs w:val="20"/>
              </w:rPr>
              <w:t xml:space="preserve"> Range of possible scores – 1 – 63; Higher scores indicate more difficult temperament</w:t>
            </w:r>
          </w:p>
        </w:tc>
      </w:tr>
    </w:tbl>
    <w:p w:rsidR="00C64618" w:rsidRPr="005C688A" w:rsidRDefault="00C64618" w:rsidP="00C64618">
      <w:pPr>
        <w:spacing w:after="0" w:line="480" w:lineRule="auto"/>
      </w:pPr>
    </w:p>
    <w:p w:rsidR="00C64618" w:rsidRPr="005C688A" w:rsidRDefault="00C64618" w:rsidP="00C64618">
      <w:pPr>
        <w:spacing w:after="0" w:line="480" w:lineRule="auto"/>
        <w:rPr>
          <w:b/>
        </w:rPr>
      </w:pPr>
      <w:r w:rsidRPr="005C688A">
        <w:rPr>
          <w:b/>
        </w:rPr>
        <w:br w:type="page"/>
      </w:r>
    </w:p>
    <w:p w:rsidR="00C64618" w:rsidRPr="005C688A" w:rsidRDefault="00C64618" w:rsidP="00C64618">
      <w:pPr>
        <w:spacing w:after="0" w:line="480" w:lineRule="auto"/>
        <w:rPr>
          <w:b/>
          <w:i/>
        </w:rPr>
      </w:pPr>
    </w:p>
    <w:p w:rsidR="00C64618" w:rsidRPr="005C688A" w:rsidRDefault="00C64618" w:rsidP="00C64618">
      <w:pPr>
        <w:spacing w:after="0" w:line="480" w:lineRule="auto"/>
        <w:rPr>
          <w:b/>
          <w:i/>
        </w:rPr>
      </w:pPr>
      <w:r w:rsidRPr="005C688A">
        <w:rPr>
          <w:b/>
          <w:i/>
        </w:rPr>
        <w:t xml:space="preserve">Table 3: </w:t>
      </w:r>
      <w:r>
        <w:rPr>
          <w:b/>
          <w:i/>
        </w:rPr>
        <w:t>Social Support and Service Utilisation (Differences compared using Independent Samples t-tests)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99"/>
        <w:gridCol w:w="109"/>
        <w:gridCol w:w="1190"/>
        <w:gridCol w:w="103"/>
        <w:gridCol w:w="6"/>
        <w:gridCol w:w="1201"/>
        <w:gridCol w:w="103"/>
        <w:gridCol w:w="6"/>
      </w:tblGrid>
      <w:tr w:rsidR="00C64618" w:rsidRPr="005C688A" w:rsidTr="009F7F4B">
        <w:trPr>
          <w:gridAfter w:val="2"/>
          <w:wAfter w:w="109" w:type="dxa"/>
        </w:trPr>
        <w:tc>
          <w:tcPr>
            <w:tcW w:w="6199" w:type="dxa"/>
            <w:tcBorders>
              <w:bottom w:val="nil"/>
            </w:tcBorders>
          </w:tcPr>
          <w:p w:rsidR="00C64618" w:rsidRPr="005C688A" w:rsidRDefault="00C64618" w:rsidP="009F7F4B">
            <w:pPr>
              <w:spacing w:line="480" w:lineRule="auto"/>
            </w:pPr>
          </w:p>
        </w:tc>
        <w:tc>
          <w:tcPr>
            <w:tcW w:w="1299" w:type="dxa"/>
            <w:gridSpan w:val="2"/>
            <w:tcBorders>
              <w:bottom w:val="nil"/>
            </w:tcBorders>
          </w:tcPr>
          <w:p w:rsidR="00C64618" w:rsidRPr="0080574A" w:rsidRDefault="00C64618" w:rsidP="009F7F4B">
            <w:pPr>
              <w:spacing w:line="480" w:lineRule="auto"/>
              <w:rPr>
                <w:i/>
              </w:rPr>
            </w:pPr>
            <w:proofErr w:type="spellStart"/>
            <w:r w:rsidRPr="0080574A">
              <w:rPr>
                <w:i/>
              </w:rPr>
              <w:t>Primiparous</w:t>
            </w:r>
            <w:proofErr w:type="spellEnd"/>
            <w:r w:rsidRPr="0080574A">
              <w:rPr>
                <w:i/>
              </w:rPr>
              <w:t xml:space="preserve"> </w:t>
            </w:r>
          </w:p>
          <w:p w:rsidR="00C64618" w:rsidRPr="0080574A" w:rsidRDefault="00C64618" w:rsidP="009F7F4B">
            <w:pPr>
              <w:spacing w:line="480" w:lineRule="auto"/>
              <w:rPr>
                <w:i/>
              </w:rPr>
            </w:pPr>
            <w:r w:rsidRPr="0080574A">
              <w:rPr>
                <w:i/>
              </w:rPr>
              <w:t>(n=105)</w:t>
            </w:r>
          </w:p>
        </w:tc>
        <w:tc>
          <w:tcPr>
            <w:tcW w:w="1310" w:type="dxa"/>
            <w:gridSpan w:val="3"/>
            <w:tcBorders>
              <w:bottom w:val="nil"/>
            </w:tcBorders>
          </w:tcPr>
          <w:p w:rsidR="00C64618" w:rsidRPr="0080574A" w:rsidRDefault="00C64618" w:rsidP="009F7F4B">
            <w:pPr>
              <w:spacing w:line="480" w:lineRule="auto"/>
              <w:rPr>
                <w:i/>
              </w:rPr>
            </w:pPr>
            <w:r w:rsidRPr="0080574A">
              <w:rPr>
                <w:i/>
              </w:rPr>
              <w:t>Multiparous</w:t>
            </w:r>
          </w:p>
          <w:p w:rsidR="00C64618" w:rsidRPr="0080574A" w:rsidRDefault="00C64618" w:rsidP="009F7F4B">
            <w:pPr>
              <w:spacing w:line="480" w:lineRule="auto"/>
              <w:rPr>
                <w:i/>
              </w:rPr>
            </w:pPr>
            <w:r w:rsidRPr="0080574A">
              <w:rPr>
                <w:i/>
              </w:rPr>
              <w:t>(n=85)</w:t>
            </w:r>
          </w:p>
        </w:tc>
      </w:tr>
      <w:tr w:rsidR="00C64618" w:rsidRPr="005C688A" w:rsidTr="009F7F4B">
        <w:trPr>
          <w:gridAfter w:val="2"/>
          <w:wAfter w:w="109" w:type="dxa"/>
        </w:trPr>
        <w:tc>
          <w:tcPr>
            <w:tcW w:w="6199" w:type="dxa"/>
            <w:tcBorders>
              <w:bottom w:val="single" w:sz="4" w:space="0" w:color="auto"/>
            </w:tcBorders>
          </w:tcPr>
          <w:p w:rsidR="00C64618" w:rsidRPr="005C688A" w:rsidRDefault="00C64618" w:rsidP="009F7F4B">
            <w:pPr>
              <w:spacing w:line="480" w:lineRule="auto"/>
            </w:pPr>
            <w:r w:rsidRPr="005C688A">
              <w:t xml:space="preserve">Social Support Score </w:t>
            </w:r>
            <w:r>
              <w:t>†</w:t>
            </w:r>
          </w:p>
          <w:p w:rsidR="00C64618" w:rsidRPr="005C688A" w:rsidRDefault="00C64618" w:rsidP="009F7F4B">
            <w:pPr>
              <w:spacing w:line="480" w:lineRule="auto"/>
            </w:pPr>
            <w:r w:rsidRPr="005C688A">
              <w:t>No (%) &lt;3/6</w:t>
            </w:r>
          </w:p>
          <w:p w:rsidR="00C64618" w:rsidRPr="005C688A" w:rsidRDefault="00C64618" w:rsidP="009F7F4B">
            <w:pPr>
              <w:spacing w:line="480" w:lineRule="auto"/>
            </w:pPr>
            <w:r w:rsidRPr="005C688A">
              <w:rPr>
                <w:i/>
              </w:rPr>
              <w:t xml:space="preserve">M </w:t>
            </w:r>
            <w:r w:rsidRPr="005C688A">
              <w:t>(SD) score</w:t>
            </w:r>
          </w:p>
        </w:tc>
        <w:tc>
          <w:tcPr>
            <w:tcW w:w="1299" w:type="dxa"/>
            <w:gridSpan w:val="2"/>
            <w:tcBorders>
              <w:bottom w:val="single" w:sz="4" w:space="0" w:color="auto"/>
            </w:tcBorders>
          </w:tcPr>
          <w:p w:rsidR="00C64618" w:rsidRPr="005C688A" w:rsidRDefault="00C64618" w:rsidP="009F7F4B">
            <w:pPr>
              <w:spacing w:line="480" w:lineRule="auto"/>
              <w:ind w:left="79"/>
            </w:pPr>
          </w:p>
          <w:p w:rsidR="00C64618" w:rsidRPr="005C688A" w:rsidRDefault="00C64618" w:rsidP="009F7F4B">
            <w:pPr>
              <w:spacing w:line="480" w:lineRule="auto"/>
              <w:ind w:left="79"/>
            </w:pPr>
            <w:r>
              <w:t>14 (13)</w:t>
            </w:r>
          </w:p>
          <w:p w:rsidR="00C64618" w:rsidRPr="005C688A" w:rsidRDefault="00C64618" w:rsidP="009F7F4B">
            <w:pPr>
              <w:spacing w:line="480" w:lineRule="auto"/>
              <w:ind w:left="79"/>
              <w:rPr>
                <w:color w:val="000000"/>
              </w:rPr>
            </w:pPr>
            <w:r>
              <w:t>5.1 (1.3)</w:t>
            </w:r>
          </w:p>
        </w:tc>
        <w:tc>
          <w:tcPr>
            <w:tcW w:w="1310" w:type="dxa"/>
            <w:gridSpan w:val="3"/>
            <w:tcBorders>
              <w:bottom w:val="single" w:sz="4" w:space="0" w:color="auto"/>
            </w:tcBorders>
          </w:tcPr>
          <w:p w:rsidR="00C64618" w:rsidRDefault="00C64618" w:rsidP="009F7F4B">
            <w:pPr>
              <w:spacing w:line="480" w:lineRule="auto"/>
              <w:ind w:left="79"/>
            </w:pPr>
          </w:p>
          <w:p w:rsidR="00C64618" w:rsidRDefault="00C64618" w:rsidP="009F7F4B">
            <w:pPr>
              <w:spacing w:line="480" w:lineRule="auto"/>
              <w:ind w:left="79"/>
            </w:pPr>
            <w:r>
              <w:t>10 (12)</w:t>
            </w:r>
          </w:p>
          <w:p w:rsidR="00C64618" w:rsidRPr="005C688A" w:rsidRDefault="00C64618" w:rsidP="009F7F4B">
            <w:pPr>
              <w:spacing w:line="480" w:lineRule="auto"/>
              <w:ind w:left="79"/>
            </w:pPr>
            <w:r>
              <w:t>4.8 (1.6)</w:t>
            </w:r>
          </w:p>
        </w:tc>
      </w:tr>
      <w:tr w:rsidR="00C64618" w:rsidRPr="005C688A" w:rsidTr="009F7F4B">
        <w:trPr>
          <w:gridAfter w:val="2"/>
          <w:wAfter w:w="109" w:type="dxa"/>
        </w:trPr>
        <w:tc>
          <w:tcPr>
            <w:tcW w:w="6199" w:type="dxa"/>
            <w:tcBorders>
              <w:bottom w:val="nil"/>
            </w:tcBorders>
            <w:vAlign w:val="bottom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 xml:space="preserve">Parent service use  </w:t>
            </w:r>
          </w:p>
          <w:p w:rsidR="00C64618" w:rsidRPr="005C688A" w:rsidRDefault="00C64618" w:rsidP="009F7F4B">
            <w:pPr>
              <w:spacing w:line="480" w:lineRule="auto"/>
            </w:pPr>
            <w:r w:rsidRPr="005C688A">
              <w:t xml:space="preserve">Mean (SD) contacts with health/social care professionals </w:t>
            </w:r>
          </w:p>
        </w:tc>
        <w:tc>
          <w:tcPr>
            <w:tcW w:w="1299" w:type="dxa"/>
            <w:gridSpan w:val="2"/>
            <w:tcBorders>
              <w:bottom w:val="nil"/>
            </w:tcBorders>
            <w:vAlign w:val="bottom"/>
          </w:tcPr>
          <w:p w:rsidR="00C64618" w:rsidRPr="005C688A" w:rsidRDefault="00C64618" w:rsidP="009F7F4B">
            <w:pPr>
              <w:spacing w:line="480" w:lineRule="auto"/>
              <w:ind w:left="79"/>
              <w:rPr>
                <w:color w:val="000000"/>
              </w:rPr>
            </w:pPr>
            <w:r>
              <w:rPr>
                <w:color w:val="000000"/>
              </w:rPr>
              <w:t>3.4 (3.5)</w:t>
            </w:r>
          </w:p>
        </w:tc>
        <w:tc>
          <w:tcPr>
            <w:tcW w:w="1310" w:type="dxa"/>
            <w:gridSpan w:val="3"/>
            <w:tcBorders>
              <w:bottom w:val="nil"/>
            </w:tcBorders>
          </w:tcPr>
          <w:p w:rsidR="00C64618" w:rsidRDefault="00C64618" w:rsidP="009F7F4B">
            <w:pPr>
              <w:spacing w:line="480" w:lineRule="auto"/>
              <w:rPr>
                <w:color w:val="000000"/>
              </w:rPr>
            </w:pPr>
          </w:p>
          <w:p w:rsidR="00C64618" w:rsidRPr="005C688A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2.98 (3.2)</w:t>
            </w:r>
          </w:p>
        </w:tc>
      </w:tr>
      <w:tr w:rsidR="00C64618" w:rsidRPr="005C688A" w:rsidTr="009F7F4B">
        <w:trPr>
          <w:trHeight w:val="499"/>
        </w:trPr>
        <w:tc>
          <w:tcPr>
            <w:tcW w:w="6308" w:type="dxa"/>
            <w:gridSpan w:val="2"/>
            <w:tcBorders>
              <w:top w:val="nil"/>
              <w:bottom w:val="nil"/>
            </w:tcBorders>
            <w:vAlign w:val="bottom"/>
          </w:tcPr>
          <w:p w:rsidR="00C64618" w:rsidRPr="005C688A" w:rsidRDefault="00C64618" w:rsidP="009F7F4B">
            <w:pPr>
              <w:spacing w:line="480" w:lineRule="auto"/>
              <w:ind w:left="37"/>
            </w:pPr>
            <w:r w:rsidRPr="005C688A">
              <w:t>GP</w:t>
            </w:r>
          </w:p>
        </w:tc>
        <w:tc>
          <w:tcPr>
            <w:tcW w:w="1299" w:type="dxa"/>
            <w:gridSpan w:val="3"/>
            <w:tcBorders>
              <w:top w:val="nil"/>
              <w:bottom w:val="nil"/>
            </w:tcBorders>
            <w:vAlign w:val="bottom"/>
          </w:tcPr>
          <w:p w:rsidR="00C64618" w:rsidRDefault="00C64618" w:rsidP="009F7F4B">
            <w:pPr>
              <w:spacing w:line="480" w:lineRule="auto"/>
              <w:ind w:left="-41"/>
              <w:rPr>
                <w:color w:val="000000"/>
              </w:rPr>
            </w:pPr>
            <w:r>
              <w:rPr>
                <w:color w:val="000000"/>
              </w:rPr>
              <w:t>1.58 (2.3)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</w:tcBorders>
          </w:tcPr>
          <w:p w:rsidR="00C64618" w:rsidRDefault="00C64618" w:rsidP="009F7F4B">
            <w:pPr>
              <w:spacing w:line="480" w:lineRule="auto"/>
              <w:rPr>
                <w:color w:val="000000"/>
              </w:rPr>
            </w:pPr>
            <w:r>
              <w:rPr>
                <w:color w:val="000000"/>
              </w:rPr>
              <w:t>1.09 (1.04)</w:t>
            </w:r>
          </w:p>
        </w:tc>
      </w:tr>
      <w:tr w:rsidR="00C64618" w:rsidRPr="005C688A" w:rsidTr="009F7F4B">
        <w:trPr>
          <w:gridAfter w:val="1"/>
          <w:wAfter w:w="6" w:type="dxa"/>
        </w:trPr>
        <w:tc>
          <w:tcPr>
            <w:tcW w:w="6199" w:type="dxa"/>
            <w:tcBorders>
              <w:top w:val="nil"/>
              <w:bottom w:val="nil"/>
            </w:tcBorders>
            <w:vAlign w:val="bottom"/>
          </w:tcPr>
          <w:p w:rsidR="00C64618" w:rsidRPr="00D14907" w:rsidRDefault="00C64618" w:rsidP="009F7F4B">
            <w:pPr>
              <w:spacing w:line="480" w:lineRule="auto"/>
              <w:ind w:left="37"/>
            </w:pPr>
            <w:r w:rsidRPr="005C688A">
              <w:t>Nurse/Community Midwife</w:t>
            </w:r>
          </w:p>
        </w:tc>
        <w:tc>
          <w:tcPr>
            <w:tcW w:w="1402" w:type="dxa"/>
            <w:gridSpan w:val="3"/>
            <w:tcBorders>
              <w:top w:val="nil"/>
              <w:bottom w:val="nil"/>
            </w:tcBorders>
            <w:vAlign w:val="bottom"/>
          </w:tcPr>
          <w:p w:rsidR="00C64618" w:rsidRPr="00D14907" w:rsidRDefault="00C64618" w:rsidP="009F7F4B">
            <w:pPr>
              <w:spacing w:line="480" w:lineRule="auto"/>
              <w:ind w:left="37"/>
            </w:pPr>
            <w:r>
              <w:t>1.09 (1.5)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</w:tcBorders>
          </w:tcPr>
          <w:p w:rsidR="00C64618" w:rsidRDefault="00C64618" w:rsidP="009F7F4B">
            <w:pPr>
              <w:spacing w:line="480" w:lineRule="auto"/>
              <w:ind w:left="79"/>
              <w:rPr>
                <w:color w:val="000000"/>
              </w:rPr>
            </w:pPr>
            <w:r>
              <w:rPr>
                <w:color w:val="000000"/>
              </w:rPr>
              <w:t>1.13 (2.3)</w:t>
            </w:r>
          </w:p>
        </w:tc>
      </w:tr>
      <w:tr w:rsidR="00C64618" w:rsidRPr="005C688A" w:rsidTr="009F7F4B">
        <w:trPr>
          <w:gridAfter w:val="2"/>
          <w:wAfter w:w="109" w:type="dxa"/>
        </w:trPr>
        <w:tc>
          <w:tcPr>
            <w:tcW w:w="6199" w:type="dxa"/>
            <w:tcBorders>
              <w:top w:val="nil"/>
            </w:tcBorders>
            <w:vAlign w:val="bottom"/>
          </w:tcPr>
          <w:p w:rsidR="00C64618" w:rsidRPr="005C688A" w:rsidRDefault="00C64618" w:rsidP="009F7F4B">
            <w:pPr>
              <w:spacing w:line="480" w:lineRule="auto"/>
              <w:ind w:left="37"/>
            </w:pPr>
            <w:r w:rsidRPr="005C688A">
              <w:t>Other</w:t>
            </w:r>
          </w:p>
        </w:tc>
        <w:tc>
          <w:tcPr>
            <w:tcW w:w="1299" w:type="dxa"/>
            <w:gridSpan w:val="2"/>
            <w:tcBorders>
              <w:top w:val="nil"/>
            </w:tcBorders>
            <w:vAlign w:val="bottom"/>
          </w:tcPr>
          <w:p w:rsidR="00C64618" w:rsidRPr="005C688A" w:rsidRDefault="00C64618" w:rsidP="009F7F4B">
            <w:pPr>
              <w:spacing w:line="480" w:lineRule="auto"/>
              <w:ind w:left="37"/>
              <w:rPr>
                <w:color w:val="000000"/>
              </w:rPr>
            </w:pPr>
            <w:r>
              <w:rPr>
                <w:color w:val="000000"/>
              </w:rPr>
              <w:t>0.99 (1.6)</w:t>
            </w:r>
          </w:p>
        </w:tc>
        <w:tc>
          <w:tcPr>
            <w:tcW w:w="1310" w:type="dxa"/>
            <w:gridSpan w:val="3"/>
            <w:tcBorders>
              <w:top w:val="nil"/>
            </w:tcBorders>
          </w:tcPr>
          <w:p w:rsidR="00C64618" w:rsidRPr="005C688A" w:rsidRDefault="00C64618" w:rsidP="009F7F4B">
            <w:pPr>
              <w:spacing w:line="480" w:lineRule="auto"/>
              <w:ind w:left="79"/>
              <w:rPr>
                <w:color w:val="000000"/>
              </w:rPr>
            </w:pPr>
            <w:r>
              <w:rPr>
                <w:color w:val="000000"/>
              </w:rPr>
              <w:t>0.75 (1.9)</w:t>
            </w:r>
          </w:p>
        </w:tc>
      </w:tr>
      <w:tr w:rsidR="00C64618" w:rsidRPr="005C688A" w:rsidTr="009F7F4B">
        <w:trPr>
          <w:gridAfter w:val="2"/>
          <w:wAfter w:w="109" w:type="dxa"/>
        </w:trPr>
        <w:tc>
          <w:tcPr>
            <w:tcW w:w="6199" w:type="dxa"/>
            <w:tcBorders>
              <w:top w:val="nil"/>
              <w:bottom w:val="nil"/>
            </w:tcBorders>
            <w:vAlign w:val="bottom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 xml:space="preserve">Infant service use </w:t>
            </w:r>
          </w:p>
          <w:p w:rsidR="00C64618" w:rsidRPr="00D30FB0" w:rsidRDefault="00C64618" w:rsidP="009F7F4B">
            <w:pPr>
              <w:spacing w:line="480" w:lineRule="auto"/>
              <w:rPr>
                <w:highlight w:val="yellow"/>
              </w:rPr>
            </w:pPr>
            <w:r w:rsidRPr="005C688A">
              <w:t>Mean (SD) contacts with health/social care professional</w:t>
            </w:r>
            <w:r>
              <w:t>*</w:t>
            </w: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  <w:vAlign w:val="bottom"/>
          </w:tcPr>
          <w:p w:rsidR="00C64618" w:rsidRPr="00D30FB0" w:rsidRDefault="00C64618" w:rsidP="009F7F4B">
            <w:pPr>
              <w:spacing w:line="480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6.06 (3.1)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</w:tcBorders>
          </w:tcPr>
          <w:p w:rsidR="00C64618" w:rsidRDefault="00C64618" w:rsidP="009F7F4B">
            <w:pPr>
              <w:spacing w:line="480" w:lineRule="auto"/>
              <w:rPr>
                <w:color w:val="000000"/>
              </w:rPr>
            </w:pPr>
          </w:p>
          <w:p w:rsidR="00C64618" w:rsidRPr="00D30FB0" w:rsidRDefault="00C64618" w:rsidP="009F7F4B">
            <w:pPr>
              <w:spacing w:line="480" w:lineRule="auto"/>
              <w:rPr>
                <w:color w:val="000000"/>
                <w:highlight w:val="yellow"/>
              </w:rPr>
            </w:pPr>
            <w:r>
              <w:rPr>
                <w:color w:val="000000"/>
              </w:rPr>
              <w:t>5.28 (2.7)</w:t>
            </w:r>
          </w:p>
        </w:tc>
      </w:tr>
      <w:tr w:rsidR="00C64618" w:rsidRPr="005C688A" w:rsidTr="009F7F4B">
        <w:trPr>
          <w:gridAfter w:val="2"/>
          <w:wAfter w:w="109" w:type="dxa"/>
        </w:trPr>
        <w:tc>
          <w:tcPr>
            <w:tcW w:w="6199" w:type="dxa"/>
            <w:tcBorders>
              <w:top w:val="nil"/>
              <w:bottom w:val="nil"/>
            </w:tcBorders>
            <w:vAlign w:val="bottom"/>
          </w:tcPr>
          <w:p w:rsidR="00C64618" w:rsidRPr="006D6EBA" w:rsidRDefault="00C64618" w:rsidP="009F7F4B">
            <w:pPr>
              <w:spacing w:line="480" w:lineRule="auto"/>
              <w:ind w:left="888" w:hanging="851"/>
            </w:pPr>
            <w:r w:rsidRPr="006D6EBA">
              <w:t>GP</w:t>
            </w:r>
          </w:p>
          <w:p w:rsidR="00C64618" w:rsidRPr="006D6EBA" w:rsidRDefault="00C64618" w:rsidP="009F7F4B">
            <w:pPr>
              <w:spacing w:line="480" w:lineRule="auto"/>
              <w:ind w:firstLine="37"/>
            </w:pPr>
            <w:r w:rsidRPr="006D6EBA">
              <w:t>Nurse/Community Midwife</w:t>
            </w: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  <w:vAlign w:val="bottom"/>
          </w:tcPr>
          <w:p w:rsidR="00C64618" w:rsidRPr="006D6EBA" w:rsidRDefault="00C64618" w:rsidP="009F7F4B">
            <w:pPr>
              <w:spacing w:line="480" w:lineRule="auto"/>
            </w:pPr>
            <w:r w:rsidRPr="006D6EBA">
              <w:t>2.17 (1.3)</w:t>
            </w:r>
          </w:p>
          <w:p w:rsidR="00C64618" w:rsidRPr="006D6EBA" w:rsidRDefault="00C64618" w:rsidP="009F7F4B">
            <w:pPr>
              <w:spacing w:line="480" w:lineRule="auto"/>
            </w:pPr>
            <w:r w:rsidRPr="006D6EBA">
              <w:t>2.88 (1.5)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</w:tcBorders>
          </w:tcPr>
          <w:p w:rsidR="00C64618" w:rsidRPr="006D6EBA" w:rsidRDefault="00C64618" w:rsidP="009F7F4B">
            <w:pPr>
              <w:spacing w:line="480" w:lineRule="auto"/>
            </w:pPr>
            <w:r w:rsidRPr="006D6EBA">
              <w:t>2.07 (1.2)</w:t>
            </w:r>
          </w:p>
          <w:p w:rsidR="00C64618" w:rsidRPr="006D6EBA" w:rsidRDefault="00C64618" w:rsidP="009F7F4B">
            <w:pPr>
              <w:spacing w:line="480" w:lineRule="auto"/>
            </w:pPr>
            <w:r w:rsidRPr="006D6EBA">
              <w:t>2.59 (1.7)</w:t>
            </w:r>
          </w:p>
        </w:tc>
      </w:tr>
      <w:tr w:rsidR="00C64618" w:rsidRPr="005C688A" w:rsidTr="009F7F4B">
        <w:trPr>
          <w:gridAfter w:val="2"/>
          <w:wAfter w:w="109" w:type="dxa"/>
        </w:trPr>
        <w:tc>
          <w:tcPr>
            <w:tcW w:w="6199" w:type="dxa"/>
            <w:tcBorders>
              <w:top w:val="nil"/>
              <w:bottom w:val="nil"/>
            </w:tcBorders>
            <w:vAlign w:val="bottom"/>
          </w:tcPr>
          <w:p w:rsidR="00C64618" w:rsidRPr="006D6EBA" w:rsidRDefault="00C64618" w:rsidP="009F7F4B">
            <w:pPr>
              <w:spacing w:line="480" w:lineRule="auto"/>
              <w:ind w:firstLine="37"/>
            </w:pPr>
            <w:r w:rsidRPr="006D6EBA">
              <w:t xml:space="preserve">Hospital/Consultant </w:t>
            </w:r>
          </w:p>
        </w:tc>
        <w:tc>
          <w:tcPr>
            <w:tcW w:w="1299" w:type="dxa"/>
            <w:gridSpan w:val="2"/>
            <w:tcBorders>
              <w:top w:val="nil"/>
              <w:bottom w:val="nil"/>
            </w:tcBorders>
            <w:vAlign w:val="bottom"/>
          </w:tcPr>
          <w:p w:rsidR="00C64618" w:rsidRPr="006D6EBA" w:rsidRDefault="00C64618" w:rsidP="009F7F4B">
            <w:pPr>
              <w:spacing w:line="480" w:lineRule="auto"/>
            </w:pPr>
            <w:r w:rsidRPr="006D6EBA">
              <w:rPr>
                <w:rFonts w:ascii="Calibri" w:hAnsi="Calibri"/>
              </w:rPr>
              <w:t>0.98 (1.4)</w:t>
            </w:r>
          </w:p>
        </w:tc>
        <w:tc>
          <w:tcPr>
            <w:tcW w:w="1310" w:type="dxa"/>
            <w:gridSpan w:val="3"/>
            <w:tcBorders>
              <w:top w:val="nil"/>
              <w:bottom w:val="nil"/>
            </w:tcBorders>
            <w:vAlign w:val="bottom"/>
          </w:tcPr>
          <w:p w:rsidR="00C64618" w:rsidRPr="006D6EBA" w:rsidRDefault="00C64618" w:rsidP="009F7F4B">
            <w:pPr>
              <w:spacing w:line="480" w:lineRule="auto"/>
            </w:pPr>
            <w:r w:rsidRPr="006D6EBA">
              <w:rPr>
                <w:rFonts w:ascii="Calibri" w:hAnsi="Calibri"/>
              </w:rPr>
              <w:t>0.74 (2)</w:t>
            </w:r>
          </w:p>
        </w:tc>
      </w:tr>
      <w:tr w:rsidR="00C64618" w:rsidRPr="005C688A" w:rsidTr="009F7F4B">
        <w:trPr>
          <w:gridAfter w:val="2"/>
          <w:wAfter w:w="109" w:type="dxa"/>
        </w:trPr>
        <w:tc>
          <w:tcPr>
            <w:tcW w:w="6199" w:type="dxa"/>
            <w:tcBorders>
              <w:top w:val="nil"/>
              <w:bottom w:val="single" w:sz="4" w:space="0" w:color="auto"/>
            </w:tcBorders>
            <w:vAlign w:val="bottom"/>
          </w:tcPr>
          <w:p w:rsidR="00C64618" w:rsidRPr="006D6EBA" w:rsidRDefault="00C64618" w:rsidP="009F7F4B">
            <w:pPr>
              <w:spacing w:line="480" w:lineRule="auto"/>
              <w:ind w:firstLine="37"/>
            </w:pPr>
            <w:r w:rsidRPr="006D6EBA">
              <w:t>Other</w:t>
            </w:r>
          </w:p>
        </w:tc>
        <w:tc>
          <w:tcPr>
            <w:tcW w:w="129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:rsidR="00C64618" w:rsidRPr="006D6EBA" w:rsidRDefault="00C64618" w:rsidP="009F7F4B">
            <w:pPr>
              <w:spacing w:line="480" w:lineRule="auto"/>
            </w:pPr>
            <w:r w:rsidRPr="006D6EBA">
              <w:rPr>
                <w:rFonts w:ascii="Calibri" w:hAnsi="Calibri"/>
              </w:rPr>
              <w:t>1.01 (2.2)</w:t>
            </w:r>
          </w:p>
        </w:tc>
        <w:tc>
          <w:tcPr>
            <w:tcW w:w="1310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:rsidR="00C64618" w:rsidRPr="006D6EBA" w:rsidRDefault="00C64618" w:rsidP="009F7F4B">
            <w:pPr>
              <w:spacing w:line="480" w:lineRule="auto"/>
            </w:pPr>
            <w:r w:rsidRPr="006D6EBA">
              <w:rPr>
                <w:rFonts w:ascii="Calibri" w:hAnsi="Calibri"/>
              </w:rPr>
              <w:t>0.61 (2)</w:t>
            </w:r>
          </w:p>
        </w:tc>
      </w:tr>
      <w:tr w:rsidR="00C64618" w:rsidRPr="005C688A" w:rsidTr="009F7F4B">
        <w:trPr>
          <w:gridAfter w:val="2"/>
          <w:wAfter w:w="109" w:type="dxa"/>
        </w:trPr>
        <w:tc>
          <w:tcPr>
            <w:tcW w:w="8808" w:type="dxa"/>
            <w:gridSpan w:val="6"/>
            <w:tcBorders>
              <w:top w:val="single" w:sz="4" w:space="0" w:color="auto"/>
            </w:tcBorders>
            <w:vAlign w:val="bottom"/>
          </w:tcPr>
          <w:p w:rsidR="00C64618" w:rsidRPr="00B8530D" w:rsidRDefault="00C64618" w:rsidP="009F7F4B">
            <w:pPr>
              <w:spacing w:line="480" w:lineRule="auto"/>
              <w:ind w:left="179" w:hanging="179"/>
              <w:rPr>
                <w:b/>
                <w:color w:val="000000"/>
                <w:sz w:val="20"/>
                <w:szCs w:val="20"/>
              </w:rPr>
            </w:pPr>
            <w:r w:rsidRPr="00B8530D">
              <w:rPr>
                <w:b/>
                <w:color w:val="000000"/>
                <w:sz w:val="20"/>
                <w:szCs w:val="20"/>
              </w:rPr>
              <w:t xml:space="preserve">* </w:t>
            </w:r>
            <w:r w:rsidRPr="00B8530D">
              <w:rPr>
                <w:b/>
                <w:i/>
                <w:color w:val="000000"/>
                <w:sz w:val="20"/>
                <w:szCs w:val="20"/>
              </w:rPr>
              <w:t xml:space="preserve">p </w:t>
            </w:r>
            <w:r w:rsidRPr="00B8530D">
              <w:rPr>
                <w:b/>
                <w:color w:val="000000"/>
                <w:sz w:val="20"/>
                <w:szCs w:val="20"/>
              </w:rPr>
              <w:t>&lt; .05</w:t>
            </w:r>
          </w:p>
          <w:p w:rsidR="00C64618" w:rsidRPr="00641F22" w:rsidRDefault="00C64618" w:rsidP="009F7F4B">
            <w:pPr>
              <w:spacing w:line="480" w:lineRule="auto"/>
              <w:ind w:left="179" w:hanging="179"/>
              <w:rPr>
                <w:color w:val="000000"/>
                <w:sz w:val="20"/>
                <w:szCs w:val="20"/>
              </w:rPr>
            </w:pPr>
            <w:r w:rsidRPr="009F0418">
              <w:rPr>
                <w:color w:val="000000"/>
                <w:sz w:val="20"/>
                <w:szCs w:val="20"/>
              </w:rPr>
              <w:t xml:space="preserve">† </w:t>
            </w:r>
            <w:proofErr w:type="spellStart"/>
            <w:r w:rsidRPr="009F0418">
              <w:rPr>
                <w:color w:val="000000"/>
                <w:sz w:val="20"/>
                <w:szCs w:val="20"/>
              </w:rPr>
              <w:t>Interparent</w:t>
            </w:r>
            <w:proofErr w:type="spellEnd"/>
            <w:r w:rsidRPr="009F0418">
              <w:rPr>
                <w:color w:val="000000"/>
                <w:sz w:val="20"/>
                <w:szCs w:val="20"/>
              </w:rPr>
              <w:t xml:space="preserve"> relationship quality, frequency of arguments, quality of relationships with family circle; involvement of father in childcare; level of support from social network range of scores. Lower scores indicate lower social support. </w:t>
            </w:r>
          </w:p>
        </w:tc>
      </w:tr>
    </w:tbl>
    <w:p w:rsidR="00C64618" w:rsidRPr="005C688A" w:rsidRDefault="00C64618" w:rsidP="00C64618">
      <w:pPr>
        <w:spacing w:after="0" w:line="480" w:lineRule="auto"/>
      </w:pPr>
    </w:p>
    <w:p w:rsidR="00C64618" w:rsidRPr="005C688A" w:rsidRDefault="00C64618" w:rsidP="00C64618">
      <w:pPr>
        <w:spacing w:after="0" w:line="480" w:lineRule="auto"/>
      </w:pPr>
    </w:p>
    <w:p w:rsidR="00C64618" w:rsidRPr="005C688A" w:rsidRDefault="00C64618" w:rsidP="00C64618">
      <w:pPr>
        <w:spacing w:after="0" w:line="480" w:lineRule="auto"/>
        <w:rPr>
          <w:b/>
        </w:rPr>
      </w:pPr>
    </w:p>
    <w:p w:rsidR="00C64618" w:rsidRPr="005C688A" w:rsidRDefault="00C64618" w:rsidP="00C64618">
      <w:pPr>
        <w:spacing w:after="0" w:line="480" w:lineRule="auto"/>
        <w:rPr>
          <w:b/>
          <w:i/>
        </w:rPr>
      </w:pPr>
      <w:r w:rsidRPr="005C688A">
        <w:rPr>
          <w:b/>
          <w:i/>
        </w:rPr>
        <w:lastRenderedPageBreak/>
        <w:t>Table 4. Comparison of Parent Outcomes by Risk Factors</w:t>
      </w:r>
    </w:p>
    <w:tbl>
      <w:tblPr>
        <w:tblStyle w:val="TableGrid"/>
        <w:tblW w:w="9240" w:type="dxa"/>
        <w:tblInd w:w="-431" w:type="dxa"/>
        <w:tblBorders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27"/>
        <w:gridCol w:w="1632"/>
        <w:gridCol w:w="1570"/>
        <w:gridCol w:w="1316"/>
        <w:gridCol w:w="1236"/>
        <w:gridCol w:w="1159"/>
      </w:tblGrid>
      <w:tr w:rsidR="00C64618" w:rsidRPr="005C688A" w:rsidTr="009F7F4B">
        <w:tc>
          <w:tcPr>
            <w:tcW w:w="2327" w:type="dxa"/>
          </w:tcPr>
          <w:p w:rsidR="00C64618" w:rsidRPr="005C688A" w:rsidRDefault="00C64618" w:rsidP="009F7F4B">
            <w:pPr>
              <w:spacing w:line="480" w:lineRule="auto"/>
            </w:pPr>
          </w:p>
        </w:tc>
        <w:tc>
          <w:tcPr>
            <w:tcW w:w="1632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‘Low Risk’</w:t>
            </w:r>
          </w:p>
          <w:p w:rsidR="00C64618" w:rsidRPr="005C688A" w:rsidRDefault="00C64618" w:rsidP="009F7F4B">
            <w:pPr>
              <w:spacing w:line="480" w:lineRule="auto"/>
              <w:jc w:val="both"/>
            </w:pPr>
            <w:r>
              <w:t>N=70</w:t>
            </w:r>
          </w:p>
        </w:tc>
        <w:tc>
          <w:tcPr>
            <w:tcW w:w="1570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‘Medium Risk’</w:t>
            </w:r>
          </w:p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N=78</w:t>
            </w:r>
          </w:p>
        </w:tc>
        <w:tc>
          <w:tcPr>
            <w:tcW w:w="131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‘High Risk’</w:t>
            </w:r>
          </w:p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N=42</w:t>
            </w:r>
          </w:p>
        </w:tc>
        <w:tc>
          <w:tcPr>
            <w:tcW w:w="1236" w:type="dxa"/>
          </w:tcPr>
          <w:p w:rsidR="00C64618" w:rsidRPr="005C688A" w:rsidRDefault="00C64618" w:rsidP="009F7F4B">
            <w:pPr>
              <w:spacing w:line="480" w:lineRule="auto"/>
              <w:jc w:val="both"/>
              <w:rPr>
                <w:b/>
              </w:rPr>
            </w:pPr>
            <w:r w:rsidRPr="005C688A">
              <w:rPr>
                <w:b/>
              </w:rPr>
              <w:t>F</w:t>
            </w:r>
          </w:p>
        </w:tc>
        <w:tc>
          <w:tcPr>
            <w:tcW w:w="1159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Effect size</w:t>
            </w:r>
          </w:p>
        </w:tc>
      </w:tr>
      <w:tr w:rsidR="00C64618" w:rsidRPr="005C688A" w:rsidTr="009F7F4B">
        <w:tc>
          <w:tcPr>
            <w:tcW w:w="2327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PHQ-9</w:t>
            </w:r>
          </w:p>
        </w:tc>
        <w:tc>
          <w:tcPr>
            <w:tcW w:w="1632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2.16 (2.5)</w:t>
            </w:r>
          </w:p>
        </w:tc>
        <w:tc>
          <w:tcPr>
            <w:tcW w:w="1570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3.81 (3.6)</w:t>
            </w:r>
          </w:p>
        </w:tc>
        <w:tc>
          <w:tcPr>
            <w:tcW w:w="131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5.93 (5.2)</w:t>
            </w:r>
          </w:p>
        </w:tc>
        <w:tc>
          <w:tcPr>
            <w:tcW w:w="123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13.69**</w:t>
            </w:r>
          </w:p>
        </w:tc>
        <w:tc>
          <w:tcPr>
            <w:tcW w:w="1159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0.13</w:t>
            </w:r>
          </w:p>
        </w:tc>
      </w:tr>
      <w:tr w:rsidR="00C64618" w:rsidRPr="005C688A" w:rsidTr="009F7F4B">
        <w:tc>
          <w:tcPr>
            <w:tcW w:w="2327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PSOC scale</w:t>
            </w:r>
          </w:p>
        </w:tc>
        <w:tc>
          <w:tcPr>
            <w:tcW w:w="1632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77.14 (6.9)</w:t>
            </w:r>
          </w:p>
        </w:tc>
        <w:tc>
          <w:tcPr>
            <w:tcW w:w="1570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74.42 (9.4)</w:t>
            </w:r>
          </w:p>
        </w:tc>
        <w:tc>
          <w:tcPr>
            <w:tcW w:w="131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71.36 (10.1)</w:t>
            </w:r>
          </w:p>
        </w:tc>
        <w:tc>
          <w:tcPr>
            <w:tcW w:w="123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11.79**</w:t>
            </w:r>
          </w:p>
        </w:tc>
        <w:tc>
          <w:tcPr>
            <w:tcW w:w="1159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0.06</w:t>
            </w:r>
          </w:p>
        </w:tc>
      </w:tr>
      <w:tr w:rsidR="00C64618" w:rsidRPr="005C688A" w:rsidTr="009F7F4B">
        <w:tc>
          <w:tcPr>
            <w:tcW w:w="2327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MPAS-QA Subscale</w:t>
            </w:r>
          </w:p>
        </w:tc>
        <w:tc>
          <w:tcPr>
            <w:tcW w:w="1632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42.32 (2.8)</w:t>
            </w:r>
          </w:p>
        </w:tc>
        <w:tc>
          <w:tcPr>
            <w:tcW w:w="1570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41.92 (3.4)</w:t>
            </w:r>
          </w:p>
        </w:tc>
        <w:tc>
          <w:tcPr>
            <w:tcW w:w="131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41.05 (4.3)</w:t>
            </w:r>
          </w:p>
        </w:tc>
        <w:tc>
          <w:tcPr>
            <w:tcW w:w="123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5.64</w:t>
            </w:r>
          </w:p>
        </w:tc>
        <w:tc>
          <w:tcPr>
            <w:tcW w:w="1159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0.02</w:t>
            </w:r>
          </w:p>
        </w:tc>
      </w:tr>
      <w:tr w:rsidR="00C64618" w:rsidRPr="005C688A" w:rsidTr="009F7F4B">
        <w:tc>
          <w:tcPr>
            <w:tcW w:w="2327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ICQ-F/D subscale</w:t>
            </w:r>
          </w:p>
        </w:tc>
        <w:tc>
          <w:tcPr>
            <w:tcW w:w="1632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24.22 (7.2)</w:t>
            </w:r>
          </w:p>
        </w:tc>
        <w:tc>
          <w:tcPr>
            <w:tcW w:w="1570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24.93 (7.99)</w:t>
            </w:r>
          </w:p>
        </w:tc>
        <w:tc>
          <w:tcPr>
            <w:tcW w:w="131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24.13 (9.6)</w:t>
            </w:r>
          </w:p>
        </w:tc>
        <w:tc>
          <w:tcPr>
            <w:tcW w:w="123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0.16</w:t>
            </w:r>
          </w:p>
        </w:tc>
        <w:tc>
          <w:tcPr>
            <w:tcW w:w="1159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0.00</w:t>
            </w:r>
          </w:p>
        </w:tc>
      </w:tr>
      <w:tr w:rsidR="00C64618" w:rsidRPr="005C688A" w:rsidTr="009F7F4B">
        <w:tc>
          <w:tcPr>
            <w:tcW w:w="2327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HOME-SF Cognitive Stimulation subscale</w:t>
            </w:r>
          </w:p>
        </w:tc>
        <w:tc>
          <w:tcPr>
            <w:tcW w:w="1632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7.1 (1.2)</w:t>
            </w:r>
          </w:p>
        </w:tc>
        <w:tc>
          <w:tcPr>
            <w:tcW w:w="1570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6.64 (1.5)</w:t>
            </w:r>
          </w:p>
        </w:tc>
        <w:tc>
          <w:tcPr>
            <w:tcW w:w="131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6.39 (1.5)</w:t>
            </w:r>
          </w:p>
        </w:tc>
        <w:tc>
          <w:tcPr>
            <w:tcW w:w="123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3.38*</w:t>
            </w:r>
          </w:p>
        </w:tc>
        <w:tc>
          <w:tcPr>
            <w:tcW w:w="1159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0.04</w:t>
            </w:r>
          </w:p>
        </w:tc>
      </w:tr>
      <w:tr w:rsidR="00C64618" w:rsidRPr="005C688A" w:rsidTr="009F7F4B">
        <w:tc>
          <w:tcPr>
            <w:tcW w:w="2327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HOME-SF Emotional Support subscale</w:t>
            </w:r>
          </w:p>
        </w:tc>
        <w:tc>
          <w:tcPr>
            <w:tcW w:w="1632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6.25 (1.01)</w:t>
            </w:r>
          </w:p>
        </w:tc>
        <w:tc>
          <w:tcPr>
            <w:tcW w:w="1570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5.81 (1.2)</w:t>
            </w:r>
          </w:p>
        </w:tc>
        <w:tc>
          <w:tcPr>
            <w:tcW w:w="131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5.42 (1.6)</w:t>
            </w:r>
          </w:p>
        </w:tc>
        <w:tc>
          <w:tcPr>
            <w:tcW w:w="123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4.93*</w:t>
            </w:r>
          </w:p>
        </w:tc>
        <w:tc>
          <w:tcPr>
            <w:tcW w:w="1159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0.06</w:t>
            </w:r>
          </w:p>
        </w:tc>
      </w:tr>
      <w:tr w:rsidR="00C64618" w:rsidRPr="005C688A" w:rsidTr="009F7F4B">
        <w:tc>
          <w:tcPr>
            <w:tcW w:w="2327" w:type="dxa"/>
          </w:tcPr>
          <w:p w:rsidR="00C64618" w:rsidRPr="005C688A" w:rsidRDefault="00C64618" w:rsidP="009F7F4B">
            <w:pPr>
              <w:spacing w:line="480" w:lineRule="auto"/>
            </w:pPr>
            <w:r w:rsidRPr="005C688A">
              <w:t>Service utilisation †</w:t>
            </w:r>
          </w:p>
        </w:tc>
        <w:tc>
          <w:tcPr>
            <w:tcW w:w="1632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9.</w:t>
            </w:r>
            <w:r>
              <w:t>7</w:t>
            </w:r>
            <w:r w:rsidRPr="005C688A">
              <w:t xml:space="preserve"> (5.8)</w:t>
            </w:r>
          </w:p>
        </w:tc>
        <w:tc>
          <w:tcPr>
            <w:tcW w:w="1570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8.37 (4.</w:t>
            </w:r>
            <w:r>
              <w:t>5</w:t>
            </w:r>
            <w:r w:rsidRPr="005C688A">
              <w:t>)</w:t>
            </w:r>
          </w:p>
        </w:tc>
        <w:tc>
          <w:tcPr>
            <w:tcW w:w="131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8.64 (5.1)</w:t>
            </w:r>
          </w:p>
        </w:tc>
        <w:tc>
          <w:tcPr>
            <w:tcW w:w="1236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1.</w:t>
            </w:r>
            <w:r>
              <w:t>29</w:t>
            </w:r>
          </w:p>
        </w:tc>
        <w:tc>
          <w:tcPr>
            <w:tcW w:w="1159" w:type="dxa"/>
          </w:tcPr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t>0.</w:t>
            </w:r>
            <w:r>
              <w:t>01</w:t>
            </w:r>
          </w:p>
        </w:tc>
      </w:tr>
      <w:tr w:rsidR="00C64618" w:rsidRPr="005C688A" w:rsidTr="009F7F4B">
        <w:tc>
          <w:tcPr>
            <w:tcW w:w="9240" w:type="dxa"/>
            <w:gridSpan w:val="6"/>
          </w:tcPr>
          <w:p w:rsidR="00C64618" w:rsidRPr="008672CC" w:rsidRDefault="00C64618" w:rsidP="009F7F4B">
            <w:pPr>
              <w:spacing w:line="480" w:lineRule="auto"/>
              <w:jc w:val="both"/>
              <w:rPr>
                <w:b/>
                <w:i/>
              </w:rPr>
            </w:pPr>
            <w:r w:rsidRPr="008672CC">
              <w:rPr>
                <w:b/>
              </w:rPr>
              <w:t xml:space="preserve">* </w:t>
            </w:r>
            <w:r w:rsidRPr="008672CC">
              <w:rPr>
                <w:b/>
                <w:i/>
              </w:rPr>
              <w:t xml:space="preserve">p &lt; </w:t>
            </w:r>
            <w:r w:rsidRPr="008672CC">
              <w:rPr>
                <w:b/>
              </w:rPr>
              <w:t>.05</w:t>
            </w:r>
            <w:r w:rsidRPr="008672CC">
              <w:rPr>
                <w:b/>
                <w:i/>
              </w:rPr>
              <w:t xml:space="preserve">; </w:t>
            </w:r>
            <w:r w:rsidRPr="008672CC">
              <w:rPr>
                <w:b/>
              </w:rPr>
              <w:t>**</w:t>
            </w:r>
            <w:r w:rsidRPr="008672CC">
              <w:rPr>
                <w:b/>
                <w:i/>
              </w:rPr>
              <w:t xml:space="preserve"> p </w:t>
            </w:r>
            <w:r w:rsidRPr="008672CC">
              <w:rPr>
                <w:b/>
              </w:rPr>
              <w:t xml:space="preserve">&lt; .01 </w:t>
            </w:r>
          </w:p>
          <w:p w:rsidR="00C64618" w:rsidRPr="00C66D12" w:rsidRDefault="00C64618" w:rsidP="009F7F4B">
            <w:pPr>
              <w:spacing w:line="480" w:lineRule="auto"/>
              <w:jc w:val="both"/>
            </w:pPr>
            <w:r>
              <w:rPr>
                <w:i/>
              </w:rPr>
              <w:t xml:space="preserve">Note: </w:t>
            </w:r>
            <w:r>
              <w:t xml:space="preserve">Low Risk = 0 risk factors; Medium Risk = 1-2 risk factors; High Risk = 3+ risk factors; Risk factors include: </w:t>
            </w:r>
            <w:r w:rsidRPr="005C688A">
              <w:rPr>
                <w:rFonts w:cstheme="minorHAnsi"/>
              </w:rPr>
              <w:t xml:space="preserve">single parenthood, teenage parenthood, family poverty, parental history of depression, </w:t>
            </w:r>
            <w:r>
              <w:rPr>
                <w:rFonts w:cstheme="minorHAnsi"/>
              </w:rPr>
              <w:t>substance</w:t>
            </w:r>
            <w:r w:rsidRPr="005C688A">
              <w:rPr>
                <w:rFonts w:cstheme="minorHAnsi"/>
              </w:rPr>
              <w:t xml:space="preserve"> abuse, criminality, stressful life events and low social support.</w:t>
            </w:r>
          </w:p>
          <w:p w:rsidR="00C64618" w:rsidRPr="005C688A" w:rsidRDefault="00C64618" w:rsidP="009F7F4B">
            <w:pPr>
              <w:spacing w:line="480" w:lineRule="auto"/>
              <w:jc w:val="both"/>
            </w:pPr>
            <w:r w:rsidRPr="005C688A">
              <w:rPr>
                <w:i/>
              </w:rPr>
              <w:t xml:space="preserve">† </w:t>
            </w:r>
            <w:r w:rsidRPr="005C688A">
              <w:t>Sum of reported use of health and social care services for both parents and infants</w:t>
            </w:r>
          </w:p>
        </w:tc>
      </w:tr>
    </w:tbl>
    <w:p w:rsidR="00C64618" w:rsidRPr="005C688A" w:rsidRDefault="00C64618" w:rsidP="00C64618">
      <w:pPr>
        <w:spacing w:after="0" w:line="480" w:lineRule="auto"/>
      </w:pPr>
    </w:p>
    <w:p w:rsidR="000053E6" w:rsidRDefault="00C64618">
      <w:bookmarkStart w:id="0" w:name="_GoBack"/>
      <w:bookmarkEnd w:id="0"/>
    </w:p>
    <w:sectPr w:rsidR="000053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618"/>
    <w:rsid w:val="00315698"/>
    <w:rsid w:val="00323C88"/>
    <w:rsid w:val="00C646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11B7C2-2F33-4DE0-9238-EFC3F05FF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6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646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713</Words>
  <Characters>4066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Grainne Hickey</dc:creator>
  <cp:keywords/>
  <dc:description/>
  <cp:lastModifiedBy>Grainne Hickey</cp:lastModifiedBy>
  <cp:revision>1</cp:revision>
  <dcterms:created xsi:type="dcterms:W3CDTF">2017-08-09T11:03:00Z</dcterms:created>
  <dcterms:modified xsi:type="dcterms:W3CDTF">2017-08-09T11:03:00Z</dcterms:modified>
</cp:coreProperties>
</file>