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9F086" w14:textId="2E3BF91B" w:rsidR="00E05A10" w:rsidRDefault="00E05A10">
      <w:pPr>
        <w:rPr>
          <w:rFonts w:ascii="Arial" w:hAnsi="Arial" w:cs="Arial"/>
          <w:b/>
          <w:caps/>
          <w:lang w:val="en-GB"/>
        </w:rPr>
      </w:pPr>
      <w:r w:rsidRPr="00E05A10">
        <w:rPr>
          <w:rFonts w:ascii="Arial" w:hAnsi="Arial" w:cs="Arial"/>
          <w:b/>
          <w:caps/>
          <w:lang w:val="en-GB"/>
        </w:rPr>
        <w:t xml:space="preserve">Supporting Information </w:t>
      </w:r>
    </w:p>
    <w:p w14:paraId="369F58AC" w14:textId="77777777" w:rsidR="00E05A10" w:rsidRDefault="00E05A10" w:rsidP="00E05A10">
      <w:pPr>
        <w:spacing w:line="240" w:lineRule="auto"/>
        <w:contextualSpacing/>
        <w:jc w:val="both"/>
        <w:rPr>
          <w:rFonts w:ascii="Arial" w:hAnsi="Arial" w:cs="Arial"/>
          <w:b/>
        </w:rPr>
      </w:pPr>
      <w:r w:rsidRPr="00091302">
        <w:rPr>
          <w:rFonts w:ascii="Arial" w:hAnsi="Arial" w:cs="Arial"/>
          <w:b/>
        </w:rPr>
        <w:t xml:space="preserve">SUPPLEMENTARY FILE </w:t>
      </w:r>
      <w:r>
        <w:rPr>
          <w:rFonts w:ascii="Arial" w:hAnsi="Arial" w:cs="Arial"/>
          <w:b/>
        </w:rPr>
        <w:t>1</w:t>
      </w:r>
    </w:p>
    <w:p w14:paraId="1A198C7D" w14:textId="77777777" w:rsidR="00E05A10" w:rsidRDefault="00E05A10" w:rsidP="00E05A10">
      <w:pPr>
        <w:spacing w:line="240" w:lineRule="auto"/>
        <w:contextualSpacing/>
        <w:jc w:val="both"/>
        <w:rPr>
          <w:rFonts w:ascii="Arial" w:hAnsi="Arial" w:cs="Arial"/>
          <w:b/>
        </w:rPr>
      </w:pPr>
    </w:p>
    <w:p w14:paraId="612F4E42" w14:textId="77777777" w:rsidR="00E05A10" w:rsidRDefault="00E05A10" w:rsidP="00E05A10">
      <w:pPr>
        <w:spacing w:line="240" w:lineRule="auto"/>
        <w:contextualSpacing/>
        <w:jc w:val="both"/>
        <w:rPr>
          <w:rFonts w:ascii="Arial" w:hAnsi="Arial" w:cs="Arial"/>
          <w:b/>
        </w:rPr>
      </w:pPr>
      <w:r>
        <w:rPr>
          <w:rFonts w:ascii="Arial" w:hAnsi="Arial" w:cs="Arial"/>
          <w:b/>
        </w:rPr>
        <w:t xml:space="preserve">Details of </w:t>
      </w:r>
      <w:r w:rsidRPr="00352BF1">
        <w:rPr>
          <w:rFonts w:ascii="Arial" w:hAnsi="Arial" w:cs="Arial"/>
          <w:b/>
        </w:rPr>
        <w:t xml:space="preserve">Psychotherapy </w:t>
      </w:r>
      <w:r>
        <w:rPr>
          <w:rFonts w:ascii="Arial" w:hAnsi="Arial" w:cs="Arial"/>
          <w:b/>
        </w:rPr>
        <w:t>O</w:t>
      </w:r>
      <w:r w:rsidRPr="00352BF1">
        <w:rPr>
          <w:rFonts w:ascii="Arial" w:hAnsi="Arial" w:cs="Arial"/>
          <w:b/>
        </w:rPr>
        <w:t xml:space="preserve">utcome </w:t>
      </w:r>
      <w:r>
        <w:rPr>
          <w:rFonts w:ascii="Arial" w:hAnsi="Arial" w:cs="Arial"/>
          <w:b/>
        </w:rPr>
        <w:t>s</w:t>
      </w:r>
      <w:r w:rsidRPr="00352BF1">
        <w:rPr>
          <w:rFonts w:ascii="Arial" w:hAnsi="Arial" w:cs="Arial"/>
          <w:b/>
        </w:rPr>
        <w:t xml:space="preserve">tudy </w:t>
      </w:r>
      <w:r>
        <w:rPr>
          <w:rFonts w:ascii="Arial" w:hAnsi="Arial" w:cs="Arial"/>
          <w:b/>
        </w:rPr>
        <w:t>M</w:t>
      </w:r>
      <w:r w:rsidRPr="00352BF1">
        <w:rPr>
          <w:rFonts w:ascii="Arial" w:hAnsi="Arial" w:cs="Arial"/>
          <w:b/>
        </w:rPr>
        <w:t xml:space="preserve">ethodology </w:t>
      </w:r>
      <w:r>
        <w:rPr>
          <w:rFonts w:ascii="Arial" w:hAnsi="Arial" w:cs="Arial"/>
          <w:b/>
        </w:rPr>
        <w:t>R</w:t>
      </w:r>
      <w:r w:rsidRPr="00352BF1">
        <w:rPr>
          <w:rFonts w:ascii="Arial" w:hAnsi="Arial" w:cs="Arial"/>
          <w:b/>
        </w:rPr>
        <w:t xml:space="preserve">ating </w:t>
      </w:r>
      <w:r>
        <w:rPr>
          <w:rFonts w:ascii="Arial" w:hAnsi="Arial" w:cs="Arial"/>
          <w:b/>
        </w:rPr>
        <w:t xml:space="preserve">Form </w:t>
      </w:r>
      <w:r w:rsidRPr="00352BF1">
        <w:rPr>
          <w:rFonts w:ascii="Arial" w:hAnsi="Arial" w:cs="Arial"/>
          <w:b/>
        </w:rPr>
        <w:t>(POMRF)</w:t>
      </w:r>
    </w:p>
    <w:p w14:paraId="6EDA1251" w14:textId="77777777" w:rsidR="00E05A10" w:rsidRPr="00352BF1" w:rsidRDefault="00E05A10" w:rsidP="00E05A10">
      <w:pPr>
        <w:spacing w:line="240" w:lineRule="auto"/>
        <w:contextualSpacing/>
        <w:jc w:val="both"/>
        <w:rPr>
          <w:rFonts w:ascii="Arial" w:hAnsi="Arial" w:cs="Arial"/>
          <w:b/>
        </w:rPr>
      </w:pPr>
    </w:p>
    <w:tbl>
      <w:tblPr>
        <w:tblW w:w="95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8"/>
        <w:gridCol w:w="1078"/>
        <w:gridCol w:w="7375"/>
      </w:tblGrid>
      <w:tr w:rsidR="00E05A10" w:rsidRPr="00352BF1" w14:paraId="201E234F" w14:textId="77777777" w:rsidTr="0082774E">
        <w:trPr>
          <w:trHeight w:val="454"/>
        </w:trPr>
        <w:tc>
          <w:tcPr>
            <w:tcW w:w="9531" w:type="dxa"/>
            <w:gridSpan w:val="3"/>
            <w:shd w:val="clear" w:color="auto" w:fill="auto"/>
            <w:hideMark/>
          </w:tcPr>
          <w:p w14:paraId="3EFD8D2F" w14:textId="77777777" w:rsidR="00E05A10" w:rsidRPr="00EF35F6" w:rsidRDefault="00E05A10" w:rsidP="0082774E">
            <w:pPr>
              <w:spacing w:after="0" w:line="240" w:lineRule="auto"/>
              <w:contextualSpacing/>
              <w:jc w:val="both"/>
              <w:rPr>
                <w:rFonts w:ascii="Arial" w:eastAsia="Times New Roman" w:hAnsi="Arial" w:cs="Arial"/>
                <w:b/>
                <w:color w:val="000000"/>
                <w:sz w:val="20"/>
                <w:lang w:eastAsia="en-GB"/>
              </w:rPr>
            </w:pPr>
            <w:r w:rsidRPr="00EF35F6">
              <w:rPr>
                <w:rFonts w:ascii="Arial" w:eastAsia="Times New Roman" w:hAnsi="Arial" w:cs="Arial"/>
                <w:b/>
                <w:color w:val="000000"/>
                <w:sz w:val="20"/>
                <w:lang w:eastAsia="en-GB"/>
              </w:rPr>
              <w:t>16. Checks for treatment adherence</w:t>
            </w:r>
          </w:p>
        </w:tc>
      </w:tr>
      <w:tr w:rsidR="00E05A10" w:rsidRPr="00352BF1" w14:paraId="7670734D" w14:textId="77777777" w:rsidTr="0082774E">
        <w:trPr>
          <w:trHeight w:val="454"/>
        </w:trPr>
        <w:tc>
          <w:tcPr>
            <w:tcW w:w="1078" w:type="dxa"/>
            <w:shd w:val="clear" w:color="auto" w:fill="auto"/>
            <w:hideMark/>
          </w:tcPr>
          <w:p w14:paraId="3F3D625E"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0</w:t>
            </w:r>
          </w:p>
        </w:tc>
        <w:tc>
          <w:tcPr>
            <w:tcW w:w="1078" w:type="dxa"/>
            <w:shd w:val="clear" w:color="auto" w:fill="auto"/>
            <w:hideMark/>
          </w:tcPr>
          <w:p w14:paraId="30F393BB"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Poor</w:t>
            </w:r>
          </w:p>
        </w:tc>
        <w:tc>
          <w:tcPr>
            <w:tcW w:w="7375" w:type="dxa"/>
            <w:shd w:val="clear" w:color="auto" w:fill="auto"/>
            <w:hideMark/>
          </w:tcPr>
          <w:p w14:paraId="0B772FC6" w14:textId="77777777" w:rsidR="00E05A10" w:rsidRPr="00EF35F6" w:rsidRDefault="00E05A10" w:rsidP="0082774E">
            <w:pPr>
              <w:spacing w:after="0" w:line="240" w:lineRule="auto"/>
              <w:contextualSpacing/>
              <w:jc w:val="both"/>
              <w:rPr>
                <w:rFonts w:ascii="Arial" w:eastAsia="Times New Roman" w:hAnsi="Arial" w:cs="Arial"/>
                <w:color w:val="000000"/>
                <w:sz w:val="20"/>
                <w:lang w:eastAsia="en-GB"/>
              </w:rPr>
            </w:pPr>
            <w:r w:rsidRPr="00EF35F6">
              <w:rPr>
                <w:rFonts w:ascii="Arial" w:eastAsia="Times New Roman" w:hAnsi="Arial" w:cs="Arial"/>
                <w:color w:val="000000"/>
                <w:sz w:val="20"/>
                <w:lang w:eastAsia="en-GB"/>
              </w:rPr>
              <w:t>No checks were made to assure that the intervention was consistent with protocol.</w:t>
            </w:r>
          </w:p>
        </w:tc>
      </w:tr>
      <w:tr w:rsidR="00E05A10" w:rsidRPr="00352BF1" w14:paraId="7D4079CF" w14:textId="77777777" w:rsidTr="0082774E">
        <w:trPr>
          <w:trHeight w:val="454"/>
        </w:trPr>
        <w:tc>
          <w:tcPr>
            <w:tcW w:w="1078" w:type="dxa"/>
            <w:shd w:val="clear" w:color="auto" w:fill="auto"/>
            <w:hideMark/>
          </w:tcPr>
          <w:p w14:paraId="53044FE6"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1</w:t>
            </w:r>
          </w:p>
        </w:tc>
        <w:tc>
          <w:tcPr>
            <w:tcW w:w="1078" w:type="dxa"/>
            <w:shd w:val="clear" w:color="auto" w:fill="auto"/>
            <w:hideMark/>
          </w:tcPr>
          <w:p w14:paraId="677A1F5E"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Fair</w:t>
            </w:r>
          </w:p>
        </w:tc>
        <w:tc>
          <w:tcPr>
            <w:tcW w:w="7375" w:type="dxa"/>
            <w:shd w:val="clear" w:color="auto" w:fill="auto"/>
            <w:hideMark/>
          </w:tcPr>
          <w:p w14:paraId="531239CE" w14:textId="77777777" w:rsidR="00E05A10" w:rsidRPr="00EF35F6" w:rsidRDefault="00E05A10" w:rsidP="0082774E">
            <w:pPr>
              <w:spacing w:after="0" w:line="240" w:lineRule="auto"/>
              <w:contextualSpacing/>
              <w:jc w:val="both"/>
              <w:rPr>
                <w:rFonts w:ascii="Arial" w:eastAsia="Times New Roman" w:hAnsi="Arial" w:cs="Arial"/>
                <w:color w:val="000000"/>
                <w:sz w:val="20"/>
                <w:lang w:eastAsia="en-GB"/>
              </w:rPr>
            </w:pPr>
            <w:r w:rsidRPr="00EF35F6">
              <w:rPr>
                <w:rFonts w:ascii="Arial" w:eastAsia="Times New Roman" w:hAnsi="Arial" w:cs="Arial"/>
                <w:color w:val="000000"/>
                <w:sz w:val="20"/>
                <w:lang w:eastAsia="en-GB"/>
              </w:rPr>
              <w:t>Some checks were made (e.g. assessed a proportion of therapy tapes).</w:t>
            </w:r>
          </w:p>
        </w:tc>
      </w:tr>
      <w:tr w:rsidR="00E05A10" w:rsidRPr="00352BF1" w14:paraId="43F6BDB7" w14:textId="77777777" w:rsidTr="0082774E">
        <w:trPr>
          <w:trHeight w:val="454"/>
        </w:trPr>
        <w:tc>
          <w:tcPr>
            <w:tcW w:w="1078" w:type="dxa"/>
            <w:shd w:val="clear" w:color="auto" w:fill="auto"/>
            <w:hideMark/>
          </w:tcPr>
          <w:p w14:paraId="2D8E0292"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2</w:t>
            </w:r>
          </w:p>
        </w:tc>
        <w:tc>
          <w:tcPr>
            <w:tcW w:w="1078" w:type="dxa"/>
            <w:shd w:val="clear" w:color="auto" w:fill="auto"/>
            <w:hideMark/>
          </w:tcPr>
          <w:p w14:paraId="3C0564FE"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Good</w:t>
            </w:r>
          </w:p>
        </w:tc>
        <w:tc>
          <w:tcPr>
            <w:tcW w:w="7375" w:type="dxa"/>
            <w:shd w:val="clear" w:color="auto" w:fill="auto"/>
            <w:hideMark/>
          </w:tcPr>
          <w:p w14:paraId="360048D4" w14:textId="77777777" w:rsidR="00E05A10" w:rsidRPr="00EF35F6" w:rsidRDefault="00E05A10" w:rsidP="0082774E">
            <w:pPr>
              <w:spacing w:after="0" w:line="240" w:lineRule="auto"/>
              <w:contextualSpacing/>
              <w:jc w:val="both"/>
              <w:rPr>
                <w:rFonts w:ascii="Arial" w:eastAsia="Times New Roman" w:hAnsi="Arial" w:cs="Arial"/>
                <w:color w:val="000000"/>
                <w:sz w:val="20"/>
                <w:lang w:eastAsia="en-GB"/>
              </w:rPr>
            </w:pPr>
            <w:r w:rsidRPr="00EF35F6">
              <w:rPr>
                <w:rFonts w:ascii="Arial" w:eastAsia="Times New Roman" w:hAnsi="Arial" w:cs="Arial"/>
                <w:color w:val="000000"/>
                <w:sz w:val="20"/>
                <w:lang w:eastAsia="en-GB"/>
              </w:rPr>
              <w:t>Frequent checks were made (e.g. weekly supervision of each session using a detailed rating form).</w:t>
            </w:r>
          </w:p>
        </w:tc>
      </w:tr>
      <w:tr w:rsidR="00E05A10" w:rsidRPr="00352BF1" w14:paraId="7A3CE729" w14:textId="77777777" w:rsidTr="0082774E">
        <w:trPr>
          <w:trHeight w:val="454"/>
        </w:trPr>
        <w:tc>
          <w:tcPr>
            <w:tcW w:w="9531" w:type="dxa"/>
            <w:gridSpan w:val="3"/>
            <w:shd w:val="clear" w:color="auto" w:fill="auto"/>
            <w:hideMark/>
          </w:tcPr>
          <w:p w14:paraId="6BD8E101" w14:textId="77777777" w:rsidR="00E05A10" w:rsidRPr="00EF35F6" w:rsidRDefault="00E05A10" w:rsidP="0082774E">
            <w:pPr>
              <w:spacing w:after="0" w:line="240" w:lineRule="auto"/>
              <w:contextualSpacing/>
              <w:jc w:val="both"/>
              <w:rPr>
                <w:rFonts w:ascii="Arial" w:eastAsia="Times New Roman" w:hAnsi="Arial" w:cs="Arial"/>
                <w:b/>
                <w:color w:val="000000"/>
                <w:sz w:val="20"/>
                <w:lang w:eastAsia="en-GB"/>
              </w:rPr>
            </w:pPr>
            <w:r w:rsidRPr="00EF35F6">
              <w:rPr>
                <w:rFonts w:ascii="Arial" w:eastAsia="Times New Roman" w:hAnsi="Arial" w:cs="Arial"/>
                <w:b/>
                <w:color w:val="000000"/>
                <w:sz w:val="20"/>
                <w:lang w:eastAsia="en-GB"/>
              </w:rPr>
              <w:t>17. Checks for therapist competence</w:t>
            </w:r>
          </w:p>
        </w:tc>
      </w:tr>
      <w:tr w:rsidR="00E05A10" w:rsidRPr="00352BF1" w14:paraId="6DF48AE1" w14:textId="77777777" w:rsidTr="0082774E">
        <w:trPr>
          <w:trHeight w:val="454"/>
        </w:trPr>
        <w:tc>
          <w:tcPr>
            <w:tcW w:w="1078" w:type="dxa"/>
            <w:shd w:val="clear" w:color="auto" w:fill="auto"/>
            <w:hideMark/>
          </w:tcPr>
          <w:p w14:paraId="0D7CFD38"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0</w:t>
            </w:r>
          </w:p>
        </w:tc>
        <w:tc>
          <w:tcPr>
            <w:tcW w:w="1078" w:type="dxa"/>
            <w:shd w:val="clear" w:color="auto" w:fill="auto"/>
            <w:hideMark/>
          </w:tcPr>
          <w:p w14:paraId="0F0B016C"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Poor</w:t>
            </w:r>
          </w:p>
        </w:tc>
        <w:tc>
          <w:tcPr>
            <w:tcW w:w="7375" w:type="dxa"/>
            <w:shd w:val="clear" w:color="auto" w:fill="auto"/>
            <w:hideMark/>
          </w:tcPr>
          <w:p w14:paraId="344248ED" w14:textId="77777777" w:rsidR="00E05A10" w:rsidRPr="00EF35F6" w:rsidRDefault="00E05A10" w:rsidP="0082774E">
            <w:pPr>
              <w:spacing w:after="0" w:line="240" w:lineRule="auto"/>
              <w:contextualSpacing/>
              <w:jc w:val="both"/>
              <w:rPr>
                <w:rFonts w:ascii="Arial" w:eastAsia="Times New Roman" w:hAnsi="Arial" w:cs="Arial"/>
                <w:color w:val="000000"/>
                <w:sz w:val="20"/>
                <w:lang w:eastAsia="en-GB"/>
              </w:rPr>
            </w:pPr>
            <w:r w:rsidRPr="00EF35F6">
              <w:rPr>
                <w:rFonts w:ascii="Arial" w:eastAsia="Times New Roman" w:hAnsi="Arial" w:cs="Arial"/>
                <w:color w:val="000000"/>
                <w:sz w:val="20"/>
                <w:lang w:eastAsia="en-GB"/>
              </w:rPr>
              <w:t>No checks were made to assure that the intervention was delivered competently.</w:t>
            </w:r>
          </w:p>
        </w:tc>
      </w:tr>
      <w:tr w:rsidR="00E05A10" w:rsidRPr="00352BF1" w14:paraId="3250BDFD" w14:textId="77777777" w:rsidTr="0082774E">
        <w:trPr>
          <w:trHeight w:val="454"/>
        </w:trPr>
        <w:tc>
          <w:tcPr>
            <w:tcW w:w="1078" w:type="dxa"/>
            <w:shd w:val="clear" w:color="auto" w:fill="auto"/>
            <w:hideMark/>
          </w:tcPr>
          <w:p w14:paraId="5980D153"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1</w:t>
            </w:r>
          </w:p>
        </w:tc>
        <w:tc>
          <w:tcPr>
            <w:tcW w:w="1078" w:type="dxa"/>
            <w:shd w:val="clear" w:color="auto" w:fill="auto"/>
            <w:hideMark/>
          </w:tcPr>
          <w:p w14:paraId="3DEB3318"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Fair</w:t>
            </w:r>
          </w:p>
        </w:tc>
        <w:tc>
          <w:tcPr>
            <w:tcW w:w="7375" w:type="dxa"/>
            <w:shd w:val="clear" w:color="auto" w:fill="auto"/>
            <w:hideMark/>
          </w:tcPr>
          <w:p w14:paraId="031406AD" w14:textId="77777777" w:rsidR="00E05A10" w:rsidRPr="00EF35F6" w:rsidRDefault="00E05A10" w:rsidP="0082774E">
            <w:pPr>
              <w:spacing w:after="0" w:line="240" w:lineRule="auto"/>
              <w:contextualSpacing/>
              <w:jc w:val="both"/>
              <w:rPr>
                <w:rFonts w:ascii="Arial" w:eastAsia="Times New Roman" w:hAnsi="Arial" w:cs="Arial"/>
                <w:color w:val="000000"/>
                <w:sz w:val="20"/>
                <w:lang w:eastAsia="en-GB"/>
              </w:rPr>
            </w:pPr>
            <w:r w:rsidRPr="00EF35F6">
              <w:rPr>
                <w:rFonts w:ascii="Arial" w:eastAsia="Times New Roman" w:hAnsi="Arial" w:cs="Arial"/>
                <w:color w:val="000000"/>
                <w:sz w:val="20"/>
                <w:lang w:eastAsia="en-GB"/>
              </w:rPr>
              <w:t>Some checks were made (e.g. assessed a proportion of therapy tapes).</w:t>
            </w:r>
          </w:p>
        </w:tc>
      </w:tr>
      <w:tr w:rsidR="00E05A10" w:rsidRPr="00352BF1" w14:paraId="6689207D" w14:textId="77777777" w:rsidTr="0082774E">
        <w:trPr>
          <w:trHeight w:val="454"/>
        </w:trPr>
        <w:tc>
          <w:tcPr>
            <w:tcW w:w="1078" w:type="dxa"/>
            <w:shd w:val="clear" w:color="auto" w:fill="auto"/>
            <w:hideMark/>
          </w:tcPr>
          <w:p w14:paraId="5E957405"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2</w:t>
            </w:r>
          </w:p>
        </w:tc>
        <w:tc>
          <w:tcPr>
            <w:tcW w:w="1078" w:type="dxa"/>
            <w:shd w:val="clear" w:color="auto" w:fill="auto"/>
            <w:hideMark/>
          </w:tcPr>
          <w:p w14:paraId="2690BDE2" w14:textId="77777777" w:rsidR="00E05A10" w:rsidRPr="00352BF1" w:rsidRDefault="00E05A10" w:rsidP="0082774E">
            <w:pPr>
              <w:spacing w:after="0" w:line="240" w:lineRule="auto"/>
              <w:contextualSpacing/>
              <w:jc w:val="both"/>
              <w:rPr>
                <w:rFonts w:ascii="Arial" w:eastAsia="Times New Roman" w:hAnsi="Arial" w:cs="Arial"/>
                <w:color w:val="000000"/>
                <w:lang w:eastAsia="en-GB"/>
              </w:rPr>
            </w:pPr>
            <w:r w:rsidRPr="00352BF1">
              <w:rPr>
                <w:rFonts w:ascii="Arial" w:eastAsia="Times New Roman" w:hAnsi="Arial" w:cs="Arial"/>
                <w:color w:val="000000"/>
                <w:lang w:eastAsia="en-GB"/>
              </w:rPr>
              <w:t>Good</w:t>
            </w:r>
          </w:p>
        </w:tc>
        <w:tc>
          <w:tcPr>
            <w:tcW w:w="7375" w:type="dxa"/>
            <w:shd w:val="clear" w:color="auto" w:fill="auto"/>
            <w:hideMark/>
          </w:tcPr>
          <w:p w14:paraId="19D14751" w14:textId="77777777" w:rsidR="00E05A10" w:rsidRPr="00EF35F6" w:rsidRDefault="00E05A10" w:rsidP="0082774E">
            <w:pPr>
              <w:spacing w:after="0" w:line="240" w:lineRule="auto"/>
              <w:contextualSpacing/>
              <w:jc w:val="both"/>
              <w:rPr>
                <w:rFonts w:ascii="Arial" w:eastAsia="Times New Roman" w:hAnsi="Arial" w:cs="Arial"/>
                <w:color w:val="000000"/>
                <w:sz w:val="20"/>
                <w:lang w:eastAsia="en-GB"/>
              </w:rPr>
            </w:pPr>
            <w:r w:rsidRPr="00EF35F6">
              <w:rPr>
                <w:rFonts w:ascii="Arial" w:eastAsia="Times New Roman" w:hAnsi="Arial" w:cs="Arial"/>
                <w:color w:val="000000"/>
                <w:sz w:val="20"/>
                <w:lang w:eastAsia="en-GB"/>
              </w:rPr>
              <w:t>Frequent checks were made (e.g. weekly supervision of each session using a detailed rating form).</w:t>
            </w:r>
          </w:p>
          <w:p w14:paraId="0CA9BB75" w14:textId="77777777" w:rsidR="00E05A10" w:rsidRPr="00EF35F6" w:rsidRDefault="00E05A10" w:rsidP="0082774E">
            <w:pPr>
              <w:spacing w:after="0" w:line="240" w:lineRule="auto"/>
              <w:contextualSpacing/>
              <w:jc w:val="both"/>
              <w:rPr>
                <w:rFonts w:ascii="Arial" w:eastAsia="Times New Roman" w:hAnsi="Arial" w:cs="Arial"/>
                <w:color w:val="000000"/>
                <w:sz w:val="20"/>
                <w:lang w:eastAsia="en-GB"/>
              </w:rPr>
            </w:pPr>
          </w:p>
        </w:tc>
      </w:tr>
      <w:tr w:rsidR="00E05A10" w:rsidRPr="00352BF1" w14:paraId="4605B241" w14:textId="77777777" w:rsidTr="0082774E">
        <w:trPr>
          <w:trHeight w:val="454"/>
        </w:trPr>
        <w:tc>
          <w:tcPr>
            <w:tcW w:w="9531" w:type="dxa"/>
            <w:gridSpan w:val="3"/>
            <w:shd w:val="clear" w:color="auto" w:fill="auto"/>
          </w:tcPr>
          <w:p w14:paraId="35B042F6" w14:textId="77777777" w:rsidR="00E05A10" w:rsidRPr="00EF35F6" w:rsidRDefault="00E05A10" w:rsidP="0082774E">
            <w:pPr>
              <w:spacing w:after="0" w:line="240" w:lineRule="auto"/>
              <w:contextualSpacing/>
              <w:jc w:val="both"/>
              <w:rPr>
                <w:rFonts w:ascii="Arial" w:eastAsia="Times New Roman" w:hAnsi="Arial" w:cs="Arial"/>
                <w:color w:val="000000"/>
                <w:sz w:val="20"/>
                <w:lang w:eastAsia="en-GB"/>
              </w:rPr>
            </w:pPr>
            <w:r w:rsidRPr="00EF35F6">
              <w:rPr>
                <w:rFonts w:ascii="Arial" w:eastAsia="Times New Roman" w:hAnsi="Arial" w:cs="Arial"/>
                <w:color w:val="000000"/>
                <w:sz w:val="20"/>
                <w:lang w:eastAsia="en-GB"/>
              </w:rPr>
              <w:t xml:space="preserve">If </w:t>
            </w:r>
            <w:r>
              <w:rPr>
                <w:rFonts w:ascii="Arial" w:eastAsia="Times New Roman" w:hAnsi="Arial" w:cs="Arial"/>
                <w:color w:val="000000"/>
                <w:sz w:val="20"/>
                <w:lang w:eastAsia="en-GB"/>
              </w:rPr>
              <w:t>insufficient</w:t>
            </w:r>
            <w:r w:rsidRPr="00EF35F6">
              <w:rPr>
                <w:rFonts w:ascii="Arial" w:eastAsia="Times New Roman" w:hAnsi="Arial" w:cs="Arial"/>
                <w:color w:val="000000"/>
                <w:sz w:val="20"/>
                <w:lang w:eastAsia="en-GB"/>
              </w:rPr>
              <w:t xml:space="preserve"> information is given regarding a specific item a rating of 0 is given.</w:t>
            </w:r>
          </w:p>
        </w:tc>
      </w:tr>
    </w:tbl>
    <w:p w14:paraId="63944E1D" w14:textId="77777777" w:rsidR="00E05A10" w:rsidRDefault="00E05A10" w:rsidP="00E05A10">
      <w:pPr>
        <w:spacing w:line="240" w:lineRule="auto"/>
        <w:contextualSpacing/>
        <w:jc w:val="both"/>
        <w:rPr>
          <w:rFonts w:ascii="Arial" w:hAnsi="Arial" w:cs="Arial"/>
        </w:rPr>
      </w:pPr>
    </w:p>
    <w:p w14:paraId="4B859AF5" w14:textId="77777777" w:rsidR="00E05A10" w:rsidRDefault="00E05A10" w:rsidP="00E05A10">
      <w:pPr>
        <w:spacing w:after="0" w:line="240" w:lineRule="auto"/>
        <w:contextualSpacing/>
        <w:jc w:val="both"/>
        <w:rPr>
          <w:rFonts w:ascii="Arial" w:hAnsi="Arial" w:cs="Arial"/>
        </w:rPr>
      </w:pPr>
      <w:r w:rsidRPr="00164C03">
        <w:rPr>
          <w:rFonts w:ascii="Arial" w:hAnsi="Arial" w:cs="Arial"/>
          <w:i/>
        </w:rPr>
        <w:t>Notes:</w:t>
      </w:r>
      <w:r>
        <w:rPr>
          <w:rFonts w:ascii="Arial" w:hAnsi="Arial" w:cs="Arial"/>
        </w:rPr>
        <w:t xml:space="preserve"> Some trials tested interventions delivered online (e.g., CBT) or which otherwise involved some automation (e.g., biofeedback using a computer </w:t>
      </w:r>
      <w:proofErr w:type="spellStart"/>
      <w:r>
        <w:rPr>
          <w:rFonts w:ascii="Arial" w:hAnsi="Arial" w:cs="Arial"/>
        </w:rPr>
        <w:t>programme</w:t>
      </w:r>
      <w:proofErr w:type="spellEnd"/>
      <w:r>
        <w:rPr>
          <w:rFonts w:ascii="Arial" w:hAnsi="Arial" w:cs="Arial"/>
        </w:rPr>
        <w:t xml:space="preserve">). Evaluating implementation fidelity in such instances can be different to that required for more traditional psychological interventions (e.g., face-to-face therapy). </w:t>
      </w:r>
    </w:p>
    <w:p w14:paraId="5F967C79" w14:textId="77777777" w:rsidR="00E05A10" w:rsidRDefault="00E05A10" w:rsidP="00E05A10">
      <w:pPr>
        <w:spacing w:after="0" w:line="240" w:lineRule="auto"/>
        <w:ind w:firstLine="720"/>
        <w:contextualSpacing/>
        <w:jc w:val="both"/>
        <w:rPr>
          <w:rFonts w:ascii="Arial" w:hAnsi="Arial" w:cs="Arial"/>
        </w:rPr>
      </w:pPr>
      <w:r>
        <w:rPr>
          <w:rFonts w:ascii="Arial" w:hAnsi="Arial" w:cs="Arial"/>
        </w:rPr>
        <w:t>Automation means there is likely less opportunity</w:t>
      </w:r>
      <w:r w:rsidRPr="00526BFF">
        <w:rPr>
          <w:rFonts w:ascii="Arial" w:hAnsi="Arial" w:cs="Arial"/>
        </w:rPr>
        <w:t xml:space="preserve"> </w:t>
      </w:r>
      <w:r>
        <w:rPr>
          <w:rFonts w:ascii="Arial" w:hAnsi="Arial" w:cs="Arial"/>
        </w:rPr>
        <w:t xml:space="preserve">for deviations from the intended treatment. It does not though rule out the necessity to still to monitor for adherence and report the findings. For instance, in the case of an online intervention that is meant to deliver </w:t>
      </w:r>
      <w:r w:rsidRPr="00C739F8">
        <w:rPr>
          <w:rFonts w:ascii="Arial" w:hAnsi="Arial" w:cs="Arial"/>
        </w:rPr>
        <w:t>content individualized to users’ preferences and needs</w:t>
      </w:r>
      <w:r>
        <w:rPr>
          <w:rFonts w:ascii="Arial" w:hAnsi="Arial" w:cs="Arial"/>
        </w:rPr>
        <w:t xml:space="preserve">, did the rule-based artificial intelligence </w:t>
      </w:r>
      <w:proofErr w:type="spellStart"/>
      <w:r>
        <w:rPr>
          <w:rFonts w:ascii="Arial" w:hAnsi="Arial" w:cs="Arial"/>
        </w:rPr>
        <w:t>programmes</w:t>
      </w:r>
      <w:proofErr w:type="spellEnd"/>
      <w:r>
        <w:rPr>
          <w:rFonts w:ascii="Arial" w:hAnsi="Arial" w:cs="Arial"/>
        </w:rPr>
        <w:t xml:space="preserve"> always work correctly and deliver the right information at the right time? What qualitative assurance checks were made? Accordingly, item 19 from the CONSORT statement for e-health interventions</w:t>
      </w:r>
      <w:r>
        <w:t xml:space="preserve"> </w:t>
      </w:r>
      <w:r>
        <w:rPr>
          <w:rFonts w:ascii="Arial" w:hAnsi="Arial" w:cs="Arial"/>
        </w:rPr>
        <w:t>refers to the need to note any technical problems</w:t>
      </w:r>
      <w:r w:rsidRPr="009A631B">
        <w:rPr>
          <w:rFonts w:ascii="Arial" w:hAnsi="Arial" w:cs="Arial"/>
        </w:rPr>
        <w:t xml:space="preserve">, and other unexpected/unintended incidents </w:t>
      </w:r>
      <w:r>
        <w:rPr>
          <w:rFonts w:ascii="Arial" w:hAnsi="Arial" w:cs="Arial"/>
        </w:rPr>
        <w:t>that were experienced (</w:t>
      </w:r>
      <w:r w:rsidRPr="00091302">
        <w:rPr>
          <w:rFonts w:ascii="Arial" w:hAnsi="Arial" w:cs="Arial"/>
        </w:rPr>
        <w:t>https://asset.jmir.pub/assets/public/CONSORT-EHEALTH-v1-6.pdf</w:t>
      </w:r>
      <w:r>
        <w:rPr>
          <w:rFonts w:ascii="Arial" w:hAnsi="Arial" w:cs="Arial"/>
        </w:rPr>
        <w:t xml:space="preserve">). </w:t>
      </w:r>
    </w:p>
    <w:p w14:paraId="2B321523" w14:textId="77777777" w:rsidR="00E05A10" w:rsidRDefault="00E05A10" w:rsidP="00E05A10">
      <w:pPr>
        <w:shd w:val="clear" w:color="auto" w:fill="FFFFFF"/>
        <w:spacing w:line="240" w:lineRule="auto"/>
        <w:ind w:firstLine="720"/>
        <w:contextualSpacing/>
        <w:jc w:val="both"/>
        <w:rPr>
          <w:rFonts w:ascii="Arial" w:hAnsi="Arial" w:cs="Arial"/>
        </w:rPr>
      </w:pPr>
      <w:r>
        <w:rPr>
          <w:rFonts w:ascii="Arial" w:hAnsi="Arial" w:cs="Arial"/>
        </w:rPr>
        <w:t xml:space="preserve">The concept of competence may not though always be applicable to automated interventions. For instance, if the intervention is fully automated and checks with regards adherence have been completed, then there is no obvious need to assess and report on competence. It would though be relevant if intervention still depended in part on a therapist. For example, an intervention may be delivered online but still require a therapist to read and respond to comments posted on a virtual message board by the patient. It such instances it would be important to assess and report how competently the therapist was doing this. </w:t>
      </w:r>
    </w:p>
    <w:p w14:paraId="3B6197C3" w14:textId="77777777" w:rsidR="00E05A10" w:rsidRDefault="00E05A10" w:rsidP="00E05A10">
      <w:pPr>
        <w:shd w:val="clear" w:color="auto" w:fill="FFFFFF"/>
        <w:spacing w:line="480" w:lineRule="auto"/>
        <w:ind w:firstLine="720"/>
        <w:contextualSpacing/>
        <w:jc w:val="both"/>
        <w:rPr>
          <w:rFonts w:ascii="Arial" w:hAnsi="Arial" w:cs="Arial"/>
        </w:rPr>
      </w:pPr>
    </w:p>
    <w:p w14:paraId="2A07E896" w14:textId="77777777" w:rsidR="00E05A10" w:rsidRDefault="00E05A10" w:rsidP="00E05A10">
      <w:pPr>
        <w:rPr>
          <w:b/>
        </w:rPr>
        <w:sectPr w:rsidR="00E05A10" w:rsidSect="00F309FF">
          <w:pgSz w:w="11906" w:h="16838"/>
          <w:pgMar w:top="1440" w:right="1440" w:bottom="1440" w:left="1440" w:header="708" w:footer="708" w:gutter="0"/>
          <w:cols w:space="708"/>
          <w:docGrid w:linePitch="360"/>
        </w:sectPr>
      </w:pPr>
    </w:p>
    <w:p w14:paraId="0C7286AE" w14:textId="77777777" w:rsidR="00E05A10" w:rsidRPr="009020CD" w:rsidRDefault="00E05A10" w:rsidP="00E05A10">
      <w:pPr>
        <w:pStyle w:val="EndNoteBibliography"/>
        <w:spacing w:line="240" w:lineRule="auto"/>
        <w:ind w:left="720" w:hanging="720"/>
        <w:contextualSpacing/>
        <w:rPr>
          <w:b/>
        </w:rPr>
      </w:pPr>
      <w:r w:rsidRPr="009020CD">
        <w:rPr>
          <w:b/>
        </w:rPr>
        <w:lastRenderedPageBreak/>
        <w:t xml:space="preserve">SUPPLEMENTARY FILE </w:t>
      </w:r>
      <w:r>
        <w:rPr>
          <w:b/>
        </w:rPr>
        <w:t>2</w:t>
      </w:r>
    </w:p>
    <w:p w14:paraId="20A57FEE" w14:textId="77777777" w:rsidR="00E05A10" w:rsidRPr="00E76F30" w:rsidRDefault="00E05A10" w:rsidP="00E05A10">
      <w:pPr>
        <w:spacing w:line="240" w:lineRule="auto"/>
        <w:contextualSpacing/>
        <w:jc w:val="both"/>
        <w:rPr>
          <w:rFonts w:ascii="Arial" w:hAnsi="Arial" w:cs="Arial"/>
          <w:b/>
        </w:rPr>
      </w:pPr>
      <w:r w:rsidRPr="00E76F30">
        <w:rPr>
          <w:rFonts w:ascii="Arial" w:hAnsi="Arial" w:cs="Arial"/>
          <w:b/>
        </w:rPr>
        <w:t xml:space="preserve">Mean score for items within each domain and proportion identified as “strong barriers” </w:t>
      </w:r>
    </w:p>
    <w:p w14:paraId="08298237" w14:textId="77777777" w:rsidR="00E05A10" w:rsidRPr="00352BF1" w:rsidRDefault="00E05A10" w:rsidP="00E05A10">
      <w:pPr>
        <w:spacing w:line="240" w:lineRule="auto"/>
        <w:contextualSpacing/>
        <w:jc w:val="both"/>
        <w:rPr>
          <w:rFonts w:ascii="Arial" w:hAnsi="Arial" w:cs="Arial"/>
        </w:rPr>
      </w:pPr>
    </w:p>
    <w:tbl>
      <w:tblPr>
        <w:tblStyle w:val="TableGrid"/>
        <w:tblW w:w="15446" w:type="dxa"/>
        <w:jc w:val="center"/>
        <w:tblLayout w:type="fixed"/>
        <w:tblLook w:val="04A0" w:firstRow="1" w:lastRow="0" w:firstColumn="1" w:lastColumn="0" w:noHBand="0" w:noVBand="1"/>
      </w:tblPr>
      <w:tblGrid>
        <w:gridCol w:w="2588"/>
        <w:gridCol w:w="2692"/>
        <w:gridCol w:w="2645"/>
        <w:gridCol w:w="2788"/>
        <w:gridCol w:w="2431"/>
        <w:gridCol w:w="2302"/>
      </w:tblGrid>
      <w:tr w:rsidR="00E05A10" w:rsidRPr="009020CD" w14:paraId="299993BD" w14:textId="77777777" w:rsidTr="0082774E">
        <w:trPr>
          <w:jc w:val="center"/>
        </w:trPr>
        <w:tc>
          <w:tcPr>
            <w:tcW w:w="2588" w:type="dxa"/>
          </w:tcPr>
          <w:p w14:paraId="3B7526A9" w14:textId="77777777" w:rsidR="00E05A10" w:rsidRPr="009020CD" w:rsidRDefault="00E05A10" w:rsidP="0082774E">
            <w:pPr>
              <w:autoSpaceDE w:val="0"/>
              <w:autoSpaceDN w:val="0"/>
              <w:adjustRightInd w:val="0"/>
              <w:contextualSpacing/>
              <w:jc w:val="both"/>
              <w:rPr>
                <w:rFonts w:ascii="Arial" w:hAnsi="Arial" w:cs="Arial"/>
                <w:sz w:val="20"/>
                <w:szCs w:val="20"/>
              </w:rPr>
            </w:pPr>
          </w:p>
        </w:tc>
        <w:tc>
          <w:tcPr>
            <w:tcW w:w="12858" w:type="dxa"/>
            <w:gridSpan w:val="5"/>
          </w:tcPr>
          <w:p w14:paraId="18590175" w14:textId="77777777" w:rsidR="00E05A10" w:rsidRPr="009020CD" w:rsidRDefault="00E05A10" w:rsidP="0082774E">
            <w:pPr>
              <w:autoSpaceDE w:val="0"/>
              <w:autoSpaceDN w:val="0"/>
              <w:adjustRightInd w:val="0"/>
              <w:contextualSpacing/>
              <w:jc w:val="center"/>
              <w:rPr>
                <w:rFonts w:ascii="Arial" w:hAnsi="Arial" w:cs="Arial"/>
                <w:b/>
                <w:sz w:val="20"/>
                <w:szCs w:val="20"/>
              </w:rPr>
            </w:pPr>
            <w:r>
              <w:rPr>
                <w:rFonts w:ascii="Arial" w:hAnsi="Arial" w:cs="Arial"/>
                <w:b/>
                <w:sz w:val="20"/>
                <w:szCs w:val="20"/>
              </w:rPr>
              <w:t>Domain</w:t>
            </w:r>
          </w:p>
        </w:tc>
      </w:tr>
      <w:tr w:rsidR="00E05A10" w:rsidRPr="009020CD" w14:paraId="54AC3EE3" w14:textId="77777777" w:rsidTr="0082774E">
        <w:trPr>
          <w:jc w:val="center"/>
        </w:trPr>
        <w:tc>
          <w:tcPr>
            <w:tcW w:w="2588" w:type="dxa"/>
          </w:tcPr>
          <w:p w14:paraId="03C56FEA" w14:textId="77777777" w:rsidR="00E05A10" w:rsidRPr="009020CD" w:rsidRDefault="00E05A10" w:rsidP="0082774E">
            <w:pPr>
              <w:autoSpaceDE w:val="0"/>
              <w:autoSpaceDN w:val="0"/>
              <w:adjustRightInd w:val="0"/>
              <w:contextualSpacing/>
              <w:jc w:val="both"/>
              <w:rPr>
                <w:rFonts w:ascii="Arial" w:hAnsi="Arial" w:cs="Arial"/>
                <w:sz w:val="20"/>
                <w:szCs w:val="20"/>
              </w:rPr>
            </w:pPr>
            <w:bookmarkStart w:id="0" w:name="_Hlk453631"/>
          </w:p>
        </w:tc>
        <w:tc>
          <w:tcPr>
            <w:tcW w:w="2692" w:type="dxa"/>
          </w:tcPr>
          <w:p w14:paraId="4863049A" w14:textId="77777777" w:rsidR="00E05A10" w:rsidRPr="009020CD" w:rsidRDefault="00E05A10" w:rsidP="0082774E">
            <w:pPr>
              <w:autoSpaceDE w:val="0"/>
              <w:autoSpaceDN w:val="0"/>
              <w:adjustRightInd w:val="0"/>
              <w:contextualSpacing/>
              <w:jc w:val="center"/>
              <w:rPr>
                <w:rFonts w:ascii="Arial" w:hAnsi="Arial" w:cs="Arial"/>
                <w:b/>
                <w:sz w:val="20"/>
                <w:szCs w:val="20"/>
              </w:rPr>
            </w:pPr>
            <w:r w:rsidRPr="009020CD">
              <w:rPr>
                <w:rFonts w:ascii="Arial" w:hAnsi="Arial" w:cs="Arial"/>
                <w:b/>
                <w:sz w:val="20"/>
                <w:szCs w:val="20"/>
              </w:rPr>
              <w:t xml:space="preserve">A </w:t>
            </w:r>
          </w:p>
          <w:p w14:paraId="729BDE79" w14:textId="77777777" w:rsidR="001614B1" w:rsidRDefault="00E05A10" w:rsidP="0082774E">
            <w:pPr>
              <w:autoSpaceDE w:val="0"/>
              <w:autoSpaceDN w:val="0"/>
              <w:adjustRightInd w:val="0"/>
              <w:contextualSpacing/>
              <w:jc w:val="center"/>
              <w:rPr>
                <w:rFonts w:ascii="Arial" w:hAnsi="Arial" w:cs="Arial"/>
                <w:sz w:val="20"/>
                <w:szCs w:val="20"/>
              </w:rPr>
            </w:pPr>
            <w:r w:rsidRPr="009020CD">
              <w:rPr>
                <w:rFonts w:ascii="Arial" w:hAnsi="Arial" w:cs="Arial"/>
                <w:sz w:val="20"/>
                <w:szCs w:val="20"/>
              </w:rPr>
              <w:t>Lack of appreciation</w:t>
            </w:r>
            <w:r>
              <w:rPr>
                <w:rFonts w:ascii="Arial" w:hAnsi="Arial" w:cs="Arial"/>
                <w:sz w:val="20"/>
                <w:szCs w:val="20"/>
              </w:rPr>
              <w:t xml:space="preserve"> </w:t>
            </w:r>
            <w:r w:rsidRPr="009020CD">
              <w:rPr>
                <w:rFonts w:ascii="Arial" w:hAnsi="Arial" w:cs="Arial"/>
                <w:sz w:val="20"/>
                <w:szCs w:val="20"/>
              </w:rPr>
              <w:t>of treatment integrity</w:t>
            </w:r>
          </w:p>
          <w:p w14:paraId="19B46250" w14:textId="3C8FC596" w:rsidR="00E05A10" w:rsidRPr="009020CD" w:rsidRDefault="001614B1" w:rsidP="0082774E">
            <w:pPr>
              <w:autoSpaceDE w:val="0"/>
              <w:autoSpaceDN w:val="0"/>
              <w:adjustRightInd w:val="0"/>
              <w:contextualSpacing/>
              <w:jc w:val="center"/>
              <w:rPr>
                <w:rFonts w:ascii="Arial" w:hAnsi="Arial" w:cs="Arial"/>
                <w:sz w:val="20"/>
                <w:szCs w:val="20"/>
              </w:rPr>
            </w:pPr>
            <w:r>
              <w:rPr>
                <w:rFonts w:ascii="Arial" w:hAnsi="Arial" w:cs="Arial"/>
                <w:sz w:val="20"/>
                <w:szCs w:val="20"/>
              </w:rPr>
              <w:t xml:space="preserve"> (items within scale 4)</w:t>
            </w:r>
          </w:p>
        </w:tc>
        <w:tc>
          <w:tcPr>
            <w:tcW w:w="2645" w:type="dxa"/>
          </w:tcPr>
          <w:p w14:paraId="382C4CC9" w14:textId="77777777" w:rsidR="00E05A10" w:rsidRPr="009020CD" w:rsidRDefault="00E05A10" w:rsidP="0082774E">
            <w:pPr>
              <w:autoSpaceDE w:val="0"/>
              <w:autoSpaceDN w:val="0"/>
              <w:adjustRightInd w:val="0"/>
              <w:contextualSpacing/>
              <w:jc w:val="center"/>
              <w:rPr>
                <w:rFonts w:ascii="Arial" w:hAnsi="Arial" w:cs="Arial"/>
                <w:b/>
                <w:sz w:val="20"/>
                <w:szCs w:val="20"/>
              </w:rPr>
            </w:pPr>
            <w:r w:rsidRPr="009020CD">
              <w:rPr>
                <w:rFonts w:ascii="Arial" w:hAnsi="Arial" w:cs="Arial"/>
                <w:b/>
                <w:sz w:val="20"/>
                <w:szCs w:val="20"/>
              </w:rPr>
              <w:t>B</w:t>
            </w:r>
          </w:p>
          <w:p w14:paraId="168A9DED" w14:textId="67A3C01B" w:rsidR="00E05A10" w:rsidRPr="009020CD" w:rsidRDefault="00E05A10" w:rsidP="0082774E">
            <w:pPr>
              <w:autoSpaceDE w:val="0"/>
              <w:autoSpaceDN w:val="0"/>
              <w:adjustRightInd w:val="0"/>
              <w:contextualSpacing/>
              <w:jc w:val="center"/>
              <w:rPr>
                <w:rFonts w:ascii="Arial" w:hAnsi="Arial" w:cs="Arial"/>
                <w:sz w:val="20"/>
                <w:szCs w:val="20"/>
              </w:rPr>
            </w:pPr>
            <w:r w:rsidRPr="009020CD">
              <w:rPr>
                <w:rFonts w:ascii="Arial" w:hAnsi="Arial" w:cs="Arial"/>
                <w:sz w:val="20"/>
                <w:szCs w:val="20"/>
              </w:rPr>
              <w:t>Lack of general</w:t>
            </w:r>
            <w:r>
              <w:rPr>
                <w:rFonts w:ascii="Arial" w:hAnsi="Arial" w:cs="Arial"/>
                <w:sz w:val="20"/>
                <w:szCs w:val="20"/>
              </w:rPr>
              <w:t xml:space="preserve"> </w:t>
            </w:r>
            <w:r w:rsidRPr="009020CD">
              <w:rPr>
                <w:rFonts w:ascii="Arial" w:hAnsi="Arial" w:cs="Arial"/>
                <w:sz w:val="20"/>
                <w:szCs w:val="20"/>
              </w:rPr>
              <w:t>knowledge about</w:t>
            </w:r>
            <w:r>
              <w:rPr>
                <w:rFonts w:ascii="Arial" w:hAnsi="Arial" w:cs="Arial"/>
                <w:sz w:val="20"/>
                <w:szCs w:val="20"/>
              </w:rPr>
              <w:t xml:space="preserve"> </w:t>
            </w:r>
            <w:r w:rsidRPr="009020CD">
              <w:rPr>
                <w:rFonts w:ascii="Arial" w:hAnsi="Arial" w:cs="Arial"/>
                <w:sz w:val="20"/>
                <w:szCs w:val="20"/>
              </w:rPr>
              <w:t>treatment integrity</w:t>
            </w:r>
            <w:r w:rsidR="001614B1">
              <w:rPr>
                <w:rFonts w:ascii="Arial" w:hAnsi="Arial" w:cs="Arial"/>
                <w:sz w:val="20"/>
                <w:szCs w:val="20"/>
              </w:rPr>
              <w:t xml:space="preserve"> (items within scale 8)</w:t>
            </w:r>
          </w:p>
        </w:tc>
        <w:tc>
          <w:tcPr>
            <w:tcW w:w="2788" w:type="dxa"/>
          </w:tcPr>
          <w:p w14:paraId="5ED95DF2" w14:textId="77777777" w:rsidR="00E05A10" w:rsidRPr="009020CD" w:rsidRDefault="00E05A10" w:rsidP="0082774E">
            <w:pPr>
              <w:autoSpaceDE w:val="0"/>
              <w:autoSpaceDN w:val="0"/>
              <w:adjustRightInd w:val="0"/>
              <w:contextualSpacing/>
              <w:jc w:val="center"/>
              <w:rPr>
                <w:rFonts w:ascii="Arial" w:hAnsi="Arial" w:cs="Arial"/>
                <w:b/>
                <w:sz w:val="20"/>
                <w:szCs w:val="20"/>
              </w:rPr>
            </w:pPr>
            <w:r w:rsidRPr="009020CD">
              <w:rPr>
                <w:rFonts w:ascii="Arial" w:hAnsi="Arial" w:cs="Arial"/>
                <w:b/>
                <w:sz w:val="20"/>
                <w:szCs w:val="20"/>
              </w:rPr>
              <w:t>C</w:t>
            </w:r>
          </w:p>
          <w:p w14:paraId="1F0C7922" w14:textId="77777777" w:rsidR="001614B1" w:rsidRDefault="00E05A10" w:rsidP="0082774E">
            <w:pPr>
              <w:autoSpaceDE w:val="0"/>
              <w:autoSpaceDN w:val="0"/>
              <w:adjustRightInd w:val="0"/>
              <w:contextualSpacing/>
              <w:jc w:val="center"/>
              <w:rPr>
                <w:rFonts w:ascii="Arial" w:hAnsi="Arial" w:cs="Arial"/>
                <w:sz w:val="20"/>
                <w:szCs w:val="20"/>
              </w:rPr>
            </w:pPr>
            <w:r w:rsidRPr="009020CD">
              <w:rPr>
                <w:rFonts w:ascii="Arial" w:hAnsi="Arial" w:cs="Arial"/>
                <w:sz w:val="20"/>
                <w:szCs w:val="20"/>
              </w:rPr>
              <w:t>Lack of theory and specific</w:t>
            </w:r>
            <w:r>
              <w:rPr>
                <w:rFonts w:ascii="Arial" w:hAnsi="Arial" w:cs="Arial"/>
                <w:sz w:val="20"/>
                <w:szCs w:val="20"/>
              </w:rPr>
              <w:t xml:space="preserve"> </w:t>
            </w:r>
            <w:r w:rsidRPr="009020CD">
              <w:rPr>
                <w:rFonts w:ascii="Arial" w:hAnsi="Arial" w:cs="Arial"/>
                <w:sz w:val="20"/>
                <w:szCs w:val="20"/>
              </w:rPr>
              <w:t>guidelines on treatment</w:t>
            </w:r>
            <w:r>
              <w:rPr>
                <w:rFonts w:ascii="Arial" w:hAnsi="Arial" w:cs="Arial"/>
                <w:sz w:val="20"/>
                <w:szCs w:val="20"/>
              </w:rPr>
              <w:t xml:space="preserve"> </w:t>
            </w:r>
            <w:r w:rsidRPr="009020CD">
              <w:rPr>
                <w:rFonts w:ascii="Arial" w:hAnsi="Arial" w:cs="Arial"/>
                <w:sz w:val="20"/>
                <w:szCs w:val="20"/>
              </w:rPr>
              <w:t>integrity procedures</w:t>
            </w:r>
            <w:r w:rsidR="001614B1">
              <w:rPr>
                <w:rFonts w:ascii="Arial" w:hAnsi="Arial" w:cs="Arial"/>
                <w:sz w:val="20"/>
                <w:szCs w:val="20"/>
              </w:rPr>
              <w:t xml:space="preserve"> </w:t>
            </w:r>
          </w:p>
          <w:p w14:paraId="53F5E661" w14:textId="2FF32CDA" w:rsidR="00E05A10" w:rsidRDefault="001614B1" w:rsidP="0082774E">
            <w:pPr>
              <w:autoSpaceDE w:val="0"/>
              <w:autoSpaceDN w:val="0"/>
              <w:adjustRightInd w:val="0"/>
              <w:contextualSpacing/>
              <w:jc w:val="center"/>
              <w:rPr>
                <w:rFonts w:ascii="Arial" w:hAnsi="Arial" w:cs="Arial"/>
                <w:sz w:val="20"/>
                <w:szCs w:val="20"/>
              </w:rPr>
            </w:pPr>
            <w:r>
              <w:rPr>
                <w:rFonts w:ascii="Arial" w:hAnsi="Arial" w:cs="Arial"/>
                <w:sz w:val="20"/>
                <w:szCs w:val="20"/>
              </w:rPr>
              <w:t>(items within scale 7)</w:t>
            </w:r>
          </w:p>
          <w:p w14:paraId="1B93EC6F" w14:textId="77777777" w:rsidR="00E05A10" w:rsidRPr="009020CD" w:rsidRDefault="00E05A10" w:rsidP="0082774E">
            <w:pPr>
              <w:autoSpaceDE w:val="0"/>
              <w:autoSpaceDN w:val="0"/>
              <w:adjustRightInd w:val="0"/>
              <w:contextualSpacing/>
              <w:jc w:val="center"/>
              <w:rPr>
                <w:rFonts w:ascii="Arial" w:hAnsi="Arial" w:cs="Arial"/>
                <w:sz w:val="20"/>
                <w:szCs w:val="20"/>
              </w:rPr>
            </w:pPr>
          </w:p>
        </w:tc>
        <w:tc>
          <w:tcPr>
            <w:tcW w:w="2431" w:type="dxa"/>
          </w:tcPr>
          <w:p w14:paraId="14E225F5" w14:textId="77777777" w:rsidR="00E05A10" w:rsidRPr="009020CD" w:rsidRDefault="00E05A10" w:rsidP="0082774E">
            <w:pPr>
              <w:autoSpaceDE w:val="0"/>
              <w:autoSpaceDN w:val="0"/>
              <w:adjustRightInd w:val="0"/>
              <w:contextualSpacing/>
              <w:jc w:val="center"/>
              <w:rPr>
                <w:rFonts w:ascii="Arial" w:hAnsi="Arial" w:cs="Arial"/>
                <w:b/>
                <w:sz w:val="20"/>
                <w:szCs w:val="20"/>
              </w:rPr>
            </w:pPr>
            <w:r w:rsidRPr="009020CD">
              <w:rPr>
                <w:rFonts w:ascii="Arial" w:hAnsi="Arial" w:cs="Arial"/>
                <w:b/>
                <w:sz w:val="20"/>
                <w:szCs w:val="20"/>
              </w:rPr>
              <w:t>D</w:t>
            </w:r>
          </w:p>
          <w:p w14:paraId="42D6F45B" w14:textId="77777777" w:rsidR="00E05A10" w:rsidRPr="009020CD" w:rsidRDefault="00E05A10" w:rsidP="0082774E">
            <w:pPr>
              <w:autoSpaceDE w:val="0"/>
              <w:autoSpaceDN w:val="0"/>
              <w:adjustRightInd w:val="0"/>
              <w:contextualSpacing/>
              <w:jc w:val="center"/>
              <w:rPr>
                <w:rFonts w:ascii="Arial" w:hAnsi="Arial" w:cs="Arial"/>
                <w:sz w:val="20"/>
                <w:szCs w:val="20"/>
              </w:rPr>
            </w:pPr>
            <w:r w:rsidRPr="009020CD">
              <w:rPr>
                <w:rFonts w:ascii="Arial" w:hAnsi="Arial" w:cs="Arial"/>
                <w:sz w:val="20"/>
                <w:szCs w:val="20"/>
              </w:rPr>
              <w:t>Time, cost, and labor</w:t>
            </w:r>
          </w:p>
          <w:p w14:paraId="03E2EAF9" w14:textId="77777777" w:rsidR="00E05A10" w:rsidRDefault="00E05A10" w:rsidP="0082774E">
            <w:pPr>
              <w:contextualSpacing/>
              <w:jc w:val="center"/>
              <w:rPr>
                <w:rFonts w:ascii="Arial" w:hAnsi="Arial" w:cs="Arial"/>
                <w:sz w:val="20"/>
                <w:szCs w:val="20"/>
              </w:rPr>
            </w:pPr>
            <w:r w:rsidRPr="009020CD">
              <w:rPr>
                <w:rFonts w:ascii="Arial" w:hAnsi="Arial" w:cs="Arial"/>
                <w:sz w:val="20"/>
                <w:szCs w:val="20"/>
              </w:rPr>
              <w:t>demands</w:t>
            </w:r>
          </w:p>
          <w:p w14:paraId="4B69246B" w14:textId="1938FE97" w:rsidR="001614B1" w:rsidRPr="009020CD" w:rsidRDefault="001614B1" w:rsidP="0082774E">
            <w:pPr>
              <w:contextualSpacing/>
              <w:jc w:val="center"/>
              <w:rPr>
                <w:rFonts w:ascii="Arial" w:hAnsi="Arial" w:cs="Arial"/>
                <w:sz w:val="20"/>
                <w:szCs w:val="20"/>
              </w:rPr>
            </w:pPr>
            <w:r>
              <w:rPr>
                <w:rFonts w:ascii="Arial" w:hAnsi="Arial" w:cs="Arial"/>
                <w:sz w:val="20"/>
                <w:szCs w:val="20"/>
              </w:rPr>
              <w:t>(items within scale 5)</w:t>
            </w:r>
          </w:p>
        </w:tc>
        <w:tc>
          <w:tcPr>
            <w:tcW w:w="2302" w:type="dxa"/>
          </w:tcPr>
          <w:p w14:paraId="1BA70327" w14:textId="77777777" w:rsidR="00E05A10" w:rsidRPr="009020CD" w:rsidRDefault="00E05A10" w:rsidP="0082774E">
            <w:pPr>
              <w:autoSpaceDE w:val="0"/>
              <w:autoSpaceDN w:val="0"/>
              <w:adjustRightInd w:val="0"/>
              <w:contextualSpacing/>
              <w:jc w:val="center"/>
              <w:rPr>
                <w:rFonts w:ascii="Arial" w:hAnsi="Arial" w:cs="Arial"/>
                <w:b/>
                <w:sz w:val="20"/>
                <w:szCs w:val="20"/>
              </w:rPr>
            </w:pPr>
            <w:r w:rsidRPr="009020CD">
              <w:rPr>
                <w:rFonts w:ascii="Arial" w:hAnsi="Arial" w:cs="Arial"/>
                <w:b/>
                <w:sz w:val="20"/>
                <w:szCs w:val="20"/>
              </w:rPr>
              <w:t>E</w:t>
            </w:r>
          </w:p>
          <w:p w14:paraId="7130A051" w14:textId="77777777" w:rsidR="00E05A10" w:rsidRPr="009020CD" w:rsidRDefault="00E05A10" w:rsidP="0082774E">
            <w:pPr>
              <w:autoSpaceDE w:val="0"/>
              <w:autoSpaceDN w:val="0"/>
              <w:adjustRightInd w:val="0"/>
              <w:contextualSpacing/>
              <w:jc w:val="center"/>
              <w:rPr>
                <w:rFonts w:ascii="Arial" w:hAnsi="Arial" w:cs="Arial"/>
                <w:sz w:val="20"/>
                <w:szCs w:val="20"/>
              </w:rPr>
            </w:pPr>
            <w:r w:rsidRPr="009020CD">
              <w:rPr>
                <w:rFonts w:ascii="Arial" w:hAnsi="Arial" w:cs="Arial"/>
                <w:sz w:val="20"/>
                <w:szCs w:val="20"/>
              </w:rPr>
              <w:t>Lack of editorial</w:t>
            </w:r>
          </w:p>
          <w:p w14:paraId="1975B780" w14:textId="77777777" w:rsidR="00E05A10" w:rsidRDefault="00E05A10" w:rsidP="0082774E">
            <w:pPr>
              <w:contextualSpacing/>
              <w:jc w:val="center"/>
              <w:rPr>
                <w:rFonts w:ascii="Arial" w:hAnsi="Arial" w:cs="Arial"/>
                <w:sz w:val="20"/>
                <w:szCs w:val="20"/>
              </w:rPr>
            </w:pPr>
            <w:r w:rsidRPr="009020CD">
              <w:rPr>
                <w:rFonts w:ascii="Arial" w:hAnsi="Arial" w:cs="Arial"/>
                <w:sz w:val="20"/>
                <w:szCs w:val="20"/>
              </w:rPr>
              <w:t>requirement</w:t>
            </w:r>
          </w:p>
          <w:p w14:paraId="7183499F" w14:textId="2A26DCD9" w:rsidR="001614B1" w:rsidRPr="009020CD" w:rsidRDefault="001614B1" w:rsidP="0082774E">
            <w:pPr>
              <w:contextualSpacing/>
              <w:jc w:val="center"/>
              <w:rPr>
                <w:rFonts w:ascii="Arial" w:hAnsi="Arial" w:cs="Arial"/>
                <w:sz w:val="20"/>
                <w:szCs w:val="20"/>
              </w:rPr>
            </w:pPr>
            <w:r>
              <w:rPr>
                <w:rFonts w:ascii="Arial" w:hAnsi="Arial" w:cs="Arial"/>
                <w:sz w:val="20"/>
                <w:szCs w:val="20"/>
              </w:rPr>
              <w:t>(items within scale 6)</w:t>
            </w:r>
          </w:p>
        </w:tc>
      </w:tr>
      <w:bookmarkEnd w:id="0"/>
      <w:tr w:rsidR="00E05A10" w:rsidRPr="009020CD" w14:paraId="619BE440" w14:textId="77777777" w:rsidTr="0082774E">
        <w:trPr>
          <w:jc w:val="center"/>
        </w:trPr>
        <w:tc>
          <w:tcPr>
            <w:tcW w:w="2588" w:type="dxa"/>
          </w:tcPr>
          <w:p w14:paraId="6EF57A7B" w14:textId="77777777" w:rsidR="00E05A10" w:rsidRPr="009020CD" w:rsidRDefault="00E05A10" w:rsidP="0082774E">
            <w:pPr>
              <w:contextualSpacing/>
              <w:jc w:val="both"/>
              <w:rPr>
                <w:rFonts w:ascii="Arial" w:hAnsi="Arial" w:cs="Arial"/>
                <w:sz w:val="20"/>
                <w:szCs w:val="20"/>
              </w:rPr>
            </w:pPr>
            <w:r w:rsidRPr="009020CD">
              <w:rPr>
                <w:rFonts w:ascii="Arial" w:hAnsi="Arial" w:cs="Arial"/>
                <w:sz w:val="20"/>
                <w:szCs w:val="20"/>
              </w:rPr>
              <w:t>Mean (SD)</w:t>
            </w:r>
          </w:p>
        </w:tc>
        <w:tc>
          <w:tcPr>
            <w:tcW w:w="2692" w:type="dxa"/>
          </w:tcPr>
          <w:p w14:paraId="5A68AFBA"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2.51 (0.45)</w:t>
            </w:r>
          </w:p>
        </w:tc>
        <w:tc>
          <w:tcPr>
            <w:tcW w:w="2645" w:type="dxa"/>
          </w:tcPr>
          <w:p w14:paraId="7D2A53E6"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3.27 (0.31)</w:t>
            </w:r>
          </w:p>
        </w:tc>
        <w:tc>
          <w:tcPr>
            <w:tcW w:w="2788" w:type="dxa"/>
          </w:tcPr>
          <w:p w14:paraId="5BE19CE2"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4.25 (0.30)</w:t>
            </w:r>
          </w:p>
        </w:tc>
        <w:tc>
          <w:tcPr>
            <w:tcW w:w="2431" w:type="dxa"/>
          </w:tcPr>
          <w:p w14:paraId="794C6D87"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4.24 (0.28)</w:t>
            </w:r>
          </w:p>
        </w:tc>
        <w:tc>
          <w:tcPr>
            <w:tcW w:w="2302" w:type="dxa"/>
          </w:tcPr>
          <w:p w14:paraId="0412D5AC"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3.93 (0.30)</w:t>
            </w:r>
          </w:p>
        </w:tc>
      </w:tr>
      <w:tr w:rsidR="00E05A10" w:rsidRPr="009020CD" w14:paraId="30E2D00D" w14:textId="77777777" w:rsidTr="0082774E">
        <w:trPr>
          <w:jc w:val="center"/>
        </w:trPr>
        <w:tc>
          <w:tcPr>
            <w:tcW w:w="2588" w:type="dxa"/>
          </w:tcPr>
          <w:p w14:paraId="34905101" w14:textId="77777777" w:rsidR="00E05A10" w:rsidRPr="009020CD" w:rsidRDefault="00E05A10" w:rsidP="0082774E">
            <w:pPr>
              <w:contextualSpacing/>
              <w:jc w:val="both"/>
              <w:rPr>
                <w:rFonts w:ascii="Arial" w:hAnsi="Arial" w:cs="Arial"/>
                <w:sz w:val="20"/>
                <w:szCs w:val="20"/>
              </w:rPr>
            </w:pPr>
            <w:r>
              <w:rPr>
                <w:rFonts w:ascii="Arial" w:hAnsi="Arial" w:cs="Arial"/>
                <w:sz w:val="20"/>
                <w:szCs w:val="20"/>
              </w:rPr>
              <w:t xml:space="preserve">     % “</w:t>
            </w:r>
            <w:r w:rsidRPr="009020CD">
              <w:rPr>
                <w:rFonts w:ascii="Arial" w:hAnsi="Arial" w:cs="Arial"/>
                <w:sz w:val="20"/>
                <w:szCs w:val="20"/>
              </w:rPr>
              <w:t>Strong barrier</w:t>
            </w:r>
            <w:r>
              <w:rPr>
                <w:rFonts w:ascii="Arial" w:hAnsi="Arial" w:cs="Arial"/>
                <w:sz w:val="20"/>
                <w:szCs w:val="20"/>
              </w:rPr>
              <w:t>”</w:t>
            </w:r>
            <w:r w:rsidRPr="009020CD">
              <w:rPr>
                <w:rFonts w:ascii="Arial" w:hAnsi="Arial" w:cs="Arial"/>
                <w:sz w:val="20"/>
                <w:szCs w:val="20"/>
              </w:rPr>
              <w:t xml:space="preserve"> </w:t>
            </w:r>
          </w:p>
        </w:tc>
        <w:tc>
          <w:tcPr>
            <w:tcW w:w="2692" w:type="dxa"/>
          </w:tcPr>
          <w:p w14:paraId="1F806078"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0</w:t>
            </w:r>
          </w:p>
        </w:tc>
        <w:tc>
          <w:tcPr>
            <w:tcW w:w="2645" w:type="dxa"/>
          </w:tcPr>
          <w:p w14:paraId="1B018B8D"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0</w:t>
            </w:r>
          </w:p>
        </w:tc>
        <w:tc>
          <w:tcPr>
            <w:tcW w:w="2788" w:type="dxa"/>
          </w:tcPr>
          <w:p w14:paraId="25535D4B"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6 (85.7</w:t>
            </w:r>
            <w:r>
              <w:rPr>
                <w:rFonts w:ascii="Arial" w:hAnsi="Arial" w:cs="Arial"/>
                <w:sz w:val="20"/>
                <w:szCs w:val="20"/>
              </w:rPr>
              <w:t>%</w:t>
            </w:r>
            <w:r w:rsidRPr="009020CD">
              <w:rPr>
                <w:rFonts w:ascii="Arial" w:hAnsi="Arial" w:cs="Arial"/>
                <w:sz w:val="20"/>
                <w:szCs w:val="20"/>
              </w:rPr>
              <w:t>)</w:t>
            </w:r>
          </w:p>
        </w:tc>
        <w:tc>
          <w:tcPr>
            <w:tcW w:w="2431" w:type="dxa"/>
          </w:tcPr>
          <w:p w14:paraId="0A2EBB26"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3 (60.0)</w:t>
            </w:r>
          </w:p>
        </w:tc>
        <w:tc>
          <w:tcPr>
            <w:tcW w:w="2302" w:type="dxa"/>
          </w:tcPr>
          <w:p w14:paraId="3DCE5D6C"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2 (33.4)</w:t>
            </w:r>
          </w:p>
        </w:tc>
      </w:tr>
      <w:tr w:rsidR="00E05A10" w:rsidRPr="009020CD" w14:paraId="0538090B" w14:textId="77777777" w:rsidTr="0082774E">
        <w:trPr>
          <w:jc w:val="center"/>
        </w:trPr>
        <w:tc>
          <w:tcPr>
            <w:tcW w:w="2588" w:type="dxa"/>
          </w:tcPr>
          <w:p w14:paraId="08545812" w14:textId="77777777" w:rsidR="00E05A10" w:rsidRPr="009020CD" w:rsidRDefault="00E05A10" w:rsidP="0082774E">
            <w:pPr>
              <w:contextualSpacing/>
              <w:jc w:val="both"/>
              <w:rPr>
                <w:rFonts w:ascii="Arial" w:hAnsi="Arial" w:cs="Arial"/>
                <w:sz w:val="20"/>
                <w:szCs w:val="20"/>
              </w:rPr>
            </w:pPr>
            <w:r>
              <w:rPr>
                <w:rFonts w:ascii="Arial" w:hAnsi="Arial" w:cs="Arial"/>
                <w:sz w:val="20"/>
                <w:szCs w:val="20"/>
              </w:rPr>
              <w:t xml:space="preserve">     % “</w:t>
            </w:r>
            <w:r w:rsidRPr="009020CD">
              <w:rPr>
                <w:rFonts w:ascii="Arial" w:hAnsi="Arial" w:cs="Arial"/>
                <w:sz w:val="20"/>
                <w:szCs w:val="20"/>
              </w:rPr>
              <w:t>Barrier</w:t>
            </w:r>
            <w:r>
              <w:rPr>
                <w:rFonts w:ascii="Arial" w:hAnsi="Arial" w:cs="Arial"/>
                <w:sz w:val="20"/>
                <w:szCs w:val="20"/>
              </w:rPr>
              <w:t>”</w:t>
            </w:r>
            <w:r w:rsidRPr="009020CD">
              <w:rPr>
                <w:rFonts w:ascii="Arial" w:hAnsi="Arial" w:cs="Arial"/>
                <w:sz w:val="20"/>
                <w:szCs w:val="20"/>
              </w:rPr>
              <w:t xml:space="preserve"> </w:t>
            </w:r>
            <w:r>
              <w:rPr>
                <w:rFonts w:ascii="Arial" w:hAnsi="Arial" w:cs="Arial"/>
                <w:sz w:val="20"/>
                <w:szCs w:val="20"/>
              </w:rPr>
              <w:t xml:space="preserve">score </w:t>
            </w:r>
          </w:p>
        </w:tc>
        <w:tc>
          <w:tcPr>
            <w:tcW w:w="2692" w:type="dxa"/>
          </w:tcPr>
          <w:p w14:paraId="26C359BF"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1 (25.0</w:t>
            </w:r>
            <w:r>
              <w:rPr>
                <w:rFonts w:ascii="Arial" w:hAnsi="Arial" w:cs="Arial"/>
                <w:sz w:val="20"/>
                <w:szCs w:val="20"/>
              </w:rPr>
              <w:t>%</w:t>
            </w:r>
            <w:r w:rsidRPr="009020CD">
              <w:rPr>
                <w:rFonts w:ascii="Arial" w:hAnsi="Arial" w:cs="Arial"/>
                <w:sz w:val="20"/>
                <w:szCs w:val="20"/>
              </w:rPr>
              <w:t>)</w:t>
            </w:r>
          </w:p>
        </w:tc>
        <w:tc>
          <w:tcPr>
            <w:tcW w:w="2645" w:type="dxa"/>
          </w:tcPr>
          <w:p w14:paraId="2F56B87F"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6 (75.0</w:t>
            </w:r>
            <w:r>
              <w:rPr>
                <w:rFonts w:ascii="Arial" w:hAnsi="Arial" w:cs="Arial"/>
                <w:sz w:val="20"/>
                <w:szCs w:val="20"/>
              </w:rPr>
              <w:t>%</w:t>
            </w:r>
            <w:r w:rsidRPr="009020CD">
              <w:rPr>
                <w:rFonts w:ascii="Arial" w:hAnsi="Arial" w:cs="Arial"/>
                <w:sz w:val="20"/>
                <w:szCs w:val="20"/>
              </w:rPr>
              <w:t>)</w:t>
            </w:r>
          </w:p>
        </w:tc>
        <w:tc>
          <w:tcPr>
            <w:tcW w:w="2788" w:type="dxa"/>
          </w:tcPr>
          <w:p w14:paraId="2CF0BE40"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1 (14.3</w:t>
            </w:r>
            <w:r>
              <w:rPr>
                <w:rFonts w:ascii="Arial" w:hAnsi="Arial" w:cs="Arial"/>
                <w:sz w:val="20"/>
                <w:szCs w:val="20"/>
              </w:rPr>
              <w:t>%</w:t>
            </w:r>
            <w:r w:rsidRPr="009020CD">
              <w:rPr>
                <w:rFonts w:ascii="Arial" w:hAnsi="Arial" w:cs="Arial"/>
                <w:sz w:val="20"/>
                <w:szCs w:val="20"/>
              </w:rPr>
              <w:t>)</w:t>
            </w:r>
          </w:p>
        </w:tc>
        <w:tc>
          <w:tcPr>
            <w:tcW w:w="2431" w:type="dxa"/>
          </w:tcPr>
          <w:p w14:paraId="2ABF561F"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2 (40.0)</w:t>
            </w:r>
          </w:p>
        </w:tc>
        <w:tc>
          <w:tcPr>
            <w:tcW w:w="2302" w:type="dxa"/>
          </w:tcPr>
          <w:p w14:paraId="0957B7EF"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4 (66.6)</w:t>
            </w:r>
          </w:p>
        </w:tc>
      </w:tr>
      <w:tr w:rsidR="00E05A10" w:rsidRPr="009020CD" w14:paraId="28C6B1BA" w14:textId="77777777" w:rsidTr="0082774E">
        <w:trPr>
          <w:jc w:val="center"/>
        </w:trPr>
        <w:tc>
          <w:tcPr>
            <w:tcW w:w="2588" w:type="dxa"/>
          </w:tcPr>
          <w:p w14:paraId="51BFADD5" w14:textId="77777777" w:rsidR="00E05A10" w:rsidRPr="009020CD" w:rsidRDefault="00E05A10" w:rsidP="0082774E">
            <w:pPr>
              <w:contextualSpacing/>
              <w:jc w:val="both"/>
              <w:rPr>
                <w:rFonts w:ascii="Arial" w:hAnsi="Arial" w:cs="Arial"/>
                <w:sz w:val="20"/>
                <w:szCs w:val="20"/>
              </w:rPr>
            </w:pPr>
            <w:r>
              <w:rPr>
                <w:rFonts w:ascii="Arial" w:hAnsi="Arial" w:cs="Arial"/>
                <w:sz w:val="20"/>
                <w:szCs w:val="20"/>
              </w:rPr>
              <w:t xml:space="preserve">     % “</w:t>
            </w:r>
            <w:r w:rsidRPr="009020CD">
              <w:rPr>
                <w:rFonts w:ascii="Arial" w:hAnsi="Arial" w:cs="Arial"/>
                <w:sz w:val="20"/>
                <w:szCs w:val="20"/>
              </w:rPr>
              <w:t xml:space="preserve">Not </w:t>
            </w:r>
            <w:r>
              <w:rPr>
                <w:rFonts w:ascii="Arial" w:hAnsi="Arial" w:cs="Arial"/>
                <w:sz w:val="20"/>
                <w:szCs w:val="20"/>
              </w:rPr>
              <w:t xml:space="preserve">a </w:t>
            </w:r>
            <w:r w:rsidRPr="009020CD">
              <w:rPr>
                <w:rFonts w:ascii="Arial" w:hAnsi="Arial" w:cs="Arial"/>
                <w:sz w:val="20"/>
                <w:szCs w:val="20"/>
              </w:rPr>
              <w:t>barrier</w:t>
            </w:r>
            <w:r>
              <w:rPr>
                <w:rFonts w:ascii="Arial" w:hAnsi="Arial" w:cs="Arial"/>
                <w:sz w:val="20"/>
                <w:szCs w:val="20"/>
              </w:rPr>
              <w:t>”</w:t>
            </w:r>
            <w:r w:rsidRPr="009020CD">
              <w:rPr>
                <w:rFonts w:ascii="Arial" w:hAnsi="Arial" w:cs="Arial"/>
                <w:sz w:val="20"/>
                <w:szCs w:val="20"/>
              </w:rPr>
              <w:t xml:space="preserve"> </w:t>
            </w:r>
          </w:p>
        </w:tc>
        <w:tc>
          <w:tcPr>
            <w:tcW w:w="2692" w:type="dxa"/>
          </w:tcPr>
          <w:p w14:paraId="417C9F1E"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3 (75.0</w:t>
            </w:r>
            <w:r>
              <w:rPr>
                <w:rFonts w:ascii="Arial" w:hAnsi="Arial" w:cs="Arial"/>
                <w:sz w:val="20"/>
                <w:szCs w:val="20"/>
              </w:rPr>
              <w:t>%</w:t>
            </w:r>
            <w:r w:rsidRPr="009020CD">
              <w:rPr>
                <w:rFonts w:ascii="Arial" w:hAnsi="Arial" w:cs="Arial"/>
                <w:sz w:val="20"/>
                <w:szCs w:val="20"/>
              </w:rPr>
              <w:t>)</w:t>
            </w:r>
          </w:p>
        </w:tc>
        <w:tc>
          <w:tcPr>
            <w:tcW w:w="2645" w:type="dxa"/>
          </w:tcPr>
          <w:p w14:paraId="64F11A76"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2 (25.0</w:t>
            </w:r>
            <w:r>
              <w:rPr>
                <w:rFonts w:ascii="Arial" w:hAnsi="Arial" w:cs="Arial"/>
                <w:sz w:val="20"/>
                <w:szCs w:val="20"/>
              </w:rPr>
              <w:t>%</w:t>
            </w:r>
            <w:r w:rsidRPr="009020CD">
              <w:rPr>
                <w:rFonts w:ascii="Arial" w:hAnsi="Arial" w:cs="Arial"/>
                <w:sz w:val="20"/>
                <w:szCs w:val="20"/>
              </w:rPr>
              <w:t>)</w:t>
            </w:r>
          </w:p>
        </w:tc>
        <w:tc>
          <w:tcPr>
            <w:tcW w:w="2788" w:type="dxa"/>
          </w:tcPr>
          <w:p w14:paraId="10911589"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0</w:t>
            </w:r>
          </w:p>
        </w:tc>
        <w:tc>
          <w:tcPr>
            <w:tcW w:w="2431" w:type="dxa"/>
          </w:tcPr>
          <w:p w14:paraId="28F3D521"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0</w:t>
            </w:r>
          </w:p>
        </w:tc>
        <w:tc>
          <w:tcPr>
            <w:tcW w:w="2302" w:type="dxa"/>
          </w:tcPr>
          <w:p w14:paraId="2D441AD9" w14:textId="77777777" w:rsidR="00E05A10" w:rsidRPr="009020CD" w:rsidRDefault="00E05A10" w:rsidP="0082774E">
            <w:pPr>
              <w:contextualSpacing/>
              <w:jc w:val="center"/>
              <w:rPr>
                <w:rFonts w:ascii="Arial" w:hAnsi="Arial" w:cs="Arial"/>
                <w:sz w:val="20"/>
                <w:szCs w:val="20"/>
              </w:rPr>
            </w:pPr>
            <w:r w:rsidRPr="009020CD">
              <w:rPr>
                <w:rFonts w:ascii="Arial" w:hAnsi="Arial" w:cs="Arial"/>
                <w:sz w:val="20"/>
                <w:szCs w:val="20"/>
              </w:rPr>
              <w:t>0</w:t>
            </w:r>
          </w:p>
        </w:tc>
      </w:tr>
    </w:tbl>
    <w:p w14:paraId="699CFD91" w14:textId="77777777" w:rsidR="00E05A10" w:rsidRDefault="00E05A10" w:rsidP="00E05A10">
      <w:pPr>
        <w:autoSpaceDE w:val="0"/>
        <w:autoSpaceDN w:val="0"/>
        <w:adjustRightInd w:val="0"/>
        <w:spacing w:after="0" w:line="240" w:lineRule="auto"/>
        <w:contextualSpacing/>
        <w:jc w:val="both"/>
        <w:rPr>
          <w:rFonts w:ascii="Arial" w:hAnsi="Arial" w:cs="Arial"/>
          <w:i/>
        </w:rPr>
      </w:pPr>
    </w:p>
    <w:p w14:paraId="46B88B14" w14:textId="7083E259" w:rsidR="00E05A10" w:rsidRDefault="00E05A10" w:rsidP="00E05A10">
      <w:pPr>
        <w:autoSpaceDE w:val="0"/>
        <w:autoSpaceDN w:val="0"/>
        <w:adjustRightInd w:val="0"/>
        <w:spacing w:after="0" w:line="240" w:lineRule="auto"/>
        <w:contextualSpacing/>
        <w:jc w:val="both"/>
        <w:rPr>
          <w:rFonts w:ascii="Arial" w:eastAsia="Times New Roman" w:hAnsi="Arial" w:cs="Arial"/>
          <w:color w:val="000000"/>
          <w:lang w:eastAsia="en-GB"/>
        </w:rPr>
      </w:pPr>
      <w:r w:rsidRPr="00AB62B8">
        <w:rPr>
          <w:rFonts w:ascii="Arial" w:hAnsi="Arial" w:cs="Arial"/>
          <w:i/>
        </w:rPr>
        <w:t>Notes:</w:t>
      </w:r>
      <w:r>
        <w:rPr>
          <w:rFonts w:ascii="Arial" w:hAnsi="Arial" w:cs="Arial"/>
        </w:rPr>
        <w:tab/>
      </w:r>
      <w:r w:rsidR="001614B1">
        <w:rPr>
          <w:rFonts w:ascii="Arial" w:hAnsi="Arial" w:cs="Arial"/>
        </w:rPr>
        <w:t xml:space="preserve">Data within table based on responses to survey by N=20 participants; </w:t>
      </w:r>
      <w:r>
        <w:rPr>
          <w:rFonts w:ascii="Arial" w:hAnsi="Arial" w:cs="Arial"/>
        </w:rPr>
        <w:t xml:space="preserve">SD, standard deviation; </w:t>
      </w:r>
      <w:r w:rsidRPr="00352BF1">
        <w:rPr>
          <w:rFonts w:ascii="Arial" w:hAnsi="Arial" w:cs="Arial"/>
        </w:rPr>
        <w:t xml:space="preserve">Items with mean rating of ≤3 are considered </w:t>
      </w:r>
      <w:r>
        <w:rPr>
          <w:rFonts w:ascii="Arial" w:hAnsi="Arial" w:cs="Arial"/>
        </w:rPr>
        <w:t>“</w:t>
      </w:r>
      <w:r w:rsidRPr="00352BF1">
        <w:rPr>
          <w:rFonts w:ascii="Arial" w:hAnsi="Arial" w:cs="Arial"/>
        </w:rPr>
        <w:t xml:space="preserve">not </w:t>
      </w:r>
      <w:r>
        <w:rPr>
          <w:rFonts w:ascii="Arial" w:hAnsi="Arial" w:cs="Arial"/>
        </w:rPr>
        <w:t xml:space="preserve">a </w:t>
      </w:r>
      <w:r w:rsidRPr="00352BF1">
        <w:rPr>
          <w:rFonts w:ascii="Arial" w:hAnsi="Arial" w:cs="Arial"/>
        </w:rPr>
        <w:t>barrier”</w:t>
      </w:r>
      <w:r>
        <w:rPr>
          <w:rFonts w:ascii="Arial" w:hAnsi="Arial" w:cs="Arial"/>
        </w:rPr>
        <w:t>,</w:t>
      </w:r>
      <w:r w:rsidRPr="00352BF1">
        <w:rPr>
          <w:rFonts w:ascii="Arial" w:hAnsi="Arial" w:cs="Arial"/>
        </w:rPr>
        <w:t xml:space="preserve"> items with mean rating &gt;3 and ≤4 are considered “barriers”</w:t>
      </w:r>
      <w:r>
        <w:rPr>
          <w:rFonts w:ascii="Arial" w:hAnsi="Arial" w:cs="Arial"/>
        </w:rPr>
        <w:t>,</w:t>
      </w:r>
      <w:r w:rsidRPr="00352BF1">
        <w:rPr>
          <w:rFonts w:ascii="Arial" w:hAnsi="Arial" w:cs="Arial"/>
        </w:rPr>
        <w:t xml:space="preserve"> and items with mean</w:t>
      </w:r>
      <w:r>
        <w:rPr>
          <w:rFonts w:ascii="Arial" w:hAnsi="Arial" w:cs="Arial"/>
        </w:rPr>
        <w:t xml:space="preserve"> </w:t>
      </w:r>
      <w:r w:rsidRPr="00352BF1">
        <w:rPr>
          <w:rFonts w:ascii="Arial" w:hAnsi="Arial" w:cs="Arial"/>
        </w:rPr>
        <w:t>rating of &gt;4 are considered “strong barriers.”</w:t>
      </w:r>
    </w:p>
    <w:p w14:paraId="30BC4B38" w14:textId="77777777" w:rsidR="00E05A10" w:rsidRDefault="00E05A10" w:rsidP="00E05A10">
      <w:pPr>
        <w:spacing w:line="480" w:lineRule="auto"/>
        <w:contextualSpacing/>
        <w:jc w:val="both"/>
        <w:rPr>
          <w:rFonts w:ascii="Arial" w:eastAsia="Times New Roman" w:hAnsi="Arial" w:cs="Arial"/>
          <w:color w:val="000000"/>
          <w:lang w:eastAsia="en-GB"/>
        </w:rPr>
        <w:sectPr w:rsidR="00E05A10" w:rsidSect="00F309FF">
          <w:pgSz w:w="16838" w:h="11906" w:orient="landscape"/>
          <w:pgMar w:top="1440" w:right="1440" w:bottom="1440" w:left="1440" w:header="708" w:footer="708" w:gutter="0"/>
          <w:cols w:space="708"/>
          <w:docGrid w:linePitch="360"/>
        </w:sectPr>
      </w:pPr>
    </w:p>
    <w:p w14:paraId="429E6BBA" w14:textId="77777777" w:rsidR="00E05A10" w:rsidRDefault="00E05A10" w:rsidP="00E05A10">
      <w:pPr>
        <w:spacing w:line="240" w:lineRule="auto"/>
        <w:contextualSpacing/>
        <w:rPr>
          <w:rFonts w:ascii="Arial" w:hAnsi="Arial" w:cs="Arial"/>
          <w:b/>
        </w:rPr>
      </w:pPr>
      <w:bookmarkStart w:id="1" w:name="_Hlk3819867"/>
      <w:r w:rsidRPr="00091302">
        <w:rPr>
          <w:rFonts w:ascii="Arial" w:hAnsi="Arial" w:cs="Arial"/>
          <w:b/>
        </w:rPr>
        <w:lastRenderedPageBreak/>
        <w:t xml:space="preserve">SUPPLEMENTARY FILE </w:t>
      </w:r>
      <w:r>
        <w:rPr>
          <w:rFonts w:ascii="Arial" w:hAnsi="Arial" w:cs="Arial"/>
          <w:b/>
        </w:rPr>
        <w:t>3</w:t>
      </w:r>
    </w:p>
    <w:p w14:paraId="529783E1" w14:textId="77777777" w:rsidR="00E05A10" w:rsidRPr="00091302" w:rsidRDefault="00E05A10" w:rsidP="00E05A10">
      <w:pPr>
        <w:spacing w:line="240" w:lineRule="auto"/>
        <w:contextualSpacing/>
        <w:rPr>
          <w:rFonts w:ascii="Arial" w:hAnsi="Arial" w:cs="Arial"/>
          <w:b/>
        </w:rPr>
      </w:pPr>
    </w:p>
    <w:p w14:paraId="19AB2941" w14:textId="77777777" w:rsidR="00E05A10" w:rsidRPr="00091302" w:rsidRDefault="00E05A10" w:rsidP="00E05A10">
      <w:pPr>
        <w:spacing w:line="240" w:lineRule="auto"/>
        <w:contextualSpacing/>
        <w:rPr>
          <w:rFonts w:ascii="Arial" w:hAnsi="Arial" w:cs="Arial"/>
          <w:b/>
        </w:rPr>
      </w:pPr>
      <w:r w:rsidRPr="00091302">
        <w:rPr>
          <w:rFonts w:ascii="Arial" w:hAnsi="Arial" w:cs="Arial"/>
          <w:b/>
        </w:rPr>
        <w:t>Bibliography for trials referenced in Table 1</w:t>
      </w:r>
    </w:p>
    <w:bookmarkEnd w:id="1"/>
    <w:p w14:paraId="565A6646" w14:textId="77777777" w:rsidR="00E05A10" w:rsidRPr="00091302" w:rsidRDefault="00E05A10" w:rsidP="00E05A10">
      <w:pPr>
        <w:pStyle w:val="EndNoteBibliography"/>
        <w:spacing w:after="0" w:line="240" w:lineRule="auto"/>
        <w:ind w:left="720" w:hanging="720"/>
        <w:contextualSpacing/>
      </w:pPr>
      <w:r w:rsidRPr="00091302">
        <w:t>S1.</w:t>
      </w:r>
      <w:r w:rsidRPr="00091302">
        <w:tab/>
        <w:t xml:space="preserve">Aliasgharpour M, Dehgahn Nayeri N, Yadegary MA, et al. Effects of an educational program on self-management in patients with epilepsy. </w:t>
      </w:r>
      <w:r w:rsidRPr="00091302">
        <w:rPr>
          <w:i/>
        </w:rPr>
        <w:t>Seizure</w:t>
      </w:r>
      <w:r w:rsidRPr="00091302">
        <w:t xml:space="preserve"> 2013;22:48-52.</w:t>
      </w:r>
    </w:p>
    <w:p w14:paraId="65126617" w14:textId="77777777" w:rsidR="00E05A10" w:rsidRPr="00091302" w:rsidRDefault="00E05A10" w:rsidP="00E05A10">
      <w:pPr>
        <w:pStyle w:val="EndNoteBibliography"/>
        <w:spacing w:after="0" w:line="240" w:lineRule="auto"/>
        <w:ind w:left="720" w:hanging="720"/>
        <w:contextualSpacing/>
      </w:pPr>
      <w:r w:rsidRPr="00091302">
        <w:t>S2.</w:t>
      </w:r>
      <w:r w:rsidRPr="00091302">
        <w:tab/>
        <w:t xml:space="preserve">Au A, Chan F, Li K, et al. Cognitive-behavioral group treatment program for adults with epilepsy in Hong Kong. </w:t>
      </w:r>
      <w:r w:rsidRPr="00091302">
        <w:rPr>
          <w:i/>
        </w:rPr>
        <w:t>Epilepsy &amp; Behavior</w:t>
      </w:r>
      <w:r w:rsidRPr="00091302">
        <w:t xml:space="preserve"> 2003;4:441-446.</w:t>
      </w:r>
    </w:p>
    <w:p w14:paraId="0DE37852" w14:textId="77777777" w:rsidR="00E05A10" w:rsidRPr="00091302" w:rsidRDefault="00E05A10" w:rsidP="00E05A10">
      <w:pPr>
        <w:pStyle w:val="EndNoteBibliography"/>
        <w:spacing w:after="0" w:line="240" w:lineRule="auto"/>
        <w:ind w:left="720" w:hanging="720"/>
        <w:contextualSpacing/>
      </w:pPr>
      <w:r w:rsidRPr="00091302">
        <w:t>S3.</w:t>
      </w:r>
      <w:r w:rsidRPr="00091302">
        <w:tab/>
        <w:t xml:space="preserve">Beretta S, Beghi E, Messina P, et al. Comprehensive educational plan for patients with epilepsy and comorbidity (EDU-COM): a pragmatic randomised trial. </w:t>
      </w:r>
      <w:r w:rsidRPr="00091302">
        <w:rPr>
          <w:i/>
        </w:rPr>
        <w:t>Journal of Neurology, Neurosurgery and Psychiatry</w:t>
      </w:r>
      <w:r w:rsidRPr="00091302">
        <w:t xml:space="preserve"> 2014;85:889-894.</w:t>
      </w:r>
    </w:p>
    <w:p w14:paraId="6A8B8DD8" w14:textId="77777777" w:rsidR="00E05A10" w:rsidRPr="00091302" w:rsidRDefault="00E05A10" w:rsidP="00E05A10">
      <w:pPr>
        <w:pStyle w:val="EndNoteBibliography"/>
        <w:spacing w:after="0" w:line="240" w:lineRule="auto"/>
        <w:ind w:left="720" w:hanging="720"/>
        <w:contextualSpacing/>
      </w:pPr>
      <w:r w:rsidRPr="00091302">
        <w:t>S4.</w:t>
      </w:r>
      <w:r w:rsidRPr="00091302">
        <w:tab/>
        <w:t xml:space="preserve">Caller TA, Ferguson RJ, Roth RM, et al. A cognitive behavioral intervention (HOBSCOTCH) improves quality of life and attention in epilepsy. </w:t>
      </w:r>
      <w:r w:rsidRPr="00091302">
        <w:rPr>
          <w:i/>
        </w:rPr>
        <w:t>Epilepsy &amp; Behavior</w:t>
      </w:r>
      <w:r w:rsidRPr="00091302">
        <w:t xml:space="preserve"> 2016;57:111-117.</w:t>
      </w:r>
    </w:p>
    <w:p w14:paraId="06CD902F" w14:textId="77777777" w:rsidR="00E05A10" w:rsidRPr="00091302" w:rsidRDefault="00E05A10" w:rsidP="00E05A10">
      <w:pPr>
        <w:pStyle w:val="EndNoteBibliography"/>
        <w:spacing w:after="0" w:line="240" w:lineRule="auto"/>
        <w:ind w:left="720" w:hanging="720"/>
        <w:contextualSpacing/>
      </w:pPr>
      <w:r w:rsidRPr="00091302">
        <w:t>S5.</w:t>
      </w:r>
      <w:r w:rsidRPr="00091302">
        <w:tab/>
        <w:t xml:space="preserve">Ciechanowski P, Chaytor N, Miller J, et al. PEARLS depression treatment for individuals with epilepsy: a randomized controlled trial. </w:t>
      </w:r>
      <w:r w:rsidRPr="00091302">
        <w:rPr>
          <w:i/>
        </w:rPr>
        <w:t>Epilepsy &amp; Behavior</w:t>
      </w:r>
      <w:r w:rsidRPr="00091302">
        <w:t xml:space="preserve"> 2010;19:225-231.</w:t>
      </w:r>
    </w:p>
    <w:p w14:paraId="17210017" w14:textId="77777777" w:rsidR="00E05A10" w:rsidRPr="00091302" w:rsidRDefault="00E05A10" w:rsidP="00E05A10">
      <w:pPr>
        <w:pStyle w:val="EndNoteBibliography"/>
        <w:spacing w:after="0" w:line="240" w:lineRule="auto"/>
        <w:ind w:left="720" w:hanging="720"/>
        <w:contextualSpacing/>
      </w:pPr>
      <w:r w:rsidRPr="00091302">
        <w:t>S6.</w:t>
      </w:r>
      <w:r w:rsidRPr="00091302">
        <w:tab/>
        <w:t xml:space="preserve">Dahl J, Melin L, Brorson LO, et al. Effects of a broad-spectrum behavior modification treatment program on children with refractory epileptic seizures. </w:t>
      </w:r>
      <w:r w:rsidRPr="00091302">
        <w:rPr>
          <w:i/>
        </w:rPr>
        <w:t>Epilepsia</w:t>
      </w:r>
      <w:r w:rsidRPr="00091302">
        <w:t xml:space="preserve"> 1985;26:303-309.</w:t>
      </w:r>
    </w:p>
    <w:p w14:paraId="680D41DA" w14:textId="77777777" w:rsidR="00E05A10" w:rsidRPr="00091302" w:rsidRDefault="00E05A10" w:rsidP="00E05A10">
      <w:pPr>
        <w:pStyle w:val="EndNoteBibliography"/>
        <w:spacing w:after="0" w:line="240" w:lineRule="auto"/>
        <w:ind w:left="720" w:hanging="720"/>
        <w:contextualSpacing/>
      </w:pPr>
      <w:r w:rsidRPr="00091302">
        <w:t>S7.</w:t>
      </w:r>
      <w:r w:rsidRPr="00091302">
        <w:tab/>
        <w:t xml:space="preserve">Dahl J, Melin L, Lund L. Effects of a contingent relaxation treatment program on adults with refractory epileptic seizures. </w:t>
      </w:r>
      <w:r w:rsidRPr="00091302">
        <w:rPr>
          <w:i/>
        </w:rPr>
        <w:t>Epilepsia</w:t>
      </w:r>
      <w:r w:rsidRPr="00091302">
        <w:t xml:space="preserve"> 1987;28:125-132.</w:t>
      </w:r>
    </w:p>
    <w:p w14:paraId="5FA43DAE" w14:textId="77777777" w:rsidR="00E05A10" w:rsidRPr="00091302" w:rsidRDefault="00E05A10" w:rsidP="00E05A10">
      <w:pPr>
        <w:pStyle w:val="EndNoteBibliography"/>
        <w:spacing w:after="0" w:line="240" w:lineRule="auto"/>
        <w:ind w:left="720" w:hanging="720"/>
        <w:contextualSpacing/>
      </w:pPr>
      <w:r w:rsidRPr="00091302">
        <w:t>S8.</w:t>
      </w:r>
      <w:r w:rsidRPr="00091302">
        <w:tab/>
        <w:t xml:space="preserve">Dash D, Sebastian TM, Aggarwal M, et al. Impact of health education on drug adherence and self-care in people with epilepsy with low education. </w:t>
      </w:r>
      <w:r w:rsidRPr="00091302">
        <w:rPr>
          <w:i/>
        </w:rPr>
        <w:t>Epilepsy &amp; Behavior</w:t>
      </w:r>
      <w:r w:rsidRPr="00091302">
        <w:t xml:space="preserve"> 2015;44:213-217.</w:t>
      </w:r>
    </w:p>
    <w:p w14:paraId="3ADF3539" w14:textId="77777777" w:rsidR="00E05A10" w:rsidRPr="00091302" w:rsidRDefault="00E05A10" w:rsidP="00E05A10">
      <w:pPr>
        <w:pStyle w:val="EndNoteBibliography"/>
        <w:spacing w:after="0" w:line="240" w:lineRule="auto"/>
        <w:ind w:left="720" w:hanging="720"/>
        <w:contextualSpacing/>
      </w:pPr>
      <w:r w:rsidRPr="00091302">
        <w:t>S9.</w:t>
      </w:r>
      <w:r w:rsidRPr="00091302">
        <w:tab/>
        <w:t xml:space="preserve">Davis GR, Armstrong HE, Jr., Donovan DM, et al. Cognitive-behavioral treatment of depressed affect among epileptics: preliminary findings. </w:t>
      </w:r>
      <w:r w:rsidRPr="00091302">
        <w:rPr>
          <w:i/>
        </w:rPr>
        <w:t>Journal of Clinical Psychology</w:t>
      </w:r>
      <w:r w:rsidRPr="00091302">
        <w:t xml:space="preserve"> 1984;40:930-935.</w:t>
      </w:r>
    </w:p>
    <w:p w14:paraId="20098C99" w14:textId="77777777" w:rsidR="00E05A10" w:rsidRPr="00091302" w:rsidRDefault="00E05A10" w:rsidP="00E05A10">
      <w:pPr>
        <w:pStyle w:val="EndNoteBibliography"/>
        <w:spacing w:after="0" w:line="240" w:lineRule="auto"/>
        <w:ind w:left="720" w:hanging="720"/>
        <w:contextualSpacing/>
      </w:pPr>
      <w:r w:rsidRPr="00091302">
        <w:t>S10.</w:t>
      </w:r>
      <w:r w:rsidRPr="00091302">
        <w:tab/>
        <w:t xml:space="preserve">DiIorio C, Bamps Y, Walker ER, et al. Results of a research study evaluating WebEase, an online epilepsy self-management program. </w:t>
      </w:r>
      <w:r w:rsidRPr="00091302">
        <w:rPr>
          <w:i/>
        </w:rPr>
        <w:t>Epilepsy &amp; Behavior</w:t>
      </w:r>
      <w:r w:rsidRPr="00091302">
        <w:t xml:space="preserve"> 2011;22:469-474.</w:t>
      </w:r>
    </w:p>
    <w:p w14:paraId="29638899" w14:textId="77777777" w:rsidR="00E05A10" w:rsidRPr="00091302" w:rsidRDefault="00E05A10" w:rsidP="00E05A10">
      <w:pPr>
        <w:pStyle w:val="EndNoteBibliography"/>
        <w:spacing w:after="0" w:line="240" w:lineRule="auto"/>
        <w:ind w:left="720" w:hanging="720"/>
        <w:contextualSpacing/>
      </w:pPr>
      <w:r w:rsidRPr="00091302">
        <w:t>S11.</w:t>
      </w:r>
      <w:r w:rsidRPr="00091302">
        <w:tab/>
        <w:t xml:space="preserve">DiIorio C, Reisinger EL, Yeager KA, et al. A telephone-based self-management program for people with epilepsy. </w:t>
      </w:r>
      <w:r w:rsidRPr="00091302">
        <w:rPr>
          <w:i/>
        </w:rPr>
        <w:t>Epilepsy &amp; Behavior</w:t>
      </w:r>
      <w:r w:rsidRPr="00091302">
        <w:t xml:space="preserve"> 2009;14:232-236.</w:t>
      </w:r>
    </w:p>
    <w:p w14:paraId="6A7C2634" w14:textId="77777777" w:rsidR="00E05A10" w:rsidRPr="00091302" w:rsidRDefault="00E05A10" w:rsidP="00E05A10">
      <w:pPr>
        <w:pStyle w:val="EndNoteBibliography"/>
        <w:spacing w:after="0" w:line="240" w:lineRule="auto"/>
        <w:ind w:left="720" w:hanging="720"/>
        <w:contextualSpacing/>
      </w:pPr>
      <w:r w:rsidRPr="00091302">
        <w:t>S12.</w:t>
      </w:r>
      <w:r w:rsidRPr="00091302">
        <w:tab/>
        <w:t xml:space="preserve">Earl WL. Job stability and family counseling. </w:t>
      </w:r>
      <w:r w:rsidRPr="00091302">
        <w:rPr>
          <w:i/>
        </w:rPr>
        <w:t>Epilepsia</w:t>
      </w:r>
      <w:r w:rsidRPr="00091302">
        <w:t xml:space="preserve"> 1986;27:215-219.</w:t>
      </w:r>
    </w:p>
    <w:p w14:paraId="37D283D0" w14:textId="77777777" w:rsidR="00E05A10" w:rsidRPr="00091302" w:rsidRDefault="00E05A10" w:rsidP="00E05A10">
      <w:pPr>
        <w:pStyle w:val="EndNoteBibliography"/>
        <w:spacing w:after="0" w:line="240" w:lineRule="auto"/>
        <w:ind w:left="720" w:hanging="720"/>
        <w:contextualSpacing/>
      </w:pPr>
      <w:r w:rsidRPr="00091302">
        <w:t>S13.</w:t>
      </w:r>
      <w:r w:rsidRPr="00091302">
        <w:tab/>
        <w:t xml:space="preserve">Fraser RT, Johnson EK, Lashley S, et al. PACES in epilepsy: Results of a self-management randomized controlled trial. </w:t>
      </w:r>
      <w:r w:rsidRPr="00091302">
        <w:rPr>
          <w:i/>
        </w:rPr>
        <w:t>Epilepsia</w:t>
      </w:r>
      <w:r w:rsidRPr="00091302">
        <w:t xml:space="preserve"> 2015;56:1264-1274.</w:t>
      </w:r>
    </w:p>
    <w:p w14:paraId="2217A41F" w14:textId="77777777" w:rsidR="00E05A10" w:rsidRPr="00091302" w:rsidRDefault="00E05A10" w:rsidP="00E05A10">
      <w:pPr>
        <w:pStyle w:val="EndNoteBibliography"/>
        <w:spacing w:after="0" w:line="240" w:lineRule="auto"/>
        <w:ind w:left="720" w:hanging="720"/>
        <w:contextualSpacing/>
      </w:pPr>
      <w:r w:rsidRPr="00091302">
        <w:t>S14.</w:t>
      </w:r>
      <w:r w:rsidRPr="00091302">
        <w:tab/>
        <w:t xml:space="preserve">Gandy M, Sharpe L, Nicholson Perry K, et al. Cognitive behaviour therapy to improve mood in people with epilepsy: a randomised controlled trial. </w:t>
      </w:r>
      <w:r w:rsidRPr="00091302">
        <w:rPr>
          <w:i/>
        </w:rPr>
        <w:t>Cognitive Behaviour Therapy</w:t>
      </w:r>
      <w:r w:rsidRPr="00091302">
        <w:t xml:space="preserve"> 2014;43:153-166.</w:t>
      </w:r>
    </w:p>
    <w:p w14:paraId="7FFFFFC4" w14:textId="77777777" w:rsidR="00E05A10" w:rsidRPr="00091302" w:rsidRDefault="00E05A10" w:rsidP="00E05A10">
      <w:pPr>
        <w:pStyle w:val="EndNoteBibliography"/>
        <w:spacing w:after="0" w:line="240" w:lineRule="auto"/>
        <w:ind w:left="720" w:hanging="720"/>
        <w:contextualSpacing/>
      </w:pPr>
      <w:r w:rsidRPr="00091302">
        <w:t>S15.</w:t>
      </w:r>
      <w:r w:rsidRPr="00091302">
        <w:tab/>
        <w:t xml:space="preserve">Gillham RA. Refractory epilepsy: an evaluation of psychological methods in outpatient management. </w:t>
      </w:r>
      <w:r w:rsidRPr="00091302">
        <w:rPr>
          <w:i/>
        </w:rPr>
        <w:t>Epilepsia</w:t>
      </w:r>
      <w:r w:rsidRPr="00091302">
        <w:t xml:space="preserve"> 1990;31:427-432.</w:t>
      </w:r>
    </w:p>
    <w:p w14:paraId="1B03FF7C" w14:textId="77777777" w:rsidR="00E05A10" w:rsidRPr="00091302" w:rsidRDefault="00E05A10" w:rsidP="00E05A10">
      <w:pPr>
        <w:pStyle w:val="EndNoteBibliography"/>
        <w:spacing w:after="0" w:line="240" w:lineRule="auto"/>
        <w:ind w:left="720" w:hanging="720"/>
        <w:contextualSpacing/>
      </w:pPr>
      <w:r w:rsidRPr="00091302">
        <w:t>S16.</w:t>
      </w:r>
      <w:r w:rsidRPr="00091302">
        <w:tab/>
        <w:t xml:space="preserve">Helde G, Bovim G, Bråthen G, et al. A structured, nurse-led intervention program improves quality of life in patients with epilepsy: a randomized, controlled trial. </w:t>
      </w:r>
      <w:r w:rsidRPr="00091302">
        <w:rPr>
          <w:i/>
        </w:rPr>
        <w:t>Epilepsy and Behavior</w:t>
      </w:r>
      <w:r w:rsidRPr="00091302">
        <w:t xml:space="preserve"> 2005;7:451-457.</w:t>
      </w:r>
    </w:p>
    <w:p w14:paraId="036D0680" w14:textId="77777777" w:rsidR="00E05A10" w:rsidRPr="00091302" w:rsidRDefault="00E05A10" w:rsidP="00E05A10">
      <w:pPr>
        <w:pStyle w:val="EndNoteBibliography"/>
        <w:spacing w:after="0" w:line="240" w:lineRule="auto"/>
        <w:ind w:left="720" w:hanging="720"/>
        <w:contextualSpacing/>
      </w:pPr>
      <w:r w:rsidRPr="00091302">
        <w:t>S17.</w:t>
      </w:r>
      <w:r w:rsidRPr="00091302">
        <w:tab/>
        <w:t xml:space="preserve">Helgeson DC, Mittan R, Tan SY, et al. Sepulveda Epilepsy Education: the efficacy of a psychoeducational treatment program in treating medical and psychosocial aspects of epilepsy. </w:t>
      </w:r>
      <w:r w:rsidRPr="00091302">
        <w:rPr>
          <w:i/>
        </w:rPr>
        <w:t>Epilepsia</w:t>
      </w:r>
      <w:r w:rsidRPr="00091302">
        <w:t xml:space="preserve"> 1990;31:75-82.</w:t>
      </w:r>
    </w:p>
    <w:p w14:paraId="089F16CC" w14:textId="77777777" w:rsidR="00E05A10" w:rsidRPr="00091302" w:rsidRDefault="00E05A10" w:rsidP="00E05A10">
      <w:pPr>
        <w:pStyle w:val="EndNoteBibliography"/>
        <w:spacing w:after="0" w:line="240" w:lineRule="auto"/>
        <w:ind w:left="720" w:hanging="720"/>
        <w:contextualSpacing/>
      </w:pPr>
      <w:r w:rsidRPr="00091302">
        <w:t>S18.</w:t>
      </w:r>
      <w:r w:rsidRPr="00091302">
        <w:tab/>
        <w:t xml:space="preserve">Hosseini N, Mokhtari S, Momeni E, et al. Effect of motivational interviewing on quality of life in patients with epilepsy. </w:t>
      </w:r>
      <w:r w:rsidRPr="00091302">
        <w:rPr>
          <w:i/>
        </w:rPr>
        <w:t>Epilepsy &amp; Behavior</w:t>
      </w:r>
      <w:r w:rsidRPr="00091302">
        <w:t xml:space="preserve"> 2016;55:70-74.</w:t>
      </w:r>
    </w:p>
    <w:p w14:paraId="5A3A4FB9" w14:textId="77777777" w:rsidR="00E05A10" w:rsidRPr="00091302" w:rsidRDefault="00E05A10" w:rsidP="00E05A10">
      <w:pPr>
        <w:pStyle w:val="EndNoteBibliography"/>
        <w:spacing w:after="0" w:line="240" w:lineRule="auto"/>
        <w:ind w:left="720" w:hanging="720"/>
        <w:contextualSpacing/>
      </w:pPr>
      <w:r w:rsidRPr="00091302">
        <w:t>S19.</w:t>
      </w:r>
      <w:r w:rsidRPr="00091302">
        <w:tab/>
        <w:t xml:space="preserve">Jantzen S, Muller-Godeffroy E, Hallfahrt-Krisl T, et al. FLIP&amp;FLAP-a training programme for children and adolescents with epilepsy, and their parents. </w:t>
      </w:r>
      <w:r w:rsidRPr="00091302">
        <w:rPr>
          <w:i/>
        </w:rPr>
        <w:t>Seizure</w:t>
      </w:r>
      <w:r w:rsidRPr="00091302">
        <w:t xml:space="preserve"> 2009;18:478-486.</w:t>
      </w:r>
    </w:p>
    <w:p w14:paraId="0A114E38" w14:textId="77777777" w:rsidR="00E05A10" w:rsidRPr="00091302" w:rsidRDefault="00E05A10" w:rsidP="00E05A10">
      <w:pPr>
        <w:pStyle w:val="EndNoteBibliography"/>
        <w:spacing w:after="0" w:line="240" w:lineRule="auto"/>
        <w:ind w:left="720" w:hanging="720"/>
        <w:contextualSpacing/>
      </w:pPr>
      <w:r w:rsidRPr="00091302">
        <w:t>S20.</w:t>
      </w:r>
      <w:r w:rsidRPr="00091302">
        <w:tab/>
        <w:t xml:space="preserve">Lantz DL, Sterman MB. Neuropsychological assessment of subjects with uncontrolled epilepsy: effects of EEG feedback training. </w:t>
      </w:r>
      <w:r w:rsidRPr="00091302">
        <w:rPr>
          <w:i/>
        </w:rPr>
        <w:t>Epilepsia</w:t>
      </w:r>
      <w:r w:rsidRPr="00091302">
        <w:t xml:space="preserve"> 1988;29:163-171.</w:t>
      </w:r>
    </w:p>
    <w:p w14:paraId="54F25DEF" w14:textId="77777777" w:rsidR="00E05A10" w:rsidRPr="00091302" w:rsidRDefault="00E05A10" w:rsidP="00E05A10">
      <w:pPr>
        <w:pStyle w:val="EndNoteBibliography"/>
        <w:spacing w:after="0" w:line="240" w:lineRule="auto"/>
        <w:ind w:left="720" w:hanging="720"/>
        <w:contextualSpacing/>
      </w:pPr>
      <w:r w:rsidRPr="00091302">
        <w:t>S21.</w:t>
      </w:r>
      <w:r w:rsidRPr="00091302">
        <w:tab/>
        <w:t xml:space="preserve">Lewis MA, Salas I, de la Sota A, et al. Randomized trial of a program to enhance the competencies of children with epilepsy. </w:t>
      </w:r>
      <w:r w:rsidRPr="00091302">
        <w:rPr>
          <w:i/>
        </w:rPr>
        <w:t>Epilepsia</w:t>
      </w:r>
      <w:r w:rsidRPr="00091302">
        <w:t xml:space="preserve"> 1990;31:101-109.</w:t>
      </w:r>
    </w:p>
    <w:p w14:paraId="710A7E60" w14:textId="77777777" w:rsidR="00E05A10" w:rsidRPr="00091302" w:rsidRDefault="00E05A10" w:rsidP="00E05A10">
      <w:pPr>
        <w:pStyle w:val="EndNoteBibliography"/>
        <w:spacing w:after="0" w:line="240" w:lineRule="auto"/>
        <w:ind w:left="720" w:hanging="720"/>
        <w:contextualSpacing/>
      </w:pPr>
      <w:r w:rsidRPr="00091302">
        <w:t>S22.</w:t>
      </w:r>
      <w:r w:rsidRPr="00091302">
        <w:tab/>
        <w:t xml:space="preserve">Li J, Wang X, Meng H, et al. Systemic Family Therapy of Comorbidity of Anxiety and Depression with Epilepsy in Adolescents. </w:t>
      </w:r>
      <w:r w:rsidRPr="00091302">
        <w:rPr>
          <w:i/>
        </w:rPr>
        <w:t>Psychiatry Investigation</w:t>
      </w:r>
      <w:r w:rsidRPr="00091302">
        <w:t xml:space="preserve"> 2016;13:305-310.</w:t>
      </w:r>
    </w:p>
    <w:p w14:paraId="3A9F1FF0" w14:textId="77777777" w:rsidR="00E05A10" w:rsidRPr="00091302" w:rsidRDefault="00E05A10" w:rsidP="00E05A10">
      <w:pPr>
        <w:pStyle w:val="EndNoteBibliography"/>
        <w:spacing w:after="0" w:line="240" w:lineRule="auto"/>
        <w:ind w:left="720" w:hanging="720"/>
        <w:contextualSpacing/>
      </w:pPr>
      <w:r w:rsidRPr="00091302">
        <w:t>S23.</w:t>
      </w:r>
      <w:r w:rsidRPr="00091302">
        <w:tab/>
        <w:t xml:space="preserve">Lua PL, Neni WS. A randomised controlled trial of an SMS-based mobile epilepsy education system. </w:t>
      </w:r>
      <w:r w:rsidRPr="00091302">
        <w:rPr>
          <w:i/>
        </w:rPr>
        <w:t>Journal of Telemedicine and Telecare</w:t>
      </w:r>
      <w:r w:rsidRPr="00091302">
        <w:t xml:space="preserve"> 2013;19:23-28.</w:t>
      </w:r>
    </w:p>
    <w:p w14:paraId="059905CB" w14:textId="77777777" w:rsidR="00E05A10" w:rsidRPr="00091302" w:rsidRDefault="00E05A10" w:rsidP="00E05A10">
      <w:pPr>
        <w:pStyle w:val="EndNoteBibliography"/>
        <w:spacing w:after="0" w:line="240" w:lineRule="auto"/>
        <w:ind w:left="720" w:hanging="720"/>
        <w:contextualSpacing/>
      </w:pPr>
      <w:r w:rsidRPr="00091302">
        <w:t>S24.</w:t>
      </w:r>
      <w:r w:rsidRPr="00091302">
        <w:tab/>
        <w:t xml:space="preserve">Lundgren T, Dahl J, Melin L, et al. Evaluation of acceptance and commitment therapy for drug refractory epilepsy: a randomized controlled trial in South Africa--a pilot study. </w:t>
      </w:r>
      <w:r w:rsidRPr="00091302">
        <w:rPr>
          <w:i/>
        </w:rPr>
        <w:t>Epilepsia</w:t>
      </w:r>
      <w:r w:rsidRPr="00091302">
        <w:t xml:space="preserve"> 2006;47:2173-2179.</w:t>
      </w:r>
    </w:p>
    <w:p w14:paraId="5A7FFAC9" w14:textId="77777777" w:rsidR="00E05A10" w:rsidRPr="00091302" w:rsidRDefault="00E05A10" w:rsidP="00E05A10">
      <w:pPr>
        <w:pStyle w:val="EndNoteBibliography"/>
        <w:spacing w:after="0" w:line="240" w:lineRule="auto"/>
        <w:ind w:left="720" w:hanging="720"/>
        <w:contextualSpacing/>
      </w:pPr>
      <w:r w:rsidRPr="00091302">
        <w:t>S25.</w:t>
      </w:r>
      <w:r w:rsidRPr="00091302">
        <w:tab/>
        <w:t xml:space="preserve">Lundgren T, Dahl J, Yardi N, et al. Acceptance and Commitment Therapy and yoga for drug-refractory epilepsy: a randomized controlled trial. </w:t>
      </w:r>
      <w:r w:rsidRPr="00091302">
        <w:rPr>
          <w:i/>
        </w:rPr>
        <w:t>Epilepsy &amp; Behavior</w:t>
      </w:r>
      <w:r w:rsidRPr="00091302">
        <w:t xml:space="preserve"> 2008;13:102-108.</w:t>
      </w:r>
    </w:p>
    <w:p w14:paraId="7AC4DA24" w14:textId="77777777" w:rsidR="00E05A10" w:rsidRPr="00091302" w:rsidRDefault="00E05A10" w:rsidP="00E05A10">
      <w:pPr>
        <w:pStyle w:val="EndNoteBibliography"/>
        <w:spacing w:after="0" w:line="240" w:lineRule="auto"/>
        <w:ind w:left="720" w:hanging="720"/>
        <w:contextualSpacing/>
      </w:pPr>
      <w:r w:rsidRPr="00091302">
        <w:t>S26.</w:t>
      </w:r>
      <w:r w:rsidRPr="00091302">
        <w:tab/>
        <w:t xml:space="preserve">Martinovic Z, Simonovic P, Djokic R. Preventing depression in adolescents with epilepsy. </w:t>
      </w:r>
      <w:r w:rsidRPr="00091302">
        <w:rPr>
          <w:i/>
        </w:rPr>
        <w:t>Epilepsy &amp; Behavior</w:t>
      </w:r>
      <w:r w:rsidRPr="00091302">
        <w:t xml:space="preserve"> 2006;9:619-624.</w:t>
      </w:r>
    </w:p>
    <w:p w14:paraId="6CF19135" w14:textId="77777777" w:rsidR="00E05A10" w:rsidRPr="00091302" w:rsidRDefault="00E05A10" w:rsidP="00E05A10">
      <w:pPr>
        <w:pStyle w:val="EndNoteBibliography"/>
        <w:spacing w:after="0" w:line="240" w:lineRule="auto"/>
        <w:ind w:left="720" w:hanging="720"/>
        <w:contextualSpacing/>
      </w:pPr>
      <w:r w:rsidRPr="00091302">
        <w:t>S27.</w:t>
      </w:r>
      <w:r w:rsidRPr="00091302">
        <w:tab/>
        <w:t xml:space="preserve">May TW, Pfafflin M. The efficacy of an educational treatment program for patients with epilepsy (MOSES): results of a controlled, randomized study. Modular Service Package Epilepsy. </w:t>
      </w:r>
      <w:r w:rsidRPr="00091302">
        <w:rPr>
          <w:i/>
        </w:rPr>
        <w:t>Epilepsia</w:t>
      </w:r>
      <w:r w:rsidRPr="00091302">
        <w:t xml:space="preserve"> 2002;43:539-549.</w:t>
      </w:r>
    </w:p>
    <w:p w14:paraId="0A5CA175" w14:textId="77777777" w:rsidR="00E05A10" w:rsidRPr="00091302" w:rsidRDefault="00E05A10" w:rsidP="00E05A10">
      <w:pPr>
        <w:pStyle w:val="EndNoteBibliography"/>
        <w:spacing w:after="0" w:line="240" w:lineRule="auto"/>
        <w:ind w:left="720" w:hanging="720"/>
        <w:contextualSpacing/>
      </w:pPr>
      <w:r w:rsidRPr="00091302">
        <w:t>S28.</w:t>
      </w:r>
      <w:r w:rsidRPr="00091302">
        <w:tab/>
        <w:t xml:space="preserve">McLaughlin DP, McFarland K. A randomized trial of a group based cognitive behavior therapy program for older adults with epilepsy: the impact on seizure frequency, depression and psychosocial well-being. </w:t>
      </w:r>
      <w:r w:rsidRPr="00091302">
        <w:rPr>
          <w:i/>
        </w:rPr>
        <w:t>Journal of Behavioral Medicine</w:t>
      </w:r>
      <w:r w:rsidRPr="00091302">
        <w:t xml:space="preserve"> 2011;34:201-207.</w:t>
      </w:r>
    </w:p>
    <w:p w14:paraId="1EAABB14" w14:textId="77777777" w:rsidR="00E05A10" w:rsidRPr="00091302" w:rsidRDefault="00E05A10" w:rsidP="00E05A10">
      <w:pPr>
        <w:pStyle w:val="EndNoteBibliography"/>
        <w:spacing w:after="0" w:line="240" w:lineRule="auto"/>
        <w:ind w:left="720" w:hanging="720"/>
        <w:contextualSpacing/>
      </w:pPr>
      <w:r w:rsidRPr="00091302">
        <w:t>S29.</w:t>
      </w:r>
      <w:r w:rsidRPr="00091302">
        <w:tab/>
        <w:t xml:space="preserve">Modi AC, Guilfoyle SM, Mann KA, et al. A pilot randomized controlled clinical trial to improve antiepileptic drug adherence in young children with epilepsy. </w:t>
      </w:r>
      <w:r w:rsidRPr="00091302">
        <w:rPr>
          <w:i/>
        </w:rPr>
        <w:t>Epilepsia</w:t>
      </w:r>
      <w:r w:rsidRPr="00091302">
        <w:t xml:space="preserve"> 2016;57:e69-75.</w:t>
      </w:r>
    </w:p>
    <w:p w14:paraId="16D7C33D" w14:textId="77777777" w:rsidR="00E05A10" w:rsidRPr="00091302" w:rsidRDefault="00E05A10" w:rsidP="00E05A10">
      <w:pPr>
        <w:pStyle w:val="EndNoteBibliography"/>
        <w:spacing w:after="0" w:line="240" w:lineRule="auto"/>
        <w:ind w:left="720" w:hanging="720"/>
        <w:contextualSpacing/>
      </w:pPr>
      <w:r w:rsidRPr="00091302">
        <w:t>S30.</w:t>
      </w:r>
      <w:r w:rsidRPr="00091302">
        <w:tab/>
        <w:t xml:space="preserve">Nagai Y, Goldstein LH, Fenwick PB, et al. Clinical efficacy of galvanic skin response biofeedback training in reducing seizures in adult epilepsy: a preliminary randomized controlled study. </w:t>
      </w:r>
      <w:r w:rsidRPr="00091302">
        <w:rPr>
          <w:i/>
        </w:rPr>
        <w:t>Epilepsy &amp; Behavior</w:t>
      </w:r>
      <w:r w:rsidRPr="00091302">
        <w:t xml:space="preserve"> 2004;5:216-223.</w:t>
      </w:r>
    </w:p>
    <w:p w14:paraId="6E69ADE2" w14:textId="77777777" w:rsidR="00E05A10" w:rsidRPr="00091302" w:rsidRDefault="00E05A10" w:rsidP="00E05A10">
      <w:pPr>
        <w:pStyle w:val="EndNoteBibliography"/>
        <w:spacing w:after="0" w:line="240" w:lineRule="auto"/>
        <w:ind w:left="720" w:hanging="720"/>
        <w:contextualSpacing/>
      </w:pPr>
      <w:r w:rsidRPr="00091302">
        <w:t>S31.</w:t>
      </w:r>
      <w:r w:rsidRPr="00091302">
        <w:tab/>
        <w:t xml:space="preserve">Olley BO, Osinowo HO, Brieger WR. Psycho-educational therapy among Nigerian adult patients with epilepsy: a controlled outcome study. </w:t>
      </w:r>
      <w:r w:rsidRPr="00091302">
        <w:rPr>
          <w:i/>
        </w:rPr>
        <w:t>Patient Education and Counseling</w:t>
      </w:r>
      <w:r w:rsidRPr="00091302">
        <w:t xml:space="preserve"> 2001;42:25-33.</w:t>
      </w:r>
    </w:p>
    <w:p w14:paraId="6740B62E" w14:textId="77777777" w:rsidR="00E05A10" w:rsidRPr="00091302" w:rsidRDefault="00E05A10" w:rsidP="00E05A10">
      <w:pPr>
        <w:pStyle w:val="EndNoteBibliography"/>
        <w:spacing w:after="0" w:line="240" w:lineRule="auto"/>
        <w:ind w:left="720" w:hanging="720"/>
        <w:contextualSpacing/>
      </w:pPr>
      <w:r w:rsidRPr="00091302">
        <w:t>S32.</w:t>
      </w:r>
      <w:r w:rsidRPr="00091302">
        <w:tab/>
        <w:t xml:space="preserve">Orjuela-Rojas JM, Martinez-Juarez IE, Ruiz-Chow A, et al. Treatment of depression in patients with temporal lobe epilepsy: A pilot study of cognitive behavioral therapy vs. selective serotonin reuptake inhibitors. </w:t>
      </w:r>
      <w:r w:rsidRPr="00091302">
        <w:rPr>
          <w:i/>
        </w:rPr>
        <w:t>Epilepsy &amp; Behavior</w:t>
      </w:r>
      <w:r w:rsidRPr="00091302">
        <w:t xml:space="preserve"> 2015;51:176-181.</w:t>
      </w:r>
    </w:p>
    <w:p w14:paraId="3899DEF3" w14:textId="77777777" w:rsidR="00E05A10" w:rsidRPr="00091302" w:rsidRDefault="00E05A10" w:rsidP="00E05A10">
      <w:pPr>
        <w:pStyle w:val="EndNoteBibliography"/>
        <w:spacing w:after="0" w:line="240" w:lineRule="auto"/>
        <w:ind w:left="720" w:hanging="720"/>
        <w:contextualSpacing/>
      </w:pPr>
      <w:r w:rsidRPr="00091302">
        <w:t>S33.</w:t>
      </w:r>
      <w:r w:rsidRPr="00091302">
        <w:tab/>
        <w:t xml:space="preserve">Pakpour AH, Gholami M, Esmaeili R, et al. A randomized controlled multimodal behavioral intervention trial for improving antiepileptic drug adherence. </w:t>
      </w:r>
      <w:r w:rsidRPr="00091302">
        <w:rPr>
          <w:i/>
        </w:rPr>
        <w:t>Epilepsy &amp; Behavior</w:t>
      </w:r>
      <w:r w:rsidRPr="00091302">
        <w:t xml:space="preserve"> 2015;52:133-142.</w:t>
      </w:r>
    </w:p>
    <w:p w14:paraId="020ADAC3" w14:textId="77777777" w:rsidR="00E05A10" w:rsidRPr="00091302" w:rsidRDefault="00E05A10" w:rsidP="00E05A10">
      <w:pPr>
        <w:pStyle w:val="EndNoteBibliography"/>
        <w:spacing w:after="0" w:line="240" w:lineRule="auto"/>
        <w:ind w:left="720" w:hanging="720"/>
        <w:contextualSpacing/>
      </w:pPr>
      <w:r w:rsidRPr="00091302">
        <w:t>S34.</w:t>
      </w:r>
      <w:r w:rsidRPr="00091302">
        <w:tab/>
        <w:t xml:space="preserve">Peterson GM, McLean S, Millingen KS. A randomised trial of strategies to improve patient compliance with anticonvulsant therapy. </w:t>
      </w:r>
      <w:r w:rsidRPr="00091302">
        <w:rPr>
          <w:i/>
        </w:rPr>
        <w:t>Epilepsia</w:t>
      </w:r>
      <w:r w:rsidRPr="00091302">
        <w:t xml:space="preserve"> 1984;25:412-417.</w:t>
      </w:r>
    </w:p>
    <w:p w14:paraId="75770D14" w14:textId="77777777" w:rsidR="00E05A10" w:rsidRPr="00091302" w:rsidRDefault="00E05A10" w:rsidP="00E05A10">
      <w:pPr>
        <w:pStyle w:val="EndNoteBibliography"/>
        <w:spacing w:after="0" w:line="240" w:lineRule="auto"/>
        <w:ind w:left="720" w:hanging="720"/>
        <w:contextualSpacing/>
      </w:pPr>
      <w:r w:rsidRPr="00091302">
        <w:t>S35.</w:t>
      </w:r>
      <w:r w:rsidRPr="00091302">
        <w:tab/>
        <w:t xml:space="preserve">Pfafflin M, Petermann F, Rau J, et al. The psychoeducational program for children with epilepsy and their parents (FAMOSES): results of a controlled pilot study and a survey of parent satisfaction over a five-year period. </w:t>
      </w:r>
      <w:r w:rsidRPr="00091302">
        <w:rPr>
          <w:i/>
        </w:rPr>
        <w:t>Epilepsy &amp; Behavior</w:t>
      </w:r>
      <w:r w:rsidRPr="00091302">
        <w:t xml:space="preserve"> 2012;25:11-16.</w:t>
      </w:r>
    </w:p>
    <w:p w14:paraId="733DB8D8" w14:textId="77777777" w:rsidR="00E05A10" w:rsidRPr="00091302" w:rsidRDefault="00E05A10" w:rsidP="00E05A10">
      <w:pPr>
        <w:pStyle w:val="EndNoteBibliography"/>
        <w:spacing w:after="0" w:line="240" w:lineRule="auto"/>
        <w:ind w:left="720" w:hanging="720"/>
        <w:contextualSpacing/>
      </w:pPr>
      <w:r w:rsidRPr="00091302">
        <w:t>S36.</w:t>
      </w:r>
      <w:r w:rsidRPr="00091302">
        <w:tab/>
        <w:t xml:space="preserve">Pfafflin M, Schmitz B, May TW. Efficacy of the epilepsy nurse: Results of a randomized controlled study. </w:t>
      </w:r>
      <w:r w:rsidRPr="00091302">
        <w:rPr>
          <w:i/>
        </w:rPr>
        <w:t>Epilepsia</w:t>
      </w:r>
      <w:r w:rsidRPr="00091302">
        <w:t xml:space="preserve"> 2016;57:1190-1198.</w:t>
      </w:r>
    </w:p>
    <w:p w14:paraId="21E91BB3" w14:textId="77777777" w:rsidR="00E05A10" w:rsidRPr="00091302" w:rsidRDefault="00E05A10" w:rsidP="00E05A10">
      <w:pPr>
        <w:pStyle w:val="EndNoteBibliography"/>
        <w:spacing w:after="0" w:line="240" w:lineRule="auto"/>
        <w:ind w:left="720" w:hanging="720"/>
        <w:contextualSpacing/>
      </w:pPr>
      <w:r w:rsidRPr="00091302">
        <w:t>S37.</w:t>
      </w:r>
      <w:r w:rsidRPr="00091302">
        <w:tab/>
        <w:t xml:space="preserve">Pourmohamadreza Tajrishi M, Abbasi S, Najafi Fard T, et al. Efficacy of Attribution Retraining on Mental Health of Epileptic Children. </w:t>
      </w:r>
      <w:r w:rsidRPr="00091302">
        <w:rPr>
          <w:i/>
        </w:rPr>
        <w:t>Iran Red Crescent Med J</w:t>
      </w:r>
      <w:r w:rsidRPr="00091302">
        <w:t xml:space="preserve"> 2015;17:e19393.</w:t>
      </w:r>
    </w:p>
    <w:p w14:paraId="06D864CB" w14:textId="77777777" w:rsidR="00E05A10" w:rsidRPr="00091302" w:rsidRDefault="00E05A10" w:rsidP="00E05A10">
      <w:pPr>
        <w:pStyle w:val="EndNoteBibliography"/>
        <w:spacing w:after="0" w:line="240" w:lineRule="auto"/>
        <w:ind w:left="720" w:hanging="720"/>
        <w:contextualSpacing/>
      </w:pPr>
      <w:r w:rsidRPr="00091302">
        <w:t>S38.</w:t>
      </w:r>
      <w:r w:rsidRPr="00091302">
        <w:tab/>
        <w:t xml:space="preserve">Pramuka M, Hendrickson R, Zinski A, et al. A psychosocial self-management program for epilepsy: a randomized pilot study in adults. </w:t>
      </w:r>
      <w:r w:rsidRPr="00091302">
        <w:rPr>
          <w:i/>
        </w:rPr>
        <w:t>Epilepsy &amp; Behavior</w:t>
      </w:r>
      <w:r w:rsidRPr="00091302">
        <w:t xml:space="preserve"> 2007;11:533-545.</w:t>
      </w:r>
    </w:p>
    <w:p w14:paraId="369F6D27" w14:textId="77777777" w:rsidR="00E05A10" w:rsidRPr="00091302" w:rsidRDefault="00E05A10" w:rsidP="00E05A10">
      <w:pPr>
        <w:pStyle w:val="EndNoteBibliography"/>
        <w:spacing w:after="0" w:line="240" w:lineRule="auto"/>
        <w:ind w:left="720" w:hanging="720"/>
        <w:contextualSpacing/>
      </w:pPr>
      <w:r w:rsidRPr="00091302">
        <w:t>S39.</w:t>
      </w:r>
      <w:r w:rsidRPr="00091302">
        <w:tab/>
        <w:t xml:space="preserve">Puskarich CA, Whitman S, Dell J, et al. Controlled examination of effects of progressive relaxation training on seizure reduction. </w:t>
      </w:r>
      <w:r w:rsidRPr="00091302">
        <w:rPr>
          <w:i/>
        </w:rPr>
        <w:t>Epilepsia</w:t>
      </w:r>
      <w:r w:rsidRPr="00091302">
        <w:t xml:space="preserve"> 1992;33:675-680.</w:t>
      </w:r>
    </w:p>
    <w:p w14:paraId="1D2B4DDB" w14:textId="77777777" w:rsidR="00E05A10" w:rsidRPr="00091302" w:rsidRDefault="00E05A10" w:rsidP="00E05A10">
      <w:pPr>
        <w:pStyle w:val="EndNoteBibliography"/>
        <w:spacing w:after="0" w:line="240" w:lineRule="auto"/>
        <w:ind w:left="720" w:hanging="720"/>
        <w:contextualSpacing/>
      </w:pPr>
      <w:r w:rsidRPr="00091302">
        <w:t>S40.</w:t>
      </w:r>
      <w:r w:rsidRPr="00091302">
        <w:tab/>
        <w:t xml:space="preserve">Ridsdale L, Kwan I, Cryer C. Newly diagnosed epilepsy: can nurse specialists help? A randomized controlled trial. Epilepsy Care Evaluation Group. </w:t>
      </w:r>
      <w:r w:rsidRPr="00091302">
        <w:rPr>
          <w:i/>
        </w:rPr>
        <w:t>Epilepsia</w:t>
      </w:r>
      <w:r w:rsidRPr="00091302">
        <w:t xml:space="preserve"> 2000;41:1014-1019.</w:t>
      </w:r>
    </w:p>
    <w:p w14:paraId="2156987C" w14:textId="77777777" w:rsidR="00E05A10" w:rsidRPr="00091302" w:rsidRDefault="00E05A10" w:rsidP="00E05A10">
      <w:pPr>
        <w:pStyle w:val="EndNoteBibliography"/>
        <w:spacing w:after="0" w:line="240" w:lineRule="auto"/>
        <w:ind w:left="720" w:hanging="720"/>
        <w:contextualSpacing/>
      </w:pPr>
      <w:r w:rsidRPr="00091302">
        <w:t>S41.</w:t>
      </w:r>
      <w:r w:rsidRPr="00091302">
        <w:tab/>
        <w:t xml:space="preserve">Rousseau A, Hermann B, Whitman S. Effects of progressive relaxation on epilepsy: analysis of a series of cases. </w:t>
      </w:r>
      <w:r w:rsidRPr="00091302">
        <w:rPr>
          <w:i/>
        </w:rPr>
        <w:t>Psychological Reports</w:t>
      </w:r>
      <w:r w:rsidRPr="00091302">
        <w:t xml:space="preserve"> 1985;57:1203-1212.</w:t>
      </w:r>
    </w:p>
    <w:p w14:paraId="1224A34B" w14:textId="77777777" w:rsidR="00E05A10" w:rsidRPr="00091302" w:rsidRDefault="00E05A10" w:rsidP="00E05A10">
      <w:pPr>
        <w:pStyle w:val="EndNoteBibliography"/>
        <w:spacing w:after="0" w:line="240" w:lineRule="auto"/>
        <w:ind w:left="720" w:hanging="720"/>
        <w:contextualSpacing/>
      </w:pPr>
      <w:r w:rsidRPr="00091302">
        <w:t>S42.</w:t>
      </w:r>
      <w:r w:rsidRPr="00091302">
        <w:tab/>
        <w:t xml:space="preserve">Schroder J, Bruckner K, Fischer A, et al. Efficacy of a psychological online intervention for depression in people with epilepsy: a randomized controlled trial. </w:t>
      </w:r>
      <w:r w:rsidRPr="00091302">
        <w:rPr>
          <w:i/>
        </w:rPr>
        <w:t>Epilepsia</w:t>
      </w:r>
      <w:r w:rsidRPr="00091302">
        <w:t xml:space="preserve"> 2014;55:2069-2076.</w:t>
      </w:r>
    </w:p>
    <w:p w14:paraId="22992A59" w14:textId="77777777" w:rsidR="00E05A10" w:rsidRPr="00091302" w:rsidRDefault="00E05A10" w:rsidP="00E05A10">
      <w:pPr>
        <w:pStyle w:val="EndNoteBibliography"/>
        <w:spacing w:after="0" w:line="240" w:lineRule="auto"/>
        <w:ind w:left="720" w:hanging="720"/>
        <w:contextualSpacing/>
      </w:pPr>
      <w:r w:rsidRPr="00091302">
        <w:t>S43.</w:t>
      </w:r>
      <w:r w:rsidRPr="00091302">
        <w:tab/>
        <w:t xml:space="preserve">Sterman MB, Shouse MN. Quantitative analysis of training, sleep EEG and clinical response to EEG operant conditioning in epileptics. </w:t>
      </w:r>
      <w:r w:rsidRPr="00091302">
        <w:rPr>
          <w:i/>
        </w:rPr>
        <w:t>Electroencephalography and Clinical Neurophysiology</w:t>
      </w:r>
      <w:r w:rsidRPr="00091302">
        <w:t xml:space="preserve"> 1980;49:558-576.</w:t>
      </w:r>
    </w:p>
    <w:p w14:paraId="68FA515A" w14:textId="77777777" w:rsidR="00E05A10" w:rsidRPr="00091302" w:rsidRDefault="00E05A10" w:rsidP="00E05A10">
      <w:pPr>
        <w:pStyle w:val="EndNoteBibliography"/>
        <w:spacing w:after="0" w:line="240" w:lineRule="auto"/>
        <w:ind w:left="720" w:hanging="720"/>
        <w:contextualSpacing/>
      </w:pPr>
      <w:r w:rsidRPr="00091302">
        <w:t>S44.</w:t>
      </w:r>
      <w:r w:rsidRPr="00091302">
        <w:tab/>
        <w:t xml:space="preserve">Synder M. Effect of relaxation on psychosocial functioning in persons with epilepsy. </w:t>
      </w:r>
      <w:r w:rsidRPr="00091302">
        <w:rPr>
          <w:i/>
        </w:rPr>
        <w:t>Journal of Neurosurgical Nursing</w:t>
      </w:r>
      <w:r w:rsidRPr="00091302">
        <w:t xml:space="preserve"> 1983;15:250-254.</w:t>
      </w:r>
    </w:p>
    <w:p w14:paraId="660FCC4D" w14:textId="77777777" w:rsidR="00E05A10" w:rsidRPr="00091302" w:rsidRDefault="00E05A10" w:rsidP="00E05A10">
      <w:pPr>
        <w:pStyle w:val="EndNoteBibliography"/>
        <w:spacing w:after="0" w:line="240" w:lineRule="auto"/>
        <w:ind w:left="720" w:hanging="720"/>
        <w:contextualSpacing/>
      </w:pPr>
      <w:r w:rsidRPr="00091302">
        <w:t>S45.</w:t>
      </w:r>
      <w:r w:rsidRPr="00091302">
        <w:tab/>
        <w:t xml:space="preserve">Tan SY, Bruni J. Cognitive-behavior therapy with adult patients with epilepsy: a controlled outcome study. </w:t>
      </w:r>
      <w:r w:rsidRPr="00091302">
        <w:rPr>
          <w:i/>
        </w:rPr>
        <w:t>Epilepsia</w:t>
      </w:r>
      <w:r w:rsidRPr="00091302">
        <w:t xml:space="preserve"> 1986;27:225-233.</w:t>
      </w:r>
    </w:p>
    <w:p w14:paraId="071D8150" w14:textId="77777777" w:rsidR="00E05A10" w:rsidRPr="00091302" w:rsidRDefault="00E05A10" w:rsidP="00E05A10">
      <w:pPr>
        <w:pStyle w:val="EndNoteBibliography"/>
        <w:spacing w:after="0" w:line="240" w:lineRule="auto"/>
        <w:ind w:left="720" w:hanging="720"/>
        <w:contextualSpacing/>
      </w:pPr>
      <w:r w:rsidRPr="00091302">
        <w:t>S46.</w:t>
      </w:r>
      <w:r w:rsidRPr="00091302">
        <w:tab/>
        <w:t xml:space="preserve">Tang V, Poon WS, Kwan P. Mindfulness-based therapy for drug-resistant epilepsy: An assessor-blinded randomized trial. </w:t>
      </w:r>
      <w:r w:rsidRPr="00091302">
        <w:rPr>
          <w:i/>
        </w:rPr>
        <w:t>Neurology</w:t>
      </w:r>
      <w:r w:rsidRPr="00091302">
        <w:t xml:space="preserve"> 2015;85:1100-1107.</w:t>
      </w:r>
    </w:p>
    <w:p w14:paraId="11F69DA7" w14:textId="77777777" w:rsidR="00E05A10" w:rsidRPr="00091302" w:rsidRDefault="00E05A10" w:rsidP="00E05A10">
      <w:pPr>
        <w:pStyle w:val="EndNoteBibliography"/>
        <w:spacing w:after="0" w:line="240" w:lineRule="auto"/>
        <w:ind w:left="720" w:hanging="720"/>
        <w:contextualSpacing/>
      </w:pPr>
      <w:r w:rsidRPr="00091302">
        <w:t>S47.</w:t>
      </w:r>
      <w:r w:rsidRPr="00091302">
        <w:tab/>
        <w:t xml:space="preserve">Thompson NJ, Patel AH, Selwa LM, et al. Expanding the efficacy of Project UPLIFT: Distance delivery of mindfulness-based depression prevention to people with epilepsy. </w:t>
      </w:r>
      <w:r w:rsidRPr="00091302">
        <w:rPr>
          <w:i/>
        </w:rPr>
        <w:t>Journal of Consulting and Clinical Psychology</w:t>
      </w:r>
      <w:r w:rsidRPr="00091302">
        <w:t xml:space="preserve"> 2015 83:304-313.</w:t>
      </w:r>
    </w:p>
    <w:p w14:paraId="3D0ABD00" w14:textId="77777777" w:rsidR="00E05A10" w:rsidRPr="00091302" w:rsidRDefault="00E05A10" w:rsidP="00E05A10">
      <w:pPr>
        <w:pStyle w:val="EndNoteBibliography"/>
        <w:spacing w:after="0" w:line="240" w:lineRule="auto"/>
        <w:ind w:left="720" w:hanging="720"/>
        <w:contextualSpacing/>
      </w:pPr>
      <w:r w:rsidRPr="00091302">
        <w:t>S48.</w:t>
      </w:r>
      <w:r w:rsidRPr="00091302">
        <w:tab/>
        <w:t xml:space="preserve">Thompson NJ, Walker ER, Obolensky N, et al. Distance delivery of mindfulness-based cognitive therapy for depression: project UPLIFT. </w:t>
      </w:r>
      <w:r w:rsidRPr="00091302">
        <w:rPr>
          <w:i/>
        </w:rPr>
        <w:t>Epilepsy &amp; Behavior</w:t>
      </w:r>
      <w:r w:rsidRPr="00091302">
        <w:t xml:space="preserve"> 2010;19:247-254.</w:t>
      </w:r>
    </w:p>
    <w:p w14:paraId="60017EB7" w14:textId="77777777" w:rsidR="00E05A10" w:rsidRPr="00091302" w:rsidRDefault="00E05A10" w:rsidP="00E05A10">
      <w:pPr>
        <w:pStyle w:val="EndNoteBibliography"/>
        <w:spacing w:after="0" w:line="240" w:lineRule="auto"/>
        <w:ind w:left="720" w:hanging="720"/>
        <w:contextualSpacing/>
      </w:pPr>
      <w:r w:rsidRPr="00091302">
        <w:t>S49.</w:t>
      </w:r>
      <w:r w:rsidRPr="00091302">
        <w:tab/>
        <w:t xml:space="preserve">Tieffenberg JA, Wood EI, Alonso AA, et al. randomized field trial of ACINDES: a child-centered training model for children with chronic illnesses (Asthma and Epilepsy). </w:t>
      </w:r>
      <w:r w:rsidRPr="00091302">
        <w:rPr>
          <w:i/>
        </w:rPr>
        <w:t>Journal of Urban Health</w:t>
      </w:r>
      <w:r w:rsidRPr="00091302">
        <w:t xml:space="preserve"> 2000 77: 280–297.</w:t>
      </w:r>
    </w:p>
    <w:p w14:paraId="472410ED" w14:textId="77777777" w:rsidR="00ED33DE" w:rsidRDefault="00E05A10" w:rsidP="00E05A10">
      <w:pPr>
        <w:rPr>
          <w:rFonts w:ascii="Arial" w:hAnsi="Arial" w:cs="Arial"/>
        </w:rPr>
        <w:sectPr w:rsidR="00ED33DE">
          <w:pgSz w:w="12240" w:h="15840"/>
          <w:pgMar w:top="1440" w:right="1440" w:bottom="1440" w:left="1440" w:header="708" w:footer="708" w:gutter="0"/>
          <w:cols w:space="708"/>
          <w:docGrid w:linePitch="360"/>
        </w:sectPr>
      </w:pPr>
      <w:r w:rsidRPr="00330610">
        <w:rPr>
          <w:rFonts w:ascii="Arial" w:hAnsi="Arial" w:cs="Arial"/>
        </w:rPr>
        <w:t>S50.</w:t>
      </w:r>
      <w:r w:rsidRPr="00330610">
        <w:rPr>
          <w:rFonts w:ascii="Arial" w:hAnsi="Arial" w:cs="Arial"/>
        </w:rPr>
        <w:tab/>
        <w:t xml:space="preserve">Yadegary MA, Maemodan FG, Nayeri ND, et al. The effect of self-management training on </w:t>
      </w:r>
      <w:r>
        <w:rPr>
          <w:rFonts w:ascii="Arial" w:hAnsi="Arial" w:cs="Arial"/>
        </w:rPr>
        <w:t>h</w:t>
      </w:r>
      <w:r w:rsidRPr="00330610">
        <w:rPr>
          <w:rFonts w:ascii="Arial" w:hAnsi="Arial" w:cs="Arial"/>
        </w:rPr>
        <w:t xml:space="preserve">ealth-related quality of life in patients with epilepsy. </w:t>
      </w:r>
      <w:r w:rsidRPr="00330610">
        <w:rPr>
          <w:rFonts w:ascii="Arial" w:hAnsi="Arial" w:cs="Arial"/>
          <w:i/>
        </w:rPr>
        <w:t>Epilepsy &amp; Behavior</w:t>
      </w:r>
      <w:r w:rsidRPr="00330610">
        <w:rPr>
          <w:rFonts w:ascii="Arial" w:hAnsi="Arial" w:cs="Arial"/>
        </w:rPr>
        <w:t xml:space="preserve"> 2015</w:t>
      </w:r>
      <w:proofErr w:type="gramStart"/>
      <w:r w:rsidRPr="00330610">
        <w:rPr>
          <w:rFonts w:ascii="Arial" w:hAnsi="Arial" w:cs="Arial"/>
        </w:rPr>
        <w:t>;50:108</w:t>
      </w:r>
      <w:proofErr w:type="gramEnd"/>
      <w:r w:rsidRPr="00330610">
        <w:rPr>
          <w:rFonts w:ascii="Arial" w:hAnsi="Arial" w:cs="Arial"/>
        </w:rPr>
        <w:t>-112</w:t>
      </w:r>
    </w:p>
    <w:p w14:paraId="4D410A84" w14:textId="0192A0E7" w:rsidR="00ED33DE" w:rsidRDefault="00ED33DE" w:rsidP="00ED33DE">
      <w:pPr>
        <w:spacing w:line="480" w:lineRule="auto"/>
        <w:contextualSpacing/>
        <w:jc w:val="both"/>
        <w:rPr>
          <w:rFonts w:ascii="Arial" w:hAnsi="Arial" w:cs="Arial"/>
          <w:b/>
          <w:caps/>
          <w:lang w:val="en-GB"/>
        </w:rPr>
      </w:pPr>
      <w:r>
        <w:rPr>
          <w:rFonts w:ascii="Arial" w:hAnsi="Arial" w:cs="Arial"/>
          <w:b/>
          <w:caps/>
          <w:lang w:val="en-GB"/>
        </w:rPr>
        <w:t>supplementary file 4</w:t>
      </w:r>
    </w:p>
    <w:p w14:paraId="4408872E" w14:textId="5FEC8461" w:rsidR="00ED33DE" w:rsidRDefault="00ED33DE" w:rsidP="004C6A0E">
      <w:pPr>
        <w:spacing w:line="240" w:lineRule="auto"/>
        <w:contextualSpacing/>
        <w:jc w:val="both"/>
        <w:rPr>
          <w:rFonts w:ascii="Arial" w:hAnsi="Arial" w:cs="Arial"/>
        </w:rPr>
      </w:pPr>
      <w:r>
        <w:rPr>
          <w:rFonts w:ascii="Arial" w:hAnsi="Arial" w:cs="Arial"/>
        </w:rPr>
        <w:t>Summary of 11 additional trials of psychological interventions identified from systematic reviews by Al-</w:t>
      </w:r>
      <w:proofErr w:type="spellStart"/>
      <w:r>
        <w:rPr>
          <w:rFonts w:ascii="Arial" w:hAnsi="Arial" w:cs="Arial"/>
        </w:rPr>
        <w:t>queel</w:t>
      </w:r>
      <w:proofErr w:type="spellEnd"/>
      <w:r>
        <w:rPr>
          <w:rFonts w:ascii="Arial" w:hAnsi="Arial" w:cs="Arial"/>
        </w:rPr>
        <w:t xml:space="preserve"> et al</w:t>
      </w:r>
      <w:r w:rsidR="004C6A0E">
        <w:rPr>
          <w:rFonts w:ascii="Arial" w:hAnsi="Arial" w:cs="Arial"/>
        </w:rPr>
        <w:t>.</w:t>
      </w:r>
      <w:proofErr w:type="gramStart"/>
      <w:r w:rsidR="004C6A0E">
        <w:rPr>
          <w:rFonts w:ascii="Arial" w:hAnsi="Arial" w:cs="Arial"/>
        </w:rPr>
        <w:t>,</w:t>
      </w:r>
      <w:r w:rsidR="004C6A0E" w:rsidRPr="00262328">
        <w:rPr>
          <w:rFonts w:ascii="Arial" w:hAnsi="Arial" w:cs="Arial"/>
          <w:vertAlign w:val="superscript"/>
        </w:rPr>
        <w:t>S4.1</w:t>
      </w:r>
      <w:proofErr w:type="gramEnd"/>
      <w:r>
        <w:rPr>
          <w:rFonts w:ascii="Arial" w:hAnsi="Arial" w:cs="Arial"/>
        </w:rPr>
        <w:t xml:space="preserve"> Wagner et al.</w:t>
      </w:r>
      <w:r w:rsidR="004C6A0E">
        <w:rPr>
          <w:rFonts w:ascii="Arial" w:hAnsi="Arial" w:cs="Arial"/>
        </w:rPr>
        <w:t>,</w:t>
      </w:r>
      <w:r w:rsidR="004C6A0E" w:rsidRPr="00262328">
        <w:rPr>
          <w:rFonts w:ascii="Arial" w:hAnsi="Arial" w:cs="Arial"/>
          <w:vertAlign w:val="superscript"/>
        </w:rPr>
        <w:t>S4.</w:t>
      </w:r>
      <w:r w:rsidR="004C6A0E">
        <w:rPr>
          <w:rFonts w:ascii="Arial" w:hAnsi="Arial" w:cs="Arial"/>
          <w:vertAlign w:val="superscript"/>
        </w:rPr>
        <w:t>2</w:t>
      </w:r>
      <w:r>
        <w:rPr>
          <w:rFonts w:ascii="Arial" w:hAnsi="Arial" w:cs="Arial"/>
        </w:rPr>
        <w:t xml:space="preserve"> and Lewis et al.</w:t>
      </w:r>
      <w:r w:rsidR="004C6A0E">
        <w:rPr>
          <w:rFonts w:ascii="Arial" w:hAnsi="Arial" w:cs="Arial"/>
        </w:rPr>
        <w:t xml:space="preserve"> </w:t>
      </w:r>
      <w:r w:rsidR="004C6A0E" w:rsidRPr="00262328">
        <w:rPr>
          <w:rFonts w:ascii="Arial" w:hAnsi="Arial" w:cs="Arial"/>
          <w:vertAlign w:val="superscript"/>
        </w:rPr>
        <w:t>S4.</w:t>
      </w:r>
      <w:r w:rsidR="004C6A0E">
        <w:rPr>
          <w:rFonts w:ascii="Arial" w:hAnsi="Arial" w:cs="Arial"/>
          <w:vertAlign w:val="superscript"/>
        </w:rPr>
        <w:t>3</w:t>
      </w:r>
      <w:r>
        <w:rPr>
          <w:rFonts w:ascii="Arial" w:hAnsi="Arial" w:cs="Arial"/>
        </w:rPr>
        <w:t xml:space="preserve"> and</w:t>
      </w:r>
      <w:r w:rsidR="004C6A0E">
        <w:rPr>
          <w:rFonts w:ascii="Arial" w:hAnsi="Arial" w:cs="Arial"/>
        </w:rPr>
        <w:t xml:space="preserve"> </w:t>
      </w:r>
      <w:r>
        <w:rPr>
          <w:rFonts w:ascii="Arial" w:hAnsi="Arial" w:cs="Arial"/>
        </w:rPr>
        <w:t>extent to which they assessed and reported on implementation fidelity</w:t>
      </w:r>
    </w:p>
    <w:p w14:paraId="0F9F756D" w14:textId="77777777" w:rsidR="004C6A0E" w:rsidRPr="00352BF1" w:rsidRDefault="004C6A0E" w:rsidP="004C6A0E">
      <w:pPr>
        <w:spacing w:line="240" w:lineRule="auto"/>
        <w:contextualSpacing/>
        <w:jc w:val="both"/>
        <w:rPr>
          <w:rFonts w:ascii="Arial" w:hAnsi="Arial" w:cs="Arial"/>
        </w:rPr>
      </w:pPr>
    </w:p>
    <w:tbl>
      <w:tblPr>
        <w:tblStyle w:val="TableGrid"/>
        <w:tblW w:w="11403" w:type="dxa"/>
        <w:jc w:val="center"/>
        <w:tblBorders>
          <w:insideV w:val="none" w:sz="0" w:space="0" w:color="auto"/>
        </w:tblBorders>
        <w:tblLayout w:type="fixed"/>
        <w:tblLook w:val="04A0" w:firstRow="1" w:lastRow="0" w:firstColumn="1" w:lastColumn="0" w:noHBand="0" w:noVBand="1"/>
      </w:tblPr>
      <w:tblGrid>
        <w:gridCol w:w="2552"/>
        <w:gridCol w:w="1843"/>
        <w:gridCol w:w="2629"/>
        <w:gridCol w:w="992"/>
        <w:gridCol w:w="1051"/>
        <w:gridCol w:w="975"/>
        <w:gridCol w:w="1361"/>
      </w:tblGrid>
      <w:tr w:rsidR="001070F5" w:rsidRPr="006858C4" w14:paraId="443D557C" w14:textId="77777777" w:rsidTr="00E7405B">
        <w:trPr>
          <w:trHeight w:val="388"/>
          <w:jc w:val="center"/>
        </w:trPr>
        <w:tc>
          <w:tcPr>
            <w:tcW w:w="2552" w:type="dxa"/>
            <w:tcBorders>
              <w:bottom w:val="nil"/>
            </w:tcBorders>
          </w:tcPr>
          <w:p w14:paraId="44629728" w14:textId="77777777" w:rsidR="001070F5" w:rsidRPr="006858C4" w:rsidRDefault="001070F5" w:rsidP="00D752B7">
            <w:pPr>
              <w:spacing w:line="360" w:lineRule="auto"/>
              <w:contextualSpacing/>
              <w:rPr>
                <w:rFonts w:ascii="Arial" w:hAnsi="Arial" w:cs="Arial"/>
                <w:b/>
                <w:sz w:val="20"/>
                <w:szCs w:val="20"/>
              </w:rPr>
            </w:pPr>
            <w:bookmarkStart w:id="2" w:name="_Hlk8395923"/>
            <w:r w:rsidRPr="006858C4">
              <w:rPr>
                <w:rFonts w:ascii="Arial" w:hAnsi="Arial" w:cs="Arial"/>
                <w:b/>
                <w:sz w:val="20"/>
                <w:szCs w:val="20"/>
              </w:rPr>
              <w:t>Trial</w:t>
            </w:r>
          </w:p>
        </w:tc>
        <w:tc>
          <w:tcPr>
            <w:tcW w:w="1843" w:type="dxa"/>
            <w:tcBorders>
              <w:bottom w:val="nil"/>
            </w:tcBorders>
          </w:tcPr>
          <w:p w14:paraId="154DAEF4" w14:textId="77777777" w:rsidR="001070F5" w:rsidRPr="006858C4" w:rsidRDefault="001070F5" w:rsidP="00D752B7">
            <w:pPr>
              <w:spacing w:line="360" w:lineRule="auto"/>
              <w:contextualSpacing/>
              <w:jc w:val="center"/>
              <w:rPr>
                <w:rFonts w:ascii="Arial" w:hAnsi="Arial" w:cs="Arial"/>
                <w:b/>
                <w:sz w:val="20"/>
                <w:szCs w:val="20"/>
              </w:rPr>
            </w:pPr>
            <w:r w:rsidRPr="006858C4">
              <w:rPr>
                <w:rFonts w:ascii="Arial" w:hAnsi="Arial" w:cs="Arial"/>
                <w:b/>
                <w:sz w:val="20"/>
                <w:szCs w:val="20"/>
              </w:rPr>
              <w:t>Year</w:t>
            </w:r>
          </w:p>
        </w:tc>
        <w:tc>
          <w:tcPr>
            <w:tcW w:w="2629" w:type="dxa"/>
            <w:tcBorders>
              <w:bottom w:val="nil"/>
            </w:tcBorders>
          </w:tcPr>
          <w:p w14:paraId="603D7CD0" w14:textId="77777777" w:rsidR="001070F5" w:rsidRPr="006858C4" w:rsidRDefault="001070F5" w:rsidP="00D752B7">
            <w:pPr>
              <w:spacing w:line="360" w:lineRule="auto"/>
              <w:contextualSpacing/>
              <w:rPr>
                <w:rFonts w:ascii="Arial" w:hAnsi="Arial" w:cs="Arial"/>
                <w:b/>
                <w:sz w:val="20"/>
                <w:szCs w:val="20"/>
              </w:rPr>
            </w:pPr>
            <w:r w:rsidRPr="006858C4">
              <w:rPr>
                <w:rFonts w:ascii="Arial" w:hAnsi="Arial" w:cs="Arial"/>
                <w:b/>
                <w:sz w:val="20"/>
                <w:szCs w:val="20"/>
              </w:rPr>
              <w:t>Country</w:t>
            </w:r>
          </w:p>
        </w:tc>
        <w:tc>
          <w:tcPr>
            <w:tcW w:w="4379" w:type="dxa"/>
            <w:gridSpan w:val="4"/>
            <w:tcBorders>
              <w:bottom w:val="single" w:sz="4" w:space="0" w:color="auto"/>
            </w:tcBorders>
          </w:tcPr>
          <w:p w14:paraId="7D8A787D" w14:textId="77777777" w:rsidR="001070F5" w:rsidRPr="006858C4" w:rsidRDefault="001070F5" w:rsidP="00D752B7">
            <w:pPr>
              <w:spacing w:line="360" w:lineRule="auto"/>
              <w:contextualSpacing/>
              <w:jc w:val="center"/>
              <w:rPr>
                <w:rFonts w:ascii="Arial" w:hAnsi="Arial" w:cs="Arial"/>
                <w:b/>
                <w:sz w:val="20"/>
                <w:szCs w:val="20"/>
              </w:rPr>
            </w:pPr>
            <w:r w:rsidRPr="006858C4">
              <w:rPr>
                <w:rFonts w:ascii="Arial" w:hAnsi="Arial" w:cs="Arial"/>
                <w:b/>
                <w:sz w:val="20"/>
                <w:szCs w:val="20"/>
              </w:rPr>
              <w:t>POMRF</w:t>
            </w:r>
          </w:p>
        </w:tc>
      </w:tr>
      <w:tr w:rsidR="001070F5" w:rsidRPr="006858C4" w14:paraId="570BE685" w14:textId="77777777" w:rsidTr="00E7405B">
        <w:trPr>
          <w:trHeight w:val="388"/>
          <w:jc w:val="center"/>
        </w:trPr>
        <w:tc>
          <w:tcPr>
            <w:tcW w:w="2552" w:type="dxa"/>
            <w:vMerge w:val="restart"/>
            <w:tcBorders>
              <w:top w:val="nil"/>
            </w:tcBorders>
          </w:tcPr>
          <w:p w14:paraId="00055C7A" w14:textId="77777777" w:rsidR="001070F5" w:rsidRPr="006858C4" w:rsidRDefault="001070F5" w:rsidP="00D752B7">
            <w:pPr>
              <w:spacing w:line="360" w:lineRule="auto"/>
              <w:contextualSpacing/>
              <w:rPr>
                <w:rFonts w:ascii="Arial" w:hAnsi="Arial" w:cs="Arial"/>
                <w:b/>
                <w:sz w:val="20"/>
                <w:szCs w:val="20"/>
              </w:rPr>
            </w:pPr>
          </w:p>
        </w:tc>
        <w:tc>
          <w:tcPr>
            <w:tcW w:w="1843" w:type="dxa"/>
            <w:vMerge w:val="restart"/>
            <w:tcBorders>
              <w:top w:val="nil"/>
            </w:tcBorders>
          </w:tcPr>
          <w:p w14:paraId="68B97368" w14:textId="77777777" w:rsidR="001070F5" w:rsidRPr="006858C4" w:rsidRDefault="001070F5" w:rsidP="00D752B7">
            <w:pPr>
              <w:spacing w:line="360" w:lineRule="auto"/>
              <w:contextualSpacing/>
              <w:jc w:val="center"/>
              <w:rPr>
                <w:rFonts w:ascii="Arial" w:hAnsi="Arial" w:cs="Arial"/>
                <w:b/>
                <w:sz w:val="20"/>
                <w:szCs w:val="20"/>
              </w:rPr>
            </w:pPr>
          </w:p>
        </w:tc>
        <w:tc>
          <w:tcPr>
            <w:tcW w:w="2629" w:type="dxa"/>
            <w:vMerge w:val="restart"/>
            <w:tcBorders>
              <w:top w:val="nil"/>
            </w:tcBorders>
          </w:tcPr>
          <w:p w14:paraId="2D8D5ABD" w14:textId="77777777" w:rsidR="001070F5" w:rsidRPr="006858C4" w:rsidRDefault="001070F5" w:rsidP="00D752B7">
            <w:pPr>
              <w:spacing w:line="360" w:lineRule="auto"/>
              <w:contextualSpacing/>
              <w:jc w:val="center"/>
              <w:rPr>
                <w:rFonts w:ascii="Arial" w:hAnsi="Arial" w:cs="Arial"/>
                <w:b/>
                <w:sz w:val="20"/>
                <w:szCs w:val="20"/>
              </w:rPr>
            </w:pPr>
          </w:p>
        </w:tc>
        <w:tc>
          <w:tcPr>
            <w:tcW w:w="2043" w:type="dxa"/>
            <w:gridSpan w:val="2"/>
            <w:tcBorders>
              <w:top w:val="single" w:sz="4" w:space="0" w:color="auto"/>
            </w:tcBorders>
          </w:tcPr>
          <w:p w14:paraId="6C3A0C36" w14:textId="77777777" w:rsidR="001070F5" w:rsidRPr="006858C4" w:rsidRDefault="001070F5" w:rsidP="00D752B7">
            <w:pPr>
              <w:spacing w:line="360" w:lineRule="auto"/>
              <w:contextualSpacing/>
              <w:jc w:val="center"/>
              <w:rPr>
                <w:rFonts w:ascii="Arial" w:hAnsi="Arial" w:cs="Arial"/>
                <w:b/>
                <w:sz w:val="20"/>
                <w:szCs w:val="20"/>
              </w:rPr>
            </w:pPr>
            <w:r w:rsidRPr="006858C4">
              <w:rPr>
                <w:rFonts w:ascii="Arial" w:hAnsi="Arial" w:cs="Arial"/>
                <w:b/>
                <w:sz w:val="20"/>
                <w:szCs w:val="20"/>
              </w:rPr>
              <w:t xml:space="preserve">Adherence </w:t>
            </w:r>
          </w:p>
        </w:tc>
        <w:tc>
          <w:tcPr>
            <w:tcW w:w="2336" w:type="dxa"/>
            <w:gridSpan w:val="2"/>
            <w:tcBorders>
              <w:top w:val="single" w:sz="4" w:space="0" w:color="auto"/>
            </w:tcBorders>
          </w:tcPr>
          <w:p w14:paraId="09F354E1" w14:textId="77777777" w:rsidR="001070F5" w:rsidRPr="006858C4" w:rsidRDefault="001070F5" w:rsidP="00D752B7">
            <w:pPr>
              <w:spacing w:line="360" w:lineRule="auto"/>
              <w:contextualSpacing/>
              <w:jc w:val="center"/>
              <w:rPr>
                <w:rFonts w:ascii="Arial" w:hAnsi="Arial" w:cs="Arial"/>
                <w:b/>
                <w:sz w:val="20"/>
                <w:szCs w:val="20"/>
              </w:rPr>
            </w:pPr>
            <w:r w:rsidRPr="006858C4">
              <w:rPr>
                <w:rFonts w:ascii="Arial" w:hAnsi="Arial" w:cs="Arial"/>
                <w:b/>
                <w:sz w:val="20"/>
                <w:szCs w:val="20"/>
              </w:rPr>
              <w:t xml:space="preserve">Competence </w:t>
            </w:r>
          </w:p>
        </w:tc>
      </w:tr>
      <w:tr w:rsidR="001070F5" w:rsidRPr="006858C4" w14:paraId="460CF59B" w14:textId="77777777" w:rsidTr="00E7405B">
        <w:trPr>
          <w:trHeight w:val="407"/>
          <w:jc w:val="center"/>
        </w:trPr>
        <w:tc>
          <w:tcPr>
            <w:tcW w:w="2552" w:type="dxa"/>
            <w:vMerge/>
            <w:tcBorders>
              <w:bottom w:val="single" w:sz="4" w:space="0" w:color="auto"/>
            </w:tcBorders>
          </w:tcPr>
          <w:p w14:paraId="7E9771A7" w14:textId="77777777" w:rsidR="001070F5" w:rsidRPr="006858C4" w:rsidRDefault="001070F5" w:rsidP="00D752B7">
            <w:pPr>
              <w:spacing w:line="360" w:lineRule="auto"/>
              <w:contextualSpacing/>
              <w:rPr>
                <w:rFonts w:ascii="Arial" w:hAnsi="Arial" w:cs="Arial"/>
                <w:sz w:val="20"/>
                <w:szCs w:val="20"/>
              </w:rPr>
            </w:pPr>
          </w:p>
        </w:tc>
        <w:tc>
          <w:tcPr>
            <w:tcW w:w="1843" w:type="dxa"/>
            <w:vMerge/>
            <w:tcBorders>
              <w:bottom w:val="single" w:sz="4" w:space="0" w:color="auto"/>
            </w:tcBorders>
          </w:tcPr>
          <w:p w14:paraId="12EFFEBE" w14:textId="77777777" w:rsidR="001070F5" w:rsidRPr="006858C4" w:rsidRDefault="001070F5" w:rsidP="00D752B7">
            <w:pPr>
              <w:spacing w:line="360" w:lineRule="auto"/>
              <w:contextualSpacing/>
              <w:jc w:val="center"/>
              <w:rPr>
                <w:rFonts w:ascii="Arial" w:hAnsi="Arial" w:cs="Arial"/>
                <w:sz w:val="20"/>
                <w:szCs w:val="20"/>
              </w:rPr>
            </w:pPr>
          </w:p>
        </w:tc>
        <w:tc>
          <w:tcPr>
            <w:tcW w:w="2629" w:type="dxa"/>
            <w:vMerge/>
            <w:tcBorders>
              <w:bottom w:val="single" w:sz="4" w:space="0" w:color="auto"/>
            </w:tcBorders>
          </w:tcPr>
          <w:p w14:paraId="1C0C883B" w14:textId="77777777" w:rsidR="001070F5" w:rsidRPr="006858C4" w:rsidRDefault="001070F5" w:rsidP="00D752B7">
            <w:pPr>
              <w:spacing w:line="360" w:lineRule="auto"/>
              <w:contextualSpacing/>
              <w:jc w:val="center"/>
              <w:rPr>
                <w:rFonts w:ascii="Arial" w:hAnsi="Arial" w:cs="Arial"/>
                <w:sz w:val="20"/>
                <w:szCs w:val="20"/>
              </w:rPr>
            </w:pPr>
          </w:p>
        </w:tc>
        <w:tc>
          <w:tcPr>
            <w:tcW w:w="992" w:type="dxa"/>
            <w:tcBorders>
              <w:bottom w:val="single" w:sz="4" w:space="0" w:color="auto"/>
            </w:tcBorders>
          </w:tcPr>
          <w:p w14:paraId="37D252E7" w14:textId="77777777" w:rsidR="001070F5" w:rsidRPr="006858C4" w:rsidRDefault="001070F5" w:rsidP="00D752B7">
            <w:pPr>
              <w:spacing w:line="360" w:lineRule="auto"/>
              <w:contextualSpacing/>
              <w:jc w:val="center"/>
              <w:rPr>
                <w:rFonts w:ascii="Arial" w:hAnsi="Arial" w:cs="Arial"/>
                <w:sz w:val="20"/>
                <w:szCs w:val="20"/>
              </w:rPr>
            </w:pPr>
            <w:r w:rsidRPr="006858C4">
              <w:rPr>
                <w:rFonts w:ascii="Arial" w:hAnsi="Arial" w:cs="Arial"/>
                <w:sz w:val="20"/>
                <w:szCs w:val="20"/>
              </w:rPr>
              <w:t>Rating</w:t>
            </w:r>
          </w:p>
        </w:tc>
        <w:tc>
          <w:tcPr>
            <w:tcW w:w="1051" w:type="dxa"/>
            <w:tcBorders>
              <w:bottom w:val="single" w:sz="4" w:space="0" w:color="auto"/>
            </w:tcBorders>
          </w:tcPr>
          <w:p w14:paraId="1AC34236" w14:textId="77777777" w:rsidR="001070F5" w:rsidRPr="006858C4" w:rsidRDefault="001070F5" w:rsidP="00D752B7">
            <w:pPr>
              <w:spacing w:line="360" w:lineRule="auto"/>
              <w:contextualSpacing/>
              <w:jc w:val="center"/>
              <w:rPr>
                <w:rFonts w:ascii="Arial" w:hAnsi="Arial" w:cs="Arial"/>
                <w:sz w:val="20"/>
                <w:szCs w:val="20"/>
              </w:rPr>
            </w:pPr>
            <w:r w:rsidRPr="006858C4">
              <w:rPr>
                <w:rFonts w:ascii="Arial" w:hAnsi="Arial" w:cs="Arial"/>
                <w:sz w:val="20"/>
                <w:szCs w:val="20"/>
              </w:rPr>
              <w:t>Result reported</w:t>
            </w:r>
          </w:p>
        </w:tc>
        <w:tc>
          <w:tcPr>
            <w:tcW w:w="975" w:type="dxa"/>
            <w:tcBorders>
              <w:bottom w:val="single" w:sz="4" w:space="0" w:color="auto"/>
            </w:tcBorders>
          </w:tcPr>
          <w:p w14:paraId="4FCFC05F" w14:textId="77777777" w:rsidR="001070F5" w:rsidRPr="006858C4" w:rsidRDefault="001070F5" w:rsidP="00D752B7">
            <w:pPr>
              <w:spacing w:line="360" w:lineRule="auto"/>
              <w:contextualSpacing/>
              <w:jc w:val="center"/>
              <w:rPr>
                <w:rFonts w:ascii="Arial" w:hAnsi="Arial" w:cs="Arial"/>
                <w:sz w:val="20"/>
                <w:szCs w:val="20"/>
              </w:rPr>
            </w:pPr>
            <w:r w:rsidRPr="006858C4">
              <w:rPr>
                <w:rFonts w:ascii="Arial" w:hAnsi="Arial" w:cs="Arial"/>
                <w:sz w:val="20"/>
                <w:szCs w:val="20"/>
              </w:rPr>
              <w:t>Rating</w:t>
            </w:r>
          </w:p>
        </w:tc>
        <w:tc>
          <w:tcPr>
            <w:tcW w:w="1361" w:type="dxa"/>
            <w:tcBorders>
              <w:bottom w:val="single" w:sz="4" w:space="0" w:color="auto"/>
            </w:tcBorders>
          </w:tcPr>
          <w:p w14:paraId="7013E389" w14:textId="77777777" w:rsidR="001070F5" w:rsidRPr="006858C4" w:rsidRDefault="001070F5" w:rsidP="00D752B7">
            <w:pPr>
              <w:spacing w:line="360" w:lineRule="auto"/>
              <w:contextualSpacing/>
              <w:jc w:val="center"/>
              <w:rPr>
                <w:rFonts w:ascii="Arial" w:hAnsi="Arial" w:cs="Arial"/>
                <w:sz w:val="20"/>
                <w:szCs w:val="20"/>
              </w:rPr>
            </w:pPr>
            <w:r w:rsidRPr="006858C4">
              <w:rPr>
                <w:rFonts w:ascii="Arial" w:hAnsi="Arial" w:cs="Arial"/>
                <w:sz w:val="20"/>
                <w:szCs w:val="20"/>
              </w:rPr>
              <w:t>Result reported</w:t>
            </w:r>
          </w:p>
        </w:tc>
      </w:tr>
      <w:tr w:rsidR="00E7405B" w:rsidRPr="006858C4" w14:paraId="09ADA6B4" w14:textId="77777777" w:rsidTr="00E7405B">
        <w:trPr>
          <w:jc w:val="center"/>
        </w:trPr>
        <w:tc>
          <w:tcPr>
            <w:tcW w:w="2552" w:type="dxa"/>
            <w:tcBorders>
              <w:bottom w:val="nil"/>
            </w:tcBorders>
          </w:tcPr>
          <w:p w14:paraId="7A371871" w14:textId="7C58643C" w:rsidR="00E7405B" w:rsidRPr="006858C4" w:rsidRDefault="00E7405B" w:rsidP="00E7405B">
            <w:pPr>
              <w:spacing w:line="360" w:lineRule="auto"/>
              <w:rPr>
                <w:rFonts w:ascii="Arial" w:hAnsi="Arial" w:cs="Arial"/>
                <w:sz w:val="20"/>
                <w:szCs w:val="20"/>
                <w:vertAlign w:val="superscript"/>
              </w:rPr>
            </w:pPr>
            <w:bookmarkStart w:id="3" w:name="_Hlk2802503"/>
            <w:proofErr w:type="spellStart"/>
            <w:r w:rsidRPr="006858C4">
              <w:rPr>
                <w:rFonts w:ascii="Arial" w:hAnsi="Arial" w:cs="Arial"/>
                <w:sz w:val="20"/>
                <w:szCs w:val="20"/>
              </w:rPr>
              <w:t>Adamolekun</w:t>
            </w:r>
            <w:proofErr w:type="spellEnd"/>
            <w:r w:rsidRPr="006858C4">
              <w:rPr>
                <w:rFonts w:ascii="Arial" w:hAnsi="Arial" w:cs="Arial"/>
                <w:sz w:val="20"/>
                <w:szCs w:val="20"/>
              </w:rPr>
              <w:t xml:space="preserve"> et al.* </w:t>
            </w:r>
            <w:bookmarkStart w:id="4" w:name="_Hlk8583968"/>
            <w:r w:rsidRPr="006858C4">
              <w:rPr>
                <w:rFonts w:ascii="Arial" w:hAnsi="Arial" w:cs="Arial"/>
                <w:sz w:val="20"/>
                <w:szCs w:val="20"/>
                <w:vertAlign w:val="superscript"/>
              </w:rPr>
              <w:t>S4.</w:t>
            </w:r>
            <w:bookmarkEnd w:id="4"/>
            <w:r w:rsidRPr="006858C4">
              <w:rPr>
                <w:rFonts w:ascii="Arial" w:hAnsi="Arial" w:cs="Arial"/>
                <w:sz w:val="20"/>
                <w:szCs w:val="20"/>
                <w:vertAlign w:val="superscript"/>
              </w:rPr>
              <w:t>4 *</w:t>
            </w:r>
          </w:p>
        </w:tc>
        <w:tc>
          <w:tcPr>
            <w:tcW w:w="1843" w:type="dxa"/>
            <w:tcBorders>
              <w:bottom w:val="nil"/>
            </w:tcBorders>
          </w:tcPr>
          <w:p w14:paraId="2EB19ECA" w14:textId="14A863FC"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1999</w:t>
            </w:r>
          </w:p>
        </w:tc>
        <w:tc>
          <w:tcPr>
            <w:tcW w:w="2629" w:type="dxa"/>
            <w:tcBorders>
              <w:bottom w:val="nil"/>
            </w:tcBorders>
          </w:tcPr>
          <w:p w14:paraId="6F25690C" w14:textId="790B5FB0"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Zimbabwe</w:t>
            </w:r>
          </w:p>
        </w:tc>
        <w:tc>
          <w:tcPr>
            <w:tcW w:w="992" w:type="dxa"/>
            <w:tcBorders>
              <w:bottom w:val="nil"/>
            </w:tcBorders>
          </w:tcPr>
          <w:p w14:paraId="73E85136" w14:textId="4F3DE084"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Fair </w:t>
            </w:r>
          </w:p>
        </w:tc>
        <w:tc>
          <w:tcPr>
            <w:tcW w:w="1051" w:type="dxa"/>
            <w:tcBorders>
              <w:bottom w:val="nil"/>
            </w:tcBorders>
          </w:tcPr>
          <w:p w14:paraId="32808246" w14:textId="3C2E2EF9"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No</w:t>
            </w:r>
          </w:p>
        </w:tc>
        <w:tc>
          <w:tcPr>
            <w:tcW w:w="975" w:type="dxa"/>
            <w:tcBorders>
              <w:bottom w:val="nil"/>
            </w:tcBorders>
          </w:tcPr>
          <w:p w14:paraId="07128270" w14:textId="757F16CE"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N/A</w:t>
            </w:r>
          </w:p>
        </w:tc>
        <w:tc>
          <w:tcPr>
            <w:tcW w:w="1361" w:type="dxa"/>
            <w:tcBorders>
              <w:bottom w:val="nil"/>
            </w:tcBorders>
          </w:tcPr>
          <w:p w14:paraId="6C22AF58" w14:textId="369BB31B"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N/A</w:t>
            </w:r>
          </w:p>
        </w:tc>
      </w:tr>
      <w:tr w:rsidR="00E7405B" w:rsidRPr="006858C4" w14:paraId="6191064D" w14:textId="77777777" w:rsidTr="00E7405B">
        <w:trPr>
          <w:jc w:val="center"/>
        </w:trPr>
        <w:tc>
          <w:tcPr>
            <w:tcW w:w="2552" w:type="dxa"/>
            <w:tcBorders>
              <w:top w:val="nil"/>
              <w:bottom w:val="nil"/>
            </w:tcBorders>
          </w:tcPr>
          <w:p w14:paraId="65E0F1DF" w14:textId="007190F1" w:rsidR="00E7405B" w:rsidRPr="006858C4" w:rsidRDefault="00E7405B" w:rsidP="00E7405B">
            <w:pPr>
              <w:spacing w:line="360" w:lineRule="auto"/>
              <w:rPr>
                <w:rFonts w:ascii="Arial" w:hAnsi="Arial" w:cs="Arial"/>
                <w:sz w:val="20"/>
                <w:szCs w:val="20"/>
              </w:rPr>
            </w:pPr>
            <w:r w:rsidRPr="006858C4">
              <w:rPr>
                <w:rFonts w:ascii="Arial" w:hAnsi="Arial" w:cs="Arial"/>
                <w:sz w:val="20"/>
                <w:szCs w:val="20"/>
              </w:rPr>
              <w:t xml:space="preserve">Brown et al. </w:t>
            </w:r>
            <w:r w:rsidRPr="006858C4">
              <w:rPr>
                <w:rFonts w:ascii="Arial" w:hAnsi="Arial" w:cs="Arial"/>
                <w:sz w:val="20"/>
                <w:szCs w:val="20"/>
                <w:vertAlign w:val="superscript"/>
              </w:rPr>
              <w:t>S4.5</w:t>
            </w:r>
          </w:p>
        </w:tc>
        <w:tc>
          <w:tcPr>
            <w:tcW w:w="1843" w:type="dxa"/>
            <w:tcBorders>
              <w:top w:val="nil"/>
              <w:bottom w:val="nil"/>
            </w:tcBorders>
          </w:tcPr>
          <w:p w14:paraId="01ABF7D8" w14:textId="2A7BEB8E"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2009</w:t>
            </w:r>
          </w:p>
        </w:tc>
        <w:tc>
          <w:tcPr>
            <w:tcW w:w="2629" w:type="dxa"/>
            <w:tcBorders>
              <w:top w:val="nil"/>
              <w:bottom w:val="nil"/>
            </w:tcBorders>
          </w:tcPr>
          <w:p w14:paraId="3D4FC84D" w14:textId="20F5AAB9"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UK</w:t>
            </w:r>
          </w:p>
        </w:tc>
        <w:tc>
          <w:tcPr>
            <w:tcW w:w="992" w:type="dxa"/>
            <w:tcBorders>
              <w:top w:val="nil"/>
              <w:bottom w:val="nil"/>
            </w:tcBorders>
          </w:tcPr>
          <w:p w14:paraId="5B46580D" w14:textId="6BDE1267"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Poor</w:t>
            </w:r>
          </w:p>
        </w:tc>
        <w:tc>
          <w:tcPr>
            <w:tcW w:w="1051" w:type="dxa"/>
            <w:tcBorders>
              <w:top w:val="nil"/>
              <w:bottom w:val="nil"/>
            </w:tcBorders>
          </w:tcPr>
          <w:p w14:paraId="34ACD1D3" w14:textId="76E5C86E"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 </w:t>
            </w:r>
          </w:p>
        </w:tc>
        <w:tc>
          <w:tcPr>
            <w:tcW w:w="975" w:type="dxa"/>
            <w:tcBorders>
              <w:top w:val="nil"/>
              <w:bottom w:val="nil"/>
            </w:tcBorders>
          </w:tcPr>
          <w:p w14:paraId="64FA6317" w14:textId="7897D78D"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N/A</w:t>
            </w:r>
          </w:p>
        </w:tc>
        <w:tc>
          <w:tcPr>
            <w:tcW w:w="1361" w:type="dxa"/>
            <w:tcBorders>
              <w:top w:val="nil"/>
              <w:bottom w:val="nil"/>
            </w:tcBorders>
          </w:tcPr>
          <w:p w14:paraId="74B86895" w14:textId="50CA83B4"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N/A</w:t>
            </w:r>
          </w:p>
        </w:tc>
        <w:bookmarkStart w:id="5" w:name="_GoBack"/>
        <w:bookmarkEnd w:id="5"/>
      </w:tr>
      <w:tr w:rsidR="00E7405B" w:rsidRPr="006858C4" w14:paraId="41AE9743" w14:textId="77777777" w:rsidTr="00E7405B">
        <w:trPr>
          <w:jc w:val="center"/>
        </w:trPr>
        <w:tc>
          <w:tcPr>
            <w:tcW w:w="2552" w:type="dxa"/>
            <w:tcBorders>
              <w:top w:val="nil"/>
              <w:bottom w:val="nil"/>
            </w:tcBorders>
          </w:tcPr>
          <w:p w14:paraId="13ABA0A7" w14:textId="5D5223CE" w:rsidR="00E7405B" w:rsidRPr="006858C4" w:rsidRDefault="00E7405B" w:rsidP="00E7405B">
            <w:pPr>
              <w:spacing w:line="360" w:lineRule="auto"/>
              <w:rPr>
                <w:rFonts w:ascii="Arial" w:hAnsi="Arial" w:cs="Arial"/>
                <w:sz w:val="20"/>
                <w:szCs w:val="20"/>
              </w:rPr>
            </w:pPr>
            <w:proofErr w:type="spellStart"/>
            <w:r w:rsidRPr="006858C4">
              <w:rPr>
                <w:rFonts w:ascii="Arial" w:hAnsi="Arial" w:cs="Arial"/>
                <w:sz w:val="20"/>
                <w:szCs w:val="20"/>
              </w:rPr>
              <w:t>Glueckauf</w:t>
            </w:r>
            <w:proofErr w:type="spellEnd"/>
            <w:r w:rsidRPr="006858C4">
              <w:rPr>
                <w:rFonts w:ascii="Arial" w:hAnsi="Arial" w:cs="Arial"/>
                <w:sz w:val="20"/>
                <w:szCs w:val="20"/>
              </w:rPr>
              <w:t xml:space="preserve"> et al. </w:t>
            </w:r>
            <w:r w:rsidRPr="006858C4">
              <w:rPr>
                <w:rFonts w:ascii="Arial" w:hAnsi="Arial" w:cs="Arial"/>
                <w:sz w:val="20"/>
                <w:szCs w:val="20"/>
                <w:vertAlign w:val="superscript"/>
              </w:rPr>
              <w:t>S4.6</w:t>
            </w:r>
          </w:p>
        </w:tc>
        <w:tc>
          <w:tcPr>
            <w:tcW w:w="1843" w:type="dxa"/>
            <w:tcBorders>
              <w:top w:val="nil"/>
              <w:bottom w:val="nil"/>
            </w:tcBorders>
          </w:tcPr>
          <w:p w14:paraId="3A3ED0A1" w14:textId="33418452"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2002</w:t>
            </w:r>
          </w:p>
        </w:tc>
        <w:tc>
          <w:tcPr>
            <w:tcW w:w="2629" w:type="dxa"/>
            <w:tcBorders>
              <w:top w:val="nil"/>
              <w:bottom w:val="nil"/>
            </w:tcBorders>
          </w:tcPr>
          <w:p w14:paraId="16D67F8A" w14:textId="11A9BA10"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US</w:t>
            </w:r>
          </w:p>
        </w:tc>
        <w:tc>
          <w:tcPr>
            <w:tcW w:w="992" w:type="dxa"/>
            <w:tcBorders>
              <w:top w:val="nil"/>
              <w:bottom w:val="nil"/>
            </w:tcBorders>
          </w:tcPr>
          <w:p w14:paraId="7CBE720A" w14:textId="55FD4610"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Poor</w:t>
            </w:r>
          </w:p>
        </w:tc>
        <w:tc>
          <w:tcPr>
            <w:tcW w:w="1051" w:type="dxa"/>
            <w:tcBorders>
              <w:top w:val="nil"/>
              <w:bottom w:val="nil"/>
            </w:tcBorders>
          </w:tcPr>
          <w:p w14:paraId="3129E424" w14:textId="695776EE"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 </w:t>
            </w:r>
          </w:p>
        </w:tc>
        <w:tc>
          <w:tcPr>
            <w:tcW w:w="975" w:type="dxa"/>
            <w:tcBorders>
              <w:top w:val="nil"/>
              <w:bottom w:val="nil"/>
            </w:tcBorders>
          </w:tcPr>
          <w:p w14:paraId="2F221252" w14:textId="042B6B95"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Fair </w:t>
            </w:r>
          </w:p>
        </w:tc>
        <w:tc>
          <w:tcPr>
            <w:tcW w:w="1361" w:type="dxa"/>
            <w:tcBorders>
              <w:top w:val="nil"/>
              <w:bottom w:val="nil"/>
            </w:tcBorders>
          </w:tcPr>
          <w:p w14:paraId="49259414" w14:textId="402911DF"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Yes</w:t>
            </w:r>
          </w:p>
        </w:tc>
      </w:tr>
      <w:tr w:rsidR="00E7405B" w:rsidRPr="006858C4" w14:paraId="178177D6" w14:textId="77777777" w:rsidTr="00E7405B">
        <w:trPr>
          <w:jc w:val="center"/>
        </w:trPr>
        <w:tc>
          <w:tcPr>
            <w:tcW w:w="2552" w:type="dxa"/>
            <w:tcBorders>
              <w:top w:val="nil"/>
              <w:bottom w:val="nil"/>
            </w:tcBorders>
          </w:tcPr>
          <w:p w14:paraId="61EDB091" w14:textId="0288498D" w:rsidR="00E7405B" w:rsidRPr="006858C4" w:rsidRDefault="00E7405B" w:rsidP="00E7405B">
            <w:pPr>
              <w:spacing w:line="360" w:lineRule="auto"/>
              <w:rPr>
                <w:rFonts w:ascii="Arial" w:hAnsi="Arial" w:cs="Arial"/>
                <w:sz w:val="20"/>
                <w:szCs w:val="20"/>
              </w:rPr>
            </w:pPr>
            <w:proofErr w:type="spellStart"/>
            <w:r w:rsidRPr="006858C4">
              <w:rPr>
                <w:rFonts w:ascii="Arial" w:hAnsi="Arial" w:cs="Arial"/>
                <w:sz w:val="20"/>
                <w:szCs w:val="20"/>
              </w:rPr>
              <w:t>Ibinda</w:t>
            </w:r>
            <w:proofErr w:type="spellEnd"/>
            <w:r w:rsidRPr="006858C4">
              <w:rPr>
                <w:rFonts w:ascii="Arial" w:hAnsi="Arial" w:cs="Arial"/>
                <w:sz w:val="20"/>
                <w:szCs w:val="20"/>
              </w:rPr>
              <w:t xml:space="preserve"> et al. </w:t>
            </w:r>
            <w:r w:rsidRPr="006858C4">
              <w:rPr>
                <w:rFonts w:ascii="Arial" w:hAnsi="Arial" w:cs="Arial"/>
                <w:sz w:val="20"/>
                <w:szCs w:val="20"/>
                <w:vertAlign w:val="superscript"/>
              </w:rPr>
              <w:t>S4.7</w:t>
            </w:r>
          </w:p>
        </w:tc>
        <w:tc>
          <w:tcPr>
            <w:tcW w:w="1843" w:type="dxa"/>
            <w:tcBorders>
              <w:top w:val="nil"/>
              <w:bottom w:val="nil"/>
            </w:tcBorders>
          </w:tcPr>
          <w:p w14:paraId="769B9299" w14:textId="170F2E1E"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2014</w:t>
            </w:r>
          </w:p>
        </w:tc>
        <w:tc>
          <w:tcPr>
            <w:tcW w:w="2629" w:type="dxa"/>
            <w:tcBorders>
              <w:top w:val="nil"/>
              <w:bottom w:val="nil"/>
            </w:tcBorders>
          </w:tcPr>
          <w:p w14:paraId="4953F550" w14:textId="472B3623"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Kenya</w:t>
            </w:r>
          </w:p>
        </w:tc>
        <w:tc>
          <w:tcPr>
            <w:tcW w:w="992" w:type="dxa"/>
            <w:tcBorders>
              <w:top w:val="nil"/>
              <w:bottom w:val="nil"/>
            </w:tcBorders>
          </w:tcPr>
          <w:p w14:paraId="74C7979D" w14:textId="36D27B87"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Poor</w:t>
            </w:r>
          </w:p>
        </w:tc>
        <w:tc>
          <w:tcPr>
            <w:tcW w:w="1051" w:type="dxa"/>
            <w:tcBorders>
              <w:top w:val="nil"/>
              <w:bottom w:val="nil"/>
            </w:tcBorders>
          </w:tcPr>
          <w:p w14:paraId="2810561A" w14:textId="061BFBF8"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 xml:space="preserve">- </w:t>
            </w:r>
          </w:p>
        </w:tc>
        <w:tc>
          <w:tcPr>
            <w:tcW w:w="975" w:type="dxa"/>
            <w:tcBorders>
              <w:top w:val="nil"/>
              <w:bottom w:val="nil"/>
            </w:tcBorders>
          </w:tcPr>
          <w:p w14:paraId="15C3E4DC" w14:textId="10CAE8C8"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Poor </w:t>
            </w:r>
          </w:p>
        </w:tc>
        <w:tc>
          <w:tcPr>
            <w:tcW w:w="1361" w:type="dxa"/>
            <w:tcBorders>
              <w:top w:val="nil"/>
              <w:bottom w:val="nil"/>
            </w:tcBorders>
          </w:tcPr>
          <w:p w14:paraId="172F955B" w14:textId="1BA33A21"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r>
      <w:tr w:rsidR="00E7405B" w:rsidRPr="006858C4" w14:paraId="32C00409" w14:textId="77777777" w:rsidTr="00E7405B">
        <w:trPr>
          <w:jc w:val="center"/>
        </w:trPr>
        <w:tc>
          <w:tcPr>
            <w:tcW w:w="2552" w:type="dxa"/>
            <w:tcBorders>
              <w:top w:val="nil"/>
              <w:bottom w:val="nil"/>
            </w:tcBorders>
          </w:tcPr>
          <w:p w14:paraId="5CDF13EC" w14:textId="1053DCBC" w:rsidR="00E7405B" w:rsidRPr="006858C4" w:rsidRDefault="00E7405B" w:rsidP="00E7405B">
            <w:pPr>
              <w:spacing w:line="360" w:lineRule="auto"/>
              <w:rPr>
                <w:rFonts w:ascii="Arial" w:hAnsi="Arial" w:cs="Arial"/>
                <w:sz w:val="20"/>
                <w:szCs w:val="20"/>
              </w:rPr>
            </w:pPr>
            <w:r w:rsidRPr="006858C4">
              <w:rPr>
                <w:rFonts w:ascii="Arial" w:hAnsi="Arial" w:cs="Arial"/>
                <w:sz w:val="20"/>
                <w:szCs w:val="20"/>
              </w:rPr>
              <w:t xml:space="preserve">Lewis et al. </w:t>
            </w:r>
            <w:r w:rsidRPr="006858C4">
              <w:rPr>
                <w:rFonts w:ascii="Arial" w:hAnsi="Arial" w:cs="Arial"/>
                <w:sz w:val="20"/>
                <w:szCs w:val="20"/>
                <w:vertAlign w:val="superscript"/>
              </w:rPr>
              <w:t>S4.8</w:t>
            </w:r>
          </w:p>
        </w:tc>
        <w:tc>
          <w:tcPr>
            <w:tcW w:w="1843" w:type="dxa"/>
            <w:tcBorders>
              <w:top w:val="nil"/>
              <w:bottom w:val="nil"/>
            </w:tcBorders>
          </w:tcPr>
          <w:p w14:paraId="750C3400" w14:textId="751DA4DD"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1991</w:t>
            </w:r>
          </w:p>
        </w:tc>
        <w:tc>
          <w:tcPr>
            <w:tcW w:w="2629" w:type="dxa"/>
            <w:tcBorders>
              <w:top w:val="nil"/>
              <w:bottom w:val="nil"/>
            </w:tcBorders>
          </w:tcPr>
          <w:p w14:paraId="7033DA16" w14:textId="31899EC7"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Chile</w:t>
            </w:r>
          </w:p>
        </w:tc>
        <w:tc>
          <w:tcPr>
            <w:tcW w:w="992" w:type="dxa"/>
            <w:tcBorders>
              <w:top w:val="nil"/>
              <w:bottom w:val="nil"/>
            </w:tcBorders>
          </w:tcPr>
          <w:p w14:paraId="5B19E51D" w14:textId="463DC41F"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Poor</w:t>
            </w:r>
          </w:p>
        </w:tc>
        <w:tc>
          <w:tcPr>
            <w:tcW w:w="1051" w:type="dxa"/>
            <w:tcBorders>
              <w:top w:val="nil"/>
              <w:bottom w:val="nil"/>
            </w:tcBorders>
          </w:tcPr>
          <w:p w14:paraId="0B77603B" w14:textId="1CC8098A"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 xml:space="preserve">- </w:t>
            </w:r>
          </w:p>
        </w:tc>
        <w:tc>
          <w:tcPr>
            <w:tcW w:w="975" w:type="dxa"/>
            <w:tcBorders>
              <w:top w:val="nil"/>
              <w:bottom w:val="nil"/>
            </w:tcBorders>
          </w:tcPr>
          <w:p w14:paraId="7DB370FA" w14:textId="367CDACA"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Poor </w:t>
            </w:r>
          </w:p>
        </w:tc>
        <w:tc>
          <w:tcPr>
            <w:tcW w:w="1361" w:type="dxa"/>
            <w:tcBorders>
              <w:top w:val="nil"/>
              <w:bottom w:val="nil"/>
            </w:tcBorders>
          </w:tcPr>
          <w:p w14:paraId="680213D7" w14:textId="0B70115A"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r>
      <w:tr w:rsidR="00E7405B" w:rsidRPr="006858C4" w14:paraId="5E0D9100" w14:textId="77777777" w:rsidTr="00E7405B">
        <w:trPr>
          <w:jc w:val="center"/>
        </w:trPr>
        <w:tc>
          <w:tcPr>
            <w:tcW w:w="2552" w:type="dxa"/>
            <w:tcBorders>
              <w:top w:val="nil"/>
              <w:bottom w:val="nil"/>
            </w:tcBorders>
          </w:tcPr>
          <w:p w14:paraId="0B679A73" w14:textId="6C6679CF" w:rsidR="00E7405B" w:rsidRPr="006858C4" w:rsidRDefault="00E7405B" w:rsidP="00E7405B">
            <w:pPr>
              <w:spacing w:line="360" w:lineRule="auto"/>
              <w:rPr>
                <w:rFonts w:ascii="Arial" w:hAnsi="Arial" w:cs="Arial"/>
                <w:sz w:val="20"/>
                <w:szCs w:val="20"/>
              </w:rPr>
            </w:pPr>
            <w:r w:rsidRPr="006858C4">
              <w:rPr>
                <w:rFonts w:ascii="Arial" w:hAnsi="Arial" w:cs="Arial"/>
                <w:sz w:val="20"/>
                <w:szCs w:val="20"/>
              </w:rPr>
              <w:t xml:space="preserve">Li et al. </w:t>
            </w:r>
            <w:r w:rsidRPr="006858C4">
              <w:rPr>
                <w:rFonts w:ascii="Arial" w:hAnsi="Arial" w:cs="Arial"/>
                <w:sz w:val="20"/>
                <w:szCs w:val="20"/>
                <w:vertAlign w:val="superscript"/>
              </w:rPr>
              <w:t>S4.9</w:t>
            </w:r>
          </w:p>
        </w:tc>
        <w:tc>
          <w:tcPr>
            <w:tcW w:w="1843" w:type="dxa"/>
            <w:tcBorders>
              <w:top w:val="nil"/>
              <w:bottom w:val="nil"/>
            </w:tcBorders>
          </w:tcPr>
          <w:p w14:paraId="209CE4B4" w14:textId="1DE803E0"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2013</w:t>
            </w:r>
          </w:p>
        </w:tc>
        <w:tc>
          <w:tcPr>
            <w:tcW w:w="2629" w:type="dxa"/>
            <w:tcBorders>
              <w:top w:val="nil"/>
              <w:bottom w:val="nil"/>
            </w:tcBorders>
          </w:tcPr>
          <w:p w14:paraId="3DFE8656" w14:textId="5F6384AB"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China</w:t>
            </w:r>
          </w:p>
        </w:tc>
        <w:tc>
          <w:tcPr>
            <w:tcW w:w="992" w:type="dxa"/>
            <w:tcBorders>
              <w:top w:val="nil"/>
              <w:bottom w:val="nil"/>
            </w:tcBorders>
          </w:tcPr>
          <w:p w14:paraId="70900EBC" w14:textId="1AF94022"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Poor</w:t>
            </w:r>
          </w:p>
        </w:tc>
        <w:tc>
          <w:tcPr>
            <w:tcW w:w="1051" w:type="dxa"/>
            <w:tcBorders>
              <w:top w:val="nil"/>
              <w:bottom w:val="nil"/>
            </w:tcBorders>
          </w:tcPr>
          <w:p w14:paraId="61923FE0" w14:textId="6D5DD24D"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 xml:space="preserve">- </w:t>
            </w:r>
          </w:p>
        </w:tc>
        <w:tc>
          <w:tcPr>
            <w:tcW w:w="975" w:type="dxa"/>
            <w:tcBorders>
              <w:top w:val="nil"/>
              <w:bottom w:val="nil"/>
            </w:tcBorders>
          </w:tcPr>
          <w:p w14:paraId="42A95EB3" w14:textId="6EE241DC"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Poor </w:t>
            </w:r>
          </w:p>
        </w:tc>
        <w:tc>
          <w:tcPr>
            <w:tcW w:w="1361" w:type="dxa"/>
            <w:tcBorders>
              <w:top w:val="nil"/>
              <w:bottom w:val="nil"/>
            </w:tcBorders>
          </w:tcPr>
          <w:p w14:paraId="76A2C933" w14:textId="3E9FE2E1"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r>
      <w:tr w:rsidR="00E7405B" w:rsidRPr="006858C4" w14:paraId="7EAE515A" w14:textId="77777777" w:rsidTr="00E7405B">
        <w:trPr>
          <w:jc w:val="center"/>
        </w:trPr>
        <w:tc>
          <w:tcPr>
            <w:tcW w:w="2552" w:type="dxa"/>
            <w:tcBorders>
              <w:top w:val="nil"/>
              <w:bottom w:val="nil"/>
            </w:tcBorders>
          </w:tcPr>
          <w:p w14:paraId="4980A75C" w14:textId="4AF9ED5E" w:rsidR="00E7405B" w:rsidRPr="006858C4" w:rsidRDefault="00E7405B" w:rsidP="00E7405B">
            <w:pPr>
              <w:spacing w:line="360" w:lineRule="auto"/>
              <w:rPr>
                <w:rFonts w:ascii="Arial" w:hAnsi="Arial" w:cs="Arial"/>
                <w:sz w:val="20"/>
                <w:szCs w:val="20"/>
              </w:rPr>
            </w:pPr>
            <w:r w:rsidRPr="006858C4">
              <w:rPr>
                <w:rFonts w:ascii="Arial" w:hAnsi="Arial" w:cs="Arial"/>
                <w:sz w:val="20"/>
                <w:szCs w:val="20"/>
              </w:rPr>
              <w:t xml:space="preserve">Modi et al. </w:t>
            </w:r>
            <w:r w:rsidRPr="006858C4">
              <w:rPr>
                <w:rFonts w:ascii="Arial" w:hAnsi="Arial" w:cs="Arial"/>
                <w:sz w:val="20"/>
                <w:szCs w:val="20"/>
                <w:vertAlign w:val="superscript"/>
              </w:rPr>
              <w:t>S4.10</w:t>
            </w:r>
          </w:p>
        </w:tc>
        <w:tc>
          <w:tcPr>
            <w:tcW w:w="1843" w:type="dxa"/>
            <w:tcBorders>
              <w:top w:val="nil"/>
              <w:bottom w:val="nil"/>
            </w:tcBorders>
          </w:tcPr>
          <w:p w14:paraId="67A13FA6" w14:textId="0382B623"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2013</w:t>
            </w:r>
          </w:p>
        </w:tc>
        <w:tc>
          <w:tcPr>
            <w:tcW w:w="2629" w:type="dxa"/>
            <w:tcBorders>
              <w:top w:val="nil"/>
              <w:bottom w:val="nil"/>
            </w:tcBorders>
          </w:tcPr>
          <w:p w14:paraId="3013AB3B" w14:textId="090B78C8"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US</w:t>
            </w:r>
          </w:p>
        </w:tc>
        <w:tc>
          <w:tcPr>
            <w:tcW w:w="992" w:type="dxa"/>
            <w:tcBorders>
              <w:top w:val="nil"/>
              <w:bottom w:val="nil"/>
            </w:tcBorders>
          </w:tcPr>
          <w:p w14:paraId="46DE1B85" w14:textId="121103F0"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Fair</w:t>
            </w:r>
          </w:p>
        </w:tc>
        <w:tc>
          <w:tcPr>
            <w:tcW w:w="1051" w:type="dxa"/>
            <w:tcBorders>
              <w:top w:val="nil"/>
              <w:bottom w:val="nil"/>
            </w:tcBorders>
          </w:tcPr>
          <w:p w14:paraId="51D28625" w14:textId="41676840"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No</w:t>
            </w:r>
          </w:p>
        </w:tc>
        <w:tc>
          <w:tcPr>
            <w:tcW w:w="975" w:type="dxa"/>
            <w:tcBorders>
              <w:top w:val="nil"/>
              <w:bottom w:val="nil"/>
            </w:tcBorders>
          </w:tcPr>
          <w:p w14:paraId="14712890" w14:textId="790583E3"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Fair </w:t>
            </w:r>
          </w:p>
        </w:tc>
        <w:tc>
          <w:tcPr>
            <w:tcW w:w="1361" w:type="dxa"/>
            <w:tcBorders>
              <w:top w:val="nil"/>
              <w:bottom w:val="nil"/>
            </w:tcBorders>
          </w:tcPr>
          <w:p w14:paraId="542DDE19" w14:textId="63A19C1D"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No</w:t>
            </w:r>
          </w:p>
        </w:tc>
      </w:tr>
      <w:tr w:rsidR="00E7405B" w:rsidRPr="006858C4" w14:paraId="6796BF73" w14:textId="77777777" w:rsidTr="00E7405B">
        <w:trPr>
          <w:jc w:val="center"/>
        </w:trPr>
        <w:tc>
          <w:tcPr>
            <w:tcW w:w="2552" w:type="dxa"/>
            <w:tcBorders>
              <w:top w:val="nil"/>
              <w:bottom w:val="nil"/>
            </w:tcBorders>
          </w:tcPr>
          <w:p w14:paraId="0073D599" w14:textId="59F043F7" w:rsidR="00E7405B" w:rsidRPr="006858C4" w:rsidRDefault="00E7405B" w:rsidP="00E7405B">
            <w:pPr>
              <w:spacing w:line="360" w:lineRule="auto"/>
              <w:rPr>
                <w:rFonts w:ascii="Arial" w:hAnsi="Arial" w:cs="Arial"/>
                <w:sz w:val="20"/>
                <w:szCs w:val="20"/>
              </w:rPr>
            </w:pPr>
            <w:r w:rsidRPr="006858C4">
              <w:rPr>
                <w:rFonts w:ascii="Arial" w:hAnsi="Arial" w:cs="Arial"/>
                <w:sz w:val="20"/>
                <w:szCs w:val="20"/>
              </w:rPr>
              <w:t xml:space="preserve">Pfäfflin et al. </w:t>
            </w:r>
            <w:r w:rsidRPr="006858C4">
              <w:rPr>
                <w:rFonts w:ascii="Arial" w:hAnsi="Arial" w:cs="Arial"/>
                <w:sz w:val="20"/>
                <w:szCs w:val="20"/>
                <w:vertAlign w:val="superscript"/>
              </w:rPr>
              <w:t>S4.11</w:t>
            </w:r>
          </w:p>
        </w:tc>
        <w:tc>
          <w:tcPr>
            <w:tcW w:w="1843" w:type="dxa"/>
            <w:tcBorders>
              <w:top w:val="nil"/>
              <w:bottom w:val="nil"/>
            </w:tcBorders>
          </w:tcPr>
          <w:p w14:paraId="76D5F145" w14:textId="789572A1"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2012</w:t>
            </w:r>
          </w:p>
        </w:tc>
        <w:tc>
          <w:tcPr>
            <w:tcW w:w="2629" w:type="dxa"/>
            <w:tcBorders>
              <w:top w:val="nil"/>
              <w:bottom w:val="nil"/>
            </w:tcBorders>
          </w:tcPr>
          <w:p w14:paraId="0895E818" w14:textId="6A06144A"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Germany, Switzerland</w:t>
            </w:r>
          </w:p>
        </w:tc>
        <w:tc>
          <w:tcPr>
            <w:tcW w:w="992" w:type="dxa"/>
            <w:tcBorders>
              <w:top w:val="nil"/>
              <w:bottom w:val="nil"/>
            </w:tcBorders>
          </w:tcPr>
          <w:p w14:paraId="7ADF4699" w14:textId="6B612D13"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Poor</w:t>
            </w:r>
          </w:p>
        </w:tc>
        <w:tc>
          <w:tcPr>
            <w:tcW w:w="1051" w:type="dxa"/>
            <w:tcBorders>
              <w:top w:val="nil"/>
              <w:bottom w:val="nil"/>
            </w:tcBorders>
          </w:tcPr>
          <w:p w14:paraId="62A454D0" w14:textId="2262A1F9"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c>
          <w:tcPr>
            <w:tcW w:w="975" w:type="dxa"/>
            <w:tcBorders>
              <w:top w:val="nil"/>
              <w:bottom w:val="nil"/>
            </w:tcBorders>
          </w:tcPr>
          <w:p w14:paraId="5556ABDE" w14:textId="49EF0017"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Poor </w:t>
            </w:r>
          </w:p>
        </w:tc>
        <w:tc>
          <w:tcPr>
            <w:tcW w:w="1361" w:type="dxa"/>
            <w:tcBorders>
              <w:top w:val="nil"/>
              <w:bottom w:val="nil"/>
            </w:tcBorders>
          </w:tcPr>
          <w:p w14:paraId="790C4A99" w14:textId="256A360B"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r>
      <w:tr w:rsidR="00E7405B" w:rsidRPr="006858C4" w14:paraId="68A1AD98" w14:textId="77777777" w:rsidTr="00E7405B">
        <w:trPr>
          <w:jc w:val="center"/>
        </w:trPr>
        <w:tc>
          <w:tcPr>
            <w:tcW w:w="2552" w:type="dxa"/>
            <w:tcBorders>
              <w:top w:val="nil"/>
              <w:bottom w:val="nil"/>
            </w:tcBorders>
          </w:tcPr>
          <w:p w14:paraId="1D3B7FF6" w14:textId="1879AA2A" w:rsidR="00E7405B" w:rsidRPr="006858C4" w:rsidRDefault="00E7405B" w:rsidP="00E7405B">
            <w:pPr>
              <w:spacing w:line="360" w:lineRule="auto"/>
              <w:rPr>
                <w:rFonts w:ascii="Arial" w:hAnsi="Arial" w:cs="Arial"/>
                <w:sz w:val="20"/>
                <w:szCs w:val="20"/>
              </w:rPr>
            </w:pPr>
            <w:r w:rsidRPr="006858C4">
              <w:rPr>
                <w:rFonts w:ascii="Arial" w:hAnsi="Arial" w:cs="Arial"/>
                <w:sz w:val="20"/>
                <w:szCs w:val="20"/>
              </w:rPr>
              <w:t xml:space="preserve">Pryse-Phillips et al. </w:t>
            </w:r>
            <w:r w:rsidRPr="006858C4">
              <w:rPr>
                <w:rFonts w:ascii="Arial" w:hAnsi="Arial" w:cs="Arial"/>
                <w:sz w:val="20"/>
                <w:szCs w:val="20"/>
                <w:vertAlign w:val="superscript"/>
              </w:rPr>
              <w:t>S4.12</w:t>
            </w:r>
          </w:p>
        </w:tc>
        <w:tc>
          <w:tcPr>
            <w:tcW w:w="1843" w:type="dxa"/>
            <w:tcBorders>
              <w:top w:val="nil"/>
              <w:bottom w:val="nil"/>
            </w:tcBorders>
          </w:tcPr>
          <w:p w14:paraId="0EA8CA66" w14:textId="138304F5"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1982</w:t>
            </w:r>
          </w:p>
        </w:tc>
        <w:tc>
          <w:tcPr>
            <w:tcW w:w="2629" w:type="dxa"/>
            <w:tcBorders>
              <w:top w:val="nil"/>
              <w:bottom w:val="nil"/>
            </w:tcBorders>
          </w:tcPr>
          <w:p w14:paraId="7C697036" w14:textId="2129FFAA"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Canada</w:t>
            </w:r>
          </w:p>
        </w:tc>
        <w:tc>
          <w:tcPr>
            <w:tcW w:w="992" w:type="dxa"/>
            <w:tcBorders>
              <w:top w:val="nil"/>
              <w:bottom w:val="nil"/>
            </w:tcBorders>
          </w:tcPr>
          <w:p w14:paraId="6A8E03EC" w14:textId="4EDD681F"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Poor </w:t>
            </w:r>
          </w:p>
        </w:tc>
        <w:tc>
          <w:tcPr>
            <w:tcW w:w="1051" w:type="dxa"/>
            <w:tcBorders>
              <w:top w:val="nil"/>
              <w:bottom w:val="nil"/>
            </w:tcBorders>
          </w:tcPr>
          <w:p w14:paraId="65397276" w14:textId="4CF0D9B9"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c>
          <w:tcPr>
            <w:tcW w:w="975" w:type="dxa"/>
            <w:tcBorders>
              <w:top w:val="nil"/>
              <w:bottom w:val="nil"/>
            </w:tcBorders>
          </w:tcPr>
          <w:p w14:paraId="67E91120" w14:textId="70E36059"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Poor </w:t>
            </w:r>
          </w:p>
        </w:tc>
        <w:tc>
          <w:tcPr>
            <w:tcW w:w="1361" w:type="dxa"/>
            <w:tcBorders>
              <w:top w:val="nil"/>
              <w:bottom w:val="nil"/>
            </w:tcBorders>
          </w:tcPr>
          <w:p w14:paraId="7342E6EB" w14:textId="29067E01"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r>
      <w:tr w:rsidR="00E7405B" w:rsidRPr="006858C4" w14:paraId="5D7C67A3" w14:textId="77777777" w:rsidTr="00E7405B">
        <w:trPr>
          <w:jc w:val="center"/>
        </w:trPr>
        <w:tc>
          <w:tcPr>
            <w:tcW w:w="2552" w:type="dxa"/>
            <w:tcBorders>
              <w:top w:val="nil"/>
              <w:bottom w:val="nil"/>
            </w:tcBorders>
          </w:tcPr>
          <w:p w14:paraId="1D8D9389" w14:textId="046A6C4A" w:rsidR="00E7405B" w:rsidRPr="006858C4" w:rsidRDefault="00E7405B" w:rsidP="00E7405B">
            <w:pPr>
              <w:spacing w:line="360" w:lineRule="auto"/>
              <w:rPr>
                <w:rFonts w:ascii="Arial" w:hAnsi="Arial" w:cs="Arial"/>
                <w:sz w:val="20"/>
                <w:szCs w:val="20"/>
              </w:rPr>
            </w:pPr>
            <w:proofErr w:type="spellStart"/>
            <w:r w:rsidRPr="006858C4">
              <w:rPr>
                <w:rFonts w:ascii="Arial" w:hAnsi="Arial" w:cs="Arial"/>
                <w:sz w:val="20"/>
                <w:szCs w:val="20"/>
              </w:rPr>
              <w:t>Shope</w:t>
            </w:r>
            <w:proofErr w:type="spellEnd"/>
            <w:r w:rsidRPr="006858C4">
              <w:rPr>
                <w:rFonts w:ascii="Arial" w:hAnsi="Arial" w:cs="Arial"/>
                <w:sz w:val="20"/>
                <w:szCs w:val="20"/>
              </w:rPr>
              <w:t xml:space="preserve"> </w:t>
            </w:r>
            <w:r w:rsidRPr="006858C4">
              <w:rPr>
                <w:rFonts w:ascii="Arial" w:hAnsi="Arial" w:cs="Arial"/>
                <w:sz w:val="20"/>
                <w:szCs w:val="20"/>
                <w:vertAlign w:val="superscript"/>
              </w:rPr>
              <w:t>S4.13</w:t>
            </w:r>
          </w:p>
        </w:tc>
        <w:tc>
          <w:tcPr>
            <w:tcW w:w="1843" w:type="dxa"/>
            <w:tcBorders>
              <w:top w:val="nil"/>
              <w:bottom w:val="nil"/>
            </w:tcBorders>
          </w:tcPr>
          <w:p w14:paraId="5B61B726" w14:textId="57A4653A"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1980</w:t>
            </w:r>
          </w:p>
        </w:tc>
        <w:tc>
          <w:tcPr>
            <w:tcW w:w="2629" w:type="dxa"/>
            <w:tcBorders>
              <w:top w:val="nil"/>
              <w:bottom w:val="nil"/>
            </w:tcBorders>
          </w:tcPr>
          <w:p w14:paraId="4EBC187A" w14:textId="7187A0D1"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US</w:t>
            </w:r>
          </w:p>
        </w:tc>
        <w:tc>
          <w:tcPr>
            <w:tcW w:w="992" w:type="dxa"/>
            <w:tcBorders>
              <w:top w:val="nil"/>
              <w:bottom w:val="nil"/>
            </w:tcBorders>
          </w:tcPr>
          <w:p w14:paraId="0BFBD516" w14:textId="1EF045E7"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Poor </w:t>
            </w:r>
          </w:p>
        </w:tc>
        <w:tc>
          <w:tcPr>
            <w:tcW w:w="1051" w:type="dxa"/>
            <w:tcBorders>
              <w:top w:val="nil"/>
              <w:bottom w:val="nil"/>
            </w:tcBorders>
          </w:tcPr>
          <w:p w14:paraId="572A583A" w14:textId="20B613C0"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c>
          <w:tcPr>
            <w:tcW w:w="975" w:type="dxa"/>
            <w:tcBorders>
              <w:top w:val="nil"/>
              <w:bottom w:val="nil"/>
            </w:tcBorders>
          </w:tcPr>
          <w:p w14:paraId="0E877B7F" w14:textId="7AD78ECB"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Poor</w:t>
            </w:r>
          </w:p>
        </w:tc>
        <w:tc>
          <w:tcPr>
            <w:tcW w:w="1361" w:type="dxa"/>
            <w:tcBorders>
              <w:top w:val="nil"/>
              <w:bottom w:val="nil"/>
            </w:tcBorders>
          </w:tcPr>
          <w:p w14:paraId="7E99631E" w14:textId="5DA224F2"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r>
      <w:tr w:rsidR="00E7405B" w:rsidRPr="006858C4" w14:paraId="483BE844" w14:textId="77777777" w:rsidTr="00E7405B">
        <w:trPr>
          <w:jc w:val="center"/>
        </w:trPr>
        <w:tc>
          <w:tcPr>
            <w:tcW w:w="2552" w:type="dxa"/>
            <w:tcBorders>
              <w:top w:val="nil"/>
              <w:bottom w:val="single" w:sz="4" w:space="0" w:color="auto"/>
            </w:tcBorders>
          </w:tcPr>
          <w:p w14:paraId="08A0CE3B" w14:textId="197B7849" w:rsidR="00E7405B" w:rsidRPr="006858C4" w:rsidRDefault="00E7405B" w:rsidP="00E7405B">
            <w:pPr>
              <w:spacing w:line="360" w:lineRule="auto"/>
              <w:rPr>
                <w:rFonts w:ascii="Arial" w:hAnsi="Arial" w:cs="Arial"/>
                <w:sz w:val="20"/>
                <w:szCs w:val="20"/>
              </w:rPr>
            </w:pPr>
            <w:r w:rsidRPr="006858C4">
              <w:rPr>
                <w:rFonts w:ascii="Arial" w:hAnsi="Arial" w:cs="Arial"/>
                <w:sz w:val="20"/>
                <w:szCs w:val="20"/>
              </w:rPr>
              <w:t xml:space="preserve">Tang et al. </w:t>
            </w:r>
            <w:r w:rsidRPr="006858C4">
              <w:rPr>
                <w:rFonts w:ascii="Arial" w:hAnsi="Arial" w:cs="Arial"/>
                <w:sz w:val="20"/>
                <w:szCs w:val="20"/>
                <w:vertAlign w:val="superscript"/>
              </w:rPr>
              <w:t>S4.14</w:t>
            </w:r>
          </w:p>
        </w:tc>
        <w:tc>
          <w:tcPr>
            <w:tcW w:w="1843" w:type="dxa"/>
            <w:tcBorders>
              <w:top w:val="nil"/>
              <w:bottom w:val="single" w:sz="4" w:space="0" w:color="auto"/>
            </w:tcBorders>
          </w:tcPr>
          <w:p w14:paraId="1C146422" w14:textId="552F0CAD"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2014</w:t>
            </w:r>
          </w:p>
        </w:tc>
        <w:tc>
          <w:tcPr>
            <w:tcW w:w="2629" w:type="dxa"/>
            <w:tcBorders>
              <w:top w:val="nil"/>
              <w:bottom w:val="single" w:sz="4" w:space="0" w:color="auto"/>
            </w:tcBorders>
          </w:tcPr>
          <w:p w14:paraId="555236C1" w14:textId="3CB20D02" w:rsidR="00E7405B" w:rsidRPr="006858C4" w:rsidRDefault="00E7405B" w:rsidP="00E7405B">
            <w:pPr>
              <w:spacing w:line="360" w:lineRule="auto"/>
              <w:contextualSpacing/>
              <w:rPr>
                <w:rFonts w:ascii="Arial" w:hAnsi="Arial" w:cs="Arial"/>
                <w:sz w:val="20"/>
                <w:szCs w:val="20"/>
              </w:rPr>
            </w:pPr>
            <w:r w:rsidRPr="006858C4">
              <w:rPr>
                <w:rFonts w:ascii="Arial" w:hAnsi="Arial" w:cs="Arial"/>
                <w:sz w:val="20"/>
                <w:szCs w:val="20"/>
              </w:rPr>
              <w:t>China</w:t>
            </w:r>
          </w:p>
        </w:tc>
        <w:tc>
          <w:tcPr>
            <w:tcW w:w="992" w:type="dxa"/>
            <w:tcBorders>
              <w:top w:val="nil"/>
              <w:bottom w:val="single" w:sz="4" w:space="0" w:color="auto"/>
            </w:tcBorders>
          </w:tcPr>
          <w:p w14:paraId="469958CA" w14:textId="02B68431"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Fair </w:t>
            </w:r>
          </w:p>
        </w:tc>
        <w:tc>
          <w:tcPr>
            <w:tcW w:w="1051" w:type="dxa"/>
            <w:tcBorders>
              <w:top w:val="nil"/>
              <w:bottom w:val="single" w:sz="4" w:space="0" w:color="auto"/>
            </w:tcBorders>
          </w:tcPr>
          <w:p w14:paraId="03F005B1" w14:textId="054C7207"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No</w:t>
            </w:r>
          </w:p>
        </w:tc>
        <w:tc>
          <w:tcPr>
            <w:tcW w:w="975" w:type="dxa"/>
            <w:tcBorders>
              <w:top w:val="nil"/>
              <w:bottom w:val="single" w:sz="4" w:space="0" w:color="auto"/>
            </w:tcBorders>
          </w:tcPr>
          <w:p w14:paraId="2A1715A5" w14:textId="3A8DEEFE" w:rsidR="00E7405B" w:rsidRPr="006858C4" w:rsidRDefault="00E7405B" w:rsidP="00E7405B">
            <w:pPr>
              <w:spacing w:line="360" w:lineRule="auto"/>
              <w:contextualSpacing/>
              <w:jc w:val="center"/>
              <w:rPr>
                <w:rFonts w:ascii="Arial" w:hAnsi="Arial" w:cs="Arial"/>
                <w:sz w:val="20"/>
                <w:szCs w:val="20"/>
              </w:rPr>
            </w:pPr>
            <w:r w:rsidRPr="006858C4">
              <w:rPr>
                <w:rFonts w:ascii="Arial" w:hAnsi="Arial" w:cs="Arial"/>
                <w:sz w:val="20"/>
                <w:szCs w:val="20"/>
              </w:rPr>
              <w:t xml:space="preserve">Poor </w:t>
            </w:r>
          </w:p>
        </w:tc>
        <w:tc>
          <w:tcPr>
            <w:tcW w:w="1361" w:type="dxa"/>
            <w:tcBorders>
              <w:top w:val="nil"/>
              <w:bottom w:val="single" w:sz="4" w:space="0" w:color="auto"/>
            </w:tcBorders>
          </w:tcPr>
          <w:p w14:paraId="52A61336" w14:textId="5AA790FE" w:rsidR="00E7405B" w:rsidRPr="006858C4" w:rsidRDefault="00E7405B" w:rsidP="00E7405B">
            <w:pPr>
              <w:spacing w:line="360" w:lineRule="auto"/>
              <w:contextualSpacing/>
              <w:jc w:val="center"/>
              <w:rPr>
                <w:rFonts w:ascii="Arial" w:hAnsi="Arial" w:cs="Arial"/>
                <w:sz w:val="20"/>
                <w:szCs w:val="20"/>
                <w:highlight w:val="yellow"/>
              </w:rPr>
            </w:pPr>
            <w:r w:rsidRPr="006858C4">
              <w:rPr>
                <w:rFonts w:ascii="Arial" w:hAnsi="Arial" w:cs="Arial"/>
                <w:sz w:val="20"/>
                <w:szCs w:val="20"/>
              </w:rPr>
              <w:t>-</w:t>
            </w:r>
          </w:p>
        </w:tc>
      </w:tr>
      <w:bookmarkEnd w:id="2"/>
      <w:bookmarkEnd w:id="3"/>
    </w:tbl>
    <w:p w14:paraId="22258641" w14:textId="7A71B969" w:rsidR="00ED33DE" w:rsidRDefault="00ED33DE" w:rsidP="00E05A10">
      <w:pPr>
        <w:rPr>
          <w:rFonts w:ascii="Arial" w:hAnsi="Arial" w:cs="Arial"/>
          <w:b/>
          <w:caps/>
          <w:lang w:val="en-GB"/>
        </w:rPr>
      </w:pPr>
    </w:p>
    <w:p w14:paraId="6534C98F" w14:textId="64EE0804" w:rsidR="00F01D34" w:rsidRPr="00F54500" w:rsidRDefault="00F01D34" w:rsidP="00F01D34">
      <w:pPr>
        <w:spacing w:after="0" w:line="240" w:lineRule="auto"/>
        <w:contextualSpacing/>
        <w:jc w:val="both"/>
        <w:rPr>
          <w:rFonts w:ascii="Arial" w:hAnsi="Arial" w:cs="Arial"/>
        </w:rPr>
      </w:pPr>
      <w:r w:rsidRPr="00164C03">
        <w:rPr>
          <w:rFonts w:ascii="Arial" w:hAnsi="Arial" w:cs="Arial"/>
          <w:i/>
        </w:rPr>
        <w:t>Notes:</w:t>
      </w:r>
      <w:r>
        <w:rPr>
          <w:rFonts w:ascii="Arial" w:hAnsi="Arial" w:cs="Arial"/>
        </w:rPr>
        <w:t xml:space="preserve"> To assess adherence and competence in these additional trials the same process as described in the Methods for rating the </w:t>
      </w:r>
      <w:r w:rsidRPr="00EA0F3A">
        <w:rPr>
          <w:rFonts w:ascii="Arial" w:hAnsi="Arial" w:cs="Arial"/>
        </w:rPr>
        <w:t xml:space="preserve">50 RCTS/ quasi RCTs </w:t>
      </w:r>
      <w:r>
        <w:rPr>
          <w:rFonts w:ascii="Arial" w:hAnsi="Arial" w:cs="Arial"/>
        </w:rPr>
        <w:t xml:space="preserve">was followed. </w:t>
      </w:r>
      <w:r w:rsidR="00961EDF">
        <w:rPr>
          <w:rFonts w:ascii="Arial" w:hAnsi="Arial" w:cs="Arial"/>
        </w:rPr>
        <w:t>P</w:t>
      </w:r>
      <w:r>
        <w:rPr>
          <w:rFonts w:ascii="Arial" w:hAnsi="Arial" w:cs="Arial"/>
        </w:rPr>
        <w:t xml:space="preserve">resented </w:t>
      </w:r>
      <w:r w:rsidR="00961EDF">
        <w:rPr>
          <w:rFonts w:ascii="Arial" w:hAnsi="Arial" w:cs="Arial"/>
        </w:rPr>
        <w:t xml:space="preserve">in the table </w:t>
      </w:r>
      <w:r>
        <w:rPr>
          <w:rFonts w:ascii="Arial" w:hAnsi="Arial" w:cs="Arial"/>
        </w:rPr>
        <w:t xml:space="preserve">are the </w:t>
      </w:r>
      <w:r w:rsidR="00961EDF">
        <w:rPr>
          <w:rFonts w:ascii="Arial" w:hAnsi="Arial" w:cs="Arial"/>
        </w:rPr>
        <w:t xml:space="preserve">rating scores </w:t>
      </w:r>
      <w:r>
        <w:rPr>
          <w:rFonts w:ascii="Arial" w:hAnsi="Arial" w:cs="Arial"/>
        </w:rPr>
        <w:t>arrived at by consensus by the two independent raters (AJN &amp; SLB).</w:t>
      </w:r>
      <w:r w:rsidR="006858C4">
        <w:rPr>
          <w:rFonts w:ascii="Arial" w:hAnsi="Arial" w:cs="Arial"/>
        </w:rPr>
        <w:t xml:space="preserve"> </w:t>
      </w:r>
      <w:r w:rsidR="006858C4" w:rsidRPr="00916682">
        <w:rPr>
          <w:rFonts w:ascii="Arial" w:hAnsi="Arial" w:cs="Arial"/>
        </w:rPr>
        <w:t>POMRF</w:t>
      </w:r>
      <w:r w:rsidR="006858C4">
        <w:rPr>
          <w:rFonts w:ascii="Arial" w:hAnsi="Arial" w:cs="Arial"/>
        </w:rPr>
        <w:t>,</w:t>
      </w:r>
      <w:r w:rsidR="006858C4" w:rsidRPr="00916682">
        <w:rPr>
          <w:rFonts w:ascii="Arial" w:hAnsi="Arial" w:cs="Arial"/>
        </w:rPr>
        <w:t xml:space="preserve"> </w:t>
      </w:r>
      <w:r w:rsidR="006858C4" w:rsidRPr="000C47BF">
        <w:rPr>
          <w:rFonts w:ascii="Arial" w:hAnsi="Arial" w:cs="Arial"/>
        </w:rPr>
        <w:t>Psychotherapy</w:t>
      </w:r>
      <w:r w:rsidR="006858C4">
        <w:rPr>
          <w:rFonts w:ascii="Arial" w:hAnsi="Arial" w:cs="Arial"/>
        </w:rPr>
        <w:t xml:space="preserve"> </w:t>
      </w:r>
      <w:r w:rsidR="006858C4" w:rsidRPr="000C47BF">
        <w:rPr>
          <w:rFonts w:ascii="Arial" w:hAnsi="Arial" w:cs="Arial"/>
        </w:rPr>
        <w:t xml:space="preserve">Outcome Study Methodology Rating Form </w:t>
      </w:r>
      <w:r w:rsidR="006858C4">
        <w:rPr>
          <w:rFonts w:ascii="Arial" w:hAnsi="Arial" w:cs="Arial"/>
        </w:rPr>
        <w:t>(adherence and competence items each scored on scale of “Poor”, “Fair” and “Good”; N/A = domain of ‘competence’ not applicable due to the nature of the intervention tested within this trial (see Supplementary File 1 for further details)</w:t>
      </w:r>
      <w:r w:rsidR="00F54500">
        <w:rPr>
          <w:rFonts w:ascii="Arial" w:hAnsi="Arial" w:cs="Arial"/>
        </w:rPr>
        <w:t xml:space="preserve"> * IF assessment here related only to patient information leaflet element of trial which was focused on patients.</w:t>
      </w:r>
    </w:p>
    <w:p w14:paraId="77861EEF" w14:textId="77777777" w:rsidR="00F01D34" w:rsidRDefault="00F01D34" w:rsidP="00F01D34">
      <w:pPr>
        <w:spacing w:after="0" w:line="240" w:lineRule="auto"/>
        <w:contextualSpacing/>
        <w:jc w:val="both"/>
        <w:rPr>
          <w:rFonts w:ascii="Arial" w:hAnsi="Arial" w:cs="Arial"/>
        </w:rPr>
      </w:pPr>
    </w:p>
    <w:p w14:paraId="77E2E85A" w14:textId="6B2B0B97" w:rsidR="00F01D34" w:rsidRPr="00262328" w:rsidRDefault="00262328" w:rsidP="00262328">
      <w:pPr>
        <w:rPr>
          <w:rFonts w:ascii="Arial" w:hAnsi="Arial" w:cs="Arial"/>
          <w:lang w:val="en-GB"/>
        </w:rPr>
      </w:pPr>
      <w:r>
        <w:rPr>
          <w:rFonts w:ascii="Arial" w:hAnsi="Arial" w:cs="Arial"/>
          <w:caps/>
          <w:lang w:val="en-GB"/>
        </w:rPr>
        <w:t>R</w:t>
      </w:r>
      <w:r>
        <w:rPr>
          <w:rFonts w:ascii="Arial" w:hAnsi="Arial" w:cs="Arial"/>
          <w:lang w:val="en-GB"/>
        </w:rPr>
        <w:t>eferences for trials: [</w:t>
      </w:r>
      <w:r w:rsidRPr="00262328">
        <w:rPr>
          <w:rFonts w:ascii="Arial" w:hAnsi="Arial" w:cs="Arial"/>
          <w:lang w:val="en-GB"/>
        </w:rPr>
        <w:t>S4.1</w:t>
      </w:r>
      <w:r>
        <w:rPr>
          <w:rFonts w:ascii="Arial" w:hAnsi="Arial" w:cs="Arial"/>
          <w:lang w:val="en-GB"/>
        </w:rPr>
        <w:t xml:space="preserve">] </w:t>
      </w:r>
      <w:r w:rsidR="004C6A0E" w:rsidRPr="004C6A0E">
        <w:rPr>
          <w:rFonts w:ascii="Arial" w:hAnsi="Arial" w:cs="Arial"/>
          <w:lang w:val="en-GB"/>
        </w:rPr>
        <w:t>Al-</w:t>
      </w:r>
      <w:proofErr w:type="spellStart"/>
      <w:r w:rsidR="004C6A0E" w:rsidRPr="004C6A0E">
        <w:rPr>
          <w:rFonts w:ascii="Arial" w:hAnsi="Arial" w:cs="Arial"/>
          <w:lang w:val="en-GB"/>
        </w:rPr>
        <w:t>aqeel</w:t>
      </w:r>
      <w:proofErr w:type="spellEnd"/>
      <w:r w:rsidR="004C6A0E" w:rsidRPr="004C6A0E">
        <w:rPr>
          <w:rFonts w:ascii="Arial" w:hAnsi="Arial" w:cs="Arial"/>
          <w:lang w:val="en-GB"/>
        </w:rPr>
        <w:t xml:space="preserve"> S, </w:t>
      </w:r>
      <w:proofErr w:type="spellStart"/>
      <w:r w:rsidR="004C6A0E" w:rsidRPr="004C6A0E">
        <w:rPr>
          <w:rFonts w:ascii="Arial" w:hAnsi="Arial" w:cs="Arial"/>
          <w:lang w:val="en-GB"/>
        </w:rPr>
        <w:t>Gershuni</w:t>
      </w:r>
      <w:proofErr w:type="spellEnd"/>
      <w:r w:rsidR="004C6A0E" w:rsidRPr="004C6A0E">
        <w:rPr>
          <w:rFonts w:ascii="Arial" w:hAnsi="Arial" w:cs="Arial"/>
          <w:lang w:val="en-GB"/>
        </w:rPr>
        <w:t xml:space="preserve"> O, Al-</w:t>
      </w:r>
      <w:proofErr w:type="spellStart"/>
      <w:r w:rsidR="004C6A0E" w:rsidRPr="004C6A0E">
        <w:rPr>
          <w:rFonts w:ascii="Arial" w:hAnsi="Arial" w:cs="Arial"/>
          <w:lang w:val="en-GB"/>
        </w:rPr>
        <w:t>sabhan</w:t>
      </w:r>
      <w:proofErr w:type="spellEnd"/>
      <w:r w:rsidR="004C6A0E" w:rsidRPr="004C6A0E">
        <w:rPr>
          <w:rFonts w:ascii="Arial" w:hAnsi="Arial" w:cs="Arial"/>
          <w:lang w:val="en-GB"/>
        </w:rPr>
        <w:t xml:space="preserve"> J, </w:t>
      </w:r>
      <w:proofErr w:type="spellStart"/>
      <w:r w:rsidR="004C6A0E" w:rsidRPr="004C6A0E">
        <w:rPr>
          <w:rFonts w:ascii="Arial" w:hAnsi="Arial" w:cs="Arial"/>
          <w:lang w:val="en-GB"/>
        </w:rPr>
        <w:t>Hiligsmann</w:t>
      </w:r>
      <w:proofErr w:type="spellEnd"/>
      <w:r w:rsidR="004C6A0E" w:rsidRPr="004C6A0E">
        <w:rPr>
          <w:rFonts w:ascii="Arial" w:hAnsi="Arial" w:cs="Arial"/>
          <w:lang w:val="en-GB"/>
        </w:rPr>
        <w:t xml:space="preserve"> M. Strategies for improving adherence to antiepileptic drug treatment in people with epilepsy. Cochrane Database of Systematic Reviews 2017;2: CD008312</w:t>
      </w:r>
      <w:r w:rsidR="004C6A0E">
        <w:rPr>
          <w:rFonts w:ascii="Arial" w:hAnsi="Arial" w:cs="Arial"/>
          <w:lang w:val="en-GB"/>
        </w:rPr>
        <w:t>; [</w:t>
      </w:r>
      <w:r w:rsidR="004C6A0E" w:rsidRPr="00262328">
        <w:rPr>
          <w:rFonts w:ascii="Arial" w:hAnsi="Arial" w:cs="Arial"/>
          <w:lang w:val="en-GB"/>
        </w:rPr>
        <w:t>S4.</w:t>
      </w:r>
      <w:r w:rsidR="004C6A0E">
        <w:rPr>
          <w:rFonts w:ascii="Arial" w:hAnsi="Arial" w:cs="Arial"/>
          <w:lang w:val="en-GB"/>
        </w:rPr>
        <w:t xml:space="preserve">2] </w:t>
      </w:r>
      <w:r w:rsidR="004C6A0E" w:rsidRPr="004C6A0E">
        <w:rPr>
          <w:rFonts w:ascii="Arial" w:hAnsi="Arial" w:cs="Arial"/>
          <w:lang w:val="en-GB"/>
        </w:rPr>
        <w:t>Lewis SA, Noyes J, Hastings RP. Systematic review of epilepsy self-management interventions integrated with a synthesis of children and young people’s views and experiences. Journal of Advanced Nursing 2015 71: 478-497</w:t>
      </w:r>
      <w:r w:rsidR="004C6A0E">
        <w:rPr>
          <w:rFonts w:ascii="Arial" w:hAnsi="Arial" w:cs="Arial"/>
          <w:lang w:val="en-GB"/>
        </w:rPr>
        <w:t>; [</w:t>
      </w:r>
      <w:r w:rsidR="004C6A0E" w:rsidRPr="00262328">
        <w:rPr>
          <w:rFonts w:ascii="Arial" w:hAnsi="Arial" w:cs="Arial"/>
          <w:lang w:val="en-GB"/>
        </w:rPr>
        <w:t>S4.</w:t>
      </w:r>
      <w:r w:rsidR="004C6A0E">
        <w:rPr>
          <w:rFonts w:ascii="Arial" w:hAnsi="Arial" w:cs="Arial"/>
          <w:lang w:val="en-GB"/>
        </w:rPr>
        <w:t xml:space="preserve">3] </w:t>
      </w:r>
      <w:r w:rsidR="004C6A0E" w:rsidRPr="004C6A0E">
        <w:rPr>
          <w:rFonts w:ascii="Arial" w:hAnsi="Arial" w:cs="Arial"/>
          <w:lang w:val="en-GB"/>
        </w:rPr>
        <w:t xml:space="preserve">Wagner JL, Modi AC, Johnson EK, </w:t>
      </w:r>
      <w:proofErr w:type="spellStart"/>
      <w:r w:rsidR="004C6A0E" w:rsidRPr="004C6A0E">
        <w:rPr>
          <w:rFonts w:ascii="Arial" w:hAnsi="Arial" w:cs="Arial"/>
          <w:lang w:val="en-GB"/>
        </w:rPr>
        <w:t>Shegog</w:t>
      </w:r>
      <w:proofErr w:type="spellEnd"/>
      <w:r w:rsidR="004C6A0E" w:rsidRPr="004C6A0E">
        <w:rPr>
          <w:rFonts w:ascii="Arial" w:hAnsi="Arial" w:cs="Arial"/>
          <w:lang w:val="en-GB"/>
        </w:rPr>
        <w:t xml:space="preserve"> R, </w:t>
      </w:r>
      <w:proofErr w:type="spellStart"/>
      <w:r w:rsidR="004C6A0E" w:rsidRPr="004C6A0E">
        <w:rPr>
          <w:rFonts w:ascii="Arial" w:hAnsi="Arial" w:cs="Arial"/>
          <w:lang w:val="en-GB"/>
        </w:rPr>
        <w:t>Escoffery</w:t>
      </w:r>
      <w:proofErr w:type="spellEnd"/>
      <w:r w:rsidR="004C6A0E" w:rsidRPr="004C6A0E">
        <w:rPr>
          <w:rFonts w:ascii="Arial" w:hAnsi="Arial" w:cs="Arial"/>
          <w:lang w:val="en-GB"/>
        </w:rPr>
        <w:t xml:space="preserve"> C, </w:t>
      </w:r>
      <w:proofErr w:type="spellStart"/>
      <w:r w:rsidR="004C6A0E" w:rsidRPr="004C6A0E">
        <w:rPr>
          <w:rFonts w:ascii="Arial" w:hAnsi="Arial" w:cs="Arial"/>
          <w:lang w:val="en-GB"/>
        </w:rPr>
        <w:t>Bamps</w:t>
      </w:r>
      <w:proofErr w:type="spellEnd"/>
      <w:r w:rsidR="004C6A0E" w:rsidRPr="004C6A0E">
        <w:rPr>
          <w:rFonts w:ascii="Arial" w:hAnsi="Arial" w:cs="Arial"/>
          <w:lang w:val="en-GB"/>
        </w:rPr>
        <w:t xml:space="preserve"> Y, Austin JK, Schultz RJ, </w:t>
      </w:r>
      <w:proofErr w:type="spellStart"/>
      <w:r w:rsidR="004C6A0E" w:rsidRPr="004C6A0E">
        <w:rPr>
          <w:rFonts w:ascii="Arial" w:hAnsi="Arial" w:cs="Arial"/>
          <w:lang w:val="en-GB"/>
        </w:rPr>
        <w:t>MapelLentz</w:t>
      </w:r>
      <w:proofErr w:type="spellEnd"/>
      <w:r w:rsidR="004C6A0E" w:rsidRPr="004C6A0E">
        <w:rPr>
          <w:rFonts w:ascii="Arial" w:hAnsi="Arial" w:cs="Arial"/>
          <w:lang w:val="en-GB"/>
        </w:rPr>
        <w:t xml:space="preserve"> S, Smith G. Self-management interventions in </w:t>
      </w:r>
      <w:proofErr w:type="spellStart"/>
      <w:r w:rsidR="004C6A0E" w:rsidRPr="004C6A0E">
        <w:rPr>
          <w:rFonts w:ascii="Arial" w:hAnsi="Arial" w:cs="Arial"/>
          <w:lang w:val="en-GB"/>
        </w:rPr>
        <w:t>pediatric</w:t>
      </w:r>
      <w:proofErr w:type="spellEnd"/>
      <w:r w:rsidR="004C6A0E" w:rsidRPr="004C6A0E">
        <w:rPr>
          <w:rFonts w:ascii="Arial" w:hAnsi="Arial" w:cs="Arial"/>
          <w:lang w:val="en-GB"/>
        </w:rPr>
        <w:t xml:space="preserve"> epilepsy: What is the level of evidence? Epilepsia 2017;58: 743–754</w:t>
      </w:r>
      <w:r w:rsidR="004C6A0E">
        <w:rPr>
          <w:rFonts w:ascii="Arial" w:hAnsi="Arial" w:cs="Arial"/>
          <w:lang w:val="en-GB"/>
        </w:rPr>
        <w:t>; [</w:t>
      </w:r>
      <w:r w:rsidR="004C6A0E" w:rsidRPr="00262328">
        <w:rPr>
          <w:rFonts w:ascii="Arial" w:hAnsi="Arial" w:cs="Arial"/>
          <w:lang w:val="en-GB"/>
        </w:rPr>
        <w:t>S4.</w:t>
      </w:r>
      <w:r w:rsidR="004C6A0E">
        <w:rPr>
          <w:rFonts w:ascii="Arial" w:hAnsi="Arial" w:cs="Arial"/>
          <w:lang w:val="en-GB"/>
        </w:rPr>
        <w:t xml:space="preserve">4] </w:t>
      </w:r>
      <w:proofErr w:type="spellStart"/>
      <w:r w:rsidRPr="00262328">
        <w:rPr>
          <w:rFonts w:ascii="Arial" w:hAnsi="Arial" w:cs="Arial"/>
          <w:lang w:val="en-GB"/>
        </w:rPr>
        <w:t>Adamolekun</w:t>
      </w:r>
      <w:proofErr w:type="spellEnd"/>
      <w:r w:rsidRPr="00262328">
        <w:rPr>
          <w:rFonts w:ascii="Arial" w:hAnsi="Arial" w:cs="Arial"/>
          <w:lang w:val="en-GB"/>
        </w:rPr>
        <w:t xml:space="preserve"> B, </w:t>
      </w:r>
      <w:proofErr w:type="spellStart"/>
      <w:r w:rsidRPr="00262328">
        <w:rPr>
          <w:rFonts w:ascii="Arial" w:hAnsi="Arial" w:cs="Arial"/>
          <w:lang w:val="en-GB"/>
        </w:rPr>
        <w:t>Mielke</w:t>
      </w:r>
      <w:proofErr w:type="spellEnd"/>
      <w:r w:rsidRPr="00262328">
        <w:rPr>
          <w:rFonts w:ascii="Arial" w:hAnsi="Arial" w:cs="Arial"/>
          <w:lang w:val="en-GB"/>
        </w:rPr>
        <w:t xml:space="preserve"> JK, Ball DE. An Evaluation of the Impact of Health Worker and Patient Education on the Care and Compliance of Patients with Epilepsy in Zimbabwe. Epilepsia, 1999;40: 507-5II</w:t>
      </w:r>
      <w:r>
        <w:rPr>
          <w:rFonts w:ascii="Arial" w:hAnsi="Arial" w:cs="Arial"/>
          <w:lang w:val="en-GB"/>
        </w:rPr>
        <w:t>; [</w:t>
      </w:r>
      <w:r w:rsidRPr="00262328">
        <w:rPr>
          <w:rFonts w:ascii="Arial" w:hAnsi="Arial" w:cs="Arial"/>
          <w:lang w:val="en-GB"/>
        </w:rPr>
        <w:t>S4.</w:t>
      </w:r>
      <w:r w:rsidR="004C6A0E">
        <w:rPr>
          <w:rFonts w:ascii="Arial" w:hAnsi="Arial" w:cs="Arial"/>
          <w:lang w:val="en-GB"/>
        </w:rPr>
        <w:t>5</w:t>
      </w:r>
      <w:r>
        <w:rPr>
          <w:rFonts w:ascii="Arial" w:hAnsi="Arial" w:cs="Arial"/>
          <w:lang w:val="en-GB"/>
        </w:rPr>
        <w:t xml:space="preserve">] </w:t>
      </w:r>
      <w:r w:rsidRPr="00262328">
        <w:rPr>
          <w:rFonts w:ascii="Arial" w:hAnsi="Arial" w:cs="Arial"/>
          <w:lang w:val="en-GB"/>
        </w:rPr>
        <w:t xml:space="preserve">Brown I, Sheeran P, Reuber M. Enhancing antiepileptic drug adherence: A randomized controlled trial. Epilepsy &amp; </w:t>
      </w:r>
      <w:proofErr w:type="spellStart"/>
      <w:r w:rsidRPr="00262328">
        <w:rPr>
          <w:rFonts w:ascii="Arial" w:hAnsi="Arial" w:cs="Arial"/>
          <w:lang w:val="en-GB"/>
        </w:rPr>
        <w:t>Behavior</w:t>
      </w:r>
      <w:proofErr w:type="spellEnd"/>
      <w:r w:rsidRPr="00262328">
        <w:rPr>
          <w:rFonts w:ascii="Arial" w:hAnsi="Arial" w:cs="Arial"/>
          <w:lang w:val="en-GB"/>
        </w:rPr>
        <w:t xml:space="preserve"> 2009;16</w:t>
      </w:r>
      <w:r>
        <w:rPr>
          <w:rFonts w:ascii="Arial" w:hAnsi="Arial" w:cs="Arial"/>
          <w:lang w:val="en-GB"/>
        </w:rPr>
        <w:t>; [</w:t>
      </w:r>
      <w:r w:rsidRPr="00262328">
        <w:rPr>
          <w:rFonts w:ascii="Arial" w:hAnsi="Arial" w:cs="Arial"/>
          <w:lang w:val="en-GB"/>
        </w:rPr>
        <w:t>S4.</w:t>
      </w:r>
      <w:r w:rsidR="004C6A0E">
        <w:rPr>
          <w:rFonts w:ascii="Arial" w:hAnsi="Arial" w:cs="Arial"/>
          <w:lang w:val="en-GB"/>
        </w:rPr>
        <w:t>6</w:t>
      </w:r>
      <w:r>
        <w:rPr>
          <w:rFonts w:ascii="Arial" w:hAnsi="Arial" w:cs="Arial"/>
          <w:lang w:val="en-GB"/>
        </w:rPr>
        <w:t xml:space="preserve">] </w:t>
      </w:r>
      <w:proofErr w:type="spellStart"/>
      <w:r w:rsidRPr="00262328">
        <w:rPr>
          <w:rFonts w:ascii="Arial" w:hAnsi="Arial" w:cs="Arial"/>
          <w:lang w:val="en-GB"/>
        </w:rPr>
        <w:t>Glueckauf</w:t>
      </w:r>
      <w:proofErr w:type="spellEnd"/>
      <w:r w:rsidRPr="00262328">
        <w:rPr>
          <w:rFonts w:ascii="Arial" w:hAnsi="Arial" w:cs="Arial"/>
          <w:lang w:val="en-GB"/>
        </w:rPr>
        <w:t xml:space="preserve"> RL, Fritz SP, </w:t>
      </w:r>
      <w:proofErr w:type="spellStart"/>
      <w:r w:rsidRPr="00262328">
        <w:rPr>
          <w:rFonts w:ascii="Arial" w:hAnsi="Arial" w:cs="Arial"/>
          <w:lang w:val="en-GB"/>
        </w:rPr>
        <w:t>Ecklund</w:t>
      </w:r>
      <w:proofErr w:type="spellEnd"/>
      <w:r w:rsidRPr="00262328">
        <w:rPr>
          <w:rFonts w:ascii="Arial" w:hAnsi="Arial" w:cs="Arial"/>
          <w:lang w:val="en-GB"/>
        </w:rPr>
        <w:t xml:space="preserve">-Johnson EP, </w:t>
      </w:r>
      <w:proofErr w:type="spellStart"/>
      <w:r w:rsidRPr="00262328">
        <w:rPr>
          <w:rFonts w:ascii="Arial" w:hAnsi="Arial" w:cs="Arial"/>
          <w:lang w:val="en-GB"/>
        </w:rPr>
        <w:t>Liss</w:t>
      </w:r>
      <w:proofErr w:type="spellEnd"/>
      <w:r w:rsidRPr="00262328">
        <w:rPr>
          <w:rFonts w:ascii="Arial" w:hAnsi="Arial" w:cs="Arial"/>
          <w:lang w:val="en-GB"/>
        </w:rPr>
        <w:t xml:space="preserve"> HJ, </w:t>
      </w:r>
      <w:proofErr w:type="spellStart"/>
      <w:r w:rsidRPr="00262328">
        <w:rPr>
          <w:rFonts w:ascii="Arial" w:hAnsi="Arial" w:cs="Arial"/>
          <w:lang w:val="en-GB"/>
        </w:rPr>
        <w:t>Dages</w:t>
      </w:r>
      <w:proofErr w:type="spellEnd"/>
      <w:r w:rsidRPr="00262328">
        <w:rPr>
          <w:rFonts w:ascii="Arial" w:hAnsi="Arial" w:cs="Arial"/>
          <w:lang w:val="en-GB"/>
        </w:rPr>
        <w:t xml:space="preserve"> P, Carney P. Videoconferencing-Based Family Counseling for Rural Teenagers With Epilepsy: Phase 1 Findings. Rehabilitation Psychology 2002;47: 49–72</w:t>
      </w:r>
      <w:r>
        <w:rPr>
          <w:rFonts w:ascii="Arial" w:hAnsi="Arial" w:cs="Arial"/>
          <w:lang w:val="en-GB"/>
        </w:rPr>
        <w:t>; [</w:t>
      </w:r>
      <w:r w:rsidRPr="00262328">
        <w:rPr>
          <w:rFonts w:ascii="Arial" w:hAnsi="Arial" w:cs="Arial"/>
          <w:lang w:val="en-GB"/>
        </w:rPr>
        <w:t>S4.</w:t>
      </w:r>
      <w:r w:rsidR="004C6A0E">
        <w:rPr>
          <w:rFonts w:ascii="Arial" w:hAnsi="Arial" w:cs="Arial"/>
          <w:lang w:val="en-GB"/>
        </w:rPr>
        <w:t>7</w:t>
      </w:r>
      <w:r>
        <w:rPr>
          <w:rFonts w:ascii="Arial" w:hAnsi="Arial" w:cs="Arial"/>
          <w:lang w:val="en-GB"/>
        </w:rPr>
        <w:t xml:space="preserve">] </w:t>
      </w:r>
      <w:proofErr w:type="spellStart"/>
      <w:r w:rsidRPr="00262328">
        <w:rPr>
          <w:rFonts w:ascii="Arial" w:hAnsi="Arial" w:cs="Arial"/>
          <w:lang w:val="en-GB"/>
        </w:rPr>
        <w:t>Ibinda</w:t>
      </w:r>
      <w:proofErr w:type="spellEnd"/>
      <w:r w:rsidRPr="00262328">
        <w:rPr>
          <w:rFonts w:ascii="Arial" w:hAnsi="Arial" w:cs="Arial"/>
          <w:lang w:val="en-GB"/>
        </w:rPr>
        <w:t xml:space="preserve"> F, </w:t>
      </w:r>
      <w:proofErr w:type="spellStart"/>
      <w:r w:rsidRPr="00262328">
        <w:rPr>
          <w:rFonts w:ascii="Arial" w:hAnsi="Arial" w:cs="Arial"/>
          <w:lang w:val="en-GB"/>
        </w:rPr>
        <w:t>Mbuba</w:t>
      </w:r>
      <w:proofErr w:type="spellEnd"/>
      <w:r w:rsidRPr="00262328">
        <w:rPr>
          <w:rFonts w:ascii="Arial" w:hAnsi="Arial" w:cs="Arial"/>
          <w:lang w:val="en-GB"/>
        </w:rPr>
        <w:t xml:space="preserve"> CK, </w:t>
      </w:r>
      <w:proofErr w:type="spellStart"/>
      <w:r w:rsidRPr="00262328">
        <w:rPr>
          <w:rFonts w:ascii="Arial" w:hAnsi="Arial" w:cs="Arial"/>
          <w:lang w:val="en-GB"/>
        </w:rPr>
        <w:t>Kariuki</w:t>
      </w:r>
      <w:proofErr w:type="spellEnd"/>
      <w:r w:rsidRPr="00262328">
        <w:rPr>
          <w:rFonts w:ascii="Arial" w:hAnsi="Arial" w:cs="Arial"/>
          <w:lang w:val="en-GB"/>
        </w:rPr>
        <w:t xml:space="preserve"> SY, </w:t>
      </w:r>
      <w:proofErr w:type="spellStart"/>
      <w:r w:rsidRPr="00262328">
        <w:rPr>
          <w:rFonts w:ascii="Arial" w:hAnsi="Arial" w:cs="Arial"/>
          <w:lang w:val="en-GB"/>
        </w:rPr>
        <w:t>Chengo</w:t>
      </w:r>
      <w:proofErr w:type="spellEnd"/>
      <w:r w:rsidRPr="00262328">
        <w:rPr>
          <w:rFonts w:ascii="Arial" w:hAnsi="Arial" w:cs="Arial"/>
          <w:lang w:val="en-GB"/>
        </w:rPr>
        <w:t xml:space="preserve"> E, </w:t>
      </w:r>
      <w:proofErr w:type="spellStart"/>
      <w:r w:rsidRPr="00262328">
        <w:rPr>
          <w:rFonts w:ascii="Arial" w:hAnsi="Arial" w:cs="Arial"/>
          <w:lang w:val="en-GB"/>
        </w:rPr>
        <w:t>Ngugi</w:t>
      </w:r>
      <w:proofErr w:type="spellEnd"/>
      <w:r w:rsidRPr="00262328">
        <w:rPr>
          <w:rFonts w:ascii="Arial" w:hAnsi="Arial" w:cs="Arial"/>
          <w:lang w:val="en-GB"/>
        </w:rPr>
        <w:t xml:space="preserve"> AK, Odhiambo R, Lowe B, </w:t>
      </w:r>
      <w:proofErr w:type="spellStart"/>
      <w:r w:rsidRPr="00262328">
        <w:rPr>
          <w:rFonts w:ascii="Arial" w:hAnsi="Arial" w:cs="Arial"/>
          <w:lang w:val="en-GB"/>
        </w:rPr>
        <w:t>Fegan</w:t>
      </w:r>
      <w:proofErr w:type="spellEnd"/>
      <w:r w:rsidRPr="00262328">
        <w:rPr>
          <w:rFonts w:ascii="Arial" w:hAnsi="Arial" w:cs="Arial"/>
          <w:lang w:val="en-GB"/>
        </w:rPr>
        <w:t xml:space="preserve"> G, Carter JA, Newton CR. Evaluation of Kilifi Epilepsy Education Programme: A randomized controlled trial. Epilepsia 2014;55: 344–352</w:t>
      </w:r>
      <w:r>
        <w:rPr>
          <w:rFonts w:ascii="Arial" w:hAnsi="Arial" w:cs="Arial"/>
          <w:lang w:val="en-GB"/>
        </w:rPr>
        <w:t>; [</w:t>
      </w:r>
      <w:r w:rsidRPr="00262328">
        <w:rPr>
          <w:rFonts w:ascii="Arial" w:hAnsi="Arial" w:cs="Arial"/>
          <w:lang w:val="en-GB"/>
        </w:rPr>
        <w:t>S4</w:t>
      </w:r>
      <w:r>
        <w:rPr>
          <w:rFonts w:ascii="Arial" w:hAnsi="Arial" w:cs="Arial"/>
          <w:lang w:val="en-GB"/>
        </w:rPr>
        <w:t>.</w:t>
      </w:r>
      <w:r w:rsidR="004C6A0E">
        <w:rPr>
          <w:rFonts w:ascii="Arial" w:hAnsi="Arial" w:cs="Arial"/>
          <w:lang w:val="en-GB"/>
        </w:rPr>
        <w:t>8</w:t>
      </w:r>
      <w:r>
        <w:rPr>
          <w:rFonts w:ascii="Arial" w:hAnsi="Arial" w:cs="Arial"/>
          <w:lang w:val="en-GB"/>
        </w:rPr>
        <w:t xml:space="preserve">] </w:t>
      </w:r>
      <w:r w:rsidRPr="00262328">
        <w:rPr>
          <w:rFonts w:ascii="Arial" w:hAnsi="Arial" w:cs="Arial"/>
          <w:lang w:val="en-GB"/>
        </w:rPr>
        <w:t xml:space="preserve">Lewis MA, Hatton CL, Salas I, </w:t>
      </w:r>
      <w:proofErr w:type="spellStart"/>
      <w:r w:rsidRPr="00262328">
        <w:rPr>
          <w:rFonts w:ascii="Arial" w:hAnsi="Arial" w:cs="Arial"/>
          <w:lang w:val="en-GB"/>
        </w:rPr>
        <w:t>Leake</w:t>
      </w:r>
      <w:proofErr w:type="spellEnd"/>
      <w:r w:rsidRPr="00262328">
        <w:rPr>
          <w:rFonts w:ascii="Arial" w:hAnsi="Arial" w:cs="Arial"/>
          <w:lang w:val="en-GB"/>
        </w:rPr>
        <w:t xml:space="preserve"> B, </w:t>
      </w:r>
      <w:proofErr w:type="spellStart"/>
      <w:r w:rsidRPr="00262328">
        <w:rPr>
          <w:rFonts w:ascii="Arial" w:hAnsi="Arial" w:cs="Arial"/>
          <w:lang w:val="en-GB"/>
        </w:rPr>
        <w:t>Chiofalo</w:t>
      </w:r>
      <w:proofErr w:type="spellEnd"/>
      <w:r w:rsidRPr="00262328">
        <w:rPr>
          <w:rFonts w:ascii="Arial" w:hAnsi="Arial" w:cs="Arial"/>
          <w:lang w:val="en-GB"/>
        </w:rPr>
        <w:t xml:space="preserve"> N. Impact of the Children’s Epilepsy Program on Parents. Epilepsia 1991;32: 365-374</w:t>
      </w:r>
      <w:r>
        <w:rPr>
          <w:rFonts w:ascii="Arial" w:hAnsi="Arial" w:cs="Arial"/>
          <w:lang w:val="en-GB"/>
        </w:rPr>
        <w:t>; [</w:t>
      </w:r>
      <w:r w:rsidRPr="00262328">
        <w:rPr>
          <w:rFonts w:ascii="Arial" w:hAnsi="Arial" w:cs="Arial"/>
          <w:lang w:val="en-GB"/>
        </w:rPr>
        <w:t>S4.</w:t>
      </w:r>
      <w:r w:rsidR="004C6A0E">
        <w:rPr>
          <w:rFonts w:ascii="Arial" w:hAnsi="Arial" w:cs="Arial"/>
          <w:lang w:val="en-GB"/>
        </w:rPr>
        <w:t>9</w:t>
      </w:r>
      <w:r>
        <w:rPr>
          <w:rFonts w:ascii="Arial" w:hAnsi="Arial" w:cs="Arial"/>
          <w:lang w:val="en-GB"/>
        </w:rPr>
        <w:t xml:space="preserve">] </w:t>
      </w:r>
      <w:r w:rsidRPr="00262328">
        <w:rPr>
          <w:rFonts w:ascii="Arial" w:hAnsi="Arial" w:cs="Arial"/>
          <w:lang w:val="en-GB"/>
        </w:rPr>
        <w:t>Li J, Si Y, Hu J, Liu L, Deng Y, He J, Zhang N, Zhou D. Enhancing medical compliance of patients with convulsive epilepsy in rural community: A randomized intervention trial. Epilepsia 2013</w:t>
      </w:r>
      <w:proofErr w:type="gramStart"/>
      <w:r w:rsidRPr="00262328">
        <w:rPr>
          <w:rFonts w:ascii="Arial" w:hAnsi="Arial" w:cs="Arial"/>
          <w:lang w:val="en-GB"/>
        </w:rPr>
        <w:t>;54</w:t>
      </w:r>
      <w:proofErr w:type="gramEnd"/>
      <w:r w:rsidRPr="00262328">
        <w:rPr>
          <w:rFonts w:ascii="Arial" w:hAnsi="Arial" w:cs="Arial"/>
          <w:lang w:val="en-GB"/>
        </w:rPr>
        <w:t>: 1988–1996</w:t>
      </w:r>
      <w:r>
        <w:rPr>
          <w:rFonts w:ascii="Arial" w:hAnsi="Arial" w:cs="Arial"/>
          <w:lang w:val="en-GB"/>
        </w:rPr>
        <w:t>; [</w:t>
      </w:r>
      <w:r w:rsidRPr="00262328">
        <w:rPr>
          <w:rFonts w:ascii="Arial" w:hAnsi="Arial" w:cs="Arial"/>
          <w:lang w:val="en-GB"/>
        </w:rPr>
        <w:t>S4.</w:t>
      </w:r>
      <w:r w:rsidR="004C6A0E">
        <w:rPr>
          <w:rFonts w:ascii="Arial" w:hAnsi="Arial" w:cs="Arial"/>
          <w:lang w:val="en-GB"/>
        </w:rPr>
        <w:t>10</w:t>
      </w:r>
      <w:r>
        <w:rPr>
          <w:rFonts w:ascii="Arial" w:hAnsi="Arial" w:cs="Arial"/>
          <w:lang w:val="en-GB"/>
        </w:rPr>
        <w:t xml:space="preserve">] </w:t>
      </w:r>
      <w:r w:rsidRPr="00262328">
        <w:rPr>
          <w:rFonts w:ascii="Arial" w:hAnsi="Arial" w:cs="Arial"/>
          <w:lang w:val="en-GB"/>
        </w:rPr>
        <w:t xml:space="preserve">Modi AC, Guilfoyle SM, Rausch J. Preliminary Feasibility, Acceptability, and Efficacy of an Innovative Adherence Intervention for Children With Newly Diagnosed Epilepsy. Journal of </w:t>
      </w:r>
      <w:proofErr w:type="spellStart"/>
      <w:r w:rsidRPr="00262328">
        <w:rPr>
          <w:rFonts w:ascii="Arial" w:hAnsi="Arial" w:cs="Arial"/>
          <w:lang w:val="en-GB"/>
        </w:rPr>
        <w:t>Pediatric</w:t>
      </w:r>
      <w:proofErr w:type="spellEnd"/>
      <w:r w:rsidRPr="00262328">
        <w:rPr>
          <w:rFonts w:ascii="Arial" w:hAnsi="Arial" w:cs="Arial"/>
          <w:lang w:val="en-GB"/>
        </w:rPr>
        <w:t xml:space="preserve"> Psychology 2013;38: 605–616</w:t>
      </w:r>
      <w:r>
        <w:rPr>
          <w:rFonts w:ascii="Arial" w:hAnsi="Arial" w:cs="Arial"/>
          <w:lang w:val="en-GB"/>
        </w:rPr>
        <w:t>; [</w:t>
      </w:r>
      <w:r w:rsidRPr="00262328">
        <w:rPr>
          <w:rFonts w:ascii="Arial" w:hAnsi="Arial" w:cs="Arial"/>
          <w:lang w:val="en-GB"/>
        </w:rPr>
        <w:t>S4</w:t>
      </w:r>
      <w:r>
        <w:rPr>
          <w:rFonts w:ascii="Arial" w:hAnsi="Arial" w:cs="Arial"/>
          <w:lang w:val="en-GB"/>
        </w:rPr>
        <w:t>.</w:t>
      </w:r>
      <w:r w:rsidR="004C6A0E">
        <w:rPr>
          <w:rFonts w:ascii="Arial" w:hAnsi="Arial" w:cs="Arial"/>
          <w:lang w:val="en-GB"/>
        </w:rPr>
        <w:t>11</w:t>
      </w:r>
      <w:r>
        <w:rPr>
          <w:rFonts w:ascii="Arial" w:hAnsi="Arial" w:cs="Arial"/>
          <w:lang w:val="en-GB"/>
        </w:rPr>
        <w:t xml:space="preserve">] </w:t>
      </w:r>
      <w:proofErr w:type="spellStart"/>
      <w:r w:rsidRPr="00262328">
        <w:rPr>
          <w:rFonts w:ascii="Arial" w:hAnsi="Arial" w:cs="Arial"/>
          <w:lang w:val="en-GB"/>
        </w:rPr>
        <w:t>Pfäfflin</w:t>
      </w:r>
      <w:proofErr w:type="spellEnd"/>
      <w:r w:rsidRPr="00262328">
        <w:rPr>
          <w:rFonts w:ascii="Arial" w:hAnsi="Arial" w:cs="Arial"/>
          <w:lang w:val="en-GB"/>
        </w:rPr>
        <w:t xml:space="preserve"> M, </w:t>
      </w:r>
      <w:proofErr w:type="spellStart"/>
      <w:r w:rsidRPr="00262328">
        <w:rPr>
          <w:rFonts w:ascii="Arial" w:hAnsi="Arial" w:cs="Arial"/>
          <w:lang w:val="en-GB"/>
        </w:rPr>
        <w:t>Petermann</w:t>
      </w:r>
      <w:proofErr w:type="spellEnd"/>
      <w:r w:rsidRPr="00262328">
        <w:rPr>
          <w:rFonts w:ascii="Arial" w:hAnsi="Arial" w:cs="Arial"/>
          <w:lang w:val="en-GB"/>
        </w:rPr>
        <w:t xml:space="preserve"> F, Rau J, May TW. The psychoeducational program for children with epilepsy and their parents (FAMOSES): Results of a controlled pilot study and a survey of parent satisfaction over a five-year period. Epilepsy &amp; Behavior 2012;25 11–16</w:t>
      </w:r>
      <w:r>
        <w:rPr>
          <w:rFonts w:ascii="Arial" w:hAnsi="Arial" w:cs="Arial"/>
          <w:lang w:val="en-GB"/>
        </w:rPr>
        <w:t>; [</w:t>
      </w:r>
      <w:r w:rsidRPr="00262328">
        <w:rPr>
          <w:rFonts w:ascii="Arial" w:hAnsi="Arial" w:cs="Arial"/>
          <w:lang w:val="en-GB"/>
        </w:rPr>
        <w:t>S4.</w:t>
      </w:r>
      <w:r w:rsidR="004C6A0E">
        <w:rPr>
          <w:rFonts w:ascii="Arial" w:hAnsi="Arial" w:cs="Arial"/>
          <w:lang w:val="en-GB"/>
        </w:rPr>
        <w:t>12</w:t>
      </w:r>
      <w:r>
        <w:rPr>
          <w:rFonts w:ascii="Arial" w:hAnsi="Arial" w:cs="Arial"/>
          <w:lang w:val="en-GB"/>
        </w:rPr>
        <w:t xml:space="preserve">] </w:t>
      </w:r>
      <w:r w:rsidRPr="00262328">
        <w:rPr>
          <w:rFonts w:ascii="Arial" w:hAnsi="Arial" w:cs="Arial"/>
          <w:lang w:val="en-GB"/>
        </w:rPr>
        <w:t>Pryse-Phillips W, Jardine F, Bursey F. Compliance with Drug Therapy by Epileptic Patients. Epilepsia 1982;23 269-274</w:t>
      </w:r>
      <w:r>
        <w:rPr>
          <w:rFonts w:ascii="Arial" w:hAnsi="Arial" w:cs="Arial"/>
          <w:lang w:val="en-GB"/>
        </w:rPr>
        <w:t>; [</w:t>
      </w:r>
      <w:r w:rsidRPr="00262328">
        <w:rPr>
          <w:rFonts w:ascii="Arial" w:hAnsi="Arial" w:cs="Arial"/>
          <w:lang w:val="en-GB"/>
        </w:rPr>
        <w:t>S4.1</w:t>
      </w:r>
      <w:r w:rsidR="004C6A0E">
        <w:rPr>
          <w:rFonts w:ascii="Arial" w:hAnsi="Arial" w:cs="Arial"/>
          <w:lang w:val="en-GB"/>
        </w:rPr>
        <w:t>3</w:t>
      </w:r>
      <w:r w:rsidRPr="00262328">
        <w:rPr>
          <w:rFonts w:ascii="Arial" w:hAnsi="Arial" w:cs="Arial"/>
          <w:lang w:val="en-GB"/>
        </w:rPr>
        <w:t>]</w:t>
      </w:r>
      <w:r>
        <w:rPr>
          <w:rFonts w:ascii="Arial" w:hAnsi="Arial" w:cs="Arial"/>
          <w:lang w:val="en-GB"/>
        </w:rPr>
        <w:t xml:space="preserve"> </w:t>
      </w:r>
      <w:proofErr w:type="spellStart"/>
      <w:r w:rsidRPr="00262328">
        <w:rPr>
          <w:rFonts w:ascii="Arial" w:hAnsi="Arial" w:cs="Arial"/>
          <w:lang w:val="en-GB"/>
        </w:rPr>
        <w:t>Shope</w:t>
      </w:r>
      <w:proofErr w:type="spellEnd"/>
      <w:r w:rsidRPr="00262328">
        <w:rPr>
          <w:rFonts w:ascii="Arial" w:hAnsi="Arial" w:cs="Arial"/>
          <w:lang w:val="en-GB"/>
        </w:rPr>
        <w:t xml:space="preserve"> JT. 1980. Patient Counselling and Health Education Intervention to improve compliance with </w:t>
      </w:r>
      <w:proofErr w:type="spellStart"/>
      <w:r w:rsidRPr="00262328">
        <w:rPr>
          <w:rFonts w:ascii="Arial" w:hAnsi="Arial" w:cs="Arial"/>
          <w:lang w:val="en-GB"/>
        </w:rPr>
        <w:t>pediatric</w:t>
      </w:r>
      <w:proofErr w:type="spellEnd"/>
      <w:r w:rsidRPr="00262328">
        <w:rPr>
          <w:rFonts w:ascii="Arial" w:hAnsi="Arial" w:cs="Arial"/>
          <w:lang w:val="en-GB"/>
        </w:rPr>
        <w:t xml:space="preserve"> anticonvulsant therapy;2: 135-141</w:t>
      </w:r>
      <w:r>
        <w:rPr>
          <w:rFonts w:ascii="Arial" w:hAnsi="Arial" w:cs="Arial"/>
          <w:lang w:val="en-GB"/>
        </w:rPr>
        <w:t>; [</w:t>
      </w:r>
      <w:r w:rsidRPr="00262328">
        <w:rPr>
          <w:rFonts w:ascii="Arial" w:hAnsi="Arial" w:cs="Arial"/>
          <w:lang w:val="en-GB"/>
        </w:rPr>
        <w:t>S4.1</w:t>
      </w:r>
      <w:r w:rsidR="004C6A0E">
        <w:rPr>
          <w:rFonts w:ascii="Arial" w:hAnsi="Arial" w:cs="Arial"/>
          <w:lang w:val="en-GB"/>
        </w:rPr>
        <w:t>4</w:t>
      </w:r>
      <w:r w:rsidRPr="00262328">
        <w:rPr>
          <w:rFonts w:ascii="Arial" w:hAnsi="Arial" w:cs="Arial"/>
          <w:lang w:val="en-GB"/>
        </w:rPr>
        <w:t>]</w:t>
      </w:r>
      <w:r>
        <w:rPr>
          <w:rFonts w:ascii="Arial" w:hAnsi="Arial" w:cs="Arial"/>
          <w:lang w:val="en-GB"/>
        </w:rPr>
        <w:t xml:space="preserve"> </w:t>
      </w:r>
      <w:r w:rsidRPr="00262328">
        <w:rPr>
          <w:rFonts w:ascii="Arial" w:hAnsi="Arial" w:cs="Arial"/>
          <w:lang w:val="en-GB"/>
        </w:rPr>
        <w:t>Tang F, Zhu G, Jiao Z, Ma C, Chen N, Wang B. The effects of medication education and behavioral intervention on Chinese patients with epilepsy. Epilepsy &amp; Behavior 2014;37 157–164.</w:t>
      </w:r>
    </w:p>
    <w:sectPr w:rsidR="00F01D34" w:rsidRPr="00262328" w:rsidSect="00ED33D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10"/>
    <w:rsid w:val="001070F5"/>
    <w:rsid w:val="001614B1"/>
    <w:rsid w:val="00252A21"/>
    <w:rsid w:val="00262328"/>
    <w:rsid w:val="003363DF"/>
    <w:rsid w:val="00437DF3"/>
    <w:rsid w:val="004C6A0E"/>
    <w:rsid w:val="005D5721"/>
    <w:rsid w:val="005F3B49"/>
    <w:rsid w:val="00647EF1"/>
    <w:rsid w:val="006858C4"/>
    <w:rsid w:val="0075204F"/>
    <w:rsid w:val="008717DC"/>
    <w:rsid w:val="00961EDF"/>
    <w:rsid w:val="00A516C8"/>
    <w:rsid w:val="00C50DBA"/>
    <w:rsid w:val="00E05A10"/>
    <w:rsid w:val="00E32084"/>
    <w:rsid w:val="00E7405B"/>
    <w:rsid w:val="00ED33DE"/>
    <w:rsid w:val="00F01D34"/>
    <w:rsid w:val="00F5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D3AD"/>
  <w15:chartTrackingRefBased/>
  <w15:docId w15:val="{0FE23EF7-1045-485C-BA46-37C584D3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A1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E05A10"/>
    <w:pPr>
      <w:spacing w:after="200" w:line="480" w:lineRule="auto"/>
      <w:jc w:val="both"/>
    </w:pPr>
    <w:rPr>
      <w:rFonts w:ascii="Arial" w:hAnsi="Arial" w:cs="Arial"/>
      <w:noProof/>
    </w:rPr>
  </w:style>
  <w:style w:type="character" w:customStyle="1" w:styleId="EndNoteBibliographyChar">
    <w:name w:val="EndNote Bibliography Char"/>
    <w:basedOn w:val="DefaultParagraphFont"/>
    <w:link w:val="EndNoteBibliography"/>
    <w:rsid w:val="00E05A10"/>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Noble</dc:creator>
  <cp:keywords/>
  <dc:description/>
  <cp:lastModifiedBy>Noble, Adam</cp:lastModifiedBy>
  <cp:revision>7</cp:revision>
  <dcterms:created xsi:type="dcterms:W3CDTF">2019-05-12T19:23:00Z</dcterms:created>
  <dcterms:modified xsi:type="dcterms:W3CDTF">2019-05-29T08:11:00Z</dcterms:modified>
</cp:coreProperties>
</file>