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55236" w14:textId="522705C0" w:rsidR="00AB2FFB" w:rsidRDefault="001F64C6" w:rsidP="00303E98">
      <w:pPr>
        <w:spacing w:after="0" w:line="480" w:lineRule="auto"/>
        <w:rPr>
          <w:rFonts w:ascii="Arial" w:hAnsi="Arial" w:cs="Arial"/>
          <w:b/>
          <w:szCs w:val="24"/>
        </w:rPr>
      </w:pPr>
      <w:bookmarkStart w:id="0" w:name="_Toc370308473"/>
      <w:bookmarkStart w:id="1" w:name="_Toc443297909"/>
      <w:bookmarkStart w:id="2" w:name="_Toc444002009"/>
      <w:bookmarkStart w:id="3" w:name="_Toc369785745"/>
      <w:bookmarkStart w:id="4" w:name="_Ref369216495"/>
      <w:bookmarkStart w:id="5" w:name="_Ref370122160"/>
      <w:r w:rsidRPr="00BF3D07">
        <w:rPr>
          <w:rFonts w:ascii="Arial" w:hAnsi="Arial" w:cs="Arial"/>
          <w:b/>
          <w:szCs w:val="24"/>
        </w:rPr>
        <w:t xml:space="preserve">Association between </w:t>
      </w:r>
      <w:r w:rsidR="00452451" w:rsidRPr="00BF3D07">
        <w:rPr>
          <w:rFonts w:ascii="Arial" w:hAnsi="Arial" w:cs="Arial"/>
          <w:b/>
          <w:szCs w:val="24"/>
        </w:rPr>
        <w:t xml:space="preserve">antipsychotic </w:t>
      </w:r>
      <w:r w:rsidRPr="00BF3D07">
        <w:rPr>
          <w:rFonts w:ascii="Arial" w:hAnsi="Arial" w:cs="Arial"/>
          <w:b/>
          <w:szCs w:val="24"/>
        </w:rPr>
        <w:t>polypharmacy and outcomes for people with seri</w:t>
      </w:r>
      <w:r w:rsidR="004E78FB" w:rsidRPr="00BF3D07">
        <w:rPr>
          <w:rFonts w:ascii="Arial" w:hAnsi="Arial" w:cs="Arial"/>
          <w:b/>
          <w:szCs w:val="24"/>
        </w:rPr>
        <w:t>ous mental illness</w:t>
      </w:r>
      <w:r w:rsidR="00F050AE" w:rsidRPr="00BF3D07">
        <w:rPr>
          <w:rFonts w:ascii="Arial" w:hAnsi="Arial" w:cs="Arial"/>
          <w:b/>
          <w:szCs w:val="24"/>
        </w:rPr>
        <w:t xml:space="preserve"> in England</w:t>
      </w:r>
    </w:p>
    <w:p w14:paraId="1F482D4B" w14:textId="588BCF52" w:rsidR="007A1E42" w:rsidRPr="00F30F1F" w:rsidRDefault="007A1E42" w:rsidP="007A1E42">
      <w:pPr>
        <w:spacing w:after="0"/>
        <w:rPr>
          <w:rFonts w:ascii="Arial" w:hAnsi="Arial" w:cs="Arial"/>
          <w:sz w:val="22"/>
        </w:rPr>
      </w:pPr>
      <w:r w:rsidRPr="0002328C">
        <w:rPr>
          <w:rFonts w:ascii="Arial" w:hAnsi="Arial" w:cs="Arial"/>
          <w:sz w:val="22"/>
        </w:rPr>
        <w:t>Panagiotis Kasteridis</w:t>
      </w:r>
      <w:r w:rsidRPr="0002328C">
        <w:rPr>
          <w:rFonts w:ascii="Arial" w:hAnsi="Arial" w:cs="Arial"/>
          <w:sz w:val="22"/>
          <w:vertAlign w:val="superscript"/>
        </w:rPr>
        <w:t>a,*</w:t>
      </w:r>
      <w:r w:rsidRPr="0002328C">
        <w:rPr>
          <w:rFonts w:ascii="Arial" w:hAnsi="Arial" w:cs="Arial"/>
          <w:sz w:val="22"/>
        </w:rPr>
        <w:t>, Ph.D., Jemimah Ride</w:t>
      </w:r>
      <w:r w:rsidRPr="0002328C">
        <w:rPr>
          <w:rFonts w:ascii="Arial" w:hAnsi="Arial" w:cs="Arial"/>
          <w:sz w:val="22"/>
          <w:vertAlign w:val="superscript"/>
        </w:rPr>
        <w:t>a</w:t>
      </w:r>
      <w:r w:rsidRPr="0002328C">
        <w:rPr>
          <w:rFonts w:ascii="Arial" w:hAnsi="Arial" w:cs="Arial"/>
          <w:sz w:val="22"/>
        </w:rPr>
        <w:t>, Ph.D., Nils Gutacker</w:t>
      </w:r>
      <w:r w:rsidRPr="0002328C">
        <w:rPr>
          <w:rFonts w:ascii="Arial" w:hAnsi="Arial" w:cs="Arial"/>
          <w:sz w:val="22"/>
          <w:vertAlign w:val="superscript"/>
        </w:rPr>
        <w:t>a</w:t>
      </w:r>
      <w:r w:rsidRPr="0002328C">
        <w:rPr>
          <w:rFonts w:ascii="Arial" w:hAnsi="Arial" w:cs="Arial"/>
          <w:sz w:val="22"/>
        </w:rPr>
        <w:t>, Ph.D., Lauren Aylott</w:t>
      </w:r>
      <w:r w:rsidRPr="0002328C">
        <w:rPr>
          <w:rFonts w:ascii="Arial" w:hAnsi="Arial" w:cs="Arial"/>
          <w:sz w:val="22"/>
          <w:vertAlign w:val="superscript"/>
        </w:rPr>
        <w:t>b,d</w:t>
      </w:r>
      <w:r w:rsidR="00E25E3B">
        <w:rPr>
          <w:rFonts w:ascii="Arial" w:hAnsi="Arial" w:cs="Arial"/>
          <w:sz w:val="22"/>
        </w:rPr>
        <w:t>, B</w:t>
      </w:r>
      <w:r w:rsidRPr="0002328C">
        <w:rPr>
          <w:rFonts w:ascii="Arial" w:hAnsi="Arial" w:cs="Arial"/>
          <w:sz w:val="22"/>
        </w:rPr>
        <w:t>Sc, Ceri Dare</w:t>
      </w:r>
      <w:r w:rsidRPr="0002328C">
        <w:rPr>
          <w:rFonts w:ascii="Arial" w:hAnsi="Arial" w:cs="Arial"/>
          <w:sz w:val="22"/>
          <w:vertAlign w:val="superscript"/>
        </w:rPr>
        <w:t>b</w:t>
      </w:r>
      <w:r w:rsidRPr="0002328C">
        <w:rPr>
          <w:rFonts w:ascii="Arial" w:hAnsi="Arial" w:cs="Arial"/>
          <w:sz w:val="22"/>
        </w:rPr>
        <w:t xml:space="preserve">, </w:t>
      </w:r>
      <w:r w:rsidR="00E25E3B">
        <w:rPr>
          <w:rFonts w:ascii="Arial" w:hAnsi="Arial" w:cs="Arial"/>
          <w:sz w:val="22"/>
        </w:rPr>
        <w:t xml:space="preserve">MPH, </w:t>
      </w:r>
      <w:r w:rsidRPr="0002328C">
        <w:rPr>
          <w:rFonts w:ascii="Arial" w:hAnsi="Arial" w:cs="Arial"/>
          <w:sz w:val="22"/>
        </w:rPr>
        <w:t>Tim Doran</w:t>
      </w:r>
      <w:r w:rsidRPr="0002328C">
        <w:rPr>
          <w:rFonts w:ascii="Arial" w:hAnsi="Arial" w:cs="Arial"/>
          <w:sz w:val="22"/>
          <w:vertAlign w:val="superscript"/>
        </w:rPr>
        <w:t>c</w:t>
      </w:r>
      <w:r w:rsidR="00E25E3B">
        <w:rPr>
          <w:rFonts w:ascii="Arial" w:hAnsi="Arial" w:cs="Arial"/>
          <w:sz w:val="22"/>
        </w:rPr>
        <w:t>, MD</w:t>
      </w:r>
      <w:r w:rsidRPr="0002328C">
        <w:rPr>
          <w:rFonts w:ascii="Arial" w:hAnsi="Arial" w:cs="Arial"/>
          <w:sz w:val="22"/>
        </w:rPr>
        <w:t>, Simon Gilbody</w:t>
      </w:r>
      <w:r w:rsidRPr="0002328C">
        <w:rPr>
          <w:rFonts w:ascii="Arial" w:hAnsi="Arial" w:cs="Arial"/>
          <w:sz w:val="22"/>
          <w:vertAlign w:val="superscript"/>
        </w:rPr>
        <w:t>c,d</w:t>
      </w:r>
      <w:r w:rsidRPr="0002328C">
        <w:rPr>
          <w:rFonts w:ascii="Arial" w:hAnsi="Arial" w:cs="Arial"/>
          <w:sz w:val="22"/>
        </w:rPr>
        <w:t>, Ph.D., Maria Goddard</w:t>
      </w:r>
      <w:r w:rsidRPr="0002328C">
        <w:rPr>
          <w:rFonts w:ascii="Arial" w:hAnsi="Arial" w:cs="Arial"/>
          <w:sz w:val="22"/>
          <w:vertAlign w:val="superscript"/>
        </w:rPr>
        <w:t>a</w:t>
      </w:r>
      <w:r w:rsidR="00E25E3B">
        <w:rPr>
          <w:rFonts w:ascii="Arial" w:hAnsi="Arial" w:cs="Arial"/>
          <w:sz w:val="22"/>
        </w:rPr>
        <w:t>, MSc</w:t>
      </w:r>
      <w:r w:rsidRPr="0002328C">
        <w:rPr>
          <w:rFonts w:ascii="Arial" w:hAnsi="Arial" w:cs="Arial"/>
          <w:sz w:val="22"/>
        </w:rPr>
        <w:t>, Hugh Gravelle</w:t>
      </w:r>
      <w:r w:rsidRPr="0002328C">
        <w:rPr>
          <w:rFonts w:ascii="Arial" w:hAnsi="Arial" w:cs="Arial"/>
          <w:sz w:val="22"/>
          <w:vertAlign w:val="superscript"/>
        </w:rPr>
        <w:t>a</w:t>
      </w:r>
      <w:r w:rsidRPr="0002328C">
        <w:rPr>
          <w:rFonts w:ascii="Arial" w:hAnsi="Arial" w:cs="Arial"/>
          <w:sz w:val="22"/>
        </w:rPr>
        <w:t>, Ph.D., Tony Kendrick</w:t>
      </w:r>
      <w:r w:rsidRPr="0002328C">
        <w:rPr>
          <w:rFonts w:ascii="Arial" w:hAnsi="Arial" w:cs="Arial"/>
          <w:sz w:val="22"/>
          <w:vertAlign w:val="superscript"/>
        </w:rPr>
        <w:t>e</w:t>
      </w:r>
      <w:r w:rsidR="00E25E3B">
        <w:rPr>
          <w:rFonts w:ascii="Arial" w:hAnsi="Arial" w:cs="Arial"/>
          <w:sz w:val="22"/>
        </w:rPr>
        <w:t>, MD</w:t>
      </w:r>
      <w:r w:rsidRPr="0002328C">
        <w:rPr>
          <w:rFonts w:ascii="Arial" w:hAnsi="Arial" w:cs="Arial"/>
          <w:sz w:val="22"/>
        </w:rPr>
        <w:t>, FRCGP, Anne Mason</w:t>
      </w:r>
      <w:r w:rsidRPr="0002328C">
        <w:rPr>
          <w:rFonts w:ascii="Arial" w:hAnsi="Arial" w:cs="Arial"/>
          <w:sz w:val="22"/>
          <w:vertAlign w:val="superscript"/>
        </w:rPr>
        <w:t>a</w:t>
      </w:r>
      <w:r w:rsidR="00E25E3B">
        <w:rPr>
          <w:rFonts w:ascii="Arial" w:hAnsi="Arial" w:cs="Arial"/>
          <w:sz w:val="22"/>
        </w:rPr>
        <w:t>, BA, MA</w:t>
      </w:r>
      <w:r w:rsidRPr="0002328C">
        <w:rPr>
          <w:rFonts w:ascii="Arial" w:hAnsi="Arial" w:cs="Arial"/>
          <w:sz w:val="22"/>
        </w:rPr>
        <w:t>, Nigel Rice</w:t>
      </w:r>
      <w:r w:rsidRPr="0002328C">
        <w:rPr>
          <w:rFonts w:ascii="Arial" w:hAnsi="Arial" w:cs="Arial"/>
          <w:sz w:val="22"/>
          <w:vertAlign w:val="superscript"/>
        </w:rPr>
        <w:t>a</w:t>
      </w:r>
      <w:r w:rsidRPr="0002328C">
        <w:rPr>
          <w:rFonts w:ascii="Arial" w:hAnsi="Arial" w:cs="Arial"/>
          <w:sz w:val="22"/>
        </w:rPr>
        <w:t>, Ph.D., Najma Siddiqi</w:t>
      </w:r>
      <w:r w:rsidRPr="0002328C">
        <w:rPr>
          <w:rFonts w:ascii="Arial" w:hAnsi="Arial" w:cs="Arial"/>
          <w:sz w:val="22"/>
          <w:vertAlign w:val="superscript"/>
        </w:rPr>
        <w:t>c,d,g</w:t>
      </w:r>
      <w:r w:rsidRPr="0002328C">
        <w:rPr>
          <w:rFonts w:ascii="Arial" w:hAnsi="Arial" w:cs="Arial"/>
          <w:sz w:val="22"/>
        </w:rPr>
        <w:t>, Ph.D., Rachael Williams</w:t>
      </w:r>
      <w:r w:rsidRPr="0002328C">
        <w:rPr>
          <w:rFonts w:ascii="Arial" w:hAnsi="Arial" w:cs="Arial"/>
          <w:sz w:val="22"/>
          <w:vertAlign w:val="superscript"/>
        </w:rPr>
        <w:t>f</w:t>
      </w:r>
      <w:r w:rsidRPr="0002328C">
        <w:rPr>
          <w:rFonts w:ascii="Arial" w:hAnsi="Arial" w:cs="Arial"/>
          <w:sz w:val="22"/>
        </w:rPr>
        <w:t>, Ph.D., and Rowena Jacobs</w:t>
      </w:r>
      <w:r w:rsidRPr="0002328C">
        <w:rPr>
          <w:rFonts w:ascii="Arial" w:hAnsi="Arial" w:cs="Arial"/>
          <w:sz w:val="22"/>
          <w:vertAlign w:val="superscript"/>
        </w:rPr>
        <w:t>a</w:t>
      </w:r>
      <w:r w:rsidRPr="0002328C">
        <w:rPr>
          <w:rFonts w:ascii="Arial" w:hAnsi="Arial" w:cs="Arial"/>
          <w:sz w:val="22"/>
        </w:rPr>
        <w:t>, Ph.D.</w:t>
      </w:r>
    </w:p>
    <w:p w14:paraId="2EFE6539" w14:textId="77777777" w:rsidR="007A1E42" w:rsidRDefault="007A1E42" w:rsidP="007A1E42">
      <w:pPr>
        <w:spacing w:after="0"/>
        <w:rPr>
          <w:rFonts w:ascii="Arial" w:hAnsi="Arial" w:cs="Arial"/>
          <w:sz w:val="22"/>
        </w:rPr>
      </w:pPr>
    </w:p>
    <w:p w14:paraId="707E006A" w14:textId="77777777" w:rsidR="007A1E42" w:rsidRDefault="007A1E42" w:rsidP="007A1E42">
      <w:pPr>
        <w:spacing w:after="0"/>
        <w:rPr>
          <w:rFonts w:ascii="Arial" w:hAnsi="Arial" w:cs="Arial"/>
          <w:sz w:val="20"/>
          <w:szCs w:val="20"/>
        </w:rPr>
      </w:pPr>
      <w:r>
        <w:rPr>
          <w:rFonts w:ascii="Arial" w:hAnsi="Arial" w:cs="Arial"/>
          <w:sz w:val="20"/>
          <w:szCs w:val="20"/>
          <w:vertAlign w:val="superscript"/>
        </w:rPr>
        <w:t xml:space="preserve">a </w:t>
      </w:r>
      <w:r w:rsidRPr="00A27643">
        <w:rPr>
          <w:rFonts w:ascii="Arial" w:hAnsi="Arial" w:cs="Arial"/>
          <w:sz w:val="20"/>
          <w:szCs w:val="20"/>
        </w:rPr>
        <w:t>Centre for Health Economics, University of York, York</w:t>
      </w:r>
      <w:r>
        <w:rPr>
          <w:rFonts w:ascii="Arial" w:hAnsi="Arial" w:cs="Arial"/>
          <w:sz w:val="20"/>
          <w:szCs w:val="20"/>
        </w:rPr>
        <w:t>, UK</w:t>
      </w:r>
    </w:p>
    <w:p w14:paraId="2CE2D201" w14:textId="29059319" w:rsidR="007A1E42" w:rsidRPr="00877856" w:rsidRDefault="007A1E42" w:rsidP="007A1E42">
      <w:pPr>
        <w:spacing w:after="0"/>
      </w:pPr>
      <w:r>
        <w:rPr>
          <w:rFonts w:ascii="Arial" w:hAnsi="Arial" w:cs="Arial"/>
          <w:sz w:val="20"/>
          <w:szCs w:val="20"/>
          <w:vertAlign w:val="superscript"/>
        </w:rPr>
        <w:t xml:space="preserve">b </w:t>
      </w:r>
      <w:r w:rsidR="00A37C7A">
        <w:rPr>
          <w:rFonts w:ascii="Arial" w:hAnsi="Arial" w:cs="Arial"/>
          <w:sz w:val="20"/>
          <w:szCs w:val="20"/>
        </w:rPr>
        <w:t xml:space="preserve">Expert by experience </w:t>
      </w:r>
    </w:p>
    <w:p w14:paraId="149F2EA2" w14:textId="77777777" w:rsidR="007A1E42" w:rsidRDefault="007A1E42" w:rsidP="007A1E42">
      <w:pPr>
        <w:spacing w:after="0"/>
        <w:rPr>
          <w:rFonts w:ascii="Arial" w:hAnsi="Arial" w:cs="Arial"/>
          <w:sz w:val="20"/>
          <w:szCs w:val="20"/>
        </w:rPr>
      </w:pPr>
      <w:r>
        <w:rPr>
          <w:rFonts w:ascii="Arial" w:hAnsi="Arial" w:cs="Arial"/>
          <w:sz w:val="20"/>
          <w:szCs w:val="20"/>
          <w:vertAlign w:val="superscript"/>
        </w:rPr>
        <w:t>c</w:t>
      </w:r>
      <w:r w:rsidRPr="00A27643">
        <w:rPr>
          <w:rFonts w:ascii="Arial" w:hAnsi="Arial" w:cs="Arial"/>
          <w:sz w:val="20"/>
          <w:szCs w:val="20"/>
        </w:rPr>
        <w:t xml:space="preserve"> Department of Health Scien</w:t>
      </w:r>
      <w:r>
        <w:rPr>
          <w:rFonts w:ascii="Arial" w:hAnsi="Arial" w:cs="Arial"/>
          <w:sz w:val="20"/>
          <w:szCs w:val="20"/>
        </w:rPr>
        <w:t>ces, University of York, York, UK</w:t>
      </w:r>
    </w:p>
    <w:p w14:paraId="39CCAE28" w14:textId="77777777" w:rsidR="007A1E42" w:rsidRDefault="007A1E42" w:rsidP="007A1E42">
      <w:pPr>
        <w:spacing w:after="0"/>
        <w:rPr>
          <w:rFonts w:ascii="Arial" w:hAnsi="Arial" w:cs="Arial"/>
          <w:sz w:val="20"/>
          <w:szCs w:val="20"/>
        </w:rPr>
      </w:pPr>
      <w:r>
        <w:rPr>
          <w:rFonts w:ascii="Arial" w:hAnsi="Arial" w:cs="Arial"/>
          <w:sz w:val="20"/>
          <w:szCs w:val="20"/>
          <w:vertAlign w:val="superscript"/>
        </w:rPr>
        <w:t>d</w:t>
      </w:r>
      <w:r>
        <w:rPr>
          <w:rFonts w:ascii="Arial" w:hAnsi="Arial" w:cs="Arial"/>
          <w:sz w:val="20"/>
          <w:szCs w:val="20"/>
        </w:rPr>
        <w:t xml:space="preserve"> Hull York Medical School, York, UK</w:t>
      </w:r>
    </w:p>
    <w:p w14:paraId="7C41FBEF" w14:textId="77777777" w:rsidR="007A1E42" w:rsidRDefault="007A1E42" w:rsidP="007A1E42">
      <w:pPr>
        <w:spacing w:after="0"/>
        <w:rPr>
          <w:rFonts w:ascii="Arial" w:hAnsi="Arial" w:cs="Arial"/>
          <w:sz w:val="20"/>
          <w:szCs w:val="20"/>
        </w:rPr>
      </w:pPr>
      <w:r>
        <w:rPr>
          <w:rFonts w:ascii="Arial" w:hAnsi="Arial" w:cs="Arial"/>
          <w:sz w:val="20"/>
          <w:szCs w:val="20"/>
          <w:vertAlign w:val="superscript"/>
        </w:rPr>
        <w:t>e</w:t>
      </w:r>
      <w:r>
        <w:rPr>
          <w:rFonts w:ascii="Arial" w:hAnsi="Arial" w:cs="Arial"/>
          <w:sz w:val="20"/>
          <w:szCs w:val="20"/>
        </w:rPr>
        <w:t xml:space="preserve"> P</w:t>
      </w:r>
      <w:r w:rsidRPr="00A27643">
        <w:rPr>
          <w:rFonts w:ascii="Arial" w:hAnsi="Arial" w:cs="Arial"/>
          <w:sz w:val="20"/>
          <w:szCs w:val="20"/>
        </w:rPr>
        <w:t>rimary Care and Population Sciences, University of Southampton</w:t>
      </w:r>
      <w:r>
        <w:rPr>
          <w:rFonts w:ascii="Arial" w:hAnsi="Arial" w:cs="Arial"/>
          <w:sz w:val="20"/>
          <w:szCs w:val="20"/>
        </w:rPr>
        <w:t>, UK</w:t>
      </w:r>
    </w:p>
    <w:p w14:paraId="0A6B0400" w14:textId="77777777" w:rsidR="007A1E42" w:rsidRDefault="007A1E42" w:rsidP="007A1E42">
      <w:pPr>
        <w:spacing w:after="0"/>
        <w:rPr>
          <w:rFonts w:ascii="Arial" w:hAnsi="Arial" w:cs="Arial"/>
          <w:sz w:val="20"/>
          <w:szCs w:val="20"/>
        </w:rPr>
      </w:pPr>
      <w:r>
        <w:rPr>
          <w:rFonts w:ascii="Arial" w:hAnsi="Arial" w:cs="Arial"/>
          <w:sz w:val="20"/>
          <w:szCs w:val="20"/>
          <w:vertAlign w:val="superscript"/>
        </w:rPr>
        <w:t xml:space="preserve">f </w:t>
      </w:r>
      <w:r>
        <w:rPr>
          <w:rFonts w:ascii="Arial" w:hAnsi="Arial" w:cs="Arial"/>
          <w:sz w:val="20"/>
          <w:szCs w:val="20"/>
        </w:rPr>
        <w:t>Clinical Practice Research Datalink (CPRD) - Medicines and Healthcare products Regulatory Agency MHRA, London, UK</w:t>
      </w:r>
    </w:p>
    <w:p w14:paraId="4685375C" w14:textId="77777777" w:rsidR="007A1E42" w:rsidRDefault="007A1E42" w:rsidP="007A1E42">
      <w:pPr>
        <w:spacing w:after="0"/>
        <w:rPr>
          <w:rFonts w:ascii="Arial" w:hAnsi="Arial" w:cs="Arial"/>
          <w:sz w:val="20"/>
          <w:szCs w:val="20"/>
        </w:rPr>
      </w:pPr>
      <w:r>
        <w:rPr>
          <w:rFonts w:ascii="Arial" w:hAnsi="Arial" w:cs="Arial"/>
          <w:sz w:val="20"/>
          <w:szCs w:val="20"/>
          <w:vertAlign w:val="superscript"/>
        </w:rPr>
        <w:t xml:space="preserve">g </w:t>
      </w:r>
      <w:r>
        <w:rPr>
          <w:rFonts w:ascii="Arial" w:hAnsi="Arial" w:cs="Arial"/>
          <w:sz w:val="20"/>
          <w:szCs w:val="20"/>
        </w:rPr>
        <w:t>Bradford District Care NHS Foundation Trust</w:t>
      </w:r>
    </w:p>
    <w:p w14:paraId="204A4C07" w14:textId="77777777" w:rsidR="002F145F" w:rsidRDefault="002F145F" w:rsidP="002F145F">
      <w:pPr>
        <w:spacing w:after="0"/>
        <w:rPr>
          <w:rFonts w:ascii="Arial" w:hAnsi="Arial" w:cs="Arial"/>
          <w:sz w:val="20"/>
          <w:szCs w:val="20"/>
        </w:rPr>
      </w:pPr>
    </w:p>
    <w:p w14:paraId="1E85317E" w14:textId="439E059E" w:rsidR="002F145F" w:rsidRDefault="002F145F" w:rsidP="002F145F">
      <w:pPr>
        <w:spacing w:after="0"/>
        <w:rPr>
          <w:rFonts w:ascii="Arial" w:hAnsi="Arial" w:cs="Arial"/>
          <w:sz w:val="20"/>
          <w:szCs w:val="20"/>
        </w:rPr>
      </w:pPr>
      <w:r>
        <w:rPr>
          <w:rFonts w:ascii="Arial" w:hAnsi="Arial" w:cs="Arial"/>
          <w:sz w:val="20"/>
          <w:szCs w:val="20"/>
          <w:vertAlign w:val="superscript"/>
        </w:rPr>
        <w:t>*</w:t>
      </w:r>
      <w:r>
        <w:rPr>
          <w:rFonts w:ascii="Arial" w:hAnsi="Arial" w:cs="Arial"/>
          <w:sz w:val="20"/>
          <w:szCs w:val="20"/>
          <w:vertAlign w:val="subscript"/>
        </w:rPr>
        <w:t xml:space="preserve"> </w:t>
      </w:r>
      <w:r>
        <w:rPr>
          <w:rFonts w:ascii="Arial" w:hAnsi="Arial" w:cs="Arial"/>
          <w:sz w:val="20"/>
          <w:szCs w:val="20"/>
        </w:rPr>
        <w:t xml:space="preserve">Corresponding author. </w:t>
      </w:r>
      <w:r w:rsidRPr="00347001">
        <w:rPr>
          <w:rFonts w:ascii="Arial" w:hAnsi="Arial" w:cs="Arial"/>
          <w:sz w:val="20"/>
          <w:szCs w:val="20"/>
        </w:rPr>
        <w:t xml:space="preserve">Centre for Health Economics, University of York, Alcuin ‘A’ Block, Heslington, York, YO10 5DD, </w:t>
      </w:r>
      <w:r>
        <w:rPr>
          <w:rFonts w:ascii="Arial" w:hAnsi="Arial" w:cs="Arial"/>
          <w:sz w:val="20"/>
          <w:szCs w:val="20"/>
        </w:rPr>
        <w:t>UK.</w:t>
      </w:r>
    </w:p>
    <w:p w14:paraId="76C88277" w14:textId="77777777" w:rsidR="002F145F" w:rsidRPr="00347001" w:rsidRDefault="002F145F" w:rsidP="002F145F">
      <w:pPr>
        <w:spacing w:after="0"/>
        <w:rPr>
          <w:rFonts w:ascii="Arial" w:hAnsi="Arial" w:cs="Arial"/>
          <w:sz w:val="20"/>
          <w:szCs w:val="20"/>
        </w:rPr>
      </w:pPr>
      <w:r>
        <w:rPr>
          <w:rFonts w:ascii="Arial" w:hAnsi="Arial" w:cs="Arial"/>
          <w:sz w:val="20"/>
          <w:szCs w:val="20"/>
        </w:rPr>
        <w:t xml:space="preserve">E-mail address: </w:t>
      </w:r>
      <w:hyperlink r:id="rId8" w:history="1">
        <w:r w:rsidRPr="00347001">
          <w:rPr>
            <w:rStyle w:val="Hyperlink"/>
            <w:rFonts w:cs="Arial"/>
            <w:szCs w:val="20"/>
          </w:rPr>
          <w:t>panos.kasteridis@york.ac.uk</w:t>
        </w:r>
      </w:hyperlink>
    </w:p>
    <w:p w14:paraId="05420B51" w14:textId="77777777" w:rsidR="002F145F" w:rsidRDefault="002F145F" w:rsidP="002F145F">
      <w:pPr>
        <w:spacing w:after="0"/>
        <w:rPr>
          <w:rFonts w:ascii="Arial" w:hAnsi="Arial" w:cs="Arial"/>
          <w:sz w:val="20"/>
          <w:szCs w:val="20"/>
        </w:rPr>
      </w:pPr>
    </w:p>
    <w:p w14:paraId="200EF1A0" w14:textId="77777777" w:rsidR="0067679A" w:rsidRDefault="0067679A" w:rsidP="0067679A">
      <w:pPr>
        <w:spacing w:after="0" w:line="480" w:lineRule="auto"/>
        <w:rPr>
          <w:rFonts w:ascii="Arial" w:hAnsi="Arial" w:cs="Arial"/>
          <w:sz w:val="20"/>
          <w:szCs w:val="20"/>
        </w:rPr>
      </w:pPr>
      <w:r w:rsidRPr="00DD1E64">
        <w:rPr>
          <w:rFonts w:ascii="Arial" w:hAnsi="Arial" w:cs="Arial"/>
          <w:b/>
          <w:sz w:val="20"/>
          <w:szCs w:val="20"/>
        </w:rPr>
        <w:t>Declarations of interest</w:t>
      </w:r>
      <w:r w:rsidRPr="00BF3D07">
        <w:rPr>
          <w:rFonts w:ascii="Arial" w:hAnsi="Arial" w:cs="Arial"/>
          <w:sz w:val="20"/>
          <w:szCs w:val="20"/>
        </w:rPr>
        <w:t>: None</w:t>
      </w:r>
    </w:p>
    <w:p w14:paraId="3C4262C0" w14:textId="15D139BF" w:rsidR="00877856" w:rsidRDefault="00877856" w:rsidP="00877856">
      <w:pPr>
        <w:spacing w:after="0"/>
        <w:rPr>
          <w:rFonts w:ascii="Arial" w:hAnsi="Arial" w:cs="Arial"/>
          <w:sz w:val="20"/>
          <w:szCs w:val="20"/>
        </w:rPr>
      </w:pPr>
    </w:p>
    <w:p w14:paraId="304544AA" w14:textId="77777777" w:rsidR="0067679A" w:rsidRDefault="0067679A" w:rsidP="0067679A">
      <w:pPr>
        <w:spacing w:after="0" w:line="480" w:lineRule="auto"/>
        <w:rPr>
          <w:rFonts w:ascii="Arial" w:hAnsi="Arial" w:cs="Arial"/>
          <w:sz w:val="20"/>
          <w:szCs w:val="20"/>
        </w:rPr>
      </w:pPr>
      <w:r w:rsidRPr="00DD1E64">
        <w:rPr>
          <w:rFonts w:ascii="Arial" w:hAnsi="Arial" w:cs="Arial"/>
          <w:b/>
          <w:sz w:val="20"/>
          <w:szCs w:val="20"/>
        </w:rPr>
        <w:t>Funding</w:t>
      </w:r>
      <w:r w:rsidRPr="00BF3D07">
        <w:rPr>
          <w:rFonts w:ascii="Arial" w:hAnsi="Arial" w:cs="Arial"/>
          <w:sz w:val="20"/>
          <w:szCs w:val="20"/>
        </w:rPr>
        <w:t>: This project was funded by the National Institute for Health Research HS&amp;DR programme (project number 13/54/40). The views expressed are those of the author(s) and not necessarily those of the NHS, the NIHR or the Department of Health.</w:t>
      </w:r>
    </w:p>
    <w:p w14:paraId="16A109D0" w14:textId="425E3030" w:rsidR="00C308B9" w:rsidRDefault="00C308B9" w:rsidP="00877856">
      <w:pPr>
        <w:spacing w:after="0"/>
        <w:rPr>
          <w:rFonts w:ascii="Arial" w:hAnsi="Arial" w:cs="Arial"/>
          <w:sz w:val="20"/>
          <w:szCs w:val="20"/>
        </w:rPr>
      </w:pPr>
    </w:p>
    <w:p w14:paraId="25EAA22C" w14:textId="77777777" w:rsidR="005C0823" w:rsidRDefault="008F2378" w:rsidP="008F2378">
      <w:pPr>
        <w:spacing w:after="0" w:line="480" w:lineRule="auto"/>
        <w:jc w:val="both"/>
        <w:rPr>
          <w:rFonts w:ascii="Arial" w:hAnsi="Arial" w:cs="Arial"/>
          <w:sz w:val="20"/>
          <w:szCs w:val="20"/>
        </w:rPr>
      </w:pPr>
      <w:r w:rsidRPr="00DD1E64">
        <w:rPr>
          <w:rFonts w:ascii="Arial" w:hAnsi="Arial" w:cs="Arial"/>
          <w:b/>
          <w:sz w:val="20"/>
          <w:szCs w:val="20"/>
        </w:rPr>
        <w:t>Acknowledgements</w:t>
      </w:r>
      <w:r w:rsidRPr="00985D32">
        <w:rPr>
          <w:rFonts w:ascii="Arial" w:hAnsi="Arial" w:cs="Arial"/>
          <w:sz w:val="20"/>
          <w:szCs w:val="20"/>
        </w:rPr>
        <w:t xml:space="preserve">: </w:t>
      </w:r>
    </w:p>
    <w:p w14:paraId="49794AF7" w14:textId="77777777" w:rsidR="005C0823" w:rsidRDefault="008F2378" w:rsidP="008F2378">
      <w:pPr>
        <w:spacing w:after="0" w:line="480" w:lineRule="auto"/>
        <w:jc w:val="both"/>
        <w:rPr>
          <w:rFonts w:ascii="Arial" w:hAnsi="Arial" w:cs="Arial"/>
          <w:sz w:val="20"/>
          <w:szCs w:val="20"/>
        </w:rPr>
      </w:pPr>
      <w:r w:rsidRPr="00985D32">
        <w:rPr>
          <w:rFonts w:ascii="Arial" w:hAnsi="Arial" w:cs="Arial"/>
          <w:sz w:val="20"/>
          <w:szCs w:val="20"/>
        </w:rPr>
        <w:t xml:space="preserve">We are grateful to the researchers who extracted and provided the CPRD data. </w:t>
      </w:r>
    </w:p>
    <w:p w14:paraId="4BFC805D" w14:textId="056687ED" w:rsidR="008F2378" w:rsidRDefault="008F2378" w:rsidP="008F2378">
      <w:pPr>
        <w:spacing w:after="0" w:line="480" w:lineRule="auto"/>
        <w:jc w:val="both"/>
        <w:rPr>
          <w:rFonts w:ascii="Arial" w:hAnsi="Arial" w:cs="Arial"/>
          <w:sz w:val="20"/>
          <w:szCs w:val="20"/>
        </w:rPr>
      </w:pPr>
      <w:r w:rsidRPr="00985D32">
        <w:rPr>
          <w:rFonts w:ascii="Arial" w:hAnsi="Arial" w:cs="Arial"/>
          <w:sz w:val="20"/>
          <w:szCs w:val="20"/>
        </w:rPr>
        <w:t xml:space="preserve">We would like to thank all members of our Scientific Steering Committee (SSC) for their invaluable support and feedback on this study. </w:t>
      </w:r>
    </w:p>
    <w:p w14:paraId="0703E8F0" w14:textId="3BBB4E74" w:rsidR="009748C5" w:rsidRDefault="009748C5" w:rsidP="009748C5">
      <w:pPr>
        <w:spacing w:after="0" w:line="480" w:lineRule="auto"/>
        <w:rPr>
          <w:rFonts w:ascii="Arial" w:hAnsi="Arial" w:cs="Arial"/>
          <w:sz w:val="20"/>
          <w:szCs w:val="20"/>
        </w:rPr>
      </w:pPr>
      <w:r>
        <w:rPr>
          <w:rFonts w:ascii="Arial" w:hAnsi="Arial" w:cs="Arial"/>
          <w:sz w:val="20"/>
          <w:szCs w:val="20"/>
        </w:rPr>
        <w:t>T</w:t>
      </w:r>
      <w:r w:rsidRPr="00E92896">
        <w:rPr>
          <w:rFonts w:ascii="Arial" w:hAnsi="Arial" w:cs="Arial"/>
          <w:sz w:val="20"/>
          <w:szCs w:val="20"/>
        </w:rPr>
        <w:t xml:space="preserve">he multidisciplinary team responsible for this study included two </w:t>
      </w:r>
      <w:r w:rsidR="005F432D">
        <w:rPr>
          <w:rFonts w:ascii="Arial" w:hAnsi="Arial" w:cs="Arial"/>
          <w:sz w:val="20"/>
          <w:szCs w:val="20"/>
        </w:rPr>
        <w:t>patient representatives with serious mental illness</w:t>
      </w:r>
      <w:r w:rsidRPr="00E92896">
        <w:rPr>
          <w:rFonts w:ascii="Arial" w:hAnsi="Arial" w:cs="Arial"/>
          <w:sz w:val="20"/>
          <w:szCs w:val="20"/>
        </w:rPr>
        <w:t xml:space="preserve">, who contributed to the design of the research questions, the methodological approach, the interpretation of findings, and drafting of the manuscript. </w:t>
      </w:r>
    </w:p>
    <w:p w14:paraId="4E30A540" w14:textId="72D25220" w:rsidR="009748C5" w:rsidRPr="00985D32" w:rsidRDefault="005C0823" w:rsidP="008F2378">
      <w:pPr>
        <w:spacing w:after="0" w:line="480" w:lineRule="auto"/>
        <w:jc w:val="both"/>
        <w:rPr>
          <w:rFonts w:ascii="Arial" w:hAnsi="Arial" w:cs="Arial"/>
          <w:sz w:val="20"/>
          <w:szCs w:val="20"/>
        </w:rPr>
      </w:pPr>
      <w:r w:rsidRPr="00BF3D07">
        <w:rPr>
          <w:rFonts w:ascii="Arial" w:hAnsi="Arial" w:cs="Arial"/>
          <w:sz w:val="20"/>
          <w:szCs w:val="20"/>
        </w:rPr>
        <w:lastRenderedPageBreak/>
        <w:t>Due to the sensitive and confidential nature of the data used for this analysis, and the permissions required to access it, the data</w:t>
      </w:r>
      <w:r>
        <w:rPr>
          <w:rFonts w:ascii="Arial" w:hAnsi="Arial" w:cs="Arial"/>
          <w:sz w:val="20"/>
          <w:szCs w:val="20"/>
        </w:rPr>
        <w:t>set is not publicly available.</w:t>
      </w:r>
    </w:p>
    <w:p w14:paraId="00378529" w14:textId="22301751" w:rsidR="00C308B9" w:rsidRPr="00877856" w:rsidRDefault="00404833" w:rsidP="00877856">
      <w:pPr>
        <w:spacing w:after="0"/>
        <w:rPr>
          <w:rFonts w:ascii="Arial" w:hAnsi="Arial" w:cs="Arial"/>
          <w:sz w:val="20"/>
          <w:szCs w:val="20"/>
        </w:rPr>
      </w:pPr>
      <w:r>
        <w:rPr>
          <w:rFonts w:ascii="Arial" w:hAnsi="Arial" w:cs="Arial"/>
          <w:sz w:val="20"/>
          <w:szCs w:val="20"/>
        </w:rPr>
        <w:t xml:space="preserve">Word count: </w:t>
      </w:r>
      <w:r w:rsidR="004D3D96">
        <w:rPr>
          <w:rFonts w:ascii="Arial" w:hAnsi="Arial" w:cs="Arial"/>
          <w:sz w:val="20"/>
          <w:szCs w:val="20"/>
        </w:rPr>
        <w:t>3,000</w:t>
      </w:r>
    </w:p>
    <w:p w14:paraId="05FE54AB" w14:textId="5D5362E9" w:rsidR="004126F8" w:rsidRPr="002F145F" w:rsidRDefault="00AB2FFB" w:rsidP="002F145F">
      <w:pPr>
        <w:spacing w:after="0"/>
      </w:pPr>
      <w:r w:rsidRPr="00BF3D07">
        <w:br w:type="page"/>
      </w:r>
      <w:r w:rsidR="004126F8" w:rsidRPr="00962D4E">
        <w:rPr>
          <w:rFonts w:cs="Arial"/>
          <w:szCs w:val="24"/>
        </w:rPr>
        <w:lastRenderedPageBreak/>
        <w:t>Abstract</w:t>
      </w:r>
    </w:p>
    <w:p w14:paraId="55D9718F" w14:textId="1635BA2C" w:rsidR="00F625BB" w:rsidRPr="0022624A" w:rsidRDefault="00DD2E49" w:rsidP="00993315">
      <w:pPr>
        <w:spacing w:after="60" w:line="288" w:lineRule="auto"/>
        <w:rPr>
          <w:rFonts w:ascii="Arial" w:hAnsi="Arial" w:cs="Arial"/>
          <w:b/>
          <w:sz w:val="20"/>
          <w:szCs w:val="20"/>
        </w:rPr>
      </w:pPr>
      <w:r>
        <w:rPr>
          <w:rFonts w:ascii="Arial" w:hAnsi="Arial" w:cs="Arial"/>
          <w:b/>
          <w:sz w:val="20"/>
          <w:szCs w:val="20"/>
        </w:rPr>
        <w:t>Objective</w:t>
      </w:r>
    </w:p>
    <w:p w14:paraId="13D66033" w14:textId="1403273C" w:rsidR="002D1EFE" w:rsidRPr="0022624A" w:rsidRDefault="001F0721" w:rsidP="00962D4E">
      <w:pPr>
        <w:spacing w:line="288" w:lineRule="auto"/>
        <w:rPr>
          <w:rFonts w:ascii="Arial" w:hAnsi="Arial" w:cs="Arial"/>
          <w:sz w:val="20"/>
          <w:szCs w:val="20"/>
        </w:rPr>
      </w:pPr>
      <w:r w:rsidRPr="0022624A">
        <w:rPr>
          <w:rFonts w:ascii="Arial" w:hAnsi="Arial" w:cs="Arial"/>
          <w:sz w:val="20"/>
          <w:szCs w:val="20"/>
        </w:rPr>
        <w:t xml:space="preserve">Although UK and international guidelines recommend monotherapy, antipsychotic polypharmacy in people with serious mental illness is common in clinical practice. </w:t>
      </w:r>
      <w:r w:rsidR="002D1EFE">
        <w:rPr>
          <w:rFonts w:ascii="Arial" w:hAnsi="Arial" w:cs="Arial"/>
          <w:sz w:val="20"/>
          <w:szCs w:val="20"/>
        </w:rPr>
        <w:t>However, e</w:t>
      </w:r>
      <w:r w:rsidR="001F0025">
        <w:rPr>
          <w:rFonts w:ascii="Arial" w:hAnsi="Arial" w:cs="Arial"/>
          <w:sz w:val="20"/>
          <w:szCs w:val="20"/>
        </w:rPr>
        <w:t>mpirical e</w:t>
      </w:r>
      <w:r w:rsidR="001A7DBF">
        <w:rPr>
          <w:rFonts w:ascii="Arial" w:hAnsi="Arial" w:cs="Arial"/>
          <w:sz w:val="20"/>
          <w:szCs w:val="20"/>
        </w:rPr>
        <w:t xml:space="preserve">vidence on </w:t>
      </w:r>
      <w:r w:rsidR="002D1EFE">
        <w:rPr>
          <w:rFonts w:ascii="Arial" w:hAnsi="Arial" w:cs="Arial"/>
          <w:sz w:val="20"/>
          <w:szCs w:val="20"/>
        </w:rPr>
        <w:t>its</w:t>
      </w:r>
      <w:r w:rsidR="001A7DBF">
        <w:rPr>
          <w:rFonts w:ascii="Arial" w:hAnsi="Arial" w:cs="Arial"/>
          <w:sz w:val="20"/>
          <w:szCs w:val="20"/>
        </w:rPr>
        <w:t xml:space="preserve"> effectiveness </w:t>
      </w:r>
      <w:r w:rsidRPr="0022624A">
        <w:rPr>
          <w:rFonts w:ascii="Arial" w:hAnsi="Arial" w:cs="Arial"/>
          <w:sz w:val="20"/>
          <w:szCs w:val="20"/>
        </w:rPr>
        <w:t>is scarce.</w:t>
      </w:r>
      <w:r w:rsidR="002D1EFE">
        <w:rPr>
          <w:rFonts w:ascii="Arial" w:hAnsi="Arial" w:cs="Arial"/>
          <w:sz w:val="20"/>
          <w:szCs w:val="20"/>
        </w:rPr>
        <w:t xml:space="preserve"> </w:t>
      </w:r>
      <w:r w:rsidR="00133AB7">
        <w:rPr>
          <w:rFonts w:ascii="Arial" w:hAnsi="Arial" w:cs="Arial"/>
          <w:sz w:val="20"/>
          <w:szCs w:val="20"/>
        </w:rPr>
        <w:t xml:space="preserve">The </w:t>
      </w:r>
      <w:r w:rsidR="001A7DBF">
        <w:rPr>
          <w:rFonts w:ascii="Arial" w:hAnsi="Arial" w:cs="Arial"/>
          <w:sz w:val="20"/>
          <w:szCs w:val="20"/>
        </w:rPr>
        <w:t>effectiveness</w:t>
      </w:r>
      <w:r w:rsidR="001A7DBF" w:rsidRPr="0022624A">
        <w:rPr>
          <w:rFonts w:ascii="Arial" w:hAnsi="Arial" w:cs="Arial"/>
          <w:sz w:val="20"/>
          <w:szCs w:val="20"/>
        </w:rPr>
        <w:t xml:space="preserve"> </w:t>
      </w:r>
      <w:r w:rsidR="001A7DBF">
        <w:rPr>
          <w:rFonts w:ascii="Arial" w:hAnsi="Arial" w:cs="Arial"/>
          <w:sz w:val="20"/>
          <w:szCs w:val="20"/>
        </w:rPr>
        <w:t xml:space="preserve">of </w:t>
      </w:r>
      <w:r w:rsidRPr="0022624A">
        <w:rPr>
          <w:rFonts w:ascii="Arial" w:hAnsi="Arial" w:cs="Arial"/>
          <w:sz w:val="20"/>
          <w:szCs w:val="20"/>
        </w:rPr>
        <w:t xml:space="preserve">antipsychotic polypharmacy </w:t>
      </w:r>
      <w:r w:rsidR="001F0025">
        <w:rPr>
          <w:rFonts w:ascii="Arial" w:hAnsi="Arial" w:cs="Arial"/>
          <w:sz w:val="20"/>
          <w:szCs w:val="20"/>
        </w:rPr>
        <w:t xml:space="preserve">relative to monotherapy </w:t>
      </w:r>
      <w:r w:rsidR="00133AB7">
        <w:rPr>
          <w:rFonts w:ascii="Arial" w:hAnsi="Arial" w:cs="Arial"/>
          <w:sz w:val="20"/>
          <w:szCs w:val="20"/>
        </w:rPr>
        <w:t xml:space="preserve">is estimated </w:t>
      </w:r>
      <w:r w:rsidR="001A7DBF">
        <w:rPr>
          <w:rFonts w:ascii="Arial" w:hAnsi="Arial" w:cs="Arial"/>
          <w:sz w:val="20"/>
          <w:szCs w:val="20"/>
        </w:rPr>
        <w:t>in terms of</w:t>
      </w:r>
      <w:r w:rsidRPr="0022624A">
        <w:rPr>
          <w:rFonts w:ascii="Arial" w:eastAsiaTheme="majorEastAsia" w:hAnsi="Arial" w:cs="Arial"/>
          <w:color w:val="000000" w:themeColor="text1"/>
          <w:sz w:val="20"/>
          <w:szCs w:val="20"/>
        </w:rPr>
        <w:t xml:space="preserve"> </w:t>
      </w:r>
      <w:r w:rsidR="00A475C1">
        <w:rPr>
          <w:rFonts w:ascii="Arial" w:hAnsi="Arial" w:cs="Arial"/>
          <w:sz w:val="20"/>
          <w:szCs w:val="20"/>
        </w:rPr>
        <w:t>health care utiliz</w:t>
      </w:r>
      <w:r w:rsidR="001A7DBF">
        <w:rPr>
          <w:rFonts w:ascii="Arial" w:hAnsi="Arial" w:cs="Arial"/>
          <w:sz w:val="20"/>
          <w:szCs w:val="20"/>
        </w:rPr>
        <w:t>ation</w:t>
      </w:r>
      <w:r w:rsidRPr="0022624A">
        <w:rPr>
          <w:rFonts w:ascii="Arial" w:hAnsi="Arial" w:cs="Arial"/>
          <w:sz w:val="20"/>
          <w:szCs w:val="20"/>
        </w:rPr>
        <w:t xml:space="preserve"> and mortality.</w:t>
      </w:r>
    </w:p>
    <w:p w14:paraId="119DAAD6" w14:textId="7595C5CC" w:rsidR="001F0721" w:rsidRPr="0022624A" w:rsidRDefault="001F0721" w:rsidP="00993315">
      <w:pPr>
        <w:spacing w:after="60" w:line="288" w:lineRule="auto"/>
        <w:rPr>
          <w:rFonts w:ascii="Arial" w:hAnsi="Arial" w:cs="Arial"/>
          <w:b/>
          <w:sz w:val="20"/>
          <w:szCs w:val="20"/>
        </w:rPr>
      </w:pPr>
      <w:r w:rsidRPr="0022624A">
        <w:rPr>
          <w:rFonts w:ascii="Arial" w:hAnsi="Arial" w:cs="Arial"/>
          <w:b/>
          <w:sz w:val="20"/>
          <w:szCs w:val="20"/>
        </w:rPr>
        <w:t>Method</w:t>
      </w:r>
      <w:r w:rsidR="009937B6">
        <w:rPr>
          <w:rFonts w:ascii="Arial" w:hAnsi="Arial" w:cs="Arial"/>
          <w:b/>
          <w:sz w:val="20"/>
          <w:szCs w:val="20"/>
        </w:rPr>
        <w:t>s</w:t>
      </w:r>
    </w:p>
    <w:p w14:paraId="4A6BC594" w14:textId="16EE1F31" w:rsidR="00A87DD9" w:rsidRPr="0022624A" w:rsidRDefault="002A29BA" w:rsidP="00962D4E">
      <w:pPr>
        <w:spacing w:line="288" w:lineRule="auto"/>
        <w:rPr>
          <w:rFonts w:ascii="Arial" w:hAnsi="Arial" w:cs="Arial"/>
          <w:sz w:val="20"/>
          <w:szCs w:val="20"/>
        </w:rPr>
      </w:pPr>
      <w:r w:rsidRPr="0022624A">
        <w:rPr>
          <w:rFonts w:ascii="Arial" w:hAnsi="Arial" w:cs="Arial"/>
          <w:sz w:val="20"/>
          <w:szCs w:val="20"/>
        </w:rPr>
        <w:t>Primary care data</w:t>
      </w:r>
      <w:r w:rsidRPr="0022624A">
        <w:rPr>
          <w:rFonts w:ascii="Arial" w:hAnsi="Arial" w:cs="Arial"/>
          <w:b/>
          <w:sz w:val="20"/>
          <w:szCs w:val="20"/>
        </w:rPr>
        <w:t xml:space="preserve"> </w:t>
      </w:r>
      <w:r w:rsidRPr="0022624A">
        <w:rPr>
          <w:rFonts w:ascii="Arial" w:hAnsi="Arial" w:cs="Arial"/>
          <w:sz w:val="20"/>
          <w:szCs w:val="20"/>
        </w:rPr>
        <w:t xml:space="preserve">from the </w:t>
      </w:r>
      <w:r w:rsidRPr="0022624A">
        <w:rPr>
          <w:rFonts w:ascii="Arial" w:hAnsi="Arial" w:cs="Arial"/>
          <w:sz w:val="20"/>
          <w:szCs w:val="20"/>
          <w:lang w:eastAsia="ja-JP"/>
        </w:rPr>
        <w:t>Clinical Practice Research Datalink, hospital data from the Ho</w:t>
      </w:r>
      <w:r w:rsidR="002D627E" w:rsidRPr="0022624A">
        <w:rPr>
          <w:rFonts w:ascii="Arial" w:hAnsi="Arial" w:cs="Arial"/>
          <w:sz w:val="20"/>
          <w:szCs w:val="20"/>
          <w:lang w:eastAsia="ja-JP"/>
        </w:rPr>
        <w:t>spital Episodes statistics</w:t>
      </w:r>
      <w:r w:rsidRPr="0022624A">
        <w:rPr>
          <w:rFonts w:ascii="Arial" w:hAnsi="Arial" w:cs="Arial"/>
          <w:sz w:val="20"/>
          <w:szCs w:val="20"/>
          <w:lang w:eastAsia="ja-JP"/>
        </w:rPr>
        <w:t xml:space="preserve"> and mortality data from the Offi</w:t>
      </w:r>
      <w:r w:rsidR="002D627E" w:rsidRPr="0022624A">
        <w:rPr>
          <w:rFonts w:ascii="Arial" w:hAnsi="Arial" w:cs="Arial"/>
          <w:sz w:val="20"/>
          <w:szCs w:val="20"/>
          <w:lang w:eastAsia="ja-JP"/>
        </w:rPr>
        <w:t xml:space="preserve">ce of National Statistics </w:t>
      </w:r>
      <w:r w:rsidRPr="0022624A">
        <w:rPr>
          <w:rFonts w:ascii="Arial" w:hAnsi="Arial" w:cs="Arial"/>
          <w:sz w:val="20"/>
          <w:szCs w:val="20"/>
          <w:lang w:eastAsia="ja-JP"/>
        </w:rPr>
        <w:t xml:space="preserve">were linked to compile </w:t>
      </w:r>
      <w:r w:rsidRPr="0022624A">
        <w:rPr>
          <w:rFonts w:ascii="Arial" w:hAnsi="Arial" w:cs="Arial"/>
          <w:sz w:val="20"/>
          <w:szCs w:val="20"/>
        </w:rPr>
        <w:t xml:space="preserve">a </w:t>
      </w:r>
      <w:r w:rsidR="002D627E" w:rsidRPr="0022624A">
        <w:rPr>
          <w:rFonts w:ascii="Arial" w:hAnsi="Arial" w:cs="Arial"/>
          <w:sz w:val="20"/>
          <w:szCs w:val="20"/>
        </w:rPr>
        <w:t xml:space="preserve">cohort of patients with serious mental illness in England during the period 2000-2014. </w:t>
      </w:r>
      <w:r w:rsidR="00133AB7">
        <w:rPr>
          <w:rFonts w:ascii="Arial" w:hAnsi="Arial" w:cs="Arial"/>
          <w:sz w:val="20"/>
          <w:szCs w:val="20"/>
        </w:rPr>
        <w:t xml:space="preserve">The </w:t>
      </w:r>
      <w:r w:rsidR="0075732A">
        <w:rPr>
          <w:rFonts w:ascii="Arial" w:hAnsi="Arial" w:cs="Arial"/>
          <w:sz w:val="20"/>
          <w:szCs w:val="20"/>
        </w:rPr>
        <w:t>antipsychotic prescribing profile of 1</w:t>
      </w:r>
      <w:r w:rsidR="007C0DA0" w:rsidRPr="0022624A">
        <w:rPr>
          <w:rFonts w:ascii="Arial" w:hAnsi="Arial" w:cs="Arial"/>
          <w:sz w:val="20"/>
          <w:szCs w:val="20"/>
        </w:rPr>
        <w:t>7,255</w:t>
      </w:r>
      <w:r w:rsidR="002D627E" w:rsidRPr="0022624A">
        <w:rPr>
          <w:rFonts w:ascii="Arial" w:hAnsi="Arial" w:cs="Arial"/>
          <w:sz w:val="20"/>
          <w:szCs w:val="20"/>
        </w:rPr>
        <w:t xml:space="preserve"> </w:t>
      </w:r>
      <w:r w:rsidR="002D627E" w:rsidRPr="0022624A">
        <w:rPr>
          <w:rFonts w:ascii="Arial" w:hAnsi="Arial" w:cs="Arial"/>
          <w:sz w:val="20"/>
          <w:szCs w:val="20"/>
          <w:lang w:eastAsia="ja-JP"/>
        </w:rPr>
        <w:t>adults who had at least one antipsychotic drug record during the period of observation</w:t>
      </w:r>
      <w:r w:rsidR="00133AB7">
        <w:rPr>
          <w:rFonts w:ascii="Arial" w:hAnsi="Arial" w:cs="Arial"/>
          <w:sz w:val="20"/>
          <w:szCs w:val="20"/>
          <w:lang w:eastAsia="ja-JP"/>
        </w:rPr>
        <w:t xml:space="preserve"> was constructed from primary care medication records</w:t>
      </w:r>
      <w:r w:rsidR="007C0DA0" w:rsidRPr="0022624A">
        <w:rPr>
          <w:rFonts w:ascii="Arial" w:hAnsi="Arial" w:cs="Arial"/>
          <w:sz w:val="20"/>
          <w:szCs w:val="20"/>
          <w:lang w:eastAsia="ja-JP"/>
        </w:rPr>
        <w:t>.</w:t>
      </w:r>
      <w:r w:rsidR="007C0DA0" w:rsidRPr="0022624A">
        <w:rPr>
          <w:rFonts w:ascii="Arial" w:hAnsi="Arial" w:cs="Arial"/>
          <w:sz w:val="20"/>
          <w:szCs w:val="20"/>
        </w:rPr>
        <w:t xml:space="preserve"> </w:t>
      </w:r>
      <w:r w:rsidR="00A87DD9" w:rsidRPr="0022624A">
        <w:rPr>
          <w:rFonts w:ascii="Arial" w:hAnsi="Arial" w:cs="Arial"/>
          <w:sz w:val="20"/>
          <w:szCs w:val="20"/>
        </w:rPr>
        <w:t>S</w:t>
      </w:r>
      <w:r w:rsidR="00AE74BB" w:rsidRPr="0022624A">
        <w:rPr>
          <w:rFonts w:ascii="Arial" w:hAnsi="Arial" w:cs="Arial"/>
          <w:sz w:val="20"/>
          <w:szCs w:val="20"/>
        </w:rPr>
        <w:t>urvival analysis models were estimated to identify the effect of antipsychotic polypharmacy on the time to the first occurrenc</w:t>
      </w:r>
      <w:r w:rsidR="00832C4C">
        <w:rPr>
          <w:rFonts w:ascii="Arial" w:hAnsi="Arial" w:cs="Arial"/>
          <w:sz w:val="20"/>
          <w:szCs w:val="20"/>
        </w:rPr>
        <w:t>e of each of</w:t>
      </w:r>
      <w:r w:rsidR="0075732A">
        <w:rPr>
          <w:rFonts w:ascii="Arial" w:hAnsi="Arial" w:cs="Arial"/>
          <w:sz w:val="20"/>
          <w:szCs w:val="20"/>
        </w:rPr>
        <w:t xml:space="preserve"> three outcomes: </w:t>
      </w:r>
      <w:r w:rsidR="001A7DBF">
        <w:rPr>
          <w:rFonts w:ascii="Arial" w:hAnsi="Arial" w:cs="Arial"/>
          <w:sz w:val="20"/>
          <w:szCs w:val="20"/>
        </w:rPr>
        <w:t xml:space="preserve">unplanned </w:t>
      </w:r>
      <w:r w:rsidR="0091005C" w:rsidRPr="0022624A">
        <w:rPr>
          <w:rFonts w:ascii="Arial" w:hAnsi="Arial" w:cs="Arial"/>
          <w:sz w:val="20"/>
          <w:szCs w:val="20"/>
          <w:lang w:eastAsia="ja-JP"/>
        </w:rPr>
        <w:t>hospital admissions (all-cause), emergency department presentations, and mortality.</w:t>
      </w:r>
    </w:p>
    <w:p w14:paraId="7A53D381" w14:textId="1C65FC8C" w:rsidR="004624A4" w:rsidRPr="0022624A" w:rsidRDefault="004624A4" w:rsidP="00993315">
      <w:pPr>
        <w:spacing w:after="60" w:line="288" w:lineRule="auto"/>
        <w:rPr>
          <w:rFonts w:ascii="Arial" w:hAnsi="Arial" w:cs="Arial"/>
          <w:b/>
          <w:sz w:val="20"/>
          <w:szCs w:val="20"/>
        </w:rPr>
      </w:pPr>
      <w:r w:rsidRPr="0022624A">
        <w:rPr>
          <w:rFonts w:ascii="Arial" w:hAnsi="Arial" w:cs="Arial"/>
          <w:b/>
          <w:sz w:val="20"/>
          <w:szCs w:val="20"/>
        </w:rPr>
        <w:t>Results</w:t>
      </w:r>
    </w:p>
    <w:p w14:paraId="7CE5F146" w14:textId="7E581C19" w:rsidR="004624A4" w:rsidRPr="0022624A" w:rsidRDefault="00A87DD9" w:rsidP="00962D4E">
      <w:pPr>
        <w:spacing w:line="288" w:lineRule="auto"/>
        <w:rPr>
          <w:rFonts w:ascii="Arial" w:hAnsi="Arial" w:cs="Arial"/>
          <w:sz w:val="20"/>
          <w:szCs w:val="20"/>
          <w:lang w:eastAsia="ja-JP"/>
        </w:rPr>
      </w:pPr>
      <w:r w:rsidRPr="0022624A">
        <w:rPr>
          <w:rFonts w:ascii="Arial" w:hAnsi="Arial" w:cs="Arial"/>
          <w:sz w:val="20"/>
          <w:szCs w:val="20"/>
          <w:lang w:eastAsia="ja-JP"/>
        </w:rPr>
        <w:t xml:space="preserve">Relative to monotherapy, </w:t>
      </w:r>
      <w:r w:rsidRPr="0022624A">
        <w:rPr>
          <w:rFonts w:ascii="Arial" w:hAnsi="Arial" w:cs="Arial"/>
          <w:sz w:val="20"/>
          <w:szCs w:val="20"/>
        </w:rPr>
        <w:t>antipsychotic polypharmacy</w:t>
      </w:r>
      <w:r w:rsidRPr="0022624A">
        <w:rPr>
          <w:rFonts w:ascii="Arial" w:hAnsi="Arial" w:cs="Arial"/>
          <w:sz w:val="20"/>
          <w:szCs w:val="20"/>
          <w:lang w:eastAsia="ja-JP"/>
        </w:rPr>
        <w:t xml:space="preserve"> was</w:t>
      </w:r>
      <w:r w:rsidR="002A29BA" w:rsidRPr="0022624A">
        <w:rPr>
          <w:rFonts w:ascii="Arial" w:hAnsi="Arial" w:cs="Arial"/>
          <w:sz w:val="20"/>
          <w:szCs w:val="20"/>
          <w:lang w:eastAsia="ja-JP"/>
        </w:rPr>
        <w:t xml:space="preserve"> not associated with increased risk of an un</w:t>
      </w:r>
      <w:r w:rsidR="00253DB7">
        <w:rPr>
          <w:rFonts w:ascii="Arial" w:hAnsi="Arial" w:cs="Arial"/>
          <w:sz w:val="20"/>
          <w:szCs w:val="20"/>
          <w:lang w:eastAsia="ja-JP"/>
        </w:rPr>
        <w:t>planned hospital admission (HR=1.14</w:t>
      </w:r>
      <w:r w:rsidR="002A29BA" w:rsidRPr="0022624A">
        <w:rPr>
          <w:rFonts w:ascii="Arial" w:hAnsi="Arial" w:cs="Arial"/>
          <w:sz w:val="20"/>
          <w:szCs w:val="20"/>
          <w:lang w:eastAsia="ja-JP"/>
        </w:rPr>
        <w:t xml:space="preserve">; </w:t>
      </w:r>
      <w:r w:rsidR="002143A3" w:rsidRPr="0022624A">
        <w:rPr>
          <w:rFonts w:ascii="Arial" w:hAnsi="Arial" w:cs="Arial"/>
          <w:sz w:val="20"/>
          <w:szCs w:val="20"/>
          <w:lang w:eastAsia="ja-JP"/>
        </w:rPr>
        <w:t xml:space="preserve">95% </w:t>
      </w:r>
      <w:r w:rsidR="00253DB7">
        <w:rPr>
          <w:rFonts w:ascii="Arial" w:hAnsi="Arial" w:cs="Arial"/>
          <w:sz w:val="20"/>
          <w:szCs w:val="20"/>
          <w:lang w:eastAsia="ja-JP"/>
        </w:rPr>
        <w:t>CI=0.982</w:t>
      </w:r>
      <w:r w:rsidR="00253DB7">
        <w:rPr>
          <w:rFonts w:ascii="Arial" w:hAnsi="Arial" w:cs="Arial"/>
          <w:color w:val="222222"/>
          <w:shd w:val="clear" w:color="auto" w:fill="FFFFFF"/>
        </w:rPr>
        <w:t>–</w:t>
      </w:r>
      <w:r w:rsidR="00253DB7">
        <w:rPr>
          <w:rFonts w:ascii="Arial" w:hAnsi="Arial" w:cs="Arial"/>
          <w:sz w:val="20"/>
          <w:szCs w:val="20"/>
          <w:lang w:eastAsia="ja-JP"/>
        </w:rPr>
        <w:t>1.32</w:t>
      </w:r>
      <w:r w:rsidR="002A29BA" w:rsidRPr="0022624A">
        <w:rPr>
          <w:rFonts w:ascii="Arial" w:hAnsi="Arial" w:cs="Arial"/>
          <w:sz w:val="20"/>
          <w:szCs w:val="20"/>
          <w:lang w:eastAsia="ja-JP"/>
        </w:rPr>
        <w:t xml:space="preserve">), </w:t>
      </w:r>
      <w:r w:rsidR="00642983" w:rsidRPr="0022624A">
        <w:rPr>
          <w:rFonts w:ascii="Arial" w:hAnsi="Arial" w:cs="Arial"/>
          <w:sz w:val="20"/>
          <w:szCs w:val="20"/>
          <w:lang w:eastAsia="ja-JP"/>
        </w:rPr>
        <w:t>emergency department</w:t>
      </w:r>
      <w:r w:rsidRPr="0022624A">
        <w:rPr>
          <w:rFonts w:ascii="Arial" w:hAnsi="Arial" w:cs="Arial"/>
          <w:sz w:val="20"/>
          <w:szCs w:val="20"/>
          <w:lang w:eastAsia="ja-JP"/>
        </w:rPr>
        <w:t xml:space="preserve"> </w:t>
      </w:r>
      <w:r w:rsidR="00253DB7">
        <w:rPr>
          <w:rFonts w:ascii="Arial" w:hAnsi="Arial" w:cs="Arial"/>
          <w:sz w:val="20"/>
          <w:szCs w:val="20"/>
          <w:lang w:eastAsia="ja-JP"/>
        </w:rPr>
        <w:t>presentation (HR=0.95</w:t>
      </w:r>
      <w:r w:rsidR="002A29BA" w:rsidRPr="0022624A">
        <w:rPr>
          <w:rFonts w:ascii="Arial" w:hAnsi="Arial" w:cs="Arial"/>
          <w:sz w:val="20"/>
          <w:szCs w:val="20"/>
          <w:lang w:eastAsia="ja-JP"/>
        </w:rPr>
        <w:t xml:space="preserve">; </w:t>
      </w:r>
      <w:r w:rsidR="002143A3" w:rsidRPr="0022624A">
        <w:rPr>
          <w:rFonts w:ascii="Arial" w:hAnsi="Arial" w:cs="Arial"/>
          <w:sz w:val="20"/>
          <w:szCs w:val="20"/>
          <w:lang w:eastAsia="ja-JP"/>
        </w:rPr>
        <w:t xml:space="preserve">95% </w:t>
      </w:r>
      <w:r w:rsidR="002A29BA" w:rsidRPr="0022624A">
        <w:rPr>
          <w:rFonts w:ascii="Arial" w:hAnsi="Arial" w:cs="Arial"/>
          <w:sz w:val="20"/>
          <w:szCs w:val="20"/>
          <w:lang w:eastAsia="ja-JP"/>
        </w:rPr>
        <w:t>CI</w:t>
      </w:r>
      <w:r w:rsidR="00253DB7">
        <w:rPr>
          <w:rFonts w:ascii="Arial" w:hAnsi="Arial" w:cs="Arial"/>
          <w:sz w:val="20"/>
          <w:szCs w:val="20"/>
          <w:lang w:eastAsia="ja-JP"/>
        </w:rPr>
        <w:t>=0.80</w:t>
      </w:r>
      <w:r w:rsidR="00253DB7">
        <w:rPr>
          <w:rFonts w:ascii="Arial" w:hAnsi="Arial" w:cs="Arial"/>
          <w:color w:val="222222"/>
          <w:shd w:val="clear" w:color="auto" w:fill="FFFFFF"/>
        </w:rPr>
        <w:t>–</w:t>
      </w:r>
      <w:r w:rsidR="00253DB7">
        <w:rPr>
          <w:rFonts w:ascii="Arial" w:hAnsi="Arial" w:cs="Arial"/>
          <w:sz w:val="20"/>
          <w:szCs w:val="20"/>
          <w:lang w:eastAsia="ja-JP"/>
        </w:rPr>
        <w:t>1.14) or death (HR=1.02</w:t>
      </w:r>
      <w:r w:rsidR="002A29BA" w:rsidRPr="0022624A">
        <w:rPr>
          <w:rFonts w:ascii="Arial" w:hAnsi="Arial" w:cs="Arial"/>
          <w:sz w:val="20"/>
          <w:szCs w:val="20"/>
          <w:lang w:eastAsia="ja-JP"/>
        </w:rPr>
        <w:t xml:space="preserve">; </w:t>
      </w:r>
      <w:r w:rsidR="002143A3" w:rsidRPr="0022624A">
        <w:rPr>
          <w:rFonts w:ascii="Arial" w:hAnsi="Arial" w:cs="Arial"/>
          <w:sz w:val="20"/>
          <w:szCs w:val="20"/>
          <w:lang w:eastAsia="ja-JP"/>
        </w:rPr>
        <w:t xml:space="preserve">95% </w:t>
      </w:r>
      <w:r w:rsidR="00253DB7">
        <w:rPr>
          <w:rFonts w:ascii="Arial" w:hAnsi="Arial" w:cs="Arial"/>
          <w:sz w:val="20"/>
          <w:szCs w:val="20"/>
          <w:lang w:eastAsia="ja-JP"/>
        </w:rPr>
        <w:t>CI=0.76</w:t>
      </w:r>
      <w:r w:rsidR="00253DB7">
        <w:rPr>
          <w:rFonts w:ascii="Arial" w:hAnsi="Arial" w:cs="Arial"/>
          <w:color w:val="222222"/>
          <w:shd w:val="clear" w:color="auto" w:fill="FFFFFF"/>
        </w:rPr>
        <w:t>–</w:t>
      </w:r>
      <w:r w:rsidR="00253DB7">
        <w:rPr>
          <w:rFonts w:ascii="Arial" w:hAnsi="Arial" w:cs="Arial"/>
          <w:sz w:val="20"/>
          <w:szCs w:val="20"/>
          <w:lang w:eastAsia="ja-JP"/>
        </w:rPr>
        <w:t>1.37</w:t>
      </w:r>
      <w:r w:rsidR="002A29BA" w:rsidRPr="0022624A">
        <w:rPr>
          <w:rFonts w:ascii="Arial" w:hAnsi="Arial" w:cs="Arial"/>
          <w:sz w:val="20"/>
          <w:szCs w:val="20"/>
          <w:lang w:eastAsia="ja-JP"/>
        </w:rPr>
        <w:t xml:space="preserve">).  Relative to not receiving antipsychotic medication, monotherapy </w:t>
      </w:r>
      <w:r w:rsidR="00E751F3">
        <w:rPr>
          <w:rFonts w:ascii="Arial" w:hAnsi="Arial" w:cs="Arial"/>
          <w:sz w:val="20"/>
          <w:szCs w:val="20"/>
          <w:lang w:eastAsia="ja-JP"/>
        </w:rPr>
        <w:t xml:space="preserve">was associated with a </w:t>
      </w:r>
      <w:r w:rsidR="002A29BA" w:rsidRPr="0022624A">
        <w:rPr>
          <w:rFonts w:ascii="Arial" w:hAnsi="Arial" w:cs="Arial"/>
          <w:sz w:val="20"/>
          <w:szCs w:val="20"/>
          <w:lang w:eastAsia="ja-JP"/>
        </w:rPr>
        <w:t>reduce</w:t>
      </w:r>
      <w:r w:rsidRPr="0022624A">
        <w:rPr>
          <w:rFonts w:ascii="Arial" w:hAnsi="Arial" w:cs="Arial"/>
          <w:sz w:val="20"/>
          <w:szCs w:val="20"/>
          <w:lang w:eastAsia="ja-JP"/>
        </w:rPr>
        <w:t>d</w:t>
      </w:r>
      <w:r w:rsidR="002A29BA" w:rsidRPr="0022624A">
        <w:rPr>
          <w:rFonts w:ascii="Arial" w:hAnsi="Arial" w:cs="Arial"/>
          <w:sz w:val="20"/>
          <w:szCs w:val="20"/>
          <w:lang w:eastAsia="ja-JP"/>
        </w:rPr>
        <w:t xml:space="preserve"> hazard of unplanned admissions to hospital and </w:t>
      </w:r>
      <w:r w:rsidR="00642983" w:rsidRPr="0022624A">
        <w:rPr>
          <w:rFonts w:ascii="Arial" w:hAnsi="Arial" w:cs="Arial"/>
          <w:sz w:val="20"/>
          <w:szCs w:val="20"/>
          <w:lang w:eastAsia="ja-JP"/>
        </w:rPr>
        <w:t xml:space="preserve">emergency department </w:t>
      </w:r>
      <w:r w:rsidR="002A29BA" w:rsidRPr="0022624A">
        <w:rPr>
          <w:rFonts w:ascii="Arial" w:hAnsi="Arial" w:cs="Arial"/>
          <w:sz w:val="20"/>
          <w:szCs w:val="20"/>
          <w:lang w:eastAsia="ja-JP"/>
        </w:rPr>
        <w:t>presentations but ha</w:t>
      </w:r>
      <w:r w:rsidRPr="0022624A">
        <w:rPr>
          <w:rFonts w:ascii="Arial" w:hAnsi="Arial" w:cs="Arial"/>
          <w:sz w:val="20"/>
          <w:szCs w:val="20"/>
          <w:lang w:eastAsia="ja-JP"/>
        </w:rPr>
        <w:t>d</w:t>
      </w:r>
      <w:r w:rsidR="002A29BA" w:rsidRPr="0022624A">
        <w:rPr>
          <w:rFonts w:ascii="Arial" w:hAnsi="Arial" w:cs="Arial"/>
          <w:sz w:val="20"/>
          <w:szCs w:val="20"/>
          <w:lang w:eastAsia="ja-JP"/>
        </w:rPr>
        <w:t xml:space="preserve"> no effect on mortality.</w:t>
      </w:r>
    </w:p>
    <w:p w14:paraId="4E7D040A" w14:textId="07AC9DAE" w:rsidR="004624A4" w:rsidRPr="0022624A" w:rsidRDefault="001F0721" w:rsidP="00993315">
      <w:pPr>
        <w:spacing w:after="60" w:line="288" w:lineRule="auto"/>
        <w:rPr>
          <w:rFonts w:ascii="Arial" w:hAnsi="Arial" w:cs="Arial"/>
          <w:b/>
          <w:sz w:val="20"/>
          <w:szCs w:val="20"/>
        </w:rPr>
      </w:pPr>
      <w:r w:rsidRPr="0022624A">
        <w:rPr>
          <w:rFonts w:ascii="Arial" w:hAnsi="Arial" w:cs="Arial"/>
          <w:b/>
          <w:sz w:val="20"/>
          <w:szCs w:val="20"/>
        </w:rPr>
        <w:t>Conclusions</w:t>
      </w:r>
    </w:p>
    <w:p w14:paraId="2D10CFA5" w14:textId="4CB514DD" w:rsidR="004624A4" w:rsidRPr="0022624A" w:rsidRDefault="00D519E7" w:rsidP="00993315">
      <w:pPr>
        <w:spacing w:after="60" w:line="288" w:lineRule="auto"/>
        <w:rPr>
          <w:rFonts w:ascii="Arial" w:hAnsi="Arial" w:cs="Arial"/>
          <w:b/>
          <w:sz w:val="20"/>
          <w:szCs w:val="20"/>
        </w:rPr>
      </w:pPr>
      <w:r w:rsidRPr="0022624A">
        <w:rPr>
          <w:rFonts w:ascii="Arial" w:hAnsi="Arial" w:cs="Arial"/>
          <w:sz w:val="20"/>
          <w:szCs w:val="20"/>
          <w:lang w:eastAsia="ja-JP"/>
        </w:rPr>
        <w:t xml:space="preserve">The study results support current guidelines for antipsychotic monotherapy in routine clinical practice. However, </w:t>
      </w:r>
      <w:r w:rsidR="0081300B" w:rsidRPr="0022624A">
        <w:rPr>
          <w:rFonts w:ascii="Arial" w:hAnsi="Arial" w:cs="Arial"/>
          <w:sz w:val="20"/>
          <w:szCs w:val="20"/>
          <w:lang w:eastAsia="ja-JP"/>
        </w:rPr>
        <w:t xml:space="preserve">they </w:t>
      </w:r>
      <w:r w:rsidR="00E751F3">
        <w:rPr>
          <w:rFonts w:ascii="Arial" w:hAnsi="Arial" w:cs="Arial"/>
          <w:sz w:val="20"/>
          <w:szCs w:val="20"/>
          <w:lang w:eastAsia="ja-JP"/>
        </w:rPr>
        <w:t xml:space="preserve">also suggest </w:t>
      </w:r>
      <w:r w:rsidRPr="0022624A">
        <w:rPr>
          <w:rFonts w:ascii="Arial" w:hAnsi="Arial" w:cs="Arial"/>
          <w:sz w:val="20"/>
          <w:szCs w:val="20"/>
          <w:lang w:eastAsia="ja-JP"/>
        </w:rPr>
        <w:t xml:space="preserve">that where clinicians have deemed </w:t>
      </w:r>
      <w:r w:rsidR="00B57B71">
        <w:rPr>
          <w:rFonts w:ascii="Arial" w:hAnsi="Arial" w:cs="Arial"/>
          <w:sz w:val="20"/>
          <w:szCs w:val="20"/>
          <w:lang w:eastAsia="ja-JP"/>
        </w:rPr>
        <w:t>antipsychotic polypharmacy</w:t>
      </w:r>
      <w:r w:rsidRPr="0022624A">
        <w:rPr>
          <w:rFonts w:ascii="Arial" w:hAnsi="Arial" w:cs="Arial"/>
          <w:sz w:val="20"/>
          <w:szCs w:val="20"/>
          <w:lang w:eastAsia="ja-JP"/>
        </w:rPr>
        <w:t xml:space="preserve"> necessary</w:t>
      </w:r>
      <w:r w:rsidR="00220430">
        <w:rPr>
          <w:rFonts w:ascii="Arial" w:hAnsi="Arial" w:cs="Arial"/>
          <w:sz w:val="20"/>
          <w:szCs w:val="20"/>
          <w:lang w:eastAsia="ja-JP"/>
        </w:rPr>
        <w:t>,</w:t>
      </w:r>
      <w:r w:rsidRPr="0022624A">
        <w:rPr>
          <w:rFonts w:ascii="Arial" w:hAnsi="Arial" w:cs="Arial"/>
          <w:sz w:val="20"/>
          <w:szCs w:val="20"/>
          <w:lang w:eastAsia="ja-JP"/>
        </w:rPr>
        <w:t xml:space="preserve"> healthcare </w:t>
      </w:r>
      <w:r w:rsidR="00220430" w:rsidRPr="0022624A">
        <w:rPr>
          <w:rFonts w:ascii="Arial" w:hAnsi="Arial" w:cs="Arial"/>
          <w:sz w:val="20"/>
          <w:szCs w:val="20"/>
          <w:lang w:eastAsia="ja-JP"/>
        </w:rPr>
        <w:t>utili</w:t>
      </w:r>
      <w:r w:rsidR="00A475C1">
        <w:rPr>
          <w:rFonts w:ascii="Arial" w:hAnsi="Arial" w:cs="Arial"/>
          <w:sz w:val="20"/>
          <w:szCs w:val="20"/>
          <w:lang w:eastAsia="ja-JP"/>
        </w:rPr>
        <w:t>z</w:t>
      </w:r>
      <w:r w:rsidR="00220430" w:rsidRPr="0022624A">
        <w:rPr>
          <w:rFonts w:ascii="Arial" w:hAnsi="Arial" w:cs="Arial"/>
          <w:sz w:val="20"/>
          <w:szCs w:val="20"/>
          <w:lang w:eastAsia="ja-JP"/>
        </w:rPr>
        <w:t xml:space="preserve">ation </w:t>
      </w:r>
      <w:r w:rsidRPr="0022624A">
        <w:rPr>
          <w:rFonts w:ascii="Arial" w:hAnsi="Arial" w:cs="Arial"/>
          <w:sz w:val="20"/>
          <w:szCs w:val="20"/>
          <w:lang w:eastAsia="ja-JP"/>
        </w:rPr>
        <w:t>and mortality are not affected</w:t>
      </w:r>
      <w:r w:rsidR="0081300B" w:rsidRPr="0022624A">
        <w:rPr>
          <w:rFonts w:ascii="Arial" w:hAnsi="Arial" w:cs="Arial"/>
          <w:sz w:val="20"/>
          <w:szCs w:val="20"/>
          <w:lang w:eastAsia="ja-JP"/>
        </w:rPr>
        <w:t>.</w:t>
      </w:r>
    </w:p>
    <w:p w14:paraId="429C08E2" w14:textId="77777777" w:rsidR="00B21E79" w:rsidRDefault="00B21E79">
      <w:pPr>
        <w:spacing w:after="200" w:line="276" w:lineRule="auto"/>
        <w:rPr>
          <w:rFonts w:ascii="Arial" w:hAnsi="Arial" w:cs="Arial"/>
          <w:color w:val="000000"/>
          <w:sz w:val="20"/>
          <w:szCs w:val="20"/>
        </w:rPr>
      </w:pPr>
    </w:p>
    <w:p w14:paraId="0EE54DBB" w14:textId="3E5ABCED" w:rsidR="00B21E79" w:rsidRDefault="00B21E79">
      <w:pPr>
        <w:spacing w:after="200" w:line="276" w:lineRule="auto"/>
        <w:rPr>
          <w:rFonts w:ascii="Arial" w:hAnsi="Arial" w:cs="Arial"/>
          <w:color w:val="000000"/>
          <w:sz w:val="20"/>
          <w:szCs w:val="20"/>
        </w:rPr>
      </w:pPr>
      <w:r w:rsidRPr="00B21E79">
        <w:rPr>
          <w:rFonts w:ascii="Arial" w:hAnsi="Arial" w:cs="Arial"/>
          <w:i/>
          <w:color w:val="000000"/>
          <w:sz w:val="20"/>
          <w:szCs w:val="20"/>
        </w:rPr>
        <w:t>Keywords</w:t>
      </w:r>
      <w:r>
        <w:rPr>
          <w:rFonts w:ascii="Arial" w:hAnsi="Arial" w:cs="Arial"/>
          <w:color w:val="000000"/>
          <w:sz w:val="20"/>
          <w:szCs w:val="20"/>
        </w:rPr>
        <w:t>: Antipsychotic medication; Polypharmacy; Serious Mental Illness</w:t>
      </w:r>
    </w:p>
    <w:p w14:paraId="4C32C478" w14:textId="35EE37F4" w:rsidR="00E73EF1" w:rsidRDefault="00E73EF1">
      <w:pPr>
        <w:spacing w:after="200" w:line="276" w:lineRule="auto"/>
        <w:rPr>
          <w:rFonts w:ascii="Arial" w:hAnsi="Arial" w:cs="Arial"/>
          <w:color w:val="000000"/>
          <w:sz w:val="20"/>
          <w:szCs w:val="20"/>
        </w:rPr>
      </w:pPr>
      <w:r>
        <w:rPr>
          <w:rFonts w:ascii="Arial" w:hAnsi="Arial" w:cs="Arial"/>
          <w:color w:val="000000"/>
          <w:sz w:val="20"/>
          <w:szCs w:val="20"/>
        </w:rPr>
        <w:br w:type="page"/>
      </w:r>
    </w:p>
    <w:bookmarkEnd w:id="0"/>
    <w:bookmarkEnd w:id="1"/>
    <w:bookmarkEnd w:id="2"/>
    <w:p w14:paraId="23605C60" w14:textId="77777777" w:rsidR="00C30C76" w:rsidRPr="00C30C76" w:rsidRDefault="00C30C76" w:rsidP="00C30C76">
      <w:pPr>
        <w:spacing w:after="200" w:line="276" w:lineRule="auto"/>
        <w:rPr>
          <w:b/>
        </w:rPr>
      </w:pPr>
      <w:r w:rsidRPr="00C30C76">
        <w:rPr>
          <w:b/>
        </w:rPr>
        <w:lastRenderedPageBreak/>
        <w:t>Key points</w:t>
      </w:r>
    </w:p>
    <w:p w14:paraId="3029EC20" w14:textId="2F6DB886" w:rsidR="00C30C76" w:rsidRDefault="00C30C76" w:rsidP="00C30C76">
      <w:pPr>
        <w:pStyle w:val="ListParagraph"/>
        <w:numPr>
          <w:ilvl w:val="0"/>
          <w:numId w:val="32"/>
        </w:numPr>
        <w:spacing w:after="0" w:line="259" w:lineRule="auto"/>
        <w:rPr>
          <w:rFonts w:ascii="Arial" w:hAnsi="Arial" w:cs="Arial"/>
          <w:sz w:val="20"/>
          <w:szCs w:val="20"/>
          <w:lang w:eastAsia="ja-JP"/>
        </w:rPr>
      </w:pPr>
      <w:r w:rsidRPr="00C30C76">
        <w:rPr>
          <w:rFonts w:ascii="Arial" w:hAnsi="Arial" w:cs="Arial"/>
          <w:sz w:val="20"/>
          <w:szCs w:val="20"/>
          <w:lang w:eastAsia="ja-JP"/>
        </w:rPr>
        <w:t>W</w:t>
      </w:r>
      <w:r>
        <w:rPr>
          <w:rFonts w:ascii="Arial" w:hAnsi="Arial" w:cs="Arial"/>
          <w:sz w:val="20"/>
          <w:szCs w:val="20"/>
          <w:lang w:eastAsia="ja-JP"/>
        </w:rPr>
        <w:t>here clinicians have deemed polypharmacy</w:t>
      </w:r>
      <w:r w:rsidRPr="00C30C76">
        <w:rPr>
          <w:rFonts w:ascii="Arial" w:hAnsi="Arial" w:cs="Arial"/>
          <w:sz w:val="20"/>
          <w:szCs w:val="20"/>
          <w:lang w:eastAsia="ja-JP"/>
        </w:rPr>
        <w:t xml:space="preserve"> necessary - despite guidance discouraging its use - healthcare utilization and mortality are not affected.</w:t>
      </w:r>
    </w:p>
    <w:p w14:paraId="1F4CB4C4" w14:textId="77777777" w:rsidR="00C30C76" w:rsidRPr="00C30C76" w:rsidRDefault="00C30C76" w:rsidP="00C30C76">
      <w:pPr>
        <w:pStyle w:val="ListParagraph"/>
        <w:spacing w:after="0" w:line="259" w:lineRule="auto"/>
        <w:rPr>
          <w:rFonts w:ascii="Arial" w:hAnsi="Arial" w:cs="Arial"/>
          <w:sz w:val="20"/>
          <w:szCs w:val="20"/>
          <w:lang w:eastAsia="ja-JP"/>
        </w:rPr>
      </w:pPr>
    </w:p>
    <w:p w14:paraId="162A92FC" w14:textId="2D9F7517" w:rsidR="00C30C76" w:rsidRDefault="00C30C76" w:rsidP="00C30C76">
      <w:pPr>
        <w:pStyle w:val="ListParagraph"/>
        <w:numPr>
          <w:ilvl w:val="0"/>
          <w:numId w:val="32"/>
        </w:numPr>
        <w:spacing w:after="0" w:line="259" w:lineRule="auto"/>
        <w:rPr>
          <w:rFonts w:ascii="Arial" w:hAnsi="Arial" w:cs="Arial"/>
          <w:sz w:val="20"/>
          <w:szCs w:val="20"/>
          <w:lang w:eastAsia="ja-JP"/>
        </w:rPr>
      </w:pPr>
      <w:r w:rsidRPr="00C30C76">
        <w:rPr>
          <w:rFonts w:ascii="Arial" w:hAnsi="Arial" w:cs="Arial"/>
          <w:sz w:val="20"/>
          <w:szCs w:val="20"/>
          <w:lang w:eastAsia="ja-JP"/>
        </w:rPr>
        <w:t>Relative to those on monotherapy patients who are not on antipsychotic medication have higher hazard of an unplanned hospital admission and ED presentations.</w:t>
      </w:r>
    </w:p>
    <w:p w14:paraId="595BBE95" w14:textId="77777777" w:rsidR="00C30C76" w:rsidRPr="00C30C76" w:rsidRDefault="00C30C76" w:rsidP="00C30C76">
      <w:pPr>
        <w:pStyle w:val="ListParagraph"/>
        <w:spacing w:after="0" w:line="259" w:lineRule="auto"/>
        <w:rPr>
          <w:rFonts w:ascii="Arial" w:hAnsi="Arial" w:cs="Arial"/>
          <w:sz w:val="20"/>
          <w:szCs w:val="20"/>
          <w:lang w:eastAsia="ja-JP"/>
        </w:rPr>
      </w:pPr>
    </w:p>
    <w:p w14:paraId="5E0C8727" w14:textId="38259DFC" w:rsidR="00C30C76" w:rsidRDefault="00C30C76" w:rsidP="00C30C76">
      <w:pPr>
        <w:pStyle w:val="ListParagraph"/>
        <w:numPr>
          <w:ilvl w:val="0"/>
          <w:numId w:val="32"/>
        </w:numPr>
        <w:spacing w:after="200" w:line="276" w:lineRule="auto"/>
        <w:rPr>
          <w:rFonts w:ascii="Arial" w:hAnsi="Arial" w:cs="Arial"/>
          <w:sz w:val="20"/>
          <w:szCs w:val="20"/>
          <w:lang w:eastAsia="ja-JP"/>
        </w:rPr>
      </w:pPr>
      <w:r w:rsidRPr="00C30C76">
        <w:rPr>
          <w:rFonts w:ascii="Arial" w:hAnsi="Arial" w:cs="Arial"/>
          <w:sz w:val="20"/>
          <w:szCs w:val="20"/>
          <w:lang w:eastAsia="ja-JP"/>
        </w:rPr>
        <w:t xml:space="preserve">The prevalence of antipsychotic polypharmacy varies significantly </w:t>
      </w:r>
      <w:r>
        <w:rPr>
          <w:rFonts w:ascii="Arial" w:hAnsi="Arial" w:cs="Arial"/>
          <w:sz w:val="20"/>
          <w:szCs w:val="20"/>
          <w:lang w:eastAsia="ja-JP"/>
        </w:rPr>
        <w:t xml:space="preserve">across studies </w:t>
      </w:r>
      <w:r w:rsidRPr="00C30C76">
        <w:rPr>
          <w:rFonts w:ascii="Arial" w:hAnsi="Arial" w:cs="Arial"/>
          <w:sz w:val="20"/>
          <w:szCs w:val="20"/>
          <w:lang w:eastAsia="ja-JP"/>
        </w:rPr>
        <w:t>due to diversity in the definition of polypharmacy</w:t>
      </w:r>
      <w:r>
        <w:rPr>
          <w:rFonts w:ascii="Arial" w:hAnsi="Arial" w:cs="Arial"/>
          <w:sz w:val="20"/>
          <w:szCs w:val="20"/>
          <w:lang w:eastAsia="ja-JP"/>
        </w:rPr>
        <w:t xml:space="preserve">, </w:t>
      </w:r>
      <w:r w:rsidRPr="00C30C76">
        <w:rPr>
          <w:rFonts w:ascii="Arial" w:hAnsi="Arial" w:cs="Arial"/>
          <w:sz w:val="20"/>
          <w:szCs w:val="20"/>
          <w:lang w:eastAsia="ja-JP"/>
        </w:rPr>
        <w:t xml:space="preserve">differences in sample characteristics and </w:t>
      </w:r>
      <w:r>
        <w:rPr>
          <w:rFonts w:ascii="Arial" w:hAnsi="Arial" w:cs="Arial"/>
          <w:sz w:val="20"/>
          <w:szCs w:val="20"/>
          <w:lang w:eastAsia="ja-JP"/>
        </w:rPr>
        <w:t>methodology.</w:t>
      </w:r>
    </w:p>
    <w:p w14:paraId="3D588C25" w14:textId="076D77BC" w:rsidR="00C30C76" w:rsidRDefault="00C30C76">
      <w:pPr>
        <w:spacing w:after="200" w:line="276" w:lineRule="auto"/>
      </w:pPr>
    </w:p>
    <w:p w14:paraId="625F7F02" w14:textId="3935D431" w:rsidR="00C30C76" w:rsidRDefault="00C30C76">
      <w:pPr>
        <w:spacing w:after="200" w:line="276" w:lineRule="auto"/>
        <w:rPr>
          <w:rFonts w:ascii="Arial" w:eastAsiaTheme="majorEastAsia" w:hAnsi="Arial" w:cstheme="majorBidi"/>
          <w:b/>
          <w:bCs/>
          <w:color w:val="000000" w:themeColor="text1"/>
          <w:szCs w:val="28"/>
        </w:rPr>
      </w:pPr>
      <w:r>
        <w:br w:type="page"/>
      </w:r>
    </w:p>
    <w:p w14:paraId="12AB016C" w14:textId="2F2610CE" w:rsidR="00D260A2" w:rsidRPr="00D260A2" w:rsidRDefault="00D260A2" w:rsidP="00884BE6">
      <w:pPr>
        <w:pStyle w:val="Heading1"/>
      </w:pPr>
      <w:r w:rsidRPr="00D260A2">
        <w:lastRenderedPageBreak/>
        <w:t>Introduction</w:t>
      </w:r>
    </w:p>
    <w:p w14:paraId="3647E97E" w14:textId="4651530B" w:rsidR="003E3B65" w:rsidRDefault="00EE6956" w:rsidP="007565CE">
      <w:pPr>
        <w:spacing w:after="0" w:line="480" w:lineRule="auto"/>
        <w:rPr>
          <w:rFonts w:ascii="Arial" w:hAnsi="Arial" w:cs="Arial"/>
          <w:color w:val="000000"/>
          <w:sz w:val="20"/>
          <w:szCs w:val="20"/>
        </w:rPr>
      </w:pPr>
      <w:r w:rsidRPr="00BF3D07">
        <w:rPr>
          <w:rFonts w:ascii="Arial" w:hAnsi="Arial" w:cs="Arial"/>
          <w:color w:val="000000"/>
          <w:sz w:val="20"/>
          <w:szCs w:val="20"/>
        </w:rPr>
        <w:t xml:space="preserve">Antipsychotic </w:t>
      </w:r>
      <w:r w:rsidR="00F1190A" w:rsidRPr="00BF3D07">
        <w:rPr>
          <w:rFonts w:ascii="Arial" w:hAnsi="Arial" w:cs="Arial"/>
          <w:color w:val="000000"/>
          <w:sz w:val="20"/>
          <w:szCs w:val="20"/>
        </w:rPr>
        <w:t>drugs are a</w:t>
      </w:r>
      <w:r w:rsidR="00591D32" w:rsidRPr="00BF3D07">
        <w:rPr>
          <w:rFonts w:ascii="Arial" w:hAnsi="Arial" w:cs="Arial"/>
          <w:color w:val="000000"/>
          <w:sz w:val="20"/>
          <w:szCs w:val="20"/>
        </w:rPr>
        <w:t xml:space="preserve"> common </w:t>
      </w:r>
      <w:r w:rsidR="00F1190A" w:rsidRPr="00BF3D07">
        <w:rPr>
          <w:rFonts w:ascii="Arial" w:hAnsi="Arial" w:cs="Arial"/>
          <w:color w:val="000000"/>
          <w:sz w:val="20"/>
          <w:szCs w:val="20"/>
        </w:rPr>
        <w:t xml:space="preserve">component </w:t>
      </w:r>
      <w:r w:rsidR="00385329" w:rsidRPr="00BF3D07">
        <w:rPr>
          <w:rFonts w:ascii="Arial" w:hAnsi="Arial" w:cs="Arial"/>
          <w:color w:val="000000"/>
          <w:sz w:val="20"/>
          <w:szCs w:val="20"/>
        </w:rPr>
        <w:t xml:space="preserve">of the therapeutic strategy </w:t>
      </w:r>
      <w:r w:rsidR="005F5AD0" w:rsidRPr="00BF3D07">
        <w:rPr>
          <w:rFonts w:ascii="Arial" w:hAnsi="Arial" w:cs="Arial"/>
          <w:color w:val="000000"/>
          <w:sz w:val="20"/>
          <w:szCs w:val="20"/>
        </w:rPr>
        <w:t>for</w:t>
      </w:r>
      <w:r w:rsidR="00591D32" w:rsidRPr="00BF3D07">
        <w:rPr>
          <w:rFonts w:ascii="Arial" w:hAnsi="Arial" w:cs="Arial"/>
          <w:color w:val="000000"/>
          <w:sz w:val="20"/>
          <w:szCs w:val="20"/>
        </w:rPr>
        <w:t xml:space="preserve"> patients with</w:t>
      </w:r>
      <w:r w:rsidR="005F5AD0" w:rsidRPr="00BF3D07">
        <w:rPr>
          <w:rFonts w:ascii="Arial" w:hAnsi="Arial" w:cs="Arial"/>
          <w:color w:val="000000"/>
          <w:sz w:val="20"/>
          <w:szCs w:val="20"/>
        </w:rPr>
        <w:t xml:space="preserve"> </w:t>
      </w:r>
      <w:r w:rsidR="005C0823">
        <w:rPr>
          <w:rFonts w:ascii="Arial" w:hAnsi="Arial" w:cs="Arial"/>
          <w:color w:val="000000"/>
          <w:sz w:val="20"/>
          <w:szCs w:val="20"/>
        </w:rPr>
        <w:t>serious mental illness</w:t>
      </w:r>
      <w:r w:rsidR="00167F85">
        <w:rPr>
          <w:rFonts w:ascii="Arial" w:hAnsi="Arial" w:cs="Arial"/>
          <w:color w:val="000000"/>
          <w:sz w:val="20"/>
          <w:szCs w:val="20"/>
        </w:rPr>
        <w:t xml:space="preserve"> </w:t>
      </w:r>
      <w:r w:rsidR="00713498">
        <w:rPr>
          <w:rFonts w:ascii="Arial" w:hAnsi="Arial" w:cs="Arial"/>
          <w:color w:val="000000"/>
          <w:sz w:val="20"/>
          <w:szCs w:val="20"/>
        </w:rPr>
        <w:t>(</w:t>
      </w:r>
      <w:hyperlink r:id="rId9" w:history="1">
        <w:r w:rsidR="00713498" w:rsidRPr="00713498">
          <w:rPr>
            <w:rStyle w:val="Hyperlink"/>
            <w:rFonts w:ascii="Arial" w:hAnsi="Arial" w:cs="Arial"/>
            <w:sz w:val="20"/>
            <w:szCs w:val="20"/>
          </w:rPr>
          <w:t>https://www.rcpsych.ac.uk/mental-health/treatments-and-wellbeing/antipsychotics</w:t>
        </w:r>
      </w:hyperlink>
      <w:r w:rsidR="00713498">
        <w:rPr>
          <w:rFonts w:ascii="Arial" w:hAnsi="Arial" w:cs="Arial"/>
          <w:color w:val="000000"/>
          <w:sz w:val="20"/>
          <w:szCs w:val="20"/>
        </w:rPr>
        <w:t>)</w:t>
      </w:r>
      <w:r w:rsidR="00713498" w:rsidRPr="00713498">
        <w:rPr>
          <w:noProof/>
        </w:rPr>
        <w:t>.</w:t>
      </w:r>
      <w:r w:rsidR="00E720AF" w:rsidRPr="00BF3D07">
        <w:rPr>
          <w:rFonts w:ascii="Arial" w:hAnsi="Arial" w:cs="Arial"/>
          <w:color w:val="000000"/>
          <w:sz w:val="20"/>
          <w:szCs w:val="20"/>
        </w:rPr>
        <w:t xml:space="preserve"> Although </w:t>
      </w:r>
      <w:r w:rsidR="00B33BCE" w:rsidRPr="00BF3D07">
        <w:rPr>
          <w:rFonts w:ascii="Arial" w:hAnsi="Arial" w:cs="Arial"/>
          <w:color w:val="000000"/>
          <w:sz w:val="20"/>
          <w:szCs w:val="20"/>
        </w:rPr>
        <w:t xml:space="preserve">UK and </w:t>
      </w:r>
      <w:r w:rsidR="00D8363F" w:rsidRPr="00BF3D07">
        <w:rPr>
          <w:rFonts w:ascii="Arial" w:hAnsi="Arial" w:cs="Arial"/>
          <w:color w:val="000000"/>
          <w:sz w:val="20"/>
          <w:szCs w:val="20"/>
        </w:rPr>
        <w:t xml:space="preserve">international </w:t>
      </w:r>
      <w:r w:rsidR="00E720AF" w:rsidRPr="00BF3D07">
        <w:rPr>
          <w:rFonts w:ascii="Arial" w:hAnsi="Arial" w:cs="Arial"/>
          <w:color w:val="000000"/>
          <w:sz w:val="20"/>
          <w:szCs w:val="20"/>
        </w:rPr>
        <w:t>guidelines recommend antipsychotic monotherapy</w:t>
      </w:r>
      <w:r w:rsidR="00167F85">
        <w:rPr>
          <w:rFonts w:ascii="Arial" w:hAnsi="Arial" w:cs="Arial"/>
          <w:color w:val="000000"/>
          <w:sz w:val="20"/>
          <w:szCs w:val="20"/>
        </w:rPr>
        <w:t xml:space="preserve"> </w:t>
      </w:r>
      <w:r w:rsidR="00D8534F">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 ExcludeAuth="1"&gt;&lt;Year&gt;2014&lt;/Year&gt;&lt;RecNum&gt;42&lt;/RecNum&gt;&lt;DisplayText&gt;(1, 2)&lt;/DisplayText&gt;&lt;record&gt;&lt;rec-number&gt;42&lt;/rec-number&gt;&lt;foreign-keys&gt;&lt;key app="EN" db-id="p02d9srt525vsredawwvt0alfwx0xzzetfsw" timestamp="1519386613"&gt;42&lt;/key&gt;&lt;/foreign-keys&gt;&lt;ref-type name="Report"&gt;27&lt;/ref-type&gt;&lt;contributors&gt;&lt;/contributors&gt;&lt;titles&gt;&lt;title&gt;Psychosis and schizophrenia in adults. Treatment and management. National Clinical Guideline Number 178. &lt;/title&gt;&lt;/titles&gt;&lt;dates&gt;&lt;year&gt;2014&lt;/year&gt;&lt;/dates&gt;&lt;publisher&gt;National Institute for Health and Care Excellence, National Collaborating Centre for Mental Health&lt;/publisher&gt;&lt;urls&gt;&lt;/urls&gt;&lt;/record&gt;&lt;/Cite&gt;&lt;Cite&gt;&lt;Author&gt;Hasan&lt;/Author&gt;&lt;Year&gt;2012&lt;/Year&gt;&lt;RecNum&gt;44&lt;/RecNum&gt;&lt;record&gt;&lt;rec-number&gt;44&lt;/rec-number&gt;&lt;foreign-keys&gt;&lt;key app="EN" db-id="p02d9srt525vsredawwvt0alfwx0xzzetfsw" timestamp="1519396171"&gt;44&lt;/key&gt;&lt;/foreign-keys&gt;&lt;ref-type name="Journal Article"&gt;17&lt;/ref-type&gt;&lt;contributors&gt;&lt;authors&gt;&lt;author&gt;Hasan, A&lt;/author&gt;&lt;author&gt;Falkai, P&lt;/author&gt;&lt;author&gt;Wobrock, T&lt;/author&gt;&lt;author&gt;Lieberman, J&lt;/author&gt;&lt;author&gt;Glenthoj, B&lt;/author&gt;&lt;author&gt;Gattaz, WF&lt;/author&gt;&lt;author&gt;Thibaut, F&lt;/author&gt;&lt;author&gt;Moller, H-J&lt;/author&gt;&lt;/authors&gt;&lt;/contributors&gt;&lt;titles&gt;&lt;title&gt;World Federation of Societies of Biological Psychiatry (WFSBP) Guidelines for Biological Treatment of Schizophrenia, Part 1: Update 2012 on the acute treatment of schizophrenia and the management of treatment resistance&lt;/title&gt;&lt;secondary-title&gt;The World Journal of Biological Psychiatry&lt;/secondary-title&gt;&lt;/titles&gt;&lt;periodical&gt;&lt;full-title&gt;The World Journal of Biological Psychiatry&lt;/full-title&gt;&lt;/periodical&gt;&lt;pages&gt;318-378&lt;/pages&gt;&lt;volume&gt;13&lt;/volume&gt;&lt;dates&gt;&lt;year&gt;2012&lt;/year&gt;&lt;/dates&gt;&lt;urls&gt;&lt;/urls&gt;&lt;/record&gt;&lt;/Cite&gt;&lt;/EndNote&gt;</w:instrText>
      </w:r>
      <w:r w:rsidR="00D8534F">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1" w:tooltip=", 2014 #42" w:history="1">
        <w:r w:rsidR="00464E25">
          <w:rPr>
            <w:rFonts w:ascii="Arial" w:hAnsi="Arial" w:cs="Arial"/>
            <w:noProof/>
            <w:color w:val="000000"/>
            <w:sz w:val="20"/>
            <w:szCs w:val="20"/>
          </w:rPr>
          <w:t>1</w:t>
        </w:r>
      </w:hyperlink>
      <w:r w:rsidR="00713498">
        <w:rPr>
          <w:rFonts w:ascii="Arial" w:hAnsi="Arial" w:cs="Arial"/>
          <w:noProof/>
          <w:color w:val="000000"/>
          <w:sz w:val="20"/>
          <w:szCs w:val="20"/>
        </w:rPr>
        <w:t xml:space="preserve">, </w:t>
      </w:r>
      <w:hyperlink w:anchor="_ENREF_2" w:tooltip="Hasan, 2012 #44" w:history="1">
        <w:r w:rsidR="00464E25">
          <w:rPr>
            <w:rFonts w:ascii="Arial" w:hAnsi="Arial" w:cs="Arial"/>
            <w:noProof/>
            <w:color w:val="000000"/>
            <w:sz w:val="20"/>
            <w:szCs w:val="20"/>
          </w:rPr>
          <w:t>2</w:t>
        </w:r>
      </w:hyperlink>
      <w:r w:rsidR="00713498">
        <w:rPr>
          <w:rFonts w:ascii="Arial" w:hAnsi="Arial" w:cs="Arial"/>
          <w:noProof/>
          <w:color w:val="000000"/>
          <w:sz w:val="20"/>
          <w:szCs w:val="20"/>
        </w:rPr>
        <w:t>)</w:t>
      </w:r>
      <w:r w:rsidR="00D8534F">
        <w:rPr>
          <w:rFonts w:ascii="Arial" w:hAnsi="Arial" w:cs="Arial"/>
          <w:color w:val="000000"/>
          <w:sz w:val="20"/>
          <w:szCs w:val="20"/>
        </w:rPr>
        <w:fldChar w:fldCharType="end"/>
      </w:r>
      <w:r w:rsidR="00167F85">
        <w:rPr>
          <w:rFonts w:ascii="Arial" w:hAnsi="Arial" w:cs="Arial"/>
          <w:color w:val="000000"/>
          <w:sz w:val="20"/>
          <w:szCs w:val="20"/>
        </w:rPr>
        <w:t>,</w:t>
      </w:r>
      <w:r w:rsidR="00E720AF" w:rsidRPr="00BF3D07">
        <w:rPr>
          <w:rFonts w:ascii="Arial" w:hAnsi="Arial" w:cs="Arial"/>
          <w:color w:val="000000"/>
          <w:sz w:val="20"/>
          <w:szCs w:val="20"/>
        </w:rPr>
        <w:t xml:space="preserve"> antipsychotic polypharmacy (</w:t>
      </w:r>
      <w:r w:rsidR="00242EE8">
        <w:rPr>
          <w:rFonts w:ascii="Arial" w:hAnsi="Arial" w:cs="Arial"/>
          <w:color w:val="000000"/>
          <w:sz w:val="20"/>
          <w:szCs w:val="20"/>
        </w:rPr>
        <w:t>thereafter polypharmacy</w:t>
      </w:r>
      <w:r w:rsidR="00E720AF" w:rsidRPr="00BF3D07">
        <w:rPr>
          <w:rFonts w:ascii="Arial" w:hAnsi="Arial" w:cs="Arial"/>
          <w:color w:val="000000"/>
          <w:sz w:val="20"/>
          <w:szCs w:val="20"/>
        </w:rPr>
        <w:t xml:space="preserve">) – defined as the concurrent use of two or more different antipsychotic agents </w:t>
      </w:r>
      <w:r w:rsidR="008C7C06" w:rsidRPr="00BF3D07">
        <w:rPr>
          <w:rFonts w:ascii="Arial" w:hAnsi="Arial" w:cs="Arial"/>
          <w:color w:val="000000"/>
          <w:sz w:val="20"/>
          <w:szCs w:val="20"/>
        </w:rPr>
        <w:t xml:space="preserve">– </w:t>
      </w:r>
      <w:r w:rsidR="00E720AF" w:rsidRPr="00BF3D07">
        <w:rPr>
          <w:rFonts w:ascii="Arial" w:hAnsi="Arial" w:cs="Arial"/>
          <w:color w:val="000000"/>
          <w:sz w:val="20"/>
          <w:szCs w:val="20"/>
        </w:rPr>
        <w:t>is common in clinical practice</w:t>
      </w:r>
      <w:r w:rsidR="00167F85">
        <w:rPr>
          <w:rFonts w:ascii="Arial" w:hAnsi="Arial" w:cs="Arial"/>
          <w:color w:val="000000"/>
          <w:sz w:val="20"/>
          <w:szCs w:val="20"/>
        </w:rPr>
        <w:t xml:space="preserve"> </w:t>
      </w:r>
      <w:r w:rsidR="00BB63A9">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&lt;EndNote&gt;&lt;Cite&gt;&lt;Author&gt;Faries&lt;/Author&gt;&lt;Year&gt;2005&lt;/Year&gt;&lt;RecNum&gt;45&lt;/RecNum&gt;&lt;DisplayText&gt;(3, 4)&lt;/DisplayText&gt;&lt;record&gt;&lt;rec-number&gt;45&lt;/rec-number&gt;&lt;foreign-keys&gt;&lt;key app="EN" db-id="p02d9srt525vsredawwvt0alfwx0xzzetfsw" timestamp="1519396903"&gt;45&lt;/key&gt;&lt;/foreign-keys&gt;&lt;ref-type name="Journal Article"&gt;17&lt;/ref-type&gt;&lt;contributors&gt;&lt;authors&gt;&lt;author&gt;Faries, D&lt;/author&gt;&lt;author&gt;Ascher-Svanum, H&lt;/author&gt;&lt;author&gt;Zhu, Baojin&lt;/author&gt;&lt;author&gt;Correll, CU&lt;/author&gt;&lt;author&gt;Kane, JM&lt;/author&gt;&lt;/authors&gt;&lt;/contributors&gt;&lt;titles&gt;&lt;title&gt;Antipsychotic monotherapy and polypharmacy in the naturalistic treatment of schizophrenia with atypical antipsychotics&lt;/title&gt;&lt;secondary-title&gt;BMC Psychiatry&lt;/secondary-title&gt;&lt;/titles&gt;&lt;periodical&gt;&lt;full-title&gt;BMC Psychiatry&lt;/full-title&gt;&lt;/periodical&gt;&lt;pages&gt;26&lt;/pages&gt;&lt;volume&gt;5&lt;/volume&gt;&lt;dates&gt;&lt;year&gt;2005&lt;/year&gt;&lt;/dates&gt;&lt;urls&gt;&lt;/urls&gt;&lt;/record&gt;&lt;/Cite&gt;&lt;Cite&gt;&lt;Author&gt;Paton&lt;/Author&gt;&lt;Year&gt;2008&lt;/Year&gt;&lt;RecNum&gt;71&lt;/RecNum&gt;&lt;record&gt;&lt;rec-number&gt;71&lt;/rec-number&gt;&lt;foreign-keys&gt;&lt;key app="EN" db-id="p02d9srt525vsredawwvt0alfwx0xzzetfsw" timestamp="1520862124"&gt;71&lt;/key&gt;&lt;/foreign-keys&gt;&lt;ref-type name="Journal Article"&gt;17&lt;/ref-type&gt;&lt;contributors&gt;&lt;authors&gt;&lt;author&gt;Paton, C&lt;/author&gt;&lt;author&gt;Barnes, TR&lt;/author&gt;&lt;author&gt;Cavanagh, MR&lt;/author&gt;&lt;author&gt;Taylor, D&lt;/author&gt;&lt;author&gt;Lelliott, P&lt;/author&gt;&lt;/authors&gt;&lt;/contributors&gt;&lt;titles&gt;&lt;title&gt;High-dose and combination antipsychotic prescribing in acute adult wards in the UK: the challenges posed by p.r.n. prescribing.&lt;/title&gt;&lt;secondary-title&gt;The British Journal of Psychiatry&lt;/secondary-title&gt;&lt;/titles&gt;&lt;periodical&gt;&lt;full-title&gt;The British Journal of Psychiatry&lt;/full-title&gt;&lt;/periodical&gt;&lt;pages&gt;435-39&lt;/pages&gt;&lt;volume&gt;192&lt;/volume&gt;&lt;dates&gt;&lt;year&gt;2008&lt;/year&gt;&lt;/dates&gt;&lt;urls&gt;&lt;/urls&gt;&lt;/record&gt;&lt;/Cite&gt;&lt;/EndNote&gt;</w:instrText>
      </w:r>
      <w:r w:rsidR="00BB63A9">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3" w:tooltip="Faries, 2005 #45" w:history="1">
        <w:r w:rsidR="00464E25">
          <w:rPr>
            <w:rFonts w:ascii="Arial" w:hAnsi="Arial" w:cs="Arial"/>
            <w:noProof/>
            <w:color w:val="000000"/>
            <w:sz w:val="20"/>
            <w:szCs w:val="20"/>
          </w:rPr>
          <w:t>3</w:t>
        </w:r>
      </w:hyperlink>
      <w:r w:rsidR="00713498">
        <w:rPr>
          <w:rFonts w:ascii="Arial" w:hAnsi="Arial" w:cs="Arial"/>
          <w:noProof/>
          <w:color w:val="000000"/>
          <w:sz w:val="20"/>
          <w:szCs w:val="20"/>
        </w:rPr>
        <w:t xml:space="preserve">, </w:t>
      </w:r>
      <w:hyperlink w:anchor="_ENREF_4" w:tooltip="Paton, 2008 #71" w:history="1">
        <w:r w:rsidR="00464E25">
          <w:rPr>
            <w:rFonts w:ascii="Arial" w:hAnsi="Arial" w:cs="Arial"/>
            <w:noProof/>
            <w:color w:val="000000"/>
            <w:sz w:val="20"/>
            <w:szCs w:val="20"/>
          </w:rPr>
          <w:t>4</w:t>
        </w:r>
      </w:hyperlink>
      <w:r w:rsidR="00713498">
        <w:rPr>
          <w:rFonts w:ascii="Arial" w:hAnsi="Arial" w:cs="Arial"/>
          <w:noProof/>
          <w:color w:val="000000"/>
          <w:sz w:val="20"/>
          <w:szCs w:val="20"/>
        </w:rPr>
        <w:t>)</w:t>
      </w:r>
      <w:r w:rsidR="00BB63A9">
        <w:rPr>
          <w:rFonts w:ascii="Arial" w:hAnsi="Arial" w:cs="Arial"/>
          <w:color w:val="000000"/>
          <w:sz w:val="20"/>
          <w:szCs w:val="20"/>
        </w:rPr>
        <w:fldChar w:fldCharType="end"/>
      </w:r>
      <w:r w:rsidR="00167F85">
        <w:rPr>
          <w:rFonts w:ascii="Arial" w:hAnsi="Arial" w:cs="Arial"/>
          <w:color w:val="000000"/>
          <w:sz w:val="20"/>
          <w:szCs w:val="20"/>
        </w:rPr>
        <w:t>.</w:t>
      </w:r>
      <w:r w:rsidR="00E720AF" w:rsidRPr="00BF3D07">
        <w:rPr>
          <w:rFonts w:ascii="Arial" w:hAnsi="Arial" w:cs="Arial"/>
          <w:color w:val="000000"/>
          <w:sz w:val="20"/>
          <w:szCs w:val="20"/>
        </w:rPr>
        <w:t xml:space="preserve">  </w:t>
      </w:r>
    </w:p>
    <w:p w14:paraId="29C4BCCD" w14:textId="706BBB17" w:rsidR="00243715" w:rsidRDefault="00892B37" w:rsidP="007565CE">
      <w:pPr>
        <w:spacing w:after="0" w:line="480" w:lineRule="auto"/>
        <w:rPr>
          <w:rFonts w:ascii="Arial" w:hAnsi="Arial" w:cs="Arial"/>
          <w:sz w:val="20"/>
          <w:szCs w:val="20"/>
        </w:rPr>
      </w:pPr>
      <w:r w:rsidRPr="00BF3D07">
        <w:rPr>
          <w:rFonts w:ascii="Arial" w:hAnsi="Arial" w:cs="Arial"/>
          <w:color w:val="000000"/>
          <w:sz w:val="20"/>
          <w:szCs w:val="20"/>
        </w:rPr>
        <w:t xml:space="preserve">The most common rationale for </w:t>
      </w:r>
      <w:r w:rsidR="00242EE8">
        <w:rPr>
          <w:rFonts w:ascii="Arial" w:hAnsi="Arial" w:cs="Arial"/>
          <w:color w:val="000000"/>
          <w:sz w:val="20"/>
          <w:szCs w:val="20"/>
        </w:rPr>
        <w:t xml:space="preserve">polypharmacy </w:t>
      </w:r>
      <w:r w:rsidRPr="00BF3D07">
        <w:rPr>
          <w:rFonts w:ascii="Arial" w:hAnsi="Arial" w:cs="Arial"/>
          <w:color w:val="000000"/>
          <w:sz w:val="20"/>
          <w:szCs w:val="20"/>
        </w:rPr>
        <w:t xml:space="preserve">is to </w:t>
      </w:r>
      <w:r w:rsidR="004C7C09" w:rsidRPr="00BF3D07">
        <w:rPr>
          <w:rFonts w:ascii="Arial" w:hAnsi="Arial" w:cs="Arial"/>
          <w:color w:val="000000"/>
          <w:sz w:val="20"/>
          <w:szCs w:val="20"/>
        </w:rPr>
        <w:t>improve</w:t>
      </w:r>
      <w:r w:rsidRPr="00BF3D07">
        <w:rPr>
          <w:rFonts w:ascii="Arial" w:hAnsi="Arial" w:cs="Arial"/>
          <w:color w:val="000000"/>
          <w:sz w:val="20"/>
          <w:szCs w:val="20"/>
        </w:rPr>
        <w:t xml:space="preserve"> therapeutic response when the response to monotherapy is </w:t>
      </w:r>
      <w:r w:rsidR="004C7C09" w:rsidRPr="00BF3D07">
        <w:rPr>
          <w:rFonts w:ascii="Arial" w:hAnsi="Arial" w:cs="Arial"/>
          <w:color w:val="000000"/>
          <w:sz w:val="20"/>
          <w:szCs w:val="20"/>
        </w:rPr>
        <w:t>considered</w:t>
      </w:r>
      <w:r w:rsidR="00DC3900" w:rsidRPr="00BF3D07">
        <w:rPr>
          <w:rFonts w:ascii="Arial" w:hAnsi="Arial" w:cs="Arial"/>
          <w:color w:val="000000"/>
          <w:sz w:val="20"/>
          <w:szCs w:val="20"/>
        </w:rPr>
        <w:t xml:space="preserve"> </w:t>
      </w:r>
      <w:r w:rsidRPr="00BF3D07">
        <w:rPr>
          <w:rFonts w:ascii="Arial" w:hAnsi="Arial" w:cs="Arial"/>
          <w:color w:val="000000"/>
          <w:sz w:val="20"/>
          <w:szCs w:val="20"/>
        </w:rPr>
        <w:t>inadequate</w:t>
      </w:r>
      <w:r w:rsidR="00167F85">
        <w:rPr>
          <w:rFonts w:ascii="Arial" w:hAnsi="Arial" w:cs="Arial"/>
          <w:color w:val="000000"/>
          <w:sz w:val="20"/>
          <w:szCs w:val="20"/>
        </w:rPr>
        <w:t xml:space="preserve"> </w:t>
      </w:r>
      <w:r w:rsidR="00B81DCC" w:rsidRPr="00BF3D07">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 ExcludeAuth="1"&gt;&lt;Year&gt;2014&lt;/Year&gt;&lt;RecNum&gt;42&lt;/RecNum&gt;&lt;DisplayText&gt;(1)&lt;/DisplayText&gt;&lt;record&gt;&lt;rec-number&gt;42&lt;/rec-number&gt;&lt;foreign-keys&gt;&lt;key app="EN" db-id="p02d9srt525vsredawwvt0alfwx0xzzetfsw" timestamp="1519386613"&gt;42&lt;/key&gt;&lt;/foreign-keys&gt;&lt;ref-type name="Report"&gt;27&lt;/ref-type&gt;&lt;contributors&gt;&lt;/contributors&gt;&lt;titles&gt;&lt;title&gt;Psychosis and schizophrenia in adults. Treatment and management. National Clinical Guideline Number 178. &lt;/title&gt;&lt;/titles&gt;&lt;dates&gt;&lt;year&gt;2014&lt;/year&gt;&lt;/dates&gt;&lt;publisher&gt;National Institute for Health and Care Excellence, National Collaborating Centre for Mental Health&lt;/publisher&gt;&lt;urls&gt;&lt;/urls&gt;&lt;/record&gt;&lt;/Cite&gt;&lt;/EndNote&gt;</w:instrText>
      </w:r>
      <w:r w:rsidR="00B81DCC" w:rsidRPr="00BF3D07">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1" w:tooltip=", 2014 #42" w:history="1">
        <w:r w:rsidR="00464E25">
          <w:rPr>
            <w:rFonts w:ascii="Arial" w:hAnsi="Arial" w:cs="Arial"/>
            <w:noProof/>
            <w:color w:val="000000"/>
            <w:sz w:val="20"/>
            <w:szCs w:val="20"/>
          </w:rPr>
          <w:t>1</w:t>
        </w:r>
      </w:hyperlink>
      <w:r w:rsidR="00713498">
        <w:rPr>
          <w:rFonts w:ascii="Arial" w:hAnsi="Arial" w:cs="Arial"/>
          <w:noProof/>
          <w:color w:val="000000"/>
          <w:sz w:val="20"/>
          <w:szCs w:val="20"/>
        </w:rPr>
        <w:t>)</w:t>
      </w:r>
      <w:r w:rsidR="00B81DCC" w:rsidRPr="00BF3D07">
        <w:rPr>
          <w:rFonts w:ascii="Arial" w:hAnsi="Arial" w:cs="Arial"/>
          <w:color w:val="000000"/>
          <w:sz w:val="20"/>
          <w:szCs w:val="20"/>
        </w:rPr>
        <w:fldChar w:fldCharType="end"/>
      </w:r>
      <w:r w:rsidR="00167F85">
        <w:rPr>
          <w:rFonts w:ascii="Arial" w:hAnsi="Arial" w:cs="Arial"/>
          <w:color w:val="000000"/>
          <w:sz w:val="20"/>
          <w:szCs w:val="20"/>
        </w:rPr>
        <w:t>.</w:t>
      </w:r>
      <w:r w:rsidR="003E3B65">
        <w:rPr>
          <w:rFonts w:ascii="Arial" w:hAnsi="Arial" w:cs="Arial"/>
          <w:color w:val="000000"/>
          <w:sz w:val="20"/>
          <w:szCs w:val="20"/>
        </w:rPr>
        <w:t xml:space="preserve">  </w:t>
      </w:r>
      <w:r w:rsidR="00EA3ADF">
        <w:rPr>
          <w:rFonts w:ascii="Arial" w:hAnsi="Arial" w:cs="Arial"/>
          <w:color w:val="000000"/>
          <w:sz w:val="20"/>
          <w:szCs w:val="20"/>
        </w:rPr>
        <w:t>However, t</w:t>
      </w:r>
      <w:r w:rsidR="00EA3ADF" w:rsidRPr="00BF3D07">
        <w:rPr>
          <w:rFonts w:ascii="Arial" w:hAnsi="Arial" w:cs="Arial"/>
          <w:color w:val="000000"/>
          <w:sz w:val="20"/>
          <w:szCs w:val="20"/>
        </w:rPr>
        <w:t xml:space="preserve">here </w:t>
      </w:r>
      <w:r w:rsidR="007C2734" w:rsidRPr="00BF3D07">
        <w:rPr>
          <w:rFonts w:ascii="Arial" w:hAnsi="Arial" w:cs="Arial"/>
          <w:color w:val="000000"/>
          <w:sz w:val="20"/>
          <w:szCs w:val="20"/>
        </w:rPr>
        <w:t xml:space="preserve">is little empirical evidence that </w:t>
      </w:r>
      <w:r w:rsidR="00242EE8">
        <w:rPr>
          <w:rFonts w:ascii="Arial" w:hAnsi="Arial" w:cs="Arial"/>
          <w:color w:val="000000"/>
          <w:sz w:val="20"/>
          <w:szCs w:val="20"/>
        </w:rPr>
        <w:t>polypharmacy</w:t>
      </w:r>
      <w:r w:rsidR="00242EE8" w:rsidRPr="00BF3D07">
        <w:rPr>
          <w:rFonts w:ascii="Arial" w:hAnsi="Arial" w:cs="Arial"/>
          <w:color w:val="000000"/>
          <w:sz w:val="20"/>
          <w:szCs w:val="20"/>
        </w:rPr>
        <w:t xml:space="preserve"> </w:t>
      </w:r>
      <w:r w:rsidR="007C2734" w:rsidRPr="00BF3D07">
        <w:rPr>
          <w:rFonts w:ascii="Arial" w:hAnsi="Arial" w:cs="Arial"/>
          <w:color w:val="000000"/>
          <w:sz w:val="20"/>
          <w:szCs w:val="20"/>
        </w:rPr>
        <w:t>has higher ef</w:t>
      </w:r>
      <w:r w:rsidR="0035704E">
        <w:rPr>
          <w:rFonts w:ascii="Arial" w:hAnsi="Arial" w:cs="Arial"/>
          <w:color w:val="000000"/>
          <w:sz w:val="20"/>
          <w:szCs w:val="20"/>
        </w:rPr>
        <w:t xml:space="preserve">ficacy than monotherapy. A </w:t>
      </w:r>
      <w:r w:rsidR="00F467C6">
        <w:rPr>
          <w:rFonts w:ascii="Arial" w:hAnsi="Arial" w:cs="Arial"/>
          <w:color w:val="000000"/>
          <w:sz w:val="20"/>
          <w:szCs w:val="20"/>
        </w:rPr>
        <w:t>Cochrane systematic review</w:t>
      </w:r>
      <w:r w:rsidR="00167F85">
        <w:rPr>
          <w:rFonts w:ascii="Arial" w:hAnsi="Arial" w:cs="Arial"/>
          <w:color w:val="000000"/>
          <w:sz w:val="20"/>
          <w:szCs w:val="20"/>
        </w:rPr>
        <w:t xml:space="preserve"> </w:t>
      </w:r>
      <w:r w:rsidR="00B81DCC" w:rsidRPr="00BF3D07">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&lt;EndNote&gt;&lt;Cite&gt;&lt;Author&gt;Correll&lt;/Author&gt;&lt;Year&gt;2009&lt;/Year&gt;&lt;RecNum&gt;55&lt;/RecNum&gt;&lt;DisplayText&gt;(5)&lt;/DisplayText&gt;&lt;record&gt;&lt;rec-number&gt;55&lt;/rec-number&gt;&lt;foreign-keys&gt;&lt;key app="EN" db-id="p02d9srt525vsredawwvt0alfwx0xzzetfsw" timestamp="1519658522"&gt;55&lt;/key&gt;&lt;/foreign-keys&gt;&lt;ref-type name="Journal Article"&gt;17&lt;/ref-type&gt;&lt;contributors&gt;&lt;authors&gt;&lt;author&gt;Correll, CU&lt;/author&gt;&lt;author&gt;Rummel-Kluge, C&lt;/author&gt;&lt;author&gt;Corve, C&lt;/author&gt;&lt;author&gt;Kane, JM&lt;/author&gt;&lt;author&gt;Leucht, S&lt;/author&gt;&lt;/authors&gt;&lt;/contributors&gt;&lt;titles&gt;&lt;title&gt;Antipsychotic combinations vs monotherapy in schizophrenia: A meta-analysis of randomized controlled trials.  &lt;/title&gt;&lt;secondary-title&gt;Schizophrenia Bulletin&lt;/secondary-title&gt;&lt;/titles&gt;&lt;periodical&gt;&lt;full-title&gt;Schizophrenia Bulletin&lt;/full-title&gt;&lt;/periodical&gt;&lt;pages&gt;443-57&lt;/pages&gt;&lt;volume&gt;35&lt;/volume&gt;&lt;dates&gt;&lt;year&gt;2009&lt;/year&gt;&lt;/dates&gt;&lt;urls&gt;&lt;/urls&gt;&lt;/record&gt;&lt;/Cite&gt;&lt;/EndNote&gt;</w:instrText>
      </w:r>
      <w:r w:rsidR="00B81DCC" w:rsidRPr="00BF3D07">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5" w:tooltip="Correll, 2009 #55" w:history="1">
        <w:r w:rsidR="00464E25">
          <w:rPr>
            <w:rFonts w:ascii="Arial" w:hAnsi="Arial" w:cs="Arial"/>
            <w:noProof/>
            <w:color w:val="000000"/>
            <w:sz w:val="20"/>
            <w:szCs w:val="20"/>
          </w:rPr>
          <w:t>5</w:t>
        </w:r>
      </w:hyperlink>
      <w:r w:rsidR="00713498">
        <w:rPr>
          <w:rFonts w:ascii="Arial" w:hAnsi="Arial" w:cs="Arial"/>
          <w:noProof/>
          <w:color w:val="000000"/>
          <w:sz w:val="20"/>
          <w:szCs w:val="20"/>
        </w:rPr>
        <w:t>)</w:t>
      </w:r>
      <w:r w:rsidR="00B81DCC" w:rsidRPr="00BF3D07">
        <w:rPr>
          <w:rFonts w:ascii="Arial" w:hAnsi="Arial" w:cs="Arial"/>
          <w:color w:val="000000"/>
          <w:sz w:val="20"/>
          <w:szCs w:val="20"/>
        </w:rPr>
        <w:fldChar w:fldCharType="end"/>
      </w:r>
      <w:r w:rsidR="007C2734" w:rsidRPr="00BF3D07">
        <w:rPr>
          <w:rFonts w:ascii="Arial" w:hAnsi="Arial" w:cs="Arial"/>
          <w:color w:val="000000"/>
          <w:sz w:val="20"/>
          <w:szCs w:val="20"/>
        </w:rPr>
        <w:t xml:space="preserve"> </w:t>
      </w:r>
      <w:r w:rsidR="00E953C9">
        <w:rPr>
          <w:rFonts w:ascii="Arial" w:hAnsi="Arial" w:cs="Arial"/>
          <w:color w:val="000000"/>
          <w:sz w:val="20"/>
          <w:szCs w:val="20"/>
        </w:rPr>
        <w:t xml:space="preserve">of randomized controlled trials (RCTs) </w:t>
      </w:r>
      <w:r w:rsidR="007C2734" w:rsidRPr="00BF3D07">
        <w:rPr>
          <w:rFonts w:ascii="Arial" w:hAnsi="Arial" w:cs="Arial"/>
          <w:color w:val="000000"/>
          <w:sz w:val="20"/>
          <w:szCs w:val="20"/>
        </w:rPr>
        <w:t xml:space="preserve">concluded that while </w:t>
      </w:r>
      <w:r w:rsidR="00242EE8">
        <w:rPr>
          <w:rFonts w:ascii="Arial" w:hAnsi="Arial" w:cs="Arial"/>
          <w:color w:val="000000"/>
          <w:sz w:val="20"/>
          <w:szCs w:val="20"/>
        </w:rPr>
        <w:t>polypharmacy</w:t>
      </w:r>
      <w:r w:rsidR="00242EE8" w:rsidRPr="00BF3D07">
        <w:rPr>
          <w:rFonts w:ascii="Arial" w:hAnsi="Arial" w:cs="Arial"/>
          <w:color w:val="000000"/>
          <w:sz w:val="20"/>
          <w:szCs w:val="20"/>
        </w:rPr>
        <w:t xml:space="preserve"> </w:t>
      </w:r>
      <w:r w:rsidR="007C2734" w:rsidRPr="00BF3D07">
        <w:rPr>
          <w:rFonts w:ascii="Arial" w:hAnsi="Arial" w:cs="Arial"/>
          <w:color w:val="000000"/>
          <w:sz w:val="20"/>
          <w:szCs w:val="20"/>
        </w:rPr>
        <w:t xml:space="preserve">might be superior to monotherapy in certain clinical situations, the </w:t>
      </w:r>
      <w:r w:rsidR="004C7C09" w:rsidRPr="00BF3D07">
        <w:rPr>
          <w:rFonts w:ascii="Arial" w:hAnsi="Arial" w:cs="Arial"/>
          <w:color w:val="000000"/>
          <w:sz w:val="20"/>
          <w:szCs w:val="20"/>
        </w:rPr>
        <w:t>evidence was</w:t>
      </w:r>
      <w:r w:rsidR="007C2734" w:rsidRPr="00BF3D07">
        <w:rPr>
          <w:rFonts w:ascii="Arial" w:hAnsi="Arial" w:cs="Arial"/>
          <w:color w:val="000000"/>
          <w:sz w:val="20"/>
          <w:szCs w:val="20"/>
        </w:rPr>
        <w:t xml:space="preserve"> too heterogeneous to derive firm conclusions.  </w:t>
      </w:r>
      <w:r w:rsidR="00C211B2">
        <w:rPr>
          <w:rFonts w:ascii="Arial" w:hAnsi="Arial" w:cs="Arial"/>
          <w:color w:val="000000"/>
          <w:sz w:val="20"/>
          <w:szCs w:val="20"/>
        </w:rPr>
        <w:t>S</w:t>
      </w:r>
      <w:r w:rsidR="00E266BF" w:rsidRPr="00BF3D07">
        <w:rPr>
          <w:rFonts w:ascii="Arial" w:hAnsi="Arial" w:cs="Arial"/>
          <w:color w:val="000000"/>
          <w:sz w:val="20"/>
          <w:szCs w:val="20"/>
        </w:rPr>
        <w:t xml:space="preserve">ignificant risks associated with </w:t>
      </w:r>
      <w:r w:rsidR="00242EE8">
        <w:rPr>
          <w:rFonts w:ascii="Arial" w:hAnsi="Arial" w:cs="Arial"/>
          <w:color w:val="000000"/>
          <w:sz w:val="20"/>
          <w:szCs w:val="20"/>
        </w:rPr>
        <w:t xml:space="preserve">polypharmacy </w:t>
      </w:r>
      <w:r w:rsidR="00C211B2">
        <w:rPr>
          <w:rFonts w:ascii="Arial" w:hAnsi="Arial" w:cs="Arial"/>
          <w:color w:val="000000"/>
          <w:sz w:val="20"/>
          <w:szCs w:val="20"/>
        </w:rPr>
        <w:t>have been reported</w:t>
      </w:r>
      <w:r w:rsidR="00F467C6">
        <w:rPr>
          <w:rFonts w:ascii="Arial" w:hAnsi="Arial" w:cs="Arial"/>
          <w:color w:val="000000"/>
          <w:sz w:val="20"/>
          <w:szCs w:val="20"/>
        </w:rPr>
        <w:t>, particularly excessive dosing</w:t>
      </w:r>
      <w:r w:rsidR="00167F85">
        <w:rPr>
          <w:rFonts w:ascii="Arial" w:hAnsi="Arial" w:cs="Arial"/>
          <w:color w:val="000000"/>
          <w:sz w:val="20"/>
          <w:szCs w:val="20"/>
        </w:rPr>
        <w:t xml:space="preserve"> </w:t>
      </w:r>
      <w:r w:rsidR="00B81DCC" w:rsidRPr="00BF3D07">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&lt;EndNote&gt;&lt;Cite&gt;&lt;Author&gt;Hou&lt;/Author&gt;&lt;Year&gt;2016&lt;/Year&gt;&lt;RecNum&gt;48&lt;/RecNum&gt;&lt;DisplayText&gt;(6)&lt;/DisplayText&gt;&lt;record&gt;&lt;rec-number&gt;48&lt;/rec-number&gt;&lt;foreign-keys&gt;&lt;key app="EN" db-id="p02d9srt525vsredawwvt0alfwx0xzzetfsw" timestamp="1519401860"&gt;48&lt;/key&gt;&lt;/foreign-keys&gt;&lt;ref-type name="Journal Article"&gt;17&lt;/ref-type&gt;&lt;contributors&gt;&lt;authors&gt;&lt;author&gt;Hou, CL&lt;/author&gt;&lt;author&gt;Ma, XR&lt;/author&gt;&lt;author&gt;Zang, Y&lt;/author&gt;&lt;author&gt;Jia, FJ&lt;/author&gt;&lt;author&gt;Lin, YQ&lt;/author&gt;&lt;author&gt;Chiu, HF&lt;/author&gt;&lt;author&gt;Ungravi, GS&lt;/author&gt;&lt;author&gt;Ng, CH&lt;/author&gt;&lt;author&gt;Zhong, BL&lt;/author&gt;&lt;author&gt;Cao, XL&lt;/author&gt;&lt;author&gt;Li, Y&lt;/author&gt;&lt;author&gt;Cai, MY&lt;/author&gt;&lt;author&gt;Xiang, YT&lt;/author&gt;&lt;/authors&gt;&lt;/contributors&gt;&lt;titles&gt;&lt;title&gt;Antipsychotic polypharmacy and quality of life in patients with schizophrenia treated in primary care in China.&lt;/title&gt;&lt;secondary-title&gt;International Journal of Clinical Pharmacology and Therapeutics&lt;/secondary-title&gt;&lt;/titles&gt;&lt;periodical&gt;&lt;full-title&gt;International Journal of Clinical Pharmacology and Therapeutics&lt;/full-title&gt;&lt;/periodical&gt;&lt;pages&gt;36-42&lt;/pages&gt;&lt;volume&gt;54&lt;/volume&gt;&lt;number&gt;1&lt;/number&gt;&lt;dates&gt;&lt;year&gt;2016&lt;/year&gt;&lt;/dates&gt;&lt;urls&gt;&lt;/urls&gt;&lt;/record&gt;&lt;/Cite&gt;&lt;/EndNote&gt;</w:instrText>
      </w:r>
      <w:r w:rsidR="00B81DCC" w:rsidRPr="00BF3D07">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6" w:tooltip="Hou, 2016 #48" w:history="1">
        <w:r w:rsidR="00464E25">
          <w:rPr>
            <w:rFonts w:ascii="Arial" w:hAnsi="Arial" w:cs="Arial"/>
            <w:noProof/>
            <w:color w:val="000000"/>
            <w:sz w:val="20"/>
            <w:szCs w:val="20"/>
          </w:rPr>
          <w:t>6</w:t>
        </w:r>
      </w:hyperlink>
      <w:r w:rsidR="00713498">
        <w:rPr>
          <w:rFonts w:ascii="Arial" w:hAnsi="Arial" w:cs="Arial"/>
          <w:noProof/>
          <w:color w:val="000000"/>
          <w:sz w:val="20"/>
          <w:szCs w:val="20"/>
        </w:rPr>
        <w:t>)</w:t>
      </w:r>
      <w:r w:rsidR="00B81DCC" w:rsidRPr="00BF3D07">
        <w:rPr>
          <w:rFonts w:ascii="Arial" w:hAnsi="Arial" w:cs="Arial"/>
          <w:color w:val="000000"/>
          <w:sz w:val="20"/>
          <w:szCs w:val="20"/>
        </w:rPr>
        <w:fldChar w:fldCharType="end"/>
      </w:r>
      <w:r w:rsidR="00E266BF" w:rsidRPr="00BF3D07">
        <w:rPr>
          <w:rFonts w:ascii="Arial" w:hAnsi="Arial" w:cs="Arial"/>
          <w:color w:val="000000"/>
          <w:sz w:val="20"/>
          <w:szCs w:val="20"/>
        </w:rPr>
        <w:t xml:space="preserve"> which can in turn result in </w:t>
      </w:r>
      <w:r w:rsidR="00E266BF" w:rsidRPr="003A2C72">
        <w:rPr>
          <w:rFonts w:ascii="Arial" w:hAnsi="Arial" w:cs="Arial"/>
          <w:color w:val="000000"/>
          <w:sz w:val="20"/>
          <w:szCs w:val="20"/>
        </w:rPr>
        <w:t>adverse eff</w:t>
      </w:r>
      <w:r w:rsidR="00F467C6" w:rsidRPr="003A2C72">
        <w:rPr>
          <w:rFonts w:ascii="Arial" w:hAnsi="Arial" w:cs="Arial"/>
          <w:color w:val="000000"/>
          <w:sz w:val="20"/>
          <w:szCs w:val="20"/>
        </w:rPr>
        <w:t>ects</w:t>
      </w:r>
      <w:r w:rsidR="00167F85">
        <w:rPr>
          <w:rFonts w:ascii="Arial" w:hAnsi="Arial" w:cs="Arial"/>
          <w:color w:val="000000"/>
          <w:sz w:val="20"/>
          <w:szCs w:val="20"/>
        </w:rPr>
        <w:t xml:space="preserve"> such as metabolic syndrome </w:t>
      </w:r>
      <w:r w:rsidR="00B81DCC" w:rsidRPr="00BF3D07">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&lt;EndNote&gt;&lt;Cite&gt;&lt;Author&gt;Misawa&lt;/Author&gt;&lt;Year&gt;2011&lt;/Year&gt;&lt;RecNum&gt;76&lt;/RecNum&gt;&lt;DisplayText&gt;(7)&lt;/DisplayText&gt;&lt;record&gt;&lt;rec-number&gt;76&lt;/rec-number&gt;&lt;foreign-keys&gt;&lt;key app="EN" db-id="p02d9srt525vsredawwvt0alfwx0xzzetfsw" timestamp="1520877192"&gt;76&lt;/key&gt;&lt;/foreign-keys&gt;&lt;ref-type name="Journal Article"&gt;17&lt;/ref-type&gt;&lt;contributors&gt;&lt;authors&gt;&lt;author&gt;Misawa, F&lt;/author&gt;&lt;author&gt;Shimizu, K&lt;/author&gt;&lt;author&gt;Fujii, Y&lt;/author&gt;&lt;author&gt;Miyata, R&lt;/author&gt;&lt;author&gt;Koshiishi, F&lt;/author&gt;&lt;author&gt;Kobayashi, M&lt;/author&gt;&lt;author&gt;Shida, H&lt;/author&gt;&lt;author&gt;Oguchi, Y&lt;/author&gt;&lt;author&gt;Okumura, Y&lt;/author&gt;&lt;author&gt; Ito, H&lt;/author&gt;&lt;author&gt;Kayama, M&lt;/author&gt;&lt;author&gt;Kashima, H&lt;/author&gt;&lt;/authors&gt;&lt;/contributors&gt;&lt;titles&gt;&lt;title&gt;Is antipsychotic polypharmacy associated with metabolic syndrome even after adjustment for lifestyle effects?: a cross-sectional study&lt;/title&gt;&lt;secondary-title&gt;BMC Psychiatry&lt;/secondary-title&gt;&lt;/titles&gt;&lt;periodical&gt;&lt;full-title&gt;BMC Psychiatry&lt;/full-title&gt;&lt;/periodical&gt;&lt;pages&gt;118&lt;/pages&gt;&lt;volume&gt;11&lt;/volume&gt;&lt;dates&gt;&lt;year&gt;2011&lt;/year&gt;&lt;/dates&gt;&lt;urls&gt;&lt;/urls&gt;&lt;/record&gt;&lt;/Cite&gt;&lt;/EndNote&gt;</w:instrText>
      </w:r>
      <w:r w:rsidR="00B81DCC" w:rsidRPr="00BF3D07">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7" w:tooltip="Misawa, 2011 #76" w:history="1">
        <w:r w:rsidR="00464E25">
          <w:rPr>
            <w:rFonts w:ascii="Arial" w:hAnsi="Arial" w:cs="Arial"/>
            <w:noProof/>
            <w:color w:val="000000"/>
            <w:sz w:val="20"/>
            <w:szCs w:val="20"/>
          </w:rPr>
          <w:t>7</w:t>
        </w:r>
      </w:hyperlink>
      <w:r w:rsidR="00713498">
        <w:rPr>
          <w:rFonts w:ascii="Arial" w:hAnsi="Arial" w:cs="Arial"/>
          <w:noProof/>
          <w:color w:val="000000"/>
          <w:sz w:val="20"/>
          <w:szCs w:val="20"/>
        </w:rPr>
        <w:t>)</w:t>
      </w:r>
      <w:r w:rsidR="00B81DCC" w:rsidRPr="00BF3D07">
        <w:rPr>
          <w:rFonts w:ascii="Arial" w:hAnsi="Arial" w:cs="Arial"/>
          <w:color w:val="000000"/>
          <w:sz w:val="20"/>
          <w:szCs w:val="20"/>
        </w:rPr>
        <w:fldChar w:fldCharType="end"/>
      </w:r>
      <w:r w:rsidR="00167F85">
        <w:rPr>
          <w:rFonts w:ascii="Arial" w:hAnsi="Arial" w:cs="Arial"/>
          <w:color w:val="000000"/>
          <w:sz w:val="20"/>
          <w:szCs w:val="20"/>
        </w:rPr>
        <w:t>,</w:t>
      </w:r>
      <w:r w:rsidR="00E266BF" w:rsidRPr="00BF3D07">
        <w:rPr>
          <w:rFonts w:ascii="Arial" w:hAnsi="Arial" w:cs="Arial"/>
          <w:color w:val="000000"/>
          <w:sz w:val="20"/>
          <w:szCs w:val="20"/>
        </w:rPr>
        <w:t xml:space="preserve"> cognitive impairme</w:t>
      </w:r>
      <w:r w:rsidR="00167F85">
        <w:rPr>
          <w:rFonts w:ascii="Arial" w:hAnsi="Arial" w:cs="Arial"/>
          <w:color w:val="000000"/>
          <w:sz w:val="20"/>
          <w:szCs w:val="20"/>
        </w:rPr>
        <w:t xml:space="preserve">nt, extrapyramidal side effects </w:t>
      </w:r>
      <w:r w:rsidR="00B81DCC" w:rsidRPr="00BF3D07">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&lt;EndNote&gt;&lt;Cite&gt;&lt;Author&gt;Lochmann van Bennekom&lt;/Author&gt;&lt;Year&gt;2013&lt;/Year&gt;&lt;RecNum&gt;1&lt;/RecNum&gt;&lt;DisplayText&gt;(8)&lt;/DisplayText&gt;&lt;record&gt;&lt;rec-number&gt;1&lt;/rec-number&gt;&lt;foreign-keys&gt;&lt;key app="EN" db-id="p02d9srt525vsredawwvt0alfwx0xzzetfsw" timestamp="1519123055"&gt;1&lt;/key&gt;&lt;/foreign-keys&gt;&lt;ref-type name="Journal Article"&gt;17&lt;/ref-type&gt;&lt;contributors&gt;&lt;authors&gt;&lt;author&gt;Lochmann van Bennekom, MW&lt;/author&gt;&lt;author&gt;Gijsman, HJ&lt;/author&gt;&lt;author&gt;Zitman, FG&lt;/author&gt;&lt;/authors&gt;&lt;/contributors&gt;&lt;titles&gt;&lt;title&gt;Antipsychotic polypharmacy in psychotic disorders: a critical review of neurobiology, efficacy, tolerability and cost effectiveness.&lt;/title&gt;&lt;secondary-title&gt;Journal of Psychopharmacology&lt;/secondary-title&gt;&lt;/titles&gt;&lt;periodical&gt;&lt;full-title&gt;Journal of Psychopharmacology&lt;/full-title&gt;&lt;/periodical&gt;&lt;pages&gt;327-36&lt;/pages&gt;&lt;volume&gt;27&lt;/volume&gt;&lt;number&gt;4&lt;/number&gt;&lt;dates&gt;&lt;year&gt;2013&lt;/year&gt;&lt;/dates&gt;&lt;urls&gt;&lt;/urls&gt;&lt;/record&gt;&lt;/Cite&gt;&lt;/EndNote&gt;</w:instrText>
      </w:r>
      <w:r w:rsidR="00B81DCC" w:rsidRPr="00BF3D07">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8" w:tooltip="Lochmann van Bennekom, 2013 #1" w:history="1">
        <w:r w:rsidR="00464E25">
          <w:rPr>
            <w:rFonts w:ascii="Arial" w:hAnsi="Arial" w:cs="Arial"/>
            <w:noProof/>
            <w:color w:val="000000"/>
            <w:sz w:val="20"/>
            <w:szCs w:val="20"/>
          </w:rPr>
          <w:t>8</w:t>
        </w:r>
      </w:hyperlink>
      <w:r w:rsidR="00713498">
        <w:rPr>
          <w:rFonts w:ascii="Arial" w:hAnsi="Arial" w:cs="Arial"/>
          <w:noProof/>
          <w:color w:val="000000"/>
          <w:sz w:val="20"/>
          <w:szCs w:val="20"/>
        </w:rPr>
        <w:t>)</w:t>
      </w:r>
      <w:r w:rsidR="00B81DCC" w:rsidRPr="00BF3D07">
        <w:rPr>
          <w:rFonts w:ascii="Arial" w:hAnsi="Arial" w:cs="Arial"/>
          <w:color w:val="000000"/>
          <w:sz w:val="20"/>
          <w:szCs w:val="20"/>
        </w:rPr>
        <w:fldChar w:fldCharType="end"/>
      </w:r>
      <w:r w:rsidR="00167F85">
        <w:rPr>
          <w:rFonts w:ascii="Arial" w:hAnsi="Arial" w:cs="Arial"/>
          <w:color w:val="000000"/>
          <w:sz w:val="20"/>
          <w:szCs w:val="20"/>
        </w:rPr>
        <w:t>,</w:t>
      </w:r>
      <w:r w:rsidR="00E266BF" w:rsidRPr="00BF3D07">
        <w:rPr>
          <w:rFonts w:ascii="Arial" w:hAnsi="Arial" w:cs="Arial"/>
          <w:sz w:val="20"/>
          <w:szCs w:val="20"/>
        </w:rPr>
        <w:t xml:space="preserve"> and cardiovascular disorders</w:t>
      </w:r>
      <w:r w:rsidR="00167F85">
        <w:rPr>
          <w:rFonts w:ascii="Arial" w:hAnsi="Arial" w:cs="Arial"/>
          <w:sz w:val="20"/>
          <w:szCs w:val="20"/>
        </w:rPr>
        <w:t xml:space="preserve"> </w:t>
      </w:r>
      <w:r w:rsidR="00B81DCC" w:rsidRPr="00BF3D07">
        <w:rPr>
          <w:rFonts w:ascii="Arial" w:hAnsi="Arial" w:cs="Arial"/>
          <w:sz w:val="20"/>
          <w:szCs w:val="20"/>
        </w:rPr>
        <w:fldChar w:fldCharType="begin"/>
      </w:r>
      <w:r w:rsidR="00713498">
        <w:rPr>
          <w:rFonts w:ascii="Arial" w:hAnsi="Arial" w:cs="Arial"/>
          <w:sz w:val="20"/>
          <w:szCs w:val="20"/>
        </w:rPr>
        <w:instrText xml:space="preserve"> ADDIN EN.CITE &lt;EndNote&gt;&lt;Cite&gt;&lt;Author&gt;Fleischhacker&lt;/Author&gt;&lt;Year&gt;2014&lt;/Year&gt;&lt;RecNum&gt;78&lt;/RecNum&gt;&lt;DisplayText&gt;(9)&lt;/DisplayText&gt;&lt;record&gt;&lt;rec-number&gt;78&lt;/rec-number&gt;&lt;foreign-keys&gt;&lt;key app="EN" db-id="p02d9srt525vsredawwvt0alfwx0xzzetfsw" timestamp="1520881137"&gt;78&lt;/key&gt;&lt;/foreign-keys&gt;&lt;ref-type name="Journal Article"&gt;17&lt;/ref-type&gt;&lt;contributors&gt;&lt;authors&gt;&lt;author&gt;Fleischhacker, WW&lt;/author&gt;&lt;author&gt;Uchida, H&lt;/author&gt;&lt;/authors&gt;&lt;/contributors&gt;&lt;titles&gt;&lt;title&gt;Critical review of antipsychotic polypharmacy in the treatment of schizophrenia.&lt;/title&gt;&lt;secondary-title&gt;International Journal of Neuropsychopharmacology&lt;/secondary-title&gt;&lt;/titles&gt;&lt;periodical&gt;&lt;full-title&gt;International Journal of Neuropsychopharmacology&lt;/full-title&gt;&lt;/periodical&gt;&lt;pages&gt;1083-93&lt;/pages&gt;&lt;volume&gt;17&lt;/volume&gt;&lt;number&gt;7&lt;/number&gt;&lt;dates&gt;&lt;year&gt;2014&lt;/year&gt;&lt;/dates&gt;&lt;urls&gt;&lt;/urls&gt;&lt;/record&gt;&lt;/Cite&gt;&lt;/EndNote&gt;</w:instrText>
      </w:r>
      <w:r w:rsidR="00B81DCC" w:rsidRPr="00BF3D07">
        <w:rPr>
          <w:rFonts w:ascii="Arial" w:hAnsi="Arial" w:cs="Arial"/>
          <w:sz w:val="20"/>
          <w:szCs w:val="20"/>
        </w:rPr>
        <w:fldChar w:fldCharType="separate"/>
      </w:r>
      <w:r w:rsidR="00713498">
        <w:rPr>
          <w:rFonts w:ascii="Arial" w:hAnsi="Arial" w:cs="Arial"/>
          <w:noProof/>
          <w:sz w:val="20"/>
          <w:szCs w:val="20"/>
        </w:rPr>
        <w:t>(</w:t>
      </w:r>
      <w:hyperlink w:anchor="_ENREF_9" w:tooltip="Fleischhacker, 2014 #78" w:history="1">
        <w:r w:rsidR="00464E25">
          <w:rPr>
            <w:rFonts w:ascii="Arial" w:hAnsi="Arial" w:cs="Arial"/>
            <w:noProof/>
            <w:sz w:val="20"/>
            <w:szCs w:val="20"/>
          </w:rPr>
          <w:t>9</w:t>
        </w:r>
      </w:hyperlink>
      <w:r w:rsidR="00713498">
        <w:rPr>
          <w:rFonts w:ascii="Arial" w:hAnsi="Arial" w:cs="Arial"/>
          <w:noProof/>
          <w:sz w:val="20"/>
          <w:szCs w:val="20"/>
        </w:rPr>
        <w:t>)</w:t>
      </w:r>
      <w:r w:rsidR="00B81DCC" w:rsidRPr="00BF3D07">
        <w:rPr>
          <w:rFonts w:ascii="Arial" w:hAnsi="Arial" w:cs="Arial"/>
          <w:sz w:val="20"/>
          <w:szCs w:val="20"/>
        </w:rPr>
        <w:fldChar w:fldCharType="end"/>
      </w:r>
      <w:r w:rsidR="00167F85">
        <w:rPr>
          <w:rFonts w:ascii="Arial" w:hAnsi="Arial" w:cs="Arial"/>
          <w:sz w:val="20"/>
          <w:szCs w:val="20"/>
        </w:rPr>
        <w:t>.</w:t>
      </w:r>
      <w:r w:rsidR="006809D8">
        <w:rPr>
          <w:rFonts w:ascii="Arial" w:hAnsi="Arial" w:cs="Arial"/>
          <w:sz w:val="20"/>
          <w:szCs w:val="20"/>
        </w:rPr>
        <w:t xml:space="preserve"> </w:t>
      </w:r>
      <w:r w:rsidR="00242EE8">
        <w:rPr>
          <w:rFonts w:ascii="Arial" w:hAnsi="Arial" w:cs="Arial"/>
          <w:sz w:val="20"/>
          <w:szCs w:val="20"/>
        </w:rPr>
        <w:t xml:space="preserve">Polypharmacy </w:t>
      </w:r>
      <w:r w:rsidR="00E56834">
        <w:rPr>
          <w:rFonts w:ascii="Arial" w:hAnsi="Arial" w:cs="Arial"/>
          <w:sz w:val="20"/>
          <w:szCs w:val="20"/>
        </w:rPr>
        <w:t xml:space="preserve">efficacy and adverse effects contribute to changes in broader patient outcomes reflecting overall </w:t>
      </w:r>
      <w:r w:rsidR="00242EE8">
        <w:rPr>
          <w:rFonts w:ascii="Arial" w:hAnsi="Arial" w:cs="Arial"/>
          <w:sz w:val="20"/>
          <w:szCs w:val="20"/>
        </w:rPr>
        <w:t xml:space="preserve">polypharmacy </w:t>
      </w:r>
      <w:r w:rsidR="00E56834" w:rsidRPr="003A2C72">
        <w:rPr>
          <w:rFonts w:ascii="Arial" w:hAnsi="Arial" w:cs="Arial"/>
          <w:sz w:val="20"/>
          <w:szCs w:val="20"/>
        </w:rPr>
        <w:t>effectiveness</w:t>
      </w:r>
      <w:r w:rsidR="00E56834" w:rsidRPr="00E56834">
        <w:rPr>
          <w:rFonts w:ascii="Arial" w:hAnsi="Arial" w:cs="Arial"/>
          <w:sz w:val="20"/>
          <w:szCs w:val="20"/>
        </w:rPr>
        <w:t xml:space="preserve">. </w:t>
      </w:r>
      <w:r w:rsidR="00036607">
        <w:rPr>
          <w:rFonts w:ascii="Arial" w:hAnsi="Arial" w:cs="Arial"/>
          <w:sz w:val="20"/>
          <w:szCs w:val="20"/>
        </w:rPr>
        <w:t xml:space="preserve"> </w:t>
      </w:r>
      <w:r w:rsidR="00A3060F" w:rsidRPr="00BF3D07">
        <w:rPr>
          <w:rFonts w:ascii="Arial" w:hAnsi="Arial" w:cs="Arial"/>
          <w:color w:val="000000"/>
          <w:sz w:val="20"/>
          <w:szCs w:val="20"/>
        </w:rPr>
        <w:t xml:space="preserve">Whether </w:t>
      </w:r>
      <w:r w:rsidR="00242EE8">
        <w:rPr>
          <w:rFonts w:ascii="Arial" w:hAnsi="Arial" w:cs="Arial"/>
          <w:color w:val="000000"/>
          <w:sz w:val="20"/>
          <w:szCs w:val="20"/>
        </w:rPr>
        <w:t>polypharmacy</w:t>
      </w:r>
      <w:r w:rsidR="00242EE8" w:rsidRPr="00BF3D07">
        <w:rPr>
          <w:rFonts w:ascii="Arial" w:hAnsi="Arial" w:cs="Arial"/>
          <w:color w:val="000000"/>
          <w:sz w:val="20"/>
          <w:szCs w:val="20"/>
        </w:rPr>
        <w:t xml:space="preserve"> </w:t>
      </w:r>
      <w:r w:rsidR="00A3060F" w:rsidRPr="00BF3D07">
        <w:rPr>
          <w:rFonts w:ascii="Arial" w:hAnsi="Arial" w:cs="Arial"/>
          <w:color w:val="000000"/>
          <w:sz w:val="20"/>
          <w:szCs w:val="20"/>
        </w:rPr>
        <w:t>is a valid therapeutic option or a ‘dirty little secret’</w:t>
      </w:r>
      <w:r w:rsidR="00167F85">
        <w:rPr>
          <w:rFonts w:ascii="Arial" w:hAnsi="Arial" w:cs="Arial"/>
          <w:color w:val="000000"/>
          <w:sz w:val="20"/>
          <w:szCs w:val="20"/>
        </w:rPr>
        <w:t xml:space="preserve"> </w:t>
      </w:r>
      <w:r w:rsidR="00B81DCC" w:rsidRPr="00BF3D07">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&lt;EndNote&gt;&lt;Cite&gt;&lt;Author&gt;Stahl&lt;/Author&gt;&lt;Year&gt;1999&lt;/Year&gt;&lt;RecNum&gt;51&lt;/RecNum&gt;&lt;DisplayText&gt;(10)&lt;/DisplayText&gt;&lt;record&gt;&lt;rec-number&gt;51&lt;/rec-number&gt;&lt;foreign-keys&gt;&lt;key app="EN" db-id="p02d9srt525vsredawwvt0alfwx0xzzetfsw" timestamp="1519644011"&gt;51&lt;/key&gt;&lt;/foreign-keys&gt;&lt;ref-type name="Journal Article"&gt;17&lt;/ref-type&gt;&lt;contributors&gt;&lt;authors&gt;&lt;author&gt;Stahl, SM&lt;/author&gt;&lt;/authors&gt;&lt;/contributors&gt;&lt;titles&gt;&lt;title&gt;Antipsychotic polypharmacy, Part 1: Therapeutic option or dirty little secret?&lt;/title&gt;&lt;secondary-title&gt;Journal of Clinical Psychiatry&lt;/secondary-title&gt;&lt;/titles&gt;&lt;periodical&gt;&lt;full-title&gt;Journal of Clinical Psychiatry&lt;/full-title&gt;&lt;/periodical&gt;&lt;pages&gt;425-26&lt;/pages&gt;&lt;volume&gt;60&lt;/volume&gt;&lt;dates&gt;&lt;year&gt;1999&lt;/year&gt;&lt;/dates&gt;&lt;urls&gt;&lt;/urls&gt;&lt;/record&gt;&lt;/Cite&gt;&lt;/EndNote&gt;</w:instrText>
      </w:r>
      <w:r w:rsidR="00B81DCC" w:rsidRPr="00BF3D07">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10" w:tooltip="Stahl, 1999 #51" w:history="1">
        <w:r w:rsidR="00464E25">
          <w:rPr>
            <w:rFonts w:ascii="Arial" w:hAnsi="Arial" w:cs="Arial"/>
            <w:noProof/>
            <w:color w:val="000000"/>
            <w:sz w:val="20"/>
            <w:szCs w:val="20"/>
          </w:rPr>
          <w:t>10</w:t>
        </w:r>
      </w:hyperlink>
      <w:r w:rsidR="00713498">
        <w:rPr>
          <w:rFonts w:ascii="Arial" w:hAnsi="Arial" w:cs="Arial"/>
          <w:noProof/>
          <w:color w:val="000000"/>
          <w:sz w:val="20"/>
          <w:szCs w:val="20"/>
        </w:rPr>
        <w:t>)</w:t>
      </w:r>
      <w:r w:rsidR="00B81DCC" w:rsidRPr="00BF3D07">
        <w:rPr>
          <w:rFonts w:ascii="Arial" w:hAnsi="Arial" w:cs="Arial"/>
          <w:color w:val="000000"/>
          <w:sz w:val="20"/>
          <w:szCs w:val="20"/>
        </w:rPr>
        <w:fldChar w:fldCharType="end"/>
      </w:r>
      <w:r w:rsidR="00167F85">
        <w:rPr>
          <w:rFonts w:ascii="Arial" w:hAnsi="Arial" w:cs="Arial"/>
          <w:color w:val="000000"/>
          <w:sz w:val="20"/>
          <w:szCs w:val="20"/>
        </w:rPr>
        <w:t>,</w:t>
      </w:r>
      <w:r w:rsidR="00A3060F" w:rsidRPr="00BF3D07">
        <w:rPr>
          <w:rFonts w:ascii="Arial" w:hAnsi="Arial" w:cs="Arial"/>
          <w:color w:val="000000"/>
          <w:sz w:val="20"/>
          <w:szCs w:val="20"/>
        </w:rPr>
        <w:t xml:space="preserve"> it remains prevalent and </w:t>
      </w:r>
      <w:r w:rsidR="00036607">
        <w:rPr>
          <w:rFonts w:ascii="Arial" w:hAnsi="Arial" w:cs="Arial"/>
          <w:color w:val="000000"/>
          <w:sz w:val="20"/>
          <w:szCs w:val="20"/>
        </w:rPr>
        <w:t>empirical</w:t>
      </w:r>
      <w:r w:rsidR="009A3015">
        <w:rPr>
          <w:rFonts w:ascii="Arial" w:hAnsi="Arial" w:cs="Arial"/>
          <w:color w:val="000000"/>
          <w:sz w:val="20"/>
          <w:szCs w:val="20"/>
        </w:rPr>
        <w:t xml:space="preserve"> </w:t>
      </w:r>
      <w:r w:rsidR="00A3060F" w:rsidRPr="00BF3D07">
        <w:rPr>
          <w:rFonts w:ascii="Arial" w:hAnsi="Arial" w:cs="Arial"/>
          <w:color w:val="000000"/>
          <w:sz w:val="20"/>
          <w:szCs w:val="20"/>
        </w:rPr>
        <w:t xml:space="preserve">evidence on its </w:t>
      </w:r>
      <w:r w:rsidR="00A3060F">
        <w:rPr>
          <w:rFonts w:ascii="Arial" w:hAnsi="Arial" w:cs="Arial"/>
          <w:color w:val="000000"/>
          <w:sz w:val="20"/>
          <w:szCs w:val="20"/>
        </w:rPr>
        <w:t xml:space="preserve">effectiveness </w:t>
      </w:r>
      <w:r w:rsidR="00A3060F" w:rsidRPr="00BF3D07">
        <w:rPr>
          <w:rFonts w:ascii="Arial" w:hAnsi="Arial" w:cs="Arial"/>
          <w:color w:val="000000"/>
          <w:sz w:val="20"/>
          <w:szCs w:val="20"/>
        </w:rPr>
        <w:t>is needed.</w:t>
      </w:r>
      <w:r w:rsidR="00A3060F">
        <w:rPr>
          <w:rFonts w:ascii="Arial" w:hAnsi="Arial" w:cs="Arial"/>
          <w:sz w:val="20"/>
          <w:szCs w:val="20"/>
        </w:rPr>
        <w:t xml:space="preserve">  </w:t>
      </w:r>
    </w:p>
    <w:p w14:paraId="76D8A8F2" w14:textId="4C47D886" w:rsidR="00E807A5" w:rsidRDefault="00E56834" w:rsidP="00E807A5">
      <w:pPr>
        <w:spacing w:after="0" w:line="480" w:lineRule="auto"/>
        <w:rPr>
          <w:rFonts w:ascii="Arial" w:hAnsi="Arial" w:cs="Arial"/>
          <w:color w:val="000000"/>
          <w:sz w:val="20"/>
          <w:szCs w:val="20"/>
        </w:rPr>
      </w:pPr>
      <w:r w:rsidRPr="00E56834">
        <w:rPr>
          <w:rFonts w:ascii="Arial" w:hAnsi="Arial" w:cs="Arial"/>
          <w:sz w:val="20"/>
          <w:szCs w:val="20"/>
        </w:rPr>
        <w:t>Our study</w:t>
      </w:r>
      <w:r>
        <w:rPr>
          <w:rFonts w:ascii="Arial" w:hAnsi="Arial" w:cs="Arial"/>
          <w:sz w:val="20"/>
          <w:szCs w:val="20"/>
        </w:rPr>
        <w:t xml:space="preserve"> </w:t>
      </w:r>
      <w:r w:rsidR="004E547E">
        <w:rPr>
          <w:rFonts w:ascii="Arial" w:hAnsi="Arial" w:cs="Arial"/>
          <w:color w:val="000000"/>
          <w:sz w:val="20"/>
          <w:szCs w:val="20"/>
        </w:rPr>
        <w:t>follows</w:t>
      </w:r>
      <w:r>
        <w:rPr>
          <w:rFonts w:ascii="Arial" w:hAnsi="Arial" w:cs="Arial"/>
          <w:color w:val="000000"/>
          <w:sz w:val="20"/>
          <w:szCs w:val="20"/>
        </w:rPr>
        <w:t xml:space="preserve"> a cohort of </w:t>
      </w:r>
      <w:r w:rsidR="001C3617">
        <w:rPr>
          <w:rFonts w:ascii="Arial" w:hAnsi="Arial" w:cs="Arial"/>
          <w:color w:val="000000"/>
          <w:sz w:val="20"/>
          <w:szCs w:val="20"/>
        </w:rPr>
        <w:t>17,255</w:t>
      </w:r>
      <w:r w:rsidR="00041A1C">
        <w:rPr>
          <w:rFonts w:ascii="Arial" w:hAnsi="Arial" w:cs="Arial"/>
          <w:color w:val="000000"/>
          <w:sz w:val="20"/>
          <w:szCs w:val="20"/>
        </w:rPr>
        <w:t xml:space="preserve"> </w:t>
      </w:r>
      <w:r>
        <w:rPr>
          <w:rFonts w:ascii="Arial" w:hAnsi="Arial" w:cs="Arial"/>
          <w:color w:val="000000"/>
          <w:sz w:val="20"/>
          <w:szCs w:val="20"/>
        </w:rPr>
        <w:t xml:space="preserve">patients with </w:t>
      </w:r>
      <w:r w:rsidR="00242EE8">
        <w:rPr>
          <w:rFonts w:ascii="Arial" w:hAnsi="Arial" w:cs="Arial"/>
          <w:color w:val="000000"/>
          <w:sz w:val="20"/>
          <w:szCs w:val="20"/>
        </w:rPr>
        <w:t xml:space="preserve">serious mental illness </w:t>
      </w:r>
      <w:r>
        <w:rPr>
          <w:rFonts w:ascii="Arial" w:hAnsi="Arial" w:cs="Arial"/>
          <w:color w:val="000000"/>
          <w:sz w:val="20"/>
          <w:szCs w:val="20"/>
        </w:rPr>
        <w:t>over time</w:t>
      </w:r>
      <w:r>
        <w:rPr>
          <w:rFonts w:ascii="Arial" w:hAnsi="Arial" w:cs="Arial"/>
          <w:sz w:val="20"/>
          <w:szCs w:val="20"/>
        </w:rPr>
        <w:t xml:space="preserve"> to </w:t>
      </w:r>
      <w:r w:rsidR="00CE3507">
        <w:rPr>
          <w:rFonts w:ascii="Arial" w:hAnsi="Arial" w:cs="Arial"/>
          <w:sz w:val="20"/>
          <w:szCs w:val="20"/>
        </w:rPr>
        <w:t xml:space="preserve">make inferences about </w:t>
      </w:r>
      <w:r w:rsidR="00242EE8">
        <w:rPr>
          <w:rFonts w:ascii="Arial" w:hAnsi="Arial" w:cs="Arial"/>
          <w:sz w:val="20"/>
          <w:szCs w:val="20"/>
        </w:rPr>
        <w:t xml:space="preserve">polypharmacy </w:t>
      </w:r>
      <w:r w:rsidR="000626CB">
        <w:rPr>
          <w:rFonts w:ascii="Arial" w:hAnsi="Arial" w:cs="Arial"/>
          <w:sz w:val="20"/>
          <w:szCs w:val="20"/>
        </w:rPr>
        <w:t xml:space="preserve">effectiveness in terms of </w:t>
      </w:r>
      <w:r w:rsidR="00270A18" w:rsidRPr="00BF3D07">
        <w:rPr>
          <w:rFonts w:ascii="Arial" w:hAnsi="Arial" w:cs="Arial"/>
          <w:sz w:val="20"/>
          <w:szCs w:val="20"/>
        </w:rPr>
        <w:t xml:space="preserve">three outcomes: unplanned hospital admissions, </w:t>
      </w:r>
      <w:r w:rsidR="0000220C">
        <w:rPr>
          <w:rFonts w:ascii="Arial" w:hAnsi="Arial" w:cs="Arial"/>
          <w:sz w:val="20"/>
          <w:szCs w:val="20"/>
        </w:rPr>
        <w:t>emergency department</w:t>
      </w:r>
      <w:r w:rsidR="00270A18" w:rsidRPr="00BF3D07">
        <w:rPr>
          <w:rFonts w:ascii="Arial" w:hAnsi="Arial" w:cs="Arial"/>
          <w:sz w:val="20"/>
          <w:szCs w:val="20"/>
        </w:rPr>
        <w:t xml:space="preserve"> </w:t>
      </w:r>
      <w:r w:rsidR="00C5698A">
        <w:rPr>
          <w:rFonts w:ascii="Arial" w:hAnsi="Arial" w:cs="Arial"/>
          <w:sz w:val="20"/>
          <w:szCs w:val="20"/>
        </w:rPr>
        <w:t xml:space="preserve">(ED) </w:t>
      </w:r>
      <w:r w:rsidR="00270A18" w:rsidRPr="00BF3D07">
        <w:rPr>
          <w:rFonts w:ascii="Arial" w:hAnsi="Arial" w:cs="Arial"/>
          <w:sz w:val="20"/>
          <w:szCs w:val="20"/>
        </w:rPr>
        <w:t>presentations</w:t>
      </w:r>
      <w:r w:rsidR="004E547E">
        <w:rPr>
          <w:rFonts w:ascii="Arial" w:hAnsi="Arial" w:cs="Arial"/>
          <w:sz w:val="20"/>
          <w:szCs w:val="20"/>
        </w:rPr>
        <w:t xml:space="preserve"> </w:t>
      </w:r>
      <w:r w:rsidR="003440C8">
        <w:rPr>
          <w:rFonts w:ascii="Arial" w:hAnsi="Arial" w:cs="Arial"/>
          <w:sz w:val="20"/>
          <w:szCs w:val="20"/>
        </w:rPr>
        <w:t>(A&amp;E</w:t>
      </w:r>
      <w:r w:rsidR="00C5698A">
        <w:rPr>
          <w:rFonts w:ascii="Arial" w:hAnsi="Arial" w:cs="Arial"/>
          <w:sz w:val="20"/>
          <w:szCs w:val="20"/>
        </w:rPr>
        <w:t xml:space="preserve"> in the UK</w:t>
      </w:r>
      <w:r w:rsidR="003440C8">
        <w:rPr>
          <w:rFonts w:ascii="Arial" w:hAnsi="Arial" w:cs="Arial"/>
          <w:sz w:val="20"/>
          <w:szCs w:val="20"/>
        </w:rPr>
        <w:t>)</w:t>
      </w:r>
      <w:r w:rsidR="00270A18" w:rsidRPr="00BF3D07">
        <w:rPr>
          <w:rFonts w:ascii="Arial" w:hAnsi="Arial" w:cs="Arial"/>
          <w:sz w:val="20"/>
          <w:szCs w:val="20"/>
        </w:rPr>
        <w:t>, and mortality</w:t>
      </w:r>
      <w:r w:rsidR="00270A18">
        <w:rPr>
          <w:rFonts w:ascii="Arial" w:hAnsi="Arial" w:cs="Arial"/>
          <w:color w:val="000000"/>
          <w:sz w:val="20"/>
          <w:szCs w:val="20"/>
        </w:rPr>
        <w:t>.</w:t>
      </w:r>
      <w:r w:rsidR="00243715">
        <w:rPr>
          <w:rFonts w:ascii="Arial" w:hAnsi="Arial" w:cs="Arial"/>
          <w:color w:val="000000"/>
          <w:sz w:val="20"/>
          <w:szCs w:val="20"/>
        </w:rPr>
        <w:t xml:space="preserve"> </w:t>
      </w:r>
      <w:r w:rsidR="00EE234B">
        <w:rPr>
          <w:rFonts w:ascii="Arial" w:hAnsi="Arial" w:cs="Arial"/>
          <w:color w:val="000000"/>
          <w:sz w:val="20"/>
          <w:szCs w:val="20"/>
        </w:rPr>
        <w:t xml:space="preserve"> </w:t>
      </w:r>
      <w:r w:rsidR="00E807A5">
        <w:rPr>
          <w:rFonts w:ascii="Arial" w:hAnsi="Arial" w:cs="Arial"/>
          <w:color w:val="000000"/>
          <w:sz w:val="20"/>
          <w:szCs w:val="20"/>
        </w:rPr>
        <w:t xml:space="preserve">We construct the antipsychotic prescribing profile of patients from primary care records which we link to hospital and mortality data. </w:t>
      </w:r>
      <w:r w:rsidR="003E3B65">
        <w:rPr>
          <w:rFonts w:ascii="Arial" w:hAnsi="Arial" w:cs="Arial"/>
          <w:sz w:val="20"/>
          <w:szCs w:val="20"/>
        </w:rPr>
        <w:t xml:space="preserve">The argument underpinning a cohort study design is that </w:t>
      </w:r>
      <w:r w:rsidR="003E3B65">
        <w:rPr>
          <w:rFonts w:ascii="Arial" w:hAnsi="Arial" w:cs="Arial"/>
          <w:color w:val="000000"/>
          <w:sz w:val="20"/>
          <w:szCs w:val="20"/>
        </w:rPr>
        <w:t xml:space="preserve">effectiveness is </w:t>
      </w:r>
      <w:r w:rsidR="003E3B65" w:rsidRPr="008A502F">
        <w:rPr>
          <w:rFonts w:ascii="Arial" w:hAnsi="Arial" w:cs="Arial"/>
          <w:color w:val="000000"/>
          <w:sz w:val="20"/>
          <w:szCs w:val="20"/>
        </w:rPr>
        <w:t>assesse</w:t>
      </w:r>
      <w:r w:rsidR="003E3B65">
        <w:rPr>
          <w:rFonts w:ascii="Arial" w:hAnsi="Arial" w:cs="Arial"/>
          <w:color w:val="000000"/>
          <w:sz w:val="20"/>
          <w:szCs w:val="20"/>
        </w:rPr>
        <w:t xml:space="preserve">d </w:t>
      </w:r>
      <w:r w:rsidR="003E3B65" w:rsidRPr="008A502F">
        <w:rPr>
          <w:rFonts w:ascii="Arial" w:hAnsi="Arial" w:cs="Arial"/>
          <w:color w:val="000000"/>
          <w:sz w:val="20"/>
          <w:szCs w:val="20"/>
        </w:rPr>
        <w:t>under usual circumstances of healthcare practice</w:t>
      </w:r>
      <w:r w:rsidR="003E3B65">
        <w:rPr>
          <w:rFonts w:ascii="Arial" w:hAnsi="Arial" w:cs="Arial"/>
          <w:sz w:val="20"/>
          <w:szCs w:val="20"/>
        </w:rPr>
        <w:t xml:space="preserve"> rather than </w:t>
      </w:r>
      <w:r w:rsidR="003E3B65" w:rsidRPr="0014033C">
        <w:rPr>
          <w:rFonts w:ascii="Arial" w:hAnsi="Arial" w:cs="Arial"/>
          <w:color w:val="000000"/>
          <w:sz w:val="20"/>
          <w:szCs w:val="20"/>
        </w:rPr>
        <w:t xml:space="preserve">ideal </w:t>
      </w:r>
      <w:r w:rsidR="003E3B65">
        <w:rPr>
          <w:rFonts w:ascii="Arial" w:hAnsi="Arial" w:cs="Arial"/>
          <w:color w:val="000000"/>
          <w:sz w:val="20"/>
          <w:szCs w:val="20"/>
        </w:rPr>
        <w:t xml:space="preserve">RCT </w:t>
      </w:r>
      <w:r w:rsidR="003E3B65" w:rsidRPr="0014033C">
        <w:rPr>
          <w:rFonts w:ascii="Arial" w:hAnsi="Arial" w:cs="Arial"/>
          <w:color w:val="000000"/>
          <w:sz w:val="20"/>
          <w:szCs w:val="20"/>
        </w:rPr>
        <w:t xml:space="preserve">circumstances. </w:t>
      </w:r>
      <w:r w:rsidR="003E3B65">
        <w:rPr>
          <w:rFonts w:ascii="Arial" w:hAnsi="Arial" w:cs="Arial"/>
          <w:color w:val="000000"/>
          <w:sz w:val="20"/>
          <w:szCs w:val="20"/>
        </w:rPr>
        <w:t>As with all observational studies</w:t>
      </w:r>
      <w:r w:rsidR="00167F85">
        <w:rPr>
          <w:rFonts w:ascii="Arial" w:hAnsi="Arial" w:cs="Arial"/>
          <w:color w:val="000000"/>
          <w:sz w:val="20"/>
          <w:szCs w:val="20"/>
        </w:rPr>
        <w:t>,</w:t>
      </w:r>
      <w:r w:rsidR="003E3B65">
        <w:rPr>
          <w:rFonts w:ascii="Arial" w:hAnsi="Arial" w:cs="Arial"/>
          <w:color w:val="000000"/>
          <w:sz w:val="20"/>
          <w:szCs w:val="20"/>
        </w:rPr>
        <w:t xml:space="preserve"> validity relies on rigorous design and adjustment of confounding factors to minimise selection bias. Although significant progress towards this direction has been made by two studies from Denmark</w:t>
      </w:r>
      <w:r w:rsidR="00167F85">
        <w:rPr>
          <w:rFonts w:ascii="Arial" w:hAnsi="Arial" w:cs="Arial"/>
          <w:color w:val="000000"/>
          <w:sz w:val="20"/>
          <w:szCs w:val="20"/>
        </w:rPr>
        <w:t xml:space="preserve"> </w:t>
      </w:r>
      <w:r w:rsidR="003E3B65">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&lt;EndNote&gt;&lt;Cite&gt;&lt;Author&gt;Baandrup&lt;/Author&gt;&lt;Year&gt;2010&lt;/Year&gt;&lt;RecNum&gt;93&lt;/RecNum&gt;&lt;DisplayText&gt;(11)&lt;/DisplayText&gt;&lt;record&gt;&lt;rec-number&gt;93&lt;/rec-number&gt;&lt;foreign-keys&gt;&lt;key app="EN" db-id="p02d9srt525vsredawwvt0alfwx0xzzetfsw" timestamp="1531736098"&gt;93&lt;/key&gt;&lt;/foreign-keys&gt;&lt;ref-type name="Journal Article"&gt;17&lt;/ref-type&gt;&lt;contributors&gt;&lt;authors&gt;&lt;author&gt;Baandrup, L&lt;/author&gt;&lt;author&gt;Gasse, C&lt;/author&gt;&lt;author&gt;Jensen, VD&lt;/author&gt;&lt;author&gt;Glenthoj, BY&lt;/author&gt;&lt;author&gt;Nordentoft, M&lt;/author&gt;&lt;author&gt;Lubin, H&lt;/author&gt;&lt;author&gt;Fink-Jensen, A&lt;/author&gt;&lt;author&gt;Mortensen, PB&lt;/author&gt;&lt;/authors&gt;&lt;/contributors&gt;&lt;titles&gt;&lt;title&gt;Antipsychotic polypharmacy and risk of death from natural causes in patients with schizophrenia: a population-based nested case-control study.&lt;/title&gt;&lt;secondary-title&gt;J Clin Psychiatry&lt;/secondary-title&gt;&lt;/titles&gt;&lt;periodical&gt;&lt;full-title&gt;J Clin Psychiatry&lt;/full-title&gt;&lt;/periodical&gt;&lt;pages&gt;103-08&lt;/pages&gt;&lt;volume&gt;71&lt;/volume&gt;&lt;number&gt;2&lt;/number&gt;&lt;dates&gt;&lt;year&gt;2010&lt;/year&gt;&lt;/dates&gt;&lt;urls&gt;&lt;/urls&gt;&lt;/record&gt;&lt;/Cite&gt;&lt;/EndNote&gt;</w:instrText>
      </w:r>
      <w:r w:rsidR="003E3B65">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11" w:tooltip="Baandrup, 2010 #93" w:history="1">
        <w:r w:rsidR="00464E25">
          <w:rPr>
            <w:rFonts w:ascii="Arial" w:hAnsi="Arial" w:cs="Arial"/>
            <w:noProof/>
            <w:color w:val="000000"/>
            <w:sz w:val="20"/>
            <w:szCs w:val="20"/>
          </w:rPr>
          <w:t>11</w:t>
        </w:r>
      </w:hyperlink>
      <w:r w:rsidR="00713498">
        <w:rPr>
          <w:rFonts w:ascii="Arial" w:hAnsi="Arial" w:cs="Arial"/>
          <w:noProof/>
          <w:color w:val="000000"/>
          <w:sz w:val="20"/>
          <w:szCs w:val="20"/>
        </w:rPr>
        <w:t>)</w:t>
      </w:r>
      <w:r w:rsidR="003E3B65">
        <w:rPr>
          <w:rFonts w:ascii="Arial" w:hAnsi="Arial" w:cs="Arial"/>
          <w:color w:val="000000"/>
          <w:sz w:val="20"/>
          <w:szCs w:val="20"/>
        </w:rPr>
        <w:fldChar w:fldCharType="end"/>
      </w:r>
      <w:r w:rsidR="003E3B65">
        <w:rPr>
          <w:rFonts w:ascii="Arial" w:hAnsi="Arial" w:cs="Arial"/>
          <w:color w:val="000000"/>
          <w:sz w:val="20"/>
          <w:szCs w:val="20"/>
        </w:rPr>
        <w:t xml:space="preserve"> and Finland</w:t>
      </w:r>
      <w:r w:rsidR="00167F85">
        <w:rPr>
          <w:rFonts w:ascii="Arial" w:hAnsi="Arial" w:cs="Arial"/>
          <w:color w:val="000000"/>
          <w:sz w:val="20"/>
          <w:szCs w:val="20"/>
        </w:rPr>
        <w:t xml:space="preserve"> </w:t>
      </w:r>
      <w:r w:rsidR="003E3B65">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&lt;EndNote&gt;&lt;Cite&gt;&lt;Author&gt;Tihonen&lt;/Author&gt;&lt;Year&gt;2012&lt;/Year&gt;&lt;RecNum&gt;94&lt;/RecNum&gt;&lt;DisplayText&gt;(12)&lt;/DisplayText&gt;&lt;record&gt;&lt;rec-number&gt;94&lt;/rec-number&gt;&lt;foreign-keys&gt;&lt;key app="EN" db-id="p02d9srt525vsredawwvt0alfwx0xzzetfsw" timestamp="1531736385"&gt;94&lt;/key&gt;&lt;/foreign-keys&gt;&lt;ref-type name="Journal Article"&gt;17&lt;/ref-type&gt;&lt;contributors&gt;&lt;authors&gt;&lt;author&gt;Tihonen, J&lt;/author&gt;&lt;author&gt;Suokas, J.T.&lt;/author&gt;&lt;author&gt;Suvisaari, J.M.&lt;/author&gt;&lt;author&gt;Haukka, J&lt;/author&gt;&lt;author&gt;Korhonen, P&lt;/author&gt;&lt;/authors&gt;&lt;/contributors&gt;&lt;titles&gt;&lt;title&gt;Polypharmacy with antipsychotics, antidepressants, or benzodiazepines and mortality in schizophrenia&lt;/title&gt;&lt;secondary-title&gt;Arch Gen Psychiatry&lt;/secondary-title&gt;&lt;/titles&gt;&lt;periodical&gt;&lt;full-title&gt;Arch Gen Psychiatry&lt;/full-title&gt;&lt;/periodical&gt;&lt;pages&gt;476-83&lt;/pages&gt;&lt;volume&gt;69&lt;/volume&gt;&lt;number&gt;5&lt;/number&gt;&lt;dates&gt;&lt;year&gt;2012&lt;/year&gt;&lt;/dates&gt;&lt;urls&gt;&lt;/urls&gt;&lt;/record&gt;&lt;/Cite&gt;&lt;/EndNote&gt;</w:instrText>
      </w:r>
      <w:r w:rsidR="003E3B65">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12" w:tooltip="Tihonen, 2012 #94" w:history="1">
        <w:r w:rsidR="00464E25">
          <w:rPr>
            <w:rFonts w:ascii="Arial" w:hAnsi="Arial" w:cs="Arial"/>
            <w:noProof/>
            <w:color w:val="000000"/>
            <w:sz w:val="20"/>
            <w:szCs w:val="20"/>
          </w:rPr>
          <w:t>12</w:t>
        </w:r>
      </w:hyperlink>
      <w:r w:rsidR="00713498">
        <w:rPr>
          <w:rFonts w:ascii="Arial" w:hAnsi="Arial" w:cs="Arial"/>
          <w:noProof/>
          <w:color w:val="000000"/>
          <w:sz w:val="20"/>
          <w:szCs w:val="20"/>
        </w:rPr>
        <w:t>)</w:t>
      </w:r>
      <w:r w:rsidR="003E3B65">
        <w:rPr>
          <w:rFonts w:ascii="Arial" w:hAnsi="Arial" w:cs="Arial"/>
          <w:color w:val="000000"/>
          <w:sz w:val="20"/>
          <w:szCs w:val="20"/>
        </w:rPr>
        <w:fldChar w:fldCharType="end"/>
      </w:r>
      <w:r w:rsidR="003E3B65">
        <w:rPr>
          <w:rFonts w:ascii="Arial" w:hAnsi="Arial" w:cs="Arial"/>
          <w:color w:val="000000"/>
          <w:sz w:val="20"/>
          <w:szCs w:val="20"/>
        </w:rPr>
        <w:t xml:space="preserve"> that focused on the effect of </w:t>
      </w:r>
      <w:r w:rsidR="00242EE8">
        <w:rPr>
          <w:rFonts w:ascii="Arial" w:hAnsi="Arial" w:cs="Arial"/>
          <w:color w:val="000000"/>
          <w:sz w:val="20"/>
          <w:szCs w:val="20"/>
        </w:rPr>
        <w:t xml:space="preserve">polypharmacy </w:t>
      </w:r>
      <w:r w:rsidR="003E3B65">
        <w:rPr>
          <w:rFonts w:ascii="Arial" w:hAnsi="Arial" w:cs="Arial"/>
          <w:color w:val="000000"/>
          <w:sz w:val="20"/>
          <w:szCs w:val="20"/>
        </w:rPr>
        <w:t xml:space="preserve">on mortality, studies that explored associations between </w:t>
      </w:r>
      <w:r w:rsidR="00242EE8">
        <w:rPr>
          <w:rFonts w:ascii="Arial" w:hAnsi="Arial" w:cs="Arial"/>
          <w:color w:val="000000"/>
          <w:sz w:val="20"/>
          <w:szCs w:val="20"/>
        </w:rPr>
        <w:t xml:space="preserve">polypharmacy </w:t>
      </w:r>
      <w:r w:rsidR="003E3B65">
        <w:rPr>
          <w:rFonts w:ascii="Arial" w:hAnsi="Arial" w:cs="Arial"/>
          <w:color w:val="000000"/>
          <w:sz w:val="20"/>
          <w:szCs w:val="20"/>
        </w:rPr>
        <w:t>and inpatient hospitali</w:t>
      </w:r>
      <w:r w:rsidR="00A475C1">
        <w:rPr>
          <w:rFonts w:ascii="Arial" w:hAnsi="Arial" w:cs="Arial"/>
          <w:color w:val="000000"/>
          <w:sz w:val="20"/>
          <w:szCs w:val="20"/>
        </w:rPr>
        <w:t>z</w:t>
      </w:r>
      <w:r w:rsidR="003E3B65">
        <w:rPr>
          <w:rFonts w:ascii="Arial" w:hAnsi="Arial" w:cs="Arial"/>
          <w:color w:val="000000"/>
          <w:sz w:val="20"/>
          <w:szCs w:val="20"/>
        </w:rPr>
        <w:t>ations</w:t>
      </w:r>
      <w:r w:rsidR="00167F85">
        <w:rPr>
          <w:rFonts w:ascii="Arial" w:hAnsi="Arial" w:cs="Arial"/>
          <w:color w:val="000000"/>
          <w:sz w:val="20"/>
          <w:szCs w:val="20"/>
        </w:rPr>
        <w:t xml:space="preserve"> </w:t>
      </w:r>
      <w:r w:rsidR="003E3B65">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&lt;EndNote&gt;&lt;Cite&gt;&lt;Author&gt;Todd P. Gilmer&lt;/Author&gt;&lt;Year&gt;2007&lt;/Year&gt;&lt;RecNum&gt;86&lt;/RecNum&gt;&lt;DisplayText&gt;(13, 14)&lt;/DisplayText&gt;&lt;record&gt;&lt;rec-number&gt;86&lt;/rec-number&gt;&lt;foreign-keys&gt;&lt;key app="EN" db-id="p02d9srt525vsredawwvt0alfwx0xzzetfsw" timestamp="1523961430"&gt;86&lt;/key&gt;&lt;/foreign-keys&gt;&lt;ref-type name="Journal Article"&gt;17&lt;/ref-type&gt;&lt;contributors&gt;&lt;authors&gt;&lt;author&gt;Todd P. Gilmer, T.P.&lt;/author&gt;&lt;author&gt;Dolder, C.R.&lt;/author&gt;&lt;author&gt;Folsom, D.P.&lt;/author&gt;&lt;author&gt;Mastin, W.&lt;/author&gt;&lt;author&gt;Jeste, D.V.&lt;/author&gt;&lt;/authors&gt;&lt;/contributors&gt;&lt;titles&gt;&lt;title&gt;Antipsychotic polypharmacy trends among Medi-Cal beneficiaries with schizophrenia in San Diego County, 1999–2004&lt;/title&gt;&lt;secondary-title&gt;Psychiatric Services&lt;/secondary-title&gt;&lt;/titles&gt;&lt;periodical&gt;&lt;full-title&gt;Psychiatric Services&lt;/full-title&gt;&lt;/periodical&gt;&lt;pages&gt;1007-10&lt;/pages&gt;&lt;volume&gt;58&lt;/volume&gt;&lt;number&gt;7&lt;/number&gt;&lt;dates&gt;&lt;year&gt;2007&lt;/year&gt;&lt;/dates&gt;&lt;urls&gt;&lt;/urls&gt;&lt;/record&gt;&lt;/Cite&gt;&lt;Cite&gt;&lt;Author&gt;Kreyenbuhl&lt;/Author&gt;&lt;Year&gt;2007&lt;/Year&gt;&lt;RecNum&gt;87&lt;/RecNum&gt;&lt;record&gt;&lt;rec-number&gt;87&lt;/rec-number&gt;&lt;foreign-keys&gt;&lt;key app="EN" db-id="p02d9srt525vsredawwvt0alfwx0xzzetfsw" timestamp="1523961868"&gt;87&lt;/key&gt;&lt;/foreign-keys&gt;&lt;ref-type name="Journal Article"&gt;17&lt;/ref-type&gt;&lt;contributors&gt;&lt;authors&gt;&lt;author&gt;Kreyenbuhl, J.A.&lt;/author&gt;&lt;author&gt;Valenstein, M.&lt;/author&gt;&lt;author&gt;McCarthy, J.F.&lt;/author&gt;&lt;author&gt;Ganoczy, D.&lt;/author&gt;&lt;author&gt;Blow, F.C.&lt;/author&gt;&lt;/authors&gt;&lt;/contributors&gt;&lt;titles&gt;&lt;title&gt;Long-term antipsychotic polypharmacy in the VA health system: patient characteristics and treatment patterns&lt;/title&gt;&lt;secondary-title&gt;Psychiatric Services&lt;/secondary-title&gt;&lt;/titles&gt;&lt;periodical&gt;&lt;full-title&gt;Psychiatric Services&lt;/full-title&gt;&lt;/periodical&gt;&lt;pages&gt;489-495&lt;/pages&gt;&lt;volume&gt;58&lt;/volume&gt;&lt;number&gt;4&lt;/number&gt;&lt;dates&gt;&lt;year&gt;2007&lt;/year&gt;&lt;/dates&gt;&lt;urls&gt;&lt;/urls&gt;&lt;/record&gt;&lt;/Cite&gt;&lt;/EndNote&gt;</w:instrText>
      </w:r>
      <w:r w:rsidR="003E3B65">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13" w:tooltip="Todd P. Gilmer, 2007 #86" w:history="1">
        <w:r w:rsidR="00464E25">
          <w:rPr>
            <w:rFonts w:ascii="Arial" w:hAnsi="Arial" w:cs="Arial"/>
            <w:noProof/>
            <w:color w:val="000000"/>
            <w:sz w:val="20"/>
            <w:szCs w:val="20"/>
          </w:rPr>
          <w:t>13</w:t>
        </w:r>
      </w:hyperlink>
      <w:r w:rsidR="00713498">
        <w:rPr>
          <w:rFonts w:ascii="Arial" w:hAnsi="Arial" w:cs="Arial"/>
          <w:noProof/>
          <w:color w:val="000000"/>
          <w:sz w:val="20"/>
          <w:szCs w:val="20"/>
        </w:rPr>
        <w:t xml:space="preserve">, </w:t>
      </w:r>
      <w:hyperlink w:anchor="_ENREF_14" w:tooltip="Kreyenbuhl, 2007 #87" w:history="1">
        <w:r w:rsidR="00464E25">
          <w:rPr>
            <w:rFonts w:ascii="Arial" w:hAnsi="Arial" w:cs="Arial"/>
            <w:noProof/>
            <w:color w:val="000000"/>
            <w:sz w:val="20"/>
            <w:szCs w:val="20"/>
          </w:rPr>
          <w:t>14</w:t>
        </w:r>
      </w:hyperlink>
      <w:r w:rsidR="00713498">
        <w:rPr>
          <w:rFonts w:ascii="Arial" w:hAnsi="Arial" w:cs="Arial"/>
          <w:noProof/>
          <w:color w:val="000000"/>
          <w:sz w:val="20"/>
          <w:szCs w:val="20"/>
        </w:rPr>
        <w:t>)</w:t>
      </w:r>
      <w:r w:rsidR="003E3B65">
        <w:rPr>
          <w:rFonts w:ascii="Arial" w:hAnsi="Arial" w:cs="Arial"/>
          <w:color w:val="000000"/>
          <w:sz w:val="20"/>
          <w:szCs w:val="20"/>
        </w:rPr>
        <w:fldChar w:fldCharType="end"/>
      </w:r>
      <w:r w:rsidR="003E3B65">
        <w:rPr>
          <w:rFonts w:ascii="Arial" w:hAnsi="Arial" w:cs="Arial"/>
          <w:color w:val="000000"/>
          <w:sz w:val="20"/>
          <w:szCs w:val="20"/>
        </w:rPr>
        <w:t xml:space="preserve"> and </w:t>
      </w:r>
      <w:r w:rsidR="00C5698A">
        <w:rPr>
          <w:rFonts w:ascii="Arial" w:hAnsi="Arial" w:cs="Arial"/>
          <w:color w:val="000000"/>
          <w:sz w:val="20"/>
          <w:szCs w:val="20"/>
        </w:rPr>
        <w:t>ED</w:t>
      </w:r>
      <w:r w:rsidR="003E3B65">
        <w:rPr>
          <w:rFonts w:ascii="Arial" w:hAnsi="Arial" w:cs="Arial"/>
          <w:color w:val="000000"/>
          <w:sz w:val="20"/>
          <w:szCs w:val="20"/>
        </w:rPr>
        <w:t xml:space="preserve"> attendances</w:t>
      </w:r>
      <w:r w:rsidR="00167F85">
        <w:rPr>
          <w:rFonts w:ascii="Arial" w:hAnsi="Arial" w:cs="Arial"/>
          <w:color w:val="000000"/>
          <w:sz w:val="20"/>
          <w:szCs w:val="20"/>
        </w:rPr>
        <w:t xml:space="preserve"> </w:t>
      </w:r>
      <w:r w:rsidR="003E3B65">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&lt;EndNote&gt;&lt;Cite&gt;&lt;Author&gt;Velligan&lt;/Author&gt;&lt;Year&gt;2015&lt;/Year&gt;&lt;RecNum&gt;79&lt;/RecNum&gt;&lt;DisplayText&gt;(15)&lt;/DisplayText&gt;&lt;record&gt;&lt;rec-number&gt;79&lt;/rec-number&gt;&lt;foreign-keys&gt;&lt;key app="EN" db-id="p02d9srt525vsredawwvt0alfwx0xzzetfsw" timestamp="1520883342"&gt;79&lt;/key&gt;&lt;/foreign-keys&gt;&lt;ref-type name="Journal Article"&gt;17&lt;/ref-type&gt;&lt;contributors&gt;&lt;authors&gt;&lt;author&gt;Velligan, DI&lt;/author&gt;&lt;author&gt;Carroll, C&lt;/author&gt;&lt;author&gt;Lage, MJ&lt;/author&gt;&lt;author&gt;Fairman, K&lt;/author&gt;&lt;/authors&gt;&lt;/contributors&gt;&lt;titles&gt;&lt;title&gt;Outcomes of medicaid beneficiaries with schizophrenia receiving clozapine only or antipsychotic combinations.&lt;/title&gt;&lt;secondary-title&gt;Psychiatric Services&lt;/secondary-title&gt;&lt;/titles&gt;&lt;periodical&gt;&lt;full-title&gt;Psychiatric Services&lt;/full-title&gt;&lt;/periodical&gt;&lt;pages&gt;127-33&lt;/pages&gt;&lt;volume&gt;66&lt;/volume&gt;&lt;number&gt;2&lt;/number&gt;&lt;dates&gt;&lt;year&gt;2015&lt;/year&gt;&lt;/dates&gt;&lt;urls&gt;&lt;/urls&gt;&lt;/record&gt;&lt;/Cite&gt;&lt;/EndNote&gt;</w:instrText>
      </w:r>
      <w:r w:rsidR="003E3B65">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15" w:tooltip="Velligan, 2015 #79" w:history="1">
        <w:r w:rsidR="00464E25">
          <w:rPr>
            <w:rFonts w:ascii="Arial" w:hAnsi="Arial" w:cs="Arial"/>
            <w:noProof/>
            <w:color w:val="000000"/>
            <w:sz w:val="20"/>
            <w:szCs w:val="20"/>
          </w:rPr>
          <w:t>15</w:t>
        </w:r>
      </w:hyperlink>
      <w:r w:rsidR="00713498">
        <w:rPr>
          <w:rFonts w:ascii="Arial" w:hAnsi="Arial" w:cs="Arial"/>
          <w:noProof/>
          <w:color w:val="000000"/>
          <w:sz w:val="20"/>
          <w:szCs w:val="20"/>
        </w:rPr>
        <w:t>)</w:t>
      </w:r>
      <w:r w:rsidR="003E3B65">
        <w:rPr>
          <w:rFonts w:ascii="Arial" w:hAnsi="Arial" w:cs="Arial"/>
          <w:color w:val="000000"/>
          <w:sz w:val="20"/>
          <w:szCs w:val="20"/>
        </w:rPr>
        <w:fldChar w:fldCharType="end"/>
      </w:r>
      <w:r w:rsidR="003E3B65">
        <w:rPr>
          <w:rFonts w:ascii="Arial" w:hAnsi="Arial" w:cs="Arial"/>
          <w:color w:val="000000"/>
          <w:sz w:val="20"/>
          <w:szCs w:val="20"/>
        </w:rPr>
        <w:t xml:space="preserve"> </w:t>
      </w:r>
      <w:r w:rsidR="003E3B65">
        <w:rPr>
          <w:rFonts w:ascii="Arial" w:hAnsi="Arial" w:cs="Arial"/>
          <w:color w:val="000000"/>
          <w:sz w:val="20"/>
          <w:szCs w:val="20"/>
        </w:rPr>
        <w:lastRenderedPageBreak/>
        <w:t xml:space="preserve">suffered from important weaknesses </w:t>
      </w:r>
      <w:r w:rsidR="00167F85">
        <w:rPr>
          <w:rFonts w:ascii="Arial" w:hAnsi="Arial" w:cs="Arial"/>
          <w:color w:val="000000"/>
          <w:sz w:val="20"/>
          <w:szCs w:val="20"/>
        </w:rPr>
        <w:t xml:space="preserve">that </w:t>
      </w:r>
      <w:r w:rsidR="003E3B65">
        <w:rPr>
          <w:rFonts w:ascii="Arial" w:hAnsi="Arial" w:cs="Arial"/>
          <w:color w:val="000000"/>
          <w:sz w:val="20"/>
          <w:szCs w:val="20"/>
        </w:rPr>
        <w:t xml:space="preserve">stem from failure (or inability due to lack of data) to model the timing of </w:t>
      </w:r>
      <w:r w:rsidR="00242EE8">
        <w:rPr>
          <w:rFonts w:ascii="Arial" w:hAnsi="Arial" w:cs="Arial"/>
          <w:color w:val="000000"/>
          <w:sz w:val="20"/>
          <w:szCs w:val="20"/>
        </w:rPr>
        <w:t xml:space="preserve">polypharmacy </w:t>
      </w:r>
      <w:r w:rsidR="003E3B65">
        <w:rPr>
          <w:rFonts w:ascii="Arial" w:hAnsi="Arial" w:cs="Arial"/>
          <w:color w:val="000000"/>
          <w:sz w:val="20"/>
          <w:szCs w:val="20"/>
        </w:rPr>
        <w:t xml:space="preserve">episodes and outcomes.  </w:t>
      </w:r>
      <w:r w:rsidR="003E3B65">
        <w:rPr>
          <w:rFonts w:ascii="Arial" w:hAnsi="Arial" w:cs="Arial"/>
          <w:sz w:val="20"/>
          <w:szCs w:val="20"/>
        </w:rPr>
        <w:t xml:space="preserve"> </w:t>
      </w:r>
      <w:r w:rsidR="00A9063D">
        <w:rPr>
          <w:rFonts w:ascii="Arial" w:hAnsi="Arial" w:cs="Arial"/>
          <w:sz w:val="20"/>
          <w:szCs w:val="20"/>
        </w:rPr>
        <w:t xml:space="preserve">The current study improves on the </w:t>
      </w:r>
      <w:r w:rsidR="003E3B65">
        <w:rPr>
          <w:rFonts w:ascii="Arial" w:hAnsi="Arial" w:cs="Arial"/>
          <w:sz w:val="20"/>
          <w:szCs w:val="20"/>
        </w:rPr>
        <w:t xml:space="preserve">fundamental issue </w:t>
      </w:r>
      <w:r w:rsidR="00A9063D">
        <w:rPr>
          <w:rFonts w:ascii="Arial" w:hAnsi="Arial" w:cs="Arial"/>
          <w:sz w:val="20"/>
          <w:szCs w:val="20"/>
        </w:rPr>
        <w:t>of confoundedn</w:t>
      </w:r>
      <w:r w:rsidR="008433E2">
        <w:rPr>
          <w:rFonts w:ascii="Arial" w:hAnsi="Arial" w:cs="Arial"/>
          <w:sz w:val="20"/>
          <w:szCs w:val="20"/>
        </w:rPr>
        <w:t>e</w:t>
      </w:r>
      <w:r w:rsidR="00A9063D">
        <w:rPr>
          <w:rFonts w:ascii="Arial" w:hAnsi="Arial" w:cs="Arial"/>
          <w:sz w:val="20"/>
          <w:szCs w:val="20"/>
        </w:rPr>
        <w:t xml:space="preserve">ss </w:t>
      </w:r>
      <w:r w:rsidR="003E3B65">
        <w:rPr>
          <w:rFonts w:ascii="Arial" w:hAnsi="Arial" w:cs="Arial"/>
          <w:sz w:val="20"/>
          <w:szCs w:val="20"/>
        </w:rPr>
        <w:t xml:space="preserve">by employing a Cox survival analysis model that analyses time to each outcome adjusting for both time invariant confounders and time dependent </w:t>
      </w:r>
      <w:r w:rsidR="00242EE8">
        <w:rPr>
          <w:rFonts w:ascii="Arial" w:hAnsi="Arial" w:cs="Arial"/>
          <w:sz w:val="20"/>
          <w:szCs w:val="20"/>
        </w:rPr>
        <w:t xml:space="preserve">polypharmacy </w:t>
      </w:r>
      <w:r w:rsidR="003E3B65">
        <w:rPr>
          <w:rFonts w:ascii="Arial" w:hAnsi="Arial" w:cs="Arial"/>
          <w:sz w:val="20"/>
          <w:szCs w:val="20"/>
        </w:rPr>
        <w:t>and monotherapy</w:t>
      </w:r>
      <w:r w:rsidR="00167F85">
        <w:rPr>
          <w:rFonts w:ascii="Arial" w:hAnsi="Arial" w:cs="Arial"/>
          <w:sz w:val="20"/>
          <w:szCs w:val="20"/>
        </w:rPr>
        <w:t xml:space="preserve"> </w:t>
      </w:r>
      <w:r w:rsidR="003E3B65">
        <w:rPr>
          <w:rFonts w:ascii="Arial" w:hAnsi="Arial" w:cs="Arial"/>
          <w:sz w:val="20"/>
          <w:szCs w:val="20"/>
        </w:rPr>
        <w:fldChar w:fldCharType="begin"/>
      </w:r>
      <w:r w:rsidR="00713498">
        <w:rPr>
          <w:rFonts w:ascii="Arial" w:hAnsi="Arial" w:cs="Arial"/>
          <w:sz w:val="20"/>
          <w:szCs w:val="20"/>
        </w:rPr>
        <w:instrText xml:space="preserve"> ADDIN EN.CITE &lt;EndNote&gt;&lt;Cite&gt;&lt;Author&gt;Crowley&lt;/Author&gt;&lt;Year&gt;1977&lt;/Year&gt;&lt;RecNum&gt;97&lt;/RecNum&gt;&lt;DisplayText&gt;(16)&lt;/DisplayText&gt;&lt;record&gt;&lt;rec-number&gt;97&lt;/rec-number&gt;&lt;foreign-keys&gt;&lt;key app="EN" db-id="p02d9srt525vsredawwvt0alfwx0xzzetfsw" timestamp="1534175135"&gt;97&lt;/key&gt;&lt;/foreign-keys&gt;&lt;ref-type name="Journal Article"&gt;17&lt;/ref-type&gt;&lt;contributors&gt;&lt;authors&gt;&lt;author&gt;Crowley, J&lt;/author&gt;&lt;author&gt;Hu, M&lt;/author&gt;&lt;/authors&gt;&lt;/contributors&gt;&lt;titles&gt;&lt;title&gt;Covariance analysis of heart transplant survival data&lt;/title&gt;&lt;secondary-title&gt;Journal of the American Statistical Association&lt;/secondary-title&gt;&lt;/titles&gt;&lt;periodical&gt;&lt;full-title&gt;Journal of the American Statistical Association&lt;/full-title&gt;&lt;/periodical&gt;&lt;pages&gt;27-36&lt;/pages&gt;&lt;volume&gt;72&lt;/volume&gt;&lt;dates&gt;&lt;year&gt;1977&lt;/year&gt;&lt;/dates&gt;&lt;urls&gt;&lt;/urls&gt;&lt;/record&gt;&lt;/Cite&gt;&lt;/EndNote&gt;</w:instrText>
      </w:r>
      <w:r w:rsidR="003E3B65">
        <w:rPr>
          <w:rFonts w:ascii="Arial" w:hAnsi="Arial" w:cs="Arial"/>
          <w:sz w:val="20"/>
          <w:szCs w:val="20"/>
        </w:rPr>
        <w:fldChar w:fldCharType="separate"/>
      </w:r>
      <w:r w:rsidR="00713498">
        <w:rPr>
          <w:rFonts w:ascii="Arial" w:hAnsi="Arial" w:cs="Arial"/>
          <w:noProof/>
          <w:sz w:val="20"/>
          <w:szCs w:val="20"/>
        </w:rPr>
        <w:t>(</w:t>
      </w:r>
      <w:hyperlink w:anchor="_ENREF_16" w:tooltip="Crowley, 1977 #97" w:history="1">
        <w:r w:rsidR="00464E25">
          <w:rPr>
            <w:rFonts w:ascii="Arial" w:hAnsi="Arial" w:cs="Arial"/>
            <w:noProof/>
            <w:sz w:val="20"/>
            <w:szCs w:val="20"/>
          </w:rPr>
          <w:t>16</w:t>
        </w:r>
      </w:hyperlink>
      <w:r w:rsidR="00713498">
        <w:rPr>
          <w:rFonts w:ascii="Arial" w:hAnsi="Arial" w:cs="Arial"/>
          <w:noProof/>
          <w:sz w:val="20"/>
          <w:szCs w:val="20"/>
        </w:rPr>
        <w:t>)</w:t>
      </w:r>
      <w:r w:rsidR="003E3B65">
        <w:rPr>
          <w:rFonts w:ascii="Arial" w:hAnsi="Arial" w:cs="Arial"/>
          <w:sz w:val="20"/>
          <w:szCs w:val="20"/>
        </w:rPr>
        <w:fldChar w:fldCharType="end"/>
      </w:r>
      <w:r w:rsidR="003E3B65">
        <w:rPr>
          <w:rFonts w:ascii="Arial" w:hAnsi="Arial" w:cs="Arial"/>
          <w:sz w:val="20"/>
          <w:szCs w:val="20"/>
        </w:rPr>
        <w:t>.</w:t>
      </w:r>
    </w:p>
    <w:p w14:paraId="07102DFC" w14:textId="53237B82" w:rsidR="005120C4" w:rsidRDefault="00356089" w:rsidP="00884BE6">
      <w:pPr>
        <w:pStyle w:val="Heading1"/>
      </w:pPr>
      <w:bookmarkStart w:id="6" w:name="_Toc369779973"/>
      <w:bookmarkStart w:id="7" w:name="_Toc369253793"/>
      <w:bookmarkStart w:id="8" w:name="_Toc369253843"/>
      <w:bookmarkStart w:id="9" w:name="_Toc369253794"/>
      <w:bookmarkStart w:id="10" w:name="_Toc369253844"/>
      <w:bookmarkStart w:id="11" w:name="_Toc369272910"/>
      <w:bookmarkEnd w:id="6"/>
      <w:bookmarkEnd w:id="7"/>
      <w:bookmarkEnd w:id="8"/>
      <w:bookmarkEnd w:id="9"/>
      <w:bookmarkEnd w:id="10"/>
      <w:bookmarkEnd w:id="11"/>
      <w:r>
        <w:t>Material</w:t>
      </w:r>
      <w:r w:rsidR="000775DC">
        <w:t xml:space="preserve"> and </w:t>
      </w:r>
      <w:r>
        <w:t>m</w:t>
      </w:r>
      <w:r w:rsidR="005377E0" w:rsidRPr="005120C4">
        <w:t>ethods</w:t>
      </w:r>
    </w:p>
    <w:p w14:paraId="3689A8EE" w14:textId="650AFF9F" w:rsidR="00DE3586" w:rsidRPr="005120C4" w:rsidRDefault="0043462E" w:rsidP="005120C4">
      <w:pPr>
        <w:pStyle w:val="Heading2"/>
      </w:pPr>
      <w:r w:rsidRPr="005120C4">
        <w:t>Data sources</w:t>
      </w:r>
    </w:p>
    <w:p w14:paraId="5A228C60" w14:textId="0512A03C" w:rsidR="00423461" w:rsidRPr="00BF3D07" w:rsidRDefault="0043462E" w:rsidP="00B90B29">
      <w:pPr>
        <w:spacing w:after="0" w:line="480" w:lineRule="auto"/>
        <w:rPr>
          <w:rFonts w:ascii="Arial" w:hAnsi="Arial" w:cs="Arial"/>
          <w:sz w:val="20"/>
          <w:szCs w:val="20"/>
          <w:lang w:eastAsia="ja-JP"/>
        </w:rPr>
      </w:pPr>
      <w:r w:rsidRPr="00BF3D07">
        <w:rPr>
          <w:rFonts w:ascii="Arial" w:hAnsi="Arial" w:cs="Arial"/>
          <w:sz w:val="20"/>
          <w:szCs w:val="20"/>
          <w:lang w:eastAsia="ja-JP"/>
        </w:rPr>
        <w:t>Our primary data source is the Clinical Practice Research Datalink (CPRD</w:t>
      </w:r>
      <w:r w:rsidR="009C4126">
        <w:rPr>
          <w:rFonts w:ascii="Arial" w:hAnsi="Arial" w:cs="Arial"/>
          <w:sz w:val="20"/>
          <w:szCs w:val="20"/>
          <w:lang w:eastAsia="ja-JP"/>
        </w:rPr>
        <w:t xml:space="preserve"> GOLD</w:t>
      </w:r>
      <w:r w:rsidR="00716739" w:rsidRPr="00BF3D07">
        <w:rPr>
          <w:rFonts w:ascii="Arial" w:hAnsi="Arial" w:cs="Arial"/>
          <w:sz w:val="20"/>
          <w:szCs w:val="20"/>
          <w:lang w:eastAsia="ja-JP"/>
        </w:rPr>
        <w:t>)</w:t>
      </w:r>
      <w:r w:rsidRPr="00BF3D07">
        <w:rPr>
          <w:rFonts w:ascii="Arial" w:hAnsi="Arial" w:cs="Arial"/>
          <w:sz w:val="20"/>
          <w:szCs w:val="20"/>
          <w:lang w:eastAsia="ja-JP"/>
        </w:rPr>
        <w:t>, which includes information on individual patients from family practice records including diagnoses, referrals, laboratory results, prescriptions, and immunisations.  CPRD is sourced from participating UK general practices that use the VISION software system</w:t>
      </w:r>
      <w:r w:rsidR="00FA1882">
        <w:rPr>
          <w:rFonts w:ascii="Arial" w:hAnsi="Arial" w:cs="Arial"/>
          <w:sz w:val="20"/>
          <w:szCs w:val="20"/>
          <w:lang w:eastAsia="ja-JP"/>
        </w:rPr>
        <w:t xml:space="preserve"> </w:t>
      </w:r>
      <w:r w:rsidR="005115E6">
        <w:rPr>
          <w:rFonts w:ascii="Arial" w:hAnsi="Arial" w:cs="Arial"/>
          <w:sz w:val="20"/>
          <w:szCs w:val="20"/>
          <w:lang w:eastAsia="ja-JP"/>
        </w:rPr>
        <w:t>and is</w:t>
      </w:r>
      <w:r w:rsidRPr="00BF3D07">
        <w:rPr>
          <w:rFonts w:ascii="Arial" w:hAnsi="Arial" w:cs="Arial"/>
          <w:sz w:val="20"/>
          <w:szCs w:val="20"/>
          <w:lang w:eastAsia="ja-JP"/>
        </w:rPr>
        <w:t xml:space="preserve"> </w:t>
      </w:r>
      <w:r w:rsidR="00184F2E" w:rsidRPr="00BF3D07">
        <w:rPr>
          <w:rFonts w:ascii="Arial" w:hAnsi="Arial" w:cs="Arial"/>
          <w:sz w:val="20"/>
          <w:szCs w:val="20"/>
          <w:lang w:eastAsia="ja-JP"/>
        </w:rPr>
        <w:t xml:space="preserve">broadly </w:t>
      </w:r>
      <w:r w:rsidRPr="00BF3D07">
        <w:rPr>
          <w:rFonts w:ascii="Arial" w:hAnsi="Arial" w:cs="Arial"/>
          <w:sz w:val="20"/>
          <w:szCs w:val="20"/>
          <w:lang w:eastAsia="ja-JP"/>
        </w:rPr>
        <w:t xml:space="preserve">representative of the English population </w:t>
      </w:r>
      <w:r w:rsidR="003B1414" w:rsidRPr="00BF3D07">
        <w:rPr>
          <w:rFonts w:ascii="Arial" w:hAnsi="Arial" w:cs="Arial"/>
          <w:sz w:val="20"/>
          <w:szCs w:val="20"/>
          <w:lang w:eastAsia="ja-JP"/>
        </w:rPr>
        <w:t>with respect to age and gender</w:t>
      </w:r>
      <w:r w:rsidR="008231C0" w:rsidRPr="00BF3D07">
        <w:rPr>
          <w:rFonts w:ascii="Arial" w:hAnsi="Arial" w:cs="Arial"/>
          <w:sz w:val="20"/>
          <w:szCs w:val="20"/>
          <w:lang w:eastAsia="ja-JP"/>
        </w:rPr>
        <w:t xml:space="preserve">, </w:t>
      </w:r>
      <w:r w:rsidR="005115E6">
        <w:rPr>
          <w:rFonts w:ascii="Arial" w:hAnsi="Arial" w:cs="Arial"/>
          <w:sz w:val="20"/>
          <w:szCs w:val="20"/>
          <w:lang w:eastAsia="ja-JP"/>
        </w:rPr>
        <w:t>but</w:t>
      </w:r>
      <w:r w:rsidR="005115E6" w:rsidRPr="00BF3D07">
        <w:rPr>
          <w:rFonts w:ascii="Arial" w:hAnsi="Arial" w:cs="Arial"/>
          <w:sz w:val="20"/>
          <w:szCs w:val="20"/>
          <w:lang w:eastAsia="ja-JP"/>
        </w:rPr>
        <w:t xml:space="preserve"> </w:t>
      </w:r>
      <w:r w:rsidR="008231C0" w:rsidRPr="00BF3D07">
        <w:rPr>
          <w:rFonts w:ascii="Arial" w:hAnsi="Arial" w:cs="Arial"/>
          <w:sz w:val="20"/>
          <w:szCs w:val="20"/>
          <w:lang w:eastAsia="ja-JP"/>
        </w:rPr>
        <w:t>not region</w:t>
      </w:r>
      <w:r w:rsidR="007971BA" w:rsidRPr="00BF3D07">
        <w:rPr>
          <w:rFonts w:ascii="Arial" w:hAnsi="Arial" w:cs="Arial"/>
          <w:sz w:val="20"/>
          <w:szCs w:val="20"/>
          <w:lang w:eastAsia="ja-JP"/>
        </w:rPr>
        <w:t>.</w:t>
      </w:r>
    </w:p>
    <w:p w14:paraId="24743F57" w14:textId="429E6944" w:rsidR="00C15A9B" w:rsidRDefault="0043462E" w:rsidP="00B90B29">
      <w:pPr>
        <w:spacing w:after="0" w:line="480" w:lineRule="auto"/>
        <w:rPr>
          <w:rFonts w:ascii="Arial" w:eastAsia="Times New Roman" w:hAnsi="Arial" w:cs="Arial"/>
          <w:bCs/>
          <w:sz w:val="20"/>
          <w:szCs w:val="20"/>
        </w:rPr>
      </w:pPr>
      <w:r w:rsidRPr="00BF3D07">
        <w:rPr>
          <w:rFonts w:ascii="Arial" w:hAnsi="Arial" w:cs="Arial"/>
          <w:sz w:val="20"/>
          <w:szCs w:val="20"/>
          <w:lang w:eastAsia="ja-JP"/>
        </w:rPr>
        <w:t xml:space="preserve">CPRD </w:t>
      </w:r>
      <w:r w:rsidR="005115E6">
        <w:rPr>
          <w:rFonts w:ascii="Arial" w:hAnsi="Arial" w:cs="Arial"/>
          <w:sz w:val="20"/>
          <w:szCs w:val="20"/>
          <w:lang w:eastAsia="ja-JP"/>
        </w:rPr>
        <w:t xml:space="preserve">records from </w:t>
      </w:r>
      <w:r w:rsidR="00586E5E">
        <w:rPr>
          <w:rFonts w:ascii="Arial" w:hAnsi="Arial" w:cs="Arial"/>
          <w:sz w:val="20"/>
          <w:szCs w:val="20"/>
          <w:lang w:eastAsia="ja-JP"/>
        </w:rPr>
        <w:t xml:space="preserve">English </w:t>
      </w:r>
      <w:r w:rsidRPr="00BF3D07">
        <w:rPr>
          <w:rFonts w:ascii="Arial" w:hAnsi="Arial" w:cs="Arial"/>
          <w:sz w:val="20"/>
          <w:szCs w:val="20"/>
          <w:lang w:eastAsia="ja-JP"/>
        </w:rPr>
        <w:t xml:space="preserve">practices </w:t>
      </w:r>
      <w:r w:rsidR="006F37A3" w:rsidRPr="00BF3D07">
        <w:rPr>
          <w:rFonts w:ascii="Arial" w:hAnsi="Arial" w:cs="Arial"/>
          <w:sz w:val="20"/>
          <w:szCs w:val="20"/>
          <w:lang w:eastAsia="ja-JP"/>
        </w:rPr>
        <w:t>were linked</w:t>
      </w:r>
      <w:r w:rsidRPr="00BF3D07">
        <w:rPr>
          <w:rFonts w:ascii="Arial" w:hAnsi="Arial" w:cs="Arial"/>
          <w:sz w:val="20"/>
          <w:szCs w:val="20"/>
          <w:lang w:eastAsia="ja-JP"/>
        </w:rPr>
        <w:t xml:space="preserve"> to </w:t>
      </w:r>
      <w:r w:rsidR="005115E6">
        <w:rPr>
          <w:rFonts w:ascii="Arial" w:hAnsi="Arial" w:cs="Arial"/>
          <w:sz w:val="20"/>
          <w:szCs w:val="20"/>
          <w:lang w:eastAsia="ja-JP"/>
        </w:rPr>
        <w:t xml:space="preserve">inpatient </w:t>
      </w:r>
      <w:r w:rsidR="00A475C1">
        <w:rPr>
          <w:rFonts w:ascii="Arial" w:hAnsi="Arial" w:cs="Arial"/>
          <w:sz w:val="20"/>
          <w:szCs w:val="20"/>
          <w:lang w:eastAsia="ja-JP"/>
        </w:rPr>
        <w:t>hospitaliz</w:t>
      </w:r>
      <w:r w:rsidR="00155915">
        <w:rPr>
          <w:rFonts w:ascii="Arial" w:hAnsi="Arial" w:cs="Arial"/>
          <w:sz w:val="20"/>
          <w:szCs w:val="20"/>
          <w:lang w:eastAsia="ja-JP"/>
        </w:rPr>
        <w:t xml:space="preserve">ations </w:t>
      </w:r>
      <w:r w:rsidR="005115E6">
        <w:rPr>
          <w:rFonts w:ascii="Arial" w:hAnsi="Arial" w:cs="Arial"/>
          <w:sz w:val="20"/>
          <w:szCs w:val="20"/>
          <w:lang w:eastAsia="ja-JP"/>
        </w:rPr>
        <w:t xml:space="preserve">and </w:t>
      </w:r>
      <w:r w:rsidR="004E547E">
        <w:rPr>
          <w:rFonts w:ascii="Arial" w:hAnsi="Arial" w:cs="Arial"/>
          <w:sz w:val="20"/>
          <w:szCs w:val="20"/>
          <w:lang w:eastAsia="ja-JP"/>
        </w:rPr>
        <w:t xml:space="preserve">A&amp;E </w:t>
      </w:r>
      <w:r w:rsidR="005115E6">
        <w:rPr>
          <w:rFonts w:ascii="Arial" w:hAnsi="Arial" w:cs="Arial"/>
          <w:sz w:val="20"/>
          <w:szCs w:val="20"/>
          <w:lang w:eastAsia="ja-JP"/>
        </w:rPr>
        <w:t>attendances</w:t>
      </w:r>
      <w:r w:rsidRPr="00BF3D07">
        <w:rPr>
          <w:rFonts w:ascii="Arial" w:hAnsi="Arial" w:cs="Arial"/>
          <w:sz w:val="20"/>
          <w:szCs w:val="20"/>
          <w:lang w:eastAsia="ja-JP"/>
        </w:rPr>
        <w:t xml:space="preserve"> </w:t>
      </w:r>
      <w:r w:rsidR="008231C0" w:rsidRPr="00BF3D07">
        <w:rPr>
          <w:rFonts w:ascii="Arial" w:hAnsi="Arial" w:cs="Arial"/>
          <w:sz w:val="20"/>
          <w:szCs w:val="20"/>
          <w:lang w:eastAsia="ja-JP"/>
        </w:rPr>
        <w:t>from Hospital Episode Statistics</w:t>
      </w:r>
      <w:r w:rsidR="004319E7" w:rsidRPr="00BF3D07">
        <w:rPr>
          <w:rFonts w:ascii="Arial" w:hAnsi="Arial" w:cs="Arial"/>
          <w:sz w:val="20"/>
          <w:szCs w:val="20"/>
          <w:lang w:eastAsia="ja-JP"/>
        </w:rPr>
        <w:t>, as well as</w:t>
      </w:r>
      <w:r w:rsidRPr="00BF3D07">
        <w:rPr>
          <w:rFonts w:ascii="Arial" w:hAnsi="Arial" w:cs="Arial"/>
          <w:sz w:val="20"/>
          <w:szCs w:val="20"/>
          <w:lang w:eastAsia="ja-JP"/>
        </w:rPr>
        <w:t xml:space="preserve"> mortality data</w:t>
      </w:r>
      <w:r w:rsidR="008231C0" w:rsidRPr="00BF3D07">
        <w:rPr>
          <w:rFonts w:ascii="Arial" w:hAnsi="Arial" w:cs="Arial"/>
          <w:sz w:val="20"/>
          <w:szCs w:val="20"/>
          <w:lang w:eastAsia="ja-JP"/>
        </w:rPr>
        <w:t xml:space="preserve"> from the Office of National Statistics</w:t>
      </w:r>
      <w:r w:rsidRPr="00BF3D07">
        <w:rPr>
          <w:rFonts w:ascii="Arial" w:hAnsi="Arial" w:cs="Arial"/>
          <w:sz w:val="20"/>
          <w:szCs w:val="20"/>
          <w:lang w:eastAsia="ja-JP"/>
        </w:rPr>
        <w:t xml:space="preserve">. </w:t>
      </w:r>
      <w:r w:rsidR="00E00F63" w:rsidRPr="00E00F63">
        <w:rPr>
          <w:rFonts w:ascii="Arial" w:hAnsi="Arial" w:cs="Arial"/>
          <w:sz w:val="20"/>
          <w:szCs w:val="20"/>
          <w:lang w:eastAsia="ja-JP"/>
        </w:rPr>
        <w:t>To preserve anonymity</w:t>
      </w:r>
      <w:r w:rsidR="006809D8">
        <w:rPr>
          <w:rFonts w:ascii="Arial" w:hAnsi="Arial" w:cs="Arial"/>
          <w:sz w:val="20"/>
          <w:szCs w:val="20"/>
          <w:lang w:eastAsia="ja-JP"/>
        </w:rPr>
        <w:t>,</w:t>
      </w:r>
      <w:r w:rsidR="00E00F63" w:rsidRPr="00E00F63">
        <w:rPr>
          <w:rFonts w:ascii="Arial" w:hAnsi="Arial" w:cs="Arial"/>
          <w:sz w:val="20"/>
          <w:szCs w:val="20"/>
          <w:lang w:eastAsia="ja-JP"/>
        </w:rPr>
        <w:t xml:space="preserve"> </w:t>
      </w:r>
      <w:r w:rsidR="00586E5E">
        <w:rPr>
          <w:rFonts w:ascii="Arial" w:hAnsi="Arial" w:cs="Arial"/>
          <w:sz w:val="20"/>
          <w:szCs w:val="20"/>
          <w:lang w:eastAsia="ja-JP"/>
        </w:rPr>
        <w:t>the data linkage</w:t>
      </w:r>
      <w:r w:rsidR="00E84563">
        <w:rPr>
          <w:rFonts w:ascii="Arial" w:hAnsi="Arial" w:cs="Arial"/>
          <w:sz w:val="20"/>
          <w:szCs w:val="20"/>
          <w:lang w:eastAsia="ja-JP"/>
        </w:rPr>
        <w:t>s</w:t>
      </w:r>
      <w:r w:rsidR="00E00F63" w:rsidRPr="00E00F63">
        <w:rPr>
          <w:rFonts w:ascii="Arial" w:hAnsi="Arial" w:cs="Arial"/>
          <w:sz w:val="20"/>
          <w:szCs w:val="20"/>
          <w:lang w:eastAsia="ja-JP"/>
        </w:rPr>
        <w:t xml:space="preserve"> </w:t>
      </w:r>
      <w:r w:rsidR="00586E5E">
        <w:rPr>
          <w:rFonts w:ascii="Arial" w:hAnsi="Arial" w:cs="Arial"/>
          <w:sz w:val="20"/>
          <w:szCs w:val="20"/>
          <w:lang w:eastAsia="ja-JP"/>
        </w:rPr>
        <w:t xml:space="preserve">were </w:t>
      </w:r>
      <w:r w:rsidR="00E00F63" w:rsidRPr="00E00F63">
        <w:rPr>
          <w:rFonts w:ascii="Arial" w:hAnsi="Arial" w:cs="Arial"/>
          <w:sz w:val="20"/>
          <w:szCs w:val="20"/>
          <w:lang w:eastAsia="ja-JP"/>
        </w:rPr>
        <w:t>carried out</w:t>
      </w:r>
      <w:r w:rsidR="00586E5E">
        <w:rPr>
          <w:rFonts w:ascii="Arial" w:hAnsi="Arial" w:cs="Arial"/>
          <w:sz w:val="20"/>
          <w:szCs w:val="20"/>
          <w:lang w:eastAsia="ja-JP"/>
        </w:rPr>
        <w:t xml:space="preserve"> by the trusted third party NHS Digital</w:t>
      </w:r>
      <w:r w:rsidR="005115E6">
        <w:rPr>
          <w:rFonts w:ascii="Arial" w:hAnsi="Arial" w:cs="Arial"/>
          <w:sz w:val="20"/>
          <w:szCs w:val="20"/>
          <w:lang w:eastAsia="ja-JP"/>
        </w:rPr>
        <w:t xml:space="preserve">.  </w:t>
      </w:r>
      <w:r w:rsidR="00CF04FA" w:rsidRPr="00BF3D07">
        <w:rPr>
          <w:rFonts w:ascii="Arial" w:eastAsia="Times New Roman" w:hAnsi="Arial" w:cs="Arial"/>
          <w:bCs/>
          <w:sz w:val="20"/>
          <w:szCs w:val="20"/>
        </w:rPr>
        <w:t xml:space="preserve">Information was provided </w:t>
      </w:r>
      <w:r w:rsidR="005115E6">
        <w:rPr>
          <w:rFonts w:ascii="Arial" w:eastAsia="Times New Roman" w:hAnsi="Arial" w:cs="Arial"/>
          <w:bCs/>
          <w:sz w:val="20"/>
          <w:szCs w:val="20"/>
        </w:rPr>
        <w:t xml:space="preserve">by CPRD </w:t>
      </w:r>
      <w:r w:rsidR="00CF04FA" w:rsidRPr="00BF3D07">
        <w:rPr>
          <w:rFonts w:ascii="Arial" w:eastAsia="Times New Roman" w:hAnsi="Arial" w:cs="Arial"/>
          <w:bCs/>
          <w:sz w:val="20"/>
          <w:szCs w:val="20"/>
        </w:rPr>
        <w:t xml:space="preserve">for all patients who were </w:t>
      </w:r>
      <w:r w:rsidR="00CF04FA" w:rsidRPr="00BF3D07">
        <w:rPr>
          <w:rFonts w:ascii="Arial" w:hAnsi="Arial" w:cs="Arial"/>
          <w:sz w:val="20"/>
          <w:szCs w:val="20"/>
          <w:lang w:eastAsia="ja-JP"/>
        </w:rPr>
        <w:t xml:space="preserve">eligible for linkage and had an incident diagnosis of </w:t>
      </w:r>
      <w:r w:rsidR="004F26A7">
        <w:rPr>
          <w:rFonts w:ascii="Arial" w:hAnsi="Arial" w:cs="Arial"/>
          <w:sz w:val="20"/>
          <w:szCs w:val="20"/>
          <w:lang w:eastAsia="ja-JP"/>
        </w:rPr>
        <w:t>serious mental illness</w:t>
      </w:r>
      <w:r w:rsidR="00CF04FA" w:rsidRPr="00BF3D07">
        <w:rPr>
          <w:rFonts w:ascii="Arial" w:hAnsi="Arial" w:cs="Arial"/>
          <w:sz w:val="20"/>
          <w:szCs w:val="20"/>
          <w:lang w:eastAsia="ja-JP"/>
        </w:rPr>
        <w:t>.</w:t>
      </w:r>
      <w:r w:rsidRPr="00BF3D07">
        <w:rPr>
          <w:rFonts w:ascii="Arial" w:hAnsi="Arial" w:cs="Arial"/>
          <w:sz w:val="20"/>
          <w:szCs w:val="20"/>
        </w:rPr>
        <w:t xml:space="preserve"> </w:t>
      </w:r>
    </w:p>
    <w:p w14:paraId="5857716F" w14:textId="77777777" w:rsidR="00AB7075" w:rsidRDefault="009748C5" w:rsidP="00AB7075">
      <w:pPr>
        <w:pStyle w:val="Heading2"/>
        <w:rPr>
          <w:rFonts w:cs="Arial"/>
          <w:szCs w:val="20"/>
        </w:rPr>
      </w:pPr>
      <w:r w:rsidRPr="00DD1E64">
        <w:rPr>
          <w:rFonts w:cs="Arial"/>
          <w:szCs w:val="20"/>
        </w:rPr>
        <w:t>Ethical approval</w:t>
      </w:r>
    </w:p>
    <w:p w14:paraId="78E8E43C" w14:textId="2429D745" w:rsidR="009748C5" w:rsidRPr="00AB7075" w:rsidRDefault="009748C5" w:rsidP="00B90B29">
      <w:pPr>
        <w:spacing w:after="0" w:line="480" w:lineRule="auto"/>
        <w:rPr>
          <w:rFonts w:ascii="Arial" w:hAnsi="Arial" w:cs="Arial"/>
          <w:sz w:val="20"/>
          <w:szCs w:val="20"/>
          <w:lang w:eastAsia="ja-JP"/>
        </w:rPr>
      </w:pPr>
      <w:r w:rsidRPr="00AB7075">
        <w:rPr>
          <w:rFonts w:ascii="Arial" w:hAnsi="Arial" w:cs="Arial"/>
          <w:sz w:val="20"/>
          <w:szCs w:val="20"/>
          <w:lang w:eastAsia="ja-JP"/>
        </w:rPr>
        <w:t xml:space="preserve">The study protocol was approved by the Independent Scientific Advisory Committee (protocols  14_168 and 15_213). </w:t>
      </w:r>
    </w:p>
    <w:p w14:paraId="0BC26BAD" w14:textId="3D55E138" w:rsidR="00092EA4" w:rsidRPr="005120C4" w:rsidRDefault="00092EA4" w:rsidP="005120C4">
      <w:pPr>
        <w:pStyle w:val="Heading2"/>
      </w:pPr>
      <w:r w:rsidRPr="005120C4">
        <w:t xml:space="preserve">Sample </w:t>
      </w:r>
    </w:p>
    <w:p w14:paraId="2BC1DFF1" w14:textId="4CA03A4D" w:rsidR="005370CC" w:rsidRDefault="00C303A0" w:rsidP="00751930">
      <w:pPr>
        <w:spacing w:after="0" w:line="480" w:lineRule="auto"/>
        <w:rPr>
          <w:rFonts w:ascii="Arial" w:hAnsi="Arial" w:cs="Arial"/>
          <w:sz w:val="20"/>
          <w:szCs w:val="20"/>
          <w:lang w:eastAsia="ja-JP"/>
        </w:rPr>
      </w:pPr>
      <w:r>
        <w:rPr>
          <w:rFonts w:ascii="Arial" w:hAnsi="Arial" w:cs="Arial"/>
          <w:sz w:val="20"/>
          <w:szCs w:val="20"/>
          <w:lang w:eastAsia="ja-JP"/>
        </w:rPr>
        <w:t xml:space="preserve">Our sample covers the period from 1 January 2000 to 31 March 2014. The </w:t>
      </w:r>
      <w:r w:rsidR="005370CC">
        <w:rPr>
          <w:rFonts w:ascii="Arial" w:hAnsi="Arial" w:cs="Arial"/>
          <w:sz w:val="20"/>
          <w:szCs w:val="20"/>
          <w:lang w:eastAsia="ja-JP"/>
        </w:rPr>
        <w:t>observation</w:t>
      </w:r>
      <w:r>
        <w:rPr>
          <w:rFonts w:ascii="Arial" w:hAnsi="Arial" w:cs="Arial"/>
          <w:sz w:val="20"/>
          <w:szCs w:val="20"/>
          <w:lang w:eastAsia="ja-JP"/>
        </w:rPr>
        <w:t xml:space="preserve"> period for each patient varies.  </w:t>
      </w:r>
      <w:r w:rsidRPr="00F251D5">
        <w:rPr>
          <w:rFonts w:ascii="Arial" w:hAnsi="Arial" w:cs="Arial"/>
          <w:sz w:val="20"/>
          <w:szCs w:val="20"/>
          <w:lang w:eastAsia="ja-JP"/>
        </w:rPr>
        <w:t xml:space="preserve">The entry date to the sample </w:t>
      </w:r>
      <w:r w:rsidR="00E55AA1">
        <w:rPr>
          <w:rFonts w:ascii="Arial" w:hAnsi="Arial" w:cs="Arial"/>
          <w:sz w:val="20"/>
          <w:szCs w:val="20"/>
          <w:lang w:eastAsia="ja-JP"/>
        </w:rPr>
        <w:t>is</w:t>
      </w:r>
      <w:r w:rsidRPr="00F251D5">
        <w:rPr>
          <w:rFonts w:ascii="Arial" w:hAnsi="Arial" w:cs="Arial"/>
          <w:sz w:val="20"/>
          <w:szCs w:val="20"/>
          <w:lang w:eastAsia="ja-JP"/>
        </w:rPr>
        <w:t xml:space="preserve"> defined </w:t>
      </w:r>
      <w:r>
        <w:rPr>
          <w:rFonts w:ascii="Arial" w:hAnsi="Arial" w:cs="Arial"/>
          <w:sz w:val="20"/>
          <w:szCs w:val="20"/>
          <w:lang w:eastAsia="ja-JP"/>
        </w:rPr>
        <w:t xml:space="preserve">such that </w:t>
      </w:r>
      <w:r w:rsidR="00E55AA1">
        <w:rPr>
          <w:rFonts w:ascii="Arial" w:hAnsi="Arial" w:cs="Arial"/>
          <w:sz w:val="20"/>
          <w:szCs w:val="20"/>
          <w:lang w:eastAsia="ja-JP"/>
        </w:rPr>
        <w:t xml:space="preserve">the </w:t>
      </w:r>
      <w:r>
        <w:rPr>
          <w:rFonts w:ascii="Arial" w:hAnsi="Arial" w:cs="Arial"/>
          <w:sz w:val="20"/>
          <w:szCs w:val="20"/>
        </w:rPr>
        <w:t xml:space="preserve">following </w:t>
      </w:r>
      <w:r w:rsidR="00F83C86">
        <w:rPr>
          <w:rFonts w:ascii="Arial" w:hAnsi="Arial" w:cs="Arial"/>
          <w:sz w:val="20"/>
          <w:szCs w:val="20"/>
        </w:rPr>
        <w:t xml:space="preserve">conditions </w:t>
      </w:r>
      <w:r>
        <w:rPr>
          <w:rFonts w:ascii="Arial" w:hAnsi="Arial" w:cs="Arial"/>
          <w:sz w:val="20"/>
          <w:szCs w:val="20"/>
        </w:rPr>
        <w:t>are met</w:t>
      </w:r>
      <w:r w:rsidR="00F83C86">
        <w:rPr>
          <w:rFonts w:ascii="Arial" w:hAnsi="Arial" w:cs="Arial"/>
          <w:sz w:val="20"/>
          <w:szCs w:val="20"/>
        </w:rPr>
        <w:t xml:space="preserve"> on this date:</w:t>
      </w:r>
      <w:r w:rsidR="00F83C86">
        <w:rPr>
          <w:rFonts w:ascii="Arial" w:hAnsi="Arial" w:cs="Arial"/>
          <w:sz w:val="20"/>
          <w:szCs w:val="20"/>
          <w:lang w:eastAsia="ja-JP"/>
        </w:rPr>
        <w:t xml:space="preserve"> i) p</w:t>
      </w:r>
      <w:r w:rsidR="00E55AA1" w:rsidRPr="00F83C86">
        <w:rPr>
          <w:rFonts w:ascii="Arial" w:hAnsi="Arial" w:cs="Arial"/>
          <w:sz w:val="20"/>
          <w:szCs w:val="20"/>
          <w:lang w:eastAsia="ja-JP"/>
        </w:rPr>
        <w:t>atient</w:t>
      </w:r>
      <w:r w:rsidR="00F83C86" w:rsidRPr="00F83C86">
        <w:rPr>
          <w:rFonts w:ascii="Arial" w:hAnsi="Arial" w:cs="Arial"/>
          <w:sz w:val="20"/>
          <w:szCs w:val="20"/>
          <w:lang w:eastAsia="ja-JP"/>
        </w:rPr>
        <w:t xml:space="preserve"> has been diagnosed with </w:t>
      </w:r>
      <w:r w:rsidR="004F26A7">
        <w:rPr>
          <w:rFonts w:ascii="Arial" w:hAnsi="Arial" w:cs="Arial"/>
          <w:sz w:val="20"/>
          <w:szCs w:val="20"/>
          <w:lang w:eastAsia="ja-JP"/>
        </w:rPr>
        <w:t>serious mental illness</w:t>
      </w:r>
      <w:r w:rsidR="004F26A7" w:rsidRPr="00F83C86">
        <w:rPr>
          <w:rFonts w:ascii="Arial" w:hAnsi="Arial" w:cs="Arial"/>
          <w:sz w:val="20"/>
          <w:szCs w:val="20"/>
          <w:lang w:eastAsia="ja-JP"/>
        </w:rPr>
        <w:t xml:space="preserve"> </w:t>
      </w:r>
      <w:r w:rsidR="00F83C86" w:rsidRPr="00F83C86">
        <w:rPr>
          <w:rFonts w:ascii="Arial" w:hAnsi="Arial" w:cs="Arial"/>
          <w:sz w:val="20"/>
          <w:szCs w:val="20"/>
          <w:lang w:eastAsia="ja-JP"/>
        </w:rPr>
        <w:t>in primary care</w:t>
      </w:r>
      <w:r w:rsidR="00F83C86">
        <w:rPr>
          <w:rFonts w:ascii="Arial" w:hAnsi="Arial" w:cs="Arial"/>
          <w:sz w:val="20"/>
          <w:szCs w:val="20"/>
          <w:lang w:eastAsia="ja-JP"/>
        </w:rPr>
        <w:t>; ii) p</w:t>
      </w:r>
      <w:r w:rsidR="00E55AA1" w:rsidRPr="00F83C86">
        <w:rPr>
          <w:rFonts w:ascii="Arial" w:hAnsi="Arial" w:cs="Arial"/>
          <w:sz w:val="20"/>
          <w:szCs w:val="20"/>
          <w:lang w:eastAsia="ja-JP"/>
        </w:rPr>
        <w:t>atient is</w:t>
      </w:r>
      <w:r w:rsidR="00F83C86">
        <w:rPr>
          <w:rFonts w:ascii="Arial" w:hAnsi="Arial" w:cs="Arial"/>
          <w:sz w:val="20"/>
          <w:szCs w:val="20"/>
          <w:lang w:eastAsia="ja-JP"/>
        </w:rPr>
        <w:t xml:space="preserve"> 18 years or older; iii) </w:t>
      </w:r>
      <w:r w:rsidR="00F83C86" w:rsidRPr="00F83C86">
        <w:rPr>
          <w:rFonts w:ascii="Arial" w:hAnsi="Arial" w:cs="Arial"/>
          <w:sz w:val="20"/>
          <w:szCs w:val="20"/>
          <w:lang w:eastAsia="ja-JP"/>
        </w:rPr>
        <w:t>p</w:t>
      </w:r>
      <w:r w:rsidR="00E55AA1" w:rsidRPr="00F83C86">
        <w:rPr>
          <w:rFonts w:ascii="Arial" w:hAnsi="Arial" w:cs="Arial"/>
          <w:sz w:val="20"/>
          <w:szCs w:val="20"/>
          <w:lang w:eastAsia="ja-JP"/>
        </w:rPr>
        <w:t xml:space="preserve">atient is </w:t>
      </w:r>
      <w:r w:rsidRPr="00F83C86">
        <w:rPr>
          <w:rFonts w:ascii="Arial" w:hAnsi="Arial" w:cs="Arial"/>
          <w:sz w:val="20"/>
          <w:szCs w:val="20"/>
          <w:lang w:eastAsia="ja-JP"/>
        </w:rPr>
        <w:t>registered with a participating practice for at least 365 days</w:t>
      </w:r>
      <w:r w:rsidR="00F83C86">
        <w:rPr>
          <w:rFonts w:ascii="Arial" w:hAnsi="Arial" w:cs="Arial"/>
          <w:sz w:val="20"/>
          <w:szCs w:val="20"/>
          <w:lang w:eastAsia="ja-JP"/>
        </w:rPr>
        <w:t xml:space="preserve">; </w:t>
      </w:r>
      <w:r w:rsidR="00F11C0F">
        <w:rPr>
          <w:rFonts w:ascii="Arial" w:hAnsi="Arial" w:cs="Arial"/>
          <w:sz w:val="20"/>
          <w:szCs w:val="20"/>
          <w:lang w:eastAsia="ja-JP"/>
        </w:rPr>
        <w:t xml:space="preserve">and </w:t>
      </w:r>
      <w:r w:rsidR="00F83C86">
        <w:rPr>
          <w:rFonts w:ascii="Arial" w:hAnsi="Arial" w:cs="Arial"/>
          <w:sz w:val="20"/>
          <w:szCs w:val="20"/>
          <w:lang w:eastAsia="ja-JP"/>
        </w:rPr>
        <w:t>iv) p</w:t>
      </w:r>
      <w:r w:rsidR="00E55AA1" w:rsidRPr="00F83C86">
        <w:rPr>
          <w:rFonts w:ascii="Arial" w:hAnsi="Arial" w:cs="Arial"/>
          <w:sz w:val="20"/>
          <w:szCs w:val="20"/>
          <w:lang w:eastAsia="ja-JP"/>
        </w:rPr>
        <w:t>atient is</w:t>
      </w:r>
      <w:r w:rsidRPr="00F83C86">
        <w:rPr>
          <w:rFonts w:ascii="Arial" w:hAnsi="Arial" w:cs="Arial"/>
          <w:sz w:val="20"/>
          <w:szCs w:val="20"/>
          <w:lang w:eastAsia="ja-JP"/>
        </w:rPr>
        <w:t xml:space="preserve"> not hospitali</w:t>
      </w:r>
      <w:r w:rsidR="00A475C1">
        <w:rPr>
          <w:rFonts w:ascii="Arial" w:hAnsi="Arial" w:cs="Arial"/>
          <w:sz w:val="20"/>
          <w:szCs w:val="20"/>
          <w:lang w:eastAsia="ja-JP"/>
        </w:rPr>
        <w:t>z</w:t>
      </w:r>
      <w:r w:rsidRPr="00F83C86">
        <w:rPr>
          <w:rFonts w:ascii="Arial" w:hAnsi="Arial" w:cs="Arial"/>
          <w:sz w:val="20"/>
          <w:szCs w:val="20"/>
          <w:lang w:eastAsia="ja-JP"/>
        </w:rPr>
        <w:t>ed within the last 90 days.</w:t>
      </w:r>
      <w:r w:rsidR="00DA1DDD">
        <w:rPr>
          <w:rFonts w:ascii="Arial" w:hAnsi="Arial" w:cs="Arial"/>
          <w:sz w:val="20"/>
          <w:szCs w:val="20"/>
          <w:lang w:eastAsia="ja-JP"/>
        </w:rPr>
        <w:t xml:space="preserve">  </w:t>
      </w:r>
      <w:r w:rsidR="00E55AA1" w:rsidRPr="00E55AA1">
        <w:rPr>
          <w:rFonts w:ascii="Arial" w:hAnsi="Arial" w:cs="Arial"/>
          <w:sz w:val="20"/>
          <w:szCs w:val="20"/>
          <w:lang w:eastAsia="ja-JP"/>
        </w:rPr>
        <w:t>The latter two conditions were imposed to ensure sufficient information on patients’ medical history was available and because patients who were recently discharged from hospital are</w:t>
      </w:r>
      <w:r w:rsidR="00F83C86">
        <w:rPr>
          <w:rFonts w:ascii="Arial" w:hAnsi="Arial" w:cs="Arial"/>
          <w:sz w:val="20"/>
          <w:szCs w:val="20"/>
          <w:lang w:eastAsia="ja-JP"/>
        </w:rPr>
        <w:t xml:space="preserve"> at higher risk of readmission.  </w:t>
      </w:r>
      <w:r w:rsidR="00775395">
        <w:rPr>
          <w:rFonts w:ascii="Arial" w:hAnsi="Arial" w:cs="Arial"/>
          <w:sz w:val="20"/>
          <w:szCs w:val="20"/>
          <w:lang w:eastAsia="ja-JP"/>
        </w:rPr>
        <w:t xml:space="preserve">The </w:t>
      </w:r>
      <w:r w:rsidR="005370CC">
        <w:rPr>
          <w:rFonts w:ascii="Arial" w:hAnsi="Arial" w:cs="Arial"/>
          <w:sz w:val="20"/>
          <w:szCs w:val="20"/>
          <w:lang w:eastAsia="ja-JP"/>
        </w:rPr>
        <w:t>observation</w:t>
      </w:r>
      <w:r w:rsidR="00775395">
        <w:rPr>
          <w:rFonts w:ascii="Arial" w:hAnsi="Arial" w:cs="Arial"/>
          <w:sz w:val="20"/>
          <w:szCs w:val="20"/>
          <w:lang w:eastAsia="ja-JP"/>
        </w:rPr>
        <w:t xml:space="preserve"> period for each patient ends at the</w:t>
      </w:r>
      <w:r w:rsidRPr="00F251D5">
        <w:rPr>
          <w:rFonts w:ascii="Arial" w:hAnsi="Arial" w:cs="Arial"/>
          <w:sz w:val="20"/>
          <w:szCs w:val="20"/>
          <w:lang w:eastAsia="ja-JP"/>
        </w:rPr>
        <w:t xml:space="preserve"> earliest of death date, the date registration with the practice ends and 31 March 2014.</w:t>
      </w:r>
      <w:r w:rsidR="00F83C86">
        <w:rPr>
          <w:rFonts w:ascii="Arial" w:hAnsi="Arial" w:cs="Arial"/>
          <w:sz w:val="20"/>
          <w:szCs w:val="20"/>
          <w:lang w:eastAsia="ja-JP"/>
        </w:rPr>
        <w:t xml:space="preserve"> </w:t>
      </w:r>
      <w:r w:rsidR="00DA1DDD">
        <w:rPr>
          <w:rFonts w:ascii="Arial" w:hAnsi="Arial" w:cs="Arial"/>
          <w:sz w:val="20"/>
          <w:szCs w:val="20"/>
          <w:lang w:eastAsia="ja-JP"/>
        </w:rPr>
        <w:t>P</w:t>
      </w:r>
      <w:r w:rsidR="00F83C86">
        <w:rPr>
          <w:rFonts w:ascii="Arial" w:hAnsi="Arial" w:cs="Arial"/>
          <w:sz w:val="20"/>
          <w:szCs w:val="20"/>
          <w:lang w:eastAsia="ja-JP"/>
        </w:rPr>
        <w:t xml:space="preserve">atients </w:t>
      </w:r>
      <w:r w:rsidR="00A529B5">
        <w:rPr>
          <w:rFonts w:ascii="Arial" w:hAnsi="Arial" w:cs="Arial"/>
          <w:sz w:val="20"/>
          <w:szCs w:val="20"/>
          <w:lang w:eastAsia="ja-JP"/>
        </w:rPr>
        <w:t>wer</w:t>
      </w:r>
      <w:r w:rsidR="00F83C86">
        <w:rPr>
          <w:rFonts w:ascii="Arial" w:hAnsi="Arial" w:cs="Arial"/>
          <w:sz w:val="20"/>
          <w:szCs w:val="20"/>
          <w:lang w:eastAsia="ja-JP"/>
        </w:rPr>
        <w:t xml:space="preserve">e </w:t>
      </w:r>
      <w:r w:rsidR="00F83C86">
        <w:rPr>
          <w:rFonts w:ascii="Arial" w:hAnsi="Arial" w:cs="Arial"/>
          <w:sz w:val="20"/>
          <w:szCs w:val="20"/>
          <w:lang w:eastAsia="ja-JP"/>
        </w:rPr>
        <w:lastRenderedPageBreak/>
        <w:t xml:space="preserve">included in the sample if they had </w:t>
      </w:r>
      <w:r w:rsidR="00562F5B">
        <w:rPr>
          <w:rFonts w:ascii="Arial" w:hAnsi="Arial" w:cs="Arial"/>
          <w:sz w:val="20"/>
          <w:szCs w:val="20"/>
          <w:lang w:eastAsia="ja-JP"/>
        </w:rPr>
        <w:t xml:space="preserve">at least </w:t>
      </w:r>
      <w:r w:rsidR="00562F5B" w:rsidRPr="002F7EBB">
        <w:rPr>
          <w:rFonts w:ascii="Arial" w:hAnsi="Arial" w:cs="Arial"/>
          <w:sz w:val="20"/>
          <w:szCs w:val="20"/>
          <w:lang w:eastAsia="ja-JP"/>
        </w:rPr>
        <w:t>one antipsychotic drug record</w:t>
      </w:r>
      <w:r w:rsidR="00562F5B">
        <w:rPr>
          <w:rFonts w:ascii="Arial" w:hAnsi="Arial" w:cs="Arial"/>
          <w:sz w:val="20"/>
          <w:szCs w:val="20"/>
          <w:lang w:eastAsia="ja-JP"/>
        </w:rPr>
        <w:t xml:space="preserve"> d</w:t>
      </w:r>
      <w:r w:rsidR="00841830">
        <w:rPr>
          <w:rFonts w:ascii="Arial" w:hAnsi="Arial" w:cs="Arial"/>
          <w:sz w:val="20"/>
          <w:szCs w:val="20"/>
          <w:lang w:eastAsia="ja-JP"/>
        </w:rPr>
        <w:t>uring the</w:t>
      </w:r>
      <w:r w:rsidR="00F83C86">
        <w:rPr>
          <w:rFonts w:ascii="Arial" w:hAnsi="Arial" w:cs="Arial"/>
          <w:sz w:val="20"/>
          <w:szCs w:val="20"/>
          <w:lang w:eastAsia="ja-JP"/>
        </w:rPr>
        <w:t xml:space="preserve"> </w:t>
      </w:r>
      <w:r w:rsidR="005370CC">
        <w:rPr>
          <w:rFonts w:ascii="Arial" w:hAnsi="Arial" w:cs="Arial"/>
          <w:sz w:val="20"/>
          <w:szCs w:val="20"/>
          <w:lang w:eastAsia="ja-JP"/>
        </w:rPr>
        <w:t>observation</w:t>
      </w:r>
      <w:r w:rsidR="00F83C86">
        <w:rPr>
          <w:rFonts w:ascii="Arial" w:hAnsi="Arial" w:cs="Arial"/>
          <w:sz w:val="20"/>
          <w:szCs w:val="20"/>
          <w:lang w:eastAsia="ja-JP"/>
        </w:rPr>
        <w:t xml:space="preserve"> period</w:t>
      </w:r>
      <w:r w:rsidR="00841830">
        <w:rPr>
          <w:rFonts w:ascii="Arial" w:hAnsi="Arial" w:cs="Arial"/>
          <w:sz w:val="20"/>
          <w:szCs w:val="20"/>
          <w:lang w:eastAsia="ja-JP"/>
        </w:rPr>
        <w:t>.</w:t>
      </w:r>
    </w:p>
    <w:p w14:paraId="3B24A4F3" w14:textId="4F52BBFD" w:rsidR="00DA1DDD" w:rsidRDefault="00C15A9B" w:rsidP="00751930">
      <w:pPr>
        <w:spacing w:after="0" w:line="480" w:lineRule="auto"/>
        <w:rPr>
          <w:rFonts w:ascii="Arial" w:hAnsi="Arial" w:cs="Arial"/>
          <w:sz w:val="20"/>
          <w:szCs w:val="20"/>
          <w:lang w:eastAsia="ja-JP"/>
        </w:rPr>
      </w:pPr>
      <w:r>
        <w:rPr>
          <w:rFonts w:ascii="Arial" w:hAnsi="Arial" w:cs="Arial"/>
          <w:sz w:val="20"/>
          <w:szCs w:val="20"/>
          <w:lang w:eastAsia="ja-JP"/>
        </w:rPr>
        <w:t xml:space="preserve">Because </w:t>
      </w:r>
      <w:r w:rsidR="00CC6DDB">
        <w:rPr>
          <w:rFonts w:ascii="Arial" w:hAnsi="Arial" w:cs="Arial"/>
          <w:sz w:val="20"/>
          <w:szCs w:val="20"/>
          <w:lang w:eastAsia="ja-JP"/>
        </w:rPr>
        <w:t>A&amp;E</w:t>
      </w:r>
      <w:r w:rsidR="00CC6DDB" w:rsidRPr="00DA1DDD">
        <w:rPr>
          <w:rFonts w:ascii="Arial" w:hAnsi="Arial" w:cs="Arial"/>
          <w:sz w:val="20"/>
          <w:szCs w:val="20"/>
          <w:lang w:eastAsia="ja-JP"/>
        </w:rPr>
        <w:t xml:space="preserve"> </w:t>
      </w:r>
      <w:r w:rsidR="00DA1DDD" w:rsidRPr="00DA1DDD">
        <w:rPr>
          <w:rFonts w:ascii="Arial" w:hAnsi="Arial" w:cs="Arial"/>
          <w:sz w:val="20"/>
          <w:szCs w:val="20"/>
          <w:lang w:eastAsia="ja-JP"/>
        </w:rPr>
        <w:t>data are</w:t>
      </w:r>
      <w:r>
        <w:rPr>
          <w:rFonts w:ascii="Arial" w:hAnsi="Arial" w:cs="Arial"/>
          <w:sz w:val="20"/>
          <w:szCs w:val="20"/>
          <w:lang w:eastAsia="ja-JP"/>
        </w:rPr>
        <w:t xml:space="preserve"> only available from 2007/08 </w:t>
      </w:r>
      <w:r w:rsidR="00DA1DDD" w:rsidRPr="00DA1DDD">
        <w:rPr>
          <w:rFonts w:ascii="Arial" w:hAnsi="Arial" w:cs="Arial"/>
          <w:sz w:val="20"/>
          <w:szCs w:val="20"/>
          <w:lang w:eastAsia="ja-JP"/>
        </w:rPr>
        <w:t xml:space="preserve">the analysis of </w:t>
      </w:r>
      <w:r w:rsidR="00CC6DDB">
        <w:rPr>
          <w:rFonts w:ascii="Arial" w:hAnsi="Arial" w:cs="Arial"/>
          <w:sz w:val="20"/>
          <w:szCs w:val="20"/>
          <w:lang w:eastAsia="ja-JP"/>
        </w:rPr>
        <w:t>E</w:t>
      </w:r>
      <w:r w:rsidR="00C5698A">
        <w:rPr>
          <w:rFonts w:ascii="Arial" w:hAnsi="Arial" w:cs="Arial"/>
          <w:sz w:val="20"/>
          <w:szCs w:val="20"/>
          <w:lang w:eastAsia="ja-JP"/>
        </w:rPr>
        <w:t>D</w:t>
      </w:r>
      <w:r w:rsidR="00CC6DDB" w:rsidRPr="00DA1DDD">
        <w:rPr>
          <w:rFonts w:ascii="Arial" w:hAnsi="Arial" w:cs="Arial"/>
          <w:sz w:val="20"/>
          <w:szCs w:val="20"/>
          <w:lang w:eastAsia="ja-JP"/>
        </w:rPr>
        <w:t xml:space="preserve"> </w:t>
      </w:r>
      <w:r w:rsidR="00DA1DDD" w:rsidRPr="00DA1DDD">
        <w:rPr>
          <w:rFonts w:ascii="Arial" w:hAnsi="Arial" w:cs="Arial"/>
          <w:sz w:val="20"/>
          <w:szCs w:val="20"/>
          <w:lang w:eastAsia="ja-JP"/>
        </w:rPr>
        <w:t xml:space="preserve">presentations is limited to patients with </w:t>
      </w:r>
      <w:r>
        <w:rPr>
          <w:rFonts w:ascii="Arial" w:hAnsi="Arial" w:cs="Arial"/>
          <w:sz w:val="20"/>
          <w:szCs w:val="20"/>
          <w:lang w:eastAsia="ja-JP"/>
        </w:rPr>
        <w:t xml:space="preserve">entry date </w:t>
      </w:r>
      <w:r w:rsidR="00DA1DDD" w:rsidRPr="00DA1DDD">
        <w:rPr>
          <w:rFonts w:ascii="Arial" w:hAnsi="Arial" w:cs="Arial"/>
          <w:sz w:val="20"/>
          <w:szCs w:val="20"/>
          <w:lang w:eastAsia="ja-JP"/>
        </w:rPr>
        <w:t>after 31 March 2007.</w:t>
      </w:r>
    </w:p>
    <w:p w14:paraId="4CDFAC53" w14:textId="1D5917FD" w:rsidR="0043462E" w:rsidRPr="005120C4" w:rsidRDefault="00184F2E" w:rsidP="005120C4">
      <w:pPr>
        <w:pStyle w:val="Heading2"/>
      </w:pPr>
      <w:r w:rsidRPr="005120C4">
        <w:t xml:space="preserve">Patient </w:t>
      </w:r>
      <w:r w:rsidR="0043462E" w:rsidRPr="005120C4">
        <w:t>outcomes</w:t>
      </w:r>
    </w:p>
    <w:p w14:paraId="713F4A0E" w14:textId="66B5C07E" w:rsidR="00A34A6F" w:rsidRPr="00A34A6F" w:rsidRDefault="0043462E" w:rsidP="000E6828">
      <w:pPr>
        <w:spacing w:after="0" w:line="480" w:lineRule="auto"/>
        <w:rPr>
          <w:rFonts w:ascii="Arial" w:hAnsi="Arial" w:cs="Arial"/>
          <w:sz w:val="20"/>
          <w:szCs w:val="20"/>
          <w:lang w:eastAsia="ja-JP"/>
        </w:rPr>
      </w:pPr>
      <w:r w:rsidRPr="00BF3D07">
        <w:rPr>
          <w:rFonts w:ascii="Arial" w:hAnsi="Arial" w:cs="Arial"/>
          <w:sz w:val="20"/>
          <w:szCs w:val="20"/>
          <w:lang w:eastAsia="ja-JP"/>
        </w:rPr>
        <w:t>We investigate</w:t>
      </w:r>
      <w:r w:rsidR="00A45074">
        <w:rPr>
          <w:rFonts w:ascii="Arial" w:hAnsi="Arial" w:cs="Arial"/>
          <w:sz w:val="20"/>
          <w:szCs w:val="20"/>
          <w:lang w:eastAsia="ja-JP"/>
        </w:rPr>
        <w:t>d</w:t>
      </w:r>
      <w:r w:rsidRPr="00BF3D07">
        <w:rPr>
          <w:rFonts w:ascii="Arial" w:hAnsi="Arial" w:cs="Arial"/>
          <w:sz w:val="20"/>
          <w:szCs w:val="20"/>
          <w:lang w:eastAsia="ja-JP"/>
        </w:rPr>
        <w:t xml:space="preserve"> the association between </w:t>
      </w:r>
      <w:r w:rsidR="004F26A7">
        <w:rPr>
          <w:rFonts w:ascii="Arial" w:hAnsi="Arial" w:cs="Arial"/>
          <w:sz w:val="20"/>
          <w:szCs w:val="20"/>
          <w:lang w:eastAsia="ja-JP"/>
        </w:rPr>
        <w:t>polypharmacy</w:t>
      </w:r>
      <w:r w:rsidR="004F26A7" w:rsidRPr="00BF3D07">
        <w:rPr>
          <w:rFonts w:ascii="Arial" w:hAnsi="Arial" w:cs="Arial"/>
          <w:sz w:val="20"/>
          <w:szCs w:val="20"/>
          <w:lang w:eastAsia="ja-JP"/>
        </w:rPr>
        <w:t xml:space="preserve"> </w:t>
      </w:r>
      <w:r w:rsidRPr="00BF3D07">
        <w:rPr>
          <w:rFonts w:ascii="Arial" w:hAnsi="Arial" w:cs="Arial"/>
          <w:sz w:val="20"/>
          <w:szCs w:val="20"/>
          <w:lang w:eastAsia="ja-JP"/>
        </w:rPr>
        <w:t>and the occurrence of three outcomes: unplanned hospital admissions</w:t>
      </w:r>
      <w:r w:rsidR="0083723E" w:rsidRPr="00BF3D07">
        <w:rPr>
          <w:rFonts w:ascii="Arial" w:hAnsi="Arial" w:cs="Arial"/>
          <w:sz w:val="20"/>
          <w:szCs w:val="20"/>
          <w:lang w:eastAsia="ja-JP"/>
        </w:rPr>
        <w:t xml:space="preserve"> (all-cause)</w:t>
      </w:r>
      <w:r w:rsidRPr="00BF3D07">
        <w:rPr>
          <w:rFonts w:ascii="Arial" w:hAnsi="Arial" w:cs="Arial"/>
          <w:sz w:val="20"/>
          <w:szCs w:val="20"/>
          <w:lang w:eastAsia="ja-JP"/>
        </w:rPr>
        <w:t xml:space="preserve">, </w:t>
      </w:r>
      <w:r w:rsidR="00CC6DDB">
        <w:rPr>
          <w:rFonts w:ascii="Arial" w:hAnsi="Arial" w:cs="Arial"/>
          <w:sz w:val="20"/>
          <w:szCs w:val="20"/>
          <w:lang w:eastAsia="ja-JP"/>
        </w:rPr>
        <w:t>E</w:t>
      </w:r>
      <w:r w:rsidR="00C5698A">
        <w:rPr>
          <w:rFonts w:ascii="Arial" w:hAnsi="Arial" w:cs="Arial"/>
          <w:sz w:val="20"/>
          <w:szCs w:val="20"/>
          <w:lang w:eastAsia="ja-JP"/>
        </w:rPr>
        <w:t>D</w:t>
      </w:r>
      <w:r w:rsidR="00CC6DDB" w:rsidRPr="00BF3D07">
        <w:rPr>
          <w:rFonts w:ascii="Arial" w:hAnsi="Arial" w:cs="Arial"/>
          <w:sz w:val="20"/>
          <w:szCs w:val="20"/>
          <w:lang w:eastAsia="ja-JP"/>
        </w:rPr>
        <w:t xml:space="preserve"> </w:t>
      </w:r>
      <w:r w:rsidRPr="00BF3D07">
        <w:rPr>
          <w:rFonts w:ascii="Arial" w:hAnsi="Arial" w:cs="Arial"/>
          <w:sz w:val="20"/>
          <w:szCs w:val="20"/>
          <w:lang w:eastAsia="ja-JP"/>
        </w:rPr>
        <w:t>presentations</w:t>
      </w:r>
      <w:r w:rsidR="001F2738" w:rsidRPr="00BF3D07">
        <w:rPr>
          <w:rFonts w:ascii="Arial" w:hAnsi="Arial" w:cs="Arial"/>
          <w:sz w:val="20"/>
          <w:szCs w:val="20"/>
          <w:lang w:eastAsia="ja-JP"/>
        </w:rPr>
        <w:t>, and mortality</w:t>
      </w:r>
      <w:r w:rsidRPr="00BF3D07">
        <w:rPr>
          <w:rFonts w:ascii="Arial" w:hAnsi="Arial" w:cs="Arial"/>
          <w:sz w:val="20"/>
          <w:szCs w:val="20"/>
          <w:lang w:eastAsia="ja-JP"/>
        </w:rPr>
        <w:t xml:space="preserve">. </w:t>
      </w:r>
      <w:r w:rsidR="009F3A45">
        <w:rPr>
          <w:rFonts w:ascii="Arial" w:hAnsi="Arial" w:cs="Arial"/>
          <w:sz w:val="20"/>
          <w:szCs w:val="20"/>
          <w:lang w:eastAsia="ja-JP"/>
        </w:rPr>
        <w:t xml:space="preserve"> </w:t>
      </w:r>
    </w:p>
    <w:p w14:paraId="07146477" w14:textId="1760A76D" w:rsidR="00D34FD9" w:rsidRPr="005120C4" w:rsidRDefault="00DA73D7" w:rsidP="005120C4">
      <w:pPr>
        <w:pStyle w:val="Heading2"/>
      </w:pPr>
      <w:r w:rsidRPr="005120C4">
        <w:t>D</w:t>
      </w:r>
      <w:r w:rsidR="00D34FD9" w:rsidRPr="005120C4">
        <w:t>efinition</w:t>
      </w:r>
      <w:r w:rsidRPr="005120C4">
        <w:t xml:space="preserve"> of polypharmacy</w:t>
      </w:r>
    </w:p>
    <w:p w14:paraId="345EDB0F" w14:textId="2DE0BD79" w:rsidR="00A42E0D" w:rsidRPr="00BF3D07" w:rsidRDefault="007B238E" w:rsidP="00B90B29">
      <w:pPr>
        <w:spacing w:after="0" w:line="480" w:lineRule="auto"/>
        <w:rPr>
          <w:rFonts w:ascii="Arial" w:hAnsi="Arial" w:cs="Arial"/>
          <w:color w:val="000000"/>
          <w:sz w:val="20"/>
          <w:szCs w:val="20"/>
        </w:rPr>
      </w:pPr>
      <w:r w:rsidRPr="00BF3D07">
        <w:rPr>
          <w:rFonts w:ascii="Arial" w:hAnsi="Arial" w:cs="Arial"/>
          <w:sz w:val="20"/>
          <w:szCs w:val="20"/>
        </w:rPr>
        <w:t xml:space="preserve">There is no consistent definition of </w:t>
      </w:r>
      <w:r w:rsidR="004F26A7">
        <w:rPr>
          <w:rFonts w:ascii="Arial" w:hAnsi="Arial" w:cs="Arial"/>
          <w:sz w:val="20"/>
          <w:szCs w:val="20"/>
        </w:rPr>
        <w:t>polypharmacy</w:t>
      </w:r>
      <w:r w:rsidR="004F26A7" w:rsidRPr="00BF3D07">
        <w:rPr>
          <w:rFonts w:ascii="Arial" w:hAnsi="Arial" w:cs="Arial"/>
          <w:sz w:val="20"/>
          <w:szCs w:val="20"/>
        </w:rPr>
        <w:t xml:space="preserve"> </w:t>
      </w:r>
      <w:r w:rsidRPr="00BF3D07">
        <w:rPr>
          <w:rFonts w:ascii="Arial" w:hAnsi="Arial" w:cs="Arial"/>
          <w:sz w:val="20"/>
          <w:szCs w:val="20"/>
        </w:rPr>
        <w:t xml:space="preserve">in the literature. </w:t>
      </w:r>
      <w:r w:rsidR="005A642D" w:rsidRPr="00BF3D07">
        <w:rPr>
          <w:rFonts w:ascii="Arial" w:hAnsi="Arial" w:cs="Arial"/>
          <w:sz w:val="20"/>
          <w:szCs w:val="20"/>
        </w:rPr>
        <w:t xml:space="preserve">We define </w:t>
      </w:r>
      <w:r w:rsidR="004F26A7">
        <w:rPr>
          <w:rFonts w:ascii="Arial" w:hAnsi="Arial" w:cs="Arial"/>
          <w:sz w:val="20"/>
          <w:szCs w:val="20"/>
        </w:rPr>
        <w:t>polypharmacy</w:t>
      </w:r>
      <w:r w:rsidR="004F26A7" w:rsidRPr="00BF3D07">
        <w:rPr>
          <w:rFonts w:ascii="Arial" w:hAnsi="Arial" w:cs="Arial"/>
          <w:sz w:val="20"/>
          <w:szCs w:val="20"/>
        </w:rPr>
        <w:t xml:space="preserve"> </w:t>
      </w:r>
      <w:r w:rsidR="00444A51" w:rsidRPr="00BF3D07">
        <w:rPr>
          <w:rFonts w:ascii="Arial" w:hAnsi="Arial" w:cs="Arial"/>
          <w:sz w:val="20"/>
          <w:szCs w:val="20"/>
        </w:rPr>
        <w:t xml:space="preserve">as the </w:t>
      </w:r>
      <w:r w:rsidRPr="00BF3D07">
        <w:rPr>
          <w:rFonts w:ascii="Arial" w:hAnsi="Arial" w:cs="Arial"/>
          <w:color w:val="000000"/>
          <w:sz w:val="20"/>
          <w:szCs w:val="20"/>
        </w:rPr>
        <w:t>concurrent use of two or more antipsychotic substances for at least 30 days. The overlap period allows for cross-tapering</w:t>
      </w:r>
      <w:r w:rsidR="00A42E0D" w:rsidRPr="00BF3D07">
        <w:rPr>
          <w:rFonts w:ascii="Arial" w:hAnsi="Arial" w:cs="Arial"/>
          <w:color w:val="000000"/>
          <w:sz w:val="20"/>
          <w:szCs w:val="20"/>
        </w:rPr>
        <w:t xml:space="preserve"> between substances</w:t>
      </w:r>
      <w:r w:rsidRPr="00BF3D07">
        <w:rPr>
          <w:rFonts w:ascii="Arial" w:hAnsi="Arial" w:cs="Arial"/>
          <w:color w:val="000000"/>
          <w:sz w:val="20"/>
          <w:szCs w:val="20"/>
        </w:rPr>
        <w:t xml:space="preserve">. A longer overlap period has a higher risk of misclassifying </w:t>
      </w:r>
      <w:r w:rsidR="004F26A7">
        <w:rPr>
          <w:rFonts w:ascii="Arial" w:hAnsi="Arial" w:cs="Arial"/>
          <w:color w:val="000000"/>
          <w:sz w:val="20"/>
          <w:szCs w:val="20"/>
        </w:rPr>
        <w:t>polypharmacy</w:t>
      </w:r>
      <w:r w:rsidR="004F26A7" w:rsidRPr="00BF3D07">
        <w:rPr>
          <w:rFonts w:ascii="Arial" w:hAnsi="Arial" w:cs="Arial"/>
          <w:color w:val="000000"/>
          <w:sz w:val="20"/>
          <w:szCs w:val="20"/>
        </w:rPr>
        <w:t xml:space="preserve"> </w:t>
      </w:r>
      <w:r w:rsidRPr="00BF3D07">
        <w:rPr>
          <w:rFonts w:ascii="Arial" w:hAnsi="Arial" w:cs="Arial"/>
          <w:color w:val="000000"/>
          <w:sz w:val="20"/>
          <w:szCs w:val="20"/>
        </w:rPr>
        <w:t xml:space="preserve">as monotherapy, while a shorter overlap may misclassify switching between substances as </w:t>
      </w:r>
      <w:r w:rsidR="004F26A7">
        <w:rPr>
          <w:rFonts w:ascii="Arial" w:hAnsi="Arial" w:cs="Arial"/>
          <w:color w:val="000000"/>
          <w:sz w:val="20"/>
          <w:szCs w:val="20"/>
        </w:rPr>
        <w:t>polypharmacy</w:t>
      </w:r>
      <w:r w:rsidRPr="00BF3D07">
        <w:rPr>
          <w:rFonts w:ascii="Arial" w:hAnsi="Arial" w:cs="Arial"/>
          <w:color w:val="000000"/>
          <w:sz w:val="20"/>
          <w:szCs w:val="20"/>
        </w:rPr>
        <w:t>. We therefore explored overlap periods of 14, 60</w:t>
      </w:r>
      <w:r w:rsidR="007757DE" w:rsidRPr="00BF3D07">
        <w:rPr>
          <w:rFonts w:ascii="Arial" w:hAnsi="Arial" w:cs="Arial"/>
          <w:color w:val="000000"/>
          <w:sz w:val="20"/>
          <w:szCs w:val="20"/>
        </w:rPr>
        <w:t xml:space="preserve"> </w:t>
      </w:r>
      <w:r w:rsidRPr="00BF3D07">
        <w:rPr>
          <w:rFonts w:ascii="Arial" w:hAnsi="Arial" w:cs="Arial"/>
          <w:color w:val="000000"/>
          <w:sz w:val="20"/>
          <w:szCs w:val="20"/>
        </w:rPr>
        <w:t xml:space="preserve">and 90 days as sensitivity analyses. </w:t>
      </w:r>
    </w:p>
    <w:p w14:paraId="3606A046" w14:textId="30F6019B" w:rsidR="00F9734A" w:rsidRPr="00BF3D07" w:rsidRDefault="00653173" w:rsidP="00B90B29">
      <w:pPr>
        <w:spacing w:after="0" w:line="480" w:lineRule="auto"/>
        <w:rPr>
          <w:rFonts w:ascii="Arial" w:hAnsi="Arial" w:cs="Arial"/>
          <w:sz w:val="20"/>
          <w:szCs w:val="20"/>
        </w:rPr>
      </w:pPr>
      <w:r w:rsidRPr="00BF3D07">
        <w:rPr>
          <w:rFonts w:ascii="Arial" w:hAnsi="Arial" w:cs="Arial"/>
          <w:sz w:val="20"/>
          <w:szCs w:val="20"/>
        </w:rPr>
        <w:t xml:space="preserve">We considered </w:t>
      </w:r>
      <w:r w:rsidR="006A02B4" w:rsidRPr="00BF3D07">
        <w:rPr>
          <w:rFonts w:ascii="Arial" w:hAnsi="Arial" w:cs="Arial"/>
          <w:sz w:val="20"/>
          <w:szCs w:val="20"/>
        </w:rPr>
        <w:t>33</w:t>
      </w:r>
      <w:r w:rsidR="00444A51" w:rsidRPr="00BF3D07">
        <w:rPr>
          <w:rFonts w:ascii="Arial" w:hAnsi="Arial" w:cs="Arial"/>
          <w:sz w:val="20"/>
          <w:szCs w:val="20"/>
        </w:rPr>
        <w:t xml:space="preserve"> antipsychotic substances </w:t>
      </w:r>
      <w:r w:rsidR="007B238E" w:rsidRPr="00BF3D07">
        <w:rPr>
          <w:rFonts w:ascii="Arial" w:hAnsi="Arial" w:cs="Arial"/>
          <w:sz w:val="20"/>
          <w:szCs w:val="20"/>
        </w:rPr>
        <w:t xml:space="preserve">covering first-generation antipsychotic drugs </w:t>
      </w:r>
      <w:r w:rsidR="007B238E" w:rsidRPr="00BF3D07">
        <w:rPr>
          <w:rFonts w:ascii="Arial" w:hAnsi="Arial" w:cs="Arial"/>
          <w:color w:val="000000"/>
          <w:sz w:val="20"/>
          <w:szCs w:val="20"/>
        </w:rPr>
        <w:t>or typical antipsychotics</w:t>
      </w:r>
      <w:r w:rsidR="007B238E" w:rsidRPr="00BF3D07">
        <w:rPr>
          <w:rFonts w:ascii="Arial" w:hAnsi="Arial" w:cs="Arial"/>
          <w:sz w:val="20"/>
          <w:szCs w:val="20"/>
        </w:rPr>
        <w:t xml:space="preserve">, second-generation antipsychotics </w:t>
      </w:r>
      <w:r w:rsidR="007B238E" w:rsidRPr="00BF3D07">
        <w:rPr>
          <w:rFonts w:ascii="Arial" w:hAnsi="Arial" w:cs="Arial"/>
          <w:color w:val="000000"/>
          <w:sz w:val="20"/>
          <w:szCs w:val="20"/>
        </w:rPr>
        <w:t>or atypical antipsychotics</w:t>
      </w:r>
      <w:r w:rsidR="007B238E" w:rsidRPr="00BF3D07">
        <w:rPr>
          <w:rFonts w:ascii="Arial" w:hAnsi="Arial" w:cs="Arial"/>
          <w:sz w:val="20"/>
          <w:szCs w:val="20"/>
        </w:rPr>
        <w:t>, and depot antipsychotics</w:t>
      </w:r>
      <w:r w:rsidR="007B5A73" w:rsidRPr="00BF3D07">
        <w:rPr>
          <w:rFonts w:ascii="Arial" w:hAnsi="Arial" w:cs="Arial"/>
          <w:sz w:val="20"/>
          <w:szCs w:val="20"/>
        </w:rPr>
        <w:t xml:space="preserve"> </w:t>
      </w:r>
      <w:r w:rsidR="007B5A73" w:rsidRPr="00BF3D07">
        <w:rPr>
          <w:rFonts w:ascii="Arial" w:hAnsi="Arial" w:cs="Arial"/>
          <w:sz w:val="20"/>
          <w:szCs w:val="20"/>
        </w:rPr>
        <w:fldChar w:fldCharType="begin"/>
      </w:r>
      <w:r w:rsidR="00713498">
        <w:rPr>
          <w:rFonts w:ascii="Arial" w:hAnsi="Arial" w:cs="Arial"/>
          <w:sz w:val="20"/>
          <w:szCs w:val="20"/>
        </w:rPr>
        <w:instrText xml:space="preserve"> ADDIN EN.CITE &lt;EndNote&gt;&lt;Cite&gt;&lt;Author&gt;Springate&lt;/Author&gt;&lt;Year&gt;2014&lt;/Year&gt;&lt;RecNum&gt;58&lt;/RecNum&gt;&lt;DisplayText&gt;(17, 18)&lt;/DisplayText&gt;&lt;record&gt;&lt;rec-number&gt;58&lt;/rec-number&gt;&lt;foreign-keys&gt;&lt;key app="EN" db-id="p02d9srt525vsredawwvt0alfwx0xzzetfsw" timestamp="1519900470"&gt;58&lt;/key&gt;&lt;/foreign-keys&gt;&lt;ref-type name="Journal Article"&gt;17&lt;/ref-type&gt;&lt;contributors&gt;&lt;authors&gt;&lt;author&gt;Springate, DA&lt;/author&gt;&lt;author&gt;Kontopantelis, E&lt;/author&gt;&lt;author&gt;Ashcroft, DM&lt;/author&gt;&lt;author&gt;Olier, I&lt;/author&gt;&lt;author&gt;Parisi, R&lt;/author&gt;&lt;author&gt;Chamapiwa, E&lt;/author&gt;&lt;author&gt;Reeves, D&lt;/author&gt;&lt;/authors&gt;&lt;/contributors&gt;&lt;titles&gt;&lt;title&gt;ClinicalCodes: An online clinical codes repository to improve the validity and reproducibility of research using electronic medical recors.&lt;/title&gt;&lt;secondary-title&gt;PloS ONE&lt;/secondary-title&gt;&lt;/titles&gt;&lt;periodical&gt;&lt;full-title&gt;PLoS one&lt;/full-title&gt;&lt;/periodical&gt;&lt;volume&gt;9&lt;/volume&gt;&lt;number&gt;6&lt;/number&gt;&lt;dates&gt;&lt;year&gt;2014&lt;/year&gt;&lt;/dates&gt;&lt;urls&gt;&lt;/urls&gt;&lt;electronic-resource-num&gt;10.1371/journal.pone.0099825&lt;/electronic-resource-num&gt;&lt;/record&gt;&lt;/Cite&gt;&lt;Cite&gt;&lt;Author&gt;Windfuhr&lt;/Author&gt;&lt;Year&gt;2016&lt;/Year&gt;&lt;RecNum&gt;59&lt;/RecNum&gt;&lt;record&gt;&lt;rec-number&gt;59&lt;/rec-number&gt;&lt;foreign-keys&gt;&lt;key app="EN" db-id="p02d9srt525vsredawwvt0alfwx0xzzetfsw" timestamp="1519904589"&gt;59&lt;/key&gt;&lt;/foreign-keys&gt;&lt;ref-type name="Journal Article"&gt;17&lt;/ref-type&gt;&lt;contributors&gt;&lt;authors&gt;&lt;author&gt;Windfuhr, K&lt;/author&gt;&lt;author&gt;While, D&lt;/author&gt;&lt;author&gt;Kapur, N&lt;/author&gt;&lt;author&gt;Ashcroft, DM&lt;/author&gt;&lt;author&gt;Kontopantelis, E&lt;/author&gt;&lt;author&gt;Carr, MJ&lt;/author&gt;&lt;author&gt;Shaw, J&lt;/author&gt;&lt;author&gt;Appleby, L&lt;/author&gt;&lt;author&gt;Webb, RT&lt;/author&gt;&lt;/authors&gt;&lt;/contributors&gt;&lt;titles&gt;&lt;title&gt;Suicide risk linked with clinical consultation frequency, psychiatric diagnoses and psychotropic medication prescribing in a national study of primary-care patients&lt;/title&gt;&lt;secondary-title&gt;Psychological Medicine&lt;/secondary-title&gt;&lt;/titles&gt;&lt;periodical&gt;&lt;full-title&gt;Psychological Medicine&lt;/full-title&gt;&lt;/periodical&gt;&lt;pages&gt;3407-3417&lt;/pages&gt;&lt;volume&gt;46&lt;/volume&gt;&lt;dates&gt;&lt;year&gt;2016&lt;/year&gt;&lt;/dates&gt;&lt;urls&gt;&lt;/urls&gt;&lt;/record&gt;&lt;/Cite&gt;&lt;/EndNote&gt;</w:instrText>
      </w:r>
      <w:r w:rsidR="007B5A73" w:rsidRPr="00BF3D07">
        <w:rPr>
          <w:rFonts w:ascii="Arial" w:hAnsi="Arial" w:cs="Arial"/>
          <w:sz w:val="20"/>
          <w:szCs w:val="20"/>
        </w:rPr>
        <w:fldChar w:fldCharType="separate"/>
      </w:r>
      <w:r w:rsidR="00713498">
        <w:rPr>
          <w:rFonts w:ascii="Arial" w:hAnsi="Arial" w:cs="Arial"/>
          <w:noProof/>
          <w:sz w:val="20"/>
          <w:szCs w:val="20"/>
        </w:rPr>
        <w:t>(</w:t>
      </w:r>
      <w:hyperlink w:anchor="_ENREF_17" w:tooltip="Springate, 2014 #58" w:history="1">
        <w:r w:rsidR="00464E25">
          <w:rPr>
            <w:rFonts w:ascii="Arial" w:hAnsi="Arial" w:cs="Arial"/>
            <w:noProof/>
            <w:sz w:val="20"/>
            <w:szCs w:val="20"/>
          </w:rPr>
          <w:t>17</w:t>
        </w:r>
      </w:hyperlink>
      <w:r w:rsidR="00713498">
        <w:rPr>
          <w:rFonts w:ascii="Arial" w:hAnsi="Arial" w:cs="Arial"/>
          <w:noProof/>
          <w:sz w:val="20"/>
          <w:szCs w:val="20"/>
        </w:rPr>
        <w:t xml:space="preserve">, </w:t>
      </w:r>
      <w:hyperlink w:anchor="_ENREF_18" w:tooltip="Windfuhr, 2016 #59" w:history="1">
        <w:r w:rsidR="00464E25">
          <w:rPr>
            <w:rFonts w:ascii="Arial" w:hAnsi="Arial" w:cs="Arial"/>
            <w:noProof/>
            <w:sz w:val="20"/>
            <w:szCs w:val="20"/>
          </w:rPr>
          <w:t>18</w:t>
        </w:r>
      </w:hyperlink>
      <w:r w:rsidR="00713498">
        <w:rPr>
          <w:rFonts w:ascii="Arial" w:hAnsi="Arial" w:cs="Arial"/>
          <w:noProof/>
          <w:sz w:val="20"/>
          <w:szCs w:val="20"/>
        </w:rPr>
        <w:t>)</w:t>
      </w:r>
      <w:r w:rsidR="007B5A73" w:rsidRPr="00BF3D07">
        <w:rPr>
          <w:rFonts w:ascii="Arial" w:hAnsi="Arial" w:cs="Arial"/>
          <w:sz w:val="20"/>
          <w:szCs w:val="20"/>
        </w:rPr>
        <w:fldChar w:fldCharType="end"/>
      </w:r>
      <w:r w:rsidR="00EE2318">
        <w:rPr>
          <w:rFonts w:ascii="Arial" w:hAnsi="Arial" w:cs="Arial"/>
          <w:sz w:val="20"/>
          <w:szCs w:val="20"/>
        </w:rPr>
        <w:t xml:space="preserve"> </w:t>
      </w:r>
      <w:r w:rsidR="005A642D" w:rsidRPr="00BF3D07">
        <w:rPr>
          <w:rFonts w:ascii="Arial" w:hAnsi="Arial" w:cs="Arial"/>
          <w:sz w:val="20"/>
          <w:szCs w:val="20"/>
        </w:rPr>
        <w:t>(</w:t>
      </w:r>
      <w:r w:rsidR="00EE2318">
        <w:rPr>
          <w:rFonts w:ascii="Arial" w:hAnsi="Arial" w:cs="Arial"/>
          <w:sz w:val="20"/>
          <w:szCs w:val="20"/>
        </w:rPr>
        <w:t xml:space="preserve">see </w:t>
      </w:r>
      <w:r w:rsidR="00403372">
        <w:rPr>
          <w:rFonts w:ascii="Arial" w:hAnsi="Arial" w:cs="Arial"/>
          <w:sz w:val="20"/>
          <w:szCs w:val="20"/>
        </w:rPr>
        <w:t>online suppl</w:t>
      </w:r>
      <w:r w:rsidR="00AF3BEB">
        <w:rPr>
          <w:rFonts w:ascii="Arial" w:hAnsi="Arial" w:cs="Arial"/>
          <w:sz w:val="20"/>
          <w:szCs w:val="20"/>
        </w:rPr>
        <w:t>e</w:t>
      </w:r>
      <w:r w:rsidR="00403372">
        <w:rPr>
          <w:rFonts w:ascii="Arial" w:hAnsi="Arial" w:cs="Arial"/>
          <w:sz w:val="20"/>
          <w:szCs w:val="20"/>
        </w:rPr>
        <w:t>ment</w:t>
      </w:r>
      <w:r w:rsidR="005A642D" w:rsidRPr="00ED1D07">
        <w:rPr>
          <w:rFonts w:ascii="Arial" w:hAnsi="Arial" w:cs="Arial"/>
          <w:sz w:val="20"/>
          <w:szCs w:val="20"/>
        </w:rPr>
        <w:t>)</w:t>
      </w:r>
      <w:r w:rsidR="00EE2318">
        <w:rPr>
          <w:rFonts w:ascii="Arial" w:hAnsi="Arial" w:cs="Arial"/>
          <w:sz w:val="20"/>
          <w:szCs w:val="20"/>
        </w:rPr>
        <w:t>.</w:t>
      </w:r>
      <w:r w:rsidRPr="00BF3D07">
        <w:rPr>
          <w:rFonts w:ascii="Arial" w:hAnsi="Arial" w:cs="Arial"/>
          <w:sz w:val="20"/>
          <w:szCs w:val="20"/>
        </w:rPr>
        <w:t xml:space="preserve"> </w:t>
      </w:r>
    </w:p>
    <w:p w14:paraId="373F5E65" w14:textId="6474C9B7" w:rsidR="00C548A4" w:rsidRPr="00BF3D07" w:rsidRDefault="00F9734A" w:rsidP="00C548A4">
      <w:pPr>
        <w:pStyle w:val="CommentText"/>
        <w:spacing w:after="0" w:line="480" w:lineRule="auto"/>
        <w:rPr>
          <w:rFonts w:ascii="Arial" w:hAnsi="Arial" w:cs="Arial"/>
        </w:rPr>
      </w:pPr>
      <w:r w:rsidRPr="00BF3D07">
        <w:rPr>
          <w:rFonts w:ascii="Arial" w:hAnsi="Arial" w:cs="Arial"/>
        </w:rPr>
        <w:t xml:space="preserve">CPRD data provides </w:t>
      </w:r>
      <w:r w:rsidR="00407C07">
        <w:rPr>
          <w:rFonts w:ascii="Arial" w:hAnsi="Arial" w:cs="Arial"/>
        </w:rPr>
        <w:t>the date</w:t>
      </w:r>
      <w:r w:rsidRPr="00BF3D07">
        <w:rPr>
          <w:rFonts w:ascii="Arial" w:hAnsi="Arial" w:cs="Arial"/>
        </w:rPr>
        <w:t xml:space="preserve"> </w:t>
      </w:r>
      <w:r w:rsidR="00407C07">
        <w:rPr>
          <w:rFonts w:ascii="Arial" w:hAnsi="Arial" w:cs="Arial"/>
        </w:rPr>
        <w:t>a prescription was issued</w:t>
      </w:r>
      <w:r w:rsidRPr="00BF3D07">
        <w:rPr>
          <w:rFonts w:ascii="Arial" w:hAnsi="Arial" w:cs="Arial"/>
        </w:rPr>
        <w:t xml:space="preserve"> but the duration of prescriptions is poorly recorded. </w:t>
      </w:r>
      <w:r w:rsidR="00A925AA" w:rsidRPr="00BF3D07">
        <w:rPr>
          <w:rFonts w:ascii="Arial" w:hAnsi="Arial" w:cs="Arial"/>
        </w:rPr>
        <w:t xml:space="preserve"> We infer</w:t>
      </w:r>
      <w:r w:rsidR="00A529B5">
        <w:rPr>
          <w:rFonts w:ascii="Arial" w:hAnsi="Arial" w:cs="Arial"/>
        </w:rPr>
        <w:t>red</w:t>
      </w:r>
      <w:r w:rsidR="00A925AA" w:rsidRPr="00BF3D07">
        <w:rPr>
          <w:rFonts w:ascii="Arial" w:hAnsi="Arial" w:cs="Arial"/>
        </w:rPr>
        <w:t xml:space="preserve"> treatment duration from the total quantity (number of units) prescribed and the numeric daily dose (number of units per day). The latter is missing for 23% of prescriptions. For these </w:t>
      </w:r>
      <w:r w:rsidR="00C1587E" w:rsidRPr="00BF3D07">
        <w:rPr>
          <w:rFonts w:ascii="Arial" w:hAnsi="Arial" w:cs="Arial"/>
        </w:rPr>
        <w:t>prescriptions,</w:t>
      </w:r>
      <w:r w:rsidR="00A925AA" w:rsidRPr="00BF3D07">
        <w:rPr>
          <w:rFonts w:ascii="Arial" w:hAnsi="Arial" w:cs="Arial"/>
        </w:rPr>
        <w:t xml:space="preserve"> we imputed the numeric daily dose </w:t>
      </w:r>
      <w:r w:rsidR="0014120E" w:rsidRPr="00BF3D07">
        <w:rPr>
          <w:rFonts w:ascii="Arial" w:hAnsi="Arial" w:cs="Arial"/>
        </w:rPr>
        <w:t xml:space="preserve">using an imputation strategy explained </w:t>
      </w:r>
      <w:r w:rsidR="000E6828">
        <w:rPr>
          <w:rFonts w:ascii="Arial" w:hAnsi="Arial" w:cs="Arial"/>
        </w:rPr>
        <w:t>in</w:t>
      </w:r>
      <w:r w:rsidR="00EE2318" w:rsidRPr="00BF3D07">
        <w:rPr>
          <w:rFonts w:ascii="Arial" w:hAnsi="Arial" w:cs="Arial"/>
        </w:rPr>
        <w:t xml:space="preserve"> the </w:t>
      </w:r>
      <w:r w:rsidR="00DE31D8">
        <w:rPr>
          <w:rFonts w:ascii="Arial" w:hAnsi="Arial" w:cs="Arial"/>
        </w:rPr>
        <w:t>online s</w:t>
      </w:r>
      <w:r w:rsidR="00EE2318">
        <w:rPr>
          <w:rFonts w:ascii="Arial" w:hAnsi="Arial" w:cs="Arial"/>
        </w:rPr>
        <w:t>upplement</w:t>
      </w:r>
      <w:r w:rsidR="00A925AA" w:rsidRPr="00BF3D07">
        <w:rPr>
          <w:rFonts w:ascii="Arial" w:hAnsi="Arial" w:cs="Arial"/>
        </w:rPr>
        <w:t>.</w:t>
      </w:r>
      <w:r w:rsidR="00665F9A" w:rsidRPr="00BF3D07">
        <w:rPr>
          <w:rFonts w:ascii="Arial" w:hAnsi="Arial" w:cs="Arial"/>
        </w:rPr>
        <w:t xml:space="preserve"> </w:t>
      </w:r>
      <w:r w:rsidR="00E45AD9">
        <w:rPr>
          <w:rFonts w:ascii="Arial" w:hAnsi="Arial" w:cs="Arial"/>
        </w:rPr>
        <w:t xml:space="preserve"> </w:t>
      </w:r>
      <w:r w:rsidR="003C5209">
        <w:rPr>
          <w:rFonts w:ascii="Arial" w:hAnsi="Arial" w:cs="Arial"/>
        </w:rPr>
        <w:t>Less than 0.02%</w:t>
      </w:r>
      <w:r w:rsidR="003C5209" w:rsidRPr="00BF3D07">
        <w:rPr>
          <w:rFonts w:ascii="Arial" w:hAnsi="Arial" w:cs="Arial"/>
        </w:rPr>
        <w:t xml:space="preserve"> of prescription records </w:t>
      </w:r>
      <w:r w:rsidR="00E873AE" w:rsidRPr="00BF3D07">
        <w:rPr>
          <w:rFonts w:ascii="Arial" w:hAnsi="Arial" w:cs="Arial"/>
        </w:rPr>
        <w:t>were dropped from the analysis</w:t>
      </w:r>
      <w:r w:rsidR="00E873AE">
        <w:rPr>
          <w:rFonts w:ascii="Arial" w:hAnsi="Arial" w:cs="Arial"/>
        </w:rPr>
        <w:t xml:space="preserve"> because they had</w:t>
      </w:r>
      <w:r w:rsidR="003C5209">
        <w:rPr>
          <w:rFonts w:ascii="Arial" w:hAnsi="Arial" w:cs="Arial"/>
        </w:rPr>
        <w:t xml:space="preserve"> implausibly large estimated duration</w:t>
      </w:r>
      <w:r w:rsidR="003C5209" w:rsidRPr="00BF3D07">
        <w:rPr>
          <w:rFonts w:ascii="Arial" w:hAnsi="Arial" w:cs="Arial"/>
        </w:rPr>
        <w:t>.</w:t>
      </w:r>
      <w:r w:rsidR="003C5209">
        <w:rPr>
          <w:rFonts w:ascii="Arial" w:hAnsi="Arial" w:cs="Arial"/>
        </w:rPr>
        <w:t xml:space="preserve"> </w:t>
      </w:r>
      <w:r w:rsidR="00665F9A" w:rsidRPr="00BF3D07">
        <w:rPr>
          <w:rFonts w:ascii="Arial" w:hAnsi="Arial" w:cs="Arial"/>
          <w:lang w:eastAsia="ja-JP"/>
        </w:rPr>
        <w:t xml:space="preserve">From the prescription dates and </w:t>
      </w:r>
      <w:r w:rsidR="000E6828" w:rsidRPr="00BF3D07">
        <w:rPr>
          <w:rFonts w:ascii="Arial" w:hAnsi="Arial" w:cs="Arial"/>
          <w:lang w:eastAsia="ja-JP"/>
        </w:rPr>
        <w:t>durations,</w:t>
      </w:r>
      <w:r w:rsidR="00665F9A" w:rsidRPr="00BF3D07">
        <w:rPr>
          <w:rFonts w:ascii="Arial" w:hAnsi="Arial" w:cs="Arial"/>
          <w:lang w:eastAsia="ja-JP"/>
        </w:rPr>
        <w:t xml:space="preserve"> we construct</w:t>
      </w:r>
      <w:r w:rsidR="000C628D" w:rsidRPr="00BF3D07">
        <w:rPr>
          <w:rFonts w:ascii="Arial" w:hAnsi="Arial" w:cs="Arial"/>
          <w:lang w:eastAsia="ja-JP"/>
        </w:rPr>
        <w:t>ed</w:t>
      </w:r>
      <w:r w:rsidR="00665F9A" w:rsidRPr="00BF3D07">
        <w:rPr>
          <w:rFonts w:ascii="Arial" w:hAnsi="Arial" w:cs="Arial"/>
          <w:lang w:eastAsia="ja-JP"/>
        </w:rPr>
        <w:t xml:space="preserve"> </w:t>
      </w:r>
      <w:r w:rsidR="007674F4" w:rsidRPr="00BF3D07">
        <w:rPr>
          <w:rFonts w:ascii="Arial" w:hAnsi="Arial" w:cs="Arial"/>
          <w:lang w:eastAsia="ja-JP"/>
        </w:rPr>
        <w:t>the patient’s medication profile</w:t>
      </w:r>
      <w:r w:rsidR="00E84248" w:rsidRPr="00BF3D07">
        <w:rPr>
          <w:rFonts w:ascii="Arial" w:hAnsi="Arial" w:cs="Arial"/>
          <w:lang w:eastAsia="ja-JP"/>
        </w:rPr>
        <w:t>:</w:t>
      </w:r>
      <w:r w:rsidR="007674F4" w:rsidRPr="00BF3D07">
        <w:rPr>
          <w:rFonts w:ascii="Arial" w:hAnsi="Arial" w:cs="Arial"/>
          <w:lang w:eastAsia="ja-JP"/>
        </w:rPr>
        <w:t xml:space="preserve"> </w:t>
      </w:r>
      <w:r w:rsidR="00C548A4" w:rsidRPr="00BF3D07">
        <w:rPr>
          <w:rFonts w:ascii="Arial" w:hAnsi="Arial" w:cs="Arial"/>
          <w:lang w:eastAsia="ja-JP"/>
        </w:rPr>
        <w:t xml:space="preserve">times at which the patient is on </w:t>
      </w:r>
      <w:r w:rsidR="00F86B6C" w:rsidRPr="00BF3D07">
        <w:rPr>
          <w:rFonts w:ascii="Arial" w:hAnsi="Arial" w:cs="Arial"/>
          <w:lang w:eastAsia="ja-JP"/>
        </w:rPr>
        <w:t xml:space="preserve">any </w:t>
      </w:r>
      <w:r w:rsidR="00C548A4" w:rsidRPr="00BF3D07">
        <w:rPr>
          <w:rFonts w:ascii="Arial" w:hAnsi="Arial" w:cs="Arial"/>
          <w:lang w:eastAsia="ja-JP"/>
        </w:rPr>
        <w:t>antipsychotic medication and</w:t>
      </w:r>
      <w:r w:rsidR="00F86B6C" w:rsidRPr="00BF3D07">
        <w:rPr>
          <w:rFonts w:ascii="Arial" w:hAnsi="Arial" w:cs="Arial"/>
          <w:lang w:eastAsia="ja-JP"/>
        </w:rPr>
        <w:t xml:space="preserve"> on</w:t>
      </w:r>
      <w:r w:rsidR="00C548A4" w:rsidRPr="00BF3D07">
        <w:rPr>
          <w:rFonts w:ascii="Arial" w:hAnsi="Arial" w:cs="Arial"/>
          <w:lang w:eastAsia="ja-JP"/>
        </w:rPr>
        <w:t xml:space="preserve"> </w:t>
      </w:r>
      <w:r w:rsidR="004F26A7">
        <w:rPr>
          <w:rFonts w:ascii="Arial" w:hAnsi="Arial" w:cs="Arial"/>
          <w:lang w:eastAsia="ja-JP"/>
        </w:rPr>
        <w:t>polypharmacy</w:t>
      </w:r>
      <w:r w:rsidR="00C548A4" w:rsidRPr="00BF3D07">
        <w:rPr>
          <w:rFonts w:ascii="Arial" w:hAnsi="Arial" w:cs="Arial"/>
          <w:lang w:eastAsia="ja-JP"/>
        </w:rPr>
        <w:t>.</w:t>
      </w:r>
      <w:r w:rsidR="00E84248" w:rsidRPr="00BF3D07">
        <w:rPr>
          <w:rFonts w:ascii="Arial" w:hAnsi="Arial" w:cs="Arial"/>
        </w:rPr>
        <w:t xml:space="preserve"> </w:t>
      </w:r>
    </w:p>
    <w:p w14:paraId="1DA68DFD" w14:textId="47D0F8A9" w:rsidR="00D649C3" w:rsidRPr="00BF3D07" w:rsidRDefault="00D649C3" w:rsidP="00C548A4">
      <w:pPr>
        <w:pStyle w:val="CommentText"/>
        <w:spacing w:after="0" w:line="480" w:lineRule="auto"/>
        <w:rPr>
          <w:rFonts w:ascii="Arial" w:hAnsi="Arial" w:cs="Arial"/>
        </w:rPr>
      </w:pPr>
      <w:r w:rsidRPr="00BF3D07">
        <w:rPr>
          <w:rFonts w:ascii="Arial" w:hAnsi="Arial" w:cs="Arial"/>
          <w:lang w:eastAsia="ja-JP"/>
        </w:rPr>
        <w:t xml:space="preserve">We calculated two measures of </w:t>
      </w:r>
      <w:r w:rsidR="004F26A7">
        <w:rPr>
          <w:rFonts w:ascii="Arial" w:hAnsi="Arial" w:cs="Arial"/>
          <w:lang w:eastAsia="ja-JP"/>
        </w:rPr>
        <w:t>polypharmacy</w:t>
      </w:r>
      <w:r w:rsidR="004F26A7" w:rsidRPr="00BF3D07">
        <w:rPr>
          <w:rFonts w:ascii="Arial" w:hAnsi="Arial" w:cs="Arial"/>
          <w:lang w:eastAsia="ja-JP"/>
        </w:rPr>
        <w:t xml:space="preserve"> </w:t>
      </w:r>
      <w:r w:rsidRPr="00BF3D07">
        <w:rPr>
          <w:rFonts w:ascii="Arial" w:hAnsi="Arial" w:cs="Arial"/>
          <w:lang w:eastAsia="ja-JP"/>
        </w:rPr>
        <w:t xml:space="preserve">prevalence. First, the annual prevalence of </w:t>
      </w:r>
      <w:r w:rsidR="004F26A7">
        <w:rPr>
          <w:rFonts w:ascii="Arial" w:hAnsi="Arial" w:cs="Arial"/>
          <w:lang w:eastAsia="ja-JP"/>
        </w:rPr>
        <w:t>polypharmacy</w:t>
      </w:r>
      <w:r w:rsidRPr="00BF3D07">
        <w:rPr>
          <w:rFonts w:ascii="Arial" w:hAnsi="Arial" w:cs="Arial"/>
          <w:lang w:eastAsia="ja-JP"/>
        </w:rPr>
        <w:t xml:space="preserve"> as the number of patients with at least one </w:t>
      </w:r>
      <w:r w:rsidR="004F26A7">
        <w:rPr>
          <w:rFonts w:ascii="Arial" w:hAnsi="Arial" w:cs="Arial"/>
          <w:lang w:eastAsia="ja-JP"/>
        </w:rPr>
        <w:t>polypharmacy</w:t>
      </w:r>
      <w:r w:rsidRPr="00BF3D07">
        <w:rPr>
          <w:rFonts w:ascii="Arial" w:hAnsi="Arial" w:cs="Arial"/>
          <w:lang w:eastAsia="ja-JP"/>
        </w:rPr>
        <w:t xml:space="preserve"> episode in a year divided by the total number of patients observed during that year.  Second, the rate of </w:t>
      </w:r>
      <w:r w:rsidR="004F26A7">
        <w:rPr>
          <w:rFonts w:ascii="Arial" w:hAnsi="Arial" w:cs="Arial"/>
          <w:lang w:eastAsia="ja-JP"/>
        </w:rPr>
        <w:t>polypharmacy</w:t>
      </w:r>
      <w:r w:rsidRPr="00BF3D07">
        <w:rPr>
          <w:rFonts w:ascii="Arial" w:hAnsi="Arial" w:cs="Arial"/>
          <w:lang w:eastAsia="ja-JP"/>
        </w:rPr>
        <w:t xml:space="preserve"> defined as the </w:t>
      </w:r>
      <w:r w:rsidR="00465356">
        <w:rPr>
          <w:rFonts w:ascii="Arial" w:hAnsi="Arial" w:cs="Arial"/>
          <w:lang w:eastAsia="ja-JP"/>
        </w:rPr>
        <w:t>sum</w:t>
      </w:r>
      <w:r w:rsidRPr="00BF3D07">
        <w:rPr>
          <w:rFonts w:ascii="Arial" w:hAnsi="Arial" w:cs="Arial"/>
          <w:lang w:eastAsia="ja-JP"/>
        </w:rPr>
        <w:t xml:space="preserve"> of </w:t>
      </w:r>
      <w:r w:rsidR="0010065F">
        <w:rPr>
          <w:rFonts w:ascii="Arial" w:hAnsi="Arial" w:cs="Arial"/>
          <w:lang w:eastAsia="ja-JP"/>
        </w:rPr>
        <w:t xml:space="preserve">all patients’ </w:t>
      </w:r>
      <w:r w:rsidR="004F26A7">
        <w:rPr>
          <w:rFonts w:ascii="Arial" w:hAnsi="Arial" w:cs="Arial"/>
          <w:lang w:eastAsia="ja-JP"/>
        </w:rPr>
        <w:t>polypharmacy</w:t>
      </w:r>
      <w:r w:rsidRPr="00BF3D07">
        <w:rPr>
          <w:rFonts w:ascii="Arial" w:hAnsi="Arial" w:cs="Arial"/>
          <w:lang w:eastAsia="ja-JP"/>
        </w:rPr>
        <w:t xml:space="preserve"> days in a year over the </w:t>
      </w:r>
      <w:r w:rsidR="00465356">
        <w:rPr>
          <w:rFonts w:ascii="Arial" w:hAnsi="Arial" w:cs="Arial"/>
          <w:lang w:eastAsia="ja-JP"/>
        </w:rPr>
        <w:t>sum of</w:t>
      </w:r>
      <w:r w:rsidRPr="00BF3D07">
        <w:rPr>
          <w:rFonts w:ascii="Arial" w:hAnsi="Arial" w:cs="Arial"/>
          <w:lang w:eastAsia="ja-JP"/>
        </w:rPr>
        <w:t xml:space="preserve"> </w:t>
      </w:r>
      <w:r w:rsidR="00465356">
        <w:rPr>
          <w:rFonts w:ascii="Arial" w:hAnsi="Arial" w:cs="Arial"/>
          <w:lang w:eastAsia="ja-JP"/>
        </w:rPr>
        <w:t xml:space="preserve">all patients’ </w:t>
      </w:r>
      <w:r w:rsidRPr="00BF3D07">
        <w:rPr>
          <w:rFonts w:ascii="Arial" w:hAnsi="Arial" w:cs="Arial"/>
          <w:lang w:eastAsia="ja-JP"/>
        </w:rPr>
        <w:t xml:space="preserve">days </w:t>
      </w:r>
      <w:r w:rsidR="00465356">
        <w:rPr>
          <w:rFonts w:ascii="Arial" w:hAnsi="Arial" w:cs="Arial"/>
          <w:lang w:eastAsia="ja-JP"/>
        </w:rPr>
        <w:t xml:space="preserve">at risk of </w:t>
      </w:r>
      <w:r w:rsidR="004F26A7">
        <w:rPr>
          <w:rFonts w:ascii="Arial" w:hAnsi="Arial" w:cs="Arial"/>
          <w:lang w:eastAsia="ja-JP"/>
        </w:rPr>
        <w:t>polypharmacy</w:t>
      </w:r>
      <w:r w:rsidR="00465356">
        <w:rPr>
          <w:rFonts w:ascii="Arial" w:hAnsi="Arial" w:cs="Arial"/>
          <w:lang w:eastAsia="ja-JP"/>
        </w:rPr>
        <w:t xml:space="preserve"> </w:t>
      </w:r>
      <w:r w:rsidRPr="00BF3D07">
        <w:rPr>
          <w:rFonts w:ascii="Arial" w:hAnsi="Arial" w:cs="Arial"/>
          <w:lang w:eastAsia="ja-JP"/>
        </w:rPr>
        <w:t xml:space="preserve">in that year.  </w:t>
      </w:r>
      <w:r w:rsidR="00C01E5D">
        <w:rPr>
          <w:rFonts w:ascii="Arial" w:hAnsi="Arial" w:cs="Arial"/>
          <w:lang w:eastAsia="ja-JP"/>
        </w:rPr>
        <w:t xml:space="preserve">The latter </w:t>
      </w:r>
      <w:r w:rsidR="00DE31D8">
        <w:rPr>
          <w:rFonts w:ascii="Arial" w:hAnsi="Arial" w:cs="Arial"/>
          <w:lang w:eastAsia="ja-JP"/>
        </w:rPr>
        <w:t xml:space="preserve">measure </w:t>
      </w:r>
      <w:r w:rsidR="00C01E5D">
        <w:rPr>
          <w:rFonts w:ascii="Arial" w:hAnsi="Arial" w:cs="Arial"/>
          <w:lang w:eastAsia="ja-JP"/>
        </w:rPr>
        <w:t xml:space="preserve">is </w:t>
      </w:r>
      <w:r w:rsidR="00DE31D8">
        <w:rPr>
          <w:rFonts w:ascii="Arial" w:hAnsi="Arial" w:cs="Arial"/>
          <w:lang w:eastAsia="ja-JP"/>
        </w:rPr>
        <w:t>an improvement</w:t>
      </w:r>
      <w:r w:rsidR="00C01E5D">
        <w:rPr>
          <w:rFonts w:ascii="Arial" w:hAnsi="Arial" w:cs="Arial"/>
          <w:lang w:eastAsia="ja-JP"/>
        </w:rPr>
        <w:t xml:space="preserve"> </w:t>
      </w:r>
      <w:r w:rsidR="00DE31D8">
        <w:rPr>
          <w:rFonts w:ascii="Arial" w:hAnsi="Arial" w:cs="Arial"/>
          <w:lang w:eastAsia="ja-JP"/>
        </w:rPr>
        <w:lastRenderedPageBreak/>
        <w:t>over</w:t>
      </w:r>
      <w:r w:rsidR="00C01E5D">
        <w:rPr>
          <w:rFonts w:ascii="Arial" w:hAnsi="Arial" w:cs="Arial"/>
          <w:lang w:eastAsia="ja-JP"/>
        </w:rPr>
        <w:t xml:space="preserve"> </w:t>
      </w:r>
      <w:r w:rsidR="00F31937">
        <w:rPr>
          <w:rFonts w:ascii="Arial" w:hAnsi="Arial" w:cs="Arial"/>
          <w:lang w:eastAsia="ja-JP"/>
        </w:rPr>
        <w:t xml:space="preserve">the commonly reported </w:t>
      </w:r>
      <w:r w:rsidR="00C01E5D">
        <w:rPr>
          <w:rFonts w:ascii="Arial" w:hAnsi="Arial" w:cs="Arial"/>
          <w:lang w:eastAsia="ja-JP"/>
        </w:rPr>
        <w:t xml:space="preserve">point estimates of polypharmacy prevalence </w:t>
      </w:r>
      <w:r w:rsidR="00F31937">
        <w:rPr>
          <w:rFonts w:ascii="Arial" w:hAnsi="Arial" w:cs="Arial"/>
          <w:lang w:eastAsia="ja-JP"/>
        </w:rPr>
        <w:t>that</w:t>
      </w:r>
      <w:r w:rsidR="00DE31D8">
        <w:rPr>
          <w:rFonts w:ascii="Arial" w:hAnsi="Arial" w:cs="Arial"/>
          <w:lang w:eastAsia="ja-JP"/>
        </w:rPr>
        <w:t xml:space="preserve"> </w:t>
      </w:r>
      <w:r w:rsidR="00F31937">
        <w:rPr>
          <w:rFonts w:ascii="Arial" w:hAnsi="Arial" w:cs="Arial"/>
          <w:color w:val="222222"/>
          <w:shd w:val="clear" w:color="auto" w:fill="FFFFFF"/>
        </w:rPr>
        <w:t>measure the proportion</w:t>
      </w:r>
      <w:r w:rsidR="00C01E5D" w:rsidRPr="0026542F">
        <w:rPr>
          <w:rFonts w:ascii="Arial" w:hAnsi="Arial" w:cs="Arial"/>
          <w:color w:val="222222"/>
          <w:shd w:val="clear" w:color="auto" w:fill="FFFFFF"/>
        </w:rPr>
        <w:t xml:space="preserve"> of eligible individuals </w:t>
      </w:r>
      <w:r w:rsidR="00952D9E">
        <w:rPr>
          <w:rFonts w:ascii="Arial" w:hAnsi="Arial" w:cs="Arial"/>
          <w:color w:val="222222"/>
          <w:shd w:val="clear" w:color="auto" w:fill="FFFFFF"/>
        </w:rPr>
        <w:t>on</w:t>
      </w:r>
      <w:r w:rsidR="00C01E5D" w:rsidRPr="0026542F">
        <w:rPr>
          <w:rFonts w:ascii="Arial" w:hAnsi="Arial" w:cs="Arial"/>
          <w:color w:val="222222"/>
          <w:shd w:val="clear" w:color="auto" w:fill="FFFFFF"/>
        </w:rPr>
        <w:t xml:space="preserve"> polypharmacy</w:t>
      </w:r>
      <w:r w:rsidR="00DE31D8">
        <w:rPr>
          <w:rFonts w:ascii="Arial" w:hAnsi="Arial" w:cs="Arial"/>
          <w:color w:val="222222"/>
          <w:shd w:val="clear" w:color="auto" w:fill="FFFFFF"/>
        </w:rPr>
        <w:t xml:space="preserve"> </w:t>
      </w:r>
      <w:r w:rsidR="00DE31D8" w:rsidRPr="0026542F">
        <w:rPr>
          <w:rFonts w:ascii="Arial" w:hAnsi="Arial" w:cs="Arial"/>
          <w:color w:val="222222"/>
          <w:shd w:val="clear" w:color="auto" w:fill="FFFFFF"/>
        </w:rPr>
        <w:t>on a given</w:t>
      </w:r>
      <w:r w:rsidR="00F31937">
        <w:rPr>
          <w:rFonts w:ascii="Arial" w:hAnsi="Arial" w:cs="Arial"/>
          <w:color w:val="222222"/>
          <w:shd w:val="clear" w:color="auto" w:fill="FFFFFF"/>
        </w:rPr>
        <w:t xml:space="preserve"> </w:t>
      </w:r>
      <w:r w:rsidR="00DE31D8" w:rsidRPr="0026542F">
        <w:rPr>
          <w:rFonts w:ascii="Arial" w:hAnsi="Arial" w:cs="Arial"/>
          <w:color w:val="222222"/>
          <w:shd w:val="clear" w:color="auto" w:fill="FFFFFF"/>
        </w:rPr>
        <w:t>day</w:t>
      </w:r>
      <w:r w:rsidR="00F31937">
        <w:rPr>
          <w:rFonts w:ascii="Arial" w:hAnsi="Arial" w:cs="Arial"/>
          <w:color w:val="222222"/>
          <w:shd w:val="clear" w:color="auto" w:fill="FFFFFF"/>
        </w:rPr>
        <w:t xml:space="preserve"> (see</w:t>
      </w:r>
      <w:r w:rsidR="00F54A41">
        <w:rPr>
          <w:rFonts w:ascii="Arial" w:hAnsi="Arial" w:cs="Arial"/>
          <w:color w:val="222222"/>
          <w:shd w:val="clear" w:color="auto" w:fill="FFFFFF"/>
        </w:rPr>
        <w:t xml:space="preserve"> online supplement </w:t>
      </w:r>
      <w:r w:rsidR="00F31937">
        <w:rPr>
          <w:rFonts w:ascii="Arial" w:hAnsi="Arial" w:cs="Arial"/>
          <w:color w:val="222222"/>
          <w:shd w:val="clear" w:color="auto" w:fill="FFFFFF"/>
        </w:rPr>
        <w:t>for a proof)</w:t>
      </w:r>
      <w:r w:rsidR="00F54A41">
        <w:rPr>
          <w:rFonts w:ascii="Arial" w:hAnsi="Arial" w:cs="Arial"/>
          <w:color w:val="222222"/>
          <w:shd w:val="clear" w:color="auto" w:fill="FFFFFF"/>
        </w:rPr>
        <w:t>.</w:t>
      </w:r>
    </w:p>
    <w:p w14:paraId="15150EAD" w14:textId="29A632BD" w:rsidR="00D34FD9" w:rsidRPr="005120C4" w:rsidRDefault="001156CC" w:rsidP="005120C4">
      <w:pPr>
        <w:pStyle w:val="Heading2"/>
      </w:pPr>
      <w:r w:rsidRPr="005120C4">
        <w:t>Covariates</w:t>
      </w:r>
    </w:p>
    <w:p w14:paraId="63E0CF59" w14:textId="2EF2DF9F" w:rsidR="004E03EB" w:rsidRPr="00BF3D07" w:rsidRDefault="001156CC" w:rsidP="00751930">
      <w:pPr>
        <w:spacing w:after="0" w:line="480" w:lineRule="auto"/>
        <w:rPr>
          <w:rFonts w:ascii="Arial" w:hAnsi="Arial" w:cs="Arial"/>
          <w:sz w:val="20"/>
          <w:szCs w:val="20"/>
          <w:lang w:eastAsia="ja-JP"/>
        </w:rPr>
      </w:pPr>
      <w:r w:rsidRPr="00BF3D07">
        <w:rPr>
          <w:rFonts w:ascii="Arial" w:hAnsi="Arial" w:cs="Arial"/>
          <w:sz w:val="20"/>
          <w:szCs w:val="20"/>
          <w:lang w:eastAsia="ja-JP"/>
        </w:rPr>
        <w:t xml:space="preserve">We used </w:t>
      </w:r>
      <w:r w:rsidR="004E03EB" w:rsidRPr="00BF3D07">
        <w:rPr>
          <w:rFonts w:ascii="Arial" w:hAnsi="Arial" w:cs="Arial"/>
          <w:sz w:val="20"/>
          <w:szCs w:val="20"/>
          <w:lang w:eastAsia="ja-JP"/>
        </w:rPr>
        <w:t xml:space="preserve">Read codes </w:t>
      </w:r>
      <w:r w:rsidR="00EE2318">
        <w:rPr>
          <w:rFonts w:ascii="Arial" w:hAnsi="Arial" w:cs="Arial"/>
          <w:sz w:val="20"/>
          <w:szCs w:val="20"/>
          <w:lang w:eastAsia="ja-JP"/>
        </w:rPr>
        <w:t xml:space="preserve">(the diagnostic codes used in UK primary care) </w:t>
      </w:r>
      <w:r w:rsidR="004E03EB" w:rsidRPr="00BF3D07">
        <w:rPr>
          <w:rFonts w:ascii="Arial" w:hAnsi="Arial" w:cs="Arial"/>
          <w:sz w:val="20"/>
          <w:szCs w:val="20"/>
          <w:lang w:eastAsia="ja-JP"/>
        </w:rPr>
        <w:t>recorded over the entire patient’s history and</w:t>
      </w:r>
      <w:r w:rsidRPr="00BF3D07">
        <w:rPr>
          <w:rFonts w:ascii="Arial" w:hAnsi="Arial" w:cs="Arial"/>
          <w:sz w:val="20"/>
          <w:szCs w:val="20"/>
          <w:lang w:eastAsia="ja-JP"/>
        </w:rPr>
        <w:t xml:space="preserve"> our own</w:t>
      </w:r>
      <w:r w:rsidR="004E03EB" w:rsidRPr="00BF3D07">
        <w:rPr>
          <w:rFonts w:ascii="Arial" w:hAnsi="Arial" w:cs="Arial"/>
          <w:sz w:val="20"/>
          <w:szCs w:val="20"/>
          <w:lang w:eastAsia="ja-JP"/>
        </w:rPr>
        <w:t xml:space="preserve"> clinical expertise </w:t>
      </w:r>
      <w:r w:rsidRPr="00BF3D07">
        <w:rPr>
          <w:rFonts w:ascii="Arial" w:hAnsi="Arial" w:cs="Arial"/>
          <w:sz w:val="20"/>
          <w:szCs w:val="20"/>
          <w:lang w:eastAsia="ja-JP"/>
        </w:rPr>
        <w:t xml:space="preserve">to </w:t>
      </w:r>
      <w:r w:rsidR="004E03EB" w:rsidRPr="00BF3D07">
        <w:rPr>
          <w:rFonts w:ascii="Arial" w:hAnsi="Arial" w:cs="Arial"/>
          <w:sz w:val="20"/>
          <w:szCs w:val="20"/>
          <w:lang w:eastAsia="ja-JP"/>
        </w:rPr>
        <w:t>define t</w:t>
      </w:r>
      <w:r w:rsidR="002C4CAC" w:rsidRPr="00BF3D07">
        <w:rPr>
          <w:rFonts w:ascii="Arial" w:hAnsi="Arial" w:cs="Arial"/>
          <w:sz w:val="20"/>
          <w:szCs w:val="20"/>
          <w:lang w:eastAsia="ja-JP"/>
        </w:rPr>
        <w:t>hree diagnostic categories: schizophrenia and other psychoses, bipolar d</w:t>
      </w:r>
      <w:r w:rsidR="007F3BBA">
        <w:rPr>
          <w:rFonts w:ascii="Arial" w:hAnsi="Arial" w:cs="Arial"/>
          <w:sz w:val="20"/>
          <w:szCs w:val="20"/>
          <w:lang w:eastAsia="ja-JP"/>
        </w:rPr>
        <w:t>isorder and affective psychoses</w:t>
      </w:r>
      <w:r w:rsidR="002C4CAC" w:rsidRPr="00BF3D07">
        <w:rPr>
          <w:rFonts w:ascii="Arial" w:hAnsi="Arial" w:cs="Arial"/>
          <w:sz w:val="20"/>
          <w:szCs w:val="20"/>
          <w:lang w:eastAsia="ja-JP"/>
        </w:rPr>
        <w:t xml:space="preserve"> and those who had a diagnosis from each </w:t>
      </w:r>
      <w:r w:rsidR="002C4CAC" w:rsidRPr="00ED1D07">
        <w:rPr>
          <w:rFonts w:ascii="Arial" w:hAnsi="Arial" w:cs="Arial"/>
          <w:sz w:val="20"/>
          <w:szCs w:val="20"/>
          <w:lang w:eastAsia="ja-JP"/>
        </w:rPr>
        <w:t>group</w:t>
      </w:r>
      <w:r w:rsidR="00BF33C3" w:rsidRPr="00ED1D07">
        <w:rPr>
          <w:rFonts w:ascii="Arial" w:hAnsi="Arial" w:cs="Arial"/>
          <w:sz w:val="20"/>
          <w:szCs w:val="20"/>
          <w:lang w:eastAsia="ja-JP"/>
        </w:rPr>
        <w:t xml:space="preserve"> </w:t>
      </w:r>
      <w:r w:rsidR="00881B2E" w:rsidRPr="00ED1D07">
        <w:rPr>
          <w:rFonts w:ascii="Arial" w:hAnsi="Arial" w:cs="Arial"/>
          <w:sz w:val="20"/>
          <w:szCs w:val="20"/>
          <w:lang w:eastAsia="ja-JP"/>
        </w:rPr>
        <w:t>(</w:t>
      </w:r>
      <w:r w:rsidR="00465356">
        <w:rPr>
          <w:rFonts w:ascii="Arial" w:hAnsi="Arial" w:cs="Arial"/>
          <w:sz w:val="20"/>
          <w:szCs w:val="20"/>
          <w:lang w:eastAsia="ja-JP"/>
        </w:rPr>
        <w:t xml:space="preserve">codes provided </w:t>
      </w:r>
      <w:r w:rsidR="00EE2318">
        <w:rPr>
          <w:rFonts w:ascii="Arial" w:hAnsi="Arial" w:cs="Arial"/>
          <w:sz w:val="20"/>
          <w:szCs w:val="20"/>
          <w:lang w:eastAsia="ja-JP"/>
        </w:rPr>
        <w:t xml:space="preserve">in </w:t>
      </w:r>
      <w:r w:rsidR="00F31937">
        <w:rPr>
          <w:rFonts w:ascii="Arial" w:hAnsi="Arial" w:cs="Arial"/>
          <w:sz w:val="20"/>
          <w:szCs w:val="20"/>
          <w:lang w:eastAsia="ja-JP"/>
        </w:rPr>
        <w:t>online s</w:t>
      </w:r>
      <w:r w:rsidR="00EE2318">
        <w:rPr>
          <w:rFonts w:ascii="Arial" w:hAnsi="Arial" w:cs="Arial"/>
          <w:sz w:val="20"/>
          <w:szCs w:val="20"/>
          <w:lang w:eastAsia="ja-JP"/>
        </w:rPr>
        <w:t>upplement</w:t>
      </w:r>
      <w:r w:rsidR="00881B2E" w:rsidRPr="00ED1D07">
        <w:rPr>
          <w:rFonts w:ascii="Arial" w:hAnsi="Arial" w:cs="Arial"/>
          <w:sz w:val="20"/>
          <w:szCs w:val="20"/>
          <w:lang w:eastAsia="ja-JP"/>
        </w:rPr>
        <w:t>)</w:t>
      </w:r>
      <w:r w:rsidR="002C4CAC" w:rsidRPr="00ED1D07">
        <w:rPr>
          <w:rFonts w:ascii="Arial" w:hAnsi="Arial" w:cs="Arial"/>
          <w:sz w:val="20"/>
          <w:szCs w:val="20"/>
          <w:lang w:eastAsia="ja-JP"/>
        </w:rPr>
        <w:t>.</w:t>
      </w:r>
    </w:p>
    <w:p w14:paraId="427F74A1" w14:textId="109FD646" w:rsidR="00172F88" w:rsidRPr="00BF3D07" w:rsidRDefault="00423461" w:rsidP="00751930">
      <w:pPr>
        <w:spacing w:after="0" w:line="480" w:lineRule="auto"/>
        <w:rPr>
          <w:rFonts w:ascii="Arial" w:eastAsia="Times New Roman" w:hAnsi="Arial" w:cs="Arial"/>
          <w:sz w:val="20"/>
          <w:szCs w:val="20"/>
        </w:rPr>
      </w:pPr>
      <w:r w:rsidRPr="00BF3D07">
        <w:rPr>
          <w:rFonts w:ascii="Arial" w:hAnsi="Arial" w:cs="Arial"/>
          <w:sz w:val="20"/>
          <w:szCs w:val="20"/>
        </w:rPr>
        <w:t xml:space="preserve">All </w:t>
      </w:r>
      <w:r w:rsidR="002C4CAC" w:rsidRPr="00BF3D07">
        <w:rPr>
          <w:rFonts w:ascii="Arial" w:hAnsi="Arial" w:cs="Arial"/>
          <w:sz w:val="20"/>
          <w:szCs w:val="20"/>
        </w:rPr>
        <w:t xml:space="preserve">other </w:t>
      </w:r>
      <w:r w:rsidR="00845CA9" w:rsidRPr="00BF3D07">
        <w:rPr>
          <w:rFonts w:ascii="Arial" w:hAnsi="Arial" w:cs="Arial"/>
          <w:sz w:val="20"/>
          <w:szCs w:val="20"/>
        </w:rPr>
        <w:t xml:space="preserve">covariates </w:t>
      </w:r>
      <w:r w:rsidRPr="00BF3D07">
        <w:rPr>
          <w:rFonts w:ascii="Arial" w:hAnsi="Arial" w:cs="Arial"/>
          <w:sz w:val="20"/>
          <w:szCs w:val="20"/>
        </w:rPr>
        <w:t xml:space="preserve">were measured at the date of entry to the study sample. </w:t>
      </w:r>
      <w:r w:rsidR="005A642D" w:rsidRPr="00BF3D07">
        <w:rPr>
          <w:rFonts w:ascii="Arial" w:hAnsi="Arial" w:cs="Arial"/>
          <w:sz w:val="20"/>
          <w:szCs w:val="20"/>
        </w:rPr>
        <w:t xml:space="preserve">We </w:t>
      </w:r>
      <w:r w:rsidR="00CA32A1" w:rsidRPr="00BF3D07">
        <w:rPr>
          <w:rFonts w:ascii="Arial" w:hAnsi="Arial" w:cs="Arial"/>
          <w:sz w:val="20"/>
          <w:szCs w:val="20"/>
        </w:rPr>
        <w:t>controlled for</w:t>
      </w:r>
      <w:r w:rsidR="00172F88" w:rsidRPr="00BF3D07">
        <w:rPr>
          <w:rFonts w:ascii="Arial" w:hAnsi="Arial" w:cs="Arial"/>
          <w:sz w:val="20"/>
          <w:szCs w:val="20"/>
        </w:rPr>
        <w:t xml:space="preserve">: </w:t>
      </w:r>
      <w:r w:rsidR="009F4DDA" w:rsidRPr="00BF3D07">
        <w:rPr>
          <w:rFonts w:ascii="Arial" w:hAnsi="Arial" w:cs="Arial"/>
          <w:sz w:val="20"/>
          <w:szCs w:val="20"/>
        </w:rPr>
        <w:t>age</w:t>
      </w:r>
      <w:r w:rsidRPr="00BF3D07">
        <w:rPr>
          <w:rFonts w:ascii="Arial" w:hAnsi="Arial" w:cs="Arial"/>
          <w:sz w:val="20"/>
          <w:szCs w:val="20"/>
        </w:rPr>
        <w:t xml:space="preserve">, </w:t>
      </w:r>
      <w:r w:rsidR="009F4DDA" w:rsidRPr="00BF3D07">
        <w:rPr>
          <w:rFonts w:ascii="Arial" w:hAnsi="Arial" w:cs="Arial"/>
          <w:sz w:val="20"/>
          <w:szCs w:val="20"/>
        </w:rPr>
        <w:t>gender</w:t>
      </w:r>
      <w:r w:rsidR="00AE607F" w:rsidRPr="00BF3D07">
        <w:rPr>
          <w:rFonts w:ascii="Arial" w:hAnsi="Arial" w:cs="Arial"/>
          <w:sz w:val="20"/>
          <w:szCs w:val="20"/>
        </w:rPr>
        <w:t>,</w:t>
      </w:r>
      <w:r w:rsidR="00F06078" w:rsidRPr="00BF3D07">
        <w:rPr>
          <w:rFonts w:ascii="Arial" w:hAnsi="Arial" w:cs="Arial"/>
          <w:sz w:val="20"/>
          <w:szCs w:val="20"/>
        </w:rPr>
        <w:t xml:space="preserve"> age-gender </w:t>
      </w:r>
      <w:r w:rsidR="003C42BA" w:rsidRPr="00BF3D07">
        <w:rPr>
          <w:rFonts w:ascii="Arial" w:hAnsi="Arial" w:cs="Arial"/>
          <w:sz w:val="20"/>
          <w:szCs w:val="20"/>
        </w:rPr>
        <w:t>interactions</w:t>
      </w:r>
      <w:r w:rsidR="00F06078" w:rsidRPr="00BF3D07">
        <w:rPr>
          <w:rFonts w:ascii="Arial" w:hAnsi="Arial" w:cs="Arial"/>
          <w:sz w:val="20"/>
          <w:szCs w:val="20"/>
        </w:rPr>
        <w:t>,</w:t>
      </w:r>
      <w:r w:rsidR="00AE607F" w:rsidRPr="00BF3D07">
        <w:rPr>
          <w:rFonts w:ascii="Arial" w:hAnsi="Arial" w:cs="Arial"/>
          <w:sz w:val="20"/>
          <w:szCs w:val="20"/>
        </w:rPr>
        <w:t xml:space="preserve"> </w:t>
      </w:r>
      <w:r w:rsidR="00172F88" w:rsidRPr="00BF3D07">
        <w:rPr>
          <w:rFonts w:ascii="Arial" w:hAnsi="Arial" w:cs="Arial"/>
          <w:sz w:val="20"/>
          <w:szCs w:val="20"/>
        </w:rPr>
        <w:t xml:space="preserve">the </w:t>
      </w:r>
      <w:r w:rsidR="00EE7D86" w:rsidRPr="00BF3D07">
        <w:rPr>
          <w:rFonts w:ascii="Arial" w:hAnsi="Arial" w:cs="Arial"/>
          <w:sz w:val="20"/>
          <w:szCs w:val="20"/>
        </w:rPr>
        <w:t>number of comorbid conditions as defined by Charlson et al</w:t>
      </w:r>
      <w:r w:rsidR="005D3E0F" w:rsidRPr="00BF3D07">
        <w:rPr>
          <w:rFonts w:ascii="Arial" w:hAnsi="Arial" w:cs="Arial"/>
          <w:sz w:val="20"/>
          <w:szCs w:val="20"/>
        </w:rPr>
        <w:t>.</w:t>
      </w:r>
      <w:r w:rsidR="007B5A73" w:rsidRPr="00BF3D07">
        <w:rPr>
          <w:rFonts w:ascii="Arial" w:hAnsi="Arial" w:cs="Arial"/>
          <w:sz w:val="20"/>
          <w:szCs w:val="20"/>
        </w:rPr>
        <w:t xml:space="preserve"> </w:t>
      </w:r>
      <w:r w:rsidR="00B81DCC" w:rsidRPr="00BF3D07">
        <w:rPr>
          <w:rFonts w:ascii="Arial" w:hAnsi="Arial" w:cs="Arial"/>
          <w:sz w:val="20"/>
          <w:szCs w:val="20"/>
        </w:rPr>
        <w:fldChar w:fldCharType="begin"/>
      </w:r>
      <w:r w:rsidR="00713498">
        <w:rPr>
          <w:rFonts w:ascii="Arial" w:hAnsi="Arial" w:cs="Arial"/>
          <w:sz w:val="20"/>
          <w:szCs w:val="20"/>
        </w:rPr>
        <w:instrText xml:space="preserve"> ADDIN EN.CITE &lt;EndNote&gt;&lt;Cite&gt;&lt;Author&gt;Khan&lt;/Author&gt;&lt;Year&gt;2010&lt;/Year&gt;&lt;RecNum&gt;37&lt;/RecNum&gt;&lt;DisplayText&gt;(19)&lt;/DisplayText&gt;&lt;record&gt;&lt;rec-number&gt;37&lt;/rec-number&gt;&lt;foreign-keys&gt;&lt;key app="EN" db-id="p02d9srt525vsredawwvt0alfwx0xzzetfsw" timestamp="1519137540"&gt;37&lt;/key&gt;&lt;/foreign-keys&gt;&lt;ref-type name="Journal Article"&gt;17&lt;/ref-type&gt;&lt;contributors&gt;&lt;authors&gt;&lt;author&gt;Khan, Nada F.&lt;/author&gt;&lt;author&gt;Perera, Rafael&lt;/author&gt;&lt;author&gt;Harper, Stephen&lt;/author&gt;&lt;author&gt;Rose, Peter W.&lt;/author&gt;&lt;/authors&gt;&lt;/contributors&gt;&lt;titles&gt;&lt;title&gt;Adaptation and validation of the Charlson Index for Read/OXMIS coded databases&lt;/title&gt;&lt;secondary-title&gt;BMC Family Practice&lt;/secondary-title&gt;&lt;/titles&gt;&lt;periodical&gt;&lt;full-title&gt;BMC Family Practice&lt;/full-title&gt;&lt;/periodical&gt;&lt;pages&gt;1&lt;/pages&gt;&lt;volume&gt;11&lt;/volume&gt;&lt;number&gt;1&lt;/number&gt;&lt;dates&gt;&lt;year&gt;2010&lt;/year&gt;&lt;/dates&gt;&lt;isbn&gt;1471-2296&lt;/isbn&gt;&lt;label&gt;Khan2010&lt;/label&gt;&lt;work-type&gt;journal article&lt;/work-type&gt;&lt;urls&gt;&lt;related-urls&gt;&lt;url&gt;http://dx.doi.org/10.1186/1471-2296-11-1&lt;/url&gt;&lt;/related-urls&gt;&lt;/urls&gt;&lt;electronic-resource-num&gt;10.1186/1471-2296-11-1&lt;/electronic-resource-num&gt;&lt;/record&gt;&lt;/Cite&gt;&lt;/EndNote&gt;</w:instrText>
      </w:r>
      <w:r w:rsidR="00B81DCC" w:rsidRPr="00BF3D07">
        <w:rPr>
          <w:rFonts w:ascii="Arial" w:hAnsi="Arial" w:cs="Arial"/>
          <w:sz w:val="20"/>
          <w:szCs w:val="20"/>
        </w:rPr>
        <w:fldChar w:fldCharType="separate"/>
      </w:r>
      <w:r w:rsidR="00713498">
        <w:rPr>
          <w:rFonts w:ascii="Arial" w:hAnsi="Arial" w:cs="Arial"/>
          <w:noProof/>
          <w:sz w:val="20"/>
          <w:szCs w:val="20"/>
        </w:rPr>
        <w:t>(</w:t>
      </w:r>
      <w:hyperlink w:anchor="_ENREF_19" w:tooltip="Khan, 2010 #37" w:history="1">
        <w:r w:rsidR="00464E25">
          <w:rPr>
            <w:rFonts w:ascii="Arial" w:hAnsi="Arial" w:cs="Arial"/>
            <w:noProof/>
            <w:sz w:val="20"/>
            <w:szCs w:val="20"/>
          </w:rPr>
          <w:t>19</w:t>
        </w:r>
      </w:hyperlink>
      <w:r w:rsidR="00713498">
        <w:rPr>
          <w:rFonts w:ascii="Arial" w:hAnsi="Arial" w:cs="Arial"/>
          <w:noProof/>
          <w:sz w:val="20"/>
          <w:szCs w:val="20"/>
        </w:rPr>
        <w:t>)</w:t>
      </w:r>
      <w:r w:rsidR="00B81DCC" w:rsidRPr="00BF3D07">
        <w:rPr>
          <w:rFonts w:ascii="Arial" w:hAnsi="Arial" w:cs="Arial"/>
          <w:sz w:val="20"/>
          <w:szCs w:val="20"/>
        </w:rPr>
        <w:fldChar w:fldCharType="end"/>
      </w:r>
      <w:r w:rsidR="00AE607F" w:rsidRPr="00BF3D07">
        <w:rPr>
          <w:rFonts w:ascii="Arial" w:hAnsi="Arial" w:cs="Arial"/>
          <w:sz w:val="20"/>
          <w:szCs w:val="20"/>
        </w:rPr>
        <w:t>,</w:t>
      </w:r>
      <w:r w:rsidRPr="00BF3D07">
        <w:rPr>
          <w:rFonts w:ascii="Arial" w:hAnsi="Arial" w:cs="Arial"/>
          <w:sz w:val="20"/>
          <w:szCs w:val="20"/>
        </w:rPr>
        <w:t xml:space="preserve"> </w:t>
      </w:r>
      <w:r w:rsidR="00EE7D86" w:rsidRPr="00BF3D07">
        <w:rPr>
          <w:rFonts w:ascii="Arial" w:hAnsi="Arial" w:cs="Arial"/>
          <w:sz w:val="20"/>
          <w:szCs w:val="20"/>
        </w:rPr>
        <w:t>a diagnosis of depression, alcohol consumption and smoking status, the number of GP contacts</w:t>
      </w:r>
      <w:r w:rsidR="0083723E" w:rsidRPr="00BF3D07">
        <w:rPr>
          <w:rFonts w:ascii="Arial" w:hAnsi="Arial" w:cs="Arial"/>
          <w:sz w:val="20"/>
          <w:szCs w:val="20"/>
        </w:rPr>
        <w:t xml:space="preserve"> (face-to-face visits and telephone calls)</w:t>
      </w:r>
      <w:r w:rsidR="00EE7D86" w:rsidRPr="00BF3D07">
        <w:rPr>
          <w:rFonts w:ascii="Arial" w:hAnsi="Arial" w:cs="Arial"/>
          <w:sz w:val="20"/>
          <w:szCs w:val="20"/>
        </w:rPr>
        <w:t xml:space="preserve"> in the last year</w:t>
      </w:r>
      <w:r w:rsidR="009F4DDA" w:rsidRPr="00BF3D07">
        <w:rPr>
          <w:rFonts w:ascii="Arial" w:hAnsi="Arial" w:cs="Arial"/>
          <w:sz w:val="20"/>
          <w:szCs w:val="20"/>
        </w:rPr>
        <w:t>,</w:t>
      </w:r>
      <w:r w:rsidR="00AE607F" w:rsidRPr="00BF3D07">
        <w:rPr>
          <w:rFonts w:ascii="Arial" w:hAnsi="Arial" w:cs="Arial"/>
          <w:sz w:val="20"/>
          <w:szCs w:val="20"/>
        </w:rPr>
        <w:t xml:space="preserve"> </w:t>
      </w:r>
      <w:r w:rsidR="00EE7D86" w:rsidRPr="00BF3D07">
        <w:rPr>
          <w:rFonts w:ascii="Arial" w:hAnsi="Arial" w:cs="Arial"/>
          <w:sz w:val="20"/>
          <w:szCs w:val="20"/>
        </w:rPr>
        <w:t>and</w:t>
      </w:r>
      <w:r w:rsidR="00AE607F" w:rsidRPr="00BF3D07">
        <w:rPr>
          <w:rFonts w:ascii="Arial" w:hAnsi="Arial" w:cs="Arial"/>
          <w:sz w:val="20"/>
          <w:szCs w:val="20"/>
        </w:rPr>
        <w:t xml:space="preserve"> </w:t>
      </w:r>
      <w:r w:rsidRPr="00BF3D07">
        <w:rPr>
          <w:rFonts w:ascii="Arial" w:hAnsi="Arial" w:cs="Arial"/>
          <w:sz w:val="20"/>
          <w:szCs w:val="20"/>
        </w:rPr>
        <w:t>small area deprivation profile based on patient</w:t>
      </w:r>
      <w:r w:rsidR="00EE7D86" w:rsidRPr="00BF3D07">
        <w:rPr>
          <w:rFonts w:ascii="Arial" w:hAnsi="Arial" w:cs="Arial"/>
          <w:sz w:val="20"/>
          <w:szCs w:val="20"/>
        </w:rPr>
        <w:t>s</w:t>
      </w:r>
      <w:r w:rsidR="00060561" w:rsidRPr="00BF3D07">
        <w:rPr>
          <w:rFonts w:ascii="Arial" w:hAnsi="Arial" w:cs="Arial"/>
          <w:sz w:val="20"/>
          <w:szCs w:val="20"/>
        </w:rPr>
        <w:t>’</w:t>
      </w:r>
      <w:r w:rsidR="00EE7D86" w:rsidRPr="00BF3D07">
        <w:rPr>
          <w:rFonts w:ascii="Arial" w:hAnsi="Arial" w:cs="Arial"/>
          <w:sz w:val="20"/>
          <w:szCs w:val="20"/>
        </w:rPr>
        <w:t xml:space="preserve"> residence</w:t>
      </w:r>
      <w:r w:rsidR="00AE607F" w:rsidRPr="00BF3D07">
        <w:rPr>
          <w:rFonts w:ascii="Arial" w:hAnsi="Arial" w:cs="Arial"/>
          <w:sz w:val="20"/>
          <w:szCs w:val="20"/>
        </w:rPr>
        <w:t>.</w:t>
      </w:r>
      <w:r w:rsidR="00172F88" w:rsidRPr="00BF3D07">
        <w:rPr>
          <w:rFonts w:ascii="Arial" w:hAnsi="Arial" w:cs="Arial"/>
          <w:sz w:val="20"/>
          <w:szCs w:val="20"/>
          <w:lang w:eastAsia="ja-JP"/>
        </w:rPr>
        <w:t xml:space="preserve"> </w:t>
      </w:r>
      <w:r w:rsidR="00337E32" w:rsidRPr="00BF3D07">
        <w:rPr>
          <w:rFonts w:ascii="Arial" w:hAnsi="Arial" w:cs="Arial"/>
          <w:sz w:val="20"/>
          <w:szCs w:val="20"/>
        </w:rPr>
        <w:t>We approximate</w:t>
      </w:r>
      <w:r w:rsidR="007A370D" w:rsidRPr="00BF3D07">
        <w:rPr>
          <w:rFonts w:ascii="Arial" w:hAnsi="Arial" w:cs="Arial"/>
          <w:sz w:val="20"/>
          <w:szCs w:val="20"/>
        </w:rPr>
        <w:t>d</w:t>
      </w:r>
      <w:r w:rsidR="005A642D" w:rsidRPr="00BF3D07">
        <w:rPr>
          <w:rFonts w:ascii="Arial" w:hAnsi="Arial" w:cs="Arial"/>
          <w:sz w:val="20"/>
          <w:szCs w:val="20"/>
        </w:rPr>
        <w:t xml:space="preserve"> ability to access secondary care </w:t>
      </w:r>
      <w:r w:rsidR="00337E32" w:rsidRPr="00BF3D07">
        <w:rPr>
          <w:rFonts w:ascii="Arial" w:hAnsi="Arial" w:cs="Arial"/>
          <w:sz w:val="20"/>
          <w:szCs w:val="20"/>
        </w:rPr>
        <w:t xml:space="preserve">by the </w:t>
      </w:r>
      <w:r w:rsidR="00337E32" w:rsidRPr="00BF3D07">
        <w:rPr>
          <w:rFonts w:ascii="Arial" w:hAnsi="Arial" w:cs="Arial"/>
          <w:sz w:val="20"/>
          <w:szCs w:val="20"/>
          <w:lang w:eastAsia="ja-JP"/>
        </w:rPr>
        <w:t xml:space="preserve">distance from the patients’ GP practice to the nearest psychiatric inpatient hospital and general hospital and by whether the </w:t>
      </w:r>
      <w:r w:rsidR="00337E32" w:rsidRPr="00BF3D07">
        <w:rPr>
          <w:rFonts w:ascii="Arial" w:eastAsia="Times New Roman" w:hAnsi="Arial" w:cs="Arial"/>
          <w:sz w:val="20"/>
          <w:szCs w:val="20"/>
        </w:rPr>
        <w:t>practice is in a rural area</w:t>
      </w:r>
      <w:r w:rsidR="005A642D" w:rsidRPr="00BF3D07">
        <w:rPr>
          <w:rFonts w:ascii="Arial" w:eastAsia="Times New Roman" w:hAnsi="Arial" w:cs="Arial"/>
          <w:sz w:val="20"/>
          <w:szCs w:val="20"/>
        </w:rPr>
        <w:t>.</w:t>
      </w:r>
      <w:r w:rsidR="00DD0BA4" w:rsidRPr="00BF3D07">
        <w:rPr>
          <w:rFonts w:ascii="Arial" w:hAnsi="Arial" w:cs="Arial"/>
          <w:sz w:val="20"/>
          <w:szCs w:val="20"/>
        </w:rPr>
        <w:t xml:space="preserve"> </w:t>
      </w:r>
      <w:r w:rsidR="00172F88" w:rsidRPr="00BF3D07">
        <w:rPr>
          <w:rFonts w:ascii="Arial" w:hAnsi="Arial" w:cs="Arial"/>
          <w:sz w:val="20"/>
          <w:szCs w:val="20"/>
        </w:rPr>
        <w:t>Finally</w:t>
      </w:r>
      <w:r w:rsidR="00C51815" w:rsidRPr="00BF3D07">
        <w:rPr>
          <w:rFonts w:ascii="Arial" w:hAnsi="Arial" w:cs="Arial"/>
          <w:sz w:val="20"/>
          <w:szCs w:val="20"/>
        </w:rPr>
        <w:t>, we</w:t>
      </w:r>
      <w:r w:rsidR="00172F88" w:rsidRPr="00BF3D07">
        <w:rPr>
          <w:rFonts w:ascii="Arial" w:hAnsi="Arial" w:cs="Arial"/>
          <w:sz w:val="20"/>
          <w:szCs w:val="20"/>
        </w:rPr>
        <w:t xml:space="preserve"> </w:t>
      </w:r>
      <w:r w:rsidRPr="00BF3D07">
        <w:rPr>
          <w:rFonts w:ascii="Arial" w:hAnsi="Arial" w:cs="Arial"/>
          <w:sz w:val="20"/>
          <w:szCs w:val="20"/>
        </w:rPr>
        <w:t>control</w:t>
      </w:r>
      <w:r w:rsidR="007A370D" w:rsidRPr="00BF3D07">
        <w:rPr>
          <w:rFonts w:ascii="Arial" w:hAnsi="Arial" w:cs="Arial"/>
          <w:sz w:val="20"/>
          <w:szCs w:val="20"/>
        </w:rPr>
        <w:t>led</w:t>
      </w:r>
      <w:r w:rsidRPr="00BF3D07">
        <w:rPr>
          <w:rFonts w:ascii="Arial" w:hAnsi="Arial" w:cs="Arial"/>
          <w:sz w:val="20"/>
          <w:szCs w:val="20"/>
        </w:rPr>
        <w:t xml:space="preserve"> for </w:t>
      </w:r>
      <w:r w:rsidR="00206E60" w:rsidRPr="00BF3D07">
        <w:rPr>
          <w:rFonts w:ascii="Arial" w:hAnsi="Arial" w:cs="Arial"/>
          <w:sz w:val="20"/>
          <w:szCs w:val="20"/>
        </w:rPr>
        <w:t xml:space="preserve">the year in which the patient entered the sample and </w:t>
      </w:r>
      <w:r w:rsidRPr="00BF3D07">
        <w:rPr>
          <w:rFonts w:ascii="Arial" w:hAnsi="Arial" w:cs="Arial"/>
          <w:sz w:val="20"/>
          <w:szCs w:val="20"/>
        </w:rPr>
        <w:t xml:space="preserve">the </w:t>
      </w:r>
      <w:r w:rsidR="00206E60" w:rsidRPr="00BF3D07">
        <w:rPr>
          <w:rFonts w:ascii="Arial" w:hAnsi="Arial" w:cs="Arial"/>
          <w:sz w:val="20"/>
          <w:szCs w:val="20"/>
        </w:rPr>
        <w:t>time since first diagnosis</w:t>
      </w:r>
      <w:r w:rsidRPr="00BF3D07">
        <w:rPr>
          <w:rFonts w:ascii="Arial" w:hAnsi="Arial" w:cs="Arial"/>
          <w:sz w:val="20"/>
          <w:szCs w:val="20"/>
        </w:rPr>
        <w:t>.</w:t>
      </w:r>
      <w:r w:rsidR="00172F88" w:rsidRPr="00BF3D07">
        <w:rPr>
          <w:rFonts w:ascii="Arial" w:hAnsi="Arial" w:cs="Arial"/>
          <w:sz w:val="20"/>
          <w:szCs w:val="20"/>
          <w:lang w:eastAsia="ja-JP"/>
        </w:rPr>
        <w:t xml:space="preserve"> </w:t>
      </w:r>
      <w:r w:rsidR="005373B3" w:rsidRPr="00BF3D07">
        <w:rPr>
          <w:rFonts w:ascii="Arial" w:hAnsi="Arial" w:cs="Arial"/>
          <w:sz w:val="20"/>
          <w:szCs w:val="20"/>
          <w:lang w:eastAsia="ja-JP"/>
        </w:rPr>
        <w:t xml:space="preserve"> </w:t>
      </w:r>
      <w:r w:rsidR="008662F3">
        <w:rPr>
          <w:rFonts w:ascii="Arial" w:hAnsi="Arial" w:cs="Arial"/>
          <w:sz w:val="20"/>
          <w:szCs w:val="20"/>
          <w:lang w:eastAsia="ja-JP"/>
        </w:rPr>
        <w:t>D</w:t>
      </w:r>
      <w:r w:rsidR="005373B3" w:rsidRPr="00ED1D07">
        <w:rPr>
          <w:rFonts w:ascii="Arial" w:hAnsi="Arial" w:cs="Arial"/>
          <w:sz w:val="20"/>
          <w:szCs w:val="20"/>
          <w:lang w:eastAsia="ja-JP"/>
        </w:rPr>
        <w:t xml:space="preserve">etails on the explanatory </w:t>
      </w:r>
      <w:r w:rsidR="00C1587E" w:rsidRPr="00ED1D07">
        <w:rPr>
          <w:rFonts w:ascii="Arial" w:hAnsi="Arial" w:cs="Arial"/>
          <w:sz w:val="20"/>
          <w:szCs w:val="20"/>
          <w:lang w:eastAsia="ja-JP"/>
        </w:rPr>
        <w:t>variables</w:t>
      </w:r>
      <w:r w:rsidR="00F31937">
        <w:rPr>
          <w:rFonts w:ascii="Arial" w:hAnsi="Arial" w:cs="Arial"/>
          <w:sz w:val="20"/>
          <w:szCs w:val="20"/>
          <w:lang w:eastAsia="ja-JP"/>
        </w:rPr>
        <w:t xml:space="preserve"> are provided in </w:t>
      </w:r>
      <w:r w:rsidR="008662F3">
        <w:rPr>
          <w:rFonts w:ascii="Arial" w:hAnsi="Arial" w:cs="Arial"/>
          <w:sz w:val="20"/>
          <w:szCs w:val="20"/>
          <w:lang w:eastAsia="ja-JP"/>
        </w:rPr>
        <w:t xml:space="preserve">the </w:t>
      </w:r>
      <w:r w:rsidR="00F31937">
        <w:rPr>
          <w:rFonts w:ascii="Arial" w:hAnsi="Arial" w:cs="Arial"/>
          <w:sz w:val="20"/>
          <w:szCs w:val="20"/>
          <w:lang w:eastAsia="ja-JP"/>
        </w:rPr>
        <w:t>online s</w:t>
      </w:r>
      <w:r w:rsidR="00DF2DE5">
        <w:rPr>
          <w:rFonts w:ascii="Arial" w:hAnsi="Arial" w:cs="Arial"/>
          <w:sz w:val="20"/>
          <w:szCs w:val="20"/>
          <w:lang w:eastAsia="ja-JP"/>
        </w:rPr>
        <w:t>upplement</w:t>
      </w:r>
      <w:r w:rsidR="005373B3" w:rsidRPr="00ED1D07">
        <w:rPr>
          <w:rFonts w:ascii="Arial" w:hAnsi="Arial" w:cs="Arial"/>
          <w:sz w:val="20"/>
          <w:szCs w:val="20"/>
          <w:lang w:eastAsia="ja-JP"/>
        </w:rPr>
        <w:t>.</w:t>
      </w:r>
    </w:p>
    <w:p w14:paraId="2EAA2286" w14:textId="08366A7D" w:rsidR="00924918" w:rsidRPr="005120C4" w:rsidRDefault="00172F88" w:rsidP="005120C4">
      <w:pPr>
        <w:pStyle w:val="Heading2"/>
      </w:pPr>
      <w:r w:rsidRPr="005120C4">
        <w:t>Statistical analysis</w:t>
      </w:r>
    </w:p>
    <w:p w14:paraId="5CF9F2B2" w14:textId="31D33FE9" w:rsidR="00B15D6D" w:rsidRPr="00BF3D07" w:rsidRDefault="00305A44" w:rsidP="00B90B29">
      <w:pPr>
        <w:spacing w:after="0" w:line="480" w:lineRule="auto"/>
        <w:rPr>
          <w:rFonts w:ascii="Arial" w:hAnsi="Arial" w:cs="Arial"/>
          <w:sz w:val="20"/>
          <w:szCs w:val="20"/>
          <w:lang w:eastAsia="ja-JP"/>
        </w:rPr>
      </w:pPr>
      <w:r w:rsidRPr="00BF3D07">
        <w:rPr>
          <w:rFonts w:ascii="Arial" w:hAnsi="Arial" w:cs="Arial"/>
          <w:sz w:val="20"/>
          <w:szCs w:val="20"/>
        </w:rPr>
        <w:t xml:space="preserve">Semi-parametric Cox hazard models </w:t>
      </w:r>
      <w:r w:rsidR="00B81DCC">
        <w:rPr>
          <w:rFonts w:ascii="Arial" w:hAnsi="Arial" w:cs="Arial"/>
          <w:sz w:val="20"/>
          <w:szCs w:val="20"/>
        </w:rPr>
        <w:fldChar w:fldCharType="begin"/>
      </w:r>
      <w:r w:rsidR="00713498">
        <w:rPr>
          <w:rFonts w:ascii="Arial" w:hAnsi="Arial" w:cs="Arial"/>
          <w:sz w:val="20"/>
          <w:szCs w:val="20"/>
        </w:rPr>
        <w:instrText xml:space="preserve"> ADDIN EN.CITE &lt;EndNote&gt;&lt;Cite&gt;&lt;Author&gt;Cox&lt;/Author&gt;&lt;Year&gt;1972&lt;/Year&gt;&lt;RecNum&gt;92&lt;/RecNum&gt;&lt;DisplayText&gt;(20)&lt;/DisplayText&gt;&lt;record&gt;&lt;rec-number&gt;92&lt;/rec-number&gt;&lt;foreign-keys&gt;&lt;key app="EN" db-id="p02d9srt525vsredawwvt0alfwx0xzzetfsw" timestamp="1526749223"&gt;92&lt;/key&gt;&lt;/foreign-keys&gt;&lt;ref-type name="Journal Article"&gt;17&lt;/ref-type&gt;&lt;contributors&gt;&lt;authors&gt;&lt;author&gt;Cox, DR&lt;/author&gt;&lt;/authors&gt;&lt;/contributors&gt;&lt;titles&gt;&lt;title&gt;Regression models and life tables&lt;/title&gt;&lt;secondary-title&gt;Journal of the Royal Statistical Society&lt;/secondary-title&gt;&lt;/titles&gt;&lt;periodical&gt;&lt;full-title&gt;Journal of the Royal Statistical Society&lt;/full-title&gt;&lt;/periodical&gt;&lt;pages&gt;187-220&lt;/pages&gt;&lt;volume&gt;B34&lt;/volume&gt;&lt;dates&gt;&lt;year&gt;1972&lt;/year&gt;&lt;/dates&gt;&lt;urls&gt;&lt;/urls&gt;&lt;/record&gt;&lt;/Cite&gt;&lt;/EndNote&gt;</w:instrText>
      </w:r>
      <w:r w:rsidR="00B81DCC">
        <w:rPr>
          <w:rFonts w:ascii="Arial" w:hAnsi="Arial" w:cs="Arial"/>
          <w:sz w:val="20"/>
          <w:szCs w:val="20"/>
        </w:rPr>
        <w:fldChar w:fldCharType="separate"/>
      </w:r>
      <w:r w:rsidR="00713498">
        <w:rPr>
          <w:rFonts w:ascii="Arial" w:hAnsi="Arial" w:cs="Arial"/>
          <w:noProof/>
          <w:sz w:val="20"/>
          <w:szCs w:val="20"/>
        </w:rPr>
        <w:t>(</w:t>
      </w:r>
      <w:hyperlink w:anchor="_ENREF_20" w:tooltip="Cox, 1972 #92" w:history="1">
        <w:r w:rsidR="00464E25">
          <w:rPr>
            <w:rFonts w:ascii="Arial" w:hAnsi="Arial" w:cs="Arial"/>
            <w:noProof/>
            <w:sz w:val="20"/>
            <w:szCs w:val="20"/>
          </w:rPr>
          <w:t>20</w:t>
        </w:r>
      </w:hyperlink>
      <w:r w:rsidR="00713498">
        <w:rPr>
          <w:rFonts w:ascii="Arial" w:hAnsi="Arial" w:cs="Arial"/>
          <w:noProof/>
          <w:sz w:val="20"/>
          <w:szCs w:val="20"/>
        </w:rPr>
        <w:t>)</w:t>
      </w:r>
      <w:r w:rsidR="00B81DCC">
        <w:rPr>
          <w:rFonts w:ascii="Arial" w:hAnsi="Arial" w:cs="Arial"/>
          <w:sz w:val="20"/>
          <w:szCs w:val="20"/>
        </w:rPr>
        <w:fldChar w:fldCharType="end"/>
      </w:r>
      <w:r w:rsidR="00D64606">
        <w:rPr>
          <w:rFonts w:ascii="Arial" w:hAnsi="Arial" w:cs="Arial"/>
          <w:sz w:val="20"/>
          <w:szCs w:val="20"/>
        </w:rPr>
        <w:t xml:space="preserve"> </w:t>
      </w:r>
      <w:r w:rsidRPr="00BF3D07">
        <w:rPr>
          <w:rFonts w:ascii="Arial" w:hAnsi="Arial" w:cs="Arial"/>
          <w:sz w:val="20"/>
          <w:szCs w:val="20"/>
        </w:rPr>
        <w:t xml:space="preserve">were </w:t>
      </w:r>
      <w:r w:rsidR="00136F37">
        <w:rPr>
          <w:rFonts w:ascii="Arial" w:hAnsi="Arial" w:cs="Arial"/>
          <w:sz w:val="20"/>
          <w:szCs w:val="20"/>
        </w:rPr>
        <w:t>applied to estimate</w:t>
      </w:r>
      <w:r w:rsidRPr="00BF3D07">
        <w:rPr>
          <w:rFonts w:ascii="Arial" w:hAnsi="Arial" w:cs="Arial"/>
          <w:sz w:val="20"/>
          <w:szCs w:val="20"/>
        </w:rPr>
        <w:t xml:space="preserve"> the effect of </w:t>
      </w:r>
      <w:r w:rsidR="004F26A7">
        <w:rPr>
          <w:rFonts w:ascii="Arial" w:hAnsi="Arial" w:cs="Arial"/>
          <w:sz w:val="20"/>
          <w:szCs w:val="20"/>
        </w:rPr>
        <w:t xml:space="preserve">polypharmacy </w:t>
      </w:r>
      <w:r w:rsidRPr="00BF3D07">
        <w:rPr>
          <w:rFonts w:ascii="Arial" w:hAnsi="Arial" w:cs="Arial"/>
          <w:sz w:val="20"/>
          <w:szCs w:val="20"/>
        </w:rPr>
        <w:t xml:space="preserve">on the time to </w:t>
      </w:r>
      <w:r w:rsidR="007D068E" w:rsidRPr="00BF3D07">
        <w:rPr>
          <w:rFonts w:ascii="Arial" w:hAnsi="Arial" w:cs="Arial"/>
          <w:sz w:val="20"/>
          <w:szCs w:val="20"/>
        </w:rPr>
        <w:t xml:space="preserve">the first occurrence of </w:t>
      </w:r>
      <w:r w:rsidR="00BA0707" w:rsidRPr="00BF3D07">
        <w:rPr>
          <w:rFonts w:ascii="Arial" w:hAnsi="Arial" w:cs="Arial"/>
          <w:sz w:val="20"/>
          <w:szCs w:val="20"/>
        </w:rPr>
        <w:t>each of the</w:t>
      </w:r>
      <w:r w:rsidRPr="00BF3D07">
        <w:rPr>
          <w:rFonts w:ascii="Arial" w:hAnsi="Arial" w:cs="Arial"/>
          <w:sz w:val="20"/>
          <w:szCs w:val="20"/>
        </w:rPr>
        <w:t xml:space="preserve"> three outcomes. The model adjusts for censoring, which </w:t>
      </w:r>
      <w:r w:rsidRPr="00BF3D07">
        <w:rPr>
          <w:rFonts w:ascii="Arial" w:hAnsi="Arial" w:cs="Arial"/>
          <w:sz w:val="20"/>
          <w:szCs w:val="20"/>
          <w:lang w:eastAsia="ja-JP"/>
        </w:rPr>
        <w:t>may occur because i) a patient dies, ii) registration with the practice ends, or iii) the study period ends.</w:t>
      </w:r>
      <w:r w:rsidR="007D068E" w:rsidRPr="00BF3D07">
        <w:rPr>
          <w:rFonts w:ascii="Arial" w:hAnsi="Arial" w:cs="Arial"/>
          <w:sz w:val="20"/>
          <w:szCs w:val="20"/>
          <w:lang w:eastAsia="ja-JP"/>
        </w:rPr>
        <w:t xml:space="preserve"> </w:t>
      </w:r>
      <w:r w:rsidR="00B15D6D">
        <w:rPr>
          <w:rFonts w:ascii="Arial" w:hAnsi="Arial" w:cs="Arial"/>
          <w:sz w:val="20"/>
          <w:szCs w:val="20"/>
          <w:lang w:eastAsia="ja-JP"/>
        </w:rPr>
        <w:t xml:space="preserve">The follow-up period – time from entry to the sample until the outcome occurs or censoring – is different </w:t>
      </w:r>
      <w:r w:rsidR="00F87984">
        <w:rPr>
          <w:rFonts w:ascii="Arial" w:hAnsi="Arial" w:cs="Arial"/>
          <w:sz w:val="20"/>
          <w:szCs w:val="20"/>
          <w:lang w:eastAsia="ja-JP"/>
        </w:rPr>
        <w:t xml:space="preserve">from </w:t>
      </w:r>
      <w:r w:rsidR="00B15D6D">
        <w:rPr>
          <w:rFonts w:ascii="Arial" w:hAnsi="Arial" w:cs="Arial"/>
          <w:sz w:val="20"/>
          <w:szCs w:val="20"/>
          <w:lang w:eastAsia="ja-JP"/>
        </w:rPr>
        <w:t>the observation period for outcomes other than death.</w:t>
      </w:r>
    </w:p>
    <w:p w14:paraId="75DD8AB3" w14:textId="31BF485D" w:rsidR="00C548A4" w:rsidRPr="00BF3D07" w:rsidRDefault="00100A8B" w:rsidP="00100A8B">
      <w:pPr>
        <w:autoSpaceDE w:val="0"/>
        <w:autoSpaceDN w:val="0"/>
        <w:adjustRightInd w:val="0"/>
        <w:spacing w:after="0" w:line="480" w:lineRule="auto"/>
        <w:rPr>
          <w:rFonts w:ascii="Arial" w:hAnsi="Arial" w:cs="Arial"/>
          <w:sz w:val="20"/>
          <w:szCs w:val="20"/>
          <w:lang w:eastAsia="ja-JP"/>
        </w:rPr>
      </w:pPr>
      <w:r w:rsidRPr="00BF3D07">
        <w:rPr>
          <w:rFonts w:ascii="Arial" w:hAnsi="Arial" w:cs="Arial"/>
          <w:sz w:val="20"/>
          <w:szCs w:val="20"/>
          <w:lang w:eastAsia="ja-JP"/>
        </w:rPr>
        <w:t xml:space="preserve">An individual may have multiple </w:t>
      </w:r>
      <w:r w:rsidR="004F26A7">
        <w:rPr>
          <w:rFonts w:ascii="Arial" w:hAnsi="Arial" w:cs="Arial"/>
          <w:sz w:val="20"/>
          <w:szCs w:val="20"/>
        </w:rPr>
        <w:t>polypharmacy</w:t>
      </w:r>
      <w:r w:rsidRPr="00BF3D07">
        <w:rPr>
          <w:rFonts w:ascii="Arial" w:hAnsi="Arial" w:cs="Arial"/>
          <w:sz w:val="20"/>
          <w:szCs w:val="20"/>
          <w:lang w:eastAsia="ja-JP"/>
        </w:rPr>
        <w:t xml:space="preserve"> episodes</w:t>
      </w:r>
      <w:r w:rsidR="00EF7D01" w:rsidRPr="00BF3D07">
        <w:rPr>
          <w:rFonts w:ascii="Arial" w:hAnsi="Arial" w:cs="Arial"/>
          <w:sz w:val="20"/>
          <w:szCs w:val="20"/>
          <w:lang w:eastAsia="ja-JP"/>
        </w:rPr>
        <w:t>.</w:t>
      </w:r>
      <w:r w:rsidRPr="00BF3D07">
        <w:rPr>
          <w:rFonts w:ascii="Arial" w:hAnsi="Arial" w:cs="Arial"/>
          <w:sz w:val="20"/>
          <w:szCs w:val="20"/>
          <w:lang w:eastAsia="ja-JP"/>
        </w:rPr>
        <w:t xml:space="preserve"> </w:t>
      </w:r>
      <w:r w:rsidR="00D81491" w:rsidRPr="00BF3D07">
        <w:rPr>
          <w:rFonts w:ascii="Arial" w:hAnsi="Arial" w:cs="Arial"/>
          <w:sz w:val="20"/>
          <w:szCs w:val="20"/>
          <w:lang w:eastAsia="ja-JP"/>
        </w:rPr>
        <w:t>On</w:t>
      </w:r>
      <w:r w:rsidR="00C548A4" w:rsidRPr="00BF3D07">
        <w:rPr>
          <w:rFonts w:ascii="Arial" w:hAnsi="Arial" w:cs="Arial"/>
          <w:sz w:val="20"/>
          <w:szCs w:val="20"/>
          <w:lang w:eastAsia="ja-JP"/>
        </w:rPr>
        <w:t xml:space="preserve"> each day during the study period the patient is in one of three states: </w:t>
      </w:r>
      <w:r w:rsidR="001B19A9" w:rsidRPr="00BF3D07">
        <w:rPr>
          <w:rFonts w:ascii="Arial" w:hAnsi="Arial" w:cs="Arial"/>
          <w:sz w:val="20"/>
          <w:szCs w:val="20"/>
          <w:lang w:eastAsia="ja-JP"/>
        </w:rPr>
        <w:t xml:space="preserve">i) </w:t>
      </w:r>
      <w:r w:rsidR="00C548A4" w:rsidRPr="00BF3D07">
        <w:rPr>
          <w:rFonts w:ascii="Arial" w:hAnsi="Arial" w:cs="Arial"/>
          <w:sz w:val="20"/>
          <w:szCs w:val="20"/>
          <w:lang w:eastAsia="ja-JP"/>
        </w:rPr>
        <w:t>receives no antipsychotic medication</w:t>
      </w:r>
      <w:r w:rsidR="001B19A9" w:rsidRPr="00BF3D07">
        <w:rPr>
          <w:rFonts w:ascii="Arial" w:hAnsi="Arial" w:cs="Arial"/>
          <w:sz w:val="20"/>
          <w:szCs w:val="20"/>
          <w:lang w:eastAsia="ja-JP"/>
        </w:rPr>
        <w:t xml:space="preserve">, ii) monotherapy (on one antipsychotic or on more than one but for less than </w:t>
      </w:r>
      <w:r w:rsidR="00AA7947" w:rsidRPr="00BF3D07">
        <w:rPr>
          <w:rFonts w:ascii="Arial" w:hAnsi="Arial" w:cs="Arial"/>
          <w:sz w:val="20"/>
          <w:szCs w:val="20"/>
          <w:lang w:eastAsia="ja-JP"/>
        </w:rPr>
        <w:t>30 days</w:t>
      </w:r>
      <w:r w:rsidR="001B19A9" w:rsidRPr="00BF3D07">
        <w:rPr>
          <w:rFonts w:ascii="Arial" w:hAnsi="Arial" w:cs="Arial"/>
          <w:sz w:val="20"/>
          <w:szCs w:val="20"/>
          <w:lang w:eastAsia="ja-JP"/>
        </w:rPr>
        <w:t xml:space="preserve">), and iii) </w:t>
      </w:r>
      <w:r w:rsidR="004F26A7">
        <w:rPr>
          <w:rFonts w:ascii="Arial" w:hAnsi="Arial" w:cs="Arial"/>
          <w:sz w:val="20"/>
          <w:szCs w:val="20"/>
        </w:rPr>
        <w:t>polypharmacy</w:t>
      </w:r>
      <w:r w:rsidR="00C548A4" w:rsidRPr="00BF3D07">
        <w:rPr>
          <w:rFonts w:ascii="Arial" w:hAnsi="Arial" w:cs="Arial"/>
          <w:sz w:val="20"/>
          <w:szCs w:val="20"/>
          <w:lang w:eastAsia="ja-JP"/>
        </w:rPr>
        <w:t>.</w:t>
      </w:r>
      <w:r w:rsidR="00C72AF3" w:rsidRPr="00BF3D07">
        <w:rPr>
          <w:rFonts w:ascii="Arial" w:hAnsi="Arial" w:cs="Arial"/>
          <w:sz w:val="20"/>
          <w:szCs w:val="20"/>
          <w:lang w:eastAsia="ja-JP"/>
        </w:rPr>
        <w:t xml:space="preserve">  To model this, we introduce </w:t>
      </w:r>
      <w:r w:rsidR="00D81491" w:rsidRPr="00BF3D07">
        <w:rPr>
          <w:rFonts w:ascii="Arial" w:hAnsi="Arial" w:cs="Arial"/>
          <w:sz w:val="20"/>
          <w:szCs w:val="20"/>
          <w:lang w:eastAsia="ja-JP"/>
        </w:rPr>
        <w:t xml:space="preserve">two time-varying binary variables: ‘No </w:t>
      </w:r>
      <w:r w:rsidR="009902A5">
        <w:rPr>
          <w:rFonts w:ascii="Arial" w:hAnsi="Arial" w:cs="Arial"/>
          <w:sz w:val="20"/>
          <w:szCs w:val="20"/>
          <w:lang w:eastAsia="ja-JP"/>
        </w:rPr>
        <w:t>antipsychotic substance</w:t>
      </w:r>
      <w:r w:rsidR="00D81491" w:rsidRPr="00BF3D07">
        <w:rPr>
          <w:rFonts w:ascii="Arial" w:hAnsi="Arial" w:cs="Arial"/>
          <w:sz w:val="20"/>
          <w:szCs w:val="20"/>
          <w:lang w:eastAsia="ja-JP"/>
        </w:rPr>
        <w:t xml:space="preserve">’ which takes a value of 1 during periods the patient is not on an antipsychotic drug </w:t>
      </w:r>
      <w:r w:rsidR="00D64606">
        <w:rPr>
          <w:rFonts w:ascii="Arial" w:hAnsi="Arial" w:cs="Arial"/>
          <w:sz w:val="20"/>
          <w:szCs w:val="20"/>
          <w:lang w:eastAsia="ja-JP"/>
        </w:rPr>
        <w:t>and 0 otherwise</w:t>
      </w:r>
      <w:r w:rsidR="00F87984">
        <w:rPr>
          <w:rFonts w:ascii="Arial" w:hAnsi="Arial" w:cs="Arial"/>
          <w:sz w:val="20"/>
          <w:szCs w:val="20"/>
          <w:lang w:eastAsia="ja-JP"/>
        </w:rPr>
        <w:t>,</w:t>
      </w:r>
      <w:r w:rsidR="00D64606">
        <w:rPr>
          <w:rFonts w:ascii="Arial" w:hAnsi="Arial" w:cs="Arial"/>
          <w:sz w:val="20"/>
          <w:szCs w:val="20"/>
          <w:lang w:eastAsia="ja-JP"/>
        </w:rPr>
        <w:t xml:space="preserve"> </w:t>
      </w:r>
      <w:r w:rsidR="00D81491" w:rsidRPr="00BF3D07">
        <w:rPr>
          <w:rFonts w:ascii="Arial" w:hAnsi="Arial" w:cs="Arial"/>
          <w:sz w:val="20"/>
          <w:szCs w:val="20"/>
          <w:lang w:eastAsia="ja-JP"/>
        </w:rPr>
        <w:t>and ‘</w:t>
      </w:r>
      <w:r w:rsidR="009902A5">
        <w:rPr>
          <w:rFonts w:ascii="Arial" w:hAnsi="Arial" w:cs="Arial"/>
          <w:sz w:val="20"/>
          <w:szCs w:val="20"/>
          <w:lang w:eastAsia="ja-JP"/>
        </w:rPr>
        <w:t>polypharmacy</w:t>
      </w:r>
      <w:r w:rsidR="00D81491" w:rsidRPr="00BF3D07">
        <w:rPr>
          <w:rFonts w:ascii="Arial" w:hAnsi="Arial" w:cs="Arial"/>
          <w:sz w:val="20"/>
          <w:szCs w:val="20"/>
          <w:lang w:eastAsia="ja-JP"/>
        </w:rPr>
        <w:t xml:space="preserve">’ which takes a value of 1 during periods the patient is on two or </w:t>
      </w:r>
      <w:r w:rsidR="00D81491" w:rsidRPr="00BF3D07">
        <w:rPr>
          <w:rFonts w:ascii="Arial" w:hAnsi="Arial" w:cs="Arial"/>
          <w:sz w:val="20"/>
          <w:szCs w:val="20"/>
          <w:lang w:eastAsia="ja-JP"/>
        </w:rPr>
        <w:lastRenderedPageBreak/>
        <w:t>more antipsychotic substances for more than 30 days</w:t>
      </w:r>
      <w:r w:rsidR="00D64606">
        <w:rPr>
          <w:rFonts w:ascii="Arial" w:hAnsi="Arial" w:cs="Arial"/>
          <w:sz w:val="20"/>
          <w:szCs w:val="20"/>
          <w:lang w:eastAsia="ja-JP"/>
        </w:rPr>
        <w:t xml:space="preserve"> and 0 otherwise</w:t>
      </w:r>
      <w:r w:rsidR="00D81491" w:rsidRPr="00BF3D07">
        <w:rPr>
          <w:rFonts w:ascii="Arial" w:hAnsi="Arial" w:cs="Arial"/>
          <w:sz w:val="20"/>
          <w:szCs w:val="20"/>
          <w:lang w:eastAsia="ja-JP"/>
        </w:rPr>
        <w:t>.</w:t>
      </w:r>
      <w:r w:rsidR="00C72AF3" w:rsidRPr="00BF3D07">
        <w:rPr>
          <w:rFonts w:ascii="Arial" w:hAnsi="Arial" w:cs="Arial"/>
          <w:sz w:val="20"/>
          <w:szCs w:val="20"/>
          <w:lang w:eastAsia="ja-JP"/>
        </w:rPr>
        <w:t xml:space="preserve">  The results are interpr</w:t>
      </w:r>
      <w:r w:rsidR="003C5209">
        <w:rPr>
          <w:rFonts w:ascii="Arial" w:hAnsi="Arial" w:cs="Arial"/>
          <w:sz w:val="20"/>
          <w:szCs w:val="20"/>
          <w:lang w:eastAsia="ja-JP"/>
        </w:rPr>
        <w:t xml:space="preserve">eted with regard to </w:t>
      </w:r>
      <w:r w:rsidR="00245A96">
        <w:rPr>
          <w:rFonts w:ascii="Arial" w:hAnsi="Arial" w:cs="Arial"/>
          <w:sz w:val="20"/>
          <w:szCs w:val="20"/>
          <w:lang w:eastAsia="ja-JP"/>
        </w:rPr>
        <w:t>monotherapy, which</w:t>
      </w:r>
      <w:r w:rsidR="003C5209" w:rsidRPr="00BF3D07">
        <w:rPr>
          <w:rFonts w:ascii="Arial" w:hAnsi="Arial" w:cs="Arial"/>
          <w:sz w:val="20"/>
          <w:szCs w:val="20"/>
          <w:lang w:eastAsia="ja-JP"/>
        </w:rPr>
        <w:t xml:space="preserve"> is the reference category.</w:t>
      </w:r>
    </w:p>
    <w:p w14:paraId="7319F9F0" w14:textId="72926385" w:rsidR="00C548A4" w:rsidRPr="00BF3D07" w:rsidRDefault="00C72AF3" w:rsidP="005120C4">
      <w:pPr>
        <w:autoSpaceDE w:val="0"/>
        <w:autoSpaceDN w:val="0"/>
        <w:adjustRightInd w:val="0"/>
        <w:spacing w:after="0" w:line="480" w:lineRule="auto"/>
        <w:rPr>
          <w:rFonts w:ascii="Arial" w:hAnsi="Arial" w:cs="Arial"/>
          <w:sz w:val="20"/>
          <w:szCs w:val="20"/>
        </w:rPr>
      </w:pPr>
      <w:r w:rsidRPr="00BF3D07">
        <w:rPr>
          <w:rFonts w:ascii="Arial" w:hAnsi="Arial" w:cs="Arial"/>
          <w:sz w:val="20"/>
          <w:szCs w:val="20"/>
        </w:rPr>
        <w:t xml:space="preserve">All coefficient estimates are reported as hazard ratios (HR) </w:t>
      </w:r>
      <w:r w:rsidR="00014F72" w:rsidRPr="00BF3D07">
        <w:rPr>
          <w:rFonts w:ascii="Arial" w:hAnsi="Arial" w:cs="Arial"/>
          <w:sz w:val="20"/>
          <w:szCs w:val="20"/>
        </w:rPr>
        <w:t>where a</w:t>
      </w:r>
      <w:r w:rsidRPr="00BF3D07">
        <w:rPr>
          <w:rFonts w:ascii="Arial" w:hAnsi="Arial" w:cs="Arial"/>
          <w:sz w:val="20"/>
          <w:szCs w:val="20"/>
        </w:rPr>
        <w:t xml:space="preserve"> HR greater than 1 indicates an increase in the risk of the outcome associated with a unit change in the explanatory variable, and vice versa for a HR below 1.</w:t>
      </w:r>
      <w:r w:rsidR="00697002">
        <w:rPr>
          <w:rFonts w:ascii="Arial" w:hAnsi="Arial" w:cs="Arial"/>
          <w:sz w:val="20"/>
          <w:szCs w:val="20"/>
        </w:rPr>
        <w:t xml:space="preserve"> D</w:t>
      </w:r>
      <w:r w:rsidR="00BE7AF8">
        <w:rPr>
          <w:rFonts w:ascii="Arial" w:hAnsi="Arial" w:cs="Arial"/>
          <w:sz w:val="20"/>
          <w:szCs w:val="20"/>
        </w:rPr>
        <w:t xml:space="preserve">etails on the </w:t>
      </w:r>
      <w:r w:rsidR="008662F3">
        <w:rPr>
          <w:rFonts w:ascii="Arial" w:hAnsi="Arial" w:cs="Arial"/>
          <w:sz w:val="20"/>
          <w:szCs w:val="20"/>
        </w:rPr>
        <w:t xml:space="preserve">survival analysis </w:t>
      </w:r>
      <w:r w:rsidR="00BE7AF8">
        <w:rPr>
          <w:rFonts w:ascii="Arial" w:hAnsi="Arial" w:cs="Arial"/>
          <w:sz w:val="20"/>
          <w:szCs w:val="20"/>
        </w:rPr>
        <w:t>are</w:t>
      </w:r>
      <w:r w:rsidR="00697002">
        <w:rPr>
          <w:rFonts w:ascii="Arial" w:hAnsi="Arial" w:cs="Arial"/>
          <w:sz w:val="20"/>
          <w:szCs w:val="20"/>
        </w:rPr>
        <w:t xml:space="preserve"> provided in</w:t>
      </w:r>
      <w:r w:rsidR="00ED1D07" w:rsidRPr="00ED1D07">
        <w:rPr>
          <w:rFonts w:ascii="Arial" w:hAnsi="Arial" w:cs="Arial"/>
          <w:sz w:val="20"/>
          <w:szCs w:val="20"/>
        </w:rPr>
        <w:t xml:space="preserve"> </w:t>
      </w:r>
      <w:r w:rsidR="00F31937">
        <w:rPr>
          <w:rFonts w:ascii="Arial" w:hAnsi="Arial" w:cs="Arial"/>
          <w:sz w:val="20"/>
          <w:szCs w:val="20"/>
        </w:rPr>
        <w:t>the online s</w:t>
      </w:r>
      <w:r w:rsidR="00DF2DE5">
        <w:rPr>
          <w:rFonts w:ascii="Arial" w:hAnsi="Arial" w:cs="Arial"/>
          <w:sz w:val="20"/>
          <w:szCs w:val="20"/>
        </w:rPr>
        <w:t>upplement</w:t>
      </w:r>
      <w:r w:rsidR="008C1A6C" w:rsidRPr="00ED1D07">
        <w:rPr>
          <w:rFonts w:ascii="Arial" w:hAnsi="Arial" w:cs="Arial"/>
          <w:sz w:val="20"/>
          <w:szCs w:val="20"/>
        </w:rPr>
        <w:t>.</w:t>
      </w:r>
      <w:r w:rsidR="00D2045E">
        <w:rPr>
          <w:rFonts w:ascii="Arial" w:hAnsi="Arial" w:cs="Arial"/>
          <w:sz w:val="20"/>
          <w:szCs w:val="20"/>
        </w:rPr>
        <w:t xml:space="preserve"> All analyses were performed in </w:t>
      </w:r>
      <w:r w:rsidR="002773D6">
        <w:rPr>
          <w:rFonts w:ascii="Arial" w:hAnsi="Arial" w:cs="Arial"/>
          <w:sz w:val="20"/>
          <w:szCs w:val="20"/>
        </w:rPr>
        <w:t>Stata 14 (StataCorp LP, College Station, TX, US).</w:t>
      </w:r>
    </w:p>
    <w:p w14:paraId="46965B88" w14:textId="1EEED7CE" w:rsidR="007E3C89" w:rsidRPr="005120C4" w:rsidRDefault="007E3C89" w:rsidP="00884BE6">
      <w:pPr>
        <w:pStyle w:val="Heading1"/>
      </w:pPr>
      <w:bookmarkStart w:id="12" w:name="_Toc444002022"/>
      <w:r w:rsidRPr="005120C4">
        <w:t>Results</w:t>
      </w:r>
    </w:p>
    <w:p w14:paraId="3A91C6F4" w14:textId="21F5FFA0" w:rsidR="00093A27" w:rsidRPr="00BB3A7B" w:rsidRDefault="000C415A" w:rsidP="00704A64">
      <w:pPr>
        <w:spacing w:after="0" w:line="480" w:lineRule="auto"/>
        <w:rPr>
          <w:rFonts w:ascii="Arial" w:hAnsi="Arial" w:cs="Arial"/>
          <w:b/>
          <w:sz w:val="20"/>
          <w:szCs w:val="20"/>
          <w:lang w:eastAsia="ja-JP"/>
        </w:rPr>
      </w:pPr>
      <w:r>
        <w:rPr>
          <w:rFonts w:ascii="Arial" w:hAnsi="Arial" w:cs="Arial"/>
          <w:sz w:val="20"/>
          <w:szCs w:val="20"/>
          <w:lang w:eastAsia="ja-JP"/>
        </w:rPr>
        <w:t xml:space="preserve">All patients were </w:t>
      </w:r>
      <w:r w:rsidRPr="00BF3D07">
        <w:rPr>
          <w:rFonts w:ascii="Arial" w:hAnsi="Arial" w:cs="Arial"/>
          <w:sz w:val="20"/>
          <w:szCs w:val="20"/>
          <w:lang w:eastAsia="ja-JP"/>
        </w:rPr>
        <w:t xml:space="preserve">prescribed an antipsychotic substance at some point during the </w:t>
      </w:r>
      <w:r>
        <w:rPr>
          <w:rFonts w:ascii="Arial" w:hAnsi="Arial" w:cs="Arial"/>
          <w:sz w:val="20"/>
          <w:szCs w:val="20"/>
          <w:lang w:eastAsia="ja-JP"/>
        </w:rPr>
        <w:t>observation</w:t>
      </w:r>
      <w:r w:rsidRPr="00BF3D07">
        <w:rPr>
          <w:rFonts w:ascii="Arial" w:hAnsi="Arial" w:cs="Arial"/>
          <w:sz w:val="20"/>
          <w:szCs w:val="20"/>
          <w:lang w:eastAsia="ja-JP"/>
        </w:rPr>
        <w:t xml:space="preserve"> period.  </w:t>
      </w:r>
      <w:bookmarkEnd w:id="12"/>
      <w:r w:rsidR="00526A91">
        <w:rPr>
          <w:rFonts w:ascii="Arial" w:hAnsi="Arial" w:cs="Arial"/>
          <w:sz w:val="20"/>
          <w:szCs w:val="20"/>
          <w:lang w:eastAsia="ja-JP"/>
        </w:rPr>
        <w:fldChar w:fldCharType="begin"/>
      </w:r>
      <w:r w:rsidR="00526A91">
        <w:rPr>
          <w:rFonts w:ascii="Arial" w:hAnsi="Arial" w:cs="Arial"/>
          <w:sz w:val="20"/>
          <w:szCs w:val="20"/>
          <w:lang w:eastAsia="ja-JP"/>
        </w:rPr>
        <w:instrText xml:space="preserve"> REF _Ref529371181 \h </w:instrText>
      </w:r>
      <w:r w:rsidR="00526A91">
        <w:rPr>
          <w:rFonts w:ascii="Arial" w:hAnsi="Arial" w:cs="Arial"/>
          <w:sz w:val="20"/>
          <w:szCs w:val="20"/>
          <w:lang w:eastAsia="ja-JP"/>
        </w:rPr>
      </w:r>
      <w:r w:rsidR="00526A91">
        <w:rPr>
          <w:rFonts w:ascii="Arial" w:hAnsi="Arial" w:cs="Arial"/>
          <w:sz w:val="20"/>
          <w:szCs w:val="20"/>
          <w:lang w:eastAsia="ja-JP"/>
        </w:rPr>
        <w:fldChar w:fldCharType="separate"/>
      </w:r>
      <w:r w:rsidR="00526A91" w:rsidRPr="00BF3D07">
        <w:t xml:space="preserve">Table </w:t>
      </w:r>
      <w:r w:rsidR="00526A91">
        <w:rPr>
          <w:noProof/>
        </w:rPr>
        <w:t>1</w:t>
      </w:r>
      <w:r w:rsidR="00526A91">
        <w:rPr>
          <w:rFonts w:ascii="Arial" w:hAnsi="Arial" w:cs="Arial"/>
          <w:sz w:val="20"/>
          <w:szCs w:val="20"/>
          <w:lang w:eastAsia="ja-JP"/>
        </w:rPr>
        <w:fldChar w:fldCharType="end"/>
      </w:r>
      <w:r w:rsidR="00526A91">
        <w:rPr>
          <w:rFonts w:ascii="Arial" w:hAnsi="Arial" w:cs="Arial"/>
          <w:sz w:val="20"/>
          <w:szCs w:val="20"/>
          <w:lang w:eastAsia="ja-JP"/>
        </w:rPr>
        <w:t xml:space="preserve"> </w:t>
      </w:r>
      <w:r w:rsidR="006151B7" w:rsidRPr="00BF3D07">
        <w:rPr>
          <w:rFonts w:ascii="Arial" w:hAnsi="Arial" w:cs="Arial"/>
          <w:sz w:val="20"/>
          <w:szCs w:val="20"/>
          <w:lang w:eastAsia="ja-JP"/>
        </w:rPr>
        <w:t xml:space="preserve">provides descriptive statistics. </w:t>
      </w:r>
      <w:r w:rsidR="006151B7">
        <w:rPr>
          <w:rFonts w:ascii="Arial" w:hAnsi="Arial" w:cs="Arial"/>
          <w:sz w:val="20"/>
          <w:szCs w:val="20"/>
          <w:lang w:eastAsia="ja-JP"/>
        </w:rPr>
        <w:t xml:space="preserve"> </w:t>
      </w:r>
      <w:r w:rsidR="008C6709">
        <w:rPr>
          <w:rFonts w:ascii="Arial" w:hAnsi="Arial" w:cs="Arial"/>
          <w:sz w:val="20"/>
          <w:szCs w:val="20"/>
          <w:lang w:eastAsia="ja-JP"/>
        </w:rPr>
        <w:t xml:space="preserve">Unplanned admissions and mortality outcomes were studied using the </w:t>
      </w:r>
      <w:r w:rsidR="00AC1141">
        <w:rPr>
          <w:rFonts w:ascii="Arial" w:hAnsi="Arial" w:cs="Arial"/>
          <w:sz w:val="20"/>
          <w:szCs w:val="20"/>
          <w:lang w:eastAsia="ja-JP"/>
        </w:rPr>
        <w:t xml:space="preserve">same </w:t>
      </w:r>
      <w:r w:rsidR="008C6709">
        <w:rPr>
          <w:rFonts w:ascii="Arial" w:hAnsi="Arial" w:cs="Arial"/>
          <w:sz w:val="20"/>
          <w:szCs w:val="20"/>
          <w:lang w:eastAsia="ja-JP"/>
        </w:rPr>
        <w:t>sample of</w:t>
      </w:r>
      <w:r>
        <w:rPr>
          <w:rFonts w:ascii="Arial" w:hAnsi="Arial" w:cs="Arial"/>
          <w:sz w:val="20"/>
          <w:szCs w:val="20"/>
          <w:lang w:eastAsia="ja-JP"/>
        </w:rPr>
        <w:t xml:space="preserve"> </w:t>
      </w:r>
      <w:r w:rsidRPr="00BF3D07">
        <w:rPr>
          <w:rFonts w:ascii="Arial" w:hAnsi="Arial" w:cs="Arial"/>
          <w:sz w:val="20"/>
          <w:szCs w:val="20"/>
          <w:lang w:eastAsia="ja-JP"/>
        </w:rPr>
        <w:t>17,255 patie</w:t>
      </w:r>
      <w:r>
        <w:rPr>
          <w:rFonts w:ascii="Arial" w:hAnsi="Arial" w:cs="Arial"/>
          <w:sz w:val="20"/>
          <w:szCs w:val="20"/>
          <w:lang w:eastAsia="ja-JP"/>
        </w:rPr>
        <w:t>nts from 215 practices</w:t>
      </w:r>
      <w:r w:rsidR="008C6709">
        <w:rPr>
          <w:rFonts w:ascii="Arial" w:hAnsi="Arial" w:cs="Arial"/>
          <w:sz w:val="20"/>
          <w:szCs w:val="20"/>
          <w:lang w:eastAsia="ja-JP"/>
        </w:rPr>
        <w:t xml:space="preserve">. </w:t>
      </w:r>
      <w:r>
        <w:rPr>
          <w:rFonts w:ascii="Arial" w:hAnsi="Arial" w:cs="Arial"/>
          <w:sz w:val="20"/>
          <w:szCs w:val="20"/>
          <w:lang w:eastAsia="ja-JP"/>
        </w:rPr>
        <w:t xml:space="preserve"> </w:t>
      </w:r>
      <w:r w:rsidR="008C6709">
        <w:rPr>
          <w:rFonts w:ascii="Arial" w:hAnsi="Arial" w:cs="Arial"/>
          <w:sz w:val="20"/>
          <w:szCs w:val="20"/>
          <w:lang w:eastAsia="ja-JP"/>
        </w:rPr>
        <w:t xml:space="preserve">These patients </w:t>
      </w:r>
      <w:r>
        <w:rPr>
          <w:rFonts w:ascii="Arial" w:hAnsi="Arial" w:cs="Arial"/>
          <w:sz w:val="20"/>
          <w:szCs w:val="20"/>
          <w:lang w:eastAsia="ja-JP"/>
        </w:rPr>
        <w:t>were observed for 5.7 years on average and 12.9</w:t>
      </w:r>
      <w:r w:rsidRPr="00BF3D07">
        <w:rPr>
          <w:rFonts w:ascii="Arial" w:hAnsi="Arial" w:cs="Arial"/>
          <w:sz w:val="20"/>
          <w:szCs w:val="20"/>
          <w:lang w:eastAsia="ja-JP"/>
        </w:rPr>
        <w:t>% of</w:t>
      </w:r>
      <w:r>
        <w:rPr>
          <w:rFonts w:ascii="Arial" w:hAnsi="Arial" w:cs="Arial"/>
          <w:sz w:val="20"/>
          <w:szCs w:val="20"/>
          <w:lang w:eastAsia="ja-JP"/>
        </w:rPr>
        <w:t xml:space="preserve"> them</w:t>
      </w:r>
      <w:r w:rsidRPr="00BF3D07">
        <w:rPr>
          <w:rFonts w:ascii="Arial" w:hAnsi="Arial" w:cs="Arial"/>
          <w:sz w:val="20"/>
          <w:szCs w:val="20"/>
          <w:lang w:eastAsia="ja-JP"/>
        </w:rPr>
        <w:t xml:space="preserve"> had </w:t>
      </w:r>
      <w:r w:rsidR="00E17C23">
        <w:rPr>
          <w:rFonts w:ascii="Arial" w:hAnsi="Arial" w:cs="Arial"/>
          <w:sz w:val="20"/>
          <w:szCs w:val="20"/>
          <w:lang w:eastAsia="ja-JP"/>
        </w:rPr>
        <w:t xml:space="preserve">at least one </w:t>
      </w:r>
      <w:r w:rsidR="004F26A7">
        <w:rPr>
          <w:rFonts w:ascii="Arial" w:hAnsi="Arial" w:cs="Arial"/>
          <w:sz w:val="20"/>
          <w:szCs w:val="20"/>
        </w:rPr>
        <w:t>polypharmacy</w:t>
      </w:r>
      <w:r w:rsidR="00E17C23">
        <w:rPr>
          <w:rFonts w:ascii="Arial" w:hAnsi="Arial" w:cs="Arial"/>
          <w:sz w:val="20"/>
          <w:szCs w:val="20"/>
          <w:lang w:eastAsia="ja-JP"/>
        </w:rPr>
        <w:t xml:space="preserve"> episode</w:t>
      </w:r>
      <w:r w:rsidR="00120B94">
        <w:rPr>
          <w:rFonts w:ascii="Arial" w:hAnsi="Arial" w:cs="Arial"/>
          <w:sz w:val="20"/>
          <w:szCs w:val="20"/>
          <w:lang w:eastAsia="ja-JP"/>
        </w:rPr>
        <w:t xml:space="preserve"> during the observation period</w:t>
      </w:r>
      <w:r w:rsidRPr="00BF3D07">
        <w:rPr>
          <w:rFonts w:ascii="Arial" w:hAnsi="Arial" w:cs="Arial"/>
          <w:sz w:val="20"/>
          <w:szCs w:val="20"/>
          <w:lang w:eastAsia="ja-JP"/>
        </w:rPr>
        <w:t xml:space="preserve">. </w:t>
      </w:r>
      <w:r w:rsidR="009A2A06">
        <w:rPr>
          <w:rFonts w:ascii="Arial" w:hAnsi="Arial" w:cs="Arial"/>
          <w:sz w:val="20"/>
          <w:szCs w:val="20"/>
          <w:lang w:eastAsia="ja-JP"/>
        </w:rPr>
        <w:t xml:space="preserve"> </w:t>
      </w:r>
      <w:r w:rsidR="009A2A06" w:rsidRPr="00BF3D07">
        <w:rPr>
          <w:rFonts w:ascii="Arial" w:hAnsi="Arial" w:cs="Arial"/>
          <w:sz w:val="20"/>
          <w:szCs w:val="20"/>
          <w:lang w:eastAsia="ja-JP"/>
        </w:rPr>
        <w:t>Th</w:t>
      </w:r>
      <w:r w:rsidR="00E17C23">
        <w:rPr>
          <w:rFonts w:ascii="Arial" w:hAnsi="Arial" w:cs="Arial"/>
          <w:sz w:val="20"/>
          <w:szCs w:val="20"/>
          <w:lang w:eastAsia="ja-JP"/>
        </w:rPr>
        <w:t>e average</w:t>
      </w:r>
      <w:r w:rsidR="009A2A06">
        <w:rPr>
          <w:rFonts w:ascii="Arial" w:hAnsi="Arial" w:cs="Arial"/>
          <w:sz w:val="20"/>
          <w:szCs w:val="20"/>
          <w:lang w:eastAsia="ja-JP"/>
        </w:rPr>
        <w:t xml:space="preserve"> number of </w:t>
      </w:r>
      <w:r w:rsidR="004F26A7">
        <w:rPr>
          <w:rFonts w:ascii="Arial" w:hAnsi="Arial" w:cs="Arial"/>
          <w:sz w:val="20"/>
          <w:szCs w:val="20"/>
        </w:rPr>
        <w:t>polypharmacy</w:t>
      </w:r>
      <w:r w:rsidR="009A2A06">
        <w:rPr>
          <w:rFonts w:ascii="Arial" w:hAnsi="Arial" w:cs="Arial"/>
          <w:sz w:val="20"/>
          <w:szCs w:val="20"/>
          <w:lang w:eastAsia="ja-JP"/>
        </w:rPr>
        <w:t xml:space="preserve"> episodes </w:t>
      </w:r>
      <w:r w:rsidR="00E17C23">
        <w:rPr>
          <w:rFonts w:ascii="Arial" w:hAnsi="Arial" w:cs="Arial"/>
          <w:sz w:val="20"/>
          <w:szCs w:val="20"/>
          <w:lang w:eastAsia="ja-JP"/>
        </w:rPr>
        <w:t xml:space="preserve">per patient on </w:t>
      </w:r>
      <w:r w:rsidR="004F26A7">
        <w:rPr>
          <w:rFonts w:ascii="Arial" w:hAnsi="Arial" w:cs="Arial"/>
          <w:sz w:val="20"/>
          <w:szCs w:val="20"/>
        </w:rPr>
        <w:t>polypharmacy</w:t>
      </w:r>
      <w:r w:rsidR="00E17C23">
        <w:rPr>
          <w:rFonts w:ascii="Arial" w:hAnsi="Arial" w:cs="Arial"/>
          <w:sz w:val="20"/>
          <w:szCs w:val="20"/>
          <w:lang w:eastAsia="ja-JP"/>
        </w:rPr>
        <w:t xml:space="preserve"> </w:t>
      </w:r>
      <w:r w:rsidR="009A2A06">
        <w:rPr>
          <w:rFonts w:ascii="Arial" w:hAnsi="Arial" w:cs="Arial"/>
          <w:sz w:val="20"/>
          <w:szCs w:val="20"/>
          <w:lang w:eastAsia="ja-JP"/>
        </w:rPr>
        <w:t>was</w:t>
      </w:r>
      <w:r w:rsidR="009A2A06" w:rsidRPr="00BF3D07">
        <w:rPr>
          <w:rFonts w:ascii="Arial" w:hAnsi="Arial" w:cs="Arial"/>
          <w:sz w:val="20"/>
          <w:szCs w:val="20"/>
          <w:lang w:eastAsia="ja-JP"/>
        </w:rPr>
        <w:t xml:space="preserve"> 5.5</w:t>
      </w:r>
      <w:r w:rsidR="00E17C23">
        <w:rPr>
          <w:rFonts w:ascii="Arial" w:hAnsi="Arial" w:cs="Arial"/>
          <w:sz w:val="20"/>
          <w:szCs w:val="20"/>
          <w:lang w:eastAsia="ja-JP"/>
        </w:rPr>
        <w:t xml:space="preserve"> and t</w:t>
      </w:r>
      <w:r w:rsidR="009A2A06" w:rsidRPr="00BF3D07">
        <w:rPr>
          <w:rFonts w:ascii="Arial" w:hAnsi="Arial" w:cs="Arial"/>
          <w:sz w:val="20"/>
          <w:szCs w:val="20"/>
          <w:lang w:eastAsia="ja-JP"/>
        </w:rPr>
        <w:t xml:space="preserve">he mean </w:t>
      </w:r>
      <w:r w:rsidR="004F26A7">
        <w:rPr>
          <w:rFonts w:ascii="Arial" w:hAnsi="Arial" w:cs="Arial"/>
          <w:sz w:val="20"/>
          <w:szCs w:val="20"/>
        </w:rPr>
        <w:t>polypharmacy</w:t>
      </w:r>
      <w:r w:rsidR="009A2A06">
        <w:rPr>
          <w:rFonts w:ascii="Arial" w:hAnsi="Arial" w:cs="Arial"/>
          <w:sz w:val="20"/>
          <w:szCs w:val="20"/>
          <w:lang w:eastAsia="ja-JP"/>
        </w:rPr>
        <w:t xml:space="preserve"> episode length was</w:t>
      </w:r>
      <w:r w:rsidR="009A2A06" w:rsidRPr="00BF3D07">
        <w:rPr>
          <w:rFonts w:ascii="Arial" w:hAnsi="Arial" w:cs="Arial"/>
          <w:sz w:val="20"/>
          <w:szCs w:val="20"/>
          <w:lang w:eastAsia="ja-JP"/>
        </w:rPr>
        <w:t xml:space="preserve"> 66 days (range: 2 to 2,340).</w:t>
      </w:r>
      <w:r w:rsidR="00093A27">
        <w:rPr>
          <w:rFonts w:ascii="Arial" w:hAnsi="Arial" w:cs="Arial"/>
          <w:sz w:val="20"/>
          <w:szCs w:val="20"/>
          <w:lang w:eastAsia="ja-JP"/>
        </w:rPr>
        <w:t xml:space="preserve">  </w:t>
      </w:r>
    </w:p>
    <w:p w14:paraId="75BDB450" w14:textId="70685E8F" w:rsidR="003D6B7A" w:rsidRDefault="00093A27" w:rsidP="00704A64">
      <w:pPr>
        <w:spacing w:after="0" w:line="480" w:lineRule="auto"/>
        <w:rPr>
          <w:rFonts w:ascii="Arial" w:hAnsi="Arial" w:cs="Arial"/>
          <w:sz w:val="20"/>
          <w:szCs w:val="20"/>
          <w:lang w:eastAsia="ja-JP"/>
        </w:rPr>
      </w:pPr>
      <w:r>
        <w:rPr>
          <w:rFonts w:ascii="Arial" w:hAnsi="Arial" w:cs="Arial"/>
          <w:sz w:val="20"/>
          <w:szCs w:val="20"/>
          <w:lang w:eastAsia="ja-JP"/>
        </w:rPr>
        <w:t>For the unplanned admissions analysis t</w:t>
      </w:r>
      <w:r w:rsidR="005849B2">
        <w:rPr>
          <w:rFonts w:ascii="Arial" w:hAnsi="Arial" w:cs="Arial"/>
          <w:sz w:val="20"/>
          <w:szCs w:val="20"/>
          <w:lang w:eastAsia="ja-JP"/>
        </w:rPr>
        <w:t xml:space="preserve">he average follow-up period was shorter </w:t>
      </w:r>
      <w:r>
        <w:rPr>
          <w:rFonts w:ascii="Arial" w:hAnsi="Arial" w:cs="Arial"/>
          <w:sz w:val="20"/>
          <w:szCs w:val="20"/>
          <w:lang w:eastAsia="ja-JP"/>
        </w:rPr>
        <w:t xml:space="preserve">than the observation period </w:t>
      </w:r>
      <w:r w:rsidR="005849B2">
        <w:rPr>
          <w:rFonts w:ascii="Arial" w:hAnsi="Arial" w:cs="Arial"/>
          <w:sz w:val="20"/>
          <w:szCs w:val="20"/>
          <w:lang w:eastAsia="ja-JP"/>
        </w:rPr>
        <w:t xml:space="preserve">(3.6 years) with 8.8% of patients having at least one </w:t>
      </w:r>
      <w:r w:rsidR="004F26A7">
        <w:rPr>
          <w:rFonts w:ascii="Arial" w:hAnsi="Arial" w:cs="Arial"/>
          <w:sz w:val="20"/>
          <w:szCs w:val="20"/>
        </w:rPr>
        <w:t>polypharmacy</w:t>
      </w:r>
      <w:r w:rsidR="005849B2">
        <w:rPr>
          <w:rFonts w:ascii="Arial" w:hAnsi="Arial" w:cs="Arial"/>
          <w:sz w:val="20"/>
          <w:szCs w:val="20"/>
          <w:lang w:eastAsia="ja-JP"/>
        </w:rPr>
        <w:t xml:space="preserve"> episode</w:t>
      </w:r>
      <w:r w:rsidR="00AC1141">
        <w:rPr>
          <w:rFonts w:ascii="Arial" w:hAnsi="Arial" w:cs="Arial"/>
          <w:sz w:val="20"/>
          <w:szCs w:val="20"/>
          <w:lang w:eastAsia="ja-JP"/>
        </w:rPr>
        <w:t xml:space="preserve"> during this period</w:t>
      </w:r>
      <w:r>
        <w:rPr>
          <w:rFonts w:ascii="Arial" w:hAnsi="Arial" w:cs="Arial"/>
          <w:sz w:val="20"/>
          <w:szCs w:val="20"/>
          <w:lang w:eastAsia="ja-JP"/>
        </w:rPr>
        <w:t xml:space="preserve">. </w:t>
      </w:r>
      <w:r w:rsidR="00AC1141">
        <w:rPr>
          <w:rFonts w:ascii="Arial" w:hAnsi="Arial" w:cs="Arial"/>
          <w:sz w:val="20"/>
          <w:szCs w:val="20"/>
          <w:lang w:eastAsia="ja-JP"/>
        </w:rPr>
        <w:t>Almost 52%</w:t>
      </w:r>
      <w:r w:rsidR="005849B2">
        <w:rPr>
          <w:rFonts w:ascii="Arial" w:hAnsi="Arial" w:cs="Arial"/>
          <w:sz w:val="20"/>
          <w:szCs w:val="20"/>
          <w:lang w:eastAsia="ja-JP"/>
        </w:rPr>
        <w:t xml:space="preserve"> </w:t>
      </w:r>
      <w:r w:rsidR="00AC1141">
        <w:rPr>
          <w:rFonts w:ascii="Arial" w:hAnsi="Arial" w:cs="Arial"/>
          <w:sz w:val="20"/>
          <w:szCs w:val="20"/>
          <w:lang w:eastAsia="ja-JP"/>
        </w:rPr>
        <w:t>of the patients (</w:t>
      </w:r>
      <w:r w:rsidR="00704A64" w:rsidRPr="00BF3D07">
        <w:rPr>
          <w:rFonts w:ascii="Arial" w:hAnsi="Arial" w:cs="Arial"/>
          <w:sz w:val="20"/>
          <w:szCs w:val="20"/>
          <w:lang w:eastAsia="ja-JP"/>
        </w:rPr>
        <w:t>8,916</w:t>
      </w:r>
      <w:r w:rsidR="00AC1141">
        <w:rPr>
          <w:rFonts w:ascii="Arial" w:hAnsi="Arial" w:cs="Arial"/>
          <w:sz w:val="20"/>
          <w:szCs w:val="20"/>
          <w:lang w:eastAsia="ja-JP"/>
        </w:rPr>
        <w:t>)</w:t>
      </w:r>
      <w:r w:rsidR="00704A64" w:rsidRPr="00BF3D07">
        <w:rPr>
          <w:rFonts w:ascii="Arial" w:hAnsi="Arial" w:cs="Arial"/>
          <w:sz w:val="20"/>
          <w:szCs w:val="20"/>
          <w:lang w:eastAsia="ja-JP"/>
        </w:rPr>
        <w:t xml:space="preserve"> had an unplanned admission</w:t>
      </w:r>
      <w:r w:rsidR="005849B2">
        <w:rPr>
          <w:rFonts w:ascii="Arial" w:hAnsi="Arial" w:cs="Arial"/>
          <w:sz w:val="20"/>
          <w:szCs w:val="20"/>
          <w:lang w:eastAsia="ja-JP"/>
        </w:rPr>
        <w:t xml:space="preserve"> and </w:t>
      </w:r>
      <w:r>
        <w:rPr>
          <w:rFonts w:ascii="Arial" w:hAnsi="Arial" w:cs="Arial"/>
          <w:sz w:val="20"/>
          <w:szCs w:val="20"/>
          <w:lang w:eastAsia="ja-JP"/>
        </w:rPr>
        <w:t>of tho</w:t>
      </w:r>
      <w:r w:rsidR="005849B2">
        <w:rPr>
          <w:rFonts w:ascii="Arial" w:hAnsi="Arial" w:cs="Arial"/>
          <w:sz w:val="20"/>
          <w:szCs w:val="20"/>
          <w:lang w:eastAsia="ja-JP"/>
        </w:rPr>
        <w:t xml:space="preserve">se </w:t>
      </w:r>
      <w:r>
        <w:rPr>
          <w:rFonts w:ascii="Arial" w:hAnsi="Arial" w:cs="Arial"/>
          <w:sz w:val="20"/>
          <w:szCs w:val="20"/>
          <w:lang w:eastAsia="ja-JP"/>
        </w:rPr>
        <w:t xml:space="preserve">7.9% </w:t>
      </w:r>
      <w:r w:rsidR="00AC1141">
        <w:rPr>
          <w:rFonts w:ascii="Arial" w:hAnsi="Arial" w:cs="Arial"/>
          <w:sz w:val="20"/>
          <w:szCs w:val="20"/>
          <w:lang w:eastAsia="ja-JP"/>
        </w:rPr>
        <w:t xml:space="preserve">had at least one </w:t>
      </w:r>
      <w:r w:rsidR="004F26A7">
        <w:rPr>
          <w:rFonts w:ascii="Arial" w:hAnsi="Arial" w:cs="Arial"/>
          <w:sz w:val="20"/>
          <w:szCs w:val="20"/>
        </w:rPr>
        <w:t>polypharmacy</w:t>
      </w:r>
      <w:r w:rsidR="00AC1141">
        <w:rPr>
          <w:rFonts w:ascii="Arial" w:hAnsi="Arial" w:cs="Arial"/>
          <w:sz w:val="20"/>
          <w:szCs w:val="20"/>
          <w:lang w:eastAsia="ja-JP"/>
        </w:rPr>
        <w:t xml:space="preserve"> episode</w:t>
      </w:r>
      <w:r w:rsidR="00C67EE4">
        <w:rPr>
          <w:rFonts w:ascii="Arial" w:hAnsi="Arial" w:cs="Arial"/>
          <w:sz w:val="20"/>
          <w:szCs w:val="20"/>
          <w:lang w:eastAsia="ja-JP"/>
        </w:rPr>
        <w:t xml:space="preserve"> before the admission</w:t>
      </w:r>
      <w:r w:rsidR="00AC1141">
        <w:rPr>
          <w:rFonts w:ascii="Arial" w:hAnsi="Arial" w:cs="Arial"/>
          <w:sz w:val="20"/>
          <w:szCs w:val="20"/>
          <w:lang w:eastAsia="ja-JP"/>
        </w:rPr>
        <w:t>.</w:t>
      </w:r>
      <w:r w:rsidR="00F07472">
        <w:rPr>
          <w:rFonts w:ascii="Arial" w:hAnsi="Arial" w:cs="Arial"/>
          <w:sz w:val="20"/>
          <w:szCs w:val="20"/>
          <w:lang w:eastAsia="ja-JP"/>
        </w:rPr>
        <w:t xml:space="preserve"> </w:t>
      </w:r>
    </w:p>
    <w:p w14:paraId="05F1FBD1" w14:textId="1DB0E721" w:rsidR="003D6B7A" w:rsidRDefault="003D6B7A" w:rsidP="00704A64">
      <w:pPr>
        <w:spacing w:after="0" w:line="480" w:lineRule="auto"/>
        <w:rPr>
          <w:rFonts w:ascii="Arial" w:hAnsi="Arial" w:cs="Arial"/>
          <w:sz w:val="20"/>
          <w:szCs w:val="20"/>
          <w:lang w:eastAsia="ja-JP"/>
        </w:rPr>
      </w:pPr>
      <w:r>
        <w:rPr>
          <w:rFonts w:ascii="Arial" w:hAnsi="Arial" w:cs="Arial"/>
          <w:sz w:val="20"/>
          <w:szCs w:val="20"/>
          <w:lang w:eastAsia="ja-JP"/>
        </w:rPr>
        <w:t>For the mortality analysis, the average time to death or censoring was 5.7 years.</w:t>
      </w:r>
      <w:r w:rsidR="00F07472">
        <w:rPr>
          <w:rFonts w:ascii="Arial" w:hAnsi="Arial" w:cs="Arial"/>
          <w:sz w:val="20"/>
          <w:szCs w:val="20"/>
          <w:lang w:eastAsia="ja-JP"/>
        </w:rPr>
        <w:t xml:space="preserve"> </w:t>
      </w:r>
      <w:r>
        <w:rPr>
          <w:rFonts w:ascii="Arial" w:hAnsi="Arial" w:cs="Arial"/>
          <w:sz w:val="20"/>
          <w:szCs w:val="20"/>
          <w:lang w:eastAsia="ja-JP"/>
        </w:rPr>
        <w:t xml:space="preserve"> </w:t>
      </w:r>
      <w:r w:rsidR="00F07472">
        <w:rPr>
          <w:rFonts w:ascii="Arial" w:hAnsi="Arial" w:cs="Arial"/>
          <w:sz w:val="20"/>
          <w:szCs w:val="20"/>
          <w:lang w:eastAsia="ja-JP"/>
        </w:rPr>
        <w:t>From the 604 patients who died</w:t>
      </w:r>
      <w:r>
        <w:rPr>
          <w:rFonts w:ascii="Arial" w:hAnsi="Arial" w:cs="Arial"/>
          <w:sz w:val="20"/>
          <w:szCs w:val="20"/>
          <w:lang w:eastAsia="ja-JP"/>
        </w:rPr>
        <w:t xml:space="preserve"> (3.5%)</w:t>
      </w:r>
      <w:r w:rsidR="00F07472">
        <w:rPr>
          <w:rFonts w:ascii="Arial" w:hAnsi="Arial" w:cs="Arial"/>
          <w:sz w:val="20"/>
          <w:szCs w:val="20"/>
          <w:lang w:eastAsia="ja-JP"/>
        </w:rPr>
        <w:t xml:space="preserve">, 52 (8.6%) </w:t>
      </w:r>
      <w:r>
        <w:rPr>
          <w:rFonts w:ascii="Arial" w:hAnsi="Arial" w:cs="Arial"/>
          <w:sz w:val="20"/>
          <w:szCs w:val="20"/>
          <w:lang w:eastAsia="ja-JP"/>
        </w:rPr>
        <w:t xml:space="preserve">had </w:t>
      </w:r>
      <w:r w:rsidR="00F07472">
        <w:rPr>
          <w:rFonts w:ascii="Arial" w:hAnsi="Arial" w:cs="Arial"/>
          <w:sz w:val="20"/>
          <w:szCs w:val="20"/>
          <w:lang w:eastAsia="ja-JP"/>
        </w:rPr>
        <w:t xml:space="preserve">received </w:t>
      </w:r>
      <w:r w:rsidR="004F26A7">
        <w:rPr>
          <w:rFonts w:ascii="Arial" w:hAnsi="Arial" w:cs="Arial"/>
          <w:sz w:val="20"/>
          <w:szCs w:val="20"/>
        </w:rPr>
        <w:t>polypharmacy</w:t>
      </w:r>
      <w:r w:rsidR="00F07472">
        <w:rPr>
          <w:rFonts w:ascii="Arial" w:hAnsi="Arial" w:cs="Arial"/>
          <w:sz w:val="20"/>
          <w:szCs w:val="20"/>
          <w:lang w:eastAsia="ja-JP"/>
        </w:rPr>
        <w:t>.</w:t>
      </w:r>
    </w:p>
    <w:p w14:paraId="1BC4ABF7" w14:textId="78E42F51" w:rsidR="00BC5AF1" w:rsidRDefault="00F07472" w:rsidP="005C22FC">
      <w:pPr>
        <w:spacing w:after="0" w:line="480" w:lineRule="auto"/>
        <w:rPr>
          <w:rFonts w:ascii="Arial" w:hAnsi="Arial" w:cs="Arial"/>
          <w:sz w:val="20"/>
          <w:szCs w:val="20"/>
          <w:lang w:eastAsia="ja-JP"/>
        </w:rPr>
      </w:pPr>
      <w:r>
        <w:rPr>
          <w:rFonts w:ascii="Arial" w:hAnsi="Arial" w:cs="Arial"/>
          <w:sz w:val="20"/>
          <w:szCs w:val="20"/>
          <w:lang w:eastAsia="ja-JP"/>
        </w:rPr>
        <w:t xml:space="preserve">The sample for </w:t>
      </w:r>
      <w:r w:rsidR="00C75360">
        <w:rPr>
          <w:rFonts w:ascii="Arial" w:hAnsi="Arial" w:cs="Arial"/>
          <w:sz w:val="20"/>
          <w:szCs w:val="20"/>
          <w:lang w:eastAsia="ja-JP"/>
        </w:rPr>
        <w:t>E</w:t>
      </w:r>
      <w:r w:rsidR="00C5698A">
        <w:rPr>
          <w:rFonts w:ascii="Arial" w:hAnsi="Arial" w:cs="Arial"/>
          <w:sz w:val="20"/>
          <w:szCs w:val="20"/>
          <w:lang w:eastAsia="ja-JP"/>
        </w:rPr>
        <w:t>D</w:t>
      </w:r>
      <w:r w:rsidR="00C75360" w:rsidRPr="00BF3D07">
        <w:rPr>
          <w:rFonts w:ascii="Arial" w:hAnsi="Arial" w:cs="Arial"/>
          <w:sz w:val="20"/>
          <w:szCs w:val="20"/>
          <w:lang w:eastAsia="ja-JP"/>
        </w:rPr>
        <w:t xml:space="preserve"> </w:t>
      </w:r>
      <w:r w:rsidRPr="00BF3D07">
        <w:rPr>
          <w:rFonts w:ascii="Arial" w:hAnsi="Arial" w:cs="Arial"/>
          <w:sz w:val="20"/>
          <w:szCs w:val="20"/>
          <w:lang w:eastAsia="ja-JP"/>
        </w:rPr>
        <w:t>attendances covers a shorter period from 1 April 2007 to 31 March 2014 totalling 13,24</w:t>
      </w:r>
      <w:r>
        <w:rPr>
          <w:rFonts w:ascii="Arial" w:hAnsi="Arial" w:cs="Arial"/>
          <w:sz w:val="20"/>
          <w:szCs w:val="20"/>
          <w:lang w:eastAsia="ja-JP"/>
        </w:rPr>
        <w:t xml:space="preserve">7 patients from 215 practices.  Of the </w:t>
      </w:r>
      <w:r w:rsidR="00704A64" w:rsidRPr="00BF3D07">
        <w:rPr>
          <w:rFonts w:ascii="Arial" w:hAnsi="Arial" w:cs="Arial"/>
          <w:sz w:val="20"/>
          <w:szCs w:val="20"/>
          <w:lang w:eastAsia="ja-JP"/>
        </w:rPr>
        <w:t>7,523</w:t>
      </w:r>
      <w:r>
        <w:rPr>
          <w:rFonts w:ascii="Arial" w:hAnsi="Arial" w:cs="Arial"/>
          <w:sz w:val="20"/>
          <w:szCs w:val="20"/>
          <w:lang w:eastAsia="ja-JP"/>
        </w:rPr>
        <w:t xml:space="preserve"> patients with an </w:t>
      </w:r>
      <w:r w:rsidR="00C75360">
        <w:rPr>
          <w:rFonts w:ascii="Arial" w:hAnsi="Arial" w:cs="Arial"/>
          <w:sz w:val="20"/>
          <w:szCs w:val="20"/>
          <w:lang w:eastAsia="ja-JP"/>
        </w:rPr>
        <w:t>E</w:t>
      </w:r>
      <w:r w:rsidR="00C5698A">
        <w:rPr>
          <w:rFonts w:ascii="Arial" w:hAnsi="Arial" w:cs="Arial"/>
          <w:sz w:val="20"/>
          <w:szCs w:val="20"/>
          <w:lang w:eastAsia="ja-JP"/>
        </w:rPr>
        <w:t>D</w:t>
      </w:r>
      <w:r w:rsidR="00C75360">
        <w:rPr>
          <w:rFonts w:ascii="Arial" w:hAnsi="Arial" w:cs="Arial"/>
          <w:sz w:val="20"/>
          <w:szCs w:val="20"/>
          <w:lang w:eastAsia="ja-JP"/>
        </w:rPr>
        <w:t xml:space="preserve"> </w:t>
      </w:r>
      <w:r>
        <w:rPr>
          <w:rFonts w:ascii="Arial" w:hAnsi="Arial" w:cs="Arial"/>
          <w:sz w:val="20"/>
          <w:szCs w:val="20"/>
          <w:lang w:eastAsia="ja-JP"/>
        </w:rPr>
        <w:t>presentation, 511 (6.8%)</w:t>
      </w:r>
      <w:r w:rsidR="003D6B7A">
        <w:rPr>
          <w:rFonts w:ascii="Arial" w:hAnsi="Arial" w:cs="Arial"/>
          <w:sz w:val="20"/>
          <w:szCs w:val="20"/>
          <w:lang w:eastAsia="ja-JP"/>
        </w:rPr>
        <w:t xml:space="preserve"> had</w:t>
      </w:r>
      <w:r>
        <w:rPr>
          <w:rFonts w:ascii="Arial" w:hAnsi="Arial" w:cs="Arial"/>
          <w:sz w:val="20"/>
          <w:szCs w:val="20"/>
          <w:lang w:eastAsia="ja-JP"/>
        </w:rPr>
        <w:t xml:space="preserve"> received </w:t>
      </w:r>
      <w:r w:rsidR="004F26A7">
        <w:rPr>
          <w:rFonts w:ascii="Arial" w:hAnsi="Arial" w:cs="Arial"/>
          <w:sz w:val="20"/>
          <w:szCs w:val="20"/>
        </w:rPr>
        <w:t>polypharmacy</w:t>
      </w:r>
      <w:r>
        <w:rPr>
          <w:rFonts w:ascii="Arial" w:hAnsi="Arial" w:cs="Arial"/>
          <w:sz w:val="20"/>
          <w:szCs w:val="20"/>
          <w:lang w:eastAsia="ja-JP"/>
        </w:rPr>
        <w:t xml:space="preserve">.  </w:t>
      </w:r>
    </w:p>
    <w:p w14:paraId="38B1CFB7" w14:textId="5357F5BE" w:rsidR="00721274" w:rsidRDefault="00957790" w:rsidP="00CD09C7">
      <w:pPr>
        <w:autoSpaceDE w:val="0"/>
        <w:autoSpaceDN w:val="0"/>
        <w:adjustRightInd w:val="0"/>
        <w:spacing w:after="0" w:line="480" w:lineRule="auto"/>
        <w:rPr>
          <w:rFonts w:ascii="Arial" w:hAnsi="Arial" w:cs="Arial"/>
          <w:sz w:val="20"/>
          <w:szCs w:val="20"/>
          <w:lang w:eastAsia="ja-JP"/>
        </w:rPr>
      </w:pPr>
      <w:r>
        <w:rPr>
          <w:rFonts w:ascii="Arial" w:hAnsi="Arial" w:cs="Arial"/>
          <w:sz w:val="20"/>
          <w:szCs w:val="20"/>
          <w:lang w:eastAsia="ja-JP"/>
        </w:rPr>
        <w:t>Figure 1</w:t>
      </w:r>
      <w:r w:rsidR="000E27F6">
        <w:rPr>
          <w:rFonts w:ascii="Arial" w:hAnsi="Arial" w:cs="Arial"/>
          <w:sz w:val="20"/>
          <w:szCs w:val="20"/>
          <w:lang w:eastAsia="ja-JP"/>
        </w:rPr>
        <w:t xml:space="preserve"> </w:t>
      </w:r>
      <w:r w:rsidR="002E3032" w:rsidRPr="00BF3D07">
        <w:rPr>
          <w:rFonts w:ascii="Arial" w:hAnsi="Arial" w:cs="Arial"/>
          <w:sz w:val="20"/>
          <w:szCs w:val="20"/>
          <w:lang w:eastAsia="ja-JP"/>
        </w:rPr>
        <w:t xml:space="preserve">shows that </w:t>
      </w:r>
      <w:r w:rsidR="00DB7DA0" w:rsidRPr="00BF3D07">
        <w:rPr>
          <w:rFonts w:ascii="Arial" w:hAnsi="Arial" w:cs="Arial"/>
          <w:sz w:val="20"/>
          <w:szCs w:val="20"/>
          <w:lang w:eastAsia="ja-JP"/>
        </w:rPr>
        <w:t xml:space="preserve">annual prevalence of </w:t>
      </w:r>
      <w:r w:rsidR="004F26A7">
        <w:rPr>
          <w:rFonts w:ascii="Arial" w:hAnsi="Arial" w:cs="Arial"/>
          <w:sz w:val="20"/>
          <w:szCs w:val="20"/>
        </w:rPr>
        <w:t>polypharmacy</w:t>
      </w:r>
      <w:r w:rsidR="00DB7DA0" w:rsidRPr="00BF3D07">
        <w:rPr>
          <w:rFonts w:ascii="Arial" w:hAnsi="Arial" w:cs="Arial"/>
          <w:sz w:val="20"/>
          <w:szCs w:val="20"/>
          <w:lang w:eastAsia="ja-JP"/>
        </w:rPr>
        <w:t xml:space="preserve"> fluctuates between 5% and 6%</w:t>
      </w:r>
      <w:r w:rsidR="00CE23DA" w:rsidRPr="00BF3D07">
        <w:rPr>
          <w:rFonts w:ascii="Arial" w:hAnsi="Arial" w:cs="Arial"/>
          <w:sz w:val="20"/>
          <w:szCs w:val="20"/>
          <w:lang w:eastAsia="ja-JP"/>
        </w:rPr>
        <w:t xml:space="preserve"> while t</w:t>
      </w:r>
      <w:r w:rsidR="00721274" w:rsidRPr="00BF3D07">
        <w:rPr>
          <w:rFonts w:ascii="Arial" w:hAnsi="Arial" w:cs="Arial"/>
          <w:sz w:val="20"/>
          <w:szCs w:val="20"/>
          <w:lang w:eastAsia="ja-JP"/>
        </w:rPr>
        <w:t xml:space="preserve">he </w:t>
      </w:r>
      <w:r w:rsidR="004F26A7">
        <w:rPr>
          <w:rFonts w:ascii="Arial" w:hAnsi="Arial" w:cs="Arial"/>
          <w:sz w:val="20"/>
          <w:szCs w:val="20"/>
        </w:rPr>
        <w:t>polypharmacy</w:t>
      </w:r>
      <w:r w:rsidR="00721274" w:rsidRPr="00BF3D07">
        <w:rPr>
          <w:rFonts w:ascii="Arial" w:hAnsi="Arial" w:cs="Arial"/>
          <w:sz w:val="20"/>
          <w:szCs w:val="20"/>
          <w:lang w:eastAsia="ja-JP"/>
        </w:rPr>
        <w:t xml:space="preserve"> rate </w:t>
      </w:r>
      <w:r w:rsidR="00CE23DA" w:rsidRPr="00BF3D07">
        <w:rPr>
          <w:rFonts w:ascii="Arial" w:hAnsi="Arial" w:cs="Arial"/>
          <w:sz w:val="20"/>
          <w:szCs w:val="20"/>
          <w:lang w:eastAsia="ja-JP"/>
        </w:rPr>
        <w:t>is</w:t>
      </w:r>
      <w:r w:rsidR="002E3032" w:rsidRPr="00BF3D07">
        <w:rPr>
          <w:rFonts w:ascii="Arial" w:hAnsi="Arial" w:cs="Arial"/>
          <w:sz w:val="20"/>
          <w:szCs w:val="20"/>
          <w:lang w:eastAsia="ja-JP"/>
        </w:rPr>
        <w:t xml:space="preserve"> around </w:t>
      </w:r>
      <w:r w:rsidR="005C22FC" w:rsidRPr="00BF3D07">
        <w:rPr>
          <w:rFonts w:ascii="Arial" w:hAnsi="Arial" w:cs="Arial"/>
          <w:color w:val="000000"/>
          <w:sz w:val="20"/>
          <w:szCs w:val="20"/>
        </w:rPr>
        <w:t>2%</w:t>
      </w:r>
      <w:r w:rsidR="002E3032" w:rsidRPr="00BF3D07">
        <w:rPr>
          <w:rFonts w:ascii="Arial" w:hAnsi="Arial" w:cs="Arial"/>
          <w:color w:val="000000"/>
          <w:sz w:val="20"/>
          <w:szCs w:val="20"/>
        </w:rPr>
        <w:t xml:space="preserve">. </w:t>
      </w:r>
      <w:r w:rsidR="005C22FC" w:rsidRPr="00BF3D07">
        <w:rPr>
          <w:rFonts w:ascii="Arial" w:hAnsi="Arial" w:cs="Arial"/>
          <w:color w:val="000000"/>
          <w:sz w:val="20"/>
          <w:szCs w:val="20"/>
        </w:rPr>
        <w:t xml:space="preserve"> </w:t>
      </w:r>
      <w:r w:rsidR="004F26A7">
        <w:rPr>
          <w:rFonts w:ascii="Arial" w:hAnsi="Arial" w:cs="Arial"/>
          <w:color w:val="000000"/>
          <w:sz w:val="20"/>
          <w:szCs w:val="20"/>
        </w:rPr>
        <w:t>P</w:t>
      </w:r>
      <w:r w:rsidR="004F26A7">
        <w:rPr>
          <w:rFonts w:ascii="Arial" w:hAnsi="Arial" w:cs="Arial"/>
          <w:sz w:val="20"/>
          <w:szCs w:val="20"/>
        </w:rPr>
        <w:t>olypharmacy</w:t>
      </w:r>
      <w:r w:rsidR="005C22FC" w:rsidRPr="00BF3D07">
        <w:rPr>
          <w:rFonts w:ascii="Arial" w:hAnsi="Arial" w:cs="Arial"/>
          <w:color w:val="000000"/>
          <w:sz w:val="20"/>
          <w:szCs w:val="20"/>
        </w:rPr>
        <w:t xml:space="preserve"> rate estimates </w:t>
      </w:r>
      <w:r w:rsidR="00721274" w:rsidRPr="00BF3D07">
        <w:rPr>
          <w:rFonts w:ascii="Arial" w:hAnsi="Arial" w:cs="Arial"/>
          <w:sz w:val="20"/>
          <w:szCs w:val="20"/>
          <w:lang w:eastAsia="ja-JP"/>
        </w:rPr>
        <w:t xml:space="preserve">are </w:t>
      </w:r>
      <w:r w:rsidR="00B7030D" w:rsidRPr="00BF3D07">
        <w:rPr>
          <w:rFonts w:ascii="Arial" w:hAnsi="Arial" w:cs="Arial"/>
          <w:sz w:val="20"/>
          <w:szCs w:val="20"/>
          <w:lang w:eastAsia="ja-JP"/>
        </w:rPr>
        <w:t>lower</w:t>
      </w:r>
      <w:r w:rsidR="00721274" w:rsidRPr="00BF3D07">
        <w:rPr>
          <w:rFonts w:ascii="Arial" w:hAnsi="Arial" w:cs="Arial"/>
          <w:sz w:val="20"/>
          <w:szCs w:val="20"/>
          <w:lang w:eastAsia="ja-JP"/>
        </w:rPr>
        <w:t xml:space="preserve"> </w:t>
      </w:r>
      <w:r w:rsidR="005C22FC" w:rsidRPr="00BF3D07">
        <w:rPr>
          <w:rFonts w:ascii="Arial" w:hAnsi="Arial" w:cs="Arial"/>
          <w:sz w:val="20"/>
          <w:szCs w:val="20"/>
          <w:lang w:eastAsia="ja-JP"/>
        </w:rPr>
        <w:t xml:space="preserve">than the annual </w:t>
      </w:r>
      <w:r w:rsidR="004F26A7">
        <w:rPr>
          <w:rFonts w:ascii="Arial" w:hAnsi="Arial" w:cs="Arial"/>
          <w:sz w:val="20"/>
          <w:szCs w:val="20"/>
        </w:rPr>
        <w:t>polypharmacy</w:t>
      </w:r>
      <w:r w:rsidR="005C22FC" w:rsidRPr="00BF3D07">
        <w:rPr>
          <w:rFonts w:ascii="Arial" w:hAnsi="Arial" w:cs="Arial"/>
          <w:sz w:val="20"/>
          <w:szCs w:val="20"/>
          <w:lang w:eastAsia="ja-JP"/>
        </w:rPr>
        <w:t xml:space="preserve"> prevalence </w:t>
      </w:r>
      <w:r w:rsidR="00721274" w:rsidRPr="00BF3D07">
        <w:rPr>
          <w:rFonts w:ascii="Arial" w:hAnsi="Arial" w:cs="Arial"/>
          <w:sz w:val="20"/>
          <w:szCs w:val="20"/>
          <w:lang w:eastAsia="ja-JP"/>
        </w:rPr>
        <w:t xml:space="preserve">because </w:t>
      </w:r>
      <w:r w:rsidR="00B7030D" w:rsidRPr="00BF3D07">
        <w:rPr>
          <w:rFonts w:ascii="Arial" w:hAnsi="Arial" w:cs="Arial"/>
          <w:sz w:val="20"/>
          <w:szCs w:val="20"/>
          <w:lang w:eastAsia="ja-JP"/>
        </w:rPr>
        <w:t>the former</w:t>
      </w:r>
      <w:r w:rsidR="00721274" w:rsidRPr="00BF3D07">
        <w:rPr>
          <w:rFonts w:ascii="Arial" w:hAnsi="Arial" w:cs="Arial"/>
          <w:sz w:val="20"/>
          <w:szCs w:val="20"/>
          <w:lang w:eastAsia="ja-JP"/>
        </w:rPr>
        <w:t xml:space="preserve"> reflects both whether a patient is on </w:t>
      </w:r>
      <w:r w:rsidR="004F26A7">
        <w:rPr>
          <w:rFonts w:ascii="Arial" w:hAnsi="Arial" w:cs="Arial"/>
          <w:sz w:val="20"/>
          <w:szCs w:val="20"/>
        </w:rPr>
        <w:t>polypharmacy</w:t>
      </w:r>
      <w:r w:rsidR="00721274" w:rsidRPr="00BF3D07">
        <w:rPr>
          <w:rFonts w:ascii="Arial" w:hAnsi="Arial" w:cs="Arial"/>
          <w:sz w:val="20"/>
          <w:szCs w:val="20"/>
          <w:lang w:eastAsia="ja-JP"/>
        </w:rPr>
        <w:t xml:space="preserve"> during the year and the total duration of </w:t>
      </w:r>
      <w:r w:rsidR="004F26A7">
        <w:rPr>
          <w:rFonts w:ascii="Arial" w:hAnsi="Arial" w:cs="Arial"/>
          <w:sz w:val="20"/>
          <w:szCs w:val="20"/>
        </w:rPr>
        <w:t>polypharmacy</w:t>
      </w:r>
      <w:r w:rsidR="00721274" w:rsidRPr="00BF3D07">
        <w:rPr>
          <w:rFonts w:ascii="Arial" w:hAnsi="Arial" w:cs="Arial"/>
          <w:sz w:val="20"/>
          <w:szCs w:val="20"/>
          <w:lang w:eastAsia="ja-JP"/>
        </w:rPr>
        <w:t xml:space="preserve"> episodes</w:t>
      </w:r>
      <w:r w:rsidR="005C22FC" w:rsidRPr="00BF3D07">
        <w:rPr>
          <w:rFonts w:ascii="Arial" w:hAnsi="Arial" w:cs="Arial"/>
          <w:sz w:val="20"/>
          <w:szCs w:val="20"/>
          <w:lang w:eastAsia="ja-JP"/>
        </w:rPr>
        <w:t>.</w:t>
      </w:r>
      <w:r w:rsidR="0097355C" w:rsidRPr="00BF3D07">
        <w:rPr>
          <w:rFonts w:ascii="Arial" w:hAnsi="Arial" w:cs="Arial"/>
          <w:sz w:val="20"/>
          <w:szCs w:val="20"/>
          <w:lang w:eastAsia="ja-JP"/>
        </w:rPr>
        <w:t xml:space="preserve">  </w:t>
      </w:r>
      <w:r w:rsidR="00DF2DE5">
        <w:rPr>
          <w:rFonts w:ascii="Arial" w:hAnsi="Arial" w:cs="Arial"/>
          <w:sz w:val="20"/>
          <w:szCs w:val="20"/>
          <w:lang w:eastAsia="ja-JP"/>
        </w:rPr>
        <w:t>Figure</w:t>
      </w:r>
      <w:r w:rsidR="004D3D96">
        <w:rPr>
          <w:rFonts w:ascii="Arial" w:hAnsi="Arial" w:cs="Arial"/>
          <w:sz w:val="20"/>
          <w:szCs w:val="20"/>
          <w:lang w:eastAsia="ja-JP"/>
        </w:rPr>
        <w:t>s</w:t>
      </w:r>
      <w:r w:rsidR="00DF2DE5">
        <w:rPr>
          <w:rFonts w:ascii="Arial" w:hAnsi="Arial" w:cs="Arial"/>
          <w:sz w:val="20"/>
          <w:szCs w:val="20"/>
          <w:lang w:eastAsia="ja-JP"/>
        </w:rPr>
        <w:t xml:space="preserve"> </w:t>
      </w:r>
      <w:r w:rsidR="00A42943">
        <w:rPr>
          <w:rFonts w:ascii="Arial" w:hAnsi="Arial" w:cs="Arial"/>
          <w:sz w:val="20"/>
          <w:szCs w:val="20"/>
          <w:lang w:eastAsia="ja-JP"/>
        </w:rPr>
        <w:t>of</w:t>
      </w:r>
      <w:r w:rsidR="0097355C" w:rsidRPr="00BF3D07">
        <w:rPr>
          <w:rFonts w:ascii="Arial" w:hAnsi="Arial" w:cs="Arial"/>
          <w:sz w:val="20"/>
          <w:szCs w:val="20"/>
          <w:lang w:eastAsia="ja-JP"/>
        </w:rPr>
        <w:t xml:space="preserve"> </w:t>
      </w:r>
      <w:r w:rsidR="0097355C" w:rsidRPr="00BF3D07">
        <w:rPr>
          <w:rFonts w:ascii="Arial" w:hAnsi="Arial" w:cs="Arial"/>
          <w:sz w:val="20"/>
          <w:szCs w:val="20"/>
          <w:lang w:eastAsia="ja-JP"/>
        </w:rPr>
        <w:lastRenderedPageBreak/>
        <w:t xml:space="preserve">the </w:t>
      </w:r>
      <w:r w:rsidR="00AE0353" w:rsidRPr="00BF3D07">
        <w:rPr>
          <w:rFonts w:ascii="Arial" w:hAnsi="Arial" w:cs="Arial"/>
          <w:sz w:val="20"/>
          <w:szCs w:val="20"/>
          <w:lang w:eastAsia="ja-JP"/>
        </w:rPr>
        <w:t xml:space="preserve">annual prevalence of </w:t>
      </w:r>
      <w:r w:rsidR="004F26A7">
        <w:rPr>
          <w:rFonts w:ascii="Arial" w:hAnsi="Arial" w:cs="Arial"/>
          <w:sz w:val="20"/>
          <w:szCs w:val="20"/>
        </w:rPr>
        <w:t>polypharmacy</w:t>
      </w:r>
      <w:r w:rsidR="00100838" w:rsidRPr="00BF3D07">
        <w:rPr>
          <w:rFonts w:ascii="Arial" w:hAnsi="Arial" w:cs="Arial"/>
          <w:sz w:val="20"/>
          <w:szCs w:val="20"/>
          <w:lang w:eastAsia="ja-JP"/>
        </w:rPr>
        <w:t xml:space="preserve"> and the</w:t>
      </w:r>
      <w:r w:rsidR="00AE0353" w:rsidRPr="00BF3D07">
        <w:rPr>
          <w:rFonts w:ascii="Arial" w:hAnsi="Arial" w:cs="Arial"/>
          <w:sz w:val="20"/>
          <w:szCs w:val="20"/>
          <w:lang w:eastAsia="ja-JP"/>
        </w:rPr>
        <w:t xml:space="preserve"> </w:t>
      </w:r>
      <w:r w:rsidR="004F26A7">
        <w:rPr>
          <w:rFonts w:ascii="Arial" w:hAnsi="Arial" w:cs="Arial"/>
          <w:sz w:val="20"/>
          <w:szCs w:val="20"/>
        </w:rPr>
        <w:t>polypharmacy</w:t>
      </w:r>
      <w:r w:rsidR="00AE0353" w:rsidRPr="00BF3D07">
        <w:rPr>
          <w:rFonts w:ascii="Arial" w:hAnsi="Arial" w:cs="Arial"/>
          <w:sz w:val="20"/>
          <w:szCs w:val="20"/>
          <w:lang w:eastAsia="ja-JP"/>
        </w:rPr>
        <w:t xml:space="preserve"> </w:t>
      </w:r>
      <w:r w:rsidR="00100838" w:rsidRPr="00BF3D07">
        <w:rPr>
          <w:rFonts w:ascii="Arial" w:hAnsi="Arial" w:cs="Arial"/>
          <w:sz w:val="20"/>
          <w:szCs w:val="20"/>
          <w:lang w:eastAsia="ja-JP"/>
        </w:rPr>
        <w:t xml:space="preserve">rate </w:t>
      </w:r>
      <w:r w:rsidR="00AE0353" w:rsidRPr="00BF3D07">
        <w:rPr>
          <w:rFonts w:ascii="Arial" w:hAnsi="Arial" w:cs="Arial"/>
          <w:sz w:val="20"/>
          <w:szCs w:val="20"/>
          <w:lang w:eastAsia="ja-JP"/>
        </w:rPr>
        <w:t>for different overlap periods</w:t>
      </w:r>
      <w:r w:rsidR="00A42943">
        <w:rPr>
          <w:rFonts w:ascii="Arial" w:hAnsi="Arial" w:cs="Arial"/>
          <w:sz w:val="20"/>
          <w:szCs w:val="20"/>
          <w:lang w:eastAsia="ja-JP"/>
        </w:rPr>
        <w:t xml:space="preserve"> are provided in the online supplement</w:t>
      </w:r>
      <w:r w:rsidR="00AE0353" w:rsidRPr="00BF3D07">
        <w:rPr>
          <w:rFonts w:ascii="Arial" w:hAnsi="Arial" w:cs="Arial"/>
          <w:sz w:val="20"/>
          <w:szCs w:val="20"/>
          <w:lang w:eastAsia="ja-JP"/>
        </w:rPr>
        <w:t>.</w:t>
      </w:r>
    </w:p>
    <w:p w14:paraId="1892C920" w14:textId="77777777" w:rsidR="00FF1B96" w:rsidRPr="00FF1B96" w:rsidRDefault="00C5532D" w:rsidP="00AD2360">
      <w:pPr>
        <w:spacing w:after="0" w:line="480" w:lineRule="auto"/>
        <w:rPr>
          <w:rFonts w:ascii="Arial" w:hAnsi="Arial" w:cs="Arial"/>
          <w:sz w:val="20"/>
          <w:szCs w:val="20"/>
          <w:lang w:eastAsia="ja-JP"/>
        </w:rPr>
      </w:pPr>
      <w:r w:rsidRPr="00BF3D07">
        <w:rPr>
          <w:rFonts w:ascii="Arial" w:hAnsi="Arial" w:cs="Arial"/>
          <w:sz w:val="20"/>
          <w:szCs w:val="20"/>
          <w:lang w:eastAsia="ja-JP"/>
        </w:rPr>
        <w:t>Summary statistics for the explanatory variables are presented in</w:t>
      </w:r>
      <w:r w:rsidR="00882484" w:rsidRPr="00BF3D07">
        <w:rPr>
          <w:rFonts w:ascii="Arial" w:hAnsi="Arial" w:cs="Arial"/>
          <w:sz w:val="20"/>
          <w:szCs w:val="20"/>
          <w:lang w:eastAsia="ja-JP"/>
        </w:rPr>
        <w:t xml:space="preserve"> </w:t>
      </w:r>
      <w:r w:rsidR="00882484" w:rsidRPr="00BF3D07">
        <w:rPr>
          <w:rFonts w:ascii="Arial" w:hAnsi="Arial" w:cs="Arial"/>
          <w:sz w:val="20"/>
          <w:szCs w:val="20"/>
          <w:lang w:eastAsia="ja-JP"/>
        </w:rPr>
        <w:fldChar w:fldCharType="begin"/>
      </w:r>
      <w:r w:rsidR="00882484" w:rsidRPr="00BF3D07">
        <w:rPr>
          <w:rFonts w:ascii="Arial" w:hAnsi="Arial" w:cs="Arial"/>
          <w:sz w:val="20"/>
          <w:szCs w:val="20"/>
          <w:lang w:eastAsia="ja-JP"/>
        </w:rPr>
        <w:instrText xml:space="preserve"> REF _Ref511302718 \h  \* MERGEFORMAT </w:instrText>
      </w:r>
      <w:r w:rsidR="00882484" w:rsidRPr="00BF3D07">
        <w:rPr>
          <w:rFonts w:ascii="Arial" w:hAnsi="Arial" w:cs="Arial"/>
          <w:sz w:val="20"/>
          <w:szCs w:val="20"/>
          <w:lang w:eastAsia="ja-JP"/>
        </w:rPr>
      </w:r>
      <w:r w:rsidR="00882484" w:rsidRPr="00BF3D07">
        <w:rPr>
          <w:rFonts w:ascii="Arial" w:hAnsi="Arial" w:cs="Arial"/>
          <w:sz w:val="20"/>
          <w:szCs w:val="20"/>
          <w:lang w:eastAsia="ja-JP"/>
        </w:rPr>
        <w:fldChar w:fldCharType="separate"/>
      </w:r>
      <w:r w:rsidR="00FF1B96" w:rsidRPr="00FF1B96">
        <w:rPr>
          <w:rFonts w:ascii="Arial" w:hAnsi="Arial" w:cs="Arial"/>
          <w:sz w:val="20"/>
          <w:szCs w:val="20"/>
          <w:lang w:eastAsia="ja-JP"/>
        </w:rPr>
        <w:t>Table 2</w:t>
      </w:r>
      <w:r w:rsidR="00882484" w:rsidRPr="00BF3D07">
        <w:rPr>
          <w:rFonts w:ascii="Arial" w:hAnsi="Arial" w:cs="Arial"/>
          <w:sz w:val="20"/>
          <w:szCs w:val="20"/>
          <w:lang w:eastAsia="ja-JP"/>
        </w:rPr>
        <w:fldChar w:fldCharType="end"/>
      </w:r>
      <w:r w:rsidR="00B54B6D">
        <w:rPr>
          <w:rFonts w:ascii="Arial" w:hAnsi="Arial" w:cs="Arial"/>
          <w:sz w:val="20"/>
          <w:szCs w:val="20"/>
          <w:lang w:eastAsia="ja-JP"/>
        </w:rPr>
        <w:t>.</w:t>
      </w:r>
      <w:r w:rsidR="00FB1A82">
        <w:rPr>
          <w:rFonts w:ascii="Arial" w:hAnsi="Arial" w:cs="Arial"/>
          <w:sz w:val="20"/>
          <w:szCs w:val="20"/>
          <w:lang w:eastAsia="ja-JP"/>
        </w:rPr>
        <w:t xml:space="preserve"> </w:t>
      </w:r>
      <w:r w:rsidR="00FB1A82" w:rsidRPr="00BF3D07">
        <w:rPr>
          <w:rFonts w:ascii="Arial" w:hAnsi="Arial" w:cs="Arial"/>
          <w:sz w:val="20"/>
          <w:szCs w:val="20"/>
          <w:lang w:eastAsia="ja-JP"/>
        </w:rPr>
        <w:t>About 35% of patients had at least one of the Charlson index morbidities and 13% were diagnosed with both schizophrenia and bipolar during the observation period.</w:t>
      </w:r>
      <w:r w:rsidR="00882484" w:rsidRPr="00BF3D07">
        <w:rPr>
          <w:rFonts w:ascii="Arial" w:hAnsi="Arial" w:cs="Arial"/>
          <w:sz w:val="20"/>
          <w:szCs w:val="20"/>
        </w:rPr>
        <w:fldChar w:fldCharType="begin"/>
      </w:r>
      <w:r w:rsidR="00882484" w:rsidRPr="00BF3D07">
        <w:rPr>
          <w:rFonts w:ascii="Arial" w:hAnsi="Arial" w:cs="Arial"/>
          <w:sz w:val="20"/>
          <w:szCs w:val="20"/>
        </w:rPr>
        <w:instrText xml:space="preserve"> REF _Ref511302754 \h </w:instrText>
      </w:r>
      <w:r w:rsidR="00FA606A" w:rsidRPr="00BF3D07">
        <w:rPr>
          <w:rFonts w:ascii="Arial" w:hAnsi="Arial" w:cs="Arial"/>
          <w:sz w:val="20"/>
          <w:szCs w:val="20"/>
        </w:rPr>
        <w:instrText xml:space="preserve"> \* MERGEFORMAT </w:instrText>
      </w:r>
      <w:r w:rsidR="00882484" w:rsidRPr="00BF3D07">
        <w:rPr>
          <w:rFonts w:ascii="Arial" w:hAnsi="Arial" w:cs="Arial"/>
          <w:sz w:val="20"/>
          <w:szCs w:val="20"/>
        </w:rPr>
      </w:r>
      <w:r w:rsidR="00882484" w:rsidRPr="00BF3D07">
        <w:rPr>
          <w:rFonts w:ascii="Arial" w:hAnsi="Arial" w:cs="Arial"/>
          <w:sz w:val="20"/>
          <w:szCs w:val="20"/>
        </w:rPr>
        <w:fldChar w:fldCharType="separate"/>
      </w:r>
    </w:p>
    <w:p w14:paraId="4E7583CB" w14:textId="11721C27" w:rsidR="00026A07" w:rsidRPr="00DD2E49" w:rsidRDefault="00FF1B96" w:rsidP="00957790">
      <w:pPr>
        <w:spacing w:after="0" w:line="480" w:lineRule="auto"/>
        <w:rPr>
          <w:rFonts w:ascii="Arial" w:hAnsi="Arial" w:cs="Arial"/>
          <w:sz w:val="20"/>
          <w:szCs w:val="20"/>
          <w:lang w:eastAsia="ja-JP"/>
        </w:rPr>
      </w:pPr>
      <w:r w:rsidRPr="00FF1B96">
        <w:rPr>
          <w:rFonts w:ascii="Arial" w:hAnsi="Arial" w:cs="Arial"/>
          <w:sz w:val="20"/>
          <w:szCs w:val="20"/>
        </w:rPr>
        <w:t xml:space="preserve">Table </w:t>
      </w:r>
      <w:r w:rsidRPr="00FF1B96">
        <w:rPr>
          <w:rFonts w:ascii="Arial" w:hAnsi="Arial" w:cs="Arial"/>
          <w:noProof/>
          <w:sz w:val="20"/>
          <w:szCs w:val="20"/>
        </w:rPr>
        <w:t>3</w:t>
      </w:r>
      <w:r w:rsidR="00882484" w:rsidRPr="00BF3D07">
        <w:rPr>
          <w:rFonts w:ascii="Arial" w:hAnsi="Arial" w:cs="Arial"/>
          <w:sz w:val="20"/>
          <w:szCs w:val="20"/>
        </w:rPr>
        <w:fldChar w:fldCharType="end"/>
      </w:r>
      <w:r w:rsidR="00882484" w:rsidRPr="00BF3D07">
        <w:rPr>
          <w:rFonts w:ascii="Arial" w:hAnsi="Arial" w:cs="Arial"/>
          <w:sz w:val="20"/>
          <w:szCs w:val="20"/>
        </w:rPr>
        <w:t xml:space="preserve"> </w:t>
      </w:r>
      <w:r w:rsidR="00337E32" w:rsidRPr="00BF3D07">
        <w:rPr>
          <w:rFonts w:ascii="Arial" w:hAnsi="Arial" w:cs="Arial"/>
          <w:sz w:val="20"/>
          <w:szCs w:val="20"/>
        </w:rPr>
        <w:t xml:space="preserve">presents the </w:t>
      </w:r>
      <w:r w:rsidR="00A6087F" w:rsidRPr="00BF3D07">
        <w:rPr>
          <w:rFonts w:ascii="Arial" w:hAnsi="Arial" w:cs="Arial"/>
          <w:sz w:val="20"/>
          <w:szCs w:val="20"/>
        </w:rPr>
        <w:t xml:space="preserve">survival analysis </w:t>
      </w:r>
      <w:r w:rsidR="00337E32" w:rsidRPr="00BF3D07">
        <w:rPr>
          <w:rFonts w:ascii="Arial" w:hAnsi="Arial" w:cs="Arial"/>
          <w:sz w:val="20"/>
          <w:szCs w:val="20"/>
        </w:rPr>
        <w:t>estimates</w:t>
      </w:r>
      <w:r w:rsidR="00A6087F" w:rsidRPr="00BF3D07">
        <w:rPr>
          <w:rFonts w:ascii="Arial" w:hAnsi="Arial" w:cs="Arial"/>
          <w:sz w:val="20"/>
          <w:szCs w:val="20"/>
        </w:rPr>
        <w:t xml:space="preserve"> </w:t>
      </w:r>
      <w:r w:rsidR="008C1A6C" w:rsidRPr="00BF3D07">
        <w:rPr>
          <w:rFonts w:ascii="Arial" w:hAnsi="Arial" w:cs="Arial"/>
          <w:sz w:val="20"/>
          <w:szCs w:val="20"/>
        </w:rPr>
        <w:t xml:space="preserve">for the two time-varying variables </w:t>
      </w:r>
      <w:r w:rsidR="00A6087F" w:rsidRPr="00BF3D07">
        <w:rPr>
          <w:rFonts w:ascii="Arial" w:hAnsi="Arial" w:cs="Arial"/>
          <w:sz w:val="20"/>
          <w:szCs w:val="20"/>
        </w:rPr>
        <w:t>for our main specification</w:t>
      </w:r>
      <w:r w:rsidR="00E00F63">
        <w:rPr>
          <w:rFonts w:ascii="Arial" w:hAnsi="Arial" w:cs="Arial"/>
          <w:sz w:val="20"/>
          <w:szCs w:val="20"/>
        </w:rPr>
        <w:t xml:space="preserve"> assuming an overlap period of 30 days</w:t>
      </w:r>
      <w:r w:rsidR="00B17E7F" w:rsidRPr="00BF3D07">
        <w:rPr>
          <w:rFonts w:ascii="Arial" w:hAnsi="Arial" w:cs="Arial"/>
          <w:sz w:val="20"/>
          <w:szCs w:val="20"/>
        </w:rPr>
        <w:t>.</w:t>
      </w:r>
      <w:r w:rsidR="00230691" w:rsidRPr="00BF3D07">
        <w:rPr>
          <w:rFonts w:ascii="Arial" w:hAnsi="Arial" w:cs="Arial"/>
          <w:sz w:val="20"/>
          <w:szCs w:val="20"/>
        </w:rPr>
        <w:t xml:space="preserve"> </w:t>
      </w:r>
      <w:r w:rsidR="004A7825" w:rsidRPr="00BF3D07">
        <w:rPr>
          <w:rFonts w:ascii="Arial" w:hAnsi="Arial" w:cs="Arial"/>
          <w:sz w:val="20"/>
          <w:szCs w:val="20"/>
        </w:rPr>
        <w:t xml:space="preserve">Being on </w:t>
      </w:r>
      <w:r w:rsidR="004F26A7">
        <w:rPr>
          <w:rFonts w:ascii="Arial" w:hAnsi="Arial" w:cs="Arial"/>
          <w:sz w:val="20"/>
          <w:szCs w:val="20"/>
        </w:rPr>
        <w:t>polypharmacy</w:t>
      </w:r>
      <w:r w:rsidR="00337E32" w:rsidRPr="00BF3D07">
        <w:rPr>
          <w:rFonts w:ascii="Arial" w:hAnsi="Arial" w:cs="Arial"/>
          <w:sz w:val="20"/>
          <w:szCs w:val="20"/>
        </w:rPr>
        <w:t xml:space="preserve"> </w:t>
      </w:r>
      <w:r w:rsidR="004A7825" w:rsidRPr="00BF3D07">
        <w:rPr>
          <w:rFonts w:ascii="Arial" w:hAnsi="Arial" w:cs="Arial"/>
          <w:sz w:val="20"/>
          <w:szCs w:val="20"/>
        </w:rPr>
        <w:t xml:space="preserve">(relative to monotherapy) </w:t>
      </w:r>
      <w:r w:rsidR="003122F3" w:rsidRPr="00BF3D07">
        <w:rPr>
          <w:rFonts w:ascii="Arial" w:hAnsi="Arial" w:cs="Arial"/>
          <w:sz w:val="20"/>
          <w:szCs w:val="20"/>
        </w:rPr>
        <w:t>was</w:t>
      </w:r>
      <w:r w:rsidR="00337E32" w:rsidRPr="00BF3D07">
        <w:rPr>
          <w:rFonts w:ascii="Arial" w:hAnsi="Arial" w:cs="Arial"/>
          <w:sz w:val="20"/>
          <w:szCs w:val="20"/>
        </w:rPr>
        <w:t xml:space="preserve"> not statistically significantly associated with the risk of unplanned admission, death or </w:t>
      </w:r>
      <w:r w:rsidR="00C75360">
        <w:rPr>
          <w:rFonts w:ascii="Arial" w:hAnsi="Arial" w:cs="Arial"/>
          <w:sz w:val="20"/>
          <w:szCs w:val="20"/>
        </w:rPr>
        <w:t>E</w:t>
      </w:r>
      <w:r w:rsidR="00C5698A">
        <w:rPr>
          <w:rFonts w:ascii="Arial" w:hAnsi="Arial" w:cs="Arial"/>
          <w:sz w:val="20"/>
          <w:szCs w:val="20"/>
        </w:rPr>
        <w:t>D</w:t>
      </w:r>
      <w:r w:rsidR="00C75360" w:rsidRPr="00BF3D07">
        <w:rPr>
          <w:rFonts w:ascii="Arial" w:hAnsi="Arial" w:cs="Arial"/>
          <w:sz w:val="20"/>
          <w:szCs w:val="20"/>
        </w:rPr>
        <w:t xml:space="preserve"> </w:t>
      </w:r>
      <w:r w:rsidR="00337E32" w:rsidRPr="00BF3D07">
        <w:rPr>
          <w:rFonts w:ascii="Arial" w:hAnsi="Arial" w:cs="Arial"/>
          <w:sz w:val="20"/>
          <w:szCs w:val="20"/>
        </w:rPr>
        <w:t xml:space="preserve">presentation. </w:t>
      </w:r>
      <w:r w:rsidR="006F46A7" w:rsidRPr="00BF3D07">
        <w:rPr>
          <w:rFonts w:ascii="Arial" w:hAnsi="Arial" w:cs="Arial"/>
          <w:sz w:val="20"/>
          <w:szCs w:val="20"/>
        </w:rPr>
        <w:t xml:space="preserve">Not being </w:t>
      </w:r>
      <w:r w:rsidR="00E03157" w:rsidRPr="00BF3D07">
        <w:rPr>
          <w:rFonts w:ascii="Arial" w:hAnsi="Arial" w:cs="Arial"/>
          <w:sz w:val="20"/>
          <w:szCs w:val="20"/>
        </w:rPr>
        <w:t xml:space="preserve">prescribed </w:t>
      </w:r>
      <w:r w:rsidR="006F46A7" w:rsidRPr="00BF3D07">
        <w:rPr>
          <w:rFonts w:ascii="Arial" w:hAnsi="Arial" w:cs="Arial"/>
          <w:sz w:val="20"/>
          <w:szCs w:val="20"/>
        </w:rPr>
        <w:t>an</w:t>
      </w:r>
      <w:r w:rsidR="00E03157" w:rsidRPr="00BF3D07">
        <w:rPr>
          <w:rFonts w:ascii="Arial" w:hAnsi="Arial" w:cs="Arial"/>
          <w:sz w:val="20"/>
          <w:szCs w:val="20"/>
        </w:rPr>
        <w:t>y</w:t>
      </w:r>
      <w:r w:rsidR="006F46A7" w:rsidRPr="00BF3D07">
        <w:rPr>
          <w:rFonts w:ascii="Arial" w:hAnsi="Arial" w:cs="Arial"/>
          <w:sz w:val="20"/>
          <w:szCs w:val="20"/>
        </w:rPr>
        <w:t xml:space="preserve"> antipsychotic substance increases the </w:t>
      </w:r>
      <w:r w:rsidR="00230691" w:rsidRPr="00BF3D07">
        <w:rPr>
          <w:rFonts w:ascii="Arial" w:hAnsi="Arial" w:cs="Arial"/>
          <w:sz w:val="20"/>
          <w:szCs w:val="20"/>
        </w:rPr>
        <w:t xml:space="preserve">hazard </w:t>
      </w:r>
      <w:r w:rsidR="00770F54" w:rsidRPr="00BF3D07">
        <w:rPr>
          <w:rFonts w:ascii="Arial" w:hAnsi="Arial" w:cs="Arial"/>
          <w:sz w:val="20"/>
          <w:szCs w:val="20"/>
        </w:rPr>
        <w:t xml:space="preserve">(relative to monotherapy) </w:t>
      </w:r>
      <w:r w:rsidR="00230691" w:rsidRPr="00BF3D07">
        <w:rPr>
          <w:rFonts w:ascii="Arial" w:hAnsi="Arial" w:cs="Arial"/>
          <w:sz w:val="20"/>
          <w:szCs w:val="20"/>
        </w:rPr>
        <w:t>of an unpl</w:t>
      </w:r>
      <w:r w:rsidR="009C425B" w:rsidRPr="00BF3D07">
        <w:rPr>
          <w:rFonts w:ascii="Arial" w:hAnsi="Arial" w:cs="Arial"/>
          <w:sz w:val="20"/>
          <w:szCs w:val="20"/>
        </w:rPr>
        <w:t>an</w:t>
      </w:r>
      <w:r w:rsidR="006F46A7" w:rsidRPr="00BF3D07">
        <w:rPr>
          <w:rFonts w:ascii="Arial" w:hAnsi="Arial" w:cs="Arial"/>
          <w:sz w:val="20"/>
          <w:szCs w:val="20"/>
        </w:rPr>
        <w:t>ned admission to hospital by 8.2</w:t>
      </w:r>
      <w:r w:rsidR="00230691" w:rsidRPr="00BF3D07">
        <w:rPr>
          <w:rFonts w:ascii="Arial" w:hAnsi="Arial" w:cs="Arial"/>
          <w:sz w:val="20"/>
          <w:szCs w:val="20"/>
        </w:rPr>
        <w:t xml:space="preserve">% </w:t>
      </w:r>
      <w:r w:rsidR="006F46A7" w:rsidRPr="00BF3D07">
        <w:rPr>
          <w:rFonts w:ascii="Arial" w:hAnsi="Arial" w:cs="Arial"/>
          <w:sz w:val="20"/>
          <w:szCs w:val="20"/>
        </w:rPr>
        <w:t>(</w:t>
      </w:r>
      <w:r w:rsidR="002143A3">
        <w:rPr>
          <w:rFonts w:ascii="Arial" w:hAnsi="Arial" w:cs="Arial"/>
          <w:sz w:val="20"/>
          <w:szCs w:val="20"/>
        </w:rPr>
        <w:t>95%</w:t>
      </w:r>
      <w:r w:rsidR="00253DB7">
        <w:rPr>
          <w:rFonts w:ascii="Arial" w:hAnsi="Arial" w:cs="Arial"/>
          <w:sz w:val="20"/>
          <w:szCs w:val="20"/>
        </w:rPr>
        <w:t xml:space="preserve">CI=3% </w:t>
      </w:r>
      <w:r w:rsidR="00253DB7">
        <w:rPr>
          <w:rFonts w:ascii="Arial" w:hAnsi="Arial" w:cs="Arial"/>
          <w:color w:val="222222"/>
          <w:shd w:val="clear" w:color="auto" w:fill="FFFFFF"/>
        </w:rPr>
        <w:t>–</w:t>
      </w:r>
      <w:r w:rsidR="006F46A7" w:rsidRPr="00BF3D07">
        <w:rPr>
          <w:rFonts w:ascii="Arial" w:hAnsi="Arial" w:cs="Arial"/>
          <w:sz w:val="20"/>
          <w:szCs w:val="20"/>
        </w:rPr>
        <w:t>3.6%</w:t>
      </w:r>
      <w:r w:rsidR="00337E32" w:rsidRPr="00BF3D07">
        <w:rPr>
          <w:rFonts w:ascii="Arial" w:hAnsi="Arial" w:cs="Arial"/>
          <w:sz w:val="20"/>
          <w:szCs w:val="20"/>
        </w:rPr>
        <w:t>)</w:t>
      </w:r>
      <w:r w:rsidR="006F46A7" w:rsidRPr="00BF3D07">
        <w:rPr>
          <w:rFonts w:ascii="Arial" w:hAnsi="Arial" w:cs="Arial"/>
          <w:sz w:val="20"/>
          <w:szCs w:val="20"/>
        </w:rPr>
        <w:t xml:space="preserve"> </w:t>
      </w:r>
      <w:r w:rsidR="00230691" w:rsidRPr="00BF3D07">
        <w:rPr>
          <w:rFonts w:ascii="Arial" w:hAnsi="Arial" w:cs="Arial"/>
          <w:sz w:val="20"/>
          <w:szCs w:val="20"/>
        </w:rPr>
        <w:t>and the haz</w:t>
      </w:r>
      <w:r w:rsidR="00B81DCC">
        <w:rPr>
          <w:rFonts w:ascii="Arial" w:hAnsi="Arial" w:cs="Arial"/>
          <w:sz w:val="20"/>
          <w:szCs w:val="20"/>
        </w:rPr>
        <w:t xml:space="preserve">ard of an </w:t>
      </w:r>
      <w:r w:rsidR="00C75360">
        <w:rPr>
          <w:rFonts w:ascii="Arial" w:hAnsi="Arial" w:cs="Arial"/>
          <w:sz w:val="20"/>
          <w:szCs w:val="20"/>
        </w:rPr>
        <w:t>E</w:t>
      </w:r>
      <w:r w:rsidR="00C5698A">
        <w:rPr>
          <w:rFonts w:ascii="Arial" w:hAnsi="Arial" w:cs="Arial"/>
          <w:sz w:val="20"/>
          <w:szCs w:val="20"/>
        </w:rPr>
        <w:t>D</w:t>
      </w:r>
      <w:r w:rsidR="00C75360" w:rsidRPr="00BF3D07">
        <w:rPr>
          <w:rFonts w:ascii="Arial" w:hAnsi="Arial" w:cs="Arial"/>
          <w:sz w:val="20"/>
          <w:szCs w:val="20"/>
        </w:rPr>
        <w:t xml:space="preserve"> </w:t>
      </w:r>
      <w:r w:rsidR="006F46A7" w:rsidRPr="00BF3D07">
        <w:rPr>
          <w:rFonts w:ascii="Arial" w:hAnsi="Arial" w:cs="Arial"/>
          <w:sz w:val="20"/>
          <w:szCs w:val="20"/>
        </w:rPr>
        <w:t>presentation by 18.6</w:t>
      </w:r>
      <w:r w:rsidR="00230691" w:rsidRPr="00BF3D07">
        <w:rPr>
          <w:rFonts w:ascii="Arial" w:hAnsi="Arial" w:cs="Arial"/>
          <w:sz w:val="20"/>
          <w:szCs w:val="20"/>
        </w:rPr>
        <w:t>%</w:t>
      </w:r>
      <w:r w:rsidR="00A6087F" w:rsidRPr="00BF3D07">
        <w:rPr>
          <w:rFonts w:ascii="Arial" w:hAnsi="Arial" w:cs="Arial"/>
          <w:sz w:val="20"/>
          <w:szCs w:val="20"/>
        </w:rPr>
        <w:t xml:space="preserve"> (</w:t>
      </w:r>
      <w:r w:rsidR="002143A3">
        <w:rPr>
          <w:rFonts w:ascii="Arial" w:hAnsi="Arial" w:cs="Arial"/>
          <w:sz w:val="20"/>
          <w:szCs w:val="20"/>
        </w:rPr>
        <w:t>95%</w:t>
      </w:r>
      <w:r w:rsidR="00253DB7">
        <w:rPr>
          <w:rFonts w:ascii="Arial" w:hAnsi="Arial" w:cs="Arial"/>
          <w:sz w:val="20"/>
          <w:szCs w:val="20"/>
        </w:rPr>
        <w:t>CI=13.5%</w:t>
      </w:r>
      <w:r w:rsidR="00253DB7">
        <w:rPr>
          <w:rFonts w:ascii="Arial" w:hAnsi="Arial" w:cs="Arial"/>
          <w:color w:val="222222"/>
          <w:shd w:val="clear" w:color="auto" w:fill="FFFFFF"/>
        </w:rPr>
        <w:t>–</w:t>
      </w:r>
      <w:r w:rsidR="006F46A7" w:rsidRPr="00BF3D07">
        <w:rPr>
          <w:rFonts w:ascii="Arial" w:hAnsi="Arial" w:cs="Arial"/>
          <w:sz w:val="20"/>
          <w:szCs w:val="20"/>
        </w:rPr>
        <w:t>23.9%)</w:t>
      </w:r>
      <w:r w:rsidR="00337E32" w:rsidRPr="00BF3D07">
        <w:rPr>
          <w:rFonts w:ascii="Arial" w:hAnsi="Arial" w:cs="Arial"/>
          <w:sz w:val="20"/>
          <w:szCs w:val="20"/>
        </w:rPr>
        <w:t xml:space="preserve"> but has no effect on mortality risk</w:t>
      </w:r>
      <w:r w:rsidR="00230691" w:rsidRPr="00BF3D07">
        <w:rPr>
          <w:rFonts w:ascii="Arial" w:hAnsi="Arial" w:cs="Arial"/>
          <w:sz w:val="20"/>
          <w:szCs w:val="20"/>
        </w:rPr>
        <w:t>.</w:t>
      </w:r>
      <w:bookmarkStart w:id="13" w:name="_Ref370416463"/>
      <w:bookmarkStart w:id="14" w:name="_Toc443297921"/>
      <w:bookmarkStart w:id="15" w:name="_Toc444002025"/>
      <w:r w:rsidR="008F0819">
        <w:rPr>
          <w:rFonts w:ascii="Arial" w:hAnsi="Arial" w:cs="Arial"/>
          <w:sz w:val="20"/>
          <w:szCs w:val="20"/>
        </w:rPr>
        <w:t xml:space="preserve">  </w:t>
      </w:r>
      <w:r w:rsidR="00DF2DE5">
        <w:rPr>
          <w:rFonts w:ascii="Arial" w:hAnsi="Arial" w:cs="Arial"/>
          <w:sz w:val="20"/>
          <w:szCs w:val="20"/>
        </w:rPr>
        <w:t>For estimates of</w:t>
      </w:r>
      <w:r w:rsidR="008F0819" w:rsidRPr="00ED1D07">
        <w:rPr>
          <w:rFonts w:ascii="Arial" w:hAnsi="Arial" w:cs="Arial"/>
          <w:sz w:val="20"/>
          <w:szCs w:val="20"/>
        </w:rPr>
        <w:t xml:space="preserve"> the other explanatory variables </w:t>
      </w:r>
      <w:r w:rsidR="00DF2DE5">
        <w:rPr>
          <w:rFonts w:ascii="Arial" w:hAnsi="Arial" w:cs="Arial"/>
          <w:sz w:val="20"/>
          <w:szCs w:val="20"/>
        </w:rPr>
        <w:t xml:space="preserve">see </w:t>
      </w:r>
      <w:r w:rsidR="00610F60">
        <w:rPr>
          <w:rFonts w:ascii="Arial" w:hAnsi="Arial" w:cs="Arial"/>
          <w:sz w:val="20"/>
          <w:szCs w:val="20"/>
        </w:rPr>
        <w:t>online supplement</w:t>
      </w:r>
      <w:r w:rsidR="008F0819" w:rsidRPr="00ED1D07">
        <w:rPr>
          <w:rFonts w:ascii="Arial" w:hAnsi="Arial" w:cs="Arial"/>
          <w:sz w:val="20"/>
          <w:szCs w:val="20"/>
        </w:rPr>
        <w:t>.</w:t>
      </w:r>
      <w:r w:rsidR="008F0819">
        <w:rPr>
          <w:rFonts w:ascii="Arial" w:hAnsi="Arial" w:cs="Arial"/>
          <w:sz w:val="20"/>
          <w:szCs w:val="20"/>
        </w:rPr>
        <w:t xml:space="preserve">  </w:t>
      </w:r>
      <w:r w:rsidR="00E00F63">
        <w:rPr>
          <w:rFonts w:ascii="Arial" w:hAnsi="Arial" w:cs="Arial"/>
          <w:sz w:val="20"/>
          <w:szCs w:val="20"/>
        </w:rPr>
        <w:t>Having both diagnosis of schizophrenia and bipolar increases the hazard of an unplanned</w:t>
      </w:r>
      <w:r w:rsidR="00253DB7">
        <w:rPr>
          <w:rFonts w:ascii="Arial" w:hAnsi="Arial" w:cs="Arial"/>
          <w:sz w:val="20"/>
          <w:szCs w:val="20"/>
        </w:rPr>
        <w:t xml:space="preserve"> admission by 20% (HR=1.20</w:t>
      </w:r>
      <w:r w:rsidR="00E00F63">
        <w:rPr>
          <w:rFonts w:ascii="Arial" w:hAnsi="Arial" w:cs="Arial"/>
          <w:sz w:val="20"/>
          <w:szCs w:val="20"/>
        </w:rPr>
        <w:t xml:space="preserve">; </w:t>
      </w:r>
      <w:r w:rsidR="002143A3">
        <w:rPr>
          <w:rFonts w:ascii="Arial" w:hAnsi="Arial" w:cs="Arial"/>
          <w:sz w:val="20"/>
          <w:szCs w:val="20"/>
        </w:rPr>
        <w:t>95%</w:t>
      </w:r>
      <w:r w:rsidR="00253DB7">
        <w:rPr>
          <w:rFonts w:ascii="Arial" w:hAnsi="Arial" w:cs="Arial"/>
          <w:sz w:val="20"/>
          <w:szCs w:val="20"/>
        </w:rPr>
        <w:t>CI=1.12</w:t>
      </w:r>
      <w:r w:rsidR="00253DB7">
        <w:rPr>
          <w:rFonts w:ascii="Arial" w:hAnsi="Arial" w:cs="Arial"/>
          <w:color w:val="222222"/>
          <w:shd w:val="clear" w:color="auto" w:fill="FFFFFF"/>
        </w:rPr>
        <w:t>–</w:t>
      </w:r>
      <w:r w:rsidR="00253DB7">
        <w:rPr>
          <w:rFonts w:ascii="Arial" w:hAnsi="Arial" w:cs="Arial"/>
          <w:sz w:val="20"/>
          <w:szCs w:val="20"/>
        </w:rPr>
        <w:t>1.29</w:t>
      </w:r>
      <w:r w:rsidR="00E00F63">
        <w:rPr>
          <w:rFonts w:ascii="Arial" w:hAnsi="Arial" w:cs="Arial"/>
          <w:sz w:val="20"/>
          <w:szCs w:val="20"/>
        </w:rPr>
        <w:t>).</w:t>
      </w:r>
    </w:p>
    <w:p w14:paraId="7D3B76CE" w14:textId="32BCBF2A" w:rsidR="00481B76" w:rsidRDefault="00D6527B" w:rsidP="00B90B29">
      <w:pPr>
        <w:spacing w:after="0" w:line="480"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_Ref511302766 \h </w:instrText>
      </w:r>
      <w:r w:rsidR="00E873AE">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FF1B96" w:rsidRPr="00E873AE">
        <w:rPr>
          <w:rFonts w:ascii="Arial" w:hAnsi="Arial" w:cs="Arial"/>
          <w:sz w:val="20"/>
          <w:szCs w:val="20"/>
        </w:rPr>
        <w:t>Table 4</w:t>
      </w:r>
      <w:r>
        <w:rPr>
          <w:rFonts w:ascii="Arial" w:hAnsi="Arial" w:cs="Arial"/>
          <w:sz w:val="20"/>
          <w:szCs w:val="20"/>
        </w:rPr>
        <w:fldChar w:fldCharType="end"/>
      </w:r>
      <w:r>
        <w:rPr>
          <w:rFonts w:ascii="Arial" w:hAnsi="Arial" w:cs="Arial"/>
          <w:sz w:val="20"/>
          <w:szCs w:val="20"/>
        </w:rPr>
        <w:t xml:space="preserve"> </w:t>
      </w:r>
      <w:r w:rsidRPr="00BF3D07">
        <w:rPr>
          <w:rFonts w:ascii="Arial" w:hAnsi="Arial" w:cs="Arial"/>
          <w:sz w:val="20"/>
          <w:szCs w:val="20"/>
        </w:rPr>
        <w:t>shows the results of sensitivity analyses that</w:t>
      </w:r>
      <w:r w:rsidR="008C404B">
        <w:rPr>
          <w:rFonts w:ascii="Arial" w:hAnsi="Arial" w:cs="Arial"/>
          <w:sz w:val="20"/>
          <w:szCs w:val="20"/>
        </w:rPr>
        <w:t xml:space="preserve"> </w:t>
      </w:r>
      <w:r w:rsidR="00DF1E09" w:rsidRPr="00BF3D07">
        <w:rPr>
          <w:rFonts w:ascii="Arial" w:hAnsi="Arial" w:cs="Arial"/>
          <w:sz w:val="20"/>
          <w:szCs w:val="20"/>
        </w:rPr>
        <w:t>ex</w:t>
      </w:r>
      <w:r w:rsidR="008662F3">
        <w:rPr>
          <w:rFonts w:ascii="Arial" w:hAnsi="Arial" w:cs="Arial"/>
          <w:sz w:val="20"/>
          <w:szCs w:val="20"/>
        </w:rPr>
        <w:t>plore the impact of changing</w:t>
      </w:r>
      <w:r w:rsidR="00DF1E09" w:rsidRPr="00BF3D07">
        <w:rPr>
          <w:rFonts w:ascii="Arial" w:hAnsi="Arial" w:cs="Arial"/>
          <w:sz w:val="20"/>
          <w:szCs w:val="20"/>
        </w:rPr>
        <w:t xml:space="preserve"> </w:t>
      </w:r>
      <w:r w:rsidR="008662F3" w:rsidRPr="00BF3D07">
        <w:rPr>
          <w:rFonts w:ascii="Arial" w:hAnsi="Arial" w:cs="Arial"/>
          <w:sz w:val="20"/>
          <w:szCs w:val="20"/>
        </w:rPr>
        <w:t>the</w:t>
      </w:r>
      <w:r w:rsidR="00E873AE">
        <w:rPr>
          <w:rFonts w:ascii="Arial" w:hAnsi="Arial" w:cs="Arial"/>
          <w:sz w:val="20"/>
          <w:szCs w:val="20"/>
        </w:rPr>
        <w:t xml:space="preserve"> </w:t>
      </w:r>
      <w:r w:rsidR="008662F3" w:rsidRPr="00BF3D07">
        <w:rPr>
          <w:rFonts w:ascii="Arial" w:hAnsi="Arial" w:cs="Arial"/>
          <w:sz w:val="20"/>
          <w:szCs w:val="20"/>
        </w:rPr>
        <w:t xml:space="preserve">length of overlap </w:t>
      </w:r>
      <w:r w:rsidR="008662F3">
        <w:rPr>
          <w:rFonts w:ascii="Arial" w:hAnsi="Arial" w:cs="Arial"/>
          <w:sz w:val="20"/>
          <w:szCs w:val="20"/>
        </w:rPr>
        <w:t xml:space="preserve">in the definition of </w:t>
      </w:r>
      <w:r w:rsidR="004F26A7">
        <w:rPr>
          <w:rFonts w:ascii="Arial" w:hAnsi="Arial" w:cs="Arial"/>
          <w:sz w:val="20"/>
          <w:szCs w:val="20"/>
        </w:rPr>
        <w:t>polypharmacy</w:t>
      </w:r>
      <w:r w:rsidR="00313283" w:rsidRPr="00BF3D07">
        <w:rPr>
          <w:rFonts w:ascii="Arial" w:hAnsi="Arial" w:cs="Arial"/>
          <w:sz w:val="20"/>
          <w:szCs w:val="20"/>
        </w:rPr>
        <w:t>.</w:t>
      </w:r>
      <w:r w:rsidR="00337E32" w:rsidRPr="00BF3D07">
        <w:rPr>
          <w:rFonts w:ascii="Arial" w:hAnsi="Arial" w:cs="Arial"/>
          <w:sz w:val="20"/>
          <w:szCs w:val="20"/>
        </w:rPr>
        <w:t xml:space="preserve"> The estimated relationships are generally insensitive to the length of overlap. The</w:t>
      </w:r>
      <w:r w:rsidR="00313283" w:rsidRPr="00BF3D07">
        <w:rPr>
          <w:rFonts w:ascii="Arial" w:hAnsi="Arial" w:cs="Arial"/>
          <w:sz w:val="20"/>
          <w:szCs w:val="20"/>
        </w:rPr>
        <w:t xml:space="preserve"> </w:t>
      </w:r>
      <w:r w:rsidR="00337E32" w:rsidRPr="00BF3D07">
        <w:rPr>
          <w:rFonts w:ascii="Arial" w:hAnsi="Arial" w:cs="Arial"/>
          <w:sz w:val="20"/>
          <w:szCs w:val="20"/>
        </w:rPr>
        <w:t>o</w:t>
      </w:r>
      <w:r w:rsidR="006014DD" w:rsidRPr="00BF3D07">
        <w:rPr>
          <w:rFonts w:ascii="Arial" w:hAnsi="Arial" w:cs="Arial"/>
          <w:sz w:val="20"/>
          <w:szCs w:val="20"/>
        </w:rPr>
        <w:t xml:space="preserve">nly </w:t>
      </w:r>
      <w:r w:rsidR="00337E32" w:rsidRPr="00BF3D07">
        <w:rPr>
          <w:rFonts w:ascii="Arial" w:hAnsi="Arial" w:cs="Arial"/>
          <w:sz w:val="20"/>
          <w:szCs w:val="20"/>
        </w:rPr>
        <w:t>exception is unplanned admissions</w:t>
      </w:r>
      <w:r w:rsidR="00DF1E09" w:rsidRPr="00BF3D07">
        <w:rPr>
          <w:rFonts w:ascii="Arial" w:hAnsi="Arial" w:cs="Arial"/>
          <w:sz w:val="20"/>
          <w:szCs w:val="20"/>
        </w:rPr>
        <w:t>:</w:t>
      </w:r>
      <w:r w:rsidR="00337E32" w:rsidRPr="00BF3D07">
        <w:rPr>
          <w:rFonts w:ascii="Arial" w:hAnsi="Arial" w:cs="Arial"/>
          <w:sz w:val="20"/>
          <w:szCs w:val="20"/>
        </w:rPr>
        <w:t xml:space="preserve"> </w:t>
      </w:r>
      <w:r w:rsidR="006014DD" w:rsidRPr="00BF3D07">
        <w:rPr>
          <w:rFonts w:ascii="Arial" w:hAnsi="Arial" w:cs="Arial"/>
          <w:sz w:val="20"/>
          <w:szCs w:val="20"/>
        </w:rPr>
        <w:t xml:space="preserve">when the </w:t>
      </w:r>
      <w:r w:rsidR="00E03157" w:rsidRPr="00BF3D07">
        <w:rPr>
          <w:rFonts w:ascii="Arial" w:hAnsi="Arial" w:cs="Arial"/>
          <w:sz w:val="20"/>
          <w:szCs w:val="20"/>
        </w:rPr>
        <w:t xml:space="preserve">lower boundary of the </w:t>
      </w:r>
      <w:r w:rsidR="006014DD" w:rsidRPr="00BF3D07">
        <w:rPr>
          <w:rFonts w:ascii="Arial" w:hAnsi="Arial" w:cs="Arial"/>
          <w:sz w:val="20"/>
          <w:szCs w:val="20"/>
        </w:rPr>
        <w:t>overlap duration is reduced to 14 days</w:t>
      </w:r>
      <w:r w:rsidR="00DF1E09" w:rsidRPr="00BF3D07">
        <w:rPr>
          <w:rFonts w:ascii="Arial" w:hAnsi="Arial" w:cs="Arial"/>
          <w:sz w:val="20"/>
          <w:szCs w:val="20"/>
        </w:rPr>
        <w:t>,</w:t>
      </w:r>
      <w:r w:rsidR="006014DD" w:rsidRPr="00BF3D07">
        <w:rPr>
          <w:rFonts w:ascii="Arial" w:hAnsi="Arial" w:cs="Arial"/>
          <w:sz w:val="20"/>
          <w:szCs w:val="20"/>
        </w:rPr>
        <w:t xml:space="preserve"> </w:t>
      </w:r>
      <w:r w:rsidR="004F26A7">
        <w:rPr>
          <w:rFonts w:ascii="Arial" w:hAnsi="Arial" w:cs="Arial"/>
          <w:sz w:val="20"/>
          <w:szCs w:val="20"/>
        </w:rPr>
        <w:t>polypharmacy</w:t>
      </w:r>
      <w:r w:rsidR="00313283" w:rsidRPr="00BF3D07">
        <w:rPr>
          <w:rFonts w:ascii="Arial" w:hAnsi="Arial" w:cs="Arial"/>
          <w:sz w:val="20"/>
          <w:szCs w:val="20"/>
        </w:rPr>
        <w:t xml:space="preserve"> </w:t>
      </w:r>
      <w:r w:rsidR="00337E32" w:rsidRPr="00BF3D07">
        <w:rPr>
          <w:rFonts w:ascii="Arial" w:hAnsi="Arial" w:cs="Arial"/>
          <w:sz w:val="20"/>
          <w:szCs w:val="20"/>
        </w:rPr>
        <w:t xml:space="preserve">is </w:t>
      </w:r>
      <w:r w:rsidR="006014DD" w:rsidRPr="00BF3D07">
        <w:rPr>
          <w:rFonts w:ascii="Arial" w:hAnsi="Arial" w:cs="Arial"/>
          <w:sz w:val="20"/>
          <w:szCs w:val="20"/>
        </w:rPr>
        <w:t>associ</w:t>
      </w:r>
      <w:r w:rsidR="009C425B" w:rsidRPr="00BF3D07">
        <w:rPr>
          <w:rFonts w:ascii="Arial" w:hAnsi="Arial" w:cs="Arial"/>
          <w:sz w:val="20"/>
          <w:szCs w:val="20"/>
        </w:rPr>
        <w:t xml:space="preserve">ated with </w:t>
      </w:r>
      <w:r w:rsidR="00337E32" w:rsidRPr="00BF3D07">
        <w:rPr>
          <w:rFonts w:ascii="Arial" w:hAnsi="Arial" w:cs="Arial"/>
          <w:sz w:val="20"/>
          <w:szCs w:val="20"/>
        </w:rPr>
        <w:t xml:space="preserve">an increased hazard of </w:t>
      </w:r>
      <w:r w:rsidR="00E03157" w:rsidRPr="00BF3D07">
        <w:rPr>
          <w:rFonts w:ascii="Arial" w:hAnsi="Arial" w:cs="Arial"/>
          <w:sz w:val="20"/>
          <w:szCs w:val="20"/>
        </w:rPr>
        <w:t xml:space="preserve">unplanned admission </w:t>
      </w:r>
      <w:r w:rsidR="00DF1E09" w:rsidRPr="00BF3D07">
        <w:rPr>
          <w:rFonts w:ascii="Arial" w:hAnsi="Arial" w:cs="Arial"/>
          <w:sz w:val="20"/>
          <w:szCs w:val="20"/>
        </w:rPr>
        <w:t>of</w:t>
      </w:r>
      <w:r w:rsidR="00E03157" w:rsidRPr="00BF3D07">
        <w:rPr>
          <w:rFonts w:ascii="Arial" w:hAnsi="Arial" w:cs="Arial"/>
          <w:sz w:val="20"/>
          <w:szCs w:val="20"/>
        </w:rPr>
        <w:t xml:space="preserve"> </w:t>
      </w:r>
      <w:r w:rsidR="00337E32" w:rsidRPr="00BF3D07">
        <w:rPr>
          <w:rFonts w:ascii="Arial" w:hAnsi="Arial" w:cs="Arial"/>
          <w:sz w:val="20"/>
          <w:szCs w:val="20"/>
        </w:rPr>
        <w:t xml:space="preserve">about </w:t>
      </w:r>
      <w:r w:rsidR="006014DD" w:rsidRPr="00BF3D07">
        <w:rPr>
          <w:rFonts w:ascii="Arial" w:hAnsi="Arial" w:cs="Arial"/>
          <w:sz w:val="20"/>
          <w:szCs w:val="20"/>
        </w:rPr>
        <w:t xml:space="preserve">21%. </w:t>
      </w:r>
    </w:p>
    <w:p w14:paraId="421442D9" w14:textId="0706ECA6" w:rsidR="00A34A6F" w:rsidRPr="00DD2E49" w:rsidRDefault="00A34A6F" w:rsidP="00A34A6F">
      <w:pPr>
        <w:spacing w:line="480" w:lineRule="auto"/>
        <w:rPr>
          <w:rFonts w:ascii="Arial" w:hAnsi="Arial" w:cs="Arial"/>
          <w:sz w:val="20"/>
          <w:szCs w:val="20"/>
        </w:rPr>
      </w:pPr>
      <w:r>
        <w:rPr>
          <w:rFonts w:ascii="Arial" w:hAnsi="Arial" w:cs="Arial"/>
          <w:sz w:val="20"/>
          <w:szCs w:val="20"/>
        </w:rPr>
        <w:t xml:space="preserve">We also estimated our survival models for </w:t>
      </w:r>
      <w:r w:rsidRPr="00A34A6F">
        <w:rPr>
          <w:rFonts w:ascii="Arial" w:hAnsi="Arial" w:cs="Arial"/>
          <w:sz w:val="20"/>
          <w:szCs w:val="20"/>
        </w:rPr>
        <w:t>psychiatric hospitalisations, which are a subset of all unplanned admissions</w:t>
      </w:r>
      <w:r>
        <w:rPr>
          <w:rFonts w:ascii="Arial" w:hAnsi="Arial" w:cs="Arial"/>
          <w:sz w:val="20"/>
          <w:szCs w:val="20"/>
        </w:rPr>
        <w:t>. T</w:t>
      </w:r>
      <w:r w:rsidRPr="00A34A6F">
        <w:rPr>
          <w:rFonts w:ascii="Arial" w:hAnsi="Arial" w:cs="Arial"/>
          <w:sz w:val="20"/>
          <w:szCs w:val="20"/>
        </w:rPr>
        <w:t xml:space="preserve">he </w:t>
      </w:r>
      <w:r>
        <w:rPr>
          <w:rFonts w:ascii="Arial" w:hAnsi="Arial" w:cs="Arial"/>
          <w:sz w:val="20"/>
          <w:szCs w:val="20"/>
        </w:rPr>
        <w:t xml:space="preserve">results are reported in the online supplement and show no association between </w:t>
      </w:r>
      <w:r w:rsidRPr="00A34A6F">
        <w:rPr>
          <w:rFonts w:ascii="Arial" w:hAnsi="Arial" w:cs="Arial"/>
          <w:sz w:val="20"/>
          <w:szCs w:val="20"/>
        </w:rPr>
        <w:t>psychiatric hospitalisations</w:t>
      </w:r>
      <w:r>
        <w:rPr>
          <w:rFonts w:ascii="Arial" w:hAnsi="Arial" w:cs="Arial"/>
          <w:sz w:val="20"/>
          <w:szCs w:val="20"/>
        </w:rPr>
        <w:t xml:space="preserve"> and polypharmacy</w:t>
      </w:r>
      <w:r w:rsidRPr="00A34A6F">
        <w:rPr>
          <w:rFonts w:ascii="Arial" w:hAnsi="Arial" w:cs="Arial"/>
          <w:sz w:val="20"/>
          <w:szCs w:val="20"/>
        </w:rPr>
        <w:t xml:space="preserve">. </w:t>
      </w:r>
    </w:p>
    <w:bookmarkEnd w:id="3"/>
    <w:bookmarkEnd w:id="13"/>
    <w:bookmarkEnd w:id="14"/>
    <w:bookmarkEnd w:id="15"/>
    <w:p w14:paraId="442F0A6C" w14:textId="1EB935AC" w:rsidR="00721274" w:rsidRDefault="00486713" w:rsidP="00884BE6">
      <w:pPr>
        <w:pStyle w:val="Heading1"/>
      </w:pPr>
      <w:r w:rsidRPr="005120C4">
        <w:t>Discussion</w:t>
      </w:r>
    </w:p>
    <w:p w14:paraId="36AFAF6D" w14:textId="4C629F44" w:rsidR="00B16C1E" w:rsidRDefault="00B16C1E" w:rsidP="00941C7F">
      <w:pPr>
        <w:spacing w:after="0" w:line="480" w:lineRule="auto"/>
        <w:rPr>
          <w:rFonts w:ascii="Arial" w:hAnsi="Arial" w:cs="Arial"/>
          <w:sz w:val="20"/>
          <w:szCs w:val="20"/>
          <w:lang w:eastAsia="ja-JP"/>
        </w:rPr>
      </w:pPr>
      <w:r w:rsidRPr="00414761">
        <w:rPr>
          <w:rFonts w:ascii="Arial" w:hAnsi="Arial" w:cs="Arial"/>
          <w:sz w:val="20"/>
          <w:szCs w:val="20"/>
          <w:lang w:eastAsia="ja-JP"/>
        </w:rPr>
        <w:t xml:space="preserve">The present study is a step forward towards understanding the links between </w:t>
      </w:r>
      <w:r w:rsidR="004F26A7">
        <w:rPr>
          <w:rFonts w:ascii="Arial" w:hAnsi="Arial" w:cs="Arial"/>
          <w:sz w:val="20"/>
          <w:szCs w:val="20"/>
        </w:rPr>
        <w:t>polypharmacy</w:t>
      </w:r>
      <w:r w:rsidRPr="00414761">
        <w:rPr>
          <w:rFonts w:ascii="Arial" w:hAnsi="Arial" w:cs="Arial"/>
          <w:sz w:val="20"/>
          <w:szCs w:val="20"/>
          <w:lang w:eastAsia="ja-JP"/>
        </w:rPr>
        <w:t xml:space="preserve"> and healthcare utili</w:t>
      </w:r>
      <w:r w:rsidR="00A475C1">
        <w:rPr>
          <w:rFonts w:ascii="Arial" w:hAnsi="Arial" w:cs="Arial"/>
          <w:sz w:val="20"/>
          <w:szCs w:val="20"/>
          <w:lang w:eastAsia="ja-JP"/>
        </w:rPr>
        <w:t>z</w:t>
      </w:r>
      <w:r w:rsidRPr="00414761">
        <w:rPr>
          <w:rFonts w:ascii="Arial" w:hAnsi="Arial" w:cs="Arial"/>
          <w:sz w:val="20"/>
          <w:szCs w:val="20"/>
          <w:lang w:eastAsia="ja-JP"/>
        </w:rPr>
        <w:t>ation and mortality.</w:t>
      </w:r>
      <w:r>
        <w:rPr>
          <w:rFonts w:ascii="Arial" w:hAnsi="Arial" w:cs="Arial"/>
          <w:sz w:val="20"/>
          <w:szCs w:val="20"/>
          <w:lang w:eastAsia="ja-JP"/>
        </w:rPr>
        <w:t xml:space="preserve">  </w:t>
      </w:r>
      <w:r w:rsidR="00AE7455">
        <w:rPr>
          <w:rFonts w:ascii="Arial" w:hAnsi="Arial" w:cs="Arial"/>
          <w:color w:val="000000"/>
          <w:sz w:val="20"/>
          <w:szCs w:val="20"/>
        </w:rPr>
        <w:t xml:space="preserve">As with all observational </w:t>
      </w:r>
      <w:r w:rsidR="001A2841">
        <w:rPr>
          <w:rFonts w:ascii="Arial" w:hAnsi="Arial" w:cs="Arial"/>
          <w:color w:val="000000"/>
          <w:sz w:val="20"/>
          <w:szCs w:val="20"/>
        </w:rPr>
        <w:t>studies,</w:t>
      </w:r>
      <w:r w:rsidR="00AE7455">
        <w:rPr>
          <w:rFonts w:ascii="Arial" w:hAnsi="Arial" w:cs="Arial"/>
          <w:color w:val="000000"/>
          <w:sz w:val="20"/>
          <w:szCs w:val="20"/>
        </w:rPr>
        <w:t xml:space="preserve"> validity relies on rigorous design and adjustment of confounding factors to minimise selection bias. W</w:t>
      </w:r>
      <w:r w:rsidR="00AE7455">
        <w:rPr>
          <w:rFonts w:ascii="Arial" w:hAnsi="Arial" w:cs="Arial"/>
          <w:sz w:val="20"/>
          <w:szCs w:val="20"/>
        </w:rPr>
        <w:t>e address</w:t>
      </w:r>
      <w:r>
        <w:rPr>
          <w:rFonts w:ascii="Arial" w:hAnsi="Arial" w:cs="Arial"/>
          <w:sz w:val="20"/>
          <w:szCs w:val="20"/>
        </w:rPr>
        <w:t xml:space="preserve"> this fundamental issue employing a </w:t>
      </w:r>
      <w:r w:rsidR="007C2113">
        <w:rPr>
          <w:rFonts w:ascii="Arial" w:hAnsi="Arial" w:cs="Arial"/>
          <w:sz w:val="20"/>
          <w:szCs w:val="20"/>
        </w:rPr>
        <w:t>three-step</w:t>
      </w:r>
      <w:r>
        <w:rPr>
          <w:rFonts w:ascii="Arial" w:hAnsi="Arial" w:cs="Arial"/>
          <w:sz w:val="20"/>
          <w:szCs w:val="20"/>
        </w:rPr>
        <w:t xml:space="preserve"> strategy.</w:t>
      </w:r>
    </w:p>
    <w:p w14:paraId="05D2A276" w14:textId="374ED13E" w:rsidR="00B16C1E" w:rsidRDefault="007C2113" w:rsidP="007C2113">
      <w:pPr>
        <w:autoSpaceDE w:val="0"/>
        <w:autoSpaceDN w:val="0"/>
        <w:adjustRightInd w:val="0"/>
        <w:spacing w:after="0" w:line="480" w:lineRule="auto"/>
        <w:rPr>
          <w:rFonts w:ascii="Arial" w:hAnsi="Arial" w:cs="Arial"/>
          <w:sz w:val="20"/>
          <w:szCs w:val="20"/>
        </w:rPr>
      </w:pPr>
      <w:r>
        <w:rPr>
          <w:rFonts w:ascii="Arial" w:hAnsi="Arial" w:cs="Arial"/>
          <w:sz w:val="20"/>
          <w:szCs w:val="20"/>
        </w:rPr>
        <w:t xml:space="preserve">First, </w:t>
      </w:r>
      <w:r>
        <w:rPr>
          <w:rFonts w:ascii="Arial" w:hAnsi="Arial" w:cs="Arial"/>
          <w:color w:val="000000"/>
          <w:sz w:val="20"/>
          <w:szCs w:val="20"/>
        </w:rPr>
        <w:t>we construct the antipsychotic prescribing profile of patients from primary care records.</w:t>
      </w:r>
    </w:p>
    <w:p w14:paraId="4C29DC6F" w14:textId="6874DBC5" w:rsidR="007C2113" w:rsidRPr="007C2113" w:rsidRDefault="007C2113" w:rsidP="007C2113">
      <w:pPr>
        <w:autoSpaceDE w:val="0"/>
        <w:autoSpaceDN w:val="0"/>
        <w:adjustRightInd w:val="0"/>
        <w:spacing w:after="0" w:line="480" w:lineRule="auto"/>
        <w:rPr>
          <w:rFonts w:ascii="Arial" w:hAnsi="Arial" w:cs="Arial"/>
          <w:color w:val="000000"/>
          <w:sz w:val="20"/>
          <w:szCs w:val="20"/>
        </w:rPr>
      </w:pPr>
      <w:r>
        <w:rPr>
          <w:rFonts w:ascii="Arial" w:hAnsi="Arial" w:cs="Arial"/>
          <w:sz w:val="20"/>
          <w:szCs w:val="20"/>
        </w:rPr>
        <w:lastRenderedPageBreak/>
        <w:t xml:space="preserve">In </w:t>
      </w:r>
      <w:r w:rsidRPr="00BF3D07">
        <w:rPr>
          <w:rFonts w:ascii="Arial" w:hAnsi="Arial" w:cs="Arial"/>
          <w:sz w:val="20"/>
          <w:szCs w:val="20"/>
        </w:rPr>
        <w:t xml:space="preserve">the UK, family practices provide the majority of care for patients with </w:t>
      </w:r>
      <w:r w:rsidR="004F26A7">
        <w:rPr>
          <w:rFonts w:ascii="Arial" w:hAnsi="Arial" w:cs="Arial"/>
          <w:sz w:val="20"/>
          <w:szCs w:val="20"/>
        </w:rPr>
        <w:t xml:space="preserve">serious mental illness </w:t>
      </w:r>
      <w:r w:rsidRPr="00BF3D07">
        <w:rPr>
          <w:rFonts w:ascii="Arial" w:hAnsi="Arial" w:cs="Arial"/>
          <w:sz w:val="20"/>
          <w:szCs w:val="20"/>
        </w:rPr>
        <w:fldChar w:fldCharType="begin"/>
      </w:r>
      <w:r w:rsidR="00713498">
        <w:rPr>
          <w:rFonts w:ascii="Arial" w:hAnsi="Arial" w:cs="Arial"/>
          <w:sz w:val="20"/>
          <w:szCs w:val="20"/>
        </w:rPr>
        <w:instrText xml:space="preserve"> ADDIN EN.CITE &lt;EndNote&gt;&lt;Cite&gt;&lt;Author&gt;Reilly&lt;/Author&gt;&lt;Year&gt;2012&lt;/Year&gt;&lt;RecNum&gt;19&lt;/RecNum&gt;&lt;DisplayText&gt;(21)&lt;/DisplayText&gt;&lt;record&gt;&lt;rec-number&gt;19&lt;/rec-number&gt;&lt;foreign-keys&gt;&lt;key app="EN" db-id="p02d9srt525vsredawwvt0alfwx0xzzetfsw" timestamp="1519137536"&gt;19&lt;/key&gt;&lt;/foreign-keys&gt;&lt;ref-type name="Journal Article"&gt;17&lt;/ref-type&gt;&lt;contributors&gt;&lt;authors&gt;&lt;author&gt;Reilly, Siobhan&lt;/author&gt;&lt;author&gt;Planner, Claire&lt;/author&gt;&lt;author&gt;Hann, Mark&lt;/author&gt;&lt;author&gt;Reeves, David&lt;/author&gt;&lt;author&gt;Nazareth, Irwin&lt;/author&gt;&lt;author&gt;Lester, Helen&lt;/author&gt;&lt;/authors&gt;&lt;/contributors&gt;&lt;titles&gt;&lt;title&gt;The role of primary care in service provision for people with severe mental illness in the United Kingdom&lt;/title&gt;&lt;secondary-title&gt;PLoS one&lt;/secondary-title&gt;&lt;/titles&gt;&lt;periodical&gt;&lt;full-title&gt;PLoS one&lt;/full-title&gt;&lt;/periodical&gt;&lt;pages&gt;e36468&lt;/pages&gt;&lt;volume&gt;7&lt;/volume&gt;&lt;number&gt;5&lt;/number&gt;&lt;dates&gt;&lt;year&gt;2012&lt;/year&gt;&lt;/dates&gt;&lt;isbn&gt;1932-6203&lt;/isbn&gt;&lt;urls&gt;&lt;/urls&gt;&lt;/record&gt;&lt;/Cite&gt;&lt;/EndNote&gt;</w:instrText>
      </w:r>
      <w:r w:rsidRPr="00BF3D07">
        <w:rPr>
          <w:rFonts w:ascii="Arial" w:hAnsi="Arial" w:cs="Arial"/>
          <w:sz w:val="20"/>
          <w:szCs w:val="20"/>
        </w:rPr>
        <w:fldChar w:fldCharType="separate"/>
      </w:r>
      <w:r w:rsidR="00713498">
        <w:rPr>
          <w:rFonts w:ascii="Arial" w:hAnsi="Arial" w:cs="Arial"/>
          <w:noProof/>
          <w:sz w:val="20"/>
          <w:szCs w:val="20"/>
        </w:rPr>
        <w:t>(</w:t>
      </w:r>
      <w:hyperlink w:anchor="_ENREF_21" w:tooltip="Reilly, 2012 #19" w:history="1">
        <w:r w:rsidR="00464E25">
          <w:rPr>
            <w:rFonts w:ascii="Arial" w:hAnsi="Arial" w:cs="Arial"/>
            <w:noProof/>
            <w:sz w:val="20"/>
            <w:szCs w:val="20"/>
          </w:rPr>
          <w:t>21</w:t>
        </w:r>
      </w:hyperlink>
      <w:r w:rsidR="00713498">
        <w:rPr>
          <w:rFonts w:ascii="Arial" w:hAnsi="Arial" w:cs="Arial"/>
          <w:noProof/>
          <w:sz w:val="20"/>
          <w:szCs w:val="20"/>
        </w:rPr>
        <w:t>)</w:t>
      </w:r>
      <w:r w:rsidRPr="00BF3D07">
        <w:rPr>
          <w:rFonts w:ascii="Arial" w:hAnsi="Arial" w:cs="Arial"/>
          <w:sz w:val="20"/>
          <w:szCs w:val="20"/>
        </w:rPr>
        <w:fldChar w:fldCharType="end"/>
      </w:r>
      <w:r w:rsidRPr="00BF3D07">
        <w:rPr>
          <w:rFonts w:ascii="Arial" w:hAnsi="Arial" w:cs="Arial"/>
          <w:sz w:val="20"/>
          <w:szCs w:val="20"/>
        </w:rPr>
        <w:t xml:space="preserve"> including the </w:t>
      </w:r>
      <w:r w:rsidRPr="00BF3D07">
        <w:rPr>
          <w:rFonts w:ascii="Arial" w:hAnsi="Arial" w:cs="Arial"/>
          <w:color w:val="000000"/>
          <w:sz w:val="20"/>
          <w:szCs w:val="20"/>
        </w:rPr>
        <w:t xml:space="preserve">management of long-term prescribing. </w:t>
      </w:r>
      <w:r>
        <w:rPr>
          <w:rFonts w:ascii="Arial" w:hAnsi="Arial" w:cs="Arial"/>
          <w:color w:val="000000"/>
          <w:sz w:val="20"/>
          <w:szCs w:val="20"/>
        </w:rPr>
        <w:t>Therefore, u</w:t>
      </w:r>
      <w:r>
        <w:rPr>
          <w:rFonts w:ascii="Arial" w:hAnsi="Arial" w:cs="Arial"/>
          <w:sz w:val="20"/>
          <w:szCs w:val="20"/>
        </w:rPr>
        <w:t>nlike p</w:t>
      </w:r>
      <w:r w:rsidRPr="00BF3D07">
        <w:rPr>
          <w:rFonts w:ascii="Arial" w:hAnsi="Arial" w:cs="Arial"/>
          <w:sz w:val="20"/>
          <w:szCs w:val="20"/>
        </w:rPr>
        <w:t xml:space="preserve">revious studies </w:t>
      </w:r>
      <w:r>
        <w:rPr>
          <w:rFonts w:ascii="Arial" w:hAnsi="Arial" w:cs="Arial"/>
          <w:sz w:val="20"/>
          <w:szCs w:val="20"/>
        </w:rPr>
        <w:t>that</w:t>
      </w:r>
      <w:r w:rsidRPr="00BF3D07">
        <w:rPr>
          <w:rFonts w:ascii="Arial" w:hAnsi="Arial" w:cs="Arial"/>
          <w:sz w:val="20"/>
          <w:szCs w:val="20"/>
        </w:rPr>
        <w:t xml:space="preserve"> used</w:t>
      </w:r>
      <w:r>
        <w:rPr>
          <w:rFonts w:ascii="Arial" w:hAnsi="Arial" w:cs="Arial"/>
          <w:sz w:val="20"/>
          <w:szCs w:val="20"/>
        </w:rPr>
        <w:t xml:space="preserve"> solely</w:t>
      </w:r>
      <w:r w:rsidRPr="00BF3D07">
        <w:rPr>
          <w:rFonts w:ascii="Arial" w:hAnsi="Arial" w:cs="Arial"/>
          <w:sz w:val="20"/>
          <w:szCs w:val="20"/>
        </w:rPr>
        <w:t xml:space="preserve"> hospital data to investigate </w:t>
      </w:r>
      <w:r w:rsidR="004F26A7">
        <w:rPr>
          <w:rFonts w:ascii="Arial" w:hAnsi="Arial" w:cs="Arial"/>
          <w:sz w:val="20"/>
          <w:szCs w:val="20"/>
        </w:rPr>
        <w:t>polypharmacy</w:t>
      </w:r>
      <w:r w:rsidRPr="00BF3D07">
        <w:rPr>
          <w:rFonts w:ascii="Arial" w:hAnsi="Arial" w:cs="Arial"/>
          <w:sz w:val="20"/>
          <w:szCs w:val="20"/>
        </w:rPr>
        <w:t xml:space="preserve"> </w:t>
      </w:r>
      <w:r w:rsidRPr="00BF3D07">
        <w:rPr>
          <w:rFonts w:ascii="Arial" w:hAnsi="Arial" w:cs="Arial"/>
          <w:sz w:val="20"/>
          <w:szCs w:val="20"/>
        </w:rPr>
        <w:fldChar w:fldCharType="begin"/>
      </w:r>
      <w:r w:rsidR="00713498">
        <w:rPr>
          <w:rFonts w:ascii="Arial" w:hAnsi="Arial" w:cs="Arial"/>
          <w:sz w:val="20"/>
          <w:szCs w:val="20"/>
        </w:rPr>
        <w:instrText xml:space="preserve"> ADDIN EN.CITE &lt;EndNote&gt;&lt;Cite&gt;&lt;Author&gt;Kadra&lt;/Author&gt;&lt;Year&gt;2015&lt;/Year&gt;&lt;RecNum&gt;5&lt;/RecNum&gt;&lt;DisplayText&gt;(22)&lt;/DisplayText&gt;&lt;record&gt;&lt;rec-number&gt;5&lt;/rec-number&gt;&lt;foreign-keys&gt;&lt;key app="EN" db-id="p02d9srt525vsredawwvt0alfwx0xzzetfsw" timestamp="1519130516"&gt;5&lt;/key&gt;&lt;/foreign-keys&gt;&lt;ref-type name="Journal Article"&gt;17&lt;/ref-type&gt;&lt;contributors&gt;&lt;authors&gt;&lt;author&gt;Kadra, G&lt;/author&gt;&lt;author&gt;Stewart, R&lt;/author&gt;&lt;author&gt;Shetty, H&lt;/author&gt;&lt;author&gt;Jackson, RG&lt;/author&gt;&lt;author&gt;Greenwood, MA&lt;/author&gt;&lt;author&gt;Roberts, A&lt;/author&gt;&lt;author&gt;Chang, C-K&lt;/author&gt;&lt;author&gt;MacCabe, JH&lt;/author&gt;&lt;author&gt;Hayes, RD&lt;/author&gt;&lt;/authors&gt;&lt;/contributors&gt;&lt;titles&gt;&lt;title&gt;Extracting antipsychotic polypharmacy data from electronic health records: developing and evaluating a novel process&lt;/title&gt;&lt;secondary-title&gt;BMC Psychiatry&lt;/secondary-title&gt;&lt;/titles&gt;&lt;periodical&gt;&lt;full-title&gt;BMC Psychiatry&lt;/full-title&gt;&lt;/periodical&gt;&lt;volume&gt;15&lt;/volume&gt;&lt;number&gt;166&lt;/number&gt;&lt;dates&gt;&lt;year&gt;2015&lt;/year&gt;&lt;/dates&gt;&lt;urls&gt;&lt;/urls&gt;&lt;/record&gt;&lt;/Cite&gt;&lt;/EndNote&gt;</w:instrText>
      </w:r>
      <w:r w:rsidRPr="00BF3D07">
        <w:rPr>
          <w:rFonts w:ascii="Arial" w:hAnsi="Arial" w:cs="Arial"/>
          <w:sz w:val="20"/>
          <w:szCs w:val="20"/>
        </w:rPr>
        <w:fldChar w:fldCharType="separate"/>
      </w:r>
      <w:r w:rsidR="00713498">
        <w:rPr>
          <w:rFonts w:ascii="Arial" w:hAnsi="Arial" w:cs="Arial"/>
          <w:noProof/>
          <w:sz w:val="20"/>
          <w:szCs w:val="20"/>
        </w:rPr>
        <w:t>(</w:t>
      </w:r>
      <w:hyperlink w:anchor="_ENREF_22" w:tooltip="Kadra, 2015 #5" w:history="1">
        <w:r w:rsidR="00464E25">
          <w:rPr>
            <w:rFonts w:ascii="Arial" w:hAnsi="Arial" w:cs="Arial"/>
            <w:noProof/>
            <w:sz w:val="20"/>
            <w:szCs w:val="20"/>
          </w:rPr>
          <w:t>22</w:t>
        </w:r>
      </w:hyperlink>
      <w:r w:rsidR="00713498">
        <w:rPr>
          <w:rFonts w:ascii="Arial" w:hAnsi="Arial" w:cs="Arial"/>
          <w:noProof/>
          <w:sz w:val="20"/>
          <w:szCs w:val="20"/>
        </w:rPr>
        <w:t>)</w:t>
      </w:r>
      <w:r w:rsidRPr="00BF3D07">
        <w:rPr>
          <w:rFonts w:ascii="Arial" w:hAnsi="Arial" w:cs="Arial"/>
          <w:sz w:val="20"/>
          <w:szCs w:val="20"/>
        </w:rPr>
        <w:fldChar w:fldCharType="end"/>
      </w:r>
      <w:r w:rsidRPr="00BF3D07">
        <w:rPr>
          <w:rFonts w:ascii="Arial" w:hAnsi="Arial" w:cs="Arial"/>
          <w:sz w:val="20"/>
          <w:szCs w:val="20"/>
        </w:rPr>
        <w:t xml:space="preserve"> </w:t>
      </w:r>
      <w:r>
        <w:rPr>
          <w:rFonts w:ascii="Arial" w:hAnsi="Arial" w:cs="Arial"/>
          <w:sz w:val="20"/>
          <w:szCs w:val="20"/>
        </w:rPr>
        <w:t xml:space="preserve">we define </w:t>
      </w:r>
      <w:r w:rsidR="004F26A7">
        <w:rPr>
          <w:rFonts w:ascii="Arial" w:hAnsi="Arial" w:cs="Arial"/>
          <w:sz w:val="20"/>
          <w:szCs w:val="20"/>
        </w:rPr>
        <w:t>polypharmacy</w:t>
      </w:r>
      <w:r>
        <w:rPr>
          <w:rFonts w:ascii="Arial" w:hAnsi="Arial" w:cs="Arial"/>
          <w:sz w:val="20"/>
          <w:szCs w:val="20"/>
        </w:rPr>
        <w:t xml:space="preserve"> and monotherapy from</w:t>
      </w:r>
      <w:r w:rsidRPr="00BF3D07">
        <w:rPr>
          <w:rFonts w:ascii="Arial" w:hAnsi="Arial" w:cs="Arial"/>
          <w:color w:val="000000"/>
          <w:sz w:val="20"/>
          <w:szCs w:val="20"/>
        </w:rPr>
        <w:t xml:space="preserve"> </w:t>
      </w:r>
      <w:r>
        <w:rPr>
          <w:rFonts w:ascii="Arial" w:hAnsi="Arial" w:cs="Arial"/>
          <w:color w:val="000000"/>
          <w:sz w:val="20"/>
          <w:szCs w:val="20"/>
        </w:rPr>
        <w:t xml:space="preserve">primary care data.  </w:t>
      </w:r>
      <w:r>
        <w:rPr>
          <w:rFonts w:ascii="Arial" w:hAnsi="Arial" w:cs="Arial"/>
          <w:sz w:val="20"/>
          <w:szCs w:val="20"/>
          <w:lang w:eastAsia="ja-JP"/>
        </w:rPr>
        <w:t>Second, w</w:t>
      </w:r>
      <w:r w:rsidR="00B16C1E">
        <w:rPr>
          <w:rFonts w:ascii="Arial" w:hAnsi="Arial" w:cs="Arial"/>
          <w:sz w:val="20"/>
          <w:szCs w:val="20"/>
          <w:lang w:eastAsia="ja-JP"/>
        </w:rPr>
        <w:t xml:space="preserve">e link </w:t>
      </w:r>
      <w:r w:rsidR="00B16C1E" w:rsidRPr="00414761">
        <w:rPr>
          <w:rFonts w:ascii="Arial" w:hAnsi="Arial" w:cs="Arial"/>
          <w:sz w:val="20"/>
          <w:szCs w:val="20"/>
        </w:rPr>
        <w:t xml:space="preserve">primary care data </w:t>
      </w:r>
      <w:r w:rsidR="00B16C1E">
        <w:rPr>
          <w:rFonts w:ascii="Arial" w:hAnsi="Arial" w:cs="Arial"/>
          <w:sz w:val="20"/>
          <w:szCs w:val="20"/>
        </w:rPr>
        <w:t>with</w:t>
      </w:r>
      <w:r w:rsidR="00B16C1E" w:rsidRPr="00414761">
        <w:rPr>
          <w:rFonts w:ascii="Arial" w:hAnsi="Arial" w:cs="Arial"/>
          <w:sz w:val="20"/>
          <w:szCs w:val="20"/>
        </w:rPr>
        <w:t xml:space="preserve"> hospital and </w:t>
      </w:r>
      <w:r w:rsidR="00B16C1E">
        <w:rPr>
          <w:rFonts w:ascii="Arial" w:hAnsi="Arial" w:cs="Arial"/>
          <w:sz w:val="20"/>
          <w:szCs w:val="20"/>
        </w:rPr>
        <w:t>mortality data at patient level</w:t>
      </w:r>
      <w:r w:rsidR="00B16C1E" w:rsidRPr="00414761">
        <w:rPr>
          <w:rFonts w:ascii="Arial" w:hAnsi="Arial" w:cs="Arial"/>
          <w:sz w:val="20"/>
          <w:szCs w:val="20"/>
        </w:rPr>
        <w:t xml:space="preserve"> to determine the sequence of </w:t>
      </w:r>
      <w:r w:rsidR="004F26A7">
        <w:rPr>
          <w:rFonts w:ascii="Arial" w:hAnsi="Arial" w:cs="Arial"/>
          <w:sz w:val="20"/>
          <w:szCs w:val="20"/>
        </w:rPr>
        <w:t>polypharmacy</w:t>
      </w:r>
      <w:r w:rsidR="00B16C1E" w:rsidRPr="00414761">
        <w:rPr>
          <w:rFonts w:ascii="Arial" w:hAnsi="Arial" w:cs="Arial"/>
          <w:sz w:val="20"/>
          <w:szCs w:val="20"/>
        </w:rPr>
        <w:t xml:space="preserve"> episodes and hospital utili</w:t>
      </w:r>
      <w:r w:rsidR="00A475C1">
        <w:rPr>
          <w:rFonts w:ascii="Arial" w:hAnsi="Arial" w:cs="Arial"/>
          <w:sz w:val="20"/>
          <w:szCs w:val="20"/>
        </w:rPr>
        <w:t>z</w:t>
      </w:r>
      <w:r w:rsidR="00B16C1E" w:rsidRPr="00414761">
        <w:rPr>
          <w:rFonts w:ascii="Arial" w:hAnsi="Arial" w:cs="Arial"/>
          <w:sz w:val="20"/>
          <w:szCs w:val="20"/>
        </w:rPr>
        <w:t xml:space="preserve">ation and mortality.  </w:t>
      </w:r>
      <w:r>
        <w:rPr>
          <w:rFonts w:ascii="Arial" w:hAnsi="Arial" w:cs="Arial"/>
          <w:sz w:val="20"/>
          <w:szCs w:val="20"/>
        </w:rPr>
        <w:t>Third, w</w:t>
      </w:r>
      <w:r w:rsidR="00B16C1E">
        <w:rPr>
          <w:rFonts w:ascii="Arial" w:hAnsi="Arial" w:cs="Arial"/>
          <w:sz w:val="20"/>
          <w:szCs w:val="20"/>
        </w:rPr>
        <w:t>e employ</w:t>
      </w:r>
      <w:r w:rsidR="00AE7455">
        <w:rPr>
          <w:rFonts w:ascii="Arial" w:hAnsi="Arial" w:cs="Arial"/>
          <w:sz w:val="20"/>
          <w:szCs w:val="20"/>
        </w:rPr>
        <w:t xml:space="preserve"> a Cox survival analysis model </w:t>
      </w:r>
      <w:r w:rsidR="00376249">
        <w:rPr>
          <w:rFonts w:ascii="Arial" w:hAnsi="Arial" w:cs="Arial"/>
          <w:sz w:val="20"/>
          <w:szCs w:val="20"/>
        </w:rPr>
        <w:t>that analys</w:t>
      </w:r>
      <w:r w:rsidR="00AE7455">
        <w:rPr>
          <w:rFonts w:ascii="Arial" w:hAnsi="Arial" w:cs="Arial"/>
          <w:sz w:val="20"/>
          <w:szCs w:val="20"/>
        </w:rPr>
        <w:t xml:space="preserve">es time to each outcome adjusting for both time invariant confounders and time dependent </w:t>
      </w:r>
      <w:r w:rsidR="004F26A7">
        <w:rPr>
          <w:rFonts w:ascii="Arial" w:hAnsi="Arial" w:cs="Arial"/>
          <w:sz w:val="20"/>
          <w:szCs w:val="20"/>
        </w:rPr>
        <w:t>polypharmacy</w:t>
      </w:r>
      <w:r w:rsidR="00AE7455">
        <w:rPr>
          <w:rFonts w:ascii="Arial" w:hAnsi="Arial" w:cs="Arial"/>
          <w:sz w:val="20"/>
          <w:szCs w:val="20"/>
        </w:rPr>
        <w:t xml:space="preserve"> and monotherapy</w:t>
      </w:r>
      <w:r w:rsidR="00957790">
        <w:rPr>
          <w:rFonts w:ascii="Arial" w:hAnsi="Arial" w:cs="Arial"/>
          <w:sz w:val="20"/>
          <w:szCs w:val="20"/>
        </w:rPr>
        <w:t xml:space="preserve"> </w:t>
      </w:r>
      <w:r w:rsidR="00AE7455">
        <w:rPr>
          <w:rFonts w:ascii="Arial" w:hAnsi="Arial" w:cs="Arial"/>
          <w:sz w:val="20"/>
          <w:szCs w:val="20"/>
        </w:rPr>
        <w:fldChar w:fldCharType="begin"/>
      </w:r>
      <w:r w:rsidR="00713498">
        <w:rPr>
          <w:rFonts w:ascii="Arial" w:hAnsi="Arial" w:cs="Arial"/>
          <w:sz w:val="20"/>
          <w:szCs w:val="20"/>
        </w:rPr>
        <w:instrText xml:space="preserve"> ADDIN EN.CITE &lt;EndNote&gt;&lt;Cite&gt;&lt;Author&gt;Crowley&lt;/Author&gt;&lt;Year&gt;1977&lt;/Year&gt;&lt;RecNum&gt;97&lt;/RecNum&gt;&lt;DisplayText&gt;(16)&lt;/DisplayText&gt;&lt;record&gt;&lt;rec-number&gt;97&lt;/rec-number&gt;&lt;foreign-keys&gt;&lt;key app="EN" db-id="p02d9srt525vsredawwvt0alfwx0xzzetfsw" timestamp="1534175135"&gt;97&lt;/key&gt;&lt;/foreign-keys&gt;&lt;ref-type name="Journal Article"&gt;17&lt;/ref-type&gt;&lt;contributors&gt;&lt;authors&gt;&lt;author&gt;Crowley, J&lt;/author&gt;&lt;author&gt;Hu, M&lt;/author&gt;&lt;/authors&gt;&lt;/contributors&gt;&lt;titles&gt;&lt;title&gt;Covariance analysis of heart transplant survival data&lt;/title&gt;&lt;secondary-title&gt;Journal of the American Statistical Association&lt;/secondary-title&gt;&lt;/titles&gt;&lt;periodical&gt;&lt;full-title&gt;Journal of the American Statistical Association&lt;/full-title&gt;&lt;/periodical&gt;&lt;pages&gt;27-36&lt;/pages&gt;&lt;volume&gt;72&lt;/volume&gt;&lt;dates&gt;&lt;year&gt;1977&lt;/year&gt;&lt;/dates&gt;&lt;urls&gt;&lt;/urls&gt;&lt;/record&gt;&lt;/Cite&gt;&lt;/EndNote&gt;</w:instrText>
      </w:r>
      <w:r w:rsidR="00AE7455">
        <w:rPr>
          <w:rFonts w:ascii="Arial" w:hAnsi="Arial" w:cs="Arial"/>
          <w:sz w:val="20"/>
          <w:szCs w:val="20"/>
        </w:rPr>
        <w:fldChar w:fldCharType="separate"/>
      </w:r>
      <w:r w:rsidR="00713498">
        <w:rPr>
          <w:rFonts w:ascii="Arial" w:hAnsi="Arial" w:cs="Arial"/>
          <w:noProof/>
          <w:sz w:val="20"/>
          <w:szCs w:val="20"/>
        </w:rPr>
        <w:t>(</w:t>
      </w:r>
      <w:hyperlink w:anchor="_ENREF_16" w:tooltip="Crowley, 1977 #97" w:history="1">
        <w:r w:rsidR="00464E25">
          <w:rPr>
            <w:rFonts w:ascii="Arial" w:hAnsi="Arial" w:cs="Arial"/>
            <w:noProof/>
            <w:sz w:val="20"/>
            <w:szCs w:val="20"/>
          </w:rPr>
          <w:t>16</w:t>
        </w:r>
      </w:hyperlink>
      <w:r w:rsidR="00713498">
        <w:rPr>
          <w:rFonts w:ascii="Arial" w:hAnsi="Arial" w:cs="Arial"/>
          <w:noProof/>
          <w:sz w:val="20"/>
          <w:szCs w:val="20"/>
        </w:rPr>
        <w:t>)</w:t>
      </w:r>
      <w:r w:rsidR="00AE7455">
        <w:rPr>
          <w:rFonts w:ascii="Arial" w:hAnsi="Arial" w:cs="Arial"/>
          <w:sz w:val="20"/>
          <w:szCs w:val="20"/>
        </w:rPr>
        <w:fldChar w:fldCharType="end"/>
      </w:r>
      <w:r w:rsidR="00AE7455">
        <w:rPr>
          <w:rFonts w:ascii="Arial" w:hAnsi="Arial" w:cs="Arial"/>
          <w:sz w:val="20"/>
          <w:szCs w:val="20"/>
        </w:rPr>
        <w:t>.</w:t>
      </w:r>
      <w:r>
        <w:rPr>
          <w:rFonts w:ascii="Arial" w:hAnsi="Arial" w:cs="Arial"/>
          <w:color w:val="000000"/>
          <w:sz w:val="20"/>
          <w:szCs w:val="20"/>
        </w:rPr>
        <w:t xml:space="preserve"> </w:t>
      </w:r>
      <w:r>
        <w:rPr>
          <w:rFonts w:ascii="Arial" w:hAnsi="Arial" w:cs="Arial"/>
          <w:sz w:val="20"/>
          <w:szCs w:val="20"/>
        </w:rPr>
        <w:t>By specifying</w:t>
      </w:r>
      <w:r w:rsidR="00887721" w:rsidRPr="00414761">
        <w:rPr>
          <w:rFonts w:ascii="Arial" w:hAnsi="Arial" w:cs="Arial"/>
          <w:sz w:val="20"/>
          <w:szCs w:val="20"/>
        </w:rPr>
        <w:t xml:space="preserve"> </w:t>
      </w:r>
      <w:r w:rsidR="004F26A7">
        <w:rPr>
          <w:rFonts w:ascii="Arial" w:hAnsi="Arial" w:cs="Arial"/>
          <w:sz w:val="20"/>
          <w:szCs w:val="20"/>
        </w:rPr>
        <w:t>polypharmacy</w:t>
      </w:r>
      <w:r w:rsidR="00887721" w:rsidRPr="00414761">
        <w:rPr>
          <w:rFonts w:ascii="Arial" w:hAnsi="Arial" w:cs="Arial"/>
          <w:sz w:val="20"/>
          <w:szCs w:val="20"/>
        </w:rPr>
        <w:t xml:space="preserve"> as</w:t>
      </w:r>
      <w:r>
        <w:rPr>
          <w:rFonts w:ascii="Arial" w:hAnsi="Arial" w:cs="Arial"/>
          <w:sz w:val="20"/>
          <w:szCs w:val="20"/>
        </w:rPr>
        <w:t xml:space="preserve"> a time-dependent variable, we address</w:t>
      </w:r>
      <w:r w:rsidR="00887721" w:rsidRPr="00414761">
        <w:rPr>
          <w:rFonts w:ascii="Arial" w:hAnsi="Arial" w:cs="Arial"/>
          <w:sz w:val="20"/>
          <w:szCs w:val="20"/>
        </w:rPr>
        <w:t xml:space="preserve"> the statistical challenge arising in cases where the exposure is not present throughout the entire time of observation.  </w:t>
      </w:r>
    </w:p>
    <w:p w14:paraId="017A692D" w14:textId="336AAE3A" w:rsidR="00DF5C49" w:rsidRDefault="00887721" w:rsidP="00443FF8">
      <w:pPr>
        <w:spacing w:after="0" w:line="480" w:lineRule="auto"/>
        <w:rPr>
          <w:rFonts w:ascii="Arial" w:hAnsi="Arial" w:cs="Arial"/>
          <w:sz w:val="20"/>
          <w:szCs w:val="20"/>
          <w:lang w:eastAsia="ja-JP"/>
        </w:rPr>
      </w:pPr>
      <w:r w:rsidRPr="00414761">
        <w:rPr>
          <w:rFonts w:ascii="Arial" w:hAnsi="Arial" w:cs="Arial"/>
          <w:sz w:val="20"/>
          <w:szCs w:val="20"/>
        </w:rPr>
        <w:t xml:space="preserve">The use of a large linked dataset coupled with a suitable survival analysis model provides more robust estimates of the effects of </w:t>
      </w:r>
      <w:r w:rsidR="004F26A7">
        <w:rPr>
          <w:rFonts w:ascii="Arial" w:hAnsi="Arial" w:cs="Arial"/>
          <w:sz w:val="20"/>
          <w:szCs w:val="20"/>
        </w:rPr>
        <w:t>polypharmacy</w:t>
      </w:r>
      <w:r w:rsidRPr="00414761">
        <w:rPr>
          <w:rFonts w:ascii="Arial" w:hAnsi="Arial" w:cs="Arial"/>
          <w:sz w:val="20"/>
          <w:szCs w:val="20"/>
        </w:rPr>
        <w:t xml:space="preserve"> on outcomes than would be possible with aggregate data or a cross sectional design.</w:t>
      </w:r>
      <w:r w:rsidR="00DF5C49">
        <w:rPr>
          <w:rFonts w:ascii="Arial" w:hAnsi="Arial" w:cs="Arial"/>
          <w:sz w:val="20"/>
          <w:szCs w:val="20"/>
          <w:lang w:eastAsia="ja-JP"/>
        </w:rPr>
        <w:t xml:space="preserve">  </w:t>
      </w:r>
    </w:p>
    <w:p w14:paraId="4EEA6DB6" w14:textId="5308CE5C" w:rsidR="00DF5C49" w:rsidRDefault="00DF5C49" w:rsidP="00DF5C49">
      <w:pPr>
        <w:spacing w:after="0" w:line="480" w:lineRule="auto"/>
        <w:rPr>
          <w:rFonts w:ascii="Arial" w:hAnsi="Arial" w:cs="Arial"/>
          <w:sz w:val="20"/>
          <w:szCs w:val="20"/>
        </w:rPr>
      </w:pPr>
      <w:r>
        <w:rPr>
          <w:rFonts w:ascii="Arial" w:hAnsi="Arial" w:cs="Arial"/>
          <w:sz w:val="20"/>
          <w:szCs w:val="20"/>
        </w:rPr>
        <w:t>We found that the</w:t>
      </w:r>
      <w:r w:rsidRPr="00BF3D07">
        <w:rPr>
          <w:rFonts w:ascii="Arial" w:hAnsi="Arial" w:cs="Arial"/>
          <w:sz w:val="20"/>
          <w:szCs w:val="20"/>
        </w:rPr>
        <w:t xml:space="preserve"> annual </w:t>
      </w:r>
      <w:r>
        <w:rPr>
          <w:rFonts w:ascii="Arial" w:hAnsi="Arial" w:cs="Arial"/>
          <w:sz w:val="20"/>
          <w:szCs w:val="20"/>
        </w:rPr>
        <w:t>polypharmacy</w:t>
      </w:r>
      <w:r w:rsidRPr="00BF3D07">
        <w:rPr>
          <w:rFonts w:ascii="Arial" w:hAnsi="Arial" w:cs="Arial"/>
          <w:sz w:val="20"/>
          <w:szCs w:val="20"/>
        </w:rPr>
        <w:t xml:space="preserve"> prevalence fluctua</w:t>
      </w:r>
      <w:r>
        <w:rPr>
          <w:rFonts w:ascii="Arial" w:hAnsi="Arial" w:cs="Arial"/>
          <w:sz w:val="20"/>
          <w:szCs w:val="20"/>
        </w:rPr>
        <w:t>tes over time between 5% and 6%.</w:t>
      </w:r>
    </w:p>
    <w:p w14:paraId="14C80280" w14:textId="55DFE201" w:rsidR="00590A10" w:rsidRDefault="00443FF8" w:rsidP="00854DA0">
      <w:pPr>
        <w:spacing w:after="0" w:line="480" w:lineRule="auto"/>
        <w:rPr>
          <w:rFonts w:ascii="Arial" w:hAnsi="Arial" w:cs="Arial"/>
          <w:sz w:val="20"/>
          <w:szCs w:val="20"/>
          <w:lang w:eastAsia="ja-JP"/>
        </w:rPr>
      </w:pPr>
      <w:r w:rsidRPr="00BF3D07">
        <w:rPr>
          <w:rFonts w:ascii="Arial" w:hAnsi="Arial" w:cs="Arial"/>
          <w:sz w:val="20"/>
          <w:szCs w:val="20"/>
          <w:lang w:eastAsia="ja-JP"/>
        </w:rPr>
        <w:t xml:space="preserve">It is not straightforward to compare </w:t>
      </w:r>
      <w:r w:rsidR="00942835">
        <w:rPr>
          <w:rFonts w:ascii="Arial" w:hAnsi="Arial" w:cs="Arial"/>
          <w:sz w:val="20"/>
          <w:szCs w:val="20"/>
          <w:lang w:eastAsia="ja-JP"/>
        </w:rPr>
        <w:t>th</w:t>
      </w:r>
      <w:r w:rsidR="00DF5C49">
        <w:rPr>
          <w:rFonts w:ascii="Arial" w:hAnsi="Arial" w:cs="Arial"/>
          <w:sz w:val="20"/>
          <w:szCs w:val="20"/>
          <w:lang w:eastAsia="ja-JP"/>
        </w:rPr>
        <w:t>is figure</w:t>
      </w:r>
      <w:r w:rsidR="00942835">
        <w:rPr>
          <w:rFonts w:ascii="Arial" w:hAnsi="Arial" w:cs="Arial"/>
          <w:sz w:val="20"/>
          <w:szCs w:val="20"/>
          <w:lang w:eastAsia="ja-JP"/>
        </w:rPr>
        <w:t xml:space="preserve"> </w:t>
      </w:r>
      <w:r w:rsidRPr="00BF3D07">
        <w:rPr>
          <w:rFonts w:ascii="Arial" w:hAnsi="Arial" w:cs="Arial"/>
          <w:sz w:val="20"/>
          <w:szCs w:val="20"/>
          <w:lang w:eastAsia="ja-JP"/>
        </w:rPr>
        <w:t>with other studies</w:t>
      </w:r>
      <w:r w:rsidR="00E92A84">
        <w:rPr>
          <w:rFonts w:ascii="Arial" w:hAnsi="Arial" w:cs="Arial"/>
          <w:sz w:val="20"/>
          <w:szCs w:val="20"/>
          <w:lang w:eastAsia="ja-JP"/>
        </w:rPr>
        <w:t xml:space="preserve"> </w:t>
      </w:r>
      <w:r w:rsidR="00E92A84" w:rsidRPr="00BF3D07">
        <w:rPr>
          <w:rFonts w:ascii="Arial" w:hAnsi="Arial" w:cs="Arial"/>
          <w:sz w:val="20"/>
          <w:szCs w:val="20"/>
          <w:lang w:eastAsia="ja-JP"/>
        </w:rPr>
        <w:t xml:space="preserve">due to diversity in the definition of polypharmacy, and differences in </w:t>
      </w:r>
      <w:r w:rsidR="00E92A84" w:rsidRPr="00BF3D07">
        <w:rPr>
          <w:rFonts w:ascii="Arial" w:hAnsi="Arial" w:cs="Arial"/>
          <w:color w:val="000000"/>
          <w:sz w:val="20"/>
          <w:szCs w:val="20"/>
        </w:rPr>
        <w:t xml:space="preserve">the sample characteristics and </w:t>
      </w:r>
      <w:r w:rsidR="00E92A84" w:rsidRPr="00BF3D07">
        <w:rPr>
          <w:rFonts w:ascii="Arial" w:hAnsi="Arial" w:cs="Arial"/>
          <w:sz w:val="20"/>
          <w:szCs w:val="20"/>
          <w:lang w:eastAsia="ja-JP"/>
        </w:rPr>
        <w:t xml:space="preserve">methodology.  </w:t>
      </w:r>
      <w:r w:rsidR="00E92A84" w:rsidRPr="00BF3D07">
        <w:rPr>
          <w:rFonts w:ascii="Arial" w:hAnsi="Arial" w:cs="Arial"/>
          <w:color w:val="000000"/>
          <w:sz w:val="20"/>
          <w:szCs w:val="20"/>
        </w:rPr>
        <w:t xml:space="preserve">A large international study estimated a global median of 20% </w:t>
      </w:r>
      <w:r w:rsidR="00E92A84" w:rsidRPr="00BF3D07">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&lt;EndNote&gt;&lt;Cite&gt;&lt;Author&gt;Gallego&lt;/Author&gt;&lt;Year&gt;2012&lt;/Year&gt;&lt;RecNum&gt;3&lt;/RecNum&gt;&lt;DisplayText&gt;(23)&lt;/DisplayText&gt;&lt;record&gt;&lt;rec-number&gt;3&lt;/rec-number&gt;&lt;foreign-keys&gt;&lt;key app="EN" db-id="p02d9srt525vsredawwvt0alfwx0xzzetfsw" timestamp="1519129927"&gt;3&lt;/key&gt;&lt;/foreign-keys&gt;&lt;ref-type name="Journal Article"&gt;17&lt;/ref-type&gt;&lt;contributors&gt;&lt;authors&gt;&lt;author&gt;Gallego, JA&lt;/author&gt;&lt;author&gt;Bonetti, J&lt;/author&gt;&lt;author&gt;Zhang, J&lt;/author&gt;&lt;author&gt;Kane, JM&lt;/author&gt;&lt;author&gt;Correll, CU&lt;/author&gt;&lt;/authors&gt;&lt;/contributors&gt;&lt;titles&gt;&lt;title&gt;Prevalence and correlates of antipsychotic polypharmacy: A systematic review and meta-regression of global and regional trends from the 1970s to 2009&lt;/title&gt;&lt;secondary-title&gt;Schizophrenia Research&lt;/secondary-title&gt;&lt;/titles&gt;&lt;periodical&gt;&lt;full-title&gt;Schizophrenia Research&lt;/full-title&gt;&lt;/periodical&gt;&lt;pages&gt;18-28&lt;/pages&gt;&lt;volume&gt;138&lt;/volume&gt;&lt;dates&gt;&lt;year&gt;2012&lt;/year&gt;&lt;/dates&gt;&lt;urls&gt;&lt;/urls&gt;&lt;/record&gt;&lt;/Cite&gt;&lt;/EndNote&gt;</w:instrText>
      </w:r>
      <w:r w:rsidR="00E92A84" w:rsidRPr="00BF3D07">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23" w:tooltip="Gallego, 2012 #3" w:history="1">
        <w:r w:rsidR="00464E25">
          <w:rPr>
            <w:rFonts w:ascii="Arial" w:hAnsi="Arial" w:cs="Arial"/>
            <w:noProof/>
            <w:color w:val="000000"/>
            <w:sz w:val="20"/>
            <w:szCs w:val="20"/>
          </w:rPr>
          <w:t>23</w:t>
        </w:r>
      </w:hyperlink>
      <w:r w:rsidR="00713498">
        <w:rPr>
          <w:rFonts w:ascii="Arial" w:hAnsi="Arial" w:cs="Arial"/>
          <w:noProof/>
          <w:color w:val="000000"/>
          <w:sz w:val="20"/>
          <w:szCs w:val="20"/>
        </w:rPr>
        <w:t>)</w:t>
      </w:r>
      <w:r w:rsidR="00E92A84" w:rsidRPr="00BF3D07">
        <w:rPr>
          <w:rFonts w:ascii="Arial" w:hAnsi="Arial" w:cs="Arial"/>
          <w:color w:val="000000"/>
          <w:sz w:val="20"/>
          <w:szCs w:val="20"/>
        </w:rPr>
        <w:fldChar w:fldCharType="end"/>
      </w:r>
      <w:r w:rsidR="00E92A84" w:rsidRPr="00BF3D07">
        <w:rPr>
          <w:rFonts w:ascii="Arial" w:hAnsi="Arial" w:cs="Arial"/>
          <w:color w:val="000000"/>
          <w:sz w:val="20"/>
          <w:szCs w:val="20"/>
        </w:rPr>
        <w:t xml:space="preserve"> but there is considerable variation between and within geographic locations</w:t>
      </w:r>
      <w:r w:rsidR="00E92A84">
        <w:rPr>
          <w:rFonts w:ascii="Arial" w:hAnsi="Arial" w:cs="Arial"/>
          <w:color w:val="000000"/>
          <w:sz w:val="20"/>
          <w:szCs w:val="20"/>
        </w:rPr>
        <w:t xml:space="preserve"> </w:t>
      </w:r>
      <w:r w:rsidR="00E92A84" w:rsidRPr="00BF3D07">
        <w:rPr>
          <w:rFonts w:ascii="Arial" w:hAnsi="Arial" w:cs="Arial"/>
          <w:color w:val="000000"/>
          <w:sz w:val="20"/>
          <w:szCs w:val="20"/>
        </w:rPr>
        <w:fldChar w:fldCharType="begin"/>
      </w:r>
      <w:r w:rsidR="00713498">
        <w:rPr>
          <w:rFonts w:ascii="Arial" w:hAnsi="Arial" w:cs="Arial"/>
          <w:color w:val="000000"/>
          <w:sz w:val="20"/>
          <w:szCs w:val="20"/>
        </w:rPr>
        <w:instrText xml:space="preserve"> ADDIN EN.CITE &lt;EndNote&gt;&lt;Cite&gt;&lt;Author&gt;Gallego&lt;/Author&gt;&lt;Year&gt;2012&lt;/Year&gt;&lt;RecNum&gt;3&lt;/RecNum&gt;&lt;DisplayText&gt;(23, 24)&lt;/DisplayText&gt;&lt;record&gt;&lt;rec-number&gt;3&lt;/rec-number&gt;&lt;foreign-keys&gt;&lt;key app="EN" db-id="p02d9srt525vsredawwvt0alfwx0xzzetfsw" timestamp="1519129927"&gt;3&lt;/key&gt;&lt;/foreign-keys&gt;&lt;ref-type name="Journal Article"&gt;17&lt;/ref-type&gt;&lt;contributors&gt;&lt;authors&gt;&lt;author&gt;Gallego, JA&lt;/author&gt;&lt;author&gt;Bonetti, J&lt;/author&gt;&lt;author&gt;Zhang, J&lt;/author&gt;&lt;author&gt;Kane, JM&lt;/author&gt;&lt;author&gt;Correll, CU&lt;/author&gt;&lt;/authors&gt;&lt;/contributors&gt;&lt;titles&gt;&lt;title&gt;Prevalence and correlates of antipsychotic polypharmacy: A systematic review and meta-regression of global and regional trends from the 1970s to 2009&lt;/title&gt;&lt;secondary-title&gt;Schizophrenia Research&lt;/secondary-title&gt;&lt;/titles&gt;&lt;periodical&gt;&lt;full-title&gt;Schizophrenia Research&lt;/full-title&gt;&lt;/periodical&gt;&lt;pages&gt;18-28&lt;/pages&gt;&lt;volume&gt;138&lt;/volume&gt;&lt;dates&gt;&lt;year&gt;2012&lt;/year&gt;&lt;/dates&gt;&lt;urls&gt;&lt;/urls&gt;&lt;/record&gt;&lt;/Cite&gt;&lt;Cite&gt;&lt;Author&gt;Malandain&lt;/Author&gt;&lt;Year&gt;2017&lt;/Year&gt;&lt;RecNum&gt;7&lt;/RecNum&gt;&lt;record&gt;&lt;rec-number&gt;7&lt;/rec-number&gt;&lt;foreign-keys&gt;&lt;key app="EN" db-id="p02d9srt525vsredawwvt0alfwx0xzzetfsw" timestamp="1519130941"&gt;7&lt;/key&gt;&lt;/foreign-keys&gt;&lt;ref-type name="Journal Article"&gt;17&lt;/ref-type&gt;&lt;contributors&gt;&lt;authors&gt;&lt;author&gt;Malandain, L&lt;/author&gt;&lt;author&gt;Thibaut, F&lt;/author&gt;&lt;author&gt;Grimaldi-Bensouda, L&lt;/author&gt;&lt;author&gt;Falissard, B&lt;/author&gt;&lt;author&gt;Abenhaim, L&lt;/author&gt;&lt;author&gt;Nordon, C&lt;/author&gt;&lt;/authors&gt;&lt;/contributors&gt;&lt;titles&gt;&lt;title&gt;Correlates and predictors of antipsychotic drug polypharmacy in real-life settings: Results from a nationwide cohort study&lt;/title&gt;&lt;secondary-title&gt;Schizophrenia Research&lt;/secondary-title&gt;&lt;/titles&gt;&lt;periodical&gt;&lt;full-title&gt;Schizophrenia Research&lt;/full-title&gt;&lt;/periodical&gt;&lt;dates&gt;&lt;year&gt;2017&lt;/year&gt;&lt;/dates&gt;&lt;urls&gt;&lt;/urls&gt;&lt;/record&gt;&lt;/Cite&gt;&lt;/EndNote&gt;</w:instrText>
      </w:r>
      <w:r w:rsidR="00E92A84" w:rsidRPr="00BF3D07">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23" w:tooltip="Gallego, 2012 #3" w:history="1">
        <w:r w:rsidR="00464E25">
          <w:rPr>
            <w:rFonts w:ascii="Arial" w:hAnsi="Arial" w:cs="Arial"/>
            <w:noProof/>
            <w:color w:val="000000"/>
            <w:sz w:val="20"/>
            <w:szCs w:val="20"/>
          </w:rPr>
          <w:t>23</w:t>
        </w:r>
      </w:hyperlink>
      <w:r w:rsidR="00713498">
        <w:rPr>
          <w:rFonts w:ascii="Arial" w:hAnsi="Arial" w:cs="Arial"/>
          <w:noProof/>
          <w:color w:val="000000"/>
          <w:sz w:val="20"/>
          <w:szCs w:val="20"/>
        </w:rPr>
        <w:t xml:space="preserve">, </w:t>
      </w:r>
      <w:hyperlink w:anchor="_ENREF_24" w:tooltip="Malandain, 2017 #7" w:history="1">
        <w:r w:rsidR="00464E25">
          <w:rPr>
            <w:rFonts w:ascii="Arial" w:hAnsi="Arial" w:cs="Arial"/>
            <w:noProof/>
            <w:color w:val="000000"/>
            <w:sz w:val="20"/>
            <w:szCs w:val="20"/>
          </w:rPr>
          <w:t>24</w:t>
        </w:r>
      </w:hyperlink>
      <w:r w:rsidR="00713498">
        <w:rPr>
          <w:rFonts w:ascii="Arial" w:hAnsi="Arial" w:cs="Arial"/>
          <w:noProof/>
          <w:color w:val="000000"/>
          <w:sz w:val="20"/>
          <w:szCs w:val="20"/>
        </w:rPr>
        <w:t>)</w:t>
      </w:r>
      <w:r w:rsidR="00E92A84" w:rsidRPr="00BF3D07">
        <w:rPr>
          <w:rFonts w:ascii="Arial" w:hAnsi="Arial" w:cs="Arial"/>
          <w:color w:val="000000"/>
          <w:sz w:val="20"/>
          <w:szCs w:val="20"/>
        </w:rPr>
        <w:fldChar w:fldCharType="end"/>
      </w:r>
      <w:r w:rsidR="00E92A84">
        <w:rPr>
          <w:rFonts w:ascii="Arial" w:hAnsi="Arial" w:cs="Arial"/>
          <w:color w:val="000000"/>
          <w:sz w:val="20"/>
          <w:szCs w:val="20"/>
        </w:rPr>
        <w:t xml:space="preserve">. </w:t>
      </w:r>
      <w:r w:rsidR="00E92A84">
        <w:rPr>
          <w:rFonts w:ascii="Arial" w:hAnsi="Arial" w:cs="Arial"/>
          <w:sz w:val="20"/>
          <w:szCs w:val="20"/>
          <w:lang w:eastAsia="ja-JP"/>
        </w:rPr>
        <w:t xml:space="preserve"> </w:t>
      </w:r>
      <w:r w:rsidR="00341F4C" w:rsidRPr="00BF3D07">
        <w:rPr>
          <w:rFonts w:ascii="Arial" w:hAnsi="Arial" w:cs="Arial"/>
          <w:sz w:val="20"/>
          <w:szCs w:val="20"/>
          <w:lang w:eastAsia="ja-JP"/>
        </w:rPr>
        <w:t xml:space="preserve">Higher rates of </w:t>
      </w:r>
      <w:r w:rsidR="004F26A7">
        <w:rPr>
          <w:rFonts w:ascii="Arial" w:hAnsi="Arial" w:cs="Arial"/>
          <w:sz w:val="20"/>
          <w:szCs w:val="20"/>
        </w:rPr>
        <w:t>polypharmacy</w:t>
      </w:r>
      <w:r w:rsidR="00341F4C" w:rsidRPr="00BF3D07">
        <w:rPr>
          <w:rFonts w:ascii="Arial" w:hAnsi="Arial" w:cs="Arial"/>
          <w:sz w:val="20"/>
          <w:szCs w:val="20"/>
          <w:lang w:eastAsia="ja-JP"/>
        </w:rPr>
        <w:t xml:space="preserve"> have been </w:t>
      </w:r>
      <w:r w:rsidRPr="00BF3D07">
        <w:rPr>
          <w:rFonts w:ascii="Arial" w:hAnsi="Arial" w:cs="Arial"/>
          <w:sz w:val="20"/>
          <w:szCs w:val="20"/>
          <w:lang w:eastAsia="ja-JP"/>
        </w:rPr>
        <w:t xml:space="preserve">estimated for the UK but the patients included </w:t>
      </w:r>
      <w:r w:rsidR="00341F4C" w:rsidRPr="00BF3D07">
        <w:rPr>
          <w:rFonts w:ascii="Arial" w:hAnsi="Arial" w:cs="Arial"/>
          <w:sz w:val="20"/>
          <w:szCs w:val="20"/>
          <w:lang w:eastAsia="ja-JP"/>
        </w:rPr>
        <w:t xml:space="preserve">in those studies </w:t>
      </w:r>
      <w:r w:rsidR="001048AE" w:rsidRPr="00BF3D07">
        <w:rPr>
          <w:rFonts w:ascii="Arial" w:hAnsi="Arial" w:cs="Arial"/>
          <w:sz w:val="20"/>
          <w:szCs w:val="20"/>
          <w:lang w:eastAsia="ja-JP"/>
        </w:rPr>
        <w:t>were</w:t>
      </w:r>
      <w:r w:rsidRPr="00BF3D07">
        <w:rPr>
          <w:rFonts w:ascii="Arial" w:hAnsi="Arial" w:cs="Arial"/>
          <w:sz w:val="20"/>
          <w:szCs w:val="20"/>
          <w:lang w:eastAsia="ja-JP"/>
        </w:rPr>
        <w:t xml:space="preserve"> prescribed at least one antipsychotic at the date of data collection and </w:t>
      </w:r>
      <w:r w:rsidR="004F26A7">
        <w:rPr>
          <w:rFonts w:ascii="Arial" w:hAnsi="Arial" w:cs="Arial"/>
          <w:sz w:val="20"/>
          <w:szCs w:val="20"/>
        </w:rPr>
        <w:t>polypharmacy</w:t>
      </w:r>
      <w:r w:rsidRPr="00BF3D07">
        <w:rPr>
          <w:rFonts w:ascii="Arial" w:hAnsi="Arial" w:cs="Arial"/>
          <w:sz w:val="20"/>
          <w:szCs w:val="20"/>
          <w:lang w:eastAsia="ja-JP"/>
        </w:rPr>
        <w:t xml:space="preserve"> </w:t>
      </w:r>
      <w:r w:rsidR="001048AE" w:rsidRPr="00BF3D07">
        <w:rPr>
          <w:rFonts w:ascii="Arial" w:hAnsi="Arial" w:cs="Arial"/>
          <w:sz w:val="20"/>
          <w:szCs w:val="20"/>
          <w:lang w:eastAsia="ja-JP"/>
        </w:rPr>
        <w:t>was</w:t>
      </w:r>
      <w:r w:rsidRPr="00BF3D07">
        <w:rPr>
          <w:rFonts w:ascii="Arial" w:hAnsi="Arial" w:cs="Arial"/>
          <w:sz w:val="20"/>
          <w:szCs w:val="20"/>
          <w:lang w:eastAsia="ja-JP"/>
        </w:rPr>
        <w:t xml:space="preserve"> defined as the concurrent use of more than one antipsychotic </w:t>
      </w:r>
      <w:r w:rsidR="00E03157" w:rsidRPr="00BF3D07">
        <w:rPr>
          <w:rFonts w:ascii="Arial" w:hAnsi="Arial" w:cs="Arial"/>
          <w:sz w:val="20"/>
          <w:szCs w:val="20"/>
          <w:lang w:eastAsia="ja-JP"/>
        </w:rPr>
        <w:t xml:space="preserve">on </w:t>
      </w:r>
      <w:r w:rsidRPr="00BF3D07">
        <w:rPr>
          <w:rFonts w:ascii="Arial" w:hAnsi="Arial" w:cs="Arial"/>
          <w:sz w:val="20"/>
          <w:szCs w:val="20"/>
          <w:lang w:eastAsia="ja-JP"/>
        </w:rPr>
        <w:t xml:space="preserve">that </w:t>
      </w:r>
      <w:r w:rsidR="00341F4C" w:rsidRPr="00BF3D07">
        <w:rPr>
          <w:rFonts w:ascii="Arial" w:hAnsi="Arial" w:cs="Arial"/>
          <w:sz w:val="20"/>
          <w:szCs w:val="20"/>
          <w:lang w:eastAsia="ja-JP"/>
        </w:rPr>
        <w:t xml:space="preserve">single </w:t>
      </w:r>
      <w:r w:rsidRPr="00BF3D07">
        <w:rPr>
          <w:rFonts w:ascii="Arial" w:hAnsi="Arial" w:cs="Arial"/>
          <w:sz w:val="20"/>
          <w:szCs w:val="20"/>
          <w:lang w:eastAsia="ja-JP"/>
        </w:rPr>
        <w:t xml:space="preserve">date </w:t>
      </w:r>
      <w:r w:rsidRPr="00BF3D07">
        <w:rPr>
          <w:rFonts w:ascii="Arial" w:hAnsi="Arial" w:cs="Arial"/>
          <w:sz w:val="20"/>
          <w:szCs w:val="20"/>
          <w:lang w:eastAsia="ja-JP"/>
        </w:rPr>
        <w:fldChar w:fldCharType="begin"/>
      </w:r>
      <w:r w:rsidR="00713498">
        <w:rPr>
          <w:rFonts w:ascii="Arial" w:hAnsi="Arial" w:cs="Arial"/>
          <w:sz w:val="20"/>
          <w:szCs w:val="20"/>
          <w:lang w:eastAsia="ja-JP"/>
        </w:rPr>
        <w:instrText xml:space="preserve"> ADDIN EN.CITE &lt;EndNote&gt;&lt;Cite&gt;&lt;Author&gt;Lelliott&lt;/Author&gt;&lt;Year&gt;2002&lt;/Year&gt;&lt;RecNum&gt;84&lt;/RecNum&gt;&lt;DisplayText&gt;(25, 26)&lt;/DisplayText&gt;&lt;record&gt;&lt;rec-number&gt;84&lt;/rec-number&gt;&lt;foreign-keys&gt;&lt;key app="EN" db-id="p02d9srt525vsredawwvt0alfwx0xzzetfsw" timestamp="1523890814"&gt;84&lt;/key&gt;&lt;/foreign-keys&gt;&lt;ref-type name="Journal Article"&gt;17&lt;/ref-type&gt;&lt;contributors&gt;&lt;authors&gt;&lt;author&gt;Lelliott, P&lt;/author&gt;&lt;author&gt;Paton, C&lt;/author&gt;&lt;author&gt;Harrington, M&lt;/author&gt;&lt;author&gt;Konsolaki, M&lt;/author&gt;&lt;author&gt;Sensky, T&lt;/author&gt;&lt;author&gt;Okocha, C&lt;/author&gt;&lt;/authors&gt;&lt;/contributors&gt;&lt;titles&gt;&lt;title&gt;The influence of patient variables on polypharmacy and combined high dose of antipsychotic drugs prescribed for in-patients.&lt;/title&gt;&lt;secondary-title&gt;Psychiatric Bulletin&lt;/secondary-title&gt;&lt;/titles&gt;&lt;periodical&gt;&lt;full-title&gt;Psychiatric Bulletin&lt;/full-title&gt;&lt;/periodical&gt;&lt;pages&gt;411-14&lt;/pages&gt;&lt;volume&gt;26&lt;/volume&gt;&lt;dates&gt;&lt;year&gt;2002&lt;/year&gt;&lt;/dates&gt;&lt;urls&gt;&lt;/urls&gt;&lt;/record&gt;&lt;/Cite&gt;&lt;Cite&gt;&lt;Author&gt;Connolly&lt;/Author&gt;&lt;Year&gt;2014&lt;/Year&gt;&lt;RecNum&gt;85&lt;/RecNum&gt;&lt;record&gt;&lt;rec-number&gt;85&lt;/rec-number&gt;&lt;foreign-keys&gt;&lt;key app="EN" db-id="p02d9srt525vsredawwvt0alfwx0xzzetfsw" timestamp="1523890992"&gt;85&lt;/key&gt;&lt;/foreign-keys&gt;&lt;ref-type name="Journal Article"&gt;17&lt;/ref-type&gt;&lt;contributors&gt;&lt;authors&gt;&lt;author&gt;Connolly, A.&lt;/author&gt;&lt;author&gt;Taylor, D.&lt;/author&gt;&lt;/authors&gt;&lt;/contributors&gt;&lt;titles&gt;&lt;title&gt;Factors associated with non evidence-based prescribing of antipsychotics&lt;/title&gt;&lt;secondary-title&gt;Therapeutic Advances in Psychopharmacology&lt;/secondary-title&gt;&lt;/titles&gt;&lt;periodical&gt;&lt;full-title&gt;Therapeutic Advances in Psychopharmacology&lt;/full-title&gt;&lt;/periodical&gt;&lt;pages&gt;247-56&lt;/pages&gt;&lt;volume&gt;4&lt;/volume&gt;&lt;number&gt;6&lt;/number&gt;&lt;dates&gt;&lt;year&gt;2014&lt;/year&gt;&lt;/dates&gt;&lt;urls&gt;&lt;/urls&gt;&lt;/record&gt;&lt;/Cite&gt;&lt;/EndNote&gt;</w:instrText>
      </w:r>
      <w:r w:rsidRPr="00BF3D07">
        <w:rPr>
          <w:rFonts w:ascii="Arial" w:hAnsi="Arial" w:cs="Arial"/>
          <w:sz w:val="20"/>
          <w:szCs w:val="20"/>
          <w:lang w:eastAsia="ja-JP"/>
        </w:rPr>
        <w:fldChar w:fldCharType="separate"/>
      </w:r>
      <w:r w:rsidR="00713498">
        <w:rPr>
          <w:rFonts w:ascii="Arial" w:hAnsi="Arial" w:cs="Arial"/>
          <w:noProof/>
          <w:sz w:val="20"/>
          <w:szCs w:val="20"/>
          <w:lang w:eastAsia="ja-JP"/>
        </w:rPr>
        <w:t>(</w:t>
      </w:r>
      <w:hyperlink w:anchor="_ENREF_25" w:tooltip="Lelliott, 2002 #84" w:history="1">
        <w:r w:rsidR="00464E25">
          <w:rPr>
            <w:rFonts w:ascii="Arial" w:hAnsi="Arial" w:cs="Arial"/>
            <w:noProof/>
            <w:sz w:val="20"/>
            <w:szCs w:val="20"/>
            <w:lang w:eastAsia="ja-JP"/>
          </w:rPr>
          <w:t>25</w:t>
        </w:r>
      </w:hyperlink>
      <w:r w:rsidR="00713498">
        <w:rPr>
          <w:rFonts w:ascii="Arial" w:hAnsi="Arial" w:cs="Arial"/>
          <w:noProof/>
          <w:sz w:val="20"/>
          <w:szCs w:val="20"/>
          <w:lang w:eastAsia="ja-JP"/>
        </w:rPr>
        <w:t xml:space="preserve">, </w:t>
      </w:r>
      <w:hyperlink w:anchor="_ENREF_26" w:tooltip="Connolly, 2014 #85" w:history="1">
        <w:r w:rsidR="00464E25">
          <w:rPr>
            <w:rFonts w:ascii="Arial" w:hAnsi="Arial" w:cs="Arial"/>
            <w:noProof/>
            <w:sz w:val="20"/>
            <w:szCs w:val="20"/>
            <w:lang w:eastAsia="ja-JP"/>
          </w:rPr>
          <w:t>26</w:t>
        </w:r>
      </w:hyperlink>
      <w:r w:rsidR="00713498">
        <w:rPr>
          <w:rFonts w:ascii="Arial" w:hAnsi="Arial" w:cs="Arial"/>
          <w:noProof/>
          <w:sz w:val="20"/>
          <w:szCs w:val="20"/>
          <w:lang w:eastAsia="ja-JP"/>
        </w:rPr>
        <w:t>)</w:t>
      </w:r>
      <w:r w:rsidRPr="00BF3D07">
        <w:rPr>
          <w:rFonts w:ascii="Arial" w:hAnsi="Arial" w:cs="Arial"/>
          <w:sz w:val="20"/>
          <w:szCs w:val="20"/>
          <w:lang w:eastAsia="ja-JP"/>
        </w:rPr>
        <w:fldChar w:fldCharType="end"/>
      </w:r>
      <w:r w:rsidR="00341F4C" w:rsidRPr="00BF3D07">
        <w:rPr>
          <w:rFonts w:ascii="Arial" w:hAnsi="Arial" w:cs="Arial"/>
          <w:sz w:val="20"/>
          <w:szCs w:val="20"/>
          <w:lang w:eastAsia="ja-JP"/>
        </w:rPr>
        <w:t xml:space="preserve">, a definition that is likely to overestimate </w:t>
      </w:r>
      <w:r w:rsidR="004F26A7">
        <w:rPr>
          <w:rFonts w:ascii="Arial" w:hAnsi="Arial" w:cs="Arial"/>
          <w:sz w:val="20"/>
          <w:szCs w:val="20"/>
        </w:rPr>
        <w:t>polypharmacy</w:t>
      </w:r>
      <w:r w:rsidRPr="00BF3D07">
        <w:rPr>
          <w:rFonts w:ascii="Arial" w:hAnsi="Arial" w:cs="Arial"/>
          <w:sz w:val="20"/>
          <w:szCs w:val="20"/>
          <w:lang w:eastAsia="ja-JP"/>
        </w:rPr>
        <w:t xml:space="preserve">.  A more comparable approach by Kadra et al. </w:t>
      </w:r>
      <w:r w:rsidR="00B81DCC" w:rsidRPr="00BF3D07">
        <w:rPr>
          <w:rFonts w:ascii="Arial" w:hAnsi="Arial" w:cs="Arial"/>
          <w:sz w:val="20"/>
          <w:szCs w:val="20"/>
          <w:lang w:eastAsia="ja-JP"/>
        </w:rPr>
        <w:fldChar w:fldCharType="begin"/>
      </w:r>
      <w:r w:rsidR="00713498">
        <w:rPr>
          <w:rFonts w:ascii="Arial" w:hAnsi="Arial" w:cs="Arial"/>
          <w:sz w:val="20"/>
          <w:szCs w:val="20"/>
          <w:lang w:eastAsia="ja-JP"/>
        </w:rPr>
        <w:instrText xml:space="preserve"> ADDIN EN.CITE &lt;EndNote&gt;&lt;Cite&gt;&lt;Author&gt;Kadra&lt;/Author&gt;&lt;Year&gt;2015&lt;/Year&gt;&lt;RecNum&gt;5&lt;/RecNum&gt;&lt;DisplayText&gt;(22)&lt;/DisplayText&gt;&lt;record&gt;&lt;rec-number&gt;5&lt;/rec-number&gt;&lt;foreign-keys&gt;&lt;key app="EN" db-id="p02d9srt525vsredawwvt0alfwx0xzzetfsw" timestamp="1519130516"&gt;5&lt;/key&gt;&lt;/foreign-keys&gt;&lt;ref-type name="Journal Article"&gt;17&lt;/ref-type&gt;&lt;contributors&gt;&lt;authors&gt;&lt;author&gt;Kadra, G&lt;/author&gt;&lt;author&gt;Stewart, R&lt;/author&gt;&lt;author&gt;Shetty, H&lt;/author&gt;&lt;author&gt;Jackson, RG&lt;/author&gt;&lt;author&gt;Greenwood, MA&lt;/author&gt;&lt;author&gt;Roberts, A&lt;/author&gt;&lt;author&gt;Chang, C-K&lt;/author&gt;&lt;author&gt;MacCabe, JH&lt;/author&gt;&lt;author&gt;Hayes, RD&lt;/author&gt;&lt;/authors&gt;&lt;/contributors&gt;&lt;titles&gt;&lt;title&gt;Extracting antipsychotic polypharmacy data from electronic health records: developing and evaluating a novel process&lt;/title&gt;&lt;secondary-title&gt;BMC Psychiatry&lt;/secondary-title&gt;&lt;/titles&gt;&lt;periodical&gt;&lt;full-title&gt;BMC Psychiatry&lt;/full-title&gt;&lt;/periodical&gt;&lt;volume&gt;15&lt;/volume&gt;&lt;number&gt;166&lt;/number&gt;&lt;dates&gt;&lt;year&gt;2015&lt;/year&gt;&lt;/dates&gt;&lt;urls&gt;&lt;/urls&gt;&lt;/record&gt;&lt;/Cite&gt;&lt;/EndNote&gt;</w:instrText>
      </w:r>
      <w:r w:rsidR="00B81DCC" w:rsidRPr="00BF3D07">
        <w:rPr>
          <w:rFonts w:ascii="Arial" w:hAnsi="Arial" w:cs="Arial"/>
          <w:sz w:val="20"/>
          <w:szCs w:val="20"/>
          <w:lang w:eastAsia="ja-JP"/>
        </w:rPr>
        <w:fldChar w:fldCharType="separate"/>
      </w:r>
      <w:r w:rsidR="00713498">
        <w:rPr>
          <w:rFonts w:ascii="Arial" w:hAnsi="Arial" w:cs="Arial"/>
          <w:noProof/>
          <w:sz w:val="20"/>
          <w:szCs w:val="20"/>
          <w:lang w:eastAsia="ja-JP"/>
        </w:rPr>
        <w:t>(</w:t>
      </w:r>
      <w:hyperlink w:anchor="_ENREF_22" w:tooltip="Kadra, 2015 #5" w:history="1">
        <w:r w:rsidR="00464E25">
          <w:rPr>
            <w:rFonts w:ascii="Arial" w:hAnsi="Arial" w:cs="Arial"/>
            <w:noProof/>
            <w:sz w:val="20"/>
            <w:szCs w:val="20"/>
            <w:lang w:eastAsia="ja-JP"/>
          </w:rPr>
          <w:t>22</w:t>
        </w:r>
      </w:hyperlink>
      <w:r w:rsidR="00713498">
        <w:rPr>
          <w:rFonts w:ascii="Arial" w:hAnsi="Arial" w:cs="Arial"/>
          <w:noProof/>
          <w:sz w:val="20"/>
          <w:szCs w:val="20"/>
          <w:lang w:eastAsia="ja-JP"/>
        </w:rPr>
        <w:t>)</w:t>
      </w:r>
      <w:r w:rsidR="00B81DCC" w:rsidRPr="00BF3D07">
        <w:rPr>
          <w:rFonts w:ascii="Arial" w:hAnsi="Arial" w:cs="Arial"/>
          <w:sz w:val="20"/>
          <w:szCs w:val="20"/>
          <w:lang w:eastAsia="ja-JP"/>
        </w:rPr>
        <w:fldChar w:fldCharType="end"/>
      </w:r>
      <w:r w:rsidRPr="00BF3D07">
        <w:rPr>
          <w:rFonts w:ascii="Arial" w:hAnsi="Arial" w:cs="Arial"/>
          <w:sz w:val="20"/>
          <w:szCs w:val="20"/>
          <w:lang w:eastAsia="ja-JP"/>
        </w:rPr>
        <w:t xml:space="preserve"> found </w:t>
      </w:r>
      <w:r w:rsidR="004F26A7">
        <w:rPr>
          <w:rFonts w:ascii="Arial" w:hAnsi="Arial" w:cs="Arial"/>
          <w:sz w:val="20"/>
          <w:szCs w:val="20"/>
        </w:rPr>
        <w:t>polypharmacy</w:t>
      </w:r>
      <w:r w:rsidRPr="00BF3D07">
        <w:rPr>
          <w:rFonts w:ascii="Arial" w:hAnsi="Arial" w:cs="Arial"/>
          <w:sz w:val="20"/>
          <w:szCs w:val="20"/>
          <w:lang w:eastAsia="ja-JP"/>
        </w:rPr>
        <w:t xml:space="preserve"> to be </w:t>
      </w:r>
      <w:r w:rsidR="00942835">
        <w:rPr>
          <w:rFonts w:ascii="Arial" w:hAnsi="Arial" w:cs="Arial"/>
          <w:sz w:val="20"/>
          <w:szCs w:val="20"/>
          <w:lang w:eastAsia="ja-JP"/>
        </w:rPr>
        <w:t>11.5</w:t>
      </w:r>
      <w:r w:rsidRPr="00BF3D07">
        <w:rPr>
          <w:rFonts w:ascii="Arial" w:hAnsi="Arial" w:cs="Arial"/>
          <w:sz w:val="20"/>
          <w:szCs w:val="20"/>
          <w:lang w:eastAsia="ja-JP"/>
        </w:rPr>
        <w:t xml:space="preserve">% using a six weeks overlap.  The lower </w:t>
      </w:r>
      <w:r w:rsidR="00341F4C" w:rsidRPr="00BF3D07">
        <w:rPr>
          <w:rFonts w:ascii="Arial" w:hAnsi="Arial" w:cs="Arial"/>
          <w:sz w:val="20"/>
          <w:szCs w:val="20"/>
          <w:lang w:eastAsia="ja-JP"/>
        </w:rPr>
        <w:t xml:space="preserve">estimate of </w:t>
      </w:r>
      <w:r w:rsidR="004F26A7">
        <w:rPr>
          <w:rFonts w:ascii="Arial" w:hAnsi="Arial" w:cs="Arial"/>
          <w:sz w:val="20"/>
          <w:szCs w:val="20"/>
        </w:rPr>
        <w:t>polypharmacy</w:t>
      </w:r>
      <w:r w:rsidRPr="00BF3D07">
        <w:rPr>
          <w:rFonts w:ascii="Arial" w:hAnsi="Arial" w:cs="Arial"/>
          <w:sz w:val="20"/>
          <w:szCs w:val="20"/>
          <w:lang w:eastAsia="ja-JP"/>
        </w:rPr>
        <w:t xml:space="preserve"> prevalence in our study may be </w:t>
      </w:r>
      <w:r w:rsidR="00BA25B1" w:rsidRPr="00BF3D07">
        <w:rPr>
          <w:rFonts w:ascii="Arial" w:hAnsi="Arial" w:cs="Arial"/>
          <w:sz w:val="20"/>
          <w:szCs w:val="20"/>
          <w:lang w:eastAsia="ja-JP"/>
        </w:rPr>
        <w:t>because</w:t>
      </w:r>
      <w:r w:rsidR="00866238">
        <w:rPr>
          <w:rFonts w:ascii="Arial" w:hAnsi="Arial" w:cs="Arial"/>
          <w:sz w:val="20"/>
          <w:szCs w:val="20"/>
          <w:lang w:eastAsia="ja-JP"/>
        </w:rPr>
        <w:t xml:space="preserve"> </w:t>
      </w:r>
      <w:r w:rsidR="003A32B3">
        <w:rPr>
          <w:rFonts w:ascii="Arial" w:hAnsi="Arial" w:cs="Arial"/>
          <w:sz w:val="20"/>
          <w:szCs w:val="20"/>
          <w:lang w:eastAsia="ja-JP"/>
        </w:rPr>
        <w:t>patients can be at</w:t>
      </w:r>
      <w:r w:rsidRPr="00BF3D07">
        <w:rPr>
          <w:rFonts w:ascii="Arial" w:hAnsi="Arial" w:cs="Arial"/>
          <w:sz w:val="20"/>
          <w:szCs w:val="20"/>
          <w:lang w:eastAsia="ja-JP"/>
        </w:rPr>
        <w:t xml:space="preserve"> risk of </w:t>
      </w:r>
      <w:r w:rsidR="004F26A7">
        <w:rPr>
          <w:rFonts w:ascii="Arial" w:hAnsi="Arial" w:cs="Arial"/>
          <w:sz w:val="20"/>
          <w:szCs w:val="20"/>
        </w:rPr>
        <w:t>polypharmacy</w:t>
      </w:r>
      <w:r w:rsidRPr="00BF3D07">
        <w:rPr>
          <w:rFonts w:ascii="Arial" w:hAnsi="Arial" w:cs="Arial"/>
          <w:sz w:val="20"/>
          <w:szCs w:val="20"/>
          <w:lang w:eastAsia="ja-JP"/>
        </w:rPr>
        <w:t xml:space="preserve"> for a fraction of </w:t>
      </w:r>
      <w:r w:rsidR="003A32B3">
        <w:rPr>
          <w:rFonts w:ascii="Arial" w:hAnsi="Arial" w:cs="Arial"/>
          <w:sz w:val="20"/>
          <w:szCs w:val="20"/>
          <w:lang w:eastAsia="ja-JP"/>
        </w:rPr>
        <w:t>a</w:t>
      </w:r>
      <w:r w:rsidRPr="00BF3D07">
        <w:rPr>
          <w:rFonts w:ascii="Arial" w:hAnsi="Arial" w:cs="Arial"/>
          <w:sz w:val="20"/>
          <w:szCs w:val="20"/>
          <w:lang w:eastAsia="ja-JP"/>
        </w:rPr>
        <w:t xml:space="preserve"> calendar year while in Kadra et al. patients </w:t>
      </w:r>
      <w:r w:rsidR="00E03157" w:rsidRPr="00BF3D07">
        <w:rPr>
          <w:rFonts w:ascii="Arial" w:hAnsi="Arial" w:cs="Arial"/>
          <w:sz w:val="20"/>
          <w:szCs w:val="20"/>
          <w:lang w:eastAsia="ja-JP"/>
        </w:rPr>
        <w:t xml:space="preserve">were </w:t>
      </w:r>
      <w:r w:rsidR="003A32B3">
        <w:rPr>
          <w:rFonts w:ascii="Arial" w:hAnsi="Arial" w:cs="Arial"/>
          <w:sz w:val="20"/>
          <w:szCs w:val="20"/>
          <w:lang w:eastAsia="ja-JP"/>
        </w:rPr>
        <w:t xml:space="preserve">followed </w:t>
      </w:r>
      <w:r w:rsidR="004D7F50" w:rsidRPr="00BF3D07">
        <w:rPr>
          <w:rFonts w:ascii="Arial" w:hAnsi="Arial" w:cs="Arial"/>
          <w:sz w:val="20"/>
          <w:szCs w:val="20"/>
          <w:lang w:eastAsia="ja-JP"/>
        </w:rPr>
        <w:t>for an entire 6-month period.</w:t>
      </w:r>
      <w:bookmarkStart w:id="16" w:name="_Toc443297926"/>
      <w:bookmarkStart w:id="17" w:name="_Toc444002026"/>
      <w:bookmarkEnd w:id="4"/>
      <w:bookmarkEnd w:id="5"/>
    </w:p>
    <w:p w14:paraId="63B9A4E9" w14:textId="216A6D7A" w:rsidR="00DF5C49" w:rsidRDefault="0000220C" w:rsidP="00854DA0">
      <w:pPr>
        <w:spacing w:after="0" w:line="480" w:lineRule="auto"/>
        <w:rPr>
          <w:rFonts w:ascii="Arial" w:hAnsi="Arial" w:cs="Arial"/>
          <w:sz w:val="20"/>
          <w:szCs w:val="20"/>
          <w:lang w:eastAsia="ja-JP"/>
        </w:rPr>
      </w:pPr>
      <w:r w:rsidRPr="001557E3">
        <w:rPr>
          <w:rFonts w:ascii="Arial" w:hAnsi="Arial" w:cs="Arial"/>
          <w:sz w:val="20"/>
          <w:szCs w:val="20"/>
        </w:rPr>
        <w:t xml:space="preserve">Current UK guidance </w:t>
      </w:r>
      <w:r w:rsidR="00B81DCC" w:rsidRPr="001557E3">
        <w:rPr>
          <w:rFonts w:ascii="Arial" w:hAnsi="Arial" w:cs="Arial"/>
          <w:sz w:val="20"/>
          <w:szCs w:val="20"/>
        </w:rPr>
        <w:fldChar w:fldCharType="begin"/>
      </w:r>
      <w:r w:rsidR="00713498">
        <w:rPr>
          <w:rFonts w:ascii="Arial" w:hAnsi="Arial" w:cs="Arial"/>
          <w:sz w:val="20"/>
          <w:szCs w:val="20"/>
        </w:rPr>
        <w:instrText xml:space="preserve"> ADDIN EN.CITE &lt;EndNote&gt;&lt;Cite ExcludeAuth="1"&gt;&lt;Year&gt;2014&lt;/Year&gt;&lt;RecNum&gt;42&lt;/RecNum&gt;&lt;DisplayText&gt;(1)&lt;/DisplayText&gt;&lt;record&gt;&lt;rec-number&gt;42&lt;/rec-number&gt;&lt;foreign-keys&gt;&lt;key app="EN" db-id="p02d9srt525vsredawwvt0alfwx0xzzetfsw" timestamp="1519386613"&gt;42&lt;/key&gt;&lt;/foreign-keys&gt;&lt;ref-type name="Report"&gt;27&lt;/ref-type&gt;&lt;contributors&gt;&lt;/contributors&gt;&lt;titles&gt;&lt;title&gt;Psychosis and schizophrenia in adults. Treatment and management. National Clinical Guideline Number 178. &lt;/title&gt;&lt;/titles&gt;&lt;dates&gt;&lt;year&gt;2014&lt;/year&gt;&lt;/dates&gt;&lt;publisher&gt;National Institute for Health and Care Excellence, National Collaborating Centre for Mental Health&lt;/publisher&gt;&lt;urls&gt;&lt;/urls&gt;&lt;/record&gt;&lt;/Cite&gt;&lt;/EndNote&gt;</w:instrText>
      </w:r>
      <w:r w:rsidR="00B81DCC" w:rsidRPr="001557E3">
        <w:rPr>
          <w:rFonts w:ascii="Arial" w:hAnsi="Arial" w:cs="Arial"/>
          <w:sz w:val="20"/>
          <w:szCs w:val="20"/>
        </w:rPr>
        <w:fldChar w:fldCharType="separate"/>
      </w:r>
      <w:r w:rsidR="00713498">
        <w:rPr>
          <w:rFonts w:ascii="Arial" w:hAnsi="Arial" w:cs="Arial"/>
          <w:noProof/>
          <w:sz w:val="20"/>
          <w:szCs w:val="20"/>
        </w:rPr>
        <w:t>(</w:t>
      </w:r>
      <w:hyperlink w:anchor="_ENREF_1" w:tooltip=", 2014 #42" w:history="1">
        <w:r w:rsidR="00464E25">
          <w:rPr>
            <w:rFonts w:ascii="Arial" w:hAnsi="Arial" w:cs="Arial"/>
            <w:noProof/>
            <w:sz w:val="20"/>
            <w:szCs w:val="20"/>
          </w:rPr>
          <w:t>1</w:t>
        </w:r>
      </w:hyperlink>
      <w:r w:rsidR="00713498">
        <w:rPr>
          <w:rFonts w:ascii="Arial" w:hAnsi="Arial" w:cs="Arial"/>
          <w:noProof/>
          <w:sz w:val="20"/>
          <w:szCs w:val="20"/>
        </w:rPr>
        <w:t>)</w:t>
      </w:r>
      <w:r w:rsidR="00B81DCC" w:rsidRPr="001557E3">
        <w:rPr>
          <w:rFonts w:ascii="Arial" w:hAnsi="Arial" w:cs="Arial"/>
          <w:sz w:val="20"/>
          <w:szCs w:val="20"/>
        </w:rPr>
        <w:fldChar w:fldCharType="end"/>
      </w:r>
      <w:r w:rsidRPr="001557E3">
        <w:rPr>
          <w:rFonts w:ascii="Arial" w:hAnsi="Arial" w:cs="Arial"/>
          <w:sz w:val="20"/>
          <w:szCs w:val="20"/>
        </w:rPr>
        <w:t xml:space="preserve"> recommends antipsychotic monotherapy as a treatment option and our results provide further supportive evidence establishing a negative association between  antipsychotic monotherapy and </w:t>
      </w:r>
      <w:r w:rsidR="00A475C1">
        <w:rPr>
          <w:rFonts w:ascii="Arial" w:hAnsi="Arial" w:cs="Arial"/>
          <w:sz w:val="20"/>
          <w:szCs w:val="20"/>
          <w:lang w:eastAsia="ja-JP"/>
        </w:rPr>
        <w:t>hospitaliz</w:t>
      </w:r>
      <w:r>
        <w:rPr>
          <w:rFonts w:ascii="Arial" w:hAnsi="Arial" w:cs="Arial"/>
          <w:sz w:val="20"/>
          <w:szCs w:val="20"/>
          <w:lang w:eastAsia="ja-JP"/>
        </w:rPr>
        <w:t xml:space="preserve">ations.  This </w:t>
      </w:r>
      <w:r w:rsidRPr="00BF3D07">
        <w:rPr>
          <w:rFonts w:ascii="Arial" w:hAnsi="Arial" w:cs="Arial"/>
          <w:sz w:val="20"/>
          <w:szCs w:val="20"/>
          <w:lang w:eastAsia="ja-JP"/>
        </w:rPr>
        <w:t xml:space="preserve">may be due to the fact that drug therapy helps to stabilise the patients’ condition and allows better management of their physical health. Being prescribed an antipsychotic may be associated with closer or more </w:t>
      </w:r>
      <w:r w:rsidRPr="00BF3D07">
        <w:rPr>
          <w:rFonts w:ascii="Arial" w:hAnsi="Arial" w:cs="Arial"/>
          <w:sz w:val="20"/>
          <w:szCs w:val="20"/>
          <w:lang w:eastAsia="ja-JP"/>
        </w:rPr>
        <w:lastRenderedPageBreak/>
        <w:t>regular clinical monitoring in the primary care setting, as set out in the guidelines which recommend that prescription of an antipsy</w:t>
      </w:r>
      <w:r>
        <w:rPr>
          <w:rFonts w:ascii="Arial" w:hAnsi="Arial" w:cs="Arial"/>
          <w:sz w:val="20"/>
          <w:szCs w:val="20"/>
          <w:lang w:eastAsia="ja-JP"/>
        </w:rPr>
        <w:t>chotic should be considered as “</w:t>
      </w:r>
      <w:r w:rsidRPr="00BF3D07">
        <w:rPr>
          <w:rFonts w:ascii="Arial" w:hAnsi="Arial" w:cs="Arial"/>
          <w:sz w:val="20"/>
          <w:szCs w:val="20"/>
          <w:lang w:eastAsia="ja-JP"/>
        </w:rPr>
        <w:t>an explicit individual therapeutic trial” [8], accompanied by detailed requirements for monitoring.  The latter may facilitate timely diagnosis and treatment of health problems, avoiding</w:t>
      </w:r>
      <w:r w:rsidR="00B81DCC">
        <w:rPr>
          <w:rFonts w:ascii="Arial" w:hAnsi="Arial" w:cs="Arial"/>
          <w:sz w:val="20"/>
          <w:szCs w:val="20"/>
          <w:lang w:eastAsia="ja-JP"/>
        </w:rPr>
        <w:t xml:space="preserve"> the need for hospital care. </w:t>
      </w:r>
    </w:p>
    <w:p w14:paraId="3050421F" w14:textId="6CD41CC7" w:rsidR="00595CEE" w:rsidRPr="00B81DCC" w:rsidRDefault="00781F40" w:rsidP="00713BF4">
      <w:pPr>
        <w:spacing w:after="0" w:line="480" w:lineRule="auto"/>
        <w:rPr>
          <w:rFonts w:ascii="Arial" w:hAnsi="Arial" w:cs="Arial"/>
          <w:color w:val="000000"/>
          <w:sz w:val="20"/>
          <w:szCs w:val="20"/>
        </w:rPr>
      </w:pPr>
      <w:r>
        <w:rPr>
          <w:rFonts w:ascii="Arial" w:hAnsi="Arial" w:cs="Arial"/>
          <w:sz w:val="20"/>
          <w:szCs w:val="20"/>
        </w:rPr>
        <w:t xml:space="preserve">It is widely believed that </w:t>
      </w:r>
      <w:r w:rsidR="004F26A7">
        <w:rPr>
          <w:rFonts w:ascii="Arial" w:hAnsi="Arial" w:cs="Arial"/>
          <w:sz w:val="20"/>
          <w:szCs w:val="20"/>
        </w:rPr>
        <w:t>polypharmacy</w:t>
      </w:r>
      <w:r w:rsidR="00EE52D2">
        <w:rPr>
          <w:rFonts w:ascii="Arial" w:hAnsi="Arial" w:cs="Arial"/>
          <w:sz w:val="20"/>
          <w:szCs w:val="20"/>
        </w:rPr>
        <w:t xml:space="preserve"> increases mortality and </w:t>
      </w:r>
      <w:r w:rsidR="00EE44CF">
        <w:rPr>
          <w:rFonts w:ascii="Arial" w:hAnsi="Arial" w:cs="Arial"/>
          <w:sz w:val="20"/>
          <w:szCs w:val="20"/>
        </w:rPr>
        <w:t xml:space="preserve">hospitalisations </w:t>
      </w:r>
      <w:r>
        <w:rPr>
          <w:rFonts w:ascii="Arial" w:hAnsi="Arial" w:cs="Arial"/>
          <w:sz w:val="20"/>
          <w:szCs w:val="20"/>
        </w:rPr>
        <w:t>but there is a lack of methodologically sound studies to support this assumption.</w:t>
      </w:r>
      <w:r>
        <w:rPr>
          <w:rFonts w:ascii="Arial" w:hAnsi="Arial" w:cs="Arial"/>
          <w:sz w:val="20"/>
          <w:szCs w:val="20"/>
          <w:lang w:eastAsia="ja-JP"/>
        </w:rPr>
        <w:t xml:space="preserve">  </w:t>
      </w:r>
      <w:r w:rsidR="00EB77D2">
        <w:rPr>
          <w:rFonts w:ascii="Arial" w:hAnsi="Arial" w:cs="Arial"/>
          <w:sz w:val="20"/>
          <w:szCs w:val="20"/>
          <w:lang w:eastAsia="ja-JP"/>
        </w:rPr>
        <w:t>To our knowledge, t</w:t>
      </w:r>
      <w:r w:rsidR="00E524DB">
        <w:rPr>
          <w:rFonts w:ascii="Arial" w:hAnsi="Arial" w:cs="Arial"/>
          <w:sz w:val="20"/>
          <w:szCs w:val="20"/>
        </w:rPr>
        <w:t xml:space="preserve">he only </w:t>
      </w:r>
      <w:r w:rsidR="00DD2B00">
        <w:rPr>
          <w:rFonts w:ascii="Arial" w:hAnsi="Arial" w:cs="Arial"/>
          <w:sz w:val="20"/>
          <w:szCs w:val="20"/>
        </w:rPr>
        <w:t xml:space="preserve">previous </w:t>
      </w:r>
      <w:r w:rsidR="00CC7664">
        <w:rPr>
          <w:rFonts w:ascii="Arial" w:hAnsi="Arial" w:cs="Arial"/>
          <w:sz w:val="20"/>
          <w:szCs w:val="20"/>
        </w:rPr>
        <w:t>study</w:t>
      </w:r>
      <w:r w:rsidR="00E524DB">
        <w:rPr>
          <w:rFonts w:ascii="Arial" w:hAnsi="Arial" w:cs="Arial"/>
          <w:sz w:val="20"/>
          <w:szCs w:val="20"/>
        </w:rPr>
        <w:t xml:space="preserve"> that used </w:t>
      </w:r>
      <w:r w:rsidR="00713BF4">
        <w:rPr>
          <w:rFonts w:ascii="Arial" w:hAnsi="Arial" w:cs="Arial"/>
          <w:sz w:val="20"/>
          <w:szCs w:val="20"/>
        </w:rPr>
        <w:t>nationwide</w:t>
      </w:r>
      <w:r w:rsidR="00E524DB">
        <w:rPr>
          <w:rFonts w:ascii="Arial" w:hAnsi="Arial" w:cs="Arial"/>
          <w:sz w:val="20"/>
          <w:szCs w:val="20"/>
        </w:rPr>
        <w:t xml:space="preserve"> data </w:t>
      </w:r>
      <w:r w:rsidR="00713BF4">
        <w:rPr>
          <w:rFonts w:ascii="Arial" w:hAnsi="Arial" w:cs="Arial"/>
          <w:sz w:val="20"/>
          <w:szCs w:val="20"/>
        </w:rPr>
        <w:t xml:space="preserve">of medication prescriptions </w:t>
      </w:r>
      <w:r w:rsidR="00E524DB">
        <w:rPr>
          <w:rFonts w:ascii="Arial" w:hAnsi="Arial" w:cs="Arial"/>
          <w:sz w:val="20"/>
          <w:szCs w:val="20"/>
        </w:rPr>
        <w:t xml:space="preserve">and </w:t>
      </w:r>
      <w:r w:rsidR="00713BF4">
        <w:rPr>
          <w:rFonts w:ascii="Arial" w:hAnsi="Arial" w:cs="Arial"/>
          <w:sz w:val="20"/>
          <w:szCs w:val="20"/>
        </w:rPr>
        <w:t xml:space="preserve">appropriate </w:t>
      </w:r>
      <w:r w:rsidR="00E524DB">
        <w:rPr>
          <w:rFonts w:ascii="Arial" w:hAnsi="Arial" w:cs="Arial"/>
          <w:sz w:val="20"/>
          <w:szCs w:val="20"/>
        </w:rPr>
        <w:t xml:space="preserve">methods to </w:t>
      </w:r>
      <w:r w:rsidR="00713BF4">
        <w:rPr>
          <w:rFonts w:ascii="Arial" w:hAnsi="Arial" w:cs="Arial"/>
          <w:sz w:val="20"/>
          <w:szCs w:val="20"/>
        </w:rPr>
        <w:t xml:space="preserve">adjust for confounding factors was </w:t>
      </w:r>
      <w:r w:rsidR="006A1FE2">
        <w:rPr>
          <w:rFonts w:ascii="Arial" w:hAnsi="Arial" w:cs="Arial"/>
          <w:sz w:val="20"/>
          <w:szCs w:val="20"/>
        </w:rPr>
        <w:t xml:space="preserve">conducted </w:t>
      </w:r>
      <w:r w:rsidR="00713BF4">
        <w:rPr>
          <w:rFonts w:ascii="Arial" w:hAnsi="Arial" w:cs="Arial"/>
          <w:sz w:val="20"/>
          <w:szCs w:val="20"/>
        </w:rPr>
        <w:t>by Tihonen et al</w:t>
      </w:r>
      <w:r w:rsidR="00957790">
        <w:rPr>
          <w:rFonts w:ascii="Arial" w:hAnsi="Arial" w:cs="Arial"/>
          <w:sz w:val="20"/>
          <w:szCs w:val="20"/>
        </w:rPr>
        <w:t xml:space="preserve"> </w:t>
      </w:r>
      <w:r w:rsidR="00B81DCC">
        <w:rPr>
          <w:rFonts w:ascii="Arial" w:hAnsi="Arial" w:cs="Arial"/>
          <w:sz w:val="20"/>
          <w:szCs w:val="20"/>
        </w:rPr>
        <w:fldChar w:fldCharType="begin"/>
      </w:r>
      <w:r w:rsidR="00713498">
        <w:rPr>
          <w:rFonts w:ascii="Arial" w:hAnsi="Arial" w:cs="Arial"/>
          <w:sz w:val="20"/>
          <w:szCs w:val="20"/>
        </w:rPr>
        <w:instrText xml:space="preserve"> ADDIN EN.CITE &lt;EndNote&gt;&lt;Cite&gt;&lt;Author&gt;Tihonen&lt;/Author&gt;&lt;Year&gt;2012&lt;/Year&gt;&lt;RecNum&gt;94&lt;/RecNum&gt;&lt;DisplayText&gt;(12)&lt;/DisplayText&gt;&lt;record&gt;&lt;rec-number&gt;94&lt;/rec-number&gt;&lt;foreign-keys&gt;&lt;key app="EN" db-id="p02d9srt525vsredawwvt0alfwx0xzzetfsw" timestamp="1531736385"&gt;94&lt;/key&gt;&lt;/foreign-keys&gt;&lt;ref-type name="Journal Article"&gt;17&lt;/ref-type&gt;&lt;contributors&gt;&lt;authors&gt;&lt;author&gt;Tihonen, J&lt;/author&gt;&lt;author&gt;Suokas, J.T.&lt;/author&gt;&lt;author&gt;Suvisaari, J.M.&lt;/author&gt;&lt;author&gt;Haukka, J&lt;/author&gt;&lt;author&gt;Korhonen, P&lt;/author&gt;&lt;/authors&gt;&lt;/contributors&gt;&lt;titles&gt;&lt;title&gt;Polypharmacy with antipsychotics, antidepressants, or benzodiazepines and mortality in schizophrenia&lt;/title&gt;&lt;secondary-title&gt;Arch Gen Psychiatry&lt;/secondary-title&gt;&lt;/titles&gt;&lt;periodical&gt;&lt;full-title&gt;Arch Gen Psychiatry&lt;/full-title&gt;&lt;/periodical&gt;&lt;pages&gt;476-83&lt;/pages&gt;&lt;volume&gt;69&lt;/volume&gt;&lt;number&gt;5&lt;/number&gt;&lt;dates&gt;&lt;year&gt;2012&lt;/year&gt;&lt;/dates&gt;&lt;urls&gt;&lt;/urls&gt;&lt;/record&gt;&lt;/Cite&gt;&lt;/EndNote&gt;</w:instrText>
      </w:r>
      <w:r w:rsidR="00B81DCC">
        <w:rPr>
          <w:rFonts w:ascii="Arial" w:hAnsi="Arial" w:cs="Arial"/>
          <w:sz w:val="20"/>
          <w:szCs w:val="20"/>
        </w:rPr>
        <w:fldChar w:fldCharType="separate"/>
      </w:r>
      <w:r w:rsidR="00713498">
        <w:rPr>
          <w:rFonts w:ascii="Arial" w:hAnsi="Arial" w:cs="Arial"/>
          <w:noProof/>
          <w:sz w:val="20"/>
          <w:szCs w:val="20"/>
        </w:rPr>
        <w:t>(</w:t>
      </w:r>
      <w:hyperlink w:anchor="_ENREF_12" w:tooltip="Tihonen, 2012 #94" w:history="1">
        <w:r w:rsidR="00464E25">
          <w:rPr>
            <w:rFonts w:ascii="Arial" w:hAnsi="Arial" w:cs="Arial"/>
            <w:noProof/>
            <w:sz w:val="20"/>
            <w:szCs w:val="20"/>
          </w:rPr>
          <w:t>12</w:t>
        </w:r>
      </w:hyperlink>
      <w:r w:rsidR="00713498">
        <w:rPr>
          <w:rFonts w:ascii="Arial" w:hAnsi="Arial" w:cs="Arial"/>
          <w:noProof/>
          <w:sz w:val="20"/>
          <w:szCs w:val="20"/>
        </w:rPr>
        <w:t>)</w:t>
      </w:r>
      <w:r w:rsidR="00B81DCC">
        <w:rPr>
          <w:rFonts w:ascii="Arial" w:hAnsi="Arial" w:cs="Arial"/>
          <w:sz w:val="20"/>
          <w:szCs w:val="20"/>
        </w:rPr>
        <w:fldChar w:fldCharType="end"/>
      </w:r>
      <w:r w:rsidR="00713BF4">
        <w:rPr>
          <w:rFonts w:ascii="Arial" w:hAnsi="Arial" w:cs="Arial"/>
          <w:sz w:val="20"/>
          <w:szCs w:val="20"/>
        </w:rPr>
        <w:t xml:space="preserve">. They </w:t>
      </w:r>
      <w:r w:rsidR="00E524DB">
        <w:rPr>
          <w:rFonts w:ascii="Arial" w:hAnsi="Arial" w:cs="Arial"/>
          <w:sz w:val="20"/>
          <w:szCs w:val="20"/>
        </w:rPr>
        <w:t>investigate</w:t>
      </w:r>
      <w:r w:rsidR="00713BF4">
        <w:rPr>
          <w:rFonts w:ascii="Arial" w:hAnsi="Arial" w:cs="Arial"/>
          <w:sz w:val="20"/>
          <w:szCs w:val="20"/>
        </w:rPr>
        <w:t>d</w:t>
      </w:r>
      <w:r w:rsidR="004D04C8">
        <w:rPr>
          <w:rFonts w:ascii="Arial" w:hAnsi="Arial" w:cs="Arial"/>
          <w:sz w:val="20"/>
          <w:szCs w:val="20"/>
        </w:rPr>
        <w:t xml:space="preserve"> the</w:t>
      </w:r>
      <w:r w:rsidR="00E524DB">
        <w:rPr>
          <w:rFonts w:ascii="Arial" w:hAnsi="Arial" w:cs="Arial"/>
          <w:sz w:val="20"/>
          <w:szCs w:val="20"/>
        </w:rPr>
        <w:t xml:space="preserve"> impact </w:t>
      </w:r>
      <w:r w:rsidR="004D04C8">
        <w:rPr>
          <w:rFonts w:ascii="Arial" w:hAnsi="Arial" w:cs="Arial"/>
          <w:sz w:val="20"/>
          <w:szCs w:val="20"/>
        </w:rPr>
        <w:t xml:space="preserve">of </w:t>
      </w:r>
      <w:r w:rsidR="005922A5">
        <w:rPr>
          <w:rFonts w:ascii="Arial" w:hAnsi="Arial" w:cs="Arial"/>
          <w:sz w:val="20"/>
          <w:szCs w:val="20"/>
        </w:rPr>
        <w:t>polypharmacy</w:t>
      </w:r>
      <w:r w:rsidR="004D04C8">
        <w:rPr>
          <w:rFonts w:ascii="Arial" w:hAnsi="Arial" w:cs="Arial"/>
          <w:sz w:val="20"/>
          <w:szCs w:val="20"/>
        </w:rPr>
        <w:t xml:space="preserve"> </w:t>
      </w:r>
      <w:r w:rsidR="00E524DB">
        <w:rPr>
          <w:rFonts w:ascii="Arial" w:hAnsi="Arial" w:cs="Arial"/>
          <w:sz w:val="20"/>
          <w:szCs w:val="20"/>
        </w:rPr>
        <w:t xml:space="preserve">on mortality </w:t>
      </w:r>
      <w:r w:rsidR="00713BF4">
        <w:rPr>
          <w:rFonts w:ascii="Arial" w:hAnsi="Arial" w:cs="Arial"/>
          <w:sz w:val="20"/>
          <w:szCs w:val="20"/>
        </w:rPr>
        <w:t xml:space="preserve">using </w:t>
      </w:r>
      <w:r w:rsidR="00787BB1">
        <w:rPr>
          <w:rFonts w:ascii="Arial" w:hAnsi="Arial" w:cs="Arial"/>
          <w:sz w:val="20"/>
          <w:szCs w:val="20"/>
        </w:rPr>
        <w:t xml:space="preserve">a </w:t>
      </w:r>
      <w:r w:rsidR="00713BF4">
        <w:rPr>
          <w:rFonts w:ascii="Arial" w:hAnsi="Arial" w:cs="Arial"/>
          <w:sz w:val="20"/>
          <w:szCs w:val="20"/>
        </w:rPr>
        <w:t xml:space="preserve">cohort of 2,588 patients from Finnish hospital data </w:t>
      </w:r>
      <w:r w:rsidR="00E524DB">
        <w:rPr>
          <w:rFonts w:ascii="Arial" w:hAnsi="Arial" w:cs="Arial"/>
          <w:sz w:val="20"/>
          <w:szCs w:val="20"/>
        </w:rPr>
        <w:t xml:space="preserve">and </w:t>
      </w:r>
      <w:r w:rsidR="00755C7B">
        <w:rPr>
          <w:rFonts w:ascii="Arial" w:hAnsi="Arial" w:cs="Arial"/>
          <w:sz w:val="20"/>
          <w:szCs w:val="20"/>
        </w:rPr>
        <w:t>concluded that</w:t>
      </w:r>
      <w:r w:rsidR="00E524DB">
        <w:rPr>
          <w:rFonts w:ascii="Arial" w:hAnsi="Arial" w:cs="Arial"/>
          <w:sz w:val="20"/>
          <w:szCs w:val="20"/>
        </w:rPr>
        <w:t xml:space="preserve"> </w:t>
      </w:r>
      <w:r w:rsidR="005922A5">
        <w:rPr>
          <w:rFonts w:ascii="Arial" w:hAnsi="Arial" w:cs="Arial"/>
          <w:sz w:val="20"/>
          <w:szCs w:val="20"/>
        </w:rPr>
        <w:t>polypharmacy</w:t>
      </w:r>
      <w:r w:rsidR="00E524DB">
        <w:rPr>
          <w:rFonts w:ascii="Arial" w:hAnsi="Arial" w:cs="Arial"/>
          <w:sz w:val="20"/>
          <w:szCs w:val="20"/>
        </w:rPr>
        <w:t xml:space="preserve"> is not assoc</w:t>
      </w:r>
      <w:r w:rsidR="00713BF4">
        <w:rPr>
          <w:rFonts w:ascii="Arial" w:hAnsi="Arial" w:cs="Arial"/>
          <w:sz w:val="20"/>
          <w:szCs w:val="20"/>
        </w:rPr>
        <w:t xml:space="preserve">iated with increased mortality. </w:t>
      </w:r>
      <w:r w:rsidR="00755C7B">
        <w:rPr>
          <w:rFonts w:ascii="Arial" w:hAnsi="Arial" w:cs="Arial"/>
          <w:sz w:val="20"/>
          <w:szCs w:val="20"/>
        </w:rPr>
        <w:t>This conclusion is reinforced by the present study using a</w:t>
      </w:r>
      <w:r w:rsidR="00CC0EAC">
        <w:rPr>
          <w:rFonts w:ascii="Arial" w:hAnsi="Arial" w:cs="Arial"/>
          <w:sz w:val="20"/>
          <w:szCs w:val="20"/>
        </w:rPr>
        <w:t xml:space="preserve"> significantly larger </w:t>
      </w:r>
      <w:r w:rsidR="00755C7B">
        <w:rPr>
          <w:rFonts w:ascii="Arial" w:hAnsi="Arial" w:cs="Arial"/>
          <w:sz w:val="20"/>
          <w:szCs w:val="20"/>
        </w:rPr>
        <w:t xml:space="preserve">cohort of </w:t>
      </w:r>
      <w:r w:rsidR="00CC0EAC">
        <w:rPr>
          <w:rFonts w:ascii="Arial" w:hAnsi="Arial" w:cs="Arial"/>
          <w:sz w:val="20"/>
          <w:szCs w:val="20"/>
        </w:rPr>
        <w:t>17,255 patients</w:t>
      </w:r>
      <w:r w:rsidR="006E1365">
        <w:rPr>
          <w:rFonts w:ascii="Arial" w:hAnsi="Arial" w:cs="Arial"/>
          <w:sz w:val="20"/>
          <w:szCs w:val="20"/>
        </w:rPr>
        <w:t xml:space="preserve"> </w:t>
      </w:r>
      <w:r w:rsidR="00CC0EAC">
        <w:rPr>
          <w:rFonts w:ascii="Arial" w:hAnsi="Arial" w:cs="Arial"/>
          <w:sz w:val="20"/>
          <w:szCs w:val="20"/>
        </w:rPr>
        <w:t xml:space="preserve">with a record of </w:t>
      </w:r>
      <w:r w:rsidR="005922A5">
        <w:rPr>
          <w:rFonts w:ascii="Arial" w:hAnsi="Arial" w:cs="Arial"/>
          <w:sz w:val="20"/>
          <w:szCs w:val="20"/>
        </w:rPr>
        <w:t xml:space="preserve">serious mental illness </w:t>
      </w:r>
      <w:r w:rsidR="00CC0EAC">
        <w:rPr>
          <w:rFonts w:ascii="Arial" w:hAnsi="Arial" w:cs="Arial"/>
          <w:sz w:val="20"/>
          <w:szCs w:val="20"/>
        </w:rPr>
        <w:t xml:space="preserve">diagnosis in primary care. </w:t>
      </w:r>
      <w:r w:rsidR="00B5270E">
        <w:rPr>
          <w:rFonts w:ascii="Arial" w:hAnsi="Arial" w:cs="Arial"/>
          <w:sz w:val="20"/>
          <w:szCs w:val="20"/>
        </w:rPr>
        <w:t>Our</w:t>
      </w:r>
      <w:r w:rsidR="00567956">
        <w:rPr>
          <w:rFonts w:ascii="Arial" w:hAnsi="Arial" w:cs="Arial"/>
          <w:sz w:val="20"/>
          <w:szCs w:val="20"/>
        </w:rPr>
        <w:t xml:space="preserve"> study further conclude</w:t>
      </w:r>
      <w:r w:rsidR="00881AC1">
        <w:rPr>
          <w:rFonts w:ascii="Arial" w:hAnsi="Arial" w:cs="Arial"/>
          <w:sz w:val="20"/>
          <w:szCs w:val="20"/>
        </w:rPr>
        <w:t>s</w:t>
      </w:r>
      <w:r w:rsidR="00567956">
        <w:rPr>
          <w:rFonts w:ascii="Arial" w:hAnsi="Arial" w:cs="Arial"/>
          <w:sz w:val="20"/>
          <w:szCs w:val="20"/>
        </w:rPr>
        <w:t xml:space="preserve"> no association</w:t>
      </w:r>
      <w:r w:rsidR="00567956" w:rsidRPr="00567956">
        <w:rPr>
          <w:rFonts w:ascii="Arial" w:hAnsi="Arial" w:cs="Arial"/>
          <w:sz w:val="20"/>
          <w:szCs w:val="20"/>
        </w:rPr>
        <w:t xml:space="preserve"> between </w:t>
      </w:r>
      <w:r w:rsidR="005922A5">
        <w:rPr>
          <w:rFonts w:ascii="Arial" w:hAnsi="Arial" w:cs="Arial"/>
          <w:sz w:val="20"/>
          <w:szCs w:val="20"/>
        </w:rPr>
        <w:t>polypharmacy</w:t>
      </w:r>
      <w:r w:rsidR="00567956" w:rsidRPr="00567956">
        <w:rPr>
          <w:rFonts w:ascii="Arial" w:hAnsi="Arial" w:cs="Arial"/>
          <w:sz w:val="20"/>
          <w:szCs w:val="20"/>
        </w:rPr>
        <w:t xml:space="preserve"> and </w:t>
      </w:r>
      <w:r w:rsidR="00A475C1">
        <w:rPr>
          <w:rFonts w:ascii="Arial" w:hAnsi="Arial" w:cs="Arial"/>
          <w:color w:val="000000"/>
          <w:sz w:val="20"/>
          <w:szCs w:val="20"/>
        </w:rPr>
        <w:t>inpatient hospitaliz</w:t>
      </w:r>
      <w:r w:rsidR="00567956" w:rsidRPr="00567956">
        <w:rPr>
          <w:rFonts w:ascii="Arial" w:hAnsi="Arial" w:cs="Arial"/>
          <w:color w:val="000000"/>
          <w:sz w:val="20"/>
          <w:szCs w:val="20"/>
        </w:rPr>
        <w:t>ations</w:t>
      </w:r>
      <w:r w:rsidR="00567956" w:rsidRPr="00567956">
        <w:rPr>
          <w:rFonts w:ascii="Arial" w:hAnsi="Arial" w:cs="Arial"/>
          <w:color w:val="000000"/>
          <w:sz w:val="20"/>
          <w:szCs w:val="20"/>
        </w:rPr>
        <w:fldChar w:fldCharType="begin">
          <w:fldData xml:space="preserve">PEVuZE5vdGU+PENpdGU+PEF1dGhvcj5Ub2RkIFAuIEdpbG1lcjwvQXV0aG9yPjxZZWFyPjIwMDc8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</w:fldData>
        </w:fldChar>
      </w:r>
      <w:r w:rsidR="00464E25">
        <w:rPr>
          <w:rFonts w:ascii="Arial" w:hAnsi="Arial" w:cs="Arial"/>
          <w:color w:val="000000"/>
          <w:sz w:val="20"/>
          <w:szCs w:val="20"/>
        </w:rPr>
        <w:instrText xml:space="preserve"> ADDIN EN.CITE </w:instrText>
      </w:r>
      <w:r w:rsidR="00464E25">
        <w:rPr>
          <w:rFonts w:ascii="Arial" w:hAnsi="Arial" w:cs="Arial"/>
          <w:color w:val="000000"/>
          <w:sz w:val="20"/>
          <w:szCs w:val="20"/>
        </w:rPr>
        <w:fldChar w:fldCharType="begin">
          <w:fldData xml:space="preserve">PEVuZE5vdGU+PENpdGU+PEF1dGhvcj5Ub2RkIFAuIEdpbG1lcjwvQXV0aG9yPjxZZWFyPjIwMDc8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</w:fldData>
        </w:fldChar>
      </w:r>
      <w:r w:rsidR="00464E25">
        <w:rPr>
          <w:rFonts w:ascii="Arial" w:hAnsi="Arial" w:cs="Arial"/>
          <w:color w:val="000000"/>
          <w:sz w:val="20"/>
          <w:szCs w:val="20"/>
        </w:rPr>
        <w:instrText xml:space="preserve"> ADDIN EN.CITE.DATA </w:instrText>
      </w:r>
      <w:r w:rsidR="00464E25">
        <w:rPr>
          <w:rFonts w:ascii="Arial" w:hAnsi="Arial" w:cs="Arial"/>
          <w:color w:val="000000"/>
          <w:sz w:val="20"/>
          <w:szCs w:val="20"/>
        </w:rPr>
      </w:r>
      <w:r w:rsidR="00464E25">
        <w:rPr>
          <w:rFonts w:ascii="Arial" w:hAnsi="Arial" w:cs="Arial"/>
          <w:color w:val="000000"/>
          <w:sz w:val="20"/>
          <w:szCs w:val="20"/>
        </w:rPr>
        <w:fldChar w:fldCharType="end"/>
      </w:r>
      <w:r w:rsidR="00567956" w:rsidRPr="00567956">
        <w:rPr>
          <w:rFonts w:ascii="Arial" w:hAnsi="Arial" w:cs="Arial"/>
          <w:color w:val="000000"/>
          <w:sz w:val="20"/>
          <w:szCs w:val="20"/>
        </w:rPr>
      </w:r>
      <w:r w:rsidR="00567956" w:rsidRPr="00567956">
        <w:rPr>
          <w:rFonts w:ascii="Arial" w:hAnsi="Arial" w:cs="Arial"/>
          <w:color w:val="000000"/>
          <w:sz w:val="20"/>
          <w:szCs w:val="20"/>
        </w:rPr>
        <w:fldChar w:fldCharType="end"/>
      </w:r>
      <w:r w:rsidR="00464E25">
        <w:rPr>
          <w:rFonts w:ascii="Arial" w:hAnsi="Arial" w:cs="Arial"/>
          <w:color w:val="000000"/>
          <w:sz w:val="20"/>
          <w:szCs w:val="20"/>
        </w:rPr>
        <w:t xml:space="preserve"> or</w:t>
      </w:r>
      <w:r w:rsidR="00567956" w:rsidRPr="00567956">
        <w:rPr>
          <w:rFonts w:ascii="Arial" w:hAnsi="Arial" w:cs="Arial"/>
          <w:color w:val="000000"/>
          <w:sz w:val="20"/>
          <w:szCs w:val="20"/>
        </w:rPr>
        <w:t xml:space="preserve"> </w:t>
      </w:r>
      <w:r w:rsidR="00C75360">
        <w:rPr>
          <w:rFonts w:ascii="Arial" w:hAnsi="Arial" w:cs="Arial"/>
          <w:color w:val="000000"/>
          <w:sz w:val="20"/>
          <w:szCs w:val="20"/>
        </w:rPr>
        <w:t>E</w:t>
      </w:r>
      <w:r w:rsidR="00C5698A">
        <w:rPr>
          <w:rFonts w:ascii="Arial" w:hAnsi="Arial" w:cs="Arial"/>
          <w:color w:val="000000"/>
          <w:sz w:val="20"/>
          <w:szCs w:val="20"/>
        </w:rPr>
        <w:t>D</w:t>
      </w:r>
      <w:r w:rsidR="00C75360">
        <w:rPr>
          <w:rFonts w:ascii="Arial" w:hAnsi="Arial" w:cs="Arial"/>
          <w:color w:val="000000"/>
          <w:sz w:val="20"/>
          <w:szCs w:val="20"/>
        </w:rPr>
        <w:t xml:space="preserve"> </w:t>
      </w:r>
      <w:r w:rsidR="00464E25">
        <w:rPr>
          <w:rFonts w:ascii="Arial" w:hAnsi="Arial" w:cs="Arial"/>
          <w:color w:val="000000"/>
          <w:sz w:val="20"/>
          <w:szCs w:val="20"/>
        </w:rPr>
        <w:t xml:space="preserve">attendances </w:t>
      </w:r>
      <w:r w:rsidR="00EB77D2" w:rsidRPr="00567956">
        <w:rPr>
          <w:rFonts w:ascii="Arial" w:hAnsi="Arial" w:cs="Arial"/>
          <w:sz w:val="20"/>
          <w:szCs w:val="20"/>
        </w:rPr>
        <w:t>c</w:t>
      </w:r>
      <w:r w:rsidR="00B5270E">
        <w:rPr>
          <w:rFonts w:ascii="Arial" w:hAnsi="Arial" w:cs="Arial"/>
          <w:sz w:val="20"/>
          <w:szCs w:val="20"/>
        </w:rPr>
        <w:t>ontrasting</w:t>
      </w:r>
      <w:r w:rsidR="00EB77D2" w:rsidRPr="00567956">
        <w:rPr>
          <w:rFonts w:ascii="Arial" w:hAnsi="Arial" w:cs="Arial"/>
          <w:sz w:val="20"/>
          <w:szCs w:val="20"/>
        </w:rPr>
        <w:t xml:space="preserve"> the </w:t>
      </w:r>
      <w:r w:rsidR="00776736" w:rsidRPr="00567956">
        <w:rPr>
          <w:rFonts w:ascii="Arial" w:hAnsi="Arial" w:cs="Arial"/>
          <w:sz w:val="20"/>
          <w:szCs w:val="20"/>
        </w:rPr>
        <w:t xml:space="preserve">positive correlations </w:t>
      </w:r>
      <w:r w:rsidR="00567956">
        <w:rPr>
          <w:rFonts w:ascii="Arial" w:hAnsi="Arial" w:cs="Arial"/>
          <w:sz w:val="20"/>
          <w:szCs w:val="20"/>
        </w:rPr>
        <w:t>f</w:t>
      </w:r>
      <w:r w:rsidR="00EF54B9" w:rsidRPr="00567956">
        <w:rPr>
          <w:rFonts w:ascii="Arial" w:hAnsi="Arial" w:cs="Arial"/>
          <w:color w:val="000000"/>
          <w:sz w:val="20"/>
          <w:szCs w:val="20"/>
        </w:rPr>
        <w:t>ound in previous studies</w:t>
      </w:r>
      <w:r w:rsidR="00EF54B9" w:rsidRPr="00567956">
        <w:rPr>
          <w:rFonts w:ascii="Arial" w:hAnsi="Arial" w:cs="Arial"/>
          <w:noProof/>
          <w:color w:val="000000"/>
          <w:sz w:val="20"/>
          <w:szCs w:val="20"/>
          <w:vertAlign w:val="superscript"/>
        </w:rPr>
        <w:t>,</w:t>
      </w:r>
      <w:r w:rsidR="00B81DCC" w:rsidRPr="00567956">
        <w:rPr>
          <w:rFonts w:ascii="Arial" w:hAnsi="Arial" w:cs="Arial"/>
          <w:color w:val="000000"/>
          <w:sz w:val="20"/>
          <w:szCs w:val="20"/>
        </w:rPr>
        <w:fldChar w:fldCharType="begin">
          <w:fldData xml:space="preserve">PEVuZE5vdGU+PENpdGU+PEF1dGhvcj5WZWxsaWdhbjwvQXV0aG9yPjxZZWFyPjIwMTU8L1llYXI+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</w:fldData>
        </w:fldChar>
      </w:r>
      <w:r w:rsidR="00713498">
        <w:rPr>
          <w:rFonts w:ascii="Arial" w:hAnsi="Arial" w:cs="Arial"/>
          <w:color w:val="000000"/>
          <w:sz w:val="20"/>
          <w:szCs w:val="20"/>
        </w:rPr>
        <w:instrText xml:space="preserve"> ADDIN EN.CITE </w:instrText>
      </w:r>
      <w:r w:rsidR="00713498">
        <w:rPr>
          <w:rFonts w:ascii="Arial" w:hAnsi="Arial" w:cs="Arial"/>
          <w:color w:val="000000"/>
          <w:sz w:val="20"/>
          <w:szCs w:val="20"/>
        </w:rPr>
        <w:fldChar w:fldCharType="begin">
          <w:fldData xml:space="preserve">PEVuZE5vdGU+PENpdGU+PEF1dGhvcj5WZWxsaWdhbjwvQXV0aG9yPjxZZWFyPjIwMTU8L1llYXI+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</w:fldData>
        </w:fldChar>
      </w:r>
      <w:r w:rsidR="00713498">
        <w:rPr>
          <w:rFonts w:ascii="Arial" w:hAnsi="Arial" w:cs="Arial"/>
          <w:color w:val="000000"/>
          <w:sz w:val="20"/>
          <w:szCs w:val="20"/>
        </w:rPr>
        <w:instrText xml:space="preserve"> ADDIN EN.CITE.DATA </w:instrText>
      </w:r>
      <w:r w:rsidR="00713498">
        <w:rPr>
          <w:rFonts w:ascii="Arial" w:hAnsi="Arial" w:cs="Arial"/>
          <w:color w:val="000000"/>
          <w:sz w:val="20"/>
          <w:szCs w:val="20"/>
        </w:rPr>
      </w:r>
      <w:r w:rsidR="00713498">
        <w:rPr>
          <w:rFonts w:ascii="Arial" w:hAnsi="Arial" w:cs="Arial"/>
          <w:color w:val="000000"/>
          <w:sz w:val="20"/>
          <w:szCs w:val="20"/>
        </w:rPr>
        <w:fldChar w:fldCharType="end"/>
      </w:r>
      <w:r w:rsidR="00B81DCC" w:rsidRPr="00567956">
        <w:rPr>
          <w:rFonts w:ascii="Arial" w:hAnsi="Arial" w:cs="Arial"/>
          <w:color w:val="000000"/>
          <w:sz w:val="20"/>
          <w:szCs w:val="20"/>
        </w:rPr>
      </w:r>
      <w:r w:rsidR="00B81DCC" w:rsidRPr="00567956">
        <w:rPr>
          <w:rFonts w:ascii="Arial" w:hAnsi="Arial" w:cs="Arial"/>
          <w:color w:val="000000"/>
          <w:sz w:val="20"/>
          <w:szCs w:val="20"/>
        </w:rPr>
        <w:fldChar w:fldCharType="separate"/>
      </w:r>
      <w:r w:rsidR="00713498">
        <w:rPr>
          <w:rFonts w:ascii="Arial" w:hAnsi="Arial" w:cs="Arial"/>
          <w:noProof/>
          <w:color w:val="000000"/>
          <w:sz w:val="20"/>
          <w:szCs w:val="20"/>
        </w:rPr>
        <w:t>(</w:t>
      </w:r>
      <w:hyperlink w:anchor="_ENREF_13" w:tooltip="Todd P. Gilmer, 2007 #86" w:history="1">
        <w:r w:rsidR="00464E25">
          <w:rPr>
            <w:rFonts w:ascii="Arial" w:hAnsi="Arial" w:cs="Arial"/>
            <w:noProof/>
            <w:color w:val="000000"/>
            <w:sz w:val="20"/>
            <w:szCs w:val="20"/>
          </w:rPr>
          <w:t>13-15</w:t>
        </w:r>
      </w:hyperlink>
      <w:r w:rsidR="00713498">
        <w:rPr>
          <w:rFonts w:ascii="Arial" w:hAnsi="Arial" w:cs="Arial"/>
          <w:noProof/>
          <w:color w:val="000000"/>
          <w:sz w:val="20"/>
          <w:szCs w:val="20"/>
        </w:rPr>
        <w:t>)</w:t>
      </w:r>
      <w:r w:rsidR="00B81DCC" w:rsidRPr="00567956">
        <w:rPr>
          <w:rFonts w:ascii="Arial" w:hAnsi="Arial" w:cs="Arial"/>
          <w:color w:val="000000"/>
          <w:sz w:val="20"/>
          <w:szCs w:val="20"/>
        </w:rPr>
        <w:fldChar w:fldCharType="end"/>
      </w:r>
      <w:r w:rsidR="00EB77D2" w:rsidRPr="00567956">
        <w:rPr>
          <w:rFonts w:ascii="Arial" w:hAnsi="Arial" w:cs="Arial"/>
          <w:color w:val="000000"/>
          <w:sz w:val="20"/>
          <w:szCs w:val="20"/>
        </w:rPr>
        <w:t>.</w:t>
      </w:r>
    </w:p>
    <w:p w14:paraId="170A1C1F" w14:textId="50E28111" w:rsidR="00D956F2" w:rsidRDefault="006E1365" w:rsidP="0089427A">
      <w:pPr>
        <w:spacing w:after="0" w:line="480" w:lineRule="auto"/>
        <w:rPr>
          <w:rFonts w:ascii="Arial" w:hAnsi="Arial" w:cs="Arial"/>
          <w:sz w:val="20"/>
          <w:szCs w:val="20"/>
        </w:rPr>
      </w:pPr>
      <w:r>
        <w:rPr>
          <w:rFonts w:ascii="Arial" w:hAnsi="Arial" w:cs="Arial"/>
          <w:sz w:val="20"/>
          <w:szCs w:val="20"/>
        </w:rPr>
        <w:t xml:space="preserve">That </w:t>
      </w:r>
      <w:r w:rsidR="005922A5">
        <w:rPr>
          <w:rFonts w:ascii="Arial" w:hAnsi="Arial" w:cs="Arial"/>
          <w:sz w:val="20"/>
          <w:szCs w:val="20"/>
        </w:rPr>
        <w:t>polypharmacy</w:t>
      </w:r>
      <w:r w:rsidRPr="00BF3D07">
        <w:rPr>
          <w:rFonts w:ascii="Arial" w:hAnsi="Arial" w:cs="Arial"/>
          <w:sz w:val="20"/>
          <w:szCs w:val="20"/>
        </w:rPr>
        <w:t xml:space="preserve"> is not significantly associated</w:t>
      </w:r>
      <w:r w:rsidR="006560C1">
        <w:rPr>
          <w:rFonts w:ascii="Arial" w:hAnsi="Arial" w:cs="Arial"/>
          <w:sz w:val="20"/>
          <w:szCs w:val="20"/>
        </w:rPr>
        <w:t xml:space="preserve"> with any of the three outcomes,</w:t>
      </w:r>
      <w:r w:rsidR="00460EA2">
        <w:rPr>
          <w:rFonts w:ascii="Arial" w:hAnsi="Arial" w:cs="Arial"/>
          <w:sz w:val="20"/>
          <w:szCs w:val="20"/>
        </w:rPr>
        <w:t xml:space="preserve"> suggests</w:t>
      </w:r>
      <w:r w:rsidR="00A86576">
        <w:rPr>
          <w:rFonts w:ascii="Arial" w:hAnsi="Arial" w:cs="Arial"/>
          <w:sz w:val="20"/>
          <w:szCs w:val="20"/>
        </w:rPr>
        <w:t xml:space="preserve"> </w:t>
      </w:r>
      <w:r w:rsidR="00E4023B">
        <w:rPr>
          <w:rFonts w:ascii="Arial" w:hAnsi="Arial" w:cs="Arial"/>
          <w:sz w:val="20"/>
          <w:szCs w:val="20"/>
        </w:rPr>
        <w:t>that</w:t>
      </w:r>
      <w:r w:rsidR="00595CEE">
        <w:rPr>
          <w:rFonts w:ascii="Arial" w:hAnsi="Arial" w:cs="Arial"/>
          <w:sz w:val="20"/>
          <w:szCs w:val="20"/>
        </w:rPr>
        <w:t xml:space="preserve"> </w:t>
      </w:r>
      <w:r w:rsidR="00B715A0">
        <w:rPr>
          <w:rFonts w:ascii="Arial" w:hAnsi="Arial" w:cs="Arial"/>
          <w:sz w:val="20"/>
          <w:szCs w:val="20"/>
        </w:rPr>
        <w:t xml:space="preserve">the effectiveness of </w:t>
      </w:r>
      <w:r w:rsidR="005922A5">
        <w:rPr>
          <w:rFonts w:ascii="Arial" w:hAnsi="Arial" w:cs="Arial"/>
          <w:sz w:val="20"/>
          <w:szCs w:val="20"/>
        </w:rPr>
        <w:t>polypharmacy</w:t>
      </w:r>
      <w:r w:rsidR="00595CEE">
        <w:rPr>
          <w:rFonts w:ascii="Arial" w:hAnsi="Arial" w:cs="Arial"/>
          <w:sz w:val="20"/>
          <w:szCs w:val="20"/>
        </w:rPr>
        <w:t xml:space="preserve"> </w:t>
      </w:r>
      <w:r w:rsidR="00674276">
        <w:rPr>
          <w:rFonts w:ascii="Arial" w:hAnsi="Arial" w:cs="Arial"/>
          <w:sz w:val="20"/>
          <w:szCs w:val="20"/>
        </w:rPr>
        <w:t>and monotherapy are comparable</w:t>
      </w:r>
      <w:r w:rsidR="00595CEE">
        <w:rPr>
          <w:rFonts w:ascii="Arial" w:hAnsi="Arial" w:cs="Arial"/>
          <w:sz w:val="20"/>
          <w:szCs w:val="20"/>
        </w:rPr>
        <w:t xml:space="preserve">. </w:t>
      </w:r>
      <w:r w:rsidR="00674276">
        <w:rPr>
          <w:rFonts w:ascii="Arial" w:hAnsi="Arial" w:cs="Arial"/>
          <w:sz w:val="20"/>
          <w:szCs w:val="20"/>
        </w:rPr>
        <w:t xml:space="preserve"> </w:t>
      </w:r>
      <w:r w:rsidR="00D956F2" w:rsidRPr="00BF3D07">
        <w:rPr>
          <w:rFonts w:ascii="Arial" w:hAnsi="Arial" w:cs="Arial"/>
          <w:sz w:val="20"/>
          <w:szCs w:val="20"/>
        </w:rPr>
        <w:t xml:space="preserve">For a shorter overlap period (14 days or longer) which captures more cross-tapering in the definition of polypharmacy, we observe an increase in the risk of unplanned admission.  One explanation is that patients who change drugs might have more </w:t>
      </w:r>
      <w:r w:rsidR="00D956F2">
        <w:rPr>
          <w:rFonts w:ascii="Arial" w:hAnsi="Arial" w:cs="Arial"/>
          <w:sz w:val="20"/>
          <w:szCs w:val="20"/>
        </w:rPr>
        <w:t>unstable disease profiles and/</w:t>
      </w:r>
      <w:r w:rsidR="00D956F2" w:rsidRPr="00BF3D07">
        <w:rPr>
          <w:rFonts w:ascii="Arial" w:hAnsi="Arial" w:cs="Arial"/>
          <w:sz w:val="20"/>
          <w:szCs w:val="20"/>
        </w:rPr>
        <w:t xml:space="preserve">or that changing drugs further destabilises their condition. </w:t>
      </w:r>
      <w:r w:rsidR="00D956F2">
        <w:rPr>
          <w:rFonts w:ascii="Arial" w:hAnsi="Arial" w:cs="Arial"/>
          <w:sz w:val="20"/>
          <w:szCs w:val="20"/>
        </w:rPr>
        <w:t xml:space="preserve"> T</w:t>
      </w:r>
      <w:r w:rsidR="00D956F2" w:rsidRPr="003E1EE2">
        <w:rPr>
          <w:rFonts w:ascii="Arial" w:hAnsi="Arial" w:cs="Arial"/>
          <w:sz w:val="20"/>
          <w:szCs w:val="20"/>
        </w:rPr>
        <w:t>his suggest</w:t>
      </w:r>
      <w:r w:rsidR="00D956F2">
        <w:rPr>
          <w:rFonts w:ascii="Arial" w:hAnsi="Arial" w:cs="Arial"/>
          <w:sz w:val="20"/>
          <w:szCs w:val="20"/>
        </w:rPr>
        <w:t>s</w:t>
      </w:r>
      <w:r w:rsidR="00D956F2" w:rsidRPr="003E1EE2">
        <w:rPr>
          <w:rFonts w:ascii="Arial" w:hAnsi="Arial" w:cs="Arial"/>
          <w:sz w:val="20"/>
          <w:szCs w:val="20"/>
        </w:rPr>
        <w:t xml:space="preserve"> a need for close monitoring in the first few weeks</w:t>
      </w:r>
      <w:r w:rsidR="006809D8">
        <w:rPr>
          <w:rFonts w:ascii="Arial" w:hAnsi="Arial" w:cs="Arial"/>
          <w:sz w:val="20"/>
          <w:szCs w:val="20"/>
        </w:rPr>
        <w:t xml:space="preserve"> of cross-tapering</w:t>
      </w:r>
      <w:r w:rsidR="00D956F2" w:rsidRPr="003E1EE2">
        <w:rPr>
          <w:rFonts w:ascii="Arial" w:hAnsi="Arial" w:cs="Arial"/>
          <w:sz w:val="20"/>
          <w:szCs w:val="20"/>
        </w:rPr>
        <w:t xml:space="preserve"> when </w:t>
      </w:r>
      <w:r w:rsidR="00D956F2">
        <w:rPr>
          <w:rFonts w:ascii="Arial" w:hAnsi="Arial" w:cs="Arial"/>
          <w:sz w:val="20"/>
          <w:szCs w:val="20"/>
        </w:rPr>
        <w:t xml:space="preserve">the </w:t>
      </w:r>
      <w:r w:rsidR="00A475C1">
        <w:rPr>
          <w:rFonts w:ascii="Arial" w:hAnsi="Arial" w:cs="Arial"/>
          <w:sz w:val="20"/>
          <w:szCs w:val="20"/>
        </w:rPr>
        <w:t>risk of unplanned hospitaliz</w:t>
      </w:r>
      <w:r w:rsidR="00D956F2" w:rsidRPr="003E1EE2">
        <w:rPr>
          <w:rFonts w:ascii="Arial" w:hAnsi="Arial" w:cs="Arial"/>
          <w:sz w:val="20"/>
          <w:szCs w:val="20"/>
        </w:rPr>
        <w:t>ation is highe</w:t>
      </w:r>
      <w:r w:rsidR="006809D8">
        <w:rPr>
          <w:rFonts w:ascii="Arial" w:hAnsi="Arial" w:cs="Arial"/>
          <w:sz w:val="20"/>
          <w:szCs w:val="20"/>
        </w:rPr>
        <w:t>r</w:t>
      </w:r>
      <w:r w:rsidR="00D956F2">
        <w:rPr>
          <w:rFonts w:ascii="Arial" w:hAnsi="Arial" w:cs="Arial"/>
          <w:sz w:val="20"/>
          <w:szCs w:val="20"/>
        </w:rPr>
        <w:t>.</w:t>
      </w:r>
      <w:r w:rsidR="00D956F2" w:rsidRPr="003E1EE2">
        <w:rPr>
          <w:rFonts w:ascii="Arial" w:hAnsi="Arial" w:cs="Arial"/>
          <w:sz w:val="20"/>
          <w:szCs w:val="20"/>
        </w:rPr>
        <w:t xml:space="preserve"> </w:t>
      </w:r>
    </w:p>
    <w:p w14:paraId="59A1A7E9" w14:textId="55475708" w:rsidR="00595CEE" w:rsidRDefault="0089427A" w:rsidP="003E1EE2">
      <w:pPr>
        <w:spacing w:after="0" w:line="480" w:lineRule="auto"/>
        <w:rPr>
          <w:rFonts w:ascii="Arial" w:hAnsi="Arial" w:cs="Arial"/>
          <w:sz w:val="20"/>
          <w:szCs w:val="20"/>
        </w:rPr>
      </w:pPr>
      <w:r>
        <w:rPr>
          <w:rFonts w:ascii="Arial" w:hAnsi="Arial" w:cs="Arial"/>
          <w:sz w:val="20"/>
          <w:szCs w:val="20"/>
        </w:rPr>
        <w:t xml:space="preserve">UK </w:t>
      </w:r>
      <w:r w:rsidRPr="001557E3">
        <w:rPr>
          <w:rFonts w:ascii="Arial" w:hAnsi="Arial" w:cs="Arial"/>
          <w:sz w:val="20"/>
          <w:szCs w:val="20"/>
        </w:rPr>
        <w:t>guidelines</w:t>
      </w:r>
      <w:r w:rsidR="00957790">
        <w:rPr>
          <w:rFonts w:ascii="Arial" w:hAnsi="Arial" w:cs="Arial"/>
          <w:sz w:val="20"/>
          <w:szCs w:val="20"/>
        </w:rPr>
        <w:t xml:space="preserve"> </w:t>
      </w:r>
      <w:r w:rsidR="00B81DCC">
        <w:rPr>
          <w:rFonts w:ascii="Arial" w:hAnsi="Arial" w:cs="Arial"/>
          <w:sz w:val="20"/>
          <w:szCs w:val="20"/>
        </w:rPr>
        <w:fldChar w:fldCharType="begin"/>
      </w:r>
      <w:r w:rsidR="00713498">
        <w:rPr>
          <w:rFonts w:ascii="Arial" w:hAnsi="Arial" w:cs="Arial"/>
          <w:sz w:val="20"/>
          <w:szCs w:val="20"/>
        </w:rPr>
        <w:instrText xml:space="preserve"> ADDIN EN.CITE &lt;EndNote&gt;&lt;Cite ExcludeAuth="1"&gt;&lt;Year&gt;2014&lt;/Year&gt;&lt;RecNum&gt;42&lt;/RecNum&gt;&lt;DisplayText&gt;(1)&lt;/DisplayText&gt;&lt;record&gt;&lt;rec-number&gt;42&lt;/rec-number&gt;&lt;foreign-keys&gt;&lt;key app="EN" db-id="p02d9srt525vsredawwvt0alfwx0xzzetfsw" timestamp="1519386613"&gt;42&lt;/key&gt;&lt;/foreign-keys&gt;&lt;ref-type name="Report"&gt;27&lt;/ref-type&gt;&lt;contributors&gt;&lt;/contributors&gt;&lt;titles&gt;&lt;title&gt;Psychosis and schizophrenia in adults. Treatment and management. National Clinical Guideline Number 178. &lt;/title&gt;&lt;/titles&gt;&lt;dates&gt;&lt;year&gt;2014&lt;/year&gt;&lt;/dates&gt;&lt;publisher&gt;National Institute for Health and Care Excellence, National Collaborating Centre for Mental Health&lt;/publisher&gt;&lt;urls&gt;&lt;/urls&gt;&lt;/record&gt;&lt;/Cite&gt;&lt;/EndNote&gt;</w:instrText>
      </w:r>
      <w:r w:rsidR="00B81DCC">
        <w:rPr>
          <w:rFonts w:ascii="Arial" w:hAnsi="Arial" w:cs="Arial"/>
          <w:sz w:val="20"/>
          <w:szCs w:val="20"/>
        </w:rPr>
        <w:fldChar w:fldCharType="separate"/>
      </w:r>
      <w:r w:rsidR="00713498">
        <w:rPr>
          <w:rFonts w:ascii="Arial" w:hAnsi="Arial" w:cs="Arial"/>
          <w:noProof/>
          <w:sz w:val="20"/>
          <w:szCs w:val="20"/>
        </w:rPr>
        <w:t>(</w:t>
      </w:r>
      <w:hyperlink w:anchor="_ENREF_1" w:tooltip=", 2014 #42" w:history="1">
        <w:r w:rsidR="00464E25">
          <w:rPr>
            <w:rFonts w:ascii="Arial" w:hAnsi="Arial" w:cs="Arial"/>
            <w:noProof/>
            <w:sz w:val="20"/>
            <w:szCs w:val="20"/>
          </w:rPr>
          <w:t>1</w:t>
        </w:r>
      </w:hyperlink>
      <w:r w:rsidR="00713498">
        <w:rPr>
          <w:rFonts w:ascii="Arial" w:hAnsi="Arial" w:cs="Arial"/>
          <w:noProof/>
          <w:sz w:val="20"/>
          <w:szCs w:val="20"/>
        </w:rPr>
        <w:t>)</w:t>
      </w:r>
      <w:r w:rsidR="00B81DCC">
        <w:rPr>
          <w:rFonts w:ascii="Arial" w:hAnsi="Arial" w:cs="Arial"/>
          <w:sz w:val="20"/>
          <w:szCs w:val="20"/>
        </w:rPr>
        <w:fldChar w:fldCharType="end"/>
      </w:r>
      <w:r>
        <w:rPr>
          <w:rFonts w:ascii="Arial" w:hAnsi="Arial" w:cs="Arial"/>
          <w:sz w:val="20"/>
          <w:szCs w:val="20"/>
        </w:rPr>
        <w:t xml:space="preserve"> </w:t>
      </w:r>
      <w:r w:rsidRPr="001557E3">
        <w:rPr>
          <w:rFonts w:ascii="Arial" w:hAnsi="Arial" w:cs="Arial"/>
          <w:sz w:val="20"/>
          <w:szCs w:val="20"/>
        </w:rPr>
        <w:t xml:space="preserve">recommend against combining antipsychotic drugs </w:t>
      </w:r>
      <w:r>
        <w:rPr>
          <w:rFonts w:ascii="Arial" w:hAnsi="Arial" w:cs="Arial"/>
          <w:sz w:val="20"/>
          <w:szCs w:val="20"/>
        </w:rPr>
        <w:t>except as a last resort</w:t>
      </w:r>
      <w:r w:rsidRPr="001557E3">
        <w:rPr>
          <w:rFonts w:ascii="Arial" w:hAnsi="Arial" w:cs="Arial"/>
          <w:sz w:val="20"/>
          <w:szCs w:val="20"/>
        </w:rPr>
        <w:t>.</w:t>
      </w:r>
      <w:r>
        <w:rPr>
          <w:rFonts w:ascii="Arial" w:hAnsi="Arial" w:cs="Arial"/>
          <w:sz w:val="20"/>
          <w:szCs w:val="20"/>
        </w:rPr>
        <w:t xml:space="preserve"> </w:t>
      </w:r>
      <w:r w:rsidR="00D956F2">
        <w:rPr>
          <w:rFonts w:ascii="Arial" w:hAnsi="Arial" w:cs="Arial"/>
          <w:sz w:val="20"/>
          <w:szCs w:val="20"/>
        </w:rPr>
        <w:t xml:space="preserve"> </w:t>
      </w:r>
      <w:r>
        <w:rPr>
          <w:rFonts w:ascii="Arial" w:hAnsi="Arial" w:cs="Arial"/>
          <w:sz w:val="20"/>
          <w:szCs w:val="20"/>
        </w:rPr>
        <w:t>These recommendations are based on limited</w:t>
      </w:r>
      <w:r w:rsidRPr="009224D2">
        <w:rPr>
          <w:rFonts w:ascii="Arial" w:hAnsi="Arial" w:cs="Arial"/>
          <w:sz w:val="20"/>
          <w:szCs w:val="20"/>
        </w:rPr>
        <w:t xml:space="preserve"> supportive evidence for superior efficacy </w:t>
      </w:r>
      <w:r>
        <w:rPr>
          <w:rFonts w:ascii="Arial" w:hAnsi="Arial" w:cs="Arial"/>
          <w:sz w:val="20"/>
          <w:szCs w:val="20"/>
        </w:rPr>
        <w:t xml:space="preserve">of </w:t>
      </w:r>
      <w:r w:rsidR="005922A5">
        <w:rPr>
          <w:rFonts w:ascii="Arial" w:hAnsi="Arial" w:cs="Arial"/>
          <w:sz w:val="20"/>
          <w:szCs w:val="20"/>
        </w:rPr>
        <w:t>polypharmacy</w:t>
      </w:r>
      <w:r>
        <w:rPr>
          <w:rFonts w:ascii="Arial" w:hAnsi="Arial" w:cs="Arial"/>
          <w:sz w:val="20"/>
          <w:szCs w:val="20"/>
        </w:rPr>
        <w:t xml:space="preserve"> over monotherapy </w:t>
      </w:r>
      <w:r w:rsidRPr="009224D2">
        <w:rPr>
          <w:rFonts w:ascii="Arial" w:hAnsi="Arial" w:cs="Arial"/>
          <w:sz w:val="20"/>
          <w:szCs w:val="20"/>
        </w:rPr>
        <w:t xml:space="preserve">as well as concerns that combined antipsychotics are associated with an increased risk of side effects. </w:t>
      </w:r>
      <w:r>
        <w:rPr>
          <w:rFonts w:ascii="Arial" w:hAnsi="Arial" w:cs="Arial"/>
          <w:sz w:val="20"/>
          <w:szCs w:val="20"/>
        </w:rPr>
        <w:t xml:space="preserve"> </w:t>
      </w:r>
      <w:r w:rsidR="004C0E40">
        <w:rPr>
          <w:rFonts w:ascii="Arial" w:hAnsi="Arial" w:cs="Arial"/>
          <w:sz w:val="20"/>
          <w:szCs w:val="20"/>
        </w:rPr>
        <w:t>Our study</w:t>
      </w:r>
      <w:r w:rsidR="00674276">
        <w:rPr>
          <w:rFonts w:ascii="Arial" w:hAnsi="Arial" w:cs="Arial"/>
          <w:sz w:val="20"/>
          <w:szCs w:val="20"/>
        </w:rPr>
        <w:t xml:space="preserve"> cannot </w:t>
      </w:r>
      <w:r w:rsidR="00B715A0">
        <w:rPr>
          <w:rFonts w:ascii="Arial" w:hAnsi="Arial" w:cs="Arial"/>
          <w:sz w:val="20"/>
          <w:szCs w:val="20"/>
        </w:rPr>
        <w:t xml:space="preserve">draw conclusions </w:t>
      </w:r>
      <w:r>
        <w:rPr>
          <w:rFonts w:ascii="Arial" w:hAnsi="Arial" w:cs="Arial"/>
          <w:sz w:val="20"/>
          <w:szCs w:val="20"/>
        </w:rPr>
        <w:t xml:space="preserve">on the </w:t>
      </w:r>
      <w:r w:rsidR="005922A5">
        <w:rPr>
          <w:rFonts w:ascii="Arial" w:hAnsi="Arial" w:cs="Arial"/>
          <w:sz w:val="20"/>
          <w:szCs w:val="20"/>
        </w:rPr>
        <w:t>polypharmacy</w:t>
      </w:r>
      <w:r w:rsidR="00442DB3">
        <w:rPr>
          <w:rFonts w:ascii="Arial" w:hAnsi="Arial" w:cs="Arial"/>
          <w:sz w:val="20"/>
          <w:szCs w:val="20"/>
        </w:rPr>
        <w:t xml:space="preserve"> </w:t>
      </w:r>
      <w:r>
        <w:rPr>
          <w:rFonts w:ascii="Arial" w:hAnsi="Arial" w:cs="Arial"/>
          <w:sz w:val="20"/>
          <w:szCs w:val="20"/>
        </w:rPr>
        <w:t>effect in terms of</w:t>
      </w:r>
      <w:r w:rsidR="00B715A0">
        <w:rPr>
          <w:rFonts w:ascii="Arial" w:hAnsi="Arial" w:cs="Arial"/>
          <w:sz w:val="20"/>
          <w:szCs w:val="20"/>
        </w:rPr>
        <w:t xml:space="preserve"> </w:t>
      </w:r>
      <w:r w:rsidR="00674276">
        <w:rPr>
          <w:rFonts w:ascii="Arial" w:hAnsi="Arial" w:cs="Arial"/>
          <w:sz w:val="20"/>
          <w:szCs w:val="20"/>
        </w:rPr>
        <w:t>efficacy and tolerability</w:t>
      </w:r>
      <w:r w:rsidR="00B715A0">
        <w:rPr>
          <w:rFonts w:ascii="Arial" w:hAnsi="Arial" w:cs="Arial"/>
          <w:sz w:val="20"/>
          <w:szCs w:val="20"/>
        </w:rPr>
        <w:t xml:space="preserve"> </w:t>
      </w:r>
      <w:r w:rsidR="004C0E40">
        <w:rPr>
          <w:rFonts w:ascii="Arial" w:hAnsi="Arial" w:cs="Arial"/>
          <w:sz w:val="20"/>
          <w:szCs w:val="20"/>
        </w:rPr>
        <w:t>and bearing</w:t>
      </w:r>
      <w:r w:rsidR="00572505">
        <w:rPr>
          <w:rFonts w:ascii="Arial" w:hAnsi="Arial" w:cs="Arial"/>
          <w:sz w:val="20"/>
          <w:szCs w:val="20"/>
        </w:rPr>
        <w:t xml:space="preserve"> in mind</w:t>
      </w:r>
      <w:r w:rsidR="004C0E40">
        <w:rPr>
          <w:rFonts w:ascii="Arial" w:hAnsi="Arial" w:cs="Arial"/>
          <w:sz w:val="20"/>
          <w:szCs w:val="20"/>
        </w:rPr>
        <w:t xml:space="preserve"> the limitations of an observational study (despite its advanced design) cannot substitute </w:t>
      </w:r>
      <w:r w:rsidR="00572505">
        <w:rPr>
          <w:rFonts w:ascii="Arial" w:hAnsi="Arial" w:cs="Arial"/>
          <w:sz w:val="20"/>
          <w:szCs w:val="20"/>
        </w:rPr>
        <w:t xml:space="preserve">for </w:t>
      </w:r>
      <w:r w:rsidR="004C0E40">
        <w:rPr>
          <w:rFonts w:ascii="Arial" w:hAnsi="Arial" w:cs="Arial"/>
          <w:sz w:val="20"/>
          <w:szCs w:val="20"/>
        </w:rPr>
        <w:t xml:space="preserve">RCTs. Its contribution lies in providing real-world evidence on the effectiveness of </w:t>
      </w:r>
      <w:r w:rsidR="005922A5">
        <w:rPr>
          <w:rFonts w:ascii="Arial" w:hAnsi="Arial" w:cs="Arial"/>
          <w:sz w:val="20"/>
          <w:szCs w:val="20"/>
        </w:rPr>
        <w:t>polypharmacy</w:t>
      </w:r>
      <w:r w:rsidR="004C0E40">
        <w:rPr>
          <w:rFonts w:ascii="Arial" w:hAnsi="Arial" w:cs="Arial"/>
          <w:sz w:val="20"/>
          <w:szCs w:val="20"/>
        </w:rPr>
        <w:t xml:space="preserve">. </w:t>
      </w:r>
    </w:p>
    <w:p w14:paraId="42339D6A" w14:textId="51C779E8" w:rsidR="009122A4" w:rsidRDefault="006A1FE2" w:rsidP="00414761">
      <w:pPr>
        <w:spacing w:after="0" w:line="480" w:lineRule="auto"/>
        <w:rPr>
          <w:rFonts w:ascii="Arial" w:hAnsi="Arial" w:cs="Arial"/>
          <w:sz w:val="20"/>
          <w:szCs w:val="20"/>
          <w:lang w:eastAsia="ja-JP"/>
        </w:rPr>
      </w:pPr>
      <w:r>
        <w:rPr>
          <w:rFonts w:ascii="Arial" w:hAnsi="Arial" w:cs="Arial"/>
          <w:sz w:val="20"/>
          <w:szCs w:val="20"/>
          <w:lang w:eastAsia="ja-JP"/>
        </w:rPr>
        <w:lastRenderedPageBreak/>
        <w:t>There are three</w:t>
      </w:r>
      <w:r w:rsidRPr="00BF3D07">
        <w:rPr>
          <w:rFonts w:ascii="Arial" w:hAnsi="Arial" w:cs="Arial"/>
          <w:sz w:val="20"/>
          <w:szCs w:val="20"/>
          <w:lang w:eastAsia="ja-JP"/>
        </w:rPr>
        <w:t xml:space="preserve"> main limitations to the study. First, the measures of hea</w:t>
      </w:r>
      <w:r w:rsidR="00A475C1">
        <w:rPr>
          <w:rFonts w:ascii="Arial" w:hAnsi="Arial" w:cs="Arial"/>
          <w:sz w:val="20"/>
          <w:szCs w:val="20"/>
          <w:lang w:eastAsia="ja-JP"/>
        </w:rPr>
        <w:t>lth status and healthcare utiliz</w:t>
      </w:r>
      <w:r w:rsidRPr="00BF3D07">
        <w:rPr>
          <w:rFonts w:ascii="Arial" w:hAnsi="Arial" w:cs="Arial"/>
          <w:sz w:val="20"/>
          <w:szCs w:val="20"/>
          <w:lang w:eastAsia="ja-JP"/>
        </w:rPr>
        <w:t xml:space="preserve">ation prior to diagnosis of </w:t>
      </w:r>
      <w:r w:rsidR="005922A5">
        <w:rPr>
          <w:rFonts w:ascii="Arial" w:hAnsi="Arial" w:cs="Arial"/>
          <w:sz w:val="20"/>
          <w:szCs w:val="20"/>
          <w:lang w:eastAsia="ja-JP"/>
        </w:rPr>
        <w:t>serious mental illness</w:t>
      </w:r>
      <w:r w:rsidR="005922A5" w:rsidRPr="00BF3D07">
        <w:rPr>
          <w:rFonts w:ascii="Arial" w:hAnsi="Arial" w:cs="Arial"/>
          <w:sz w:val="20"/>
          <w:szCs w:val="20"/>
          <w:lang w:eastAsia="ja-JP"/>
        </w:rPr>
        <w:t xml:space="preserve"> </w:t>
      </w:r>
      <w:r w:rsidRPr="00BF3D07">
        <w:rPr>
          <w:rFonts w:ascii="Arial" w:hAnsi="Arial" w:cs="Arial"/>
          <w:sz w:val="20"/>
          <w:szCs w:val="20"/>
          <w:lang w:eastAsia="ja-JP"/>
        </w:rPr>
        <w:t xml:space="preserve">may not fully depict the complexities of health status, including severity of </w:t>
      </w:r>
      <w:r w:rsidR="005922A5">
        <w:rPr>
          <w:rFonts w:ascii="Arial" w:hAnsi="Arial" w:cs="Arial"/>
          <w:sz w:val="20"/>
          <w:szCs w:val="20"/>
          <w:lang w:eastAsia="ja-JP"/>
        </w:rPr>
        <w:t>the condition</w:t>
      </w:r>
      <w:r w:rsidRPr="00BF3D07">
        <w:rPr>
          <w:rFonts w:ascii="Arial" w:hAnsi="Arial" w:cs="Arial"/>
          <w:sz w:val="20"/>
          <w:szCs w:val="20"/>
          <w:lang w:eastAsia="ja-JP"/>
        </w:rPr>
        <w:t xml:space="preserve">.  Second, imputing the treatment duration for a number of prescriptions may introduce measurement error </w:t>
      </w:r>
      <w:r w:rsidR="00572505">
        <w:rPr>
          <w:rFonts w:ascii="Arial" w:hAnsi="Arial" w:cs="Arial"/>
          <w:sz w:val="20"/>
          <w:szCs w:val="20"/>
          <w:lang w:eastAsia="ja-JP"/>
        </w:rPr>
        <w:t>in</w:t>
      </w:r>
      <w:r w:rsidR="00572505" w:rsidRPr="00BF3D07">
        <w:rPr>
          <w:rFonts w:ascii="Arial" w:hAnsi="Arial" w:cs="Arial"/>
          <w:sz w:val="20"/>
          <w:szCs w:val="20"/>
          <w:lang w:eastAsia="ja-JP"/>
        </w:rPr>
        <w:t xml:space="preserve"> </w:t>
      </w:r>
      <w:r w:rsidRPr="00BF3D07">
        <w:rPr>
          <w:rFonts w:ascii="Arial" w:hAnsi="Arial" w:cs="Arial"/>
          <w:sz w:val="20"/>
          <w:szCs w:val="20"/>
          <w:lang w:eastAsia="ja-JP"/>
        </w:rPr>
        <w:t xml:space="preserve">the calculation of </w:t>
      </w:r>
      <w:r w:rsidR="005922A5">
        <w:rPr>
          <w:rFonts w:ascii="Arial" w:hAnsi="Arial" w:cs="Arial"/>
          <w:sz w:val="20"/>
          <w:szCs w:val="20"/>
        </w:rPr>
        <w:t>polypharmacy</w:t>
      </w:r>
      <w:r w:rsidRPr="00BF3D07">
        <w:rPr>
          <w:rFonts w:ascii="Arial" w:hAnsi="Arial" w:cs="Arial"/>
          <w:sz w:val="20"/>
          <w:szCs w:val="20"/>
          <w:lang w:eastAsia="ja-JP"/>
        </w:rPr>
        <w:t xml:space="preserve">. </w:t>
      </w:r>
      <w:r>
        <w:rPr>
          <w:rFonts w:ascii="Arial" w:hAnsi="Arial" w:cs="Arial"/>
          <w:sz w:val="20"/>
          <w:szCs w:val="20"/>
          <w:lang w:eastAsia="ja-JP"/>
        </w:rPr>
        <w:t xml:space="preserve">Lastly, we have explored the effect of </w:t>
      </w:r>
      <w:r w:rsidR="005922A5">
        <w:rPr>
          <w:rFonts w:ascii="Arial" w:hAnsi="Arial" w:cs="Arial"/>
          <w:sz w:val="20"/>
          <w:szCs w:val="20"/>
        </w:rPr>
        <w:t>polypharmacy</w:t>
      </w:r>
      <w:r>
        <w:rPr>
          <w:rFonts w:ascii="Arial" w:hAnsi="Arial" w:cs="Arial"/>
          <w:sz w:val="20"/>
          <w:szCs w:val="20"/>
          <w:lang w:eastAsia="ja-JP"/>
        </w:rPr>
        <w:t xml:space="preserve"> on broadly defined outcomes. Future research could investigate whether effects vary by reason for admission or for particular combinations of antipsychotic medication.</w:t>
      </w:r>
    </w:p>
    <w:p w14:paraId="6C236A14" w14:textId="25619D14" w:rsidR="00486713" w:rsidRPr="005120C4" w:rsidRDefault="00486713" w:rsidP="00884BE6">
      <w:pPr>
        <w:pStyle w:val="Heading1"/>
      </w:pPr>
      <w:r w:rsidRPr="005120C4">
        <w:t>Conclusions</w:t>
      </w:r>
    </w:p>
    <w:p w14:paraId="35792C2A" w14:textId="61E3750F" w:rsidR="00754E42" w:rsidRDefault="00754E42" w:rsidP="00754E42">
      <w:pPr>
        <w:shd w:val="clear" w:color="auto" w:fill="FFFFFF"/>
        <w:spacing w:after="0" w:line="480" w:lineRule="auto"/>
        <w:rPr>
          <w:rFonts w:ascii="Arial" w:hAnsi="Arial" w:cs="Arial"/>
          <w:sz w:val="20"/>
          <w:szCs w:val="20"/>
        </w:rPr>
      </w:pPr>
      <w:r>
        <w:rPr>
          <w:rFonts w:ascii="Arial" w:hAnsi="Arial" w:cs="Arial"/>
          <w:sz w:val="20"/>
          <w:szCs w:val="20"/>
        </w:rPr>
        <w:t>Our</w:t>
      </w:r>
      <w:r w:rsidR="005164FB">
        <w:rPr>
          <w:rFonts w:ascii="Arial" w:hAnsi="Arial" w:cs="Arial"/>
          <w:sz w:val="20"/>
          <w:szCs w:val="20"/>
        </w:rPr>
        <w:t xml:space="preserve"> study examined the overall </w:t>
      </w:r>
      <w:r w:rsidRPr="003D07DA">
        <w:rPr>
          <w:rFonts w:ascii="Arial" w:hAnsi="Arial" w:cs="Arial"/>
          <w:sz w:val="20"/>
          <w:szCs w:val="20"/>
        </w:rPr>
        <w:t>effectiveness</w:t>
      </w:r>
      <w:r>
        <w:rPr>
          <w:rFonts w:ascii="Arial" w:hAnsi="Arial" w:cs="Arial"/>
          <w:sz w:val="20"/>
          <w:szCs w:val="20"/>
        </w:rPr>
        <w:t xml:space="preserve"> </w:t>
      </w:r>
      <w:r w:rsidR="005164FB">
        <w:rPr>
          <w:rFonts w:ascii="Arial" w:hAnsi="Arial" w:cs="Arial"/>
          <w:sz w:val="20"/>
          <w:szCs w:val="20"/>
        </w:rPr>
        <w:t xml:space="preserve">of </w:t>
      </w:r>
      <w:r w:rsidR="005922A5">
        <w:rPr>
          <w:rFonts w:ascii="Arial" w:hAnsi="Arial" w:cs="Arial"/>
          <w:sz w:val="20"/>
          <w:szCs w:val="20"/>
        </w:rPr>
        <w:t>polypharmacy</w:t>
      </w:r>
      <w:r w:rsidR="005164FB">
        <w:rPr>
          <w:rFonts w:ascii="Arial" w:hAnsi="Arial" w:cs="Arial"/>
          <w:sz w:val="20"/>
          <w:szCs w:val="20"/>
        </w:rPr>
        <w:t xml:space="preserve"> relative to monotherapy </w:t>
      </w:r>
      <w:r>
        <w:rPr>
          <w:rFonts w:ascii="Arial" w:hAnsi="Arial" w:cs="Arial"/>
          <w:sz w:val="20"/>
          <w:szCs w:val="20"/>
        </w:rPr>
        <w:t xml:space="preserve">by investigating associations between </w:t>
      </w:r>
      <w:r w:rsidR="005922A5">
        <w:rPr>
          <w:rFonts w:ascii="Arial" w:hAnsi="Arial" w:cs="Arial"/>
          <w:sz w:val="20"/>
          <w:szCs w:val="20"/>
        </w:rPr>
        <w:t>polypharmacy</w:t>
      </w:r>
      <w:r>
        <w:rPr>
          <w:rFonts w:ascii="Arial" w:hAnsi="Arial" w:cs="Arial"/>
          <w:sz w:val="20"/>
          <w:szCs w:val="20"/>
        </w:rPr>
        <w:t xml:space="preserve"> and </w:t>
      </w:r>
      <w:r w:rsidR="0004625F">
        <w:rPr>
          <w:rFonts w:ascii="Arial" w:hAnsi="Arial" w:cs="Arial"/>
          <w:sz w:val="20"/>
          <w:szCs w:val="20"/>
        </w:rPr>
        <w:t xml:space="preserve">three </w:t>
      </w:r>
      <w:r>
        <w:rPr>
          <w:rFonts w:ascii="Arial" w:hAnsi="Arial" w:cs="Arial"/>
          <w:sz w:val="20"/>
          <w:szCs w:val="20"/>
        </w:rPr>
        <w:t xml:space="preserve">patient outcomes.  We found no evidence of a positive or negative effect of </w:t>
      </w:r>
      <w:r w:rsidR="005922A5">
        <w:rPr>
          <w:rFonts w:ascii="Arial" w:hAnsi="Arial" w:cs="Arial"/>
          <w:sz w:val="20"/>
          <w:szCs w:val="20"/>
        </w:rPr>
        <w:t xml:space="preserve">polypharmacy </w:t>
      </w:r>
      <w:r w:rsidR="00D27BEB">
        <w:rPr>
          <w:rFonts w:ascii="Arial" w:hAnsi="Arial" w:cs="Arial"/>
          <w:sz w:val="20"/>
          <w:szCs w:val="20"/>
        </w:rPr>
        <w:t>on</w:t>
      </w:r>
      <w:r w:rsidR="00A475C1">
        <w:rPr>
          <w:rFonts w:ascii="Arial" w:hAnsi="Arial" w:cs="Arial"/>
          <w:sz w:val="20"/>
          <w:szCs w:val="20"/>
        </w:rPr>
        <w:t xml:space="preserve"> mortality, inpatient hospitaliz</w:t>
      </w:r>
      <w:r w:rsidR="00D27BEB">
        <w:rPr>
          <w:rFonts w:ascii="Arial" w:hAnsi="Arial" w:cs="Arial"/>
          <w:sz w:val="20"/>
          <w:szCs w:val="20"/>
        </w:rPr>
        <w:t xml:space="preserve">ations, and </w:t>
      </w:r>
      <w:r w:rsidR="00C75360">
        <w:rPr>
          <w:rFonts w:ascii="Arial" w:hAnsi="Arial" w:cs="Arial"/>
          <w:sz w:val="20"/>
          <w:szCs w:val="20"/>
        </w:rPr>
        <w:t>E</w:t>
      </w:r>
      <w:r w:rsidR="00C5698A">
        <w:rPr>
          <w:rFonts w:ascii="Arial" w:hAnsi="Arial" w:cs="Arial"/>
          <w:sz w:val="20"/>
          <w:szCs w:val="20"/>
        </w:rPr>
        <w:t>D</w:t>
      </w:r>
      <w:r w:rsidR="00C75360">
        <w:rPr>
          <w:rFonts w:ascii="Arial" w:hAnsi="Arial" w:cs="Arial"/>
          <w:sz w:val="20"/>
          <w:szCs w:val="20"/>
        </w:rPr>
        <w:t xml:space="preserve"> </w:t>
      </w:r>
      <w:r w:rsidR="00D27BEB">
        <w:rPr>
          <w:rFonts w:ascii="Arial" w:hAnsi="Arial" w:cs="Arial"/>
          <w:sz w:val="20"/>
          <w:szCs w:val="20"/>
        </w:rPr>
        <w:t>presentations</w:t>
      </w:r>
      <w:r>
        <w:rPr>
          <w:rFonts w:ascii="Arial" w:hAnsi="Arial" w:cs="Arial"/>
          <w:sz w:val="20"/>
          <w:szCs w:val="20"/>
        </w:rPr>
        <w:t xml:space="preserve">.  </w:t>
      </w:r>
      <w:r w:rsidR="00D27BEB">
        <w:rPr>
          <w:rFonts w:ascii="Arial" w:hAnsi="Arial" w:cs="Arial"/>
          <w:sz w:val="20"/>
          <w:szCs w:val="20"/>
        </w:rPr>
        <w:t>At a policy level t</w:t>
      </w:r>
      <w:r>
        <w:rPr>
          <w:rFonts w:ascii="Arial" w:hAnsi="Arial" w:cs="Arial"/>
          <w:sz w:val="20"/>
          <w:szCs w:val="20"/>
        </w:rPr>
        <w:t>hese</w:t>
      </w:r>
      <w:r w:rsidRPr="001557E3">
        <w:rPr>
          <w:rFonts w:ascii="Arial" w:hAnsi="Arial" w:cs="Arial"/>
          <w:sz w:val="20"/>
          <w:szCs w:val="20"/>
        </w:rPr>
        <w:t xml:space="preserve"> findings </w:t>
      </w:r>
      <w:r w:rsidR="003C6987">
        <w:rPr>
          <w:rFonts w:ascii="Arial" w:hAnsi="Arial" w:cs="Arial"/>
          <w:sz w:val="20"/>
          <w:szCs w:val="20"/>
        </w:rPr>
        <w:t xml:space="preserve">do not rule out </w:t>
      </w:r>
      <w:r w:rsidR="005922A5">
        <w:rPr>
          <w:rFonts w:ascii="Arial" w:hAnsi="Arial" w:cs="Arial"/>
          <w:sz w:val="20"/>
          <w:szCs w:val="20"/>
        </w:rPr>
        <w:t>polypharmacy</w:t>
      </w:r>
      <w:r w:rsidR="003C6987">
        <w:rPr>
          <w:rFonts w:ascii="Arial" w:hAnsi="Arial" w:cs="Arial"/>
          <w:sz w:val="20"/>
          <w:szCs w:val="20"/>
        </w:rPr>
        <w:t xml:space="preserve"> options but </w:t>
      </w:r>
      <w:r w:rsidR="00D27BEB">
        <w:rPr>
          <w:rFonts w:ascii="Arial" w:hAnsi="Arial" w:cs="Arial"/>
          <w:sz w:val="20"/>
          <w:szCs w:val="20"/>
        </w:rPr>
        <w:t xml:space="preserve">highlight the need for </w:t>
      </w:r>
      <w:r>
        <w:rPr>
          <w:rFonts w:ascii="Arial" w:hAnsi="Arial" w:cs="Arial"/>
          <w:sz w:val="20"/>
          <w:szCs w:val="20"/>
        </w:rPr>
        <w:t xml:space="preserve">further </w:t>
      </w:r>
      <w:r w:rsidR="00D27BEB">
        <w:rPr>
          <w:rFonts w:ascii="Arial" w:hAnsi="Arial" w:cs="Arial"/>
          <w:sz w:val="20"/>
          <w:szCs w:val="20"/>
        </w:rPr>
        <w:t xml:space="preserve">research </w:t>
      </w:r>
      <w:r w:rsidRPr="001557E3">
        <w:rPr>
          <w:rFonts w:ascii="Arial" w:hAnsi="Arial" w:cs="Arial"/>
          <w:sz w:val="20"/>
          <w:szCs w:val="20"/>
        </w:rPr>
        <w:t xml:space="preserve">on the appropriateness of </w:t>
      </w:r>
      <w:r w:rsidR="005922A5">
        <w:rPr>
          <w:rFonts w:ascii="Arial" w:hAnsi="Arial" w:cs="Arial"/>
          <w:sz w:val="20"/>
          <w:szCs w:val="20"/>
        </w:rPr>
        <w:t>polypharmacy</w:t>
      </w:r>
      <w:r w:rsidRPr="001557E3">
        <w:rPr>
          <w:rFonts w:ascii="Arial" w:hAnsi="Arial" w:cs="Arial"/>
          <w:sz w:val="20"/>
          <w:szCs w:val="20"/>
        </w:rPr>
        <w:t>.</w:t>
      </w:r>
    </w:p>
    <w:p w14:paraId="012F5B14" w14:textId="10C5D0A8" w:rsidR="00D27BEB" w:rsidRDefault="00D27BEB">
      <w:pPr>
        <w:spacing w:after="200" w:line="276" w:lineRule="auto"/>
        <w:rPr>
          <w:rFonts w:ascii="Arial" w:hAnsi="Arial" w:cs="Arial"/>
          <w:sz w:val="20"/>
          <w:szCs w:val="20"/>
        </w:rPr>
      </w:pPr>
      <w:r>
        <w:rPr>
          <w:rFonts w:ascii="Arial" w:hAnsi="Arial" w:cs="Arial"/>
          <w:sz w:val="20"/>
          <w:szCs w:val="20"/>
        </w:rPr>
        <w:br w:type="page"/>
      </w:r>
    </w:p>
    <w:bookmarkEnd w:id="16"/>
    <w:bookmarkEnd w:id="17"/>
    <w:p w14:paraId="6A2BDB48" w14:textId="63F80203" w:rsidR="00FD3106" w:rsidRPr="00E92896" w:rsidRDefault="004E78FB" w:rsidP="00E92896">
      <w:pPr>
        <w:pStyle w:val="Heading1"/>
      </w:pPr>
      <w:r w:rsidRPr="00E92896">
        <w:lastRenderedPageBreak/>
        <w:t>References</w:t>
      </w:r>
    </w:p>
    <w:p w14:paraId="1C0BAB02" w14:textId="77777777" w:rsidR="00464E25" w:rsidRPr="00464E25" w:rsidRDefault="00FD3106" w:rsidP="00464E25">
      <w:pPr>
        <w:pStyle w:val="EndNoteBibliography"/>
      </w:pPr>
      <w:r w:rsidRPr="00BF3D07">
        <w:rPr>
          <w:rFonts w:ascii="Arial" w:hAnsi="Arial" w:cs="Arial"/>
          <w:sz w:val="20"/>
          <w:szCs w:val="20"/>
          <w:lang w:val="en-GB"/>
        </w:rPr>
        <w:fldChar w:fldCharType="begin"/>
      </w:r>
      <w:r w:rsidRPr="00BF3D07">
        <w:rPr>
          <w:rFonts w:ascii="Arial" w:hAnsi="Arial" w:cs="Arial"/>
          <w:sz w:val="20"/>
          <w:szCs w:val="20"/>
          <w:lang w:val="en-GB"/>
        </w:rPr>
        <w:instrText xml:space="preserve"> ADDIN EN.REFLIST </w:instrText>
      </w:r>
      <w:r w:rsidRPr="00BF3D07">
        <w:rPr>
          <w:rFonts w:ascii="Arial" w:hAnsi="Arial" w:cs="Arial"/>
          <w:sz w:val="20"/>
          <w:szCs w:val="20"/>
          <w:lang w:val="en-GB"/>
        </w:rPr>
        <w:fldChar w:fldCharType="separate"/>
      </w:r>
      <w:bookmarkStart w:id="18" w:name="_ENREF_1"/>
      <w:r w:rsidR="00464E25" w:rsidRPr="00464E25">
        <w:t>1.</w:t>
      </w:r>
      <w:r w:rsidR="00464E25" w:rsidRPr="00464E25">
        <w:tab/>
        <w:t>Psychosis and schizophrenia in adults. Treatment and management. National Clinical Guideline Number 178. . National Institute for Health and Care Excellence, National Collaborating Centre for Mental Health; 2014.</w:t>
      </w:r>
      <w:bookmarkEnd w:id="18"/>
    </w:p>
    <w:p w14:paraId="4EE121D4" w14:textId="77777777" w:rsidR="00464E25" w:rsidRPr="00464E25" w:rsidRDefault="00464E25" w:rsidP="00464E25">
      <w:pPr>
        <w:pStyle w:val="EndNoteBibliography"/>
      </w:pPr>
      <w:bookmarkStart w:id="19" w:name="_ENREF_2"/>
      <w:r w:rsidRPr="00464E25">
        <w:t>2.</w:t>
      </w:r>
      <w:r w:rsidRPr="00464E25">
        <w:tab/>
        <w:t>Hasan A, Falkai P, Wobrock T, et al. World Federation of Societies of Biological Psychiatry (WFSBP) Guidelines for Biological Treatment of Schizophrenia, Part 1: Update 2012 on the acute treatment of schizophrenia and the management of treatment resistance. The World Journal of Biological Psychiatry. 2012;13:318-78.</w:t>
      </w:r>
      <w:bookmarkEnd w:id="19"/>
    </w:p>
    <w:p w14:paraId="5D2AAFE7" w14:textId="77777777" w:rsidR="00464E25" w:rsidRPr="00464E25" w:rsidRDefault="00464E25" w:rsidP="00464E25">
      <w:pPr>
        <w:pStyle w:val="EndNoteBibliography"/>
      </w:pPr>
      <w:bookmarkStart w:id="20" w:name="_ENREF_3"/>
      <w:r w:rsidRPr="00464E25">
        <w:t>3.</w:t>
      </w:r>
      <w:r w:rsidRPr="00464E25">
        <w:tab/>
        <w:t>Faries D, Ascher-Svanum H, Zhu B, et al. Antipsychotic monotherapy and polypharmacy in the naturalistic treatment of schizophrenia with atypical antipsychotics. BMC Psychiatry. 2005;5:26.</w:t>
      </w:r>
      <w:bookmarkEnd w:id="20"/>
    </w:p>
    <w:p w14:paraId="5482CE22" w14:textId="77777777" w:rsidR="00464E25" w:rsidRPr="00464E25" w:rsidRDefault="00464E25" w:rsidP="00464E25">
      <w:pPr>
        <w:pStyle w:val="EndNoteBibliography"/>
      </w:pPr>
      <w:bookmarkStart w:id="21" w:name="_ENREF_4"/>
      <w:r w:rsidRPr="00464E25">
        <w:t>4.</w:t>
      </w:r>
      <w:r w:rsidRPr="00464E25">
        <w:tab/>
        <w:t>Paton C, Barnes T, Cavanagh M, et al. High-dose and combination antipsychotic prescribing in acute adult wards in the UK: the challenges posed by p.r.n. prescribing. The British Journal of Psychiatry. 2008;192:435-39.</w:t>
      </w:r>
      <w:bookmarkEnd w:id="21"/>
    </w:p>
    <w:p w14:paraId="29A6B3FD" w14:textId="77777777" w:rsidR="00464E25" w:rsidRPr="00464E25" w:rsidRDefault="00464E25" w:rsidP="00464E25">
      <w:pPr>
        <w:pStyle w:val="EndNoteBibliography"/>
      </w:pPr>
      <w:bookmarkStart w:id="22" w:name="_ENREF_5"/>
      <w:r w:rsidRPr="00464E25">
        <w:t>5.</w:t>
      </w:r>
      <w:r w:rsidRPr="00464E25">
        <w:tab/>
        <w:t>Correll C, Rummel-Kluge C, Corve C, et al. Antipsychotic combinations vs monotherapy in schizophrenia: A meta-analysis of randomized controlled trials.  . Schizophrenia Bulletin. 2009;35:443-57.</w:t>
      </w:r>
      <w:bookmarkEnd w:id="22"/>
    </w:p>
    <w:p w14:paraId="794B5AC5" w14:textId="77777777" w:rsidR="00464E25" w:rsidRPr="00464E25" w:rsidRDefault="00464E25" w:rsidP="00464E25">
      <w:pPr>
        <w:pStyle w:val="EndNoteBibliography"/>
      </w:pPr>
      <w:bookmarkStart w:id="23" w:name="_ENREF_6"/>
      <w:r w:rsidRPr="00464E25">
        <w:t>6.</w:t>
      </w:r>
      <w:r w:rsidRPr="00464E25">
        <w:tab/>
        <w:t>Hou C, Ma X, Zang Y, et al. Antipsychotic polypharmacy and quality of life in patients with schizophrenia treated in primary care in China. International Journal of Clinical Pharmacology and Therapeutics. 2016;54(1):36-42.</w:t>
      </w:r>
      <w:bookmarkEnd w:id="23"/>
    </w:p>
    <w:p w14:paraId="15794C04" w14:textId="77777777" w:rsidR="00464E25" w:rsidRPr="00464E25" w:rsidRDefault="00464E25" w:rsidP="00464E25">
      <w:pPr>
        <w:pStyle w:val="EndNoteBibliography"/>
      </w:pPr>
      <w:bookmarkStart w:id="24" w:name="_ENREF_7"/>
      <w:r w:rsidRPr="00464E25">
        <w:t>7.</w:t>
      </w:r>
      <w:r w:rsidRPr="00464E25">
        <w:tab/>
        <w:t>Misawa F, Shimizu K, Fujii Y, et al. Is antipsychotic polypharmacy associated with metabolic syndrome even after adjustment for lifestyle effects?: a cross-sectional study. BMC Psychiatry. 2011;11:118.</w:t>
      </w:r>
      <w:bookmarkEnd w:id="24"/>
    </w:p>
    <w:p w14:paraId="175A806A" w14:textId="77777777" w:rsidR="00464E25" w:rsidRPr="00464E25" w:rsidRDefault="00464E25" w:rsidP="00464E25">
      <w:pPr>
        <w:pStyle w:val="EndNoteBibliography"/>
      </w:pPr>
      <w:bookmarkStart w:id="25" w:name="_ENREF_8"/>
      <w:r w:rsidRPr="00464E25">
        <w:t>8.</w:t>
      </w:r>
      <w:r w:rsidRPr="00464E25">
        <w:tab/>
        <w:t>Lochmann van Bennekom M, Gijsman H, Zitman F. Antipsychotic polypharmacy in psychotic disorders: a critical review of neurobiology, efficacy, tolerability and cost effectiveness. Journal of Psychopharmacology. 2013;27(4):327-36.</w:t>
      </w:r>
      <w:bookmarkEnd w:id="25"/>
    </w:p>
    <w:p w14:paraId="5B7D3C7B" w14:textId="77777777" w:rsidR="00464E25" w:rsidRPr="00464E25" w:rsidRDefault="00464E25" w:rsidP="00464E25">
      <w:pPr>
        <w:pStyle w:val="EndNoteBibliography"/>
      </w:pPr>
      <w:bookmarkStart w:id="26" w:name="_ENREF_9"/>
      <w:r w:rsidRPr="00464E25">
        <w:t>9.</w:t>
      </w:r>
      <w:r w:rsidRPr="00464E25">
        <w:tab/>
        <w:t>Fleischhacker W, Uchida H. Critical review of antipsychotic polypharmacy in the treatment of schizophrenia. International Journal of Neuropsychopharmacology. 2014;17(7):1083-93.</w:t>
      </w:r>
      <w:bookmarkEnd w:id="26"/>
    </w:p>
    <w:p w14:paraId="5C530FF0" w14:textId="77777777" w:rsidR="00464E25" w:rsidRPr="00464E25" w:rsidRDefault="00464E25" w:rsidP="00464E25">
      <w:pPr>
        <w:pStyle w:val="EndNoteBibliography"/>
      </w:pPr>
      <w:bookmarkStart w:id="27" w:name="_ENREF_10"/>
      <w:r w:rsidRPr="00464E25">
        <w:t>10.</w:t>
      </w:r>
      <w:r w:rsidRPr="00464E25">
        <w:tab/>
        <w:t>Stahl S. Antipsychotic polypharmacy, Part 1: Therapeutic option or dirty little secret? Journal of Clinical Psychiatry. 1999;60:425-26.</w:t>
      </w:r>
      <w:bookmarkEnd w:id="27"/>
    </w:p>
    <w:p w14:paraId="27F77B0E" w14:textId="77777777" w:rsidR="00464E25" w:rsidRPr="00464E25" w:rsidRDefault="00464E25" w:rsidP="00464E25">
      <w:pPr>
        <w:pStyle w:val="EndNoteBibliography"/>
      </w:pPr>
      <w:bookmarkStart w:id="28" w:name="_ENREF_11"/>
      <w:r w:rsidRPr="00464E25">
        <w:t>11.</w:t>
      </w:r>
      <w:r w:rsidRPr="00464E25">
        <w:tab/>
        <w:t>Baandrup L, Gasse C, Jensen V, et al. Antipsychotic polypharmacy and risk of death from natural causes in patients with schizophrenia: a population-based nested case-control study. J Clin Psychiatry. 2010;71(2):103-08.</w:t>
      </w:r>
      <w:bookmarkEnd w:id="28"/>
    </w:p>
    <w:p w14:paraId="011C5021" w14:textId="77777777" w:rsidR="00464E25" w:rsidRPr="00464E25" w:rsidRDefault="00464E25" w:rsidP="00464E25">
      <w:pPr>
        <w:pStyle w:val="EndNoteBibliography"/>
      </w:pPr>
      <w:bookmarkStart w:id="29" w:name="_ENREF_12"/>
      <w:r w:rsidRPr="00464E25">
        <w:t>12.</w:t>
      </w:r>
      <w:r w:rsidRPr="00464E25">
        <w:tab/>
        <w:t>Tihonen J, Suokas JT, Suvisaari JM, et al. Polypharmacy with antipsychotics, antidepressants, or benzodiazepines and mortality in schizophrenia. Arch Gen Psychiatry. 2012;69(5):476-83.</w:t>
      </w:r>
      <w:bookmarkEnd w:id="29"/>
    </w:p>
    <w:p w14:paraId="3F37EEE3" w14:textId="77777777" w:rsidR="00464E25" w:rsidRPr="00464E25" w:rsidRDefault="00464E25" w:rsidP="00464E25">
      <w:pPr>
        <w:pStyle w:val="EndNoteBibliography"/>
      </w:pPr>
      <w:bookmarkStart w:id="30" w:name="_ENREF_13"/>
      <w:r w:rsidRPr="00464E25">
        <w:t>13.</w:t>
      </w:r>
      <w:r w:rsidRPr="00464E25">
        <w:tab/>
        <w:t>Todd P. Gilmer TP, Dolder CR, Folsom DP, et al. Antipsychotic polypharmacy trends among Medi-Cal beneficiaries with schizophrenia in San Diego County, 1999–2004. Psychiatric Services. 2007;58(7):1007-10.</w:t>
      </w:r>
      <w:bookmarkEnd w:id="30"/>
    </w:p>
    <w:p w14:paraId="39C33254" w14:textId="77777777" w:rsidR="00464E25" w:rsidRPr="00464E25" w:rsidRDefault="00464E25" w:rsidP="00464E25">
      <w:pPr>
        <w:pStyle w:val="EndNoteBibliography"/>
      </w:pPr>
      <w:bookmarkStart w:id="31" w:name="_ENREF_14"/>
      <w:r w:rsidRPr="00464E25">
        <w:t>14.</w:t>
      </w:r>
      <w:r w:rsidRPr="00464E25">
        <w:tab/>
        <w:t>Kreyenbuhl JA, Valenstein M, McCarthy JF, et al. Long-term antipsychotic polypharmacy in the VA health system: patient characteristics and treatment patterns. Psychiatric Services. 2007;58(4):489-95.</w:t>
      </w:r>
      <w:bookmarkEnd w:id="31"/>
    </w:p>
    <w:p w14:paraId="2AB56B10" w14:textId="77777777" w:rsidR="00464E25" w:rsidRPr="00464E25" w:rsidRDefault="00464E25" w:rsidP="00464E25">
      <w:pPr>
        <w:pStyle w:val="EndNoteBibliography"/>
      </w:pPr>
      <w:bookmarkStart w:id="32" w:name="_ENREF_15"/>
      <w:r w:rsidRPr="00464E25">
        <w:t>15.</w:t>
      </w:r>
      <w:r w:rsidRPr="00464E25">
        <w:tab/>
        <w:t>Velligan D, Carroll C, Lage M, et al. Outcomes of medicaid beneficiaries with schizophrenia receiving clozapine only or antipsychotic combinations. Psychiatric Services. 2015;66(2):127-33.</w:t>
      </w:r>
      <w:bookmarkEnd w:id="32"/>
    </w:p>
    <w:p w14:paraId="00B8FB80" w14:textId="77777777" w:rsidR="00464E25" w:rsidRPr="00464E25" w:rsidRDefault="00464E25" w:rsidP="00464E25">
      <w:pPr>
        <w:pStyle w:val="EndNoteBibliography"/>
      </w:pPr>
      <w:bookmarkStart w:id="33" w:name="_ENREF_16"/>
      <w:r w:rsidRPr="00464E25">
        <w:t>16.</w:t>
      </w:r>
      <w:r w:rsidRPr="00464E25">
        <w:tab/>
        <w:t>Crowley J, Hu M. Covariance analysis of heart transplant survival data. Journal of the American Statistical Association. 1977;72:27-36.</w:t>
      </w:r>
      <w:bookmarkEnd w:id="33"/>
    </w:p>
    <w:p w14:paraId="5B1E139E" w14:textId="77777777" w:rsidR="00464E25" w:rsidRPr="00464E25" w:rsidRDefault="00464E25" w:rsidP="00464E25">
      <w:pPr>
        <w:pStyle w:val="EndNoteBibliography"/>
      </w:pPr>
      <w:bookmarkStart w:id="34" w:name="_ENREF_17"/>
      <w:r w:rsidRPr="00464E25">
        <w:lastRenderedPageBreak/>
        <w:t>17.</w:t>
      </w:r>
      <w:r w:rsidRPr="00464E25">
        <w:tab/>
        <w:t>Springate D, Kontopantelis E, Ashcroft D, et al. ClinicalCodes: An online clinical codes repository to improve the validity and reproducibility of research using electronic medical recors. PloS ONE. 2014;9(6).</w:t>
      </w:r>
      <w:bookmarkEnd w:id="34"/>
    </w:p>
    <w:p w14:paraId="66AA056F" w14:textId="77777777" w:rsidR="00464E25" w:rsidRPr="00464E25" w:rsidRDefault="00464E25" w:rsidP="00464E25">
      <w:pPr>
        <w:pStyle w:val="EndNoteBibliography"/>
      </w:pPr>
      <w:bookmarkStart w:id="35" w:name="_ENREF_18"/>
      <w:r w:rsidRPr="00464E25">
        <w:t>18.</w:t>
      </w:r>
      <w:r w:rsidRPr="00464E25">
        <w:tab/>
        <w:t>Windfuhr K, While D, Kapur N, et al. Suicide risk linked with clinical consultation frequency, psychiatric diagnoses and psychotropic medication prescribing in a national study of primary-care patients. Psychological Medicine. 2016;46:3407-17.</w:t>
      </w:r>
      <w:bookmarkEnd w:id="35"/>
    </w:p>
    <w:p w14:paraId="3BC1E01A" w14:textId="77777777" w:rsidR="00464E25" w:rsidRPr="00464E25" w:rsidRDefault="00464E25" w:rsidP="00464E25">
      <w:pPr>
        <w:pStyle w:val="EndNoteBibliography"/>
      </w:pPr>
      <w:bookmarkStart w:id="36" w:name="_ENREF_19"/>
      <w:r w:rsidRPr="00464E25">
        <w:t>19.</w:t>
      </w:r>
      <w:r w:rsidRPr="00464E25">
        <w:tab/>
        <w:t>Khan NF, Perera R, Harper S, et al. Adaptation and validation of the Charlson Index for Read/OXMIS coded databases. BMC Family Practice. 2010;11(1):1.</w:t>
      </w:r>
      <w:bookmarkEnd w:id="36"/>
    </w:p>
    <w:p w14:paraId="17572544" w14:textId="77777777" w:rsidR="00464E25" w:rsidRPr="00464E25" w:rsidRDefault="00464E25" w:rsidP="00464E25">
      <w:pPr>
        <w:pStyle w:val="EndNoteBibliography"/>
      </w:pPr>
      <w:bookmarkStart w:id="37" w:name="_ENREF_20"/>
      <w:r w:rsidRPr="00464E25">
        <w:t>20.</w:t>
      </w:r>
      <w:r w:rsidRPr="00464E25">
        <w:tab/>
        <w:t>Cox D. Regression models and life tables. Journal of the Royal Statistical Society. 1972;B34:187-220.</w:t>
      </w:r>
      <w:bookmarkEnd w:id="37"/>
    </w:p>
    <w:p w14:paraId="62C294C8" w14:textId="77777777" w:rsidR="00464E25" w:rsidRPr="00464E25" w:rsidRDefault="00464E25" w:rsidP="00464E25">
      <w:pPr>
        <w:pStyle w:val="EndNoteBibliography"/>
      </w:pPr>
      <w:bookmarkStart w:id="38" w:name="_ENREF_21"/>
      <w:r w:rsidRPr="00464E25">
        <w:t>21.</w:t>
      </w:r>
      <w:r w:rsidRPr="00464E25">
        <w:tab/>
        <w:t>Reilly S, Planner C, Hann M, et al. The role of primary care in service provision for people with severe mental illness in the United Kingdom. PLoS one. 2012;7(5):e36468.</w:t>
      </w:r>
      <w:bookmarkEnd w:id="38"/>
    </w:p>
    <w:p w14:paraId="6595C076" w14:textId="77777777" w:rsidR="00464E25" w:rsidRPr="00464E25" w:rsidRDefault="00464E25" w:rsidP="00464E25">
      <w:pPr>
        <w:pStyle w:val="EndNoteBibliography"/>
      </w:pPr>
      <w:bookmarkStart w:id="39" w:name="_ENREF_22"/>
      <w:r w:rsidRPr="00464E25">
        <w:t>22.</w:t>
      </w:r>
      <w:r w:rsidRPr="00464E25">
        <w:tab/>
        <w:t>Kadra G, Stewart R, Shetty H, et al. Extracting antipsychotic polypharmacy data from electronic health records: developing and evaluating a novel process. BMC Psychiatry. 2015;15(166).</w:t>
      </w:r>
      <w:bookmarkEnd w:id="39"/>
    </w:p>
    <w:p w14:paraId="4D533141" w14:textId="77777777" w:rsidR="00464E25" w:rsidRPr="00464E25" w:rsidRDefault="00464E25" w:rsidP="00464E25">
      <w:pPr>
        <w:pStyle w:val="EndNoteBibliography"/>
      </w:pPr>
      <w:bookmarkStart w:id="40" w:name="_ENREF_23"/>
      <w:r w:rsidRPr="00464E25">
        <w:t>23.</w:t>
      </w:r>
      <w:r w:rsidRPr="00464E25">
        <w:tab/>
        <w:t>Gallego J, Bonetti J, Zhang J, et al. Prevalence and correlates of antipsychotic polypharmacy: A systematic review and meta-regression of global and regional trends from the 1970s to 2009. Schizophrenia Research. 2012;138:18-28.</w:t>
      </w:r>
      <w:bookmarkEnd w:id="40"/>
    </w:p>
    <w:p w14:paraId="7E8BD8AE" w14:textId="77777777" w:rsidR="00464E25" w:rsidRPr="00464E25" w:rsidRDefault="00464E25" w:rsidP="00464E25">
      <w:pPr>
        <w:pStyle w:val="EndNoteBibliography"/>
      </w:pPr>
      <w:bookmarkStart w:id="41" w:name="_ENREF_24"/>
      <w:r w:rsidRPr="00464E25">
        <w:t>24.</w:t>
      </w:r>
      <w:r w:rsidRPr="00464E25">
        <w:tab/>
        <w:t>Malandain L, Thibaut F, Grimaldi-Bensouda L, et al. Correlates and predictors of antipsychotic drug polypharmacy in real-life settings: Results from a nationwide cohort study. Schizophrenia Research. 2017.</w:t>
      </w:r>
      <w:bookmarkEnd w:id="41"/>
    </w:p>
    <w:p w14:paraId="60BE2B50" w14:textId="77777777" w:rsidR="00464E25" w:rsidRPr="00464E25" w:rsidRDefault="00464E25" w:rsidP="00464E25">
      <w:pPr>
        <w:pStyle w:val="EndNoteBibliography"/>
      </w:pPr>
      <w:bookmarkStart w:id="42" w:name="_ENREF_25"/>
      <w:r w:rsidRPr="00464E25">
        <w:t>25.</w:t>
      </w:r>
      <w:r w:rsidRPr="00464E25">
        <w:tab/>
        <w:t>Lelliott P, Paton C, Harrington M, et al. The influence of patient variables on polypharmacy and combined high dose of antipsychotic drugs prescribed for in-patients. Psychiatric Bulletin. 2002;26:411-14.</w:t>
      </w:r>
      <w:bookmarkEnd w:id="42"/>
    </w:p>
    <w:p w14:paraId="109CEDAA" w14:textId="77777777" w:rsidR="00464E25" w:rsidRPr="00464E25" w:rsidRDefault="00464E25" w:rsidP="00464E25">
      <w:pPr>
        <w:pStyle w:val="EndNoteBibliography"/>
      </w:pPr>
      <w:bookmarkStart w:id="43" w:name="_ENREF_26"/>
      <w:r w:rsidRPr="00464E25">
        <w:t>26.</w:t>
      </w:r>
      <w:r w:rsidRPr="00464E25">
        <w:tab/>
        <w:t>Connolly A, Taylor D. Factors associated with non evidence-based prescribing of antipsychotics. Therapeutic Advances in Psychopharmacology. 2014;4(6):247-56.</w:t>
      </w:r>
      <w:bookmarkEnd w:id="43"/>
    </w:p>
    <w:p w14:paraId="64ABBD91" w14:textId="16608A0E" w:rsidR="002B58B9" w:rsidRPr="00BF3D07" w:rsidRDefault="00FD3106" w:rsidP="00B90B29">
      <w:pPr>
        <w:pStyle w:val="Heading1"/>
        <w:spacing w:before="0"/>
        <w:ind w:left="431" w:hanging="431"/>
        <w:rPr>
          <w:rFonts w:cs="Arial"/>
          <w:sz w:val="20"/>
          <w:szCs w:val="20"/>
        </w:rPr>
        <w:sectPr w:rsidR="002B58B9" w:rsidRPr="00BF3D07" w:rsidSect="001A7148">
          <w:footerReference w:type="default" r:id="rId10"/>
          <w:footnotePr>
            <w:numFmt w:val="lowerRoman"/>
          </w:footnotePr>
          <w:pgSz w:w="11906" w:h="16838"/>
          <w:pgMar w:top="1440" w:right="1800" w:bottom="1440" w:left="1800" w:header="708" w:footer="708" w:gutter="0"/>
          <w:cols w:space="708"/>
          <w:docGrid w:linePitch="360"/>
        </w:sectPr>
      </w:pPr>
      <w:r w:rsidRPr="00BF3D07">
        <w:rPr>
          <w:rFonts w:cs="Arial"/>
          <w:sz w:val="20"/>
          <w:szCs w:val="20"/>
        </w:rPr>
        <w:fldChar w:fldCharType="end"/>
      </w:r>
    </w:p>
    <w:p w14:paraId="0B5D7CD0" w14:textId="147BD830" w:rsidR="00DD2E49" w:rsidRPr="00026A07" w:rsidRDefault="00DD2E49" w:rsidP="00DD2E49">
      <w:pPr>
        <w:spacing w:after="0" w:line="480" w:lineRule="auto"/>
        <w:rPr>
          <w:rFonts w:ascii="Arial" w:hAnsi="Arial" w:cs="Arial"/>
          <w:b/>
          <w:sz w:val="20"/>
          <w:szCs w:val="20"/>
          <w:lang w:eastAsia="ja-JP"/>
        </w:rPr>
      </w:pPr>
      <w:bookmarkStart w:id="44" w:name="_Ref511302613"/>
      <w:r>
        <w:rPr>
          <w:rFonts w:ascii="Arial" w:hAnsi="Arial" w:cs="Arial"/>
          <w:b/>
          <w:sz w:val="20"/>
          <w:szCs w:val="20"/>
          <w:lang w:eastAsia="ja-JP"/>
        </w:rPr>
        <w:lastRenderedPageBreak/>
        <w:t xml:space="preserve">Figure 1: </w:t>
      </w:r>
      <w:r w:rsidR="005922A5" w:rsidRPr="00496F79">
        <w:rPr>
          <w:rFonts w:ascii="Arial" w:hAnsi="Arial" w:cs="Arial"/>
          <w:b/>
          <w:sz w:val="20"/>
          <w:szCs w:val="20"/>
        </w:rPr>
        <w:t>Polypharmacy</w:t>
      </w:r>
      <w:r w:rsidRPr="00496F79">
        <w:rPr>
          <w:rFonts w:ascii="Arial" w:hAnsi="Arial" w:cs="Arial"/>
          <w:b/>
          <w:sz w:val="20"/>
          <w:szCs w:val="20"/>
          <w:lang w:eastAsia="ja-JP"/>
        </w:rPr>
        <w:t xml:space="preserve"> prevalence</w:t>
      </w:r>
      <w:bookmarkStart w:id="45" w:name="_GoBack"/>
      <w:bookmarkEnd w:id="45"/>
    </w:p>
    <w:p w14:paraId="555FBCBF" w14:textId="46BA4949" w:rsidR="00AF2FC8" w:rsidRDefault="00AF2FC8">
      <w:pPr>
        <w:spacing w:after="200" w:line="276" w:lineRule="auto"/>
      </w:pPr>
      <w:r>
        <w:rPr>
          <w:noProof/>
        </w:rPr>
        <w:drawing>
          <wp:inline distT="0" distB="0" distL="0" distR="0" wp14:anchorId="739A51AE" wp14:editId="0C7DB225">
            <wp:extent cx="5146412" cy="3775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1.emf"/>
                    <pic:cNvPicPr/>
                  </pic:nvPicPr>
                  <pic:blipFill>
                    <a:blip r:embed="rId11">
                      <a:extLst>
                        <a:ext uri="{28A0092B-C50C-407E-A947-70E740481C1C}">
                          <a14:useLocalDpi xmlns:a14="http://schemas.microsoft.com/office/drawing/2010/main" val="0"/>
                        </a:ext>
                      </a:extLst>
                    </a:blip>
                    <a:stretch>
                      <a:fillRect/>
                    </a:stretch>
                  </pic:blipFill>
                  <pic:spPr>
                    <a:xfrm>
                      <a:off x="0" y="0"/>
                      <a:ext cx="5146412" cy="3775172"/>
                    </a:xfrm>
                    <a:prstGeom prst="rect">
                      <a:avLst/>
                    </a:prstGeom>
                  </pic:spPr>
                </pic:pic>
              </a:graphicData>
            </a:graphic>
          </wp:inline>
        </w:drawing>
      </w:r>
    </w:p>
    <w:p w14:paraId="0A4AC940" w14:textId="77777777" w:rsidR="00AF2FC8" w:rsidRDefault="00AF2FC8">
      <w:pPr>
        <w:spacing w:after="200" w:line="276" w:lineRule="auto"/>
      </w:pPr>
    </w:p>
    <w:p w14:paraId="18BEE09B" w14:textId="5DA47C8B" w:rsidR="00DD2E49" w:rsidRDefault="00DD2E49">
      <w:pPr>
        <w:spacing w:after="200" w:line="276" w:lineRule="auto"/>
        <w:rPr>
          <w:rFonts w:cs="Times New Roman"/>
          <w:b/>
          <w:bCs/>
          <w:sz w:val="22"/>
        </w:rPr>
      </w:pPr>
      <w:r>
        <w:br w:type="page"/>
      </w:r>
    </w:p>
    <w:p w14:paraId="07BC380F" w14:textId="28E96A01" w:rsidR="002B58B9" w:rsidRPr="00BF3D07" w:rsidRDefault="00882484" w:rsidP="001040F6">
      <w:pPr>
        <w:pStyle w:val="Caption"/>
        <w:rPr>
          <w:rFonts w:ascii="Arial" w:hAnsi="Arial" w:cs="Arial"/>
          <w:sz w:val="20"/>
          <w:szCs w:val="20"/>
        </w:rPr>
      </w:pPr>
      <w:bookmarkStart w:id="46" w:name="_Ref529371181"/>
      <w:r w:rsidRPr="00BF3D07">
        <w:lastRenderedPageBreak/>
        <w:t xml:space="preserve">Table </w:t>
      </w:r>
      <w:r w:rsidRPr="00BF3D07">
        <w:fldChar w:fldCharType="begin"/>
      </w:r>
      <w:r w:rsidRPr="00BF3D07">
        <w:instrText xml:space="preserve"> SEQ Table \* ARABIC </w:instrText>
      </w:r>
      <w:r w:rsidRPr="00BF3D07">
        <w:fldChar w:fldCharType="separate"/>
      </w:r>
      <w:r w:rsidR="00FF1B96">
        <w:rPr>
          <w:noProof/>
        </w:rPr>
        <w:t>1</w:t>
      </w:r>
      <w:r w:rsidRPr="00BF3D07">
        <w:fldChar w:fldCharType="end"/>
      </w:r>
      <w:bookmarkEnd w:id="44"/>
      <w:bookmarkEnd w:id="46"/>
      <w:r w:rsidR="00704A64">
        <w:t>: D</w:t>
      </w:r>
      <w:r w:rsidR="00DD565E" w:rsidRPr="00BF3D07">
        <w:t xml:space="preserve">escriptive </w:t>
      </w:r>
      <w:r w:rsidRPr="00BF3D07">
        <w:t>statistics</w:t>
      </w:r>
    </w:p>
    <w:tbl>
      <w:tblPr>
        <w:tblW w:w="11220" w:type="dxa"/>
        <w:tblInd w:w="93" w:type="dxa"/>
        <w:tblLook w:val="04A0" w:firstRow="1" w:lastRow="0" w:firstColumn="1" w:lastColumn="0" w:noHBand="0" w:noVBand="1"/>
      </w:tblPr>
      <w:tblGrid>
        <w:gridCol w:w="5505"/>
        <w:gridCol w:w="1980"/>
        <w:gridCol w:w="1800"/>
        <w:gridCol w:w="1935"/>
      </w:tblGrid>
      <w:tr w:rsidR="002B58B9" w:rsidRPr="00BF3D07" w14:paraId="3AAA1425" w14:textId="77777777" w:rsidTr="00922F35">
        <w:trPr>
          <w:trHeight w:val="300"/>
        </w:trPr>
        <w:tc>
          <w:tcPr>
            <w:tcW w:w="5505" w:type="dxa"/>
            <w:tcBorders>
              <w:top w:val="single" w:sz="4" w:space="0" w:color="auto"/>
              <w:left w:val="nil"/>
              <w:right w:val="nil"/>
            </w:tcBorders>
            <w:shd w:val="clear" w:color="auto" w:fill="auto"/>
            <w:noWrap/>
            <w:vAlign w:val="bottom"/>
            <w:hideMark/>
          </w:tcPr>
          <w:p w14:paraId="5ABF496D" w14:textId="77777777" w:rsidR="002B58B9" w:rsidRPr="00BF3D07" w:rsidRDefault="002B58B9" w:rsidP="008C2220">
            <w:pPr>
              <w:spacing w:after="0" w:line="240" w:lineRule="auto"/>
              <w:rPr>
                <w:rFonts w:ascii="Arial" w:eastAsia="Times New Roman" w:hAnsi="Arial" w:cs="Arial"/>
                <w:color w:val="000000"/>
                <w:sz w:val="20"/>
                <w:szCs w:val="20"/>
                <w:lang w:eastAsia="en-US"/>
              </w:rPr>
            </w:pPr>
          </w:p>
        </w:tc>
        <w:tc>
          <w:tcPr>
            <w:tcW w:w="5715" w:type="dxa"/>
            <w:gridSpan w:val="3"/>
            <w:tcBorders>
              <w:top w:val="single" w:sz="4" w:space="0" w:color="auto"/>
              <w:left w:val="nil"/>
              <w:bottom w:val="single" w:sz="4" w:space="0" w:color="auto"/>
              <w:right w:val="nil"/>
            </w:tcBorders>
            <w:shd w:val="clear" w:color="auto" w:fill="auto"/>
            <w:noWrap/>
            <w:vAlign w:val="bottom"/>
          </w:tcPr>
          <w:p w14:paraId="7770BA5A" w14:textId="21CF12A5" w:rsidR="002B58B9" w:rsidRPr="00BF3D07" w:rsidRDefault="005849B2"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Analysis</w:t>
            </w:r>
          </w:p>
        </w:tc>
      </w:tr>
      <w:tr w:rsidR="002B58B9" w:rsidRPr="00BF3D07" w14:paraId="68A7CAC1" w14:textId="77777777" w:rsidTr="000436A4">
        <w:trPr>
          <w:trHeight w:val="300"/>
        </w:trPr>
        <w:tc>
          <w:tcPr>
            <w:tcW w:w="5505" w:type="dxa"/>
            <w:tcBorders>
              <w:left w:val="nil"/>
              <w:bottom w:val="single" w:sz="4" w:space="0" w:color="auto"/>
              <w:right w:val="nil"/>
            </w:tcBorders>
            <w:shd w:val="clear" w:color="auto" w:fill="auto"/>
            <w:noWrap/>
            <w:vAlign w:val="bottom"/>
          </w:tcPr>
          <w:p w14:paraId="29D39640" w14:textId="77777777" w:rsidR="002B58B9" w:rsidRPr="00BF3D07" w:rsidRDefault="002B58B9" w:rsidP="008C2220">
            <w:pPr>
              <w:spacing w:after="0" w:line="240" w:lineRule="auto"/>
              <w:rPr>
                <w:rFonts w:ascii="Arial" w:eastAsia="Times New Roman" w:hAnsi="Arial" w:cs="Arial"/>
                <w:color w:val="000000"/>
                <w:sz w:val="20"/>
                <w:szCs w:val="20"/>
                <w:lang w:eastAsia="en-US"/>
              </w:rPr>
            </w:pPr>
          </w:p>
        </w:tc>
        <w:tc>
          <w:tcPr>
            <w:tcW w:w="1980" w:type="dxa"/>
            <w:tcBorders>
              <w:top w:val="single" w:sz="4" w:space="0" w:color="auto"/>
              <w:left w:val="nil"/>
              <w:bottom w:val="single" w:sz="4" w:space="0" w:color="auto"/>
              <w:right w:val="nil"/>
            </w:tcBorders>
            <w:shd w:val="clear" w:color="auto" w:fill="auto"/>
            <w:noWrap/>
            <w:vAlign w:val="bottom"/>
          </w:tcPr>
          <w:p w14:paraId="3537E1AE" w14:textId="77777777" w:rsidR="002B58B9" w:rsidRPr="00BF3D07" w:rsidRDefault="002B58B9" w:rsidP="008C2220">
            <w:pPr>
              <w:spacing w:after="0" w:line="240" w:lineRule="auto"/>
              <w:jc w:val="center"/>
              <w:rPr>
                <w:rFonts w:ascii="Arial" w:eastAsia="Times New Roman" w:hAnsi="Arial" w:cs="Arial"/>
                <w:color w:val="000000"/>
                <w:sz w:val="20"/>
                <w:szCs w:val="20"/>
                <w:lang w:eastAsia="en-US"/>
              </w:rPr>
            </w:pPr>
            <w:r w:rsidRPr="00BF3D07">
              <w:rPr>
                <w:rFonts w:ascii="Arial" w:eastAsia="Times New Roman" w:hAnsi="Arial" w:cs="Arial"/>
                <w:color w:val="000000"/>
                <w:sz w:val="20"/>
                <w:szCs w:val="20"/>
                <w:lang w:eastAsia="en-US"/>
              </w:rPr>
              <w:t>Unplanned admissions</w:t>
            </w:r>
          </w:p>
        </w:tc>
        <w:tc>
          <w:tcPr>
            <w:tcW w:w="1800" w:type="dxa"/>
            <w:tcBorders>
              <w:top w:val="single" w:sz="4" w:space="0" w:color="auto"/>
              <w:left w:val="nil"/>
              <w:bottom w:val="single" w:sz="4" w:space="0" w:color="auto"/>
              <w:right w:val="nil"/>
            </w:tcBorders>
            <w:shd w:val="clear" w:color="auto" w:fill="auto"/>
            <w:noWrap/>
            <w:vAlign w:val="center"/>
          </w:tcPr>
          <w:p w14:paraId="3BD98E2D" w14:textId="77777777" w:rsidR="002B58B9" w:rsidRPr="00BF3D07" w:rsidRDefault="002B58B9" w:rsidP="000436A4">
            <w:pPr>
              <w:spacing w:after="0" w:line="240" w:lineRule="auto"/>
              <w:jc w:val="center"/>
              <w:rPr>
                <w:rFonts w:ascii="Arial" w:eastAsia="Times New Roman" w:hAnsi="Arial" w:cs="Arial"/>
                <w:color w:val="000000"/>
                <w:sz w:val="20"/>
                <w:szCs w:val="20"/>
                <w:lang w:eastAsia="en-US"/>
              </w:rPr>
            </w:pPr>
            <w:r w:rsidRPr="00BF3D07">
              <w:rPr>
                <w:rFonts w:ascii="Arial" w:eastAsia="Times New Roman" w:hAnsi="Arial" w:cs="Arial"/>
                <w:color w:val="000000"/>
                <w:sz w:val="20"/>
                <w:szCs w:val="20"/>
                <w:lang w:eastAsia="en-US"/>
              </w:rPr>
              <w:t>Death</w:t>
            </w:r>
          </w:p>
        </w:tc>
        <w:tc>
          <w:tcPr>
            <w:tcW w:w="1935" w:type="dxa"/>
            <w:tcBorders>
              <w:top w:val="single" w:sz="4" w:space="0" w:color="auto"/>
              <w:left w:val="nil"/>
              <w:bottom w:val="single" w:sz="4" w:space="0" w:color="auto"/>
              <w:right w:val="nil"/>
            </w:tcBorders>
            <w:shd w:val="clear" w:color="auto" w:fill="auto"/>
            <w:noWrap/>
            <w:vAlign w:val="center"/>
          </w:tcPr>
          <w:p w14:paraId="24303681" w14:textId="350A037A" w:rsidR="002B58B9" w:rsidRPr="00BF3D07" w:rsidRDefault="002B58B9" w:rsidP="000436A4">
            <w:pPr>
              <w:spacing w:after="0" w:line="240" w:lineRule="auto"/>
              <w:jc w:val="center"/>
              <w:rPr>
                <w:rFonts w:ascii="Arial" w:eastAsia="Times New Roman" w:hAnsi="Arial" w:cs="Arial"/>
                <w:color w:val="000000"/>
                <w:sz w:val="20"/>
                <w:szCs w:val="20"/>
                <w:lang w:eastAsia="en-US"/>
              </w:rPr>
            </w:pPr>
            <w:r w:rsidRPr="00BF3D07">
              <w:rPr>
                <w:rFonts w:ascii="Arial" w:eastAsia="Times New Roman" w:hAnsi="Arial" w:cs="Arial"/>
                <w:color w:val="000000"/>
                <w:sz w:val="20"/>
                <w:szCs w:val="20"/>
                <w:lang w:eastAsia="en-US"/>
              </w:rPr>
              <w:t>E</w:t>
            </w:r>
            <w:r w:rsidR="001E51CE">
              <w:rPr>
                <w:rFonts w:ascii="Arial" w:eastAsia="Times New Roman" w:hAnsi="Arial" w:cs="Arial"/>
                <w:color w:val="000000"/>
                <w:sz w:val="20"/>
                <w:szCs w:val="20"/>
                <w:lang w:eastAsia="en-US"/>
              </w:rPr>
              <w:t>D</w:t>
            </w:r>
            <w:r w:rsidRPr="00BF3D07">
              <w:rPr>
                <w:rFonts w:ascii="Arial" w:eastAsia="Times New Roman" w:hAnsi="Arial" w:cs="Arial"/>
                <w:color w:val="000000"/>
                <w:sz w:val="20"/>
                <w:szCs w:val="20"/>
                <w:lang w:eastAsia="en-US"/>
              </w:rPr>
              <w:t xml:space="preserve"> presentations</w:t>
            </w:r>
          </w:p>
        </w:tc>
      </w:tr>
      <w:tr w:rsidR="00DD565E" w:rsidRPr="00BF3D07" w14:paraId="5073555E" w14:textId="77777777" w:rsidTr="00922F35">
        <w:trPr>
          <w:trHeight w:val="300"/>
        </w:trPr>
        <w:tc>
          <w:tcPr>
            <w:tcW w:w="5505" w:type="dxa"/>
            <w:tcBorders>
              <w:top w:val="nil"/>
              <w:left w:val="nil"/>
              <w:bottom w:val="nil"/>
              <w:right w:val="nil"/>
            </w:tcBorders>
            <w:shd w:val="clear" w:color="auto" w:fill="auto"/>
            <w:noWrap/>
            <w:vAlign w:val="bottom"/>
          </w:tcPr>
          <w:p w14:paraId="72F68B0F" w14:textId="5E530A85" w:rsidR="00DD565E" w:rsidRPr="007C7805" w:rsidRDefault="007C7805" w:rsidP="00613EDC">
            <w:pPr>
              <w:spacing w:after="0" w:line="240" w:lineRule="auto"/>
              <w:rPr>
                <w:rFonts w:ascii="Arial" w:eastAsia="Times New Roman" w:hAnsi="Arial" w:cs="Arial"/>
                <w:b/>
                <w:color w:val="000000"/>
                <w:sz w:val="20"/>
                <w:szCs w:val="20"/>
                <w:lang w:eastAsia="en-US"/>
              </w:rPr>
            </w:pPr>
            <w:r w:rsidRPr="007C7805">
              <w:rPr>
                <w:rFonts w:ascii="Arial" w:eastAsia="Times New Roman" w:hAnsi="Arial" w:cs="Arial"/>
                <w:b/>
                <w:color w:val="000000"/>
                <w:sz w:val="20"/>
                <w:szCs w:val="20"/>
                <w:lang w:eastAsia="en-US"/>
              </w:rPr>
              <w:t>Full sample</w:t>
            </w:r>
          </w:p>
        </w:tc>
        <w:tc>
          <w:tcPr>
            <w:tcW w:w="1980" w:type="dxa"/>
            <w:tcBorders>
              <w:top w:val="nil"/>
              <w:left w:val="nil"/>
              <w:bottom w:val="nil"/>
              <w:right w:val="nil"/>
            </w:tcBorders>
            <w:shd w:val="clear" w:color="auto" w:fill="auto"/>
            <w:noWrap/>
            <w:vAlign w:val="bottom"/>
          </w:tcPr>
          <w:p w14:paraId="7741B25C" w14:textId="77777777" w:rsidR="00DD565E" w:rsidRPr="00BF3D07" w:rsidRDefault="00DD565E" w:rsidP="008C2220">
            <w:pPr>
              <w:spacing w:after="0" w:line="240" w:lineRule="auto"/>
              <w:jc w:val="center"/>
              <w:rPr>
                <w:rFonts w:ascii="Arial" w:eastAsia="Times New Roman" w:hAnsi="Arial" w:cs="Arial"/>
                <w:color w:val="000000"/>
                <w:sz w:val="20"/>
                <w:szCs w:val="20"/>
                <w:lang w:eastAsia="en-US"/>
              </w:rPr>
            </w:pPr>
          </w:p>
        </w:tc>
        <w:tc>
          <w:tcPr>
            <w:tcW w:w="1800" w:type="dxa"/>
            <w:tcBorders>
              <w:top w:val="nil"/>
              <w:left w:val="nil"/>
              <w:bottom w:val="nil"/>
              <w:right w:val="nil"/>
            </w:tcBorders>
            <w:shd w:val="clear" w:color="auto" w:fill="auto"/>
            <w:noWrap/>
            <w:vAlign w:val="bottom"/>
          </w:tcPr>
          <w:p w14:paraId="2E6473A0" w14:textId="77777777" w:rsidR="00DD565E" w:rsidRPr="00BF3D07" w:rsidRDefault="00DD565E" w:rsidP="008C2220">
            <w:pPr>
              <w:spacing w:after="0" w:line="240" w:lineRule="auto"/>
              <w:jc w:val="center"/>
              <w:rPr>
                <w:rFonts w:ascii="Arial" w:eastAsia="Times New Roman" w:hAnsi="Arial" w:cs="Arial"/>
                <w:color w:val="000000"/>
                <w:sz w:val="20"/>
                <w:szCs w:val="20"/>
                <w:lang w:eastAsia="en-US"/>
              </w:rPr>
            </w:pPr>
          </w:p>
        </w:tc>
        <w:tc>
          <w:tcPr>
            <w:tcW w:w="1935" w:type="dxa"/>
            <w:tcBorders>
              <w:top w:val="nil"/>
              <w:left w:val="nil"/>
              <w:bottom w:val="nil"/>
              <w:right w:val="nil"/>
            </w:tcBorders>
            <w:shd w:val="clear" w:color="auto" w:fill="auto"/>
            <w:noWrap/>
            <w:vAlign w:val="bottom"/>
          </w:tcPr>
          <w:p w14:paraId="5EB492DF" w14:textId="77777777" w:rsidR="00DD565E" w:rsidRPr="00BF3D07" w:rsidRDefault="00DD565E" w:rsidP="008C2220">
            <w:pPr>
              <w:spacing w:after="0" w:line="240" w:lineRule="auto"/>
              <w:jc w:val="center"/>
              <w:rPr>
                <w:rFonts w:ascii="Arial" w:eastAsia="Times New Roman" w:hAnsi="Arial" w:cs="Arial"/>
                <w:color w:val="000000"/>
                <w:sz w:val="20"/>
                <w:szCs w:val="20"/>
                <w:lang w:eastAsia="en-US"/>
              </w:rPr>
            </w:pPr>
          </w:p>
        </w:tc>
      </w:tr>
      <w:tr w:rsidR="002B58B9" w:rsidRPr="00BF3D07" w14:paraId="77039BD1" w14:textId="77777777" w:rsidTr="00922F35">
        <w:trPr>
          <w:trHeight w:val="300"/>
        </w:trPr>
        <w:tc>
          <w:tcPr>
            <w:tcW w:w="5505" w:type="dxa"/>
            <w:tcBorders>
              <w:top w:val="nil"/>
              <w:left w:val="nil"/>
              <w:bottom w:val="nil"/>
              <w:right w:val="nil"/>
            </w:tcBorders>
            <w:shd w:val="clear" w:color="auto" w:fill="auto"/>
            <w:noWrap/>
            <w:vAlign w:val="bottom"/>
            <w:hideMark/>
          </w:tcPr>
          <w:p w14:paraId="081A2A6E" w14:textId="26DBB6BB" w:rsidR="002B58B9" w:rsidRPr="00BF3D07" w:rsidRDefault="002B58B9" w:rsidP="007C7805">
            <w:pPr>
              <w:spacing w:after="0" w:line="240" w:lineRule="auto"/>
              <w:ind w:firstLine="267"/>
              <w:rPr>
                <w:rFonts w:ascii="Arial" w:eastAsia="Times New Roman" w:hAnsi="Arial" w:cs="Arial"/>
                <w:color w:val="000000"/>
                <w:sz w:val="20"/>
                <w:szCs w:val="20"/>
                <w:lang w:eastAsia="en-US"/>
              </w:rPr>
            </w:pPr>
            <w:r w:rsidRPr="00BF3D07">
              <w:rPr>
                <w:rFonts w:ascii="Arial" w:eastAsia="Times New Roman" w:hAnsi="Arial" w:cs="Arial"/>
                <w:color w:val="000000"/>
                <w:sz w:val="20"/>
                <w:szCs w:val="20"/>
                <w:lang w:eastAsia="en-US"/>
              </w:rPr>
              <w:t>N</w:t>
            </w:r>
            <w:r w:rsidR="007C7805">
              <w:rPr>
                <w:rFonts w:ascii="Arial" w:eastAsia="Times New Roman" w:hAnsi="Arial" w:cs="Arial"/>
                <w:color w:val="000000"/>
                <w:sz w:val="20"/>
                <w:szCs w:val="20"/>
                <w:lang w:eastAsia="en-US"/>
              </w:rPr>
              <w:t xml:space="preserve"> individuals</w:t>
            </w:r>
          </w:p>
        </w:tc>
        <w:tc>
          <w:tcPr>
            <w:tcW w:w="1980" w:type="dxa"/>
            <w:tcBorders>
              <w:top w:val="nil"/>
              <w:left w:val="nil"/>
              <w:bottom w:val="nil"/>
              <w:right w:val="nil"/>
            </w:tcBorders>
            <w:shd w:val="clear" w:color="auto" w:fill="auto"/>
            <w:noWrap/>
            <w:vAlign w:val="bottom"/>
            <w:hideMark/>
          </w:tcPr>
          <w:p w14:paraId="6EDA690B" w14:textId="77777777" w:rsidR="002B58B9" w:rsidRPr="006F0AC1" w:rsidRDefault="002B58B9"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17,255</w:t>
            </w:r>
          </w:p>
        </w:tc>
        <w:tc>
          <w:tcPr>
            <w:tcW w:w="1800" w:type="dxa"/>
            <w:tcBorders>
              <w:top w:val="nil"/>
              <w:left w:val="nil"/>
              <w:bottom w:val="nil"/>
              <w:right w:val="nil"/>
            </w:tcBorders>
            <w:shd w:val="clear" w:color="auto" w:fill="auto"/>
            <w:noWrap/>
            <w:vAlign w:val="bottom"/>
            <w:hideMark/>
          </w:tcPr>
          <w:p w14:paraId="4BFCB5D8" w14:textId="77777777" w:rsidR="002B58B9" w:rsidRPr="006F0AC1" w:rsidRDefault="002B58B9"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17,255</w:t>
            </w:r>
          </w:p>
        </w:tc>
        <w:tc>
          <w:tcPr>
            <w:tcW w:w="1935" w:type="dxa"/>
            <w:tcBorders>
              <w:top w:val="nil"/>
              <w:left w:val="nil"/>
              <w:bottom w:val="nil"/>
              <w:right w:val="nil"/>
            </w:tcBorders>
            <w:shd w:val="clear" w:color="auto" w:fill="auto"/>
            <w:noWrap/>
            <w:vAlign w:val="bottom"/>
            <w:hideMark/>
          </w:tcPr>
          <w:p w14:paraId="38D8FA35" w14:textId="77777777" w:rsidR="002B58B9" w:rsidRPr="006F0AC1" w:rsidRDefault="002B58B9"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13,247</w:t>
            </w:r>
          </w:p>
        </w:tc>
      </w:tr>
      <w:tr w:rsidR="007C7805" w:rsidRPr="00BF3D07" w14:paraId="3270D047" w14:textId="77777777" w:rsidTr="00922F35">
        <w:trPr>
          <w:trHeight w:val="300"/>
        </w:trPr>
        <w:tc>
          <w:tcPr>
            <w:tcW w:w="5505" w:type="dxa"/>
            <w:tcBorders>
              <w:top w:val="nil"/>
              <w:left w:val="nil"/>
              <w:bottom w:val="nil"/>
              <w:right w:val="nil"/>
            </w:tcBorders>
            <w:shd w:val="clear" w:color="auto" w:fill="auto"/>
            <w:noWrap/>
            <w:vAlign w:val="bottom"/>
          </w:tcPr>
          <w:p w14:paraId="5A7EA0BF" w14:textId="45D2E863" w:rsidR="007C7805" w:rsidRPr="00F00CDF" w:rsidRDefault="00B752C0" w:rsidP="00B752C0">
            <w:pPr>
              <w:spacing w:after="0" w:line="240" w:lineRule="auto"/>
              <w:ind w:firstLine="267"/>
              <w:rPr>
                <w:rFonts w:ascii="Arial" w:eastAsia="Times New Roman" w:hAnsi="Arial" w:cs="Arial"/>
                <w:i/>
                <w:color w:val="000000"/>
                <w:sz w:val="20"/>
                <w:szCs w:val="20"/>
                <w:vertAlign w:val="superscript"/>
                <w:lang w:eastAsia="en-US"/>
              </w:rPr>
            </w:pPr>
            <w:r>
              <w:rPr>
                <w:rFonts w:ascii="Arial" w:eastAsia="Times New Roman" w:hAnsi="Arial" w:cs="Arial"/>
                <w:i/>
                <w:color w:val="000000"/>
                <w:sz w:val="20"/>
                <w:szCs w:val="20"/>
                <w:lang w:eastAsia="en-US"/>
              </w:rPr>
              <w:t>During o</w:t>
            </w:r>
            <w:r w:rsidR="007C7805" w:rsidRPr="007C7805">
              <w:rPr>
                <w:rFonts w:ascii="Arial" w:eastAsia="Times New Roman" w:hAnsi="Arial" w:cs="Arial"/>
                <w:i/>
                <w:color w:val="000000"/>
                <w:sz w:val="20"/>
                <w:szCs w:val="20"/>
                <w:lang w:eastAsia="en-US"/>
              </w:rPr>
              <w:t>bservation period</w:t>
            </w:r>
            <w:r w:rsidR="004D77D3">
              <w:rPr>
                <w:rFonts w:ascii="Arial" w:eastAsia="Times New Roman" w:hAnsi="Arial" w:cs="Arial"/>
                <w:i/>
                <w:color w:val="000000"/>
                <w:sz w:val="20"/>
                <w:szCs w:val="20"/>
                <w:vertAlign w:val="superscript"/>
                <w:lang w:eastAsia="en-US"/>
              </w:rPr>
              <w:t>a</w:t>
            </w:r>
          </w:p>
        </w:tc>
        <w:tc>
          <w:tcPr>
            <w:tcW w:w="1980" w:type="dxa"/>
            <w:tcBorders>
              <w:top w:val="nil"/>
              <w:left w:val="nil"/>
              <w:bottom w:val="nil"/>
              <w:right w:val="nil"/>
            </w:tcBorders>
            <w:shd w:val="clear" w:color="auto" w:fill="auto"/>
            <w:noWrap/>
            <w:vAlign w:val="bottom"/>
          </w:tcPr>
          <w:p w14:paraId="46E9AD62" w14:textId="77777777" w:rsidR="007C7805" w:rsidRPr="006F0AC1" w:rsidRDefault="007C7805" w:rsidP="008C2220">
            <w:pPr>
              <w:spacing w:after="0" w:line="240" w:lineRule="auto"/>
              <w:jc w:val="center"/>
              <w:rPr>
                <w:rFonts w:ascii="Arial" w:eastAsia="Times New Roman" w:hAnsi="Arial" w:cs="Arial"/>
                <w:color w:val="000000"/>
                <w:sz w:val="20"/>
                <w:szCs w:val="20"/>
                <w:lang w:eastAsia="en-US"/>
              </w:rPr>
            </w:pPr>
          </w:p>
        </w:tc>
        <w:tc>
          <w:tcPr>
            <w:tcW w:w="1800" w:type="dxa"/>
            <w:tcBorders>
              <w:top w:val="nil"/>
              <w:left w:val="nil"/>
              <w:bottom w:val="nil"/>
              <w:right w:val="nil"/>
            </w:tcBorders>
            <w:shd w:val="clear" w:color="auto" w:fill="auto"/>
            <w:noWrap/>
            <w:vAlign w:val="bottom"/>
          </w:tcPr>
          <w:p w14:paraId="0DAD54F5" w14:textId="77777777" w:rsidR="007C7805" w:rsidRPr="006F0AC1" w:rsidRDefault="007C7805" w:rsidP="008C2220">
            <w:pPr>
              <w:spacing w:after="0" w:line="240" w:lineRule="auto"/>
              <w:jc w:val="center"/>
              <w:rPr>
                <w:rFonts w:ascii="Arial" w:eastAsia="Times New Roman" w:hAnsi="Arial" w:cs="Arial"/>
                <w:color w:val="000000"/>
                <w:sz w:val="20"/>
                <w:szCs w:val="20"/>
                <w:lang w:eastAsia="en-US"/>
              </w:rPr>
            </w:pPr>
          </w:p>
        </w:tc>
        <w:tc>
          <w:tcPr>
            <w:tcW w:w="1935" w:type="dxa"/>
            <w:tcBorders>
              <w:top w:val="nil"/>
              <w:left w:val="nil"/>
              <w:bottom w:val="nil"/>
              <w:right w:val="nil"/>
            </w:tcBorders>
            <w:shd w:val="clear" w:color="auto" w:fill="auto"/>
            <w:noWrap/>
            <w:vAlign w:val="bottom"/>
          </w:tcPr>
          <w:p w14:paraId="4DA0F200" w14:textId="77777777" w:rsidR="007C7805" w:rsidRPr="006F0AC1" w:rsidRDefault="007C7805" w:rsidP="008C2220">
            <w:pPr>
              <w:spacing w:after="0" w:line="240" w:lineRule="auto"/>
              <w:jc w:val="center"/>
              <w:rPr>
                <w:rFonts w:ascii="Arial" w:eastAsia="Times New Roman" w:hAnsi="Arial" w:cs="Arial"/>
                <w:color w:val="000000"/>
                <w:sz w:val="20"/>
                <w:szCs w:val="20"/>
                <w:lang w:eastAsia="en-US"/>
              </w:rPr>
            </w:pPr>
          </w:p>
        </w:tc>
      </w:tr>
      <w:tr w:rsidR="00121CEE" w:rsidRPr="00BF3D07" w14:paraId="45E3E304" w14:textId="77777777" w:rsidTr="00280F8C">
        <w:trPr>
          <w:trHeight w:val="300"/>
        </w:trPr>
        <w:tc>
          <w:tcPr>
            <w:tcW w:w="5505" w:type="dxa"/>
            <w:tcBorders>
              <w:top w:val="nil"/>
              <w:left w:val="nil"/>
              <w:bottom w:val="nil"/>
              <w:right w:val="nil"/>
            </w:tcBorders>
            <w:shd w:val="clear" w:color="auto" w:fill="auto"/>
            <w:noWrap/>
            <w:vAlign w:val="bottom"/>
            <w:hideMark/>
          </w:tcPr>
          <w:p w14:paraId="607D9596" w14:textId="0024D970" w:rsidR="00121CEE" w:rsidRPr="00BF3D07" w:rsidRDefault="00121CEE" w:rsidP="007C7805">
            <w:pPr>
              <w:spacing w:after="0" w:line="240" w:lineRule="auto"/>
              <w:ind w:firstLine="616"/>
              <w:rPr>
                <w:rFonts w:ascii="Arial" w:eastAsia="Times New Roman" w:hAnsi="Arial" w:cs="Arial"/>
                <w:color w:val="000000"/>
                <w:sz w:val="20"/>
                <w:szCs w:val="20"/>
                <w:lang w:eastAsia="en-US"/>
              </w:rPr>
            </w:pPr>
            <w:r w:rsidRPr="00BF3D07">
              <w:rPr>
                <w:rFonts w:ascii="Arial" w:eastAsia="Times New Roman" w:hAnsi="Arial" w:cs="Arial"/>
                <w:color w:val="000000"/>
                <w:sz w:val="20"/>
                <w:szCs w:val="20"/>
                <w:lang w:eastAsia="en-US"/>
              </w:rPr>
              <w:t>Mean</w:t>
            </w:r>
            <w:r>
              <w:rPr>
                <w:rFonts w:ascii="Arial" w:eastAsia="Times New Roman" w:hAnsi="Arial" w:cs="Arial"/>
                <w:color w:val="000000"/>
                <w:sz w:val="20"/>
                <w:szCs w:val="20"/>
                <w:lang w:eastAsia="en-US"/>
              </w:rPr>
              <w:t xml:space="preserve"> years</w:t>
            </w:r>
            <w:r w:rsidRPr="00BF3D07">
              <w:rPr>
                <w:rFonts w:ascii="Arial" w:eastAsia="Times New Roman" w:hAnsi="Arial" w:cs="Arial"/>
                <w:color w:val="000000"/>
                <w:sz w:val="20"/>
                <w:szCs w:val="20"/>
                <w:lang w:eastAsia="en-US"/>
              </w:rPr>
              <w:t xml:space="preserve"> </w:t>
            </w:r>
          </w:p>
        </w:tc>
        <w:tc>
          <w:tcPr>
            <w:tcW w:w="1980" w:type="dxa"/>
            <w:tcBorders>
              <w:top w:val="nil"/>
              <w:left w:val="nil"/>
              <w:bottom w:val="nil"/>
              <w:right w:val="nil"/>
            </w:tcBorders>
            <w:shd w:val="clear" w:color="auto" w:fill="auto"/>
            <w:noWrap/>
            <w:vAlign w:val="bottom"/>
          </w:tcPr>
          <w:p w14:paraId="4CE094A7" w14:textId="1C7A9ED0" w:rsidR="00121CEE" w:rsidRPr="006F0AC1" w:rsidRDefault="00121CEE"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5.7</w:t>
            </w:r>
          </w:p>
        </w:tc>
        <w:tc>
          <w:tcPr>
            <w:tcW w:w="1800" w:type="dxa"/>
            <w:tcBorders>
              <w:top w:val="nil"/>
              <w:left w:val="nil"/>
              <w:bottom w:val="nil"/>
              <w:right w:val="nil"/>
            </w:tcBorders>
            <w:shd w:val="clear" w:color="auto" w:fill="auto"/>
            <w:noWrap/>
            <w:vAlign w:val="bottom"/>
          </w:tcPr>
          <w:p w14:paraId="5EB3997E" w14:textId="53278DFD" w:rsidR="00121CEE" w:rsidRPr="006F0AC1" w:rsidRDefault="00121CEE"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5.7</w:t>
            </w:r>
          </w:p>
        </w:tc>
        <w:tc>
          <w:tcPr>
            <w:tcW w:w="1935" w:type="dxa"/>
            <w:tcBorders>
              <w:top w:val="nil"/>
              <w:left w:val="nil"/>
              <w:bottom w:val="nil"/>
              <w:right w:val="nil"/>
            </w:tcBorders>
            <w:shd w:val="clear" w:color="auto" w:fill="auto"/>
            <w:noWrap/>
            <w:vAlign w:val="bottom"/>
          </w:tcPr>
          <w:p w14:paraId="2B1453E9" w14:textId="7135680D" w:rsidR="00121CEE" w:rsidRPr="006F0AC1" w:rsidRDefault="006F0AC1"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4.1</w:t>
            </w:r>
          </w:p>
        </w:tc>
      </w:tr>
      <w:tr w:rsidR="00121CEE" w:rsidRPr="00BF3D07" w14:paraId="07735E40" w14:textId="77777777" w:rsidTr="00280F8C">
        <w:trPr>
          <w:trHeight w:val="300"/>
        </w:trPr>
        <w:tc>
          <w:tcPr>
            <w:tcW w:w="5505" w:type="dxa"/>
            <w:tcBorders>
              <w:top w:val="nil"/>
              <w:left w:val="nil"/>
              <w:bottom w:val="nil"/>
              <w:right w:val="nil"/>
            </w:tcBorders>
            <w:shd w:val="clear" w:color="auto" w:fill="auto"/>
            <w:noWrap/>
            <w:vAlign w:val="bottom"/>
            <w:hideMark/>
          </w:tcPr>
          <w:p w14:paraId="5288F455" w14:textId="76D54A66" w:rsidR="00121CEE" w:rsidRPr="00BF3D07" w:rsidRDefault="00D41F3C" w:rsidP="00D41F3C">
            <w:pPr>
              <w:spacing w:after="0" w:line="240" w:lineRule="auto"/>
              <w:ind w:firstLine="616"/>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Patients with a</w:t>
            </w:r>
            <w:r w:rsidR="00121CEE" w:rsidRPr="00BF3D07">
              <w:rPr>
                <w:rFonts w:ascii="Arial" w:eastAsia="Times New Roman" w:hAnsi="Arial" w:cs="Arial"/>
                <w:color w:val="000000"/>
                <w:sz w:val="20"/>
                <w:szCs w:val="20"/>
                <w:lang w:eastAsia="en-US"/>
              </w:rPr>
              <w:t xml:space="preserve">t least one </w:t>
            </w:r>
            <w:r w:rsidR="005922A5">
              <w:rPr>
                <w:rFonts w:ascii="Arial" w:hAnsi="Arial" w:cs="Arial"/>
                <w:sz w:val="20"/>
                <w:szCs w:val="20"/>
              </w:rPr>
              <w:t>polypharmacy</w:t>
            </w:r>
            <w:r w:rsidR="00121CEE">
              <w:rPr>
                <w:rFonts w:ascii="Arial" w:eastAsia="Times New Roman" w:hAnsi="Arial" w:cs="Arial"/>
                <w:color w:val="000000"/>
                <w:sz w:val="20"/>
                <w:szCs w:val="20"/>
                <w:lang w:eastAsia="en-US"/>
              </w:rPr>
              <w:t xml:space="preserve"> episode</w:t>
            </w:r>
          </w:p>
        </w:tc>
        <w:tc>
          <w:tcPr>
            <w:tcW w:w="1980" w:type="dxa"/>
            <w:tcBorders>
              <w:top w:val="nil"/>
              <w:left w:val="nil"/>
              <w:bottom w:val="nil"/>
              <w:right w:val="nil"/>
            </w:tcBorders>
            <w:shd w:val="clear" w:color="auto" w:fill="auto"/>
            <w:noWrap/>
            <w:vAlign w:val="bottom"/>
          </w:tcPr>
          <w:p w14:paraId="6B123F96" w14:textId="0319684D" w:rsidR="00121CEE" w:rsidRPr="006F0AC1" w:rsidRDefault="00121CEE" w:rsidP="008630DF">
            <w:pPr>
              <w:spacing w:after="0" w:line="240" w:lineRule="auto"/>
              <w:jc w:val="center"/>
              <w:rPr>
                <w:rFonts w:ascii="Arial" w:eastAsia="Times New Roman" w:hAnsi="Arial" w:cs="Arial"/>
                <w:color w:val="000000"/>
                <w:sz w:val="20"/>
                <w:szCs w:val="20"/>
                <w:vertAlign w:val="superscript"/>
                <w:lang w:eastAsia="en-US"/>
              </w:rPr>
            </w:pPr>
            <w:r w:rsidRPr="006F0AC1">
              <w:rPr>
                <w:rFonts w:ascii="Arial" w:eastAsia="Times New Roman" w:hAnsi="Arial" w:cs="Arial"/>
                <w:color w:val="000000"/>
                <w:sz w:val="20"/>
                <w:szCs w:val="20"/>
                <w:lang w:eastAsia="en-US"/>
              </w:rPr>
              <w:t>2,</w:t>
            </w:r>
            <w:r w:rsidR="008630DF" w:rsidRPr="006F0AC1">
              <w:rPr>
                <w:rFonts w:ascii="Arial" w:eastAsia="Times New Roman" w:hAnsi="Arial" w:cs="Arial"/>
                <w:color w:val="000000"/>
                <w:sz w:val="20"/>
                <w:szCs w:val="20"/>
                <w:lang w:eastAsia="en-US"/>
              </w:rPr>
              <w:t>2</w:t>
            </w:r>
            <w:r w:rsidR="008630DF">
              <w:rPr>
                <w:rFonts w:ascii="Arial" w:eastAsia="Times New Roman" w:hAnsi="Arial" w:cs="Arial"/>
                <w:color w:val="000000"/>
                <w:sz w:val="20"/>
                <w:szCs w:val="20"/>
                <w:lang w:eastAsia="en-US"/>
              </w:rPr>
              <w:t>2</w:t>
            </w:r>
            <w:r w:rsidR="00D41F3C">
              <w:rPr>
                <w:rFonts w:ascii="Arial" w:eastAsia="Times New Roman" w:hAnsi="Arial" w:cs="Arial"/>
                <w:color w:val="000000"/>
                <w:sz w:val="20"/>
                <w:szCs w:val="20"/>
                <w:lang w:eastAsia="en-US"/>
              </w:rPr>
              <w:t>8</w:t>
            </w:r>
          </w:p>
        </w:tc>
        <w:tc>
          <w:tcPr>
            <w:tcW w:w="1800" w:type="dxa"/>
            <w:tcBorders>
              <w:top w:val="nil"/>
              <w:left w:val="nil"/>
              <w:bottom w:val="nil"/>
              <w:right w:val="nil"/>
            </w:tcBorders>
            <w:shd w:val="clear" w:color="auto" w:fill="auto"/>
            <w:noWrap/>
            <w:vAlign w:val="bottom"/>
          </w:tcPr>
          <w:p w14:paraId="361E4E1C" w14:textId="5D9C0B99" w:rsidR="00121CEE" w:rsidRPr="006F0AC1" w:rsidRDefault="00121CEE" w:rsidP="008630DF">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2,</w:t>
            </w:r>
            <w:r w:rsidR="008630DF" w:rsidRPr="006F0AC1">
              <w:rPr>
                <w:rFonts w:ascii="Arial" w:eastAsia="Times New Roman" w:hAnsi="Arial" w:cs="Arial"/>
                <w:color w:val="000000"/>
                <w:sz w:val="20"/>
                <w:szCs w:val="20"/>
                <w:lang w:eastAsia="en-US"/>
              </w:rPr>
              <w:t>2</w:t>
            </w:r>
            <w:r w:rsidR="008630DF">
              <w:rPr>
                <w:rFonts w:ascii="Arial" w:eastAsia="Times New Roman" w:hAnsi="Arial" w:cs="Arial"/>
                <w:color w:val="000000"/>
                <w:sz w:val="20"/>
                <w:szCs w:val="20"/>
                <w:lang w:eastAsia="en-US"/>
              </w:rPr>
              <w:t>2</w:t>
            </w:r>
            <w:r w:rsidR="00D41F3C">
              <w:rPr>
                <w:rFonts w:ascii="Arial" w:eastAsia="Times New Roman" w:hAnsi="Arial" w:cs="Arial"/>
                <w:color w:val="000000"/>
                <w:sz w:val="20"/>
                <w:szCs w:val="20"/>
                <w:lang w:eastAsia="en-US"/>
              </w:rPr>
              <w:t>8</w:t>
            </w:r>
          </w:p>
        </w:tc>
        <w:tc>
          <w:tcPr>
            <w:tcW w:w="1935" w:type="dxa"/>
            <w:tcBorders>
              <w:top w:val="nil"/>
              <w:left w:val="nil"/>
              <w:bottom w:val="nil"/>
              <w:right w:val="nil"/>
            </w:tcBorders>
            <w:shd w:val="clear" w:color="auto" w:fill="auto"/>
            <w:noWrap/>
            <w:vAlign w:val="bottom"/>
          </w:tcPr>
          <w:p w14:paraId="43A76250" w14:textId="25B33DF1" w:rsidR="00121CEE" w:rsidRPr="006F0AC1" w:rsidRDefault="00121CEE"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1</w:t>
            </w:r>
            <w:r w:rsidR="006F0AC1" w:rsidRPr="006F0AC1">
              <w:rPr>
                <w:rFonts w:ascii="Arial" w:eastAsia="Times New Roman" w:hAnsi="Arial" w:cs="Arial"/>
                <w:color w:val="000000"/>
                <w:sz w:val="20"/>
                <w:szCs w:val="20"/>
                <w:lang w:eastAsia="en-US"/>
              </w:rPr>
              <w:t>,</w:t>
            </w:r>
            <w:r w:rsidR="00D41F3C">
              <w:rPr>
                <w:rFonts w:ascii="Arial" w:eastAsia="Times New Roman" w:hAnsi="Arial" w:cs="Arial"/>
                <w:color w:val="000000"/>
                <w:sz w:val="20"/>
                <w:szCs w:val="20"/>
                <w:lang w:eastAsia="en-US"/>
              </w:rPr>
              <w:t>548</w:t>
            </w:r>
          </w:p>
        </w:tc>
      </w:tr>
      <w:tr w:rsidR="00D41F3C" w:rsidRPr="00BF3D07" w14:paraId="185A6F5D" w14:textId="77777777" w:rsidTr="00280F8C">
        <w:trPr>
          <w:trHeight w:val="300"/>
        </w:trPr>
        <w:tc>
          <w:tcPr>
            <w:tcW w:w="5505" w:type="dxa"/>
            <w:tcBorders>
              <w:top w:val="nil"/>
              <w:left w:val="nil"/>
              <w:bottom w:val="nil"/>
              <w:right w:val="nil"/>
            </w:tcBorders>
            <w:shd w:val="clear" w:color="auto" w:fill="auto"/>
            <w:noWrap/>
            <w:vAlign w:val="bottom"/>
          </w:tcPr>
          <w:p w14:paraId="38AE7F82" w14:textId="6A43185C" w:rsidR="00D41F3C" w:rsidRDefault="00D41F3C" w:rsidP="00D41F3C">
            <w:pPr>
              <w:spacing w:after="0" w:line="240" w:lineRule="auto"/>
              <w:ind w:firstLine="616"/>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patients with a</w:t>
            </w:r>
            <w:r w:rsidRPr="00BF3D07">
              <w:rPr>
                <w:rFonts w:ascii="Arial" w:eastAsia="Times New Roman" w:hAnsi="Arial" w:cs="Arial"/>
                <w:color w:val="000000"/>
                <w:sz w:val="20"/>
                <w:szCs w:val="20"/>
                <w:lang w:eastAsia="en-US"/>
              </w:rPr>
              <w:t xml:space="preserve">t least one </w:t>
            </w:r>
            <w:r>
              <w:rPr>
                <w:rFonts w:ascii="Arial" w:hAnsi="Arial" w:cs="Arial"/>
                <w:sz w:val="20"/>
                <w:szCs w:val="20"/>
              </w:rPr>
              <w:t>polypharmacy</w:t>
            </w:r>
            <w:r>
              <w:rPr>
                <w:rFonts w:ascii="Arial" w:eastAsia="Times New Roman" w:hAnsi="Arial" w:cs="Arial"/>
                <w:color w:val="000000"/>
                <w:sz w:val="20"/>
                <w:szCs w:val="20"/>
                <w:lang w:eastAsia="en-US"/>
              </w:rPr>
              <w:t xml:space="preserve"> episode</w:t>
            </w:r>
          </w:p>
        </w:tc>
        <w:tc>
          <w:tcPr>
            <w:tcW w:w="1980" w:type="dxa"/>
            <w:tcBorders>
              <w:top w:val="nil"/>
              <w:left w:val="nil"/>
              <w:bottom w:val="nil"/>
              <w:right w:val="nil"/>
            </w:tcBorders>
            <w:shd w:val="clear" w:color="auto" w:fill="auto"/>
            <w:noWrap/>
            <w:vAlign w:val="bottom"/>
          </w:tcPr>
          <w:p w14:paraId="195E736C" w14:textId="3DE95AC3" w:rsidR="00D41F3C" w:rsidRPr="006F0AC1" w:rsidRDefault="00D41F3C" w:rsidP="008630DF">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12.9</w:t>
            </w:r>
          </w:p>
        </w:tc>
        <w:tc>
          <w:tcPr>
            <w:tcW w:w="1800" w:type="dxa"/>
            <w:tcBorders>
              <w:top w:val="nil"/>
              <w:left w:val="nil"/>
              <w:bottom w:val="nil"/>
              <w:right w:val="nil"/>
            </w:tcBorders>
            <w:shd w:val="clear" w:color="auto" w:fill="auto"/>
            <w:noWrap/>
            <w:vAlign w:val="bottom"/>
          </w:tcPr>
          <w:p w14:paraId="577EBDDD" w14:textId="4E7822DB" w:rsidR="00D41F3C" w:rsidRPr="006F0AC1" w:rsidRDefault="00D41F3C" w:rsidP="008630DF">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12.9</w:t>
            </w:r>
          </w:p>
        </w:tc>
        <w:tc>
          <w:tcPr>
            <w:tcW w:w="1935" w:type="dxa"/>
            <w:tcBorders>
              <w:top w:val="nil"/>
              <w:left w:val="nil"/>
              <w:bottom w:val="nil"/>
              <w:right w:val="nil"/>
            </w:tcBorders>
            <w:shd w:val="clear" w:color="auto" w:fill="auto"/>
            <w:noWrap/>
            <w:vAlign w:val="bottom"/>
          </w:tcPr>
          <w:p w14:paraId="3446BA00" w14:textId="4B2D47C3" w:rsidR="00D41F3C" w:rsidRPr="006F0AC1" w:rsidRDefault="00D41F3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11.7</w:t>
            </w:r>
          </w:p>
        </w:tc>
      </w:tr>
      <w:tr w:rsidR="00C446D2" w:rsidRPr="00BF3D07" w14:paraId="3CC3EF48" w14:textId="77777777" w:rsidTr="00280F8C">
        <w:trPr>
          <w:trHeight w:val="300"/>
        </w:trPr>
        <w:tc>
          <w:tcPr>
            <w:tcW w:w="5505" w:type="dxa"/>
            <w:tcBorders>
              <w:top w:val="nil"/>
              <w:left w:val="nil"/>
              <w:bottom w:val="nil"/>
              <w:right w:val="nil"/>
            </w:tcBorders>
            <w:shd w:val="clear" w:color="auto" w:fill="auto"/>
            <w:noWrap/>
            <w:vAlign w:val="bottom"/>
          </w:tcPr>
          <w:p w14:paraId="392C49D1" w14:textId="3E12E9EE" w:rsidR="00C446D2" w:rsidRPr="00BF3D07" w:rsidRDefault="005922A5" w:rsidP="007C7805">
            <w:pPr>
              <w:spacing w:after="0" w:line="240" w:lineRule="auto"/>
              <w:ind w:firstLine="616"/>
              <w:rPr>
                <w:rFonts w:ascii="Arial" w:eastAsia="Times New Roman" w:hAnsi="Arial" w:cs="Arial"/>
                <w:color w:val="000000"/>
                <w:sz w:val="20"/>
                <w:szCs w:val="20"/>
                <w:lang w:eastAsia="en-US"/>
              </w:rPr>
            </w:pPr>
            <w:r>
              <w:rPr>
                <w:rFonts w:ascii="Arial" w:hAnsi="Arial" w:cs="Arial"/>
                <w:sz w:val="20"/>
                <w:szCs w:val="20"/>
              </w:rPr>
              <w:t>Polypharmacy</w:t>
            </w:r>
            <w:r w:rsidR="00C446D2">
              <w:rPr>
                <w:rFonts w:ascii="Arial" w:eastAsia="Times New Roman" w:hAnsi="Arial" w:cs="Arial"/>
                <w:color w:val="000000"/>
                <w:sz w:val="20"/>
                <w:szCs w:val="20"/>
                <w:lang w:eastAsia="en-US"/>
              </w:rPr>
              <w:t xml:space="preserve"> episodes per patient on </w:t>
            </w:r>
            <w:r w:rsidR="00D41F3C">
              <w:rPr>
                <w:rFonts w:ascii="Arial" w:hAnsi="Arial" w:cs="Arial"/>
                <w:sz w:val="20"/>
                <w:szCs w:val="20"/>
              </w:rPr>
              <w:t>polyph.</w:t>
            </w:r>
            <w:r w:rsidDel="005922A5">
              <w:rPr>
                <w:rFonts w:ascii="Arial" w:eastAsia="Times New Roman" w:hAnsi="Arial" w:cs="Arial"/>
                <w:color w:val="000000"/>
                <w:sz w:val="20"/>
                <w:szCs w:val="20"/>
                <w:lang w:eastAsia="en-US"/>
              </w:rPr>
              <w:t xml:space="preserve"> </w:t>
            </w:r>
          </w:p>
        </w:tc>
        <w:tc>
          <w:tcPr>
            <w:tcW w:w="1980" w:type="dxa"/>
            <w:tcBorders>
              <w:top w:val="nil"/>
              <w:left w:val="nil"/>
              <w:bottom w:val="nil"/>
              <w:right w:val="nil"/>
            </w:tcBorders>
            <w:shd w:val="clear" w:color="auto" w:fill="auto"/>
            <w:noWrap/>
            <w:vAlign w:val="bottom"/>
          </w:tcPr>
          <w:p w14:paraId="7318AAD8" w14:textId="09E9168F" w:rsidR="00C446D2" w:rsidRPr="006F0AC1" w:rsidRDefault="00C446D2"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5.5</w:t>
            </w:r>
          </w:p>
        </w:tc>
        <w:tc>
          <w:tcPr>
            <w:tcW w:w="1800" w:type="dxa"/>
            <w:tcBorders>
              <w:top w:val="nil"/>
              <w:left w:val="nil"/>
              <w:bottom w:val="nil"/>
              <w:right w:val="nil"/>
            </w:tcBorders>
            <w:shd w:val="clear" w:color="auto" w:fill="auto"/>
            <w:noWrap/>
            <w:vAlign w:val="bottom"/>
          </w:tcPr>
          <w:p w14:paraId="145F0B18" w14:textId="4E130F77" w:rsidR="00C446D2" w:rsidRPr="006F0AC1" w:rsidRDefault="00C446D2"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5.5</w:t>
            </w:r>
          </w:p>
        </w:tc>
        <w:tc>
          <w:tcPr>
            <w:tcW w:w="1935" w:type="dxa"/>
            <w:tcBorders>
              <w:top w:val="nil"/>
              <w:left w:val="nil"/>
              <w:bottom w:val="nil"/>
              <w:right w:val="nil"/>
            </w:tcBorders>
            <w:shd w:val="clear" w:color="auto" w:fill="auto"/>
            <w:noWrap/>
            <w:vAlign w:val="bottom"/>
          </w:tcPr>
          <w:p w14:paraId="1D395D7B" w14:textId="4C4525D1" w:rsidR="00C446D2" w:rsidRPr="006F0AC1" w:rsidRDefault="00C446D2"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4.8</w:t>
            </w:r>
          </w:p>
        </w:tc>
      </w:tr>
      <w:tr w:rsidR="00FF596C" w:rsidRPr="00BF3D07" w14:paraId="681F5BCA" w14:textId="77777777" w:rsidTr="00280F8C">
        <w:trPr>
          <w:trHeight w:val="300"/>
        </w:trPr>
        <w:tc>
          <w:tcPr>
            <w:tcW w:w="5505" w:type="dxa"/>
            <w:tcBorders>
              <w:top w:val="nil"/>
              <w:left w:val="nil"/>
              <w:bottom w:val="nil"/>
              <w:right w:val="nil"/>
            </w:tcBorders>
            <w:shd w:val="clear" w:color="auto" w:fill="auto"/>
            <w:noWrap/>
            <w:vAlign w:val="bottom"/>
          </w:tcPr>
          <w:p w14:paraId="0BE5F4D1" w14:textId="30FF961E" w:rsidR="00FF596C" w:rsidRDefault="00FF596C" w:rsidP="007C7805">
            <w:pPr>
              <w:spacing w:after="0" w:line="240" w:lineRule="auto"/>
              <w:ind w:firstLine="616"/>
              <w:rPr>
                <w:rFonts w:ascii="Arial" w:hAnsi="Arial" w:cs="Arial"/>
                <w:sz w:val="20"/>
                <w:szCs w:val="20"/>
              </w:rPr>
            </w:pPr>
            <w:r>
              <w:rPr>
                <w:rFonts w:ascii="Arial" w:hAnsi="Arial" w:cs="Arial"/>
                <w:sz w:val="20"/>
                <w:szCs w:val="20"/>
              </w:rPr>
              <w:t>Number of switches on/off polypharmacy per year</w:t>
            </w:r>
          </w:p>
        </w:tc>
        <w:tc>
          <w:tcPr>
            <w:tcW w:w="1980" w:type="dxa"/>
            <w:tcBorders>
              <w:top w:val="nil"/>
              <w:left w:val="nil"/>
              <w:bottom w:val="nil"/>
              <w:right w:val="nil"/>
            </w:tcBorders>
            <w:shd w:val="clear" w:color="auto" w:fill="auto"/>
            <w:noWrap/>
            <w:vAlign w:val="bottom"/>
          </w:tcPr>
          <w:p w14:paraId="0FEDBE89" w14:textId="53A690B7" w:rsidR="00FF596C" w:rsidRDefault="00FF596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0.96</w:t>
            </w:r>
          </w:p>
        </w:tc>
        <w:tc>
          <w:tcPr>
            <w:tcW w:w="1800" w:type="dxa"/>
            <w:tcBorders>
              <w:top w:val="nil"/>
              <w:left w:val="nil"/>
              <w:bottom w:val="nil"/>
              <w:right w:val="nil"/>
            </w:tcBorders>
            <w:shd w:val="clear" w:color="auto" w:fill="auto"/>
            <w:noWrap/>
            <w:vAlign w:val="bottom"/>
          </w:tcPr>
          <w:p w14:paraId="2EB3419F" w14:textId="57D28142" w:rsidR="00FF596C" w:rsidRDefault="00A61744" w:rsidP="00A61744">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0.97</w:t>
            </w:r>
          </w:p>
        </w:tc>
        <w:tc>
          <w:tcPr>
            <w:tcW w:w="1935" w:type="dxa"/>
            <w:tcBorders>
              <w:top w:val="nil"/>
              <w:left w:val="nil"/>
              <w:bottom w:val="nil"/>
              <w:right w:val="nil"/>
            </w:tcBorders>
            <w:shd w:val="clear" w:color="auto" w:fill="auto"/>
            <w:noWrap/>
            <w:vAlign w:val="bottom"/>
          </w:tcPr>
          <w:p w14:paraId="2DE93EEA" w14:textId="74290AA8" w:rsidR="00FF596C" w:rsidRDefault="00FF596C" w:rsidP="00A61744">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1.1</w:t>
            </w:r>
            <w:r w:rsidR="00A61744">
              <w:rPr>
                <w:rFonts w:ascii="Arial" w:eastAsia="Times New Roman" w:hAnsi="Arial" w:cs="Arial"/>
                <w:color w:val="000000"/>
                <w:sz w:val="20"/>
                <w:szCs w:val="20"/>
                <w:lang w:eastAsia="en-US"/>
              </w:rPr>
              <w:t>5</w:t>
            </w:r>
          </w:p>
        </w:tc>
      </w:tr>
      <w:tr w:rsidR="00264EE8" w:rsidRPr="00BF3D07" w14:paraId="409D11F0" w14:textId="77777777" w:rsidTr="00280F8C">
        <w:trPr>
          <w:trHeight w:val="300"/>
        </w:trPr>
        <w:tc>
          <w:tcPr>
            <w:tcW w:w="5505" w:type="dxa"/>
            <w:tcBorders>
              <w:top w:val="nil"/>
              <w:left w:val="nil"/>
              <w:bottom w:val="nil"/>
              <w:right w:val="nil"/>
            </w:tcBorders>
            <w:shd w:val="clear" w:color="auto" w:fill="auto"/>
            <w:noWrap/>
            <w:vAlign w:val="bottom"/>
          </w:tcPr>
          <w:p w14:paraId="22C6B5EB" w14:textId="7A9865F8" w:rsidR="00264EE8" w:rsidRDefault="00264EE8" w:rsidP="007C7805">
            <w:pPr>
              <w:spacing w:after="0" w:line="240" w:lineRule="auto"/>
              <w:ind w:firstLine="616"/>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xml:space="preserve">Mean </w:t>
            </w:r>
            <w:r w:rsidR="005922A5">
              <w:rPr>
                <w:rFonts w:ascii="Arial" w:hAnsi="Arial" w:cs="Arial"/>
                <w:sz w:val="20"/>
                <w:szCs w:val="20"/>
              </w:rPr>
              <w:t>polypharmacy</w:t>
            </w:r>
            <w:r>
              <w:rPr>
                <w:rFonts w:ascii="Arial" w:eastAsia="Times New Roman" w:hAnsi="Arial" w:cs="Arial"/>
                <w:color w:val="000000"/>
                <w:sz w:val="20"/>
                <w:szCs w:val="20"/>
                <w:lang w:eastAsia="en-US"/>
              </w:rPr>
              <w:t xml:space="preserve"> </w:t>
            </w:r>
            <w:r w:rsidR="003F435B">
              <w:rPr>
                <w:rFonts w:ascii="Arial" w:eastAsia="Times New Roman" w:hAnsi="Arial" w:cs="Arial"/>
                <w:color w:val="000000"/>
                <w:sz w:val="20"/>
                <w:szCs w:val="20"/>
                <w:lang w:eastAsia="en-US"/>
              </w:rPr>
              <w:t>leng</w:t>
            </w:r>
            <w:r>
              <w:rPr>
                <w:rFonts w:ascii="Arial" w:eastAsia="Times New Roman" w:hAnsi="Arial" w:cs="Arial"/>
                <w:color w:val="000000"/>
                <w:sz w:val="20"/>
                <w:szCs w:val="20"/>
                <w:lang w:eastAsia="en-US"/>
              </w:rPr>
              <w:t>t</w:t>
            </w:r>
            <w:r w:rsidR="003F435B">
              <w:rPr>
                <w:rFonts w:ascii="Arial" w:eastAsia="Times New Roman" w:hAnsi="Arial" w:cs="Arial"/>
                <w:color w:val="000000"/>
                <w:sz w:val="20"/>
                <w:szCs w:val="20"/>
                <w:lang w:eastAsia="en-US"/>
              </w:rPr>
              <w:t>h</w:t>
            </w:r>
          </w:p>
        </w:tc>
        <w:tc>
          <w:tcPr>
            <w:tcW w:w="1980" w:type="dxa"/>
            <w:tcBorders>
              <w:top w:val="nil"/>
              <w:left w:val="nil"/>
              <w:bottom w:val="nil"/>
              <w:right w:val="nil"/>
            </w:tcBorders>
            <w:shd w:val="clear" w:color="auto" w:fill="auto"/>
            <w:noWrap/>
            <w:vAlign w:val="bottom"/>
          </w:tcPr>
          <w:p w14:paraId="3C3DBEBB" w14:textId="64C5EAD8" w:rsidR="00264EE8" w:rsidRDefault="00264EE8"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66</w:t>
            </w:r>
          </w:p>
        </w:tc>
        <w:tc>
          <w:tcPr>
            <w:tcW w:w="1800" w:type="dxa"/>
            <w:tcBorders>
              <w:top w:val="nil"/>
              <w:left w:val="nil"/>
              <w:bottom w:val="nil"/>
              <w:right w:val="nil"/>
            </w:tcBorders>
            <w:shd w:val="clear" w:color="auto" w:fill="auto"/>
            <w:noWrap/>
            <w:vAlign w:val="bottom"/>
          </w:tcPr>
          <w:p w14:paraId="27CAD4EA" w14:textId="17CF4553" w:rsidR="00264EE8" w:rsidRDefault="00264EE8"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66</w:t>
            </w:r>
          </w:p>
        </w:tc>
        <w:tc>
          <w:tcPr>
            <w:tcW w:w="1935" w:type="dxa"/>
            <w:tcBorders>
              <w:top w:val="nil"/>
              <w:left w:val="nil"/>
              <w:bottom w:val="nil"/>
              <w:right w:val="nil"/>
            </w:tcBorders>
            <w:shd w:val="clear" w:color="auto" w:fill="auto"/>
            <w:noWrap/>
            <w:vAlign w:val="bottom"/>
          </w:tcPr>
          <w:p w14:paraId="2B56EBB4" w14:textId="05A3475D" w:rsidR="00264EE8" w:rsidRDefault="00264EE8"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69</w:t>
            </w:r>
          </w:p>
        </w:tc>
      </w:tr>
      <w:tr w:rsidR="007C7805" w:rsidRPr="00BF3D07" w14:paraId="0154E441" w14:textId="77777777" w:rsidTr="00922F35">
        <w:trPr>
          <w:trHeight w:val="300"/>
        </w:trPr>
        <w:tc>
          <w:tcPr>
            <w:tcW w:w="5505" w:type="dxa"/>
            <w:tcBorders>
              <w:top w:val="nil"/>
              <w:left w:val="nil"/>
              <w:bottom w:val="nil"/>
              <w:right w:val="nil"/>
            </w:tcBorders>
            <w:shd w:val="clear" w:color="auto" w:fill="auto"/>
            <w:noWrap/>
            <w:vAlign w:val="bottom"/>
          </w:tcPr>
          <w:p w14:paraId="2F1E5AD8" w14:textId="1E3439E4" w:rsidR="007C7805" w:rsidRPr="004D77D3" w:rsidRDefault="00B752C0" w:rsidP="00B752C0">
            <w:pPr>
              <w:spacing w:after="0" w:line="240" w:lineRule="auto"/>
              <w:ind w:firstLine="267"/>
              <w:rPr>
                <w:rFonts w:ascii="Arial" w:eastAsia="Times New Roman" w:hAnsi="Arial" w:cs="Arial"/>
                <w:i/>
                <w:color w:val="000000"/>
                <w:sz w:val="20"/>
                <w:szCs w:val="20"/>
                <w:vertAlign w:val="superscript"/>
                <w:lang w:eastAsia="en-US"/>
              </w:rPr>
            </w:pPr>
            <w:r w:rsidRPr="00BC5AF1">
              <w:rPr>
                <w:rFonts w:ascii="Arial" w:eastAsia="Times New Roman" w:hAnsi="Arial" w:cs="Arial"/>
                <w:i/>
                <w:color w:val="000000"/>
                <w:sz w:val="20"/>
                <w:szCs w:val="20"/>
                <w:lang w:eastAsia="en-US"/>
              </w:rPr>
              <w:t>During f</w:t>
            </w:r>
            <w:r w:rsidR="004D77D3">
              <w:rPr>
                <w:rFonts w:ascii="Arial" w:eastAsia="Times New Roman" w:hAnsi="Arial" w:cs="Arial"/>
                <w:i/>
                <w:color w:val="000000"/>
                <w:sz w:val="20"/>
                <w:szCs w:val="20"/>
                <w:lang w:eastAsia="en-US"/>
              </w:rPr>
              <w:t>ollow-up period</w:t>
            </w:r>
            <w:r w:rsidR="004D77D3">
              <w:rPr>
                <w:rFonts w:ascii="Arial" w:eastAsia="Times New Roman" w:hAnsi="Arial" w:cs="Arial"/>
                <w:i/>
                <w:color w:val="000000"/>
                <w:sz w:val="20"/>
                <w:szCs w:val="20"/>
                <w:vertAlign w:val="superscript"/>
                <w:lang w:eastAsia="en-US"/>
              </w:rPr>
              <w:t>b</w:t>
            </w:r>
          </w:p>
        </w:tc>
        <w:tc>
          <w:tcPr>
            <w:tcW w:w="1980" w:type="dxa"/>
            <w:tcBorders>
              <w:top w:val="nil"/>
              <w:left w:val="nil"/>
              <w:bottom w:val="nil"/>
              <w:right w:val="nil"/>
            </w:tcBorders>
            <w:shd w:val="clear" w:color="auto" w:fill="auto"/>
            <w:noWrap/>
            <w:vAlign w:val="bottom"/>
          </w:tcPr>
          <w:p w14:paraId="3A8FD780" w14:textId="77777777" w:rsidR="007C7805" w:rsidRPr="006F0AC1" w:rsidRDefault="007C7805" w:rsidP="008C2220">
            <w:pPr>
              <w:spacing w:after="0" w:line="240" w:lineRule="auto"/>
              <w:jc w:val="center"/>
              <w:rPr>
                <w:rFonts w:ascii="Arial" w:eastAsia="Times New Roman" w:hAnsi="Arial" w:cs="Arial"/>
                <w:color w:val="000000"/>
                <w:sz w:val="20"/>
                <w:szCs w:val="20"/>
                <w:lang w:eastAsia="en-US"/>
              </w:rPr>
            </w:pPr>
          </w:p>
        </w:tc>
        <w:tc>
          <w:tcPr>
            <w:tcW w:w="1800" w:type="dxa"/>
            <w:tcBorders>
              <w:top w:val="nil"/>
              <w:left w:val="nil"/>
              <w:bottom w:val="nil"/>
              <w:right w:val="nil"/>
            </w:tcBorders>
            <w:shd w:val="clear" w:color="auto" w:fill="auto"/>
            <w:noWrap/>
            <w:vAlign w:val="bottom"/>
          </w:tcPr>
          <w:p w14:paraId="3B4B2AD5" w14:textId="77777777" w:rsidR="007C7805" w:rsidRPr="006F0AC1" w:rsidRDefault="007C7805" w:rsidP="008C2220">
            <w:pPr>
              <w:spacing w:after="0" w:line="240" w:lineRule="auto"/>
              <w:jc w:val="center"/>
              <w:rPr>
                <w:rFonts w:ascii="Arial" w:eastAsia="Times New Roman" w:hAnsi="Arial" w:cs="Arial"/>
                <w:color w:val="000000"/>
                <w:sz w:val="20"/>
                <w:szCs w:val="20"/>
                <w:lang w:eastAsia="en-US"/>
              </w:rPr>
            </w:pPr>
          </w:p>
        </w:tc>
        <w:tc>
          <w:tcPr>
            <w:tcW w:w="1935" w:type="dxa"/>
            <w:tcBorders>
              <w:top w:val="nil"/>
              <w:left w:val="nil"/>
              <w:bottom w:val="nil"/>
              <w:right w:val="nil"/>
            </w:tcBorders>
            <w:shd w:val="clear" w:color="auto" w:fill="auto"/>
            <w:noWrap/>
            <w:vAlign w:val="bottom"/>
          </w:tcPr>
          <w:p w14:paraId="4DB70558" w14:textId="77777777" w:rsidR="007C7805" w:rsidRPr="006F0AC1" w:rsidRDefault="007C7805" w:rsidP="008C2220">
            <w:pPr>
              <w:spacing w:after="0" w:line="240" w:lineRule="auto"/>
              <w:jc w:val="center"/>
              <w:rPr>
                <w:rFonts w:ascii="Arial" w:eastAsia="Times New Roman" w:hAnsi="Arial" w:cs="Arial"/>
                <w:color w:val="000000"/>
                <w:sz w:val="20"/>
                <w:szCs w:val="20"/>
                <w:lang w:eastAsia="en-US"/>
              </w:rPr>
            </w:pPr>
          </w:p>
        </w:tc>
      </w:tr>
      <w:tr w:rsidR="00280F8C" w:rsidRPr="00BF3D07" w14:paraId="1B1B966B" w14:textId="77777777" w:rsidTr="00922F35">
        <w:trPr>
          <w:trHeight w:val="300"/>
        </w:trPr>
        <w:tc>
          <w:tcPr>
            <w:tcW w:w="5505" w:type="dxa"/>
            <w:tcBorders>
              <w:top w:val="nil"/>
              <w:left w:val="nil"/>
              <w:bottom w:val="nil"/>
              <w:right w:val="nil"/>
            </w:tcBorders>
            <w:shd w:val="clear" w:color="auto" w:fill="auto"/>
            <w:noWrap/>
            <w:vAlign w:val="bottom"/>
          </w:tcPr>
          <w:p w14:paraId="3453C4F0" w14:textId="0C6639AD" w:rsidR="00280F8C" w:rsidRDefault="00280F8C" w:rsidP="007C7805">
            <w:pPr>
              <w:spacing w:after="0" w:line="240" w:lineRule="auto"/>
              <w:ind w:firstLine="616"/>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Mean years</w:t>
            </w:r>
          </w:p>
        </w:tc>
        <w:tc>
          <w:tcPr>
            <w:tcW w:w="1980" w:type="dxa"/>
            <w:tcBorders>
              <w:top w:val="nil"/>
              <w:left w:val="nil"/>
              <w:bottom w:val="nil"/>
              <w:right w:val="nil"/>
            </w:tcBorders>
            <w:shd w:val="clear" w:color="auto" w:fill="auto"/>
            <w:noWrap/>
            <w:vAlign w:val="bottom"/>
          </w:tcPr>
          <w:p w14:paraId="0CB6F6DE" w14:textId="26953362" w:rsidR="00280F8C" w:rsidRPr="006F0AC1" w:rsidRDefault="00280F8C"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3.6</w:t>
            </w:r>
          </w:p>
        </w:tc>
        <w:tc>
          <w:tcPr>
            <w:tcW w:w="1800" w:type="dxa"/>
            <w:tcBorders>
              <w:top w:val="nil"/>
              <w:left w:val="nil"/>
              <w:bottom w:val="nil"/>
              <w:right w:val="nil"/>
            </w:tcBorders>
            <w:shd w:val="clear" w:color="auto" w:fill="auto"/>
            <w:noWrap/>
            <w:vAlign w:val="bottom"/>
          </w:tcPr>
          <w:p w14:paraId="622967A8" w14:textId="44E10D85" w:rsidR="00280F8C" w:rsidRPr="006F0AC1" w:rsidRDefault="00280F8C"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5.7</w:t>
            </w:r>
          </w:p>
        </w:tc>
        <w:tc>
          <w:tcPr>
            <w:tcW w:w="1935" w:type="dxa"/>
            <w:tcBorders>
              <w:top w:val="nil"/>
              <w:left w:val="nil"/>
              <w:bottom w:val="nil"/>
              <w:right w:val="nil"/>
            </w:tcBorders>
            <w:shd w:val="clear" w:color="auto" w:fill="auto"/>
            <w:noWrap/>
            <w:vAlign w:val="bottom"/>
          </w:tcPr>
          <w:p w14:paraId="697A7D08" w14:textId="08D075C5" w:rsidR="00280F8C" w:rsidRPr="006F0AC1" w:rsidRDefault="00280F8C"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2.5</w:t>
            </w:r>
          </w:p>
        </w:tc>
      </w:tr>
      <w:tr w:rsidR="00280F8C" w:rsidRPr="00BF3D07" w14:paraId="09ECBCC4" w14:textId="77777777" w:rsidTr="00922F35">
        <w:trPr>
          <w:trHeight w:val="300"/>
        </w:trPr>
        <w:tc>
          <w:tcPr>
            <w:tcW w:w="5505" w:type="dxa"/>
            <w:tcBorders>
              <w:top w:val="nil"/>
              <w:left w:val="nil"/>
              <w:bottom w:val="nil"/>
              <w:right w:val="nil"/>
            </w:tcBorders>
            <w:shd w:val="clear" w:color="auto" w:fill="auto"/>
            <w:noWrap/>
            <w:vAlign w:val="bottom"/>
          </w:tcPr>
          <w:p w14:paraId="20C1DB1D" w14:textId="7819B880" w:rsidR="00280F8C" w:rsidRDefault="00D41F3C" w:rsidP="00D41F3C">
            <w:pPr>
              <w:spacing w:after="0" w:line="240" w:lineRule="auto"/>
              <w:ind w:firstLine="616"/>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Patients with a</w:t>
            </w:r>
            <w:r w:rsidR="00280F8C" w:rsidRPr="00BF3D07">
              <w:rPr>
                <w:rFonts w:ascii="Arial" w:eastAsia="Times New Roman" w:hAnsi="Arial" w:cs="Arial"/>
                <w:color w:val="000000"/>
                <w:sz w:val="20"/>
                <w:szCs w:val="20"/>
                <w:lang w:eastAsia="en-US"/>
              </w:rPr>
              <w:t xml:space="preserve">t least one </w:t>
            </w:r>
            <w:r w:rsidR="005922A5">
              <w:rPr>
                <w:rFonts w:ascii="Arial" w:hAnsi="Arial" w:cs="Arial"/>
                <w:sz w:val="20"/>
                <w:szCs w:val="20"/>
              </w:rPr>
              <w:t>polypharmacy</w:t>
            </w:r>
            <w:r w:rsidR="00280F8C">
              <w:rPr>
                <w:rFonts w:ascii="Arial" w:eastAsia="Times New Roman" w:hAnsi="Arial" w:cs="Arial"/>
                <w:color w:val="000000"/>
                <w:sz w:val="20"/>
                <w:szCs w:val="20"/>
                <w:lang w:eastAsia="en-US"/>
              </w:rPr>
              <w:t xml:space="preserve"> episode</w:t>
            </w:r>
          </w:p>
        </w:tc>
        <w:tc>
          <w:tcPr>
            <w:tcW w:w="1980" w:type="dxa"/>
            <w:tcBorders>
              <w:top w:val="nil"/>
              <w:left w:val="nil"/>
              <w:bottom w:val="nil"/>
              <w:right w:val="nil"/>
            </w:tcBorders>
            <w:shd w:val="clear" w:color="auto" w:fill="auto"/>
            <w:noWrap/>
            <w:vAlign w:val="bottom"/>
          </w:tcPr>
          <w:p w14:paraId="47FFB370" w14:textId="2D11F9DB" w:rsidR="00280F8C" w:rsidRPr="006F0AC1" w:rsidRDefault="00280F8C" w:rsidP="00D41F3C">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1</w:t>
            </w:r>
            <w:r w:rsidR="00D41F3C">
              <w:rPr>
                <w:rFonts w:ascii="Arial" w:eastAsia="Times New Roman" w:hAnsi="Arial" w:cs="Arial"/>
                <w:color w:val="000000"/>
                <w:sz w:val="20"/>
                <w:szCs w:val="20"/>
                <w:lang w:eastAsia="en-US"/>
              </w:rPr>
              <w:t>,515</w:t>
            </w:r>
          </w:p>
        </w:tc>
        <w:tc>
          <w:tcPr>
            <w:tcW w:w="1800" w:type="dxa"/>
            <w:tcBorders>
              <w:top w:val="nil"/>
              <w:left w:val="nil"/>
              <w:bottom w:val="nil"/>
              <w:right w:val="nil"/>
            </w:tcBorders>
            <w:shd w:val="clear" w:color="auto" w:fill="auto"/>
            <w:noWrap/>
            <w:vAlign w:val="bottom"/>
          </w:tcPr>
          <w:p w14:paraId="3793A99A" w14:textId="10C99C85" w:rsidR="00280F8C" w:rsidRPr="006F0AC1" w:rsidRDefault="00D41F3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2,228</w:t>
            </w:r>
          </w:p>
        </w:tc>
        <w:tc>
          <w:tcPr>
            <w:tcW w:w="1935" w:type="dxa"/>
            <w:tcBorders>
              <w:top w:val="nil"/>
              <w:left w:val="nil"/>
              <w:bottom w:val="nil"/>
              <w:right w:val="nil"/>
            </w:tcBorders>
            <w:shd w:val="clear" w:color="auto" w:fill="auto"/>
            <w:noWrap/>
            <w:vAlign w:val="bottom"/>
          </w:tcPr>
          <w:p w14:paraId="36DE5196" w14:textId="3C852EE6" w:rsidR="00280F8C" w:rsidRPr="006F0AC1" w:rsidRDefault="00D41F3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1,068</w:t>
            </w:r>
          </w:p>
        </w:tc>
      </w:tr>
      <w:tr w:rsidR="00D41F3C" w:rsidRPr="00BF3D07" w14:paraId="64783012" w14:textId="77777777" w:rsidTr="00922F35">
        <w:trPr>
          <w:trHeight w:val="300"/>
        </w:trPr>
        <w:tc>
          <w:tcPr>
            <w:tcW w:w="5505" w:type="dxa"/>
            <w:tcBorders>
              <w:top w:val="nil"/>
              <w:left w:val="nil"/>
              <w:bottom w:val="nil"/>
              <w:right w:val="nil"/>
            </w:tcBorders>
            <w:shd w:val="clear" w:color="auto" w:fill="auto"/>
            <w:noWrap/>
            <w:vAlign w:val="bottom"/>
          </w:tcPr>
          <w:p w14:paraId="7E1ABEB7" w14:textId="38969F96" w:rsidR="00D41F3C" w:rsidRDefault="00D41F3C" w:rsidP="00D41F3C">
            <w:pPr>
              <w:spacing w:after="0" w:line="240" w:lineRule="auto"/>
              <w:ind w:firstLine="616"/>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patients with a</w:t>
            </w:r>
            <w:r w:rsidRPr="00BF3D07">
              <w:rPr>
                <w:rFonts w:ascii="Arial" w:eastAsia="Times New Roman" w:hAnsi="Arial" w:cs="Arial"/>
                <w:color w:val="000000"/>
                <w:sz w:val="20"/>
                <w:szCs w:val="20"/>
                <w:lang w:eastAsia="en-US"/>
              </w:rPr>
              <w:t xml:space="preserve">t least one </w:t>
            </w:r>
            <w:r>
              <w:rPr>
                <w:rFonts w:ascii="Arial" w:hAnsi="Arial" w:cs="Arial"/>
                <w:sz w:val="20"/>
                <w:szCs w:val="20"/>
              </w:rPr>
              <w:t>polypharmacy</w:t>
            </w:r>
            <w:r>
              <w:rPr>
                <w:rFonts w:ascii="Arial" w:eastAsia="Times New Roman" w:hAnsi="Arial" w:cs="Arial"/>
                <w:color w:val="000000"/>
                <w:sz w:val="20"/>
                <w:szCs w:val="20"/>
                <w:lang w:eastAsia="en-US"/>
              </w:rPr>
              <w:t xml:space="preserve"> episode</w:t>
            </w:r>
          </w:p>
        </w:tc>
        <w:tc>
          <w:tcPr>
            <w:tcW w:w="1980" w:type="dxa"/>
            <w:tcBorders>
              <w:top w:val="nil"/>
              <w:left w:val="nil"/>
              <w:bottom w:val="nil"/>
              <w:right w:val="nil"/>
            </w:tcBorders>
            <w:shd w:val="clear" w:color="auto" w:fill="auto"/>
            <w:noWrap/>
            <w:vAlign w:val="bottom"/>
          </w:tcPr>
          <w:p w14:paraId="631362CC" w14:textId="01AA0F33" w:rsidR="00D41F3C" w:rsidRPr="006F0AC1" w:rsidRDefault="00D41F3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8.8</w:t>
            </w:r>
          </w:p>
        </w:tc>
        <w:tc>
          <w:tcPr>
            <w:tcW w:w="1800" w:type="dxa"/>
            <w:tcBorders>
              <w:top w:val="nil"/>
              <w:left w:val="nil"/>
              <w:bottom w:val="nil"/>
              <w:right w:val="nil"/>
            </w:tcBorders>
            <w:shd w:val="clear" w:color="auto" w:fill="auto"/>
            <w:noWrap/>
            <w:vAlign w:val="bottom"/>
          </w:tcPr>
          <w:p w14:paraId="79C210BC" w14:textId="428E84F7" w:rsidR="00D41F3C" w:rsidRPr="006F0AC1" w:rsidRDefault="00D41F3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12.9</w:t>
            </w:r>
          </w:p>
        </w:tc>
        <w:tc>
          <w:tcPr>
            <w:tcW w:w="1935" w:type="dxa"/>
            <w:tcBorders>
              <w:top w:val="nil"/>
              <w:left w:val="nil"/>
              <w:bottom w:val="nil"/>
              <w:right w:val="nil"/>
            </w:tcBorders>
            <w:shd w:val="clear" w:color="auto" w:fill="auto"/>
            <w:noWrap/>
            <w:vAlign w:val="bottom"/>
          </w:tcPr>
          <w:p w14:paraId="2508FA54" w14:textId="391020C6" w:rsidR="00D41F3C" w:rsidRPr="006F0AC1" w:rsidRDefault="00D41F3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8.1</w:t>
            </w:r>
          </w:p>
        </w:tc>
      </w:tr>
      <w:tr w:rsidR="002B58B9" w:rsidRPr="00BF3D07" w14:paraId="66AEBE78" w14:textId="77777777" w:rsidTr="00F9734A">
        <w:trPr>
          <w:trHeight w:val="300"/>
        </w:trPr>
        <w:tc>
          <w:tcPr>
            <w:tcW w:w="11220" w:type="dxa"/>
            <w:gridSpan w:val="4"/>
            <w:tcBorders>
              <w:top w:val="nil"/>
              <w:left w:val="nil"/>
              <w:bottom w:val="nil"/>
              <w:right w:val="nil"/>
            </w:tcBorders>
            <w:shd w:val="clear" w:color="auto" w:fill="auto"/>
            <w:noWrap/>
            <w:vAlign w:val="bottom"/>
          </w:tcPr>
          <w:p w14:paraId="6FF35FCA" w14:textId="10259B5B" w:rsidR="002B58B9" w:rsidRPr="006F0AC1" w:rsidRDefault="007C7805" w:rsidP="007C7805">
            <w:pPr>
              <w:spacing w:after="0" w:line="240" w:lineRule="auto"/>
              <w:rPr>
                <w:rFonts w:ascii="Arial" w:eastAsia="Times New Roman" w:hAnsi="Arial" w:cs="Arial"/>
                <w:color w:val="000000"/>
                <w:sz w:val="20"/>
                <w:szCs w:val="20"/>
                <w:lang w:eastAsia="en-US"/>
              </w:rPr>
            </w:pPr>
            <w:r w:rsidRPr="006F0AC1">
              <w:rPr>
                <w:rFonts w:ascii="Arial" w:hAnsi="Arial" w:cs="Arial"/>
                <w:b/>
                <w:sz w:val="20"/>
                <w:szCs w:val="20"/>
              </w:rPr>
              <w:t xml:space="preserve">Sample </w:t>
            </w:r>
            <w:r w:rsidR="00DD565E" w:rsidRPr="006F0AC1">
              <w:rPr>
                <w:rFonts w:ascii="Arial" w:hAnsi="Arial" w:cs="Arial"/>
                <w:b/>
                <w:sz w:val="20"/>
                <w:szCs w:val="20"/>
              </w:rPr>
              <w:t xml:space="preserve">of </w:t>
            </w:r>
            <w:r w:rsidRPr="006F0AC1">
              <w:rPr>
                <w:rFonts w:ascii="Arial" w:hAnsi="Arial" w:cs="Arial"/>
                <w:b/>
                <w:sz w:val="20"/>
                <w:szCs w:val="20"/>
              </w:rPr>
              <w:t>patients experiencing</w:t>
            </w:r>
            <w:r w:rsidR="002B58B9" w:rsidRPr="006F0AC1">
              <w:rPr>
                <w:rFonts w:ascii="Arial" w:hAnsi="Arial" w:cs="Arial"/>
                <w:b/>
                <w:sz w:val="20"/>
                <w:szCs w:val="20"/>
              </w:rPr>
              <w:t xml:space="preserve"> outcome</w:t>
            </w:r>
          </w:p>
        </w:tc>
      </w:tr>
      <w:tr w:rsidR="002B58B9" w:rsidRPr="00BF3D07" w14:paraId="06836761" w14:textId="77777777" w:rsidTr="00922F35">
        <w:trPr>
          <w:trHeight w:val="300"/>
        </w:trPr>
        <w:tc>
          <w:tcPr>
            <w:tcW w:w="5505" w:type="dxa"/>
            <w:tcBorders>
              <w:top w:val="nil"/>
              <w:left w:val="nil"/>
              <w:bottom w:val="nil"/>
              <w:right w:val="nil"/>
            </w:tcBorders>
            <w:shd w:val="clear" w:color="auto" w:fill="auto"/>
            <w:noWrap/>
            <w:vAlign w:val="bottom"/>
          </w:tcPr>
          <w:p w14:paraId="58CDE59F" w14:textId="23027C11" w:rsidR="002B58B9" w:rsidRPr="00BF3D07" w:rsidRDefault="002B58B9" w:rsidP="007C7805">
            <w:pPr>
              <w:spacing w:after="0" w:line="240" w:lineRule="auto"/>
              <w:ind w:firstLine="267"/>
              <w:rPr>
                <w:rFonts w:ascii="Arial" w:hAnsi="Arial" w:cs="Arial"/>
                <w:b/>
                <w:sz w:val="20"/>
                <w:szCs w:val="20"/>
              </w:rPr>
            </w:pPr>
            <w:r w:rsidRPr="00BF3D07">
              <w:rPr>
                <w:rFonts w:ascii="Arial" w:eastAsia="Times New Roman" w:hAnsi="Arial" w:cs="Arial"/>
                <w:color w:val="000000"/>
                <w:sz w:val="20"/>
                <w:szCs w:val="20"/>
                <w:lang w:eastAsia="en-US"/>
              </w:rPr>
              <w:t>N</w:t>
            </w:r>
            <w:r w:rsidR="00B0400A">
              <w:rPr>
                <w:rFonts w:ascii="Arial" w:eastAsia="Times New Roman" w:hAnsi="Arial" w:cs="Arial"/>
                <w:color w:val="000000"/>
                <w:sz w:val="20"/>
                <w:szCs w:val="20"/>
                <w:lang w:eastAsia="en-US"/>
              </w:rPr>
              <w:t xml:space="preserve"> individuals</w:t>
            </w:r>
          </w:p>
        </w:tc>
        <w:tc>
          <w:tcPr>
            <w:tcW w:w="1980" w:type="dxa"/>
            <w:tcBorders>
              <w:top w:val="nil"/>
              <w:left w:val="nil"/>
              <w:bottom w:val="nil"/>
              <w:right w:val="nil"/>
            </w:tcBorders>
            <w:shd w:val="clear" w:color="auto" w:fill="auto"/>
            <w:noWrap/>
            <w:vAlign w:val="bottom"/>
          </w:tcPr>
          <w:p w14:paraId="6DEEF168" w14:textId="1B32FB0A" w:rsidR="002B58B9" w:rsidRPr="006F0AC1" w:rsidRDefault="002B58B9" w:rsidP="000D38B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8,916</w:t>
            </w:r>
          </w:p>
        </w:tc>
        <w:tc>
          <w:tcPr>
            <w:tcW w:w="1800" w:type="dxa"/>
            <w:tcBorders>
              <w:top w:val="nil"/>
              <w:left w:val="nil"/>
              <w:bottom w:val="nil"/>
              <w:right w:val="nil"/>
            </w:tcBorders>
            <w:shd w:val="clear" w:color="auto" w:fill="auto"/>
            <w:noWrap/>
            <w:vAlign w:val="bottom"/>
          </w:tcPr>
          <w:p w14:paraId="02B00B29" w14:textId="139201D6" w:rsidR="002B58B9" w:rsidRPr="006F0AC1" w:rsidRDefault="002B58B9"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604</w:t>
            </w:r>
          </w:p>
        </w:tc>
        <w:tc>
          <w:tcPr>
            <w:tcW w:w="1935" w:type="dxa"/>
            <w:tcBorders>
              <w:top w:val="nil"/>
              <w:left w:val="nil"/>
              <w:bottom w:val="nil"/>
              <w:right w:val="nil"/>
            </w:tcBorders>
            <w:shd w:val="clear" w:color="auto" w:fill="auto"/>
            <w:noWrap/>
            <w:vAlign w:val="bottom"/>
          </w:tcPr>
          <w:p w14:paraId="36A8D86C" w14:textId="2E3F9ED3" w:rsidR="002B58B9" w:rsidRPr="006F0AC1" w:rsidRDefault="002B58B9" w:rsidP="000D38B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7,523</w:t>
            </w:r>
          </w:p>
        </w:tc>
      </w:tr>
      <w:tr w:rsidR="007C7805" w:rsidRPr="00BF3D07" w14:paraId="03889AC5" w14:textId="77777777" w:rsidTr="00922F35">
        <w:trPr>
          <w:trHeight w:val="300"/>
        </w:trPr>
        <w:tc>
          <w:tcPr>
            <w:tcW w:w="5505" w:type="dxa"/>
            <w:tcBorders>
              <w:top w:val="nil"/>
              <w:left w:val="nil"/>
              <w:bottom w:val="nil"/>
              <w:right w:val="nil"/>
            </w:tcBorders>
            <w:shd w:val="clear" w:color="auto" w:fill="auto"/>
            <w:noWrap/>
            <w:vAlign w:val="bottom"/>
          </w:tcPr>
          <w:p w14:paraId="7DDFE524" w14:textId="196BEADF" w:rsidR="007C7805" w:rsidRPr="00BC5AF1" w:rsidRDefault="00B752C0" w:rsidP="00B752C0">
            <w:pPr>
              <w:spacing w:after="0" w:line="240" w:lineRule="auto"/>
              <w:ind w:firstLine="267"/>
              <w:rPr>
                <w:rFonts w:ascii="Arial" w:eastAsia="Times New Roman" w:hAnsi="Arial" w:cs="Arial"/>
                <w:i/>
                <w:color w:val="000000"/>
                <w:sz w:val="20"/>
                <w:szCs w:val="20"/>
                <w:lang w:eastAsia="en-US"/>
              </w:rPr>
            </w:pPr>
            <w:r w:rsidRPr="00BC5AF1">
              <w:rPr>
                <w:rFonts w:ascii="Arial" w:eastAsia="Times New Roman" w:hAnsi="Arial" w:cs="Arial"/>
                <w:i/>
                <w:color w:val="000000"/>
                <w:sz w:val="20"/>
                <w:szCs w:val="20"/>
                <w:lang w:eastAsia="en-US"/>
              </w:rPr>
              <w:t>During f</w:t>
            </w:r>
            <w:r w:rsidR="007C7805" w:rsidRPr="00BC5AF1">
              <w:rPr>
                <w:rFonts w:ascii="Arial" w:eastAsia="Times New Roman" w:hAnsi="Arial" w:cs="Arial"/>
                <w:i/>
                <w:color w:val="000000"/>
                <w:sz w:val="20"/>
                <w:szCs w:val="20"/>
                <w:lang w:eastAsia="en-US"/>
              </w:rPr>
              <w:t>ollow-up period</w:t>
            </w:r>
          </w:p>
        </w:tc>
        <w:tc>
          <w:tcPr>
            <w:tcW w:w="1980" w:type="dxa"/>
            <w:tcBorders>
              <w:top w:val="nil"/>
              <w:left w:val="nil"/>
              <w:bottom w:val="nil"/>
              <w:right w:val="nil"/>
            </w:tcBorders>
            <w:shd w:val="clear" w:color="auto" w:fill="auto"/>
            <w:noWrap/>
            <w:vAlign w:val="bottom"/>
          </w:tcPr>
          <w:p w14:paraId="11668A5F" w14:textId="77777777" w:rsidR="007C7805" w:rsidRPr="006F0AC1" w:rsidRDefault="007C7805" w:rsidP="008C2220">
            <w:pPr>
              <w:spacing w:after="0" w:line="240" w:lineRule="auto"/>
              <w:jc w:val="center"/>
              <w:rPr>
                <w:rFonts w:ascii="Arial" w:eastAsia="Times New Roman" w:hAnsi="Arial" w:cs="Arial"/>
                <w:color w:val="000000"/>
                <w:sz w:val="20"/>
                <w:szCs w:val="20"/>
                <w:lang w:eastAsia="en-US"/>
              </w:rPr>
            </w:pPr>
          </w:p>
        </w:tc>
        <w:tc>
          <w:tcPr>
            <w:tcW w:w="1800" w:type="dxa"/>
            <w:tcBorders>
              <w:top w:val="nil"/>
              <w:left w:val="nil"/>
              <w:bottom w:val="nil"/>
              <w:right w:val="nil"/>
            </w:tcBorders>
            <w:shd w:val="clear" w:color="auto" w:fill="auto"/>
            <w:noWrap/>
            <w:vAlign w:val="bottom"/>
          </w:tcPr>
          <w:p w14:paraId="25D70E65" w14:textId="77777777" w:rsidR="007C7805" w:rsidRPr="006F0AC1" w:rsidRDefault="007C7805" w:rsidP="008C2220">
            <w:pPr>
              <w:spacing w:after="0" w:line="240" w:lineRule="auto"/>
              <w:jc w:val="center"/>
              <w:rPr>
                <w:rFonts w:ascii="Arial" w:eastAsia="Times New Roman" w:hAnsi="Arial" w:cs="Arial"/>
                <w:color w:val="000000"/>
                <w:sz w:val="20"/>
                <w:szCs w:val="20"/>
                <w:lang w:eastAsia="en-US"/>
              </w:rPr>
            </w:pPr>
          </w:p>
        </w:tc>
        <w:tc>
          <w:tcPr>
            <w:tcW w:w="1935" w:type="dxa"/>
            <w:tcBorders>
              <w:top w:val="nil"/>
              <w:left w:val="nil"/>
              <w:bottom w:val="nil"/>
              <w:right w:val="nil"/>
            </w:tcBorders>
            <w:shd w:val="clear" w:color="auto" w:fill="auto"/>
            <w:noWrap/>
            <w:vAlign w:val="bottom"/>
          </w:tcPr>
          <w:p w14:paraId="464FEECA" w14:textId="77777777" w:rsidR="007C7805" w:rsidRPr="006F0AC1" w:rsidRDefault="007C7805" w:rsidP="008C2220">
            <w:pPr>
              <w:spacing w:after="0" w:line="240" w:lineRule="auto"/>
              <w:jc w:val="center"/>
              <w:rPr>
                <w:rFonts w:ascii="Arial" w:eastAsia="Times New Roman" w:hAnsi="Arial" w:cs="Arial"/>
                <w:color w:val="000000"/>
                <w:sz w:val="20"/>
                <w:szCs w:val="20"/>
                <w:lang w:eastAsia="en-US"/>
              </w:rPr>
            </w:pPr>
          </w:p>
        </w:tc>
      </w:tr>
      <w:tr w:rsidR="002B58B9" w:rsidRPr="00BF3D07" w14:paraId="65F652BA" w14:textId="77777777" w:rsidTr="00922F35">
        <w:trPr>
          <w:trHeight w:val="300"/>
        </w:trPr>
        <w:tc>
          <w:tcPr>
            <w:tcW w:w="5505" w:type="dxa"/>
            <w:tcBorders>
              <w:top w:val="nil"/>
              <w:left w:val="nil"/>
              <w:bottom w:val="nil"/>
              <w:right w:val="nil"/>
            </w:tcBorders>
            <w:shd w:val="clear" w:color="auto" w:fill="auto"/>
            <w:noWrap/>
            <w:vAlign w:val="bottom"/>
          </w:tcPr>
          <w:p w14:paraId="7A21AAEF" w14:textId="0404763F" w:rsidR="002B58B9" w:rsidRPr="00BF3D07" w:rsidRDefault="00922F35" w:rsidP="007C7805">
            <w:pPr>
              <w:spacing w:after="0" w:line="240" w:lineRule="auto"/>
              <w:ind w:firstLine="616"/>
              <w:rPr>
                <w:rFonts w:ascii="Arial" w:hAnsi="Arial" w:cs="Arial"/>
                <w:b/>
                <w:sz w:val="20"/>
                <w:szCs w:val="20"/>
              </w:rPr>
            </w:pPr>
            <w:r w:rsidRPr="00BF3D07">
              <w:rPr>
                <w:rFonts w:ascii="Arial" w:eastAsia="Times New Roman" w:hAnsi="Arial" w:cs="Arial"/>
                <w:color w:val="000000"/>
                <w:sz w:val="20"/>
                <w:szCs w:val="20"/>
                <w:lang w:eastAsia="en-US"/>
              </w:rPr>
              <w:t xml:space="preserve">Mean </w:t>
            </w:r>
            <w:r w:rsidR="007C7805">
              <w:rPr>
                <w:rFonts w:ascii="Arial" w:eastAsia="Times New Roman" w:hAnsi="Arial" w:cs="Arial"/>
                <w:color w:val="000000"/>
                <w:sz w:val="20"/>
                <w:szCs w:val="20"/>
                <w:lang w:eastAsia="en-US"/>
              </w:rPr>
              <w:t>years</w:t>
            </w:r>
          </w:p>
        </w:tc>
        <w:tc>
          <w:tcPr>
            <w:tcW w:w="1980" w:type="dxa"/>
            <w:tcBorders>
              <w:top w:val="nil"/>
              <w:left w:val="nil"/>
              <w:bottom w:val="nil"/>
              <w:right w:val="nil"/>
            </w:tcBorders>
            <w:shd w:val="clear" w:color="auto" w:fill="auto"/>
            <w:noWrap/>
            <w:vAlign w:val="bottom"/>
          </w:tcPr>
          <w:p w14:paraId="78A78397" w14:textId="73B0E4DC" w:rsidR="002B58B9" w:rsidRPr="006F0AC1" w:rsidRDefault="000D38B0" w:rsidP="00280F8C">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2.6</w:t>
            </w:r>
          </w:p>
        </w:tc>
        <w:tc>
          <w:tcPr>
            <w:tcW w:w="1800" w:type="dxa"/>
            <w:tcBorders>
              <w:top w:val="nil"/>
              <w:left w:val="nil"/>
              <w:bottom w:val="nil"/>
              <w:right w:val="nil"/>
            </w:tcBorders>
            <w:shd w:val="clear" w:color="auto" w:fill="auto"/>
            <w:noWrap/>
            <w:vAlign w:val="bottom"/>
          </w:tcPr>
          <w:p w14:paraId="4D701FEE" w14:textId="48156DC0" w:rsidR="002B58B9" w:rsidRPr="006F0AC1" w:rsidRDefault="000D38B0"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2.8</w:t>
            </w:r>
          </w:p>
        </w:tc>
        <w:tc>
          <w:tcPr>
            <w:tcW w:w="1935" w:type="dxa"/>
            <w:tcBorders>
              <w:top w:val="nil"/>
              <w:left w:val="nil"/>
              <w:bottom w:val="nil"/>
              <w:right w:val="nil"/>
            </w:tcBorders>
            <w:shd w:val="clear" w:color="auto" w:fill="auto"/>
            <w:noWrap/>
            <w:vAlign w:val="bottom"/>
          </w:tcPr>
          <w:p w14:paraId="6185D2D6" w14:textId="5D5F1C2D" w:rsidR="002B58B9" w:rsidRPr="006F0AC1" w:rsidRDefault="00280F8C"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1.8</w:t>
            </w:r>
          </w:p>
        </w:tc>
      </w:tr>
      <w:tr w:rsidR="002B58B9" w:rsidRPr="00BF3D07" w14:paraId="554EA68D" w14:textId="77777777" w:rsidTr="00D41F3C">
        <w:trPr>
          <w:trHeight w:val="300"/>
        </w:trPr>
        <w:tc>
          <w:tcPr>
            <w:tcW w:w="5505" w:type="dxa"/>
            <w:tcBorders>
              <w:top w:val="nil"/>
              <w:left w:val="nil"/>
              <w:bottom w:val="nil"/>
              <w:right w:val="nil"/>
            </w:tcBorders>
            <w:shd w:val="clear" w:color="auto" w:fill="auto"/>
            <w:noWrap/>
            <w:vAlign w:val="bottom"/>
          </w:tcPr>
          <w:p w14:paraId="35D0947E" w14:textId="4FDC8CCD" w:rsidR="002B58B9" w:rsidRPr="00BF3D07" w:rsidRDefault="00D41F3C" w:rsidP="00D41F3C">
            <w:pPr>
              <w:spacing w:after="0" w:line="240" w:lineRule="auto"/>
              <w:ind w:firstLine="616"/>
              <w:rPr>
                <w:rFonts w:ascii="Arial" w:hAnsi="Arial" w:cs="Arial"/>
                <w:b/>
                <w:sz w:val="20"/>
                <w:szCs w:val="20"/>
              </w:rPr>
            </w:pPr>
            <w:r>
              <w:rPr>
                <w:rFonts w:ascii="Arial" w:eastAsia="Times New Roman" w:hAnsi="Arial" w:cs="Arial"/>
                <w:color w:val="000000"/>
                <w:sz w:val="20"/>
                <w:szCs w:val="20"/>
                <w:lang w:eastAsia="en-US"/>
              </w:rPr>
              <w:t>Patients with a</w:t>
            </w:r>
            <w:r w:rsidR="00922F35" w:rsidRPr="00BF3D07">
              <w:rPr>
                <w:rFonts w:ascii="Arial" w:eastAsia="Times New Roman" w:hAnsi="Arial" w:cs="Arial"/>
                <w:color w:val="000000"/>
                <w:sz w:val="20"/>
                <w:szCs w:val="20"/>
                <w:lang w:eastAsia="en-US"/>
              </w:rPr>
              <w:t xml:space="preserve">t least one </w:t>
            </w:r>
            <w:r w:rsidR="005922A5">
              <w:rPr>
                <w:rFonts w:ascii="Arial" w:hAnsi="Arial" w:cs="Arial"/>
                <w:sz w:val="20"/>
                <w:szCs w:val="20"/>
              </w:rPr>
              <w:t>polypharmacy</w:t>
            </w:r>
            <w:r w:rsidR="007C7805">
              <w:rPr>
                <w:rFonts w:ascii="Arial" w:eastAsia="Times New Roman" w:hAnsi="Arial" w:cs="Arial"/>
                <w:color w:val="000000"/>
                <w:sz w:val="20"/>
                <w:szCs w:val="20"/>
                <w:lang w:eastAsia="en-US"/>
              </w:rPr>
              <w:t xml:space="preserve"> episode</w:t>
            </w:r>
          </w:p>
        </w:tc>
        <w:tc>
          <w:tcPr>
            <w:tcW w:w="1980" w:type="dxa"/>
            <w:tcBorders>
              <w:top w:val="nil"/>
              <w:left w:val="nil"/>
              <w:bottom w:val="nil"/>
              <w:right w:val="nil"/>
            </w:tcBorders>
            <w:shd w:val="clear" w:color="auto" w:fill="auto"/>
            <w:noWrap/>
            <w:vAlign w:val="bottom"/>
          </w:tcPr>
          <w:p w14:paraId="1DDD8755" w14:textId="24B59230" w:rsidR="002B58B9" w:rsidRPr="006F0AC1" w:rsidRDefault="002B58B9" w:rsidP="008C2220">
            <w:pPr>
              <w:spacing w:after="0" w:line="240" w:lineRule="auto"/>
              <w:jc w:val="center"/>
              <w:rPr>
                <w:rFonts w:ascii="Arial" w:eastAsia="Times New Roman" w:hAnsi="Arial" w:cs="Arial"/>
                <w:color w:val="000000"/>
                <w:sz w:val="20"/>
                <w:szCs w:val="20"/>
                <w:lang w:eastAsia="en-US"/>
              </w:rPr>
            </w:pPr>
            <w:r w:rsidRPr="006F0AC1">
              <w:rPr>
                <w:rFonts w:ascii="Arial" w:eastAsia="Times New Roman" w:hAnsi="Arial" w:cs="Arial"/>
                <w:color w:val="000000"/>
                <w:sz w:val="20"/>
                <w:szCs w:val="20"/>
                <w:lang w:eastAsia="en-US"/>
              </w:rPr>
              <w:t>7</w:t>
            </w:r>
            <w:r w:rsidR="00D41F3C">
              <w:rPr>
                <w:rFonts w:ascii="Arial" w:eastAsia="Times New Roman" w:hAnsi="Arial" w:cs="Arial"/>
                <w:color w:val="000000"/>
                <w:sz w:val="20"/>
                <w:szCs w:val="20"/>
                <w:lang w:eastAsia="en-US"/>
              </w:rPr>
              <w:t>04</w:t>
            </w:r>
          </w:p>
        </w:tc>
        <w:tc>
          <w:tcPr>
            <w:tcW w:w="1800" w:type="dxa"/>
            <w:tcBorders>
              <w:top w:val="nil"/>
              <w:left w:val="nil"/>
              <w:bottom w:val="nil"/>
              <w:right w:val="nil"/>
            </w:tcBorders>
            <w:shd w:val="clear" w:color="auto" w:fill="auto"/>
            <w:noWrap/>
            <w:vAlign w:val="bottom"/>
          </w:tcPr>
          <w:p w14:paraId="569D8E63" w14:textId="0FA36601" w:rsidR="002B58B9" w:rsidRPr="006F0AC1" w:rsidRDefault="00D41F3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52</w:t>
            </w:r>
          </w:p>
        </w:tc>
        <w:tc>
          <w:tcPr>
            <w:tcW w:w="1935" w:type="dxa"/>
            <w:tcBorders>
              <w:top w:val="nil"/>
              <w:left w:val="nil"/>
              <w:bottom w:val="nil"/>
              <w:right w:val="nil"/>
            </w:tcBorders>
            <w:shd w:val="clear" w:color="auto" w:fill="auto"/>
            <w:noWrap/>
            <w:vAlign w:val="bottom"/>
          </w:tcPr>
          <w:p w14:paraId="756C42E1" w14:textId="6D6AA4FE" w:rsidR="002B58B9" w:rsidRPr="006F0AC1" w:rsidRDefault="00D41F3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511</w:t>
            </w:r>
          </w:p>
        </w:tc>
      </w:tr>
      <w:tr w:rsidR="00D41F3C" w:rsidRPr="00BF3D07" w14:paraId="3B47E2DA" w14:textId="77777777" w:rsidTr="00922F35">
        <w:trPr>
          <w:trHeight w:val="300"/>
        </w:trPr>
        <w:tc>
          <w:tcPr>
            <w:tcW w:w="5505" w:type="dxa"/>
            <w:tcBorders>
              <w:top w:val="nil"/>
              <w:left w:val="nil"/>
              <w:bottom w:val="single" w:sz="4" w:space="0" w:color="auto"/>
              <w:right w:val="nil"/>
            </w:tcBorders>
            <w:shd w:val="clear" w:color="auto" w:fill="auto"/>
            <w:noWrap/>
            <w:vAlign w:val="bottom"/>
          </w:tcPr>
          <w:p w14:paraId="1660F1C8" w14:textId="6E2F8696" w:rsidR="00D41F3C" w:rsidRDefault="00D41F3C" w:rsidP="00D41F3C">
            <w:pPr>
              <w:spacing w:after="0" w:line="240" w:lineRule="auto"/>
              <w:ind w:firstLine="616"/>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 patients with a</w:t>
            </w:r>
            <w:r w:rsidRPr="00BF3D07">
              <w:rPr>
                <w:rFonts w:ascii="Arial" w:eastAsia="Times New Roman" w:hAnsi="Arial" w:cs="Arial"/>
                <w:color w:val="000000"/>
                <w:sz w:val="20"/>
                <w:szCs w:val="20"/>
                <w:lang w:eastAsia="en-US"/>
              </w:rPr>
              <w:t xml:space="preserve">t least one </w:t>
            </w:r>
            <w:r>
              <w:rPr>
                <w:rFonts w:ascii="Arial" w:hAnsi="Arial" w:cs="Arial"/>
                <w:sz w:val="20"/>
                <w:szCs w:val="20"/>
              </w:rPr>
              <w:t>polypharmacy</w:t>
            </w:r>
            <w:r>
              <w:rPr>
                <w:rFonts w:ascii="Arial" w:eastAsia="Times New Roman" w:hAnsi="Arial" w:cs="Arial"/>
                <w:color w:val="000000"/>
                <w:sz w:val="20"/>
                <w:szCs w:val="20"/>
                <w:lang w:eastAsia="en-US"/>
              </w:rPr>
              <w:t xml:space="preserve"> episode</w:t>
            </w:r>
          </w:p>
        </w:tc>
        <w:tc>
          <w:tcPr>
            <w:tcW w:w="1980" w:type="dxa"/>
            <w:tcBorders>
              <w:top w:val="nil"/>
              <w:left w:val="nil"/>
              <w:bottom w:val="single" w:sz="4" w:space="0" w:color="auto"/>
              <w:right w:val="nil"/>
            </w:tcBorders>
            <w:shd w:val="clear" w:color="auto" w:fill="auto"/>
            <w:noWrap/>
            <w:vAlign w:val="bottom"/>
          </w:tcPr>
          <w:p w14:paraId="20284E6A" w14:textId="78816814" w:rsidR="00D41F3C" w:rsidRPr="006F0AC1" w:rsidRDefault="00D41F3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7.9</w:t>
            </w:r>
          </w:p>
        </w:tc>
        <w:tc>
          <w:tcPr>
            <w:tcW w:w="1800" w:type="dxa"/>
            <w:tcBorders>
              <w:top w:val="nil"/>
              <w:left w:val="nil"/>
              <w:bottom w:val="single" w:sz="4" w:space="0" w:color="auto"/>
              <w:right w:val="nil"/>
            </w:tcBorders>
            <w:shd w:val="clear" w:color="auto" w:fill="auto"/>
            <w:noWrap/>
            <w:vAlign w:val="bottom"/>
          </w:tcPr>
          <w:p w14:paraId="4554FA4B" w14:textId="0E5BCA07" w:rsidR="00D41F3C" w:rsidRPr="006F0AC1" w:rsidRDefault="00D41F3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8.6</w:t>
            </w:r>
          </w:p>
        </w:tc>
        <w:tc>
          <w:tcPr>
            <w:tcW w:w="1935" w:type="dxa"/>
            <w:tcBorders>
              <w:top w:val="nil"/>
              <w:left w:val="nil"/>
              <w:bottom w:val="single" w:sz="4" w:space="0" w:color="auto"/>
              <w:right w:val="nil"/>
            </w:tcBorders>
            <w:shd w:val="clear" w:color="auto" w:fill="auto"/>
            <w:noWrap/>
            <w:vAlign w:val="bottom"/>
          </w:tcPr>
          <w:p w14:paraId="6812FB84" w14:textId="6993031E" w:rsidR="00D41F3C" w:rsidRPr="006F0AC1" w:rsidRDefault="00D41F3C" w:rsidP="008C2220">
            <w:pPr>
              <w:spacing w:after="0" w:line="240" w:lineRule="auto"/>
              <w:jc w:val="center"/>
              <w:rPr>
                <w:rFonts w:ascii="Arial" w:eastAsia="Times New Roman" w:hAnsi="Arial" w:cs="Arial"/>
                <w:color w:val="000000"/>
                <w:sz w:val="20"/>
                <w:szCs w:val="20"/>
                <w:lang w:eastAsia="en-US"/>
              </w:rPr>
            </w:pPr>
            <w:r>
              <w:rPr>
                <w:rFonts w:ascii="Arial" w:eastAsia="Times New Roman" w:hAnsi="Arial" w:cs="Arial"/>
                <w:color w:val="000000"/>
                <w:sz w:val="20"/>
                <w:szCs w:val="20"/>
                <w:lang w:eastAsia="en-US"/>
              </w:rPr>
              <w:t>6.8</w:t>
            </w:r>
          </w:p>
        </w:tc>
      </w:tr>
    </w:tbl>
    <w:p w14:paraId="1AB3590E" w14:textId="77777777" w:rsidR="004D77D3" w:rsidRDefault="004D77D3" w:rsidP="00F00CDF">
      <w:pPr>
        <w:tabs>
          <w:tab w:val="left" w:pos="1515"/>
        </w:tabs>
        <w:spacing w:after="0" w:line="240" w:lineRule="auto"/>
        <w:rPr>
          <w:rFonts w:ascii="Arial" w:hAnsi="Arial" w:cs="Arial"/>
          <w:sz w:val="20"/>
          <w:szCs w:val="20"/>
        </w:rPr>
      </w:pPr>
      <w:r>
        <w:rPr>
          <w:rFonts w:ascii="Arial" w:hAnsi="Arial" w:cs="Arial"/>
          <w:sz w:val="20"/>
          <w:szCs w:val="20"/>
          <w:vertAlign w:val="superscript"/>
        </w:rPr>
        <w:t>a</w:t>
      </w:r>
      <w:r w:rsidR="00F00CDF" w:rsidRPr="008440FD">
        <w:rPr>
          <w:rFonts w:ascii="Arial" w:hAnsi="Arial" w:cs="Arial"/>
          <w:sz w:val="20"/>
          <w:szCs w:val="20"/>
        </w:rPr>
        <w:t>Observation period: from entry to the sample until the earliest of death, end of registratio</w:t>
      </w:r>
      <w:r>
        <w:rPr>
          <w:rFonts w:ascii="Arial" w:hAnsi="Arial" w:cs="Arial"/>
          <w:sz w:val="20"/>
          <w:szCs w:val="20"/>
        </w:rPr>
        <w:t>n with practice, 31 March 2014.</w:t>
      </w:r>
    </w:p>
    <w:p w14:paraId="02E898D2" w14:textId="3A78AC5C" w:rsidR="00F00CDF" w:rsidRPr="008440FD" w:rsidRDefault="004D77D3" w:rsidP="00F00CDF">
      <w:pPr>
        <w:tabs>
          <w:tab w:val="left" w:pos="1515"/>
        </w:tabs>
        <w:spacing w:after="0" w:line="240" w:lineRule="auto"/>
        <w:rPr>
          <w:rFonts w:ascii="Arial" w:hAnsi="Arial" w:cs="Arial"/>
          <w:sz w:val="20"/>
          <w:szCs w:val="20"/>
        </w:rPr>
      </w:pPr>
      <w:r>
        <w:rPr>
          <w:rFonts w:ascii="Arial" w:hAnsi="Arial" w:cs="Arial"/>
          <w:sz w:val="20"/>
          <w:szCs w:val="20"/>
          <w:vertAlign w:val="superscript"/>
        </w:rPr>
        <w:t>b</w:t>
      </w:r>
      <w:r w:rsidR="00F00CDF" w:rsidRPr="008440FD">
        <w:rPr>
          <w:rFonts w:ascii="Arial" w:hAnsi="Arial" w:cs="Arial"/>
          <w:sz w:val="20"/>
          <w:szCs w:val="20"/>
        </w:rPr>
        <w:t>Follow-up period: from entry to the sample until outcome occurs or censoring (end of observation period).</w:t>
      </w:r>
    </w:p>
    <w:p w14:paraId="64949696" w14:textId="4C61E80C" w:rsidR="002B58B9" w:rsidRPr="00F00CDF" w:rsidRDefault="00F00CDF" w:rsidP="00F00CDF">
      <w:pPr>
        <w:tabs>
          <w:tab w:val="left" w:pos="1515"/>
        </w:tabs>
        <w:sectPr w:rsidR="002B58B9" w:rsidRPr="00F00CDF" w:rsidSect="002B58B9">
          <w:footnotePr>
            <w:numFmt w:val="lowerRoman"/>
          </w:footnotePr>
          <w:pgSz w:w="16838" w:h="11906" w:orient="landscape"/>
          <w:pgMar w:top="1800" w:right="1440" w:bottom="1800" w:left="1440" w:header="708" w:footer="708" w:gutter="0"/>
          <w:cols w:space="708"/>
          <w:docGrid w:linePitch="360"/>
        </w:sectPr>
      </w:pPr>
      <w:r>
        <w:tab/>
      </w:r>
    </w:p>
    <w:p w14:paraId="68003096" w14:textId="7C559EE3" w:rsidR="002B58B9" w:rsidRPr="00BF3D07" w:rsidRDefault="00882484" w:rsidP="001040F6">
      <w:pPr>
        <w:pStyle w:val="Caption"/>
        <w:rPr>
          <w:rFonts w:ascii="Arial" w:hAnsi="Arial" w:cs="Arial"/>
          <w:sz w:val="20"/>
          <w:szCs w:val="20"/>
        </w:rPr>
      </w:pPr>
      <w:bookmarkStart w:id="47" w:name="_Ref511302718"/>
      <w:r w:rsidRPr="00BF3D07">
        <w:lastRenderedPageBreak/>
        <w:t xml:space="preserve">Table </w:t>
      </w:r>
      <w:r w:rsidRPr="00BF3D07">
        <w:fldChar w:fldCharType="begin"/>
      </w:r>
      <w:r w:rsidRPr="00BF3D07">
        <w:instrText xml:space="preserve"> SEQ Table \* ARABIC </w:instrText>
      </w:r>
      <w:r w:rsidRPr="00BF3D07">
        <w:fldChar w:fldCharType="separate"/>
      </w:r>
      <w:r w:rsidR="00FF1B96">
        <w:rPr>
          <w:noProof/>
        </w:rPr>
        <w:t>2</w:t>
      </w:r>
      <w:r w:rsidRPr="00BF3D07">
        <w:fldChar w:fldCharType="end"/>
      </w:r>
      <w:bookmarkEnd w:id="47"/>
      <w:r w:rsidRPr="00BF3D07">
        <w:t xml:space="preserve">: </w:t>
      </w:r>
      <w:r w:rsidR="002D6A40" w:rsidRPr="00BF3D07">
        <w:t xml:space="preserve">Descriptive statistics for the </w:t>
      </w:r>
      <w:r w:rsidR="00D706EC" w:rsidRPr="00BF3D07">
        <w:t>e</w:t>
      </w:r>
      <w:r w:rsidR="00317434">
        <w:t>xplanatory variables</w:t>
      </w:r>
    </w:p>
    <w:tbl>
      <w:tblPr>
        <w:tblW w:w="7305" w:type="dxa"/>
        <w:tblInd w:w="93" w:type="dxa"/>
        <w:tblLook w:val="04A0" w:firstRow="1" w:lastRow="0" w:firstColumn="1" w:lastColumn="0" w:noHBand="0" w:noVBand="1"/>
      </w:tblPr>
      <w:tblGrid>
        <w:gridCol w:w="4605"/>
        <w:gridCol w:w="1350"/>
        <w:gridCol w:w="1350"/>
      </w:tblGrid>
      <w:tr w:rsidR="002B58B9" w:rsidRPr="00BF3D07" w14:paraId="235F6436" w14:textId="77777777" w:rsidTr="00F9734A">
        <w:trPr>
          <w:trHeight w:val="300"/>
        </w:trPr>
        <w:tc>
          <w:tcPr>
            <w:tcW w:w="4605" w:type="dxa"/>
            <w:tcBorders>
              <w:top w:val="single" w:sz="12" w:space="0" w:color="auto"/>
              <w:left w:val="nil"/>
              <w:bottom w:val="single" w:sz="4" w:space="0" w:color="auto"/>
              <w:right w:val="nil"/>
            </w:tcBorders>
            <w:shd w:val="clear" w:color="auto" w:fill="auto"/>
            <w:noWrap/>
            <w:vAlign w:val="bottom"/>
            <w:hideMark/>
          </w:tcPr>
          <w:p w14:paraId="6A54C860" w14:textId="77777777" w:rsidR="002B58B9" w:rsidRPr="00BF3D07" w:rsidRDefault="002B58B9" w:rsidP="00F732C7">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lang w:eastAsia="en-US"/>
              </w:rPr>
              <w:t>Variable</w:t>
            </w:r>
          </w:p>
        </w:tc>
        <w:tc>
          <w:tcPr>
            <w:tcW w:w="1350" w:type="dxa"/>
            <w:tcBorders>
              <w:top w:val="single" w:sz="12" w:space="0" w:color="auto"/>
              <w:left w:val="nil"/>
              <w:bottom w:val="single" w:sz="4" w:space="0" w:color="auto"/>
              <w:right w:val="nil"/>
            </w:tcBorders>
            <w:shd w:val="clear" w:color="auto" w:fill="auto"/>
            <w:noWrap/>
            <w:vAlign w:val="bottom"/>
            <w:hideMark/>
          </w:tcPr>
          <w:p w14:paraId="5197FB91" w14:textId="77777777" w:rsidR="002B58B9" w:rsidRPr="00BF3D07" w:rsidRDefault="002B58B9" w:rsidP="00F732C7">
            <w:pPr>
              <w:spacing w:after="0" w:line="240" w:lineRule="auto"/>
              <w:jc w:val="center"/>
              <w:rPr>
                <w:rFonts w:ascii="Arial" w:eastAsia="Times New Roman" w:hAnsi="Arial" w:cs="Arial"/>
                <w:sz w:val="20"/>
                <w:szCs w:val="20"/>
                <w:lang w:eastAsia="en-US"/>
              </w:rPr>
            </w:pPr>
            <w:r w:rsidRPr="00BF3D07">
              <w:rPr>
                <w:rFonts w:ascii="Arial" w:eastAsia="Times New Roman" w:hAnsi="Arial" w:cs="Arial"/>
                <w:sz w:val="20"/>
                <w:szCs w:val="20"/>
                <w:lang w:eastAsia="en-US"/>
              </w:rPr>
              <w:t>N</w:t>
            </w:r>
            <w:r w:rsidR="00280B2E" w:rsidRPr="00BF3D07">
              <w:rPr>
                <w:rFonts w:ascii="Arial" w:eastAsia="Times New Roman" w:hAnsi="Arial" w:cs="Arial"/>
                <w:sz w:val="20"/>
                <w:szCs w:val="20"/>
                <w:lang w:eastAsia="en-US"/>
              </w:rPr>
              <w:t xml:space="preserve"> (patients)</w:t>
            </w:r>
          </w:p>
        </w:tc>
        <w:tc>
          <w:tcPr>
            <w:tcW w:w="1350" w:type="dxa"/>
            <w:tcBorders>
              <w:top w:val="single" w:sz="12" w:space="0" w:color="auto"/>
              <w:left w:val="nil"/>
              <w:bottom w:val="single" w:sz="4" w:space="0" w:color="auto"/>
              <w:right w:val="nil"/>
            </w:tcBorders>
            <w:shd w:val="clear" w:color="auto" w:fill="auto"/>
            <w:noWrap/>
            <w:vAlign w:val="bottom"/>
            <w:hideMark/>
          </w:tcPr>
          <w:p w14:paraId="4E9ACAB5" w14:textId="77777777" w:rsidR="002B58B9" w:rsidRPr="00BF3D07" w:rsidRDefault="002B58B9" w:rsidP="00F732C7">
            <w:pPr>
              <w:spacing w:after="0" w:line="240" w:lineRule="auto"/>
              <w:jc w:val="center"/>
              <w:rPr>
                <w:rFonts w:ascii="Arial" w:eastAsia="Times New Roman" w:hAnsi="Arial" w:cs="Arial"/>
                <w:sz w:val="20"/>
                <w:szCs w:val="20"/>
                <w:lang w:eastAsia="en-US"/>
              </w:rPr>
            </w:pPr>
            <w:r w:rsidRPr="00BF3D07">
              <w:rPr>
                <w:rFonts w:ascii="Arial" w:eastAsia="Times New Roman" w:hAnsi="Arial" w:cs="Arial"/>
                <w:sz w:val="20"/>
                <w:szCs w:val="20"/>
                <w:lang w:eastAsia="en-US"/>
              </w:rPr>
              <w:t>(%)</w:t>
            </w:r>
          </w:p>
        </w:tc>
      </w:tr>
      <w:tr w:rsidR="002B58B9" w:rsidRPr="00BF3D07" w14:paraId="5848FD3A" w14:textId="77777777" w:rsidTr="00F9734A">
        <w:trPr>
          <w:trHeight w:val="300"/>
        </w:trPr>
        <w:tc>
          <w:tcPr>
            <w:tcW w:w="4605" w:type="dxa"/>
            <w:tcBorders>
              <w:top w:val="single" w:sz="4" w:space="0" w:color="auto"/>
              <w:left w:val="nil"/>
              <w:bottom w:val="nil"/>
              <w:right w:val="nil"/>
            </w:tcBorders>
            <w:shd w:val="clear" w:color="auto" w:fill="auto"/>
            <w:noWrap/>
            <w:vAlign w:val="bottom"/>
          </w:tcPr>
          <w:p w14:paraId="1D943905" w14:textId="403731DC" w:rsidR="002B58B9" w:rsidRPr="00BF3D07" w:rsidRDefault="002B58B9" w:rsidP="00871B33">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rPr>
              <w:t xml:space="preserve">Age at </w:t>
            </w:r>
            <w:r w:rsidR="00871B33">
              <w:rPr>
                <w:rFonts w:ascii="Arial" w:eastAsia="Times New Roman" w:hAnsi="Arial" w:cs="Arial"/>
                <w:sz w:val="20"/>
                <w:szCs w:val="20"/>
              </w:rPr>
              <w:t>entry date</w:t>
            </w:r>
          </w:p>
        </w:tc>
        <w:tc>
          <w:tcPr>
            <w:tcW w:w="1350" w:type="dxa"/>
            <w:tcBorders>
              <w:top w:val="single" w:sz="4" w:space="0" w:color="auto"/>
              <w:left w:val="nil"/>
              <w:bottom w:val="nil"/>
              <w:right w:val="nil"/>
            </w:tcBorders>
            <w:shd w:val="clear" w:color="auto" w:fill="auto"/>
            <w:noWrap/>
            <w:vAlign w:val="bottom"/>
          </w:tcPr>
          <w:p w14:paraId="5A5C40A4" w14:textId="77777777" w:rsidR="002B58B9" w:rsidRPr="00BF3D07" w:rsidRDefault="002B58B9" w:rsidP="00F732C7">
            <w:pPr>
              <w:spacing w:after="0" w:line="240" w:lineRule="auto"/>
              <w:jc w:val="center"/>
              <w:rPr>
                <w:rFonts w:ascii="Arial" w:eastAsia="Times New Roman" w:hAnsi="Arial" w:cs="Arial"/>
                <w:sz w:val="20"/>
                <w:szCs w:val="20"/>
                <w:lang w:eastAsia="en-US"/>
              </w:rPr>
            </w:pPr>
          </w:p>
        </w:tc>
        <w:tc>
          <w:tcPr>
            <w:tcW w:w="1350" w:type="dxa"/>
            <w:tcBorders>
              <w:top w:val="single" w:sz="4" w:space="0" w:color="auto"/>
              <w:left w:val="nil"/>
              <w:bottom w:val="nil"/>
              <w:right w:val="nil"/>
            </w:tcBorders>
            <w:shd w:val="clear" w:color="auto" w:fill="auto"/>
            <w:noWrap/>
            <w:vAlign w:val="bottom"/>
          </w:tcPr>
          <w:p w14:paraId="2028CCE4" w14:textId="77777777" w:rsidR="002B58B9" w:rsidRPr="00BF3D07" w:rsidRDefault="002B58B9" w:rsidP="00F732C7">
            <w:pPr>
              <w:spacing w:after="0" w:line="240" w:lineRule="auto"/>
              <w:jc w:val="center"/>
              <w:rPr>
                <w:rFonts w:ascii="Arial" w:eastAsia="Times New Roman" w:hAnsi="Arial" w:cs="Arial"/>
                <w:sz w:val="20"/>
                <w:szCs w:val="20"/>
                <w:lang w:eastAsia="en-US"/>
              </w:rPr>
            </w:pPr>
          </w:p>
        </w:tc>
      </w:tr>
      <w:tr w:rsidR="00D46080" w:rsidRPr="00BF3D07" w14:paraId="53DEF0C5" w14:textId="77777777" w:rsidTr="00280B2E">
        <w:trPr>
          <w:trHeight w:val="300"/>
        </w:trPr>
        <w:tc>
          <w:tcPr>
            <w:tcW w:w="4605" w:type="dxa"/>
            <w:tcBorders>
              <w:top w:val="nil"/>
              <w:left w:val="nil"/>
              <w:bottom w:val="nil"/>
              <w:right w:val="nil"/>
            </w:tcBorders>
            <w:shd w:val="clear" w:color="auto" w:fill="auto"/>
            <w:noWrap/>
            <w:vAlign w:val="center"/>
            <w:hideMark/>
          </w:tcPr>
          <w:p w14:paraId="03276EF8" w14:textId="77777777" w:rsidR="00D46080" w:rsidRPr="00BF3D07" w:rsidRDefault="00D46080"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19-35</w:t>
            </w:r>
          </w:p>
        </w:tc>
        <w:tc>
          <w:tcPr>
            <w:tcW w:w="1350" w:type="dxa"/>
            <w:tcBorders>
              <w:top w:val="nil"/>
              <w:left w:val="nil"/>
              <w:bottom w:val="nil"/>
              <w:right w:val="nil"/>
            </w:tcBorders>
            <w:shd w:val="clear" w:color="auto" w:fill="auto"/>
            <w:noWrap/>
            <w:vAlign w:val="center"/>
            <w:hideMark/>
          </w:tcPr>
          <w:p w14:paraId="1AD8CBDB"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4</w:t>
            </w:r>
            <w:r w:rsidR="00280B2E" w:rsidRPr="00BF3D07">
              <w:rPr>
                <w:rFonts w:ascii="Arial" w:hAnsi="Arial" w:cs="Arial"/>
                <w:sz w:val="20"/>
                <w:szCs w:val="20"/>
              </w:rPr>
              <w:t>,</w:t>
            </w:r>
            <w:r w:rsidRPr="00BF3D07">
              <w:rPr>
                <w:rFonts w:ascii="Arial" w:hAnsi="Arial" w:cs="Arial"/>
                <w:sz w:val="20"/>
                <w:szCs w:val="20"/>
              </w:rPr>
              <w:t>484</w:t>
            </w:r>
          </w:p>
        </w:tc>
        <w:tc>
          <w:tcPr>
            <w:tcW w:w="1350" w:type="dxa"/>
            <w:tcBorders>
              <w:top w:val="nil"/>
              <w:left w:val="nil"/>
              <w:bottom w:val="nil"/>
              <w:right w:val="nil"/>
            </w:tcBorders>
            <w:shd w:val="clear" w:color="auto" w:fill="auto"/>
            <w:noWrap/>
            <w:vAlign w:val="center"/>
            <w:hideMark/>
          </w:tcPr>
          <w:p w14:paraId="0A11470A"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26</w:t>
            </w:r>
          </w:p>
        </w:tc>
      </w:tr>
      <w:tr w:rsidR="00D46080" w:rsidRPr="00BF3D07" w14:paraId="274947E1" w14:textId="77777777" w:rsidTr="00280B2E">
        <w:trPr>
          <w:trHeight w:val="300"/>
        </w:trPr>
        <w:tc>
          <w:tcPr>
            <w:tcW w:w="4605" w:type="dxa"/>
            <w:tcBorders>
              <w:top w:val="nil"/>
              <w:left w:val="nil"/>
              <w:bottom w:val="nil"/>
              <w:right w:val="nil"/>
            </w:tcBorders>
            <w:shd w:val="clear" w:color="auto" w:fill="auto"/>
            <w:noWrap/>
            <w:vAlign w:val="center"/>
            <w:hideMark/>
          </w:tcPr>
          <w:p w14:paraId="2AC7A0DE" w14:textId="77777777" w:rsidR="00D46080" w:rsidRPr="00BF3D07" w:rsidRDefault="00D46080"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36-45</w:t>
            </w:r>
          </w:p>
        </w:tc>
        <w:tc>
          <w:tcPr>
            <w:tcW w:w="1350" w:type="dxa"/>
            <w:tcBorders>
              <w:top w:val="nil"/>
              <w:left w:val="nil"/>
              <w:bottom w:val="nil"/>
              <w:right w:val="nil"/>
            </w:tcBorders>
            <w:shd w:val="clear" w:color="auto" w:fill="auto"/>
            <w:noWrap/>
            <w:vAlign w:val="center"/>
            <w:hideMark/>
          </w:tcPr>
          <w:p w14:paraId="47731C52"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3</w:t>
            </w:r>
            <w:r w:rsidR="00280B2E" w:rsidRPr="00BF3D07">
              <w:rPr>
                <w:rFonts w:ascii="Arial" w:hAnsi="Arial" w:cs="Arial"/>
                <w:sz w:val="20"/>
                <w:szCs w:val="20"/>
              </w:rPr>
              <w:t>,</w:t>
            </w:r>
            <w:r w:rsidRPr="00BF3D07">
              <w:rPr>
                <w:rFonts w:ascii="Arial" w:hAnsi="Arial" w:cs="Arial"/>
                <w:sz w:val="20"/>
                <w:szCs w:val="20"/>
              </w:rPr>
              <w:t>718</w:t>
            </w:r>
          </w:p>
        </w:tc>
        <w:tc>
          <w:tcPr>
            <w:tcW w:w="1350" w:type="dxa"/>
            <w:tcBorders>
              <w:top w:val="nil"/>
              <w:left w:val="nil"/>
              <w:bottom w:val="nil"/>
              <w:right w:val="nil"/>
            </w:tcBorders>
            <w:shd w:val="clear" w:color="auto" w:fill="auto"/>
            <w:noWrap/>
            <w:vAlign w:val="center"/>
            <w:hideMark/>
          </w:tcPr>
          <w:p w14:paraId="26124E0E"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22</w:t>
            </w:r>
          </w:p>
        </w:tc>
      </w:tr>
      <w:tr w:rsidR="00D46080" w:rsidRPr="00BF3D07" w14:paraId="1ED46C06" w14:textId="77777777" w:rsidTr="00280B2E">
        <w:trPr>
          <w:trHeight w:val="300"/>
        </w:trPr>
        <w:tc>
          <w:tcPr>
            <w:tcW w:w="4605" w:type="dxa"/>
            <w:tcBorders>
              <w:top w:val="nil"/>
              <w:left w:val="nil"/>
              <w:bottom w:val="nil"/>
              <w:right w:val="nil"/>
            </w:tcBorders>
            <w:shd w:val="clear" w:color="auto" w:fill="auto"/>
            <w:noWrap/>
            <w:vAlign w:val="center"/>
            <w:hideMark/>
          </w:tcPr>
          <w:p w14:paraId="41573F95" w14:textId="77777777" w:rsidR="00D46080" w:rsidRPr="00BF3D07" w:rsidRDefault="00D46080"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46-55</w:t>
            </w:r>
          </w:p>
        </w:tc>
        <w:tc>
          <w:tcPr>
            <w:tcW w:w="1350" w:type="dxa"/>
            <w:tcBorders>
              <w:top w:val="nil"/>
              <w:left w:val="nil"/>
              <w:bottom w:val="nil"/>
              <w:right w:val="nil"/>
            </w:tcBorders>
            <w:shd w:val="clear" w:color="auto" w:fill="auto"/>
            <w:noWrap/>
            <w:vAlign w:val="center"/>
            <w:hideMark/>
          </w:tcPr>
          <w:p w14:paraId="4B2EFD7C"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3</w:t>
            </w:r>
            <w:r w:rsidR="00280B2E" w:rsidRPr="00BF3D07">
              <w:rPr>
                <w:rFonts w:ascii="Arial" w:hAnsi="Arial" w:cs="Arial"/>
                <w:sz w:val="20"/>
                <w:szCs w:val="20"/>
              </w:rPr>
              <w:t>,</w:t>
            </w:r>
            <w:r w:rsidRPr="00BF3D07">
              <w:rPr>
                <w:rFonts w:ascii="Arial" w:hAnsi="Arial" w:cs="Arial"/>
                <w:sz w:val="20"/>
                <w:szCs w:val="20"/>
              </w:rPr>
              <w:t>017</w:t>
            </w:r>
          </w:p>
        </w:tc>
        <w:tc>
          <w:tcPr>
            <w:tcW w:w="1350" w:type="dxa"/>
            <w:tcBorders>
              <w:top w:val="nil"/>
              <w:left w:val="nil"/>
              <w:bottom w:val="nil"/>
              <w:right w:val="nil"/>
            </w:tcBorders>
            <w:shd w:val="clear" w:color="auto" w:fill="auto"/>
            <w:noWrap/>
            <w:vAlign w:val="center"/>
            <w:hideMark/>
          </w:tcPr>
          <w:p w14:paraId="64BF6D63"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17</w:t>
            </w:r>
          </w:p>
        </w:tc>
      </w:tr>
      <w:tr w:rsidR="00D46080" w:rsidRPr="00BF3D07" w14:paraId="30FA084F" w14:textId="77777777" w:rsidTr="00280B2E">
        <w:trPr>
          <w:trHeight w:val="300"/>
        </w:trPr>
        <w:tc>
          <w:tcPr>
            <w:tcW w:w="4605" w:type="dxa"/>
            <w:tcBorders>
              <w:top w:val="nil"/>
              <w:left w:val="nil"/>
              <w:bottom w:val="nil"/>
              <w:right w:val="nil"/>
            </w:tcBorders>
            <w:shd w:val="clear" w:color="auto" w:fill="auto"/>
            <w:noWrap/>
            <w:vAlign w:val="center"/>
            <w:hideMark/>
          </w:tcPr>
          <w:p w14:paraId="5640DBB9" w14:textId="77777777" w:rsidR="00D46080" w:rsidRPr="00BF3D07" w:rsidRDefault="00D46080"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56-65</w:t>
            </w:r>
          </w:p>
        </w:tc>
        <w:tc>
          <w:tcPr>
            <w:tcW w:w="1350" w:type="dxa"/>
            <w:tcBorders>
              <w:top w:val="nil"/>
              <w:left w:val="nil"/>
              <w:bottom w:val="nil"/>
              <w:right w:val="nil"/>
            </w:tcBorders>
            <w:shd w:val="clear" w:color="auto" w:fill="auto"/>
            <w:noWrap/>
            <w:vAlign w:val="center"/>
            <w:hideMark/>
          </w:tcPr>
          <w:p w14:paraId="113A353B"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2</w:t>
            </w:r>
            <w:r w:rsidR="00280B2E" w:rsidRPr="00BF3D07">
              <w:rPr>
                <w:rFonts w:ascii="Arial" w:hAnsi="Arial" w:cs="Arial"/>
                <w:sz w:val="20"/>
                <w:szCs w:val="20"/>
              </w:rPr>
              <w:t>,</w:t>
            </w:r>
            <w:r w:rsidRPr="00BF3D07">
              <w:rPr>
                <w:rFonts w:ascii="Arial" w:hAnsi="Arial" w:cs="Arial"/>
                <w:sz w:val="20"/>
                <w:szCs w:val="20"/>
              </w:rPr>
              <w:t>341</w:t>
            </w:r>
          </w:p>
        </w:tc>
        <w:tc>
          <w:tcPr>
            <w:tcW w:w="1350" w:type="dxa"/>
            <w:tcBorders>
              <w:top w:val="nil"/>
              <w:left w:val="nil"/>
              <w:bottom w:val="nil"/>
              <w:right w:val="nil"/>
            </w:tcBorders>
            <w:shd w:val="clear" w:color="auto" w:fill="auto"/>
            <w:noWrap/>
            <w:vAlign w:val="center"/>
            <w:hideMark/>
          </w:tcPr>
          <w:p w14:paraId="0118D6EE"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14</w:t>
            </w:r>
          </w:p>
        </w:tc>
      </w:tr>
      <w:tr w:rsidR="00D46080" w:rsidRPr="00BF3D07" w14:paraId="0A5ED82F" w14:textId="77777777" w:rsidTr="00280B2E">
        <w:trPr>
          <w:trHeight w:val="300"/>
        </w:trPr>
        <w:tc>
          <w:tcPr>
            <w:tcW w:w="4605" w:type="dxa"/>
            <w:tcBorders>
              <w:top w:val="nil"/>
              <w:left w:val="nil"/>
              <w:bottom w:val="nil"/>
              <w:right w:val="nil"/>
            </w:tcBorders>
            <w:shd w:val="clear" w:color="auto" w:fill="auto"/>
            <w:noWrap/>
            <w:vAlign w:val="center"/>
            <w:hideMark/>
          </w:tcPr>
          <w:p w14:paraId="031D79BF" w14:textId="77777777" w:rsidR="00D46080" w:rsidRPr="00BF3D07" w:rsidRDefault="00D46080"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&gt;65</w:t>
            </w:r>
          </w:p>
        </w:tc>
        <w:tc>
          <w:tcPr>
            <w:tcW w:w="1350" w:type="dxa"/>
            <w:tcBorders>
              <w:top w:val="nil"/>
              <w:left w:val="nil"/>
              <w:bottom w:val="nil"/>
              <w:right w:val="nil"/>
            </w:tcBorders>
            <w:shd w:val="clear" w:color="auto" w:fill="auto"/>
            <w:noWrap/>
            <w:vAlign w:val="center"/>
            <w:hideMark/>
          </w:tcPr>
          <w:p w14:paraId="1CD45876"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3</w:t>
            </w:r>
            <w:r w:rsidR="00280B2E" w:rsidRPr="00BF3D07">
              <w:rPr>
                <w:rFonts w:ascii="Arial" w:hAnsi="Arial" w:cs="Arial"/>
                <w:sz w:val="20"/>
                <w:szCs w:val="20"/>
              </w:rPr>
              <w:t>,</w:t>
            </w:r>
            <w:r w:rsidRPr="00BF3D07">
              <w:rPr>
                <w:rFonts w:ascii="Arial" w:hAnsi="Arial" w:cs="Arial"/>
                <w:sz w:val="20"/>
                <w:szCs w:val="20"/>
              </w:rPr>
              <w:t>695</w:t>
            </w:r>
          </w:p>
        </w:tc>
        <w:tc>
          <w:tcPr>
            <w:tcW w:w="1350" w:type="dxa"/>
            <w:tcBorders>
              <w:top w:val="nil"/>
              <w:left w:val="nil"/>
              <w:bottom w:val="nil"/>
              <w:right w:val="nil"/>
            </w:tcBorders>
            <w:shd w:val="clear" w:color="auto" w:fill="auto"/>
            <w:noWrap/>
            <w:vAlign w:val="center"/>
            <w:hideMark/>
          </w:tcPr>
          <w:p w14:paraId="19526E51"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21</w:t>
            </w:r>
          </w:p>
        </w:tc>
      </w:tr>
      <w:tr w:rsidR="002B58B9" w:rsidRPr="00BF3D07" w14:paraId="5A1A9541" w14:textId="77777777" w:rsidTr="00280B2E">
        <w:trPr>
          <w:trHeight w:val="300"/>
        </w:trPr>
        <w:tc>
          <w:tcPr>
            <w:tcW w:w="4605" w:type="dxa"/>
            <w:tcBorders>
              <w:top w:val="nil"/>
              <w:left w:val="nil"/>
              <w:bottom w:val="nil"/>
              <w:right w:val="nil"/>
            </w:tcBorders>
            <w:shd w:val="clear" w:color="auto" w:fill="auto"/>
            <w:noWrap/>
            <w:vAlign w:val="center"/>
          </w:tcPr>
          <w:p w14:paraId="73982820" w14:textId="77777777" w:rsidR="002B58B9" w:rsidRPr="00BF3D07" w:rsidRDefault="002B58B9"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rPr>
              <w:t>Index of multiple deprivation</w:t>
            </w:r>
          </w:p>
        </w:tc>
        <w:tc>
          <w:tcPr>
            <w:tcW w:w="1350" w:type="dxa"/>
            <w:tcBorders>
              <w:top w:val="nil"/>
              <w:left w:val="nil"/>
              <w:bottom w:val="nil"/>
              <w:right w:val="nil"/>
            </w:tcBorders>
            <w:shd w:val="clear" w:color="auto" w:fill="auto"/>
            <w:noWrap/>
            <w:vAlign w:val="center"/>
          </w:tcPr>
          <w:p w14:paraId="2F4839CB" w14:textId="77777777" w:rsidR="002B58B9" w:rsidRPr="00BF3D07" w:rsidRDefault="002B58B9" w:rsidP="00280B2E">
            <w:pPr>
              <w:spacing w:after="0" w:line="240" w:lineRule="auto"/>
              <w:jc w:val="center"/>
              <w:rPr>
                <w:rFonts w:ascii="Arial" w:eastAsia="Times New Roman" w:hAnsi="Arial" w:cs="Arial"/>
                <w:sz w:val="20"/>
                <w:szCs w:val="20"/>
                <w:lang w:eastAsia="en-US"/>
              </w:rPr>
            </w:pPr>
          </w:p>
        </w:tc>
        <w:tc>
          <w:tcPr>
            <w:tcW w:w="1350" w:type="dxa"/>
            <w:tcBorders>
              <w:top w:val="nil"/>
              <w:left w:val="nil"/>
              <w:bottom w:val="nil"/>
              <w:right w:val="nil"/>
            </w:tcBorders>
            <w:shd w:val="clear" w:color="auto" w:fill="auto"/>
            <w:noWrap/>
            <w:vAlign w:val="center"/>
          </w:tcPr>
          <w:p w14:paraId="00DDDAAB" w14:textId="77777777" w:rsidR="002B58B9" w:rsidRPr="00BF3D07" w:rsidRDefault="002B58B9" w:rsidP="00280B2E">
            <w:pPr>
              <w:spacing w:after="0" w:line="240" w:lineRule="auto"/>
              <w:jc w:val="center"/>
              <w:rPr>
                <w:rFonts w:ascii="Arial" w:eastAsia="Times New Roman" w:hAnsi="Arial" w:cs="Arial"/>
                <w:sz w:val="20"/>
                <w:szCs w:val="20"/>
                <w:lang w:eastAsia="en-US"/>
              </w:rPr>
            </w:pPr>
          </w:p>
        </w:tc>
      </w:tr>
      <w:tr w:rsidR="00D46080" w:rsidRPr="00BF3D07" w14:paraId="04C10D01" w14:textId="77777777" w:rsidTr="00280B2E">
        <w:trPr>
          <w:trHeight w:val="300"/>
        </w:trPr>
        <w:tc>
          <w:tcPr>
            <w:tcW w:w="4605" w:type="dxa"/>
            <w:tcBorders>
              <w:top w:val="nil"/>
              <w:left w:val="nil"/>
              <w:bottom w:val="nil"/>
              <w:right w:val="nil"/>
            </w:tcBorders>
            <w:shd w:val="clear" w:color="auto" w:fill="auto"/>
            <w:noWrap/>
            <w:vAlign w:val="center"/>
            <w:hideMark/>
          </w:tcPr>
          <w:p w14:paraId="48DCD53A" w14:textId="77777777" w:rsidR="00D46080" w:rsidRPr="00BF3D07" w:rsidRDefault="00D46080"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Quintile 1</w:t>
            </w:r>
          </w:p>
        </w:tc>
        <w:tc>
          <w:tcPr>
            <w:tcW w:w="1350" w:type="dxa"/>
            <w:tcBorders>
              <w:top w:val="nil"/>
              <w:left w:val="nil"/>
              <w:bottom w:val="nil"/>
              <w:right w:val="nil"/>
            </w:tcBorders>
            <w:shd w:val="clear" w:color="auto" w:fill="auto"/>
            <w:noWrap/>
            <w:vAlign w:val="center"/>
            <w:hideMark/>
          </w:tcPr>
          <w:p w14:paraId="5AECE59D"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2</w:t>
            </w:r>
            <w:r w:rsidR="00280B2E" w:rsidRPr="00BF3D07">
              <w:rPr>
                <w:rFonts w:ascii="Arial" w:hAnsi="Arial" w:cs="Arial"/>
                <w:sz w:val="20"/>
                <w:szCs w:val="20"/>
              </w:rPr>
              <w:t>,</w:t>
            </w:r>
            <w:r w:rsidRPr="00BF3D07">
              <w:rPr>
                <w:rFonts w:ascii="Arial" w:hAnsi="Arial" w:cs="Arial"/>
                <w:sz w:val="20"/>
                <w:szCs w:val="20"/>
              </w:rPr>
              <w:t>618</w:t>
            </w:r>
          </w:p>
        </w:tc>
        <w:tc>
          <w:tcPr>
            <w:tcW w:w="1350" w:type="dxa"/>
            <w:tcBorders>
              <w:top w:val="nil"/>
              <w:left w:val="nil"/>
              <w:bottom w:val="nil"/>
              <w:right w:val="nil"/>
            </w:tcBorders>
            <w:shd w:val="clear" w:color="auto" w:fill="auto"/>
            <w:noWrap/>
            <w:vAlign w:val="center"/>
            <w:hideMark/>
          </w:tcPr>
          <w:p w14:paraId="4D31A62E"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15</w:t>
            </w:r>
          </w:p>
        </w:tc>
      </w:tr>
      <w:tr w:rsidR="00D46080" w:rsidRPr="00BF3D07" w14:paraId="65E434E5" w14:textId="77777777" w:rsidTr="00280B2E">
        <w:trPr>
          <w:trHeight w:val="300"/>
        </w:trPr>
        <w:tc>
          <w:tcPr>
            <w:tcW w:w="4605" w:type="dxa"/>
            <w:tcBorders>
              <w:top w:val="nil"/>
              <w:left w:val="nil"/>
              <w:bottom w:val="nil"/>
              <w:right w:val="nil"/>
            </w:tcBorders>
            <w:shd w:val="clear" w:color="auto" w:fill="auto"/>
            <w:noWrap/>
            <w:vAlign w:val="center"/>
            <w:hideMark/>
          </w:tcPr>
          <w:p w14:paraId="7D1C8E1D" w14:textId="77777777" w:rsidR="00D46080" w:rsidRPr="00BF3D07" w:rsidRDefault="00D46080"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Quintile 2</w:t>
            </w:r>
          </w:p>
        </w:tc>
        <w:tc>
          <w:tcPr>
            <w:tcW w:w="1350" w:type="dxa"/>
            <w:tcBorders>
              <w:top w:val="nil"/>
              <w:left w:val="nil"/>
              <w:bottom w:val="nil"/>
              <w:right w:val="nil"/>
            </w:tcBorders>
            <w:shd w:val="clear" w:color="auto" w:fill="auto"/>
            <w:noWrap/>
            <w:vAlign w:val="center"/>
            <w:hideMark/>
          </w:tcPr>
          <w:p w14:paraId="4B84FBED"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3</w:t>
            </w:r>
            <w:r w:rsidR="00280B2E" w:rsidRPr="00BF3D07">
              <w:rPr>
                <w:rFonts w:ascii="Arial" w:hAnsi="Arial" w:cs="Arial"/>
                <w:sz w:val="20"/>
                <w:szCs w:val="20"/>
              </w:rPr>
              <w:t>,</w:t>
            </w:r>
            <w:r w:rsidRPr="00BF3D07">
              <w:rPr>
                <w:rFonts w:ascii="Arial" w:hAnsi="Arial" w:cs="Arial"/>
                <w:sz w:val="20"/>
                <w:szCs w:val="20"/>
              </w:rPr>
              <w:t>093</w:t>
            </w:r>
          </w:p>
        </w:tc>
        <w:tc>
          <w:tcPr>
            <w:tcW w:w="1350" w:type="dxa"/>
            <w:tcBorders>
              <w:top w:val="nil"/>
              <w:left w:val="nil"/>
              <w:bottom w:val="nil"/>
              <w:right w:val="nil"/>
            </w:tcBorders>
            <w:shd w:val="clear" w:color="auto" w:fill="auto"/>
            <w:noWrap/>
            <w:vAlign w:val="center"/>
            <w:hideMark/>
          </w:tcPr>
          <w:p w14:paraId="47C183A5"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18</w:t>
            </w:r>
          </w:p>
        </w:tc>
      </w:tr>
      <w:tr w:rsidR="00D46080" w:rsidRPr="00BF3D07" w14:paraId="18A346CC" w14:textId="77777777" w:rsidTr="00280B2E">
        <w:trPr>
          <w:trHeight w:val="300"/>
        </w:trPr>
        <w:tc>
          <w:tcPr>
            <w:tcW w:w="4605" w:type="dxa"/>
            <w:tcBorders>
              <w:top w:val="nil"/>
              <w:left w:val="nil"/>
              <w:bottom w:val="nil"/>
              <w:right w:val="nil"/>
            </w:tcBorders>
            <w:shd w:val="clear" w:color="auto" w:fill="auto"/>
            <w:noWrap/>
            <w:vAlign w:val="center"/>
            <w:hideMark/>
          </w:tcPr>
          <w:p w14:paraId="7ECE1ADE" w14:textId="77777777" w:rsidR="00D46080" w:rsidRPr="00BF3D07" w:rsidRDefault="00D46080"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Quintile 3</w:t>
            </w:r>
          </w:p>
        </w:tc>
        <w:tc>
          <w:tcPr>
            <w:tcW w:w="1350" w:type="dxa"/>
            <w:tcBorders>
              <w:top w:val="nil"/>
              <w:left w:val="nil"/>
              <w:bottom w:val="nil"/>
              <w:right w:val="nil"/>
            </w:tcBorders>
            <w:shd w:val="clear" w:color="auto" w:fill="auto"/>
            <w:noWrap/>
            <w:vAlign w:val="center"/>
            <w:hideMark/>
          </w:tcPr>
          <w:p w14:paraId="43E9A325"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3</w:t>
            </w:r>
            <w:r w:rsidR="00280B2E" w:rsidRPr="00BF3D07">
              <w:rPr>
                <w:rFonts w:ascii="Arial" w:hAnsi="Arial" w:cs="Arial"/>
                <w:sz w:val="20"/>
                <w:szCs w:val="20"/>
              </w:rPr>
              <w:t>,</w:t>
            </w:r>
            <w:r w:rsidRPr="00BF3D07">
              <w:rPr>
                <w:rFonts w:ascii="Arial" w:hAnsi="Arial" w:cs="Arial"/>
                <w:sz w:val="20"/>
                <w:szCs w:val="20"/>
              </w:rPr>
              <w:t>238</w:t>
            </w:r>
          </w:p>
        </w:tc>
        <w:tc>
          <w:tcPr>
            <w:tcW w:w="1350" w:type="dxa"/>
            <w:tcBorders>
              <w:top w:val="nil"/>
              <w:left w:val="nil"/>
              <w:bottom w:val="nil"/>
              <w:right w:val="nil"/>
            </w:tcBorders>
            <w:shd w:val="clear" w:color="auto" w:fill="auto"/>
            <w:noWrap/>
            <w:vAlign w:val="center"/>
            <w:hideMark/>
          </w:tcPr>
          <w:p w14:paraId="75249CE0"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19</w:t>
            </w:r>
          </w:p>
        </w:tc>
      </w:tr>
      <w:tr w:rsidR="00D46080" w:rsidRPr="00BF3D07" w14:paraId="7DC03B51" w14:textId="77777777" w:rsidTr="00280B2E">
        <w:trPr>
          <w:trHeight w:val="300"/>
        </w:trPr>
        <w:tc>
          <w:tcPr>
            <w:tcW w:w="4605" w:type="dxa"/>
            <w:tcBorders>
              <w:top w:val="nil"/>
              <w:left w:val="nil"/>
              <w:bottom w:val="nil"/>
              <w:right w:val="nil"/>
            </w:tcBorders>
            <w:shd w:val="clear" w:color="auto" w:fill="auto"/>
            <w:noWrap/>
            <w:vAlign w:val="center"/>
            <w:hideMark/>
          </w:tcPr>
          <w:p w14:paraId="4ADFB8AE" w14:textId="77777777" w:rsidR="00D46080" w:rsidRPr="00BF3D07" w:rsidRDefault="00D46080"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Quintile 4</w:t>
            </w:r>
          </w:p>
        </w:tc>
        <w:tc>
          <w:tcPr>
            <w:tcW w:w="1350" w:type="dxa"/>
            <w:tcBorders>
              <w:top w:val="nil"/>
              <w:left w:val="nil"/>
              <w:bottom w:val="nil"/>
              <w:right w:val="nil"/>
            </w:tcBorders>
            <w:shd w:val="clear" w:color="auto" w:fill="auto"/>
            <w:noWrap/>
            <w:vAlign w:val="center"/>
            <w:hideMark/>
          </w:tcPr>
          <w:p w14:paraId="03BCCA60"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4</w:t>
            </w:r>
            <w:r w:rsidR="00280B2E" w:rsidRPr="00BF3D07">
              <w:rPr>
                <w:rFonts w:ascii="Arial" w:hAnsi="Arial" w:cs="Arial"/>
                <w:sz w:val="20"/>
                <w:szCs w:val="20"/>
              </w:rPr>
              <w:t>,</w:t>
            </w:r>
            <w:r w:rsidRPr="00BF3D07">
              <w:rPr>
                <w:rFonts w:ascii="Arial" w:hAnsi="Arial" w:cs="Arial"/>
                <w:sz w:val="20"/>
                <w:szCs w:val="20"/>
              </w:rPr>
              <w:t>064</w:t>
            </w:r>
          </w:p>
        </w:tc>
        <w:tc>
          <w:tcPr>
            <w:tcW w:w="1350" w:type="dxa"/>
            <w:tcBorders>
              <w:top w:val="nil"/>
              <w:left w:val="nil"/>
              <w:bottom w:val="nil"/>
              <w:right w:val="nil"/>
            </w:tcBorders>
            <w:shd w:val="clear" w:color="auto" w:fill="auto"/>
            <w:noWrap/>
            <w:vAlign w:val="center"/>
            <w:hideMark/>
          </w:tcPr>
          <w:p w14:paraId="7CAC6C35"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24</w:t>
            </w:r>
          </w:p>
        </w:tc>
      </w:tr>
      <w:tr w:rsidR="00D46080" w:rsidRPr="00BF3D07" w14:paraId="36258B60" w14:textId="77777777" w:rsidTr="00280B2E">
        <w:trPr>
          <w:trHeight w:val="300"/>
        </w:trPr>
        <w:tc>
          <w:tcPr>
            <w:tcW w:w="4605" w:type="dxa"/>
            <w:tcBorders>
              <w:top w:val="nil"/>
              <w:left w:val="nil"/>
              <w:bottom w:val="nil"/>
              <w:right w:val="nil"/>
            </w:tcBorders>
            <w:shd w:val="clear" w:color="auto" w:fill="auto"/>
            <w:noWrap/>
            <w:vAlign w:val="center"/>
            <w:hideMark/>
          </w:tcPr>
          <w:p w14:paraId="52B07B40" w14:textId="77777777" w:rsidR="00D46080" w:rsidRPr="00BF3D07" w:rsidRDefault="00D46080"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Quintile 5</w:t>
            </w:r>
          </w:p>
        </w:tc>
        <w:tc>
          <w:tcPr>
            <w:tcW w:w="1350" w:type="dxa"/>
            <w:tcBorders>
              <w:top w:val="nil"/>
              <w:left w:val="nil"/>
              <w:bottom w:val="nil"/>
              <w:right w:val="nil"/>
            </w:tcBorders>
            <w:shd w:val="clear" w:color="auto" w:fill="auto"/>
            <w:noWrap/>
            <w:vAlign w:val="center"/>
            <w:hideMark/>
          </w:tcPr>
          <w:p w14:paraId="57752495"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4</w:t>
            </w:r>
            <w:r w:rsidR="00280B2E" w:rsidRPr="00BF3D07">
              <w:rPr>
                <w:rFonts w:ascii="Arial" w:hAnsi="Arial" w:cs="Arial"/>
                <w:sz w:val="20"/>
                <w:szCs w:val="20"/>
              </w:rPr>
              <w:t>,</w:t>
            </w:r>
            <w:r w:rsidRPr="00BF3D07">
              <w:rPr>
                <w:rFonts w:ascii="Arial" w:hAnsi="Arial" w:cs="Arial"/>
                <w:sz w:val="20"/>
                <w:szCs w:val="20"/>
              </w:rPr>
              <w:t>242</w:t>
            </w:r>
          </w:p>
        </w:tc>
        <w:tc>
          <w:tcPr>
            <w:tcW w:w="1350" w:type="dxa"/>
            <w:tcBorders>
              <w:top w:val="nil"/>
              <w:left w:val="nil"/>
              <w:bottom w:val="nil"/>
              <w:right w:val="nil"/>
            </w:tcBorders>
            <w:shd w:val="clear" w:color="auto" w:fill="auto"/>
            <w:noWrap/>
            <w:vAlign w:val="center"/>
            <w:hideMark/>
          </w:tcPr>
          <w:p w14:paraId="44095C45"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25</w:t>
            </w:r>
          </w:p>
        </w:tc>
      </w:tr>
      <w:tr w:rsidR="00D46080" w:rsidRPr="00BF3D07" w14:paraId="3925E3E9" w14:textId="77777777" w:rsidTr="00280B2E">
        <w:trPr>
          <w:trHeight w:val="300"/>
        </w:trPr>
        <w:tc>
          <w:tcPr>
            <w:tcW w:w="4605" w:type="dxa"/>
            <w:tcBorders>
              <w:top w:val="nil"/>
              <w:left w:val="nil"/>
              <w:bottom w:val="nil"/>
              <w:right w:val="nil"/>
            </w:tcBorders>
            <w:shd w:val="clear" w:color="auto" w:fill="auto"/>
            <w:noWrap/>
            <w:vAlign w:val="center"/>
            <w:hideMark/>
          </w:tcPr>
          <w:p w14:paraId="5960A037" w14:textId="77777777" w:rsidR="00D46080" w:rsidRPr="00BF3D07" w:rsidRDefault="00D46080"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lang w:eastAsia="en-US"/>
              </w:rPr>
              <w:t>Male</w:t>
            </w:r>
          </w:p>
        </w:tc>
        <w:tc>
          <w:tcPr>
            <w:tcW w:w="1350" w:type="dxa"/>
            <w:tcBorders>
              <w:top w:val="nil"/>
              <w:left w:val="nil"/>
              <w:bottom w:val="nil"/>
              <w:right w:val="nil"/>
            </w:tcBorders>
            <w:shd w:val="clear" w:color="auto" w:fill="auto"/>
            <w:noWrap/>
            <w:vAlign w:val="center"/>
            <w:hideMark/>
          </w:tcPr>
          <w:p w14:paraId="6AEF3C9D"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8</w:t>
            </w:r>
            <w:r w:rsidR="00280B2E" w:rsidRPr="00BF3D07">
              <w:rPr>
                <w:rFonts w:ascii="Arial" w:hAnsi="Arial" w:cs="Arial"/>
                <w:sz w:val="20"/>
                <w:szCs w:val="20"/>
              </w:rPr>
              <w:t>,</w:t>
            </w:r>
            <w:r w:rsidRPr="00BF3D07">
              <w:rPr>
                <w:rFonts w:ascii="Arial" w:hAnsi="Arial" w:cs="Arial"/>
                <w:sz w:val="20"/>
                <w:szCs w:val="20"/>
              </w:rPr>
              <w:t>171</w:t>
            </w:r>
          </w:p>
        </w:tc>
        <w:tc>
          <w:tcPr>
            <w:tcW w:w="1350" w:type="dxa"/>
            <w:tcBorders>
              <w:top w:val="nil"/>
              <w:left w:val="nil"/>
              <w:bottom w:val="nil"/>
              <w:right w:val="nil"/>
            </w:tcBorders>
            <w:shd w:val="clear" w:color="auto" w:fill="auto"/>
            <w:noWrap/>
            <w:vAlign w:val="center"/>
            <w:hideMark/>
          </w:tcPr>
          <w:p w14:paraId="76F53CAE"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47</w:t>
            </w:r>
          </w:p>
        </w:tc>
      </w:tr>
      <w:tr w:rsidR="00D46080" w:rsidRPr="00BF3D07" w14:paraId="2867E453" w14:textId="77777777" w:rsidTr="00280B2E">
        <w:trPr>
          <w:trHeight w:val="300"/>
        </w:trPr>
        <w:tc>
          <w:tcPr>
            <w:tcW w:w="4605" w:type="dxa"/>
            <w:tcBorders>
              <w:top w:val="nil"/>
              <w:left w:val="nil"/>
              <w:bottom w:val="nil"/>
              <w:right w:val="nil"/>
            </w:tcBorders>
            <w:shd w:val="clear" w:color="auto" w:fill="auto"/>
            <w:noWrap/>
            <w:vAlign w:val="center"/>
            <w:hideMark/>
          </w:tcPr>
          <w:p w14:paraId="7DA52F7E" w14:textId="77777777" w:rsidR="00D46080" w:rsidRPr="00BF3D07" w:rsidRDefault="00D46080"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lang w:eastAsia="en-US"/>
              </w:rPr>
              <w:t>White</w:t>
            </w:r>
          </w:p>
        </w:tc>
        <w:tc>
          <w:tcPr>
            <w:tcW w:w="1350" w:type="dxa"/>
            <w:tcBorders>
              <w:top w:val="nil"/>
              <w:left w:val="nil"/>
              <w:bottom w:val="nil"/>
              <w:right w:val="nil"/>
            </w:tcBorders>
            <w:shd w:val="clear" w:color="auto" w:fill="auto"/>
            <w:noWrap/>
            <w:vAlign w:val="center"/>
            <w:hideMark/>
          </w:tcPr>
          <w:p w14:paraId="451BEA69"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12</w:t>
            </w:r>
            <w:r w:rsidR="00280B2E" w:rsidRPr="00BF3D07">
              <w:rPr>
                <w:rFonts w:ascii="Arial" w:hAnsi="Arial" w:cs="Arial"/>
                <w:sz w:val="20"/>
                <w:szCs w:val="20"/>
              </w:rPr>
              <w:t>,</w:t>
            </w:r>
            <w:r w:rsidRPr="00BF3D07">
              <w:rPr>
                <w:rFonts w:ascii="Arial" w:hAnsi="Arial" w:cs="Arial"/>
                <w:sz w:val="20"/>
                <w:szCs w:val="20"/>
              </w:rPr>
              <w:t>521</w:t>
            </w:r>
          </w:p>
        </w:tc>
        <w:tc>
          <w:tcPr>
            <w:tcW w:w="1350" w:type="dxa"/>
            <w:tcBorders>
              <w:top w:val="nil"/>
              <w:left w:val="nil"/>
              <w:bottom w:val="nil"/>
              <w:right w:val="nil"/>
            </w:tcBorders>
            <w:shd w:val="clear" w:color="auto" w:fill="auto"/>
            <w:noWrap/>
            <w:vAlign w:val="center"/>
            <w:hideMark/>
          </w:tcPr>
          <w:p w14:paraId="5AFC9EE0"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73</w:t>
            </w:r>
          </w:p>
        </w:tc>
      </w:tr>
      <w:tr w:rsidR="00D46080" w:rsidRPr="00BF3D07" w14:paraId="66D9C4B1" w14:textId="77777777" w:rsidTr="00280B2E">
        <w:trPr>
          <w:trHeight w:val="300"/>
        </w:trPr>
        <w:tc>
          <w:tcPr>
            <w:tcW w:w="4605" w:type="dxa"/>
            <w:tcBorders>
              <w:top w:val="nil"/>
              <w:left w:val="nil"/>
              <w:bottom w:val="nil"/>
              <w:right w:val="nil"/>
            </w:tcBorders>
            <w:shd w:val="clear" w:color="auto" w:fill="auto"/>
            <w:noWrap/>
            <w:vAlign w:val="center"/>
            <w:hideMark/>
          </w:tcPr>
          <w:p w14:paraId="34AEFBAD" w14:textId="77777777" w:rsidR="00D46080" w:rsidRPr="00BF3D07" w:rsidRDefault="00D46080"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lang w:eastAsia="en-US"/>
              </w:rPr>
              <w:t>GP practice in rural area</w:t>
            </w:r>
          </w:p>
        </w:tc>
        <w:tc>
          <w:tcPr>
            <w:tcW w:w="1350" w:type="dxa"/>
            <w:tcBorders>
              <w:top w:val="nil"/>
              <w:left w:val="nil"/>
              <w:bottom w:val="nil"/>
              <w:right w:val="nil"/>
            </w:tcBorders>
            <w:shd w:val="clear" w:color="auto" w:fill="auto"/>
            <w:noWrap/>
            <w:vAlign w:val="center"/>
            <w:hideMark/>
          </w:tcPr>
          <w:p w14:paraId="37F9E62D"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1</w:t>
            </w:r>
            <w:r w:rsidR="00280B2E" w:rsidRPr="00BF3D07">
              <w:rPr>
                <w:rFonts w:ascii="Arial" w:hAnsi="Arial" w:cs="Arial"/>
                <w:sz w:val="20"/>
                <w:szCs w:val="20"/>
              </w:rPr>
              <w:t>,</w:t>
            </w:r>
            <w:r w:rsidRPr="00BF3D07">
              <w:rPr>
                <w:rFonts w:ascii="Arial" w:hAnsi="Arial" w:cs="Arial"/>
                <w:sz w:val="20"/>
                <w:szCs w:val="20"/>
              </w:rPr>
              <w:t>921</w:t>
            </w:r>
          </w:p>
        </w:tc>
        <w:tc>
          <w:tcPr>
            <w:tcW w:w="1350" w:type="dxa"/>
            <w:tcBorders>
              <w:top w:val="nil"/>
              <w:left w:val="nil"/>
              <w:bottom w:val="nil"/>
              <w:right w:val="nil"/>
            </w:tcBorders>
            <w:shd w:val="clear" w:color="auto" w:fill="auto"/>
            <w:noWrap/>
            <w:vAlign w:val="center"/>
            <w:hideMark/>
          </w:tcPr>
          <w:p w14:paraId="09002D62" w14:textId="77777777" w:rsidR="00D46080" w:rsidRPr="00BF3D07" w:rsidRDefault="00D46080" w:rsidP="00280B2E">
            <w:pPr>
              <w:spacing w:after="0" w:line="240" w:lineRule="auto"/>
              <w:jc w:val="center"/>
              <w:rPr>
                <w:rFonts w:ascii="Arial" w:hAnsi="Arial" w:cs="Arial"/>
                <w:sz w:val="20"/>
                <w:szCs w:val="20"/>
              </w:rPr>
            </w:pPr>
            <w:r w:rsidRPr="00BF3D07">
              <w:rPr>
                <w:rFonts w:ascii="Arial" w:hAnsi="Arial" w:cs="Arial"/>
                <w:sz w:val="20"/>
                <w:szCs w:val="20"/>
              </w:rPr>
              <w:t>11</w:t>
            </w:r>
          </w:p>
        </w:tc>
      </w:tr>
      <w:tr w:rsidR="002B58B9" w:rsidRPr="00BF3D07" w14:paraId="1983A677" w14:textId="77777777" w:rsidTr="00280B2E">
        <w:trPr>
          <w:trHeight w:val="300"/>
        </w:trPr>
        <w:tc>
          <w:tcPr>
            <w:tcW w:w="4605" w:type="dxa"/>
            <w:tcBorders>
              <w:top w:val="nil"/>
              <w:left w:val="nil"/>
              <w:bottom w:val="nil"/>
              <w:right w:val="nil"/>
            </w:tcBorders>
            <w:shd w:val="clear" w:color="auto" w:fill="auto"/>
            <w:noWrap/>
            <w:vAlign w:val="center"/>
          </w:tcPr>
          <w:p w14:paraId="4B5BAE11" w14:textId="77777777" w:rsidR="002B58B9" w:rsidRPr="00BF3D07" w:rsidRDefault="002B58B9"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rPr>
              <w:t>Number of primary care contacts in year preceding FSDT</w:t>
            </w:r>
          </w:p>
        </w:tc>
        <w:tc>
          <w:tcPr>
            <w:tcW w:w="1350" w:type="dxa"/>
            <w:tcBorders>
              <w:top w:val="nil"/>
              <w:left w:val="nil"/>
              <w:bottom w:val="nil"/>
              <w:right w:val="nil"/>
            </w:tcBorders>
            <w:shd w:val="clear" w:color="auto" w:fill="auto"/>
            <w:noWrap/>
            <w:vAlign w:val="center"/>
          </w:tcPr>
          <w:p w14:paraId="17318E02" w14:textId="77777777" w:rsidR="002B58B9" w:rsidRPr="00BF3D07" w:rsidRDefault="002B58B9" w:rsidP="00280B2E">
            <w:pPr>
              <w:spacing w:after="0" w:line="240" w:lineRule="auto"/>
              <w:jc w:val="center"/>
              <w:rPr>
                <w:rFonts w:ascii="Arial" w:eastAsia="Times New Roman" w:hAnsi="Arial" w:cs="Arial"/>
                <w:sz w:val="20"/>
                <w:szCs w:val="20"/>
                <w:lang w:eastAsia="en-US"/>
              </w:rPr>
            </w:pPr>
          </w:p>
        </w:tc>
        <w:tc>
          <w:tcPr>
            <w:tcW w:w="1350" w:type="dxa"/>
            <w:tcBorders>
              <w:top w:val="nil"/>
              <w:left w:val="nil"/>
              <w:bottom w:val="nil"/>
              <w:right w:val="nil"/>
            </w:tcBorders>
            <w:shd w:val="clear" w:color="auto" w:fill="auto"/>
            <w:noWrap/>
            <w:vAlign w:val="center"/>
          </w:tcPr>
          <w:p w14:paraId="63218F4F" w14:textId="77777777" w:rsidR="002B58B9" w:rsidRPr="00BF3D07" w:rsidRDefault="002B58B9" w:rsidP="00280B2E">
            <w:pPr>
              <w:spacing w:after="0" w:line="240" w:lineRule="auto"/>
              <w:jc w:val="center"/>
              <w:rPr>
                <w:rFonts w:ascii="Arial" w:eastAsia="Times New Roman" w:hAnsi="Arial" w:cs="Arial"/>
                <w:sz w:val="20"/>
                <w:szCs w:val="20"/>
                <w:lang w:eastAsia="en-US"/>
              </w:rPr>
            </w:pPr>
          </w:p>
        </w:tc>
      </w:tr>
      <w:tr w:rsidR="00280B2E" w:rsidRPr="00BF3D07" w14:paraId="145A27C1" w14:textId="77777777" w:rsidTr="00280B2E">
        <w:trPr>
          <w:trHeight w:val="300"/>
        </w:trPr>
        <w:tc>
          <w:tcPr>
            <w:tcW w:w="4605" w:type="dxa"/>
            <w:tcBorders>
              <w:top w:val="nil"/>
              <w:left w:val="nil"/>
              <w:bottom w:val="nil"/>
              <w:right w:val="nil"/>
            </w:tcBorders>
            <w:shd w:val="clear" w:color="auto" w:fill="auto"/>
            <w:noWrap/>
            <w:vAlign w:val="center"/>
            <w:hideMark/>
          </w:tcPr>
          <w:p w14:paraId="6A95D1C2"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0-4</w:t>
            </w:r>
          </w:p>
        </w:tc>
        <w:tc>
          <w:tcPr>
            <w:tcW w:w="1350" w:type="dxa"/>
            <w:tcBorders>
              <w:top w:val="nil"/>
              <w:left w:val="nil"/>
              <w:bottom w:val="nil"/>
              <w:right w:val="nil"/>
            </w:tcBorders>
            <w:shd w:val="clear" w:color="auto" w:fill="auto"/>
            <w:noWrap/>
            <w:vAlign w:val="center"/>
            <w:hideMark/>
          </w:tcPr>
          <w:p w14:paraId="109CF7F7"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3,798</w:t>
            </w:r>
          </w:p>
        </w:tc>
        <w:tc>
          <w:tcPr>
            <w:tcW w:w="1350" w:type="dxa"/>
            <w:tcBorders>
              <w:top w:val="nil"/>
              <w:left w:val="nil"/>
              <w:bottom w:val="nil"/>
              <w:right w:val="nil"/>
            </w:tcBorders>
            <w:shd w:val="clear" w:color="auto" w:fill="auto"/>
            <w:noWrap/>
            <w:vAlign w:val="center"/>
            <w:hideMark/>
          </w:tcPr>
          <w:p w14:paraId="70E17533"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22</w:t>
            </w:r>
          </w:p>
        </w:tc>
      </w:tr>
      <w:tr w:rsidR="00280B2E" w:rsidRPr="00BF3D07" w14:paraId="598AB0BC" w14:textId="77777777" w:rsidTr="00280B2E">
        <w:trPr>
          <w:trHeight w:val="300"/>
        </w:trPr>
        <w:tc>
          <w:tcPr>
            <w:tcW w:w="4605" w:type="dxa"/>
            <w:tcBorders>
              <w:top w:val="nil"/>
              <w:left w:val="nil"/>
              <w:bottom w:val="nil"/>
              <w:right w:val="nil"/>
            </w:tcBorders>
            <w:shd w:val="clear" w:color="auto" w:fill="auto"/>
            <w:noWrap/>
            <w:vAlign w:val="center"/>
            <w:hideMark/>
          </w:tcPr>
          <w:p w14:paraId="61B3E543"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5-9</w:t>
            </w:r>
          </w:p>
        </w:tc>
        <w:tc>
          <w:tcPr>
            <w:tcW w:w="1350" w:type="dxa"/>
            <w:tcBorders>
              <w:top w:val="nil"/>
              <w:left w:val="nil"/>
              <w:bottom w:val="nil"/>
              <w:right w:val="nil"/>
            </w:tcBorders>
            <w:shd w:val="clear" w:color="auto" w:fill="auto"/>
            <w:noWrap/>
            <w:vAlign w:val="center"/>
            <w:hideMark/>
          </w:tcPr>
          <w:p w14:paraId="4D6F267D"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4,496</w:t>
            </w:r>
          </w:p>
        </w:tc>
        <w:tc>
          <w:tcPr>
            <w:tcW w:w="1350" w:type="dxa"/>
            <w:tcBorders>
              <w:top w:val="nil"/>
              <w:left w:val="nil"/>
              <w:bottom w:val="nil"/>
              <w:right w:val="nil"/>
            </w:tcBorders>
            <w:shd w:val="clear" w:color="auto" w:fill="auto"/>
            <w:noWrap/>
            <w:vAlign w:val="center"/>
            <w:hideMark/>
          </w:tcPr>
          <w:p w14:paraId="3C245982"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26</w:t>
            </w:r>
          </w:p>
        </w:tc>
      </w:tr>
      <w:tr w:rsidR="00280B2E" w:rsidRPr="00BF3D07" w14:paraId="3580DD6B" w14:textId="77777777" w:rsidTr="00280B2E">
        <w:trPr>
          <w:trHeight w:val="300"/>
        </w:trPr>
        <w:tc>
          <w:tcPr>
            <w:tcW w:w="4605" w:type="dxa"/>
            <w:tcBorders>
              <w:top w:val="nil"/>
              <w:left w:val="nil"/>
              <w:bottom w:val="nil"/>
              <w:right w:val="nil"/>
            </w:tcBorders>
            <w:shd w:val="clear" w:color="auto" w:fill="auto"/>
            <w:noWrap/>
            <w:vAlign w:val="center"/>
            <w:hideMark/>
          </w:tcPr>
          <w:p w14:paraId="38AAF457"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10-14</w:t>
            </w:r>
          </w:p>
        </w:tc>
        <w:tc>
          <w:tcPr>
            <w:tcW w:w="1350" w:type="dxa"/>
            <w:tcBorders>
              <w:top w:val="nil"/>
              <w:left w:val="nil"/>
              <w:bottom w:val="nil"/>
              <w:right w:val="nil"/>
            </w:tcBorders>
            <w:shd w:val="clear" w:color="auto" w:fill="auto"/>
            <w:noWrap/>
            <w:vAlign w:val="center"/>
            <w:hideMark/>
          </w:tcPr>
          <w:p w14:paraId="116C717E"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3,271</w:t>
            </w:r>
          </w:p>
        </w:tc>
        <w:tc>
          <w:tcPr>
            <w:tcW w:w="1350" w:type="dxa"/>
            <w:tcBorders>
              <w:top w:val="nil"/>
              <w:left w:val="nil"/>
              <w:bottom w:val="nil"/>
              <w:right w:val="nil"/>
            </w:tcBorders>
            <w:shd w:val="clear" w:color="auto" w:fill="auto"/>
            <w:noWrap/>
            <w:vAlign w:val="center"/>
            <w:hideMark/>
          </w:tcPr>
          <w:p w14:paraId="084AB7FB"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19</w:t>
            </w:r>
          </w:p>
        </w:tc>
      </w:tr>
      <w:tr w:rsidR="00280B2E" w:rsidRPr="00BF3D07" w14:paraId="64F2F51F" w14:textId="77777777" w:rsidTr="00280B2E">
        <w:trPr>
          <w:trHeight w:val="300"/>
        </w:trPr>
        <w:tc>
          <w:tcPr>
            <w:tcW w:w="4605" w:type="dxa"/>
            <w:tcBorders>
              <w:top w:val="nil"/>
              <w:left w:val="nil"/>
              <w:bottom w:val="nil"/>
              <w:right w:val="nil"/>
            </w:tcBorders>
            <w:shd w:val="clear" w:color="auto" w:fill="auto"/>
            <w:noWrap/>
            <w:vAlign w:val="center"/>
            <w:hideMark/>
          </w:tcPr>
          <w:p w14:paraId="2BBB256B"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15-19</w:t>
            </w:r>
          </w:p>
        </w:tc>
        <w:tc>
          <w:tcPr>
            <w:tcW w:w="1350" w:type="dxa"/>
            <w:tcBorders>
              <w:top w:val="nil"/>
              <w:left w:val="nil"/>
              <w:bottom w:val="nil"/>
              <w:right w:val="nil"/>
            </w:tcBorders>
            <w:shd w:val="clear" w:color="auto" w:fill="auto"/>
            <w:noWrap/>
            <w:vAlign w:val="center"/>
            <w:hideMark/>
          </w:tcPr>
          <w:p w14:paraId="459741A7"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2,158</w:t>
            </w:r>
          </w:p>
        </w:tc>
        <w:tc>
          <w:tcPr>
            <w:tcW w:w="1350" w:type="dxa"/>
            <w:tcBorders>
              <w:top w:val="nil"/>
              <w:left w:val="nil"/>
              <w:bottom w:val="nil"/>
              <w:right w:val="nil"/>
            </w:tcBorders>
            <w:shd w:val="clear" w:color="auto" w:fill="auto"/>
            <w:noWrap/>
            <w:vAlign w:val="center"/>
            <w:hideMark/>
          </w:tcPr>
          <w:p w14:paraId="56BE7DF5"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13</w:t>
            </w:r>
          </w:p>
        </w:tc>
      </w:tr>
      <w:tr w:rsidR="00280B2E" w:rsidRPr="00BF3D07" w14:paraId="12A32FDF" w14:textId="77777777" w:rsidTr="00280B2E">
        <w:trPr>
          <w:trHeight w:val="300"/>
        </w:trPr>
        <w:tc>
          <w:tcPr>
            <w:tcW w:w="4605" w:type="dxa"/>
            <w:tcBorders>
              <w:top w:val="nil"/>
              <w:left w:val="nil"/>
              <w:bottom w:val="nil"/>
              <w:right w:val="nil"/>
            </w:tcBorders>
            <w:shd w:val="clear" w:color="auto" w:fill="auto"/>
            <w:noWrap/>
            <w:vAlign w:val="center"/>
            <w:hideMark/>
          </w:tcPr>
          <w:p w14:paraId="57B28D49"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&gt;=20</w:t>
            </w:r>
          </w:p>
        </w:tc>
        <w:tc>
          <w:tcPr>
            <w:tcW w:w="1350" w:type="dxa"/>
            <w:tcBorders>
              <w:top w:val="nil"/>
              <w:left w:val="nil"/>
              <w:bottom w:val="nil"/>
              <w:right w:val="nil"/>
            </w:tcBorders>
            <w:shd w:val="clear" w:color="auto" w:fill="auto"/>
            <w:noWrap/>
            <w:vAlign w:val="center"/>
            <w:hideMark/>
          </w:tcPr>
          <w:p w14:paraId="77E3205A"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3,532</w:t>
            </w:r>
          </w:p>
        </w:tc>
        <w:tc>
          <w:tcPr>
            <w:tcW w:w="1350" w:type="dxa"/>
            <w:tcBorders>
              <w:top w:val="nil"/>
              <w:left w:val="nil"/>
              <w:bottom w:val="nil"/>
              <w:right w:val="nil"/>
            </w:tcBorders>
            <w:shd w:val="clear" w:color="auto" w:fill="auto"/>
            <w:noWrap/>
            <w:vAlign w:val="center"/>
            <w:hideMark/>
          </w:tcPr>
          <w:p w14:paraId="5F5D200B"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20</w:t>
            </w:r>
          </w:p>
        </w:tc>
      </w:tr>
      <w:tr w:rsidR="002B58B9" w:rsidRPr="00BF3D07" w14:paraId="79846F5F" w14:textId="77777777" w:rsidTr="00280B2E">
        <w:trPr>
          <w:trHeight w:val="300"/>
        </w:trPr>
        <w:tc>
          <w:tcPr>
            <w:tcW w:w="4605" w:type="dxa"/>
            <w:tcBorders>
              <w:top w:val="nil"/>
              <w:left w:val="nil"/>
              <w:bottom w:val="nil"/>
              <w:right w:val="nil"/>
            </w:tcBorders>
            <w:shd w:val="clear" w:color="auto" w:fill="auto"/>
            <w:noWrap/>
            <w:vAlign w:val="center"/>
          </w:tcPr>
          <w:p w14:paraId="19704ABE" w14:textId="77777777" w:rsidR="002B58B9" w:rsidRPr="00BF3D07" w:rsidRDefault="002B58B9"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lang w:eastAsia="en-US"/>
              </w:rPr>
              <w:t>Distance from GP to nearest acute provider</w:t>
            </w:r>
          </w:p>
        </w:tc>
        <w:tc>
          <w:tcPr>
            <w:tcW w:w="1350" w:type="dxa"/>
            <w:tcBorders>
              <w:top w:val="nil"/>
              <w:left w:val="nil"/>
              <w:bottom w:val="nil"/>
              <w:right w:val="nil"/>
            </w:tcBorders>
            <w:shd w:val="clear" w:color="auto" w:fill="auto"/>
            <w:noWrap/>
            <w:vAlign w:val="center"/>
          </w:tcPr>
          <w:p w14:paraId="03F00E81" w14:textId="77777777" w:rsidR="002B58B9" w:rsidRPr="00BF3D07" w:rsidRDefault="002B58B9" w:rsidP="00280B2E">
            <w:pPr>
              <w:spacing w:after="0" w:line="240" w:lineRule="auto"/>
              <w:jc w:val="center"/>
              <w:rPr>
                <w:rFonts w:ascii="Arial" w:eastAsia="Times New Roman" w:hAnsi="Arial" w:cs="Arial"/>
                <w:sz w:val="20"/>
                <w:szCs w:val="20"/>
                <w:lang w:eastAsia="en-US"/>
              </w:rPr>
            </w:pPr>
          </w:p>
        </w:tc>
        <w:tc>
          <w:tcPr>
            <w:tcW w:w="1350" w:type="dxa"/>
            <w:tcBorders>
              <w:top w:val="nil"/>
              <w:left w:val="nil"/>
              <w:bottom w:val="nil"/>
              <w:right w:val="nil"/>
            </w:tcBorders>
            <w:shd w:val="clear" w:color="auto" w:fill="auto"/>
            <w:noWrap/>
            <w:vAlign w:val="center"/>
          </w:tcPr>
          <w:p w14:paraId="2B69162C" w14:textId="77777777" w:rsidR="002B58B9" w:rsidRPr="00BF3D07" w:rsidRDefault="002B58B9" w:rsidP="00280B2E">
            <w:pPr>
              <w:spacing w:after="0" w:line="240" w:lineRule="auto"/>
              <w:jc w:val="center"/>
              <w:rPr>
                <w:rFonts w:ascii="Arial" w:eastAsia="Times New Roman" w:hAnsi="Arial" w:cs="Arial"/>
                <w:sz w:val="20"/>
                <w:szCs w:val="20"/>
                <w:lang w:eastAsia="en-US"/>
              </w:rPr>
            </w:pPr>
          </w:p>
        </w:tc>
      </w:tr>
      <w:tr w:rsidR="00280B2E" w:rsidRPr="00BF3D07" w14:paraId="228C72E6" w14:textId="77777777" w:rsidTr="00280B2E">
        <w:trPr>
          <w:trHeight w:val="300"/>
        </w:trPr>
        <w:tc>
          <w:tcPr>
            <w:tcW w:w="4605" w:type="dxa"/>
            <w:tcBorders>
              <w:top w:val="nil"/>
              <w:left w:val="nil"/>
              <w:bottom w:val="nil"/>
              <w:right w:val="nil"/>
            </w:tcBorders>
            <w:shd w:val="clear" w:color="auto" w:fill="auto"/>
            <w:noWrap/>
            <w:vAlign w:val="center"/>
            <w:hideMark/>
          </w:tcPr>
          <w:p w14:paraId="68B18419"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0-3km</w:t>
            </w:r>
          </w:p>
        </w:tc>
        <w:tc>
          <w:tcPr>
            <w:tcW w:w="1350" w:type="dxa"/>
            <w:tcBorders>
              <w:top w:val="nil"/>
              <w:left w:val="nil"/>
              <w:bottom w:val="nil"/>
              <w:right w:val="nil"/>
            </w:tcBorders>
            <w:shd w:val="clear" w:color="auto" w:fill="auto"/>
            <w:noWrap/>
            <w:vAlign w:val="center"/>
            <w:hideMark/>
          </w:tcPr>
          <w:p w14:paraId="7D25A532"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7,489</w:t>
            </w:r>
          </w:p>
        </w:tc>
        <w:tc>
          <w:tcPr>
            <w:tcW w:w="1350" w:type="dxa"/>
            <w:tcBorders>
              <w:top w:val="nil"/>
              <w:left w:val="nil"/>
              <w:bottom w:val="nil"/>
              <w:right w:val="nil"/>
            </w:tcBorders>
            <w:shd w:val="clear" w:color="auto" w:fill="auto"/>
            <w:noWrap/>
            <w:vAlign w:val="center"/>
            <w:hideMark/>
          </w:tcPr>
          <w:p w14:paraId="283F6182"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43</w:t>
            </w:r>
          </w:p>
        </w:tc>
      </w:tr>
      <w:tr w:rsidR="00280B2E" w:rsidRPr="00BF3D07" w14:paraId="011E778B" w14:textId="77777777" w:rsidTr="00280B2E">
        <w:trPr>
          <w:trHeight w:val="300"/>
        </w:trPr>
        <w:tc>
          <w:tcPr>
            <w:tcW w:w="4605" w:type="dxa"/>
            <w:tcBorders>
              <w:top w:val="nil"/>
              <w:left w:val="nil"/>
              <w:bottom w:val="nil"/>
              <w:right w:val="nil"/>
            </w:tcBorders>
            <w:shd w:val="clear" w:color="auto" w:fill="auto"/>
            <w:noWrap/>
            <w:vAlign w:val="center"/>
            <w:hideMark/>
          </w:tcPr>
          <w:p w14:paraId="01209DA7"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3-6km</w:t>
            </w:r>
          </w:p>
        </w:tc>
        <w:tc>
          <w:tcPr>
            <w:tcW w:w="1350" w:type="dxa"/>
            <w:tcBorders>
              <w:top w:val="nil"/>
              <w:left w:val="nil"/>
              <w:bottom w:val="nil"/>
              <w:right w:val="nil"/>
            </w:tcBorders>
            <w:shd w:val="clear" w:color="auto" w:fill="auto"/>
            <w:noWrap/>
            <w:vAlign w:val="center"/>
            <w:hideMark/>
          </w:tcPr>
          <w:p w14:paraId="5B4CB6B4"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4,925</w:t>
            </w:r>
          </w:p>
        </w:tc>
        <w:tc>
          <w:tcPr>
            <w:tcW w:w="1350" w:type="dxa"/>
            <w:tcBorders>
              <w:top w:val="nil"/>
              <w:left w:val="nil"/>
              <w:bottom w:val="nil"/>
              <w:right w:val="nil"/>
            </w:tcBorders>
            <w:shd w:val="clear" w:color="auto" w:fill="auto"/>
            <w:noWrap/>
            <w:vAlign w:val="center"/>
            <w:hideMark/>
          </w:tcPr>
          <w:p w14:paraId="290A0996"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29</w:t>
            </w:r>
          </w:p>
        </w:tc>
      </w:tr>
      <w:tr w:rsidR="00280B2E" w:rsidRPr="00BF3D07" w14:paraId="7B7E80D2" w14:textId="77777777" w:rsidTr="00280B2E">
        <w:trPr>
          <w:trHeight w:val="300"/>
        </w:trPr>
        <w:tc>
          <w:tcPr>
            <w:tcW w:w="4605" w:type="dxa"/>
            <w:tcBorders>
              <w:top w:val="nil"/>
              <w:left w:val="nil"/>
              <w:bottom w:val="nil"/>
              <w:right w:val="nil"/>
            </w:tcBorders>
            <w:shd w:val="clear" w:color="auto" w:fill="auto"/>
            <w:noWrap/>
            <w:vAlign w:val="center"/>
            <w:hideMark/>
          </w:tcPr>
          <w:p w14:paraId="08DCBDE1"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6-9km</w:t>
            </w:r>
          </w:p>
        </w:tc>
        <w:tc>
          <w:tcPr>
            <w:tcW w:w="1350" w:type="dxa"/>
            <w:tcBorders>
              <w:top w:val="nil"/>
              <w:left w:val="nil"/>
              <w:bottom w:val="nil"/>
              <w:right w:val="nil"/>
            </w:tcBorders>
            <w:shd w:val="clear" w:color="auto" w:fill="auto"/>
            <w:noWrap/>
            <w:vAlign w:val="center"/>
            <w:hideMark/>
          </w:tcPr>
          <w:p w14:paraId="176D24ED"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2,160</w:t>
            </w:r>
          </w:p>
        </w:tc>
        <w:tc>
          <w:tcPr>
            <w:tcW w:w="1350" w:type="dxa"/>
            <w:tcBorders>
              <w:top w:val="nil"/>
              <w:left w:val="nil"/>
              <w:bottom w:val="nil"/>
              <w:right w:val="nil"/>
            </w:tcBorders>
            <w:shd w:val="clear" w:color="auto" w:fill="auto"/>
            <w:noWrap/>
            <w:vAlign w:val="center"/>
            <w:hideMark/>
          </w:tcPr>
          <w:p w14:paraId="512E6250"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13</w:t>
            </w:r>
          </w:p>
        </w:tc>
      </w:tr>
      <w:tr w:rsidR="00280B2E" w:rsidRPr="00BF3D07" w14:paraId="49380A3F" w14:textId="77777777" w:rsidTr="00280B2E">
        <w:trPr>
          <w:trHeight w:val="300"/>
        </w:trPr>
        <w:tc>
          <w:tcPr>
            <w:tcW w:w="4605" w:type="dxa"/>
            <w:tcBorders>
              <w:top w:val="nil"/>
              <w:left w:val="nil"/>
              <w:bottom w:val="nil"/>
              <w:right w:val="nil"/>
            </w:tcBorders>
            <w:shd w:val="clear" w:color="auto" w:fill="auto"/>
            <w:noWrap/>
            <w:vAlign w:val="center"/>
            <w:hideMark/>
          </w:tcPr>
          <w:p w14:paraId="3F20F412"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&gt;9km</w:t>
            </w:r>
          </w:p>
        </w:tc>
        <w:tc>
          <w:tcPr>
            <w:tcW w:w="1350" w:type="dxa"/>
            <w:tcBorders>
              <w:top w:val="nil"/>
              <w:left w:val="nil"/>
              <w:bottom w:val="nil"/>
              <w:right w:val="nil"/>
            </w:tcBorders>
            <w:shd w:val="clear" w:color="auto" w:fill="auto"/>
            <w:noWrap/>
            <w:vAlign w:val="center"/>
            <w:hideMark/>
          </w:tcPr>
          <w:p w14:paraId="6E403313"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2,681</w:t>
            </w:r>
          </w:p>
        </w:tc>
        <w:tc>
          <w:tcPr>
            <w:tcW w:w="1350" w:type="dxa"/>
            <w:tcBorders>
              <w:top w:val="nil"/>
              <w:left w:val="nil"/>
              <w:bottom w:val="nil"/>
              <w:right w:val="nil"/>
            </w:tcBorders>
            <w:shd w:val="clear" w:color="auto" w:fill="auto"/>
            <w:noWrap/>
            <w:vAlign w:val="center"/>
            <w:hideMark/>
          </w:tcPr>
          <w:p w14:paraId="2FF44641"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16</w:t>
            </w:r>
          </w:p>
        </w:tc>
      </w:tr>
      <w:tr w:rsidR="002B58B9" w:rsidRPr="00BF3D07" w14:paraId="61F84604" w14:textId="77777777" w:rsidTr="00280B2E">
        <w:trPr>
          <w:trHeight w:val="300"/>
        </w:trPr>
        <w:tc>
          <w:tcPr>
            <w:tcW w:w="4605" w:type="dxa"/>
            <w:tcBorders>
              <w:top w:val="nil"/>
              <w:left w:val="nil"/>
              <w:bottom w:val="nil"/>
              <w:right w:val="nil"/>
            </w:tcBorders>
            <w:shd w:val="clear" w:color="auto" w:fill="auto"/>
            <w:noWrap/>
            <w:vAlign w:val="center"/>
          </w:tcPr>
          <w:p w14:paraId="05EDFC8A" w14:textId="77777777" w:rsidR="002B58B9" w:rsidRPr="00BF3D07" w:rsidRDefault="002B58B9"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lang w:eastAsia="en-US"/>
              </w:rPr>
              <w:t>Distance from GP to nearest MH provider</w:t>
            </w:r>
          </w:p>
        </w:tc>
        <w:tc>
          <w:tcPr>
            <w:tcW w:w="1350" w:type="dxa"/>
            <w:tcBorders>
              <w:top w:val="nil"/>
              <w:left w:val="nil"/>
              <w:bottom w:val="nil"/>
              <w:right w:val="nil"/>
            </w:tcBorders>
            <w:shd w:val="clear" w:color="auto" w:fill="auto"/>
            <w:noWrap/>
            <w:vAlign w:val="center"/>
          </w:tcPr>
          <w:p w14:paraId="15FDF1F5" w14:textId="77777777" w:rsidR="002B58B9" w:rsidRPr="00BF3D07" w:rsidRDefault="002B58B9" w:rsidP="00280B2E">
            <w:pPr>
              <w:spacing w:after="0" w:line="240" w:lineRule="auto"/>
              <w:jc w:val="center"/>
              <w:rPr>
                <w:rFonts w:ascii="Arial" w:eastAsia="Times New Roman" w:hAnsi="Arial" w:cs="Arial"/>
                <w:sz w:val="20"/>
                <w:szCs w:val="20"/>
                <w:lang w:eastAsia="en-US"/>
              </w:rPr>
            </w:pPr>
          </w:p>
        </w:tc>
        <w:tc>
          <w:tcPr>
            <w:tcW w:w="1350" w:type="dxa"/>
            <w:tcBorders>
              <w:top w:val="nil"/>
              <w:left w:val="nil"/>
              <w:bottom w:val="nil"/>
              <w:right w:val="nil"/>
            </w:tcBorders>
            <w:shd w:val="clear" w:color="auto" w:fill="auto"/>
            <w:noWrap/>
            <w:vAlign w:val="center"/>
          </w:tcPr>
          <w:p w14:paraId="4A3803D8" w14:textId="77777777" w:rsidR="002B58B9" w:rsidRPr="00BF3D07" w:rsidRDefault="002B58B9" w:rsidP="00280B2E">
            <w:pPr>
              <w:spacing w:after="0" w:line="240" w:lineRule="auto"/>
              <w:jc w:val="center"/>
              <w:rPr>
                <w:rFonts w:ascii="Arial" w:eastAsia="Times New Roman" w:hAnsi="Arial" w:cs="Arial"/>
                <w:sz w:val="20"/>
                <w:szCs w:val="20"/>
                <w:lang w:eastAsia="en-US"/>
              </w:rPr>
            </w:pPr>
          </w:p>
        </w:tc>
      </w:tr>
      <w:tr w:rsidR="00280B2E" w:rsidRPr="00BF3D07" w14:paraId="476D8570" w14:textId="77777777" w:rsidTr="00280B2E">
        <w:trPr>
          <w:trHeight w:val="300"/>
        </w:trPr>
        <w:tc>
          <w:tcPr>
            <w:tcW w:w="4605" w:type="dxa"/>
            <w:tcBorders>
              <w:top w:val="nil"/>
              <w:left w:val="nil"/>
              <w:bottom w:val="nil"/>
              <w:right w:val="nil"/>
            </w:tcBorders>
            <w:shd w:val="clear" w:color="auto" w:fill="auto"/>
            <w:noWrap/>
            <w:vAlign w:val="center"/>
            <w:hideMark/>
          </w:tcPr>
          <w:p w14:paraId="0CA2EB69"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0-3km</w:t>
            </w:r>
          </w:p>
        </w:tc>
        <w:tc>
          <w:tcPr>
            <w:tcW w:w="1350" w:type="dxa"/>
            <w:tcBorders>
              <w:top w:val="nil"/>
              <w:left w:val="nil"/>
              <w:bottom w:val="nil"/>
              <w:right w:val="nil"/>
            </w:tcBorders>
            <w:shd w:val="clear" w:color="auto" w:fill="auto"/>
            <w:noWrap/>
            <w:vAlign w:val="center"/>
            <w:hideMark/>
          </w:tcPr>
          <w:p w14:paraId="612DDA75"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3,441</w:t>
            </w:r>
          </w:p>
        </w:tc>
        <w:tc>
          <w:tcPr>
            <w:tcW w:w="1350" w:type="dxa"/>
            <w:tcBorders>
              <w:top w:val="nil"/>
              <w:left w:val="nil"/>
              <w:bottom w:val="nil"/>
              <w:right w:val="nil"/>
            </w:tcBorders>
            <w:shd w:val="clear" w:color="auto" w:fill="auto"/>
            <w:noWrap/>
            <w:vAlign w:val="center"/>
            <w:hideMark/>
          </w:tcPr>
          <w:p w14:paraId="3722A700"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20</w:t>
            </w:r>
          </w:p>
        </w:tc>
      </w:tr>
      <w:tr w:rsidR="00280B2E" w:rsidRPr="00BF3D07" w14:paraId="6496FE2D" w14:textId="77777777" w:rsidTr="00280B2E">
        <w:trPr>
          <w:trHeight w:val="300"/>
        </w:trPr>
        <w:tc>
          <w:tcPr>
            <w:tcW w:w="4605" w:type="dxa"/>
            <w:tcBorders>
              <w:top w:val="nil"/>
              <w:left w:val="nil"/>
              <w:bottom w:val="nil"/>
              <w:right w:val="nil"/>
            </w:tcBorders>
            <w:shd w:val="clear" w:color="auto" w:fill="auto"/>
            <w:noWrap/>
            <w:vAlign w:val="center"/>
            <w:hideMark/>
          </w:tcPr>
          <w:p w14:paraId="4FA4FCBE"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3-6km</w:t>
            </w:r>
          </w:p>
        </w:tc>
        <w:tc>
          <w:tcPr>
            <w:tcW w:w="1350" w:type="dxa"/>
            <w:tcBorders>
              <w:top w:val="nil"/>
              <w:left w:val="nil"/>
              <w:bottom w:val="nil"/>
              <w:right w:val="nil"/>
            </w:tcBorders>
            <w:shd w:val="clear" w:color="auto" w:fill="auto"/>
            <w:noWrap/>
            <w:vAlign w:val="center"/>
            <w:hideMark/>
          </w:tcPr>
          <w:p w14:paraId="0780E3D0"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4,330</w:t>
            </w:r>
          </w:p>
        </w:tc>
        <w:tc>
          <w:tcPr>
            <w:tcW w:w="1350" w:type="dxa"/>
            <w:tcBorders>
              <w:top w:val="nil"/>
              <w:left w:val="nil"/>
              <w:bottom w:val="nil"/>
              <w:right w:val="nil"/>
            </w:tcBorders>
            <w:shd w:val="clear" w:color="auto" w:fill="auto"/>
            <w:noWrap/>
            <w:vAlign w:val="center"/>
            <w:hideMark/>
          </w:tcPr>
          <w:p w14:paraId="76B04D6B"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25</w:t>
            </w:r>
          </w:p>
        </w:tc>
      </w:tr>
      <w:tr w:rsidR="00280B2E" w:rsidRPr="00BF3D07" w14:paraId="3FF3363A" w14:textId="77777777" w:rsidTr="00280B2E">
        <w:trPr>
          <w:trHeight w:val="300"/>
        </w:trPr>
        <w:tc>
          <w:tcPr>
            <w:tcW w:w="4605" w:type="dxa"/>
            <w:tcBorders>
              <w:top w:val="nil"/>
              <w:left w:val="nil"/>
              <w:bottom w:val="nil"/>
              <w:right w:val="nil"/>
            </w:tcBorders>
            <w:shd w:val="clear" w:color="auto" w:fill="auto"/>
            <w:noWrap/>
            <w:vAlign w:val="center"/>
            <w:hideMark/>
          </w:tcPr>
          <w:p w14:paraId="0FA1EB61"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6-9km</w:t>
            </w:r>
          </w:p>
        </w:tc>
        <w:tc>
          <w:tcPr>
            <w:tcW w:w="1350" w:type="dxa"/>
            <w:tcBorders>
              <w:top w:val="nil"/>
              <w:left w:val="nil"/>
              <w:bottom w:val="nil"/>
              <w:right w:val="nil"/>
            </w:tcBorders>
            <w:shd w:val="clear" w:color="auto" w:fill="auto"/>
            <w:noWrap/>
            <w:vAlign w:val="center"/>
            <w:hideMark/>
          </w:tcPr>
          <w:p w14:paraId="51CF9259"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3,178</w:t>
            </w:r>
          </w:p>
        </w:tc>
        <w:tc>
          <w:tcPr>
            <w:tcW w:w="1350" w:type="dxa"/>
            <w:tcBorders>
              <w:top w:val="nil"/>
              <w:left w:val="nil"/>
              <w:bottom w:val="nil"/>
              <w:right w:val="nil"/>
            </w:tcBorders>
            <w:shd w:val="clear" w:color="auto" w:fill="auto"/>
            <w:noWrap/>
            <w:vAlign w:val="center"/>
            <w:hideMark/>
          </w:tcPr>
          <w:p w14:paraId="232E3D52"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18</w:t>
            </w:r>
          </w:p>
        </w:tc>
      </w:tr>
      <w:tr w:rsidR="00280B2E" w:rsidRPr="00BF3D07" w14:paraId="7894D98C" w14:textId="77777777" w:rsidTr="00280B2E">
        <w:trPr>
          <w:trHeight w:val="300"/>
        </w:trPr>
        <w:tc>
          <w:tcPr>
            <w:tcW w:w="4605" w:type="dxa"/>
            <w:tcBorders>
              <w:top w:val="nil"/>
              <w:left w:val="nil"/>
              <w:bottom w:val="nil"/>
              <w:right w:val="nil"/>
            </w:tcBorders>
            <w:shd w:val="clear" w:color="auto" w:fill="auto"/>
            <w:noWrap/>
            <w:vAlign w:val="center"/>
            <w:hideMark/>
          </w:tcPr>
          <w:p w14:paraId="707414D3"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&gt;9km</w:t>
            </w:r>
          </w:p>
        </w:tc>
        <w:tc>
          <w:tcPr>
            <w:tcW w:w="1350" w:type="dxa"/>
            <w:tcBorders>
              <w:top w:val="nil"/>
              <w:left w:val="nil"/>
              <w:bottom w:val="nil"/>
              <w:right w:val="nil"/>
            </w:tcBorders>
            <w:shd w:val="clear" w:color="auto" w:fill="auto"/>
            <w:noWrap/>
            <w:vAlign w:val="center"/>
            <w:hideMark/>
          </w:tcPr>
          <w:p w14:paraId="304FE6FA"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6,306</w:t>
            </w:r>
          </w:p>
        </w:tc>
        <w:tc>
          <w:tcPr>
            <w:tcW w:w="1350" w:type="dxa"/>
            <w:tcBorders>
              <w:top w:val="nil"/>
              <w:left w:val="nil"/>
              <w:bottom w:val="nil"/>
              <w:right w:val="nil"/>
            </w:tcBorders>
            <w:shd w:val="clear" w:color="auto" w:fill="auto"/>
            <w:noWrap/>
            <w:vAlign w:val="center"/>
            <w:hideMark/>
          </w:tcPr>
          <w:p w14:paraId="045CD645"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37</w:t>
            </w:r>
          </w:p>
        </w:tc>
      </w:tr>
      <w:tr w:rsidR="002B58B9" w:rsidRPr="00BF3D07" w14:paraId="1C41635F" w14:textId="77777777" w:rsidTr="00280B2E">
        <w:trPr>
          <w:trHeight w:val="300"/>
        </w:trPr>
        <w:tc>
          <w:tcPr>
            <w:tcW w:w="4605" w:type="dxa"/>
            <w:tcBorders>
              <w:top w:val="nil"/>
              <w:left w:val="nil"/>
              <w:bottom w:val="nil"/>
              <w:right w:val="nil"/>
            </w:tcBorders>
            <w:shd w:val="clear" w:color="auto" w:fill="auto"/>
            <w:noWrap/>
            <w:vAlign w:val="center"/>
          </w:tcPr>
          <w:p w14:paraId="016AD0D1" w14:textId="77777777" w:rsidR="002B58B9" w:rsidRPr="00BF3D07" w:rsidRDefault="002B58B9"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rPr>
              <w:t>Number of Charlson Index comorbidities at FSDT</w:t>
            </w:r>
          </w:p>
        </w:tc>
        <w:tc>
          <w:tcPr>
            <w:tcW w:w="1350" w:type="dxa"/>
            <w:tcBorders>
              <w:top w:val="nil"/>
              <w:left w:val="nil"/>
              <w:bottom w:val="nil"/>
              <w:right w:val="nil"/>
            </w:tcBorders>
            <w:shd w:val="clear" w:color="auto" w:fill="auto"/>
            <w:noWrap/>
            <w:vAlign w:val="center"/>
          </w:tcPr>
          <w:p w14:paraId="79D98643" w14:textId="77777777" w:rsidR="002B58B9" w:rsidRPr="00BF3D07" w:rsidRDefault="002B58B9" w:rsidP="00280B2E">
            <w:pPr>
              <w:spacing w:after="0" w:line="240" w:lineRule="auto"/>
              <w:jc w:val="center"/>
              <w:rPr>
                <w:rFonts w:ascii="Arial" w:eastAsia="Times New Roman" w:hAnsi="Arial" w:cs="Arial"/>
                <w:sz w:val="20"/>
                <w:szCs w:val="20"/>
                <w:lang w:eastAsia="en-US"/>
              </w:rPr>
            </w:pPr>
          </w:p>
        </w:tc>
        <w:tc>
          <w:tcPr>
            <w:tcW w:w="1350" w:type="dxa"/>
            <w:tcBorders>
              <w:top w:val="nil"/>
              <w:left w:val="nil"/>
              <w:bottom w:val="nil"/>
              <w:right w:val="nil"/>
            </w:tcBorders>
            <w:shd w:val="clear" w:color="auto" w:fill="auto"/>
            <w:noWrap/>
            <w:vAlign w:val="center"/>
          </w:tcPr>
          <w:p w14:paraId="2900BC37" w14:textId="77777777" w:rsidR="002B58B9" w:rsidRPr="00BF3D07" w:rsidRDefault="002B58B9" w:rsidP="00280B2E">
            <w:pPr>
              <w:spacing w:after="0" w:line="240" w:lineRule="auto"/>
              <w:jc w:val="center"/>
              <w:rPr>
                <w:rFonts w:ascii="Arial" w:eastAsia="Times New Roman" w:hAnsi="Arial" w:cs="Arial"/>
                <w:sz w:val="20"/>
                <w:szCs w:val="20"/>
                <w:lang w:eastAsia="en-US"/>
              </w:rPr>
            </w:pPr>
          </w:p>
        </w:tc>
      </w:tr>
      <w:tr w:rsidR="00280B2E" w:rsidRPr="00BF3D07" w14:paraId="6C5B3EED" w14:textId="77777777" w:rsidTr="00280B2E">
        <w:trPr>
          <w:trHeight w:val="300"/>
        </w:trPr>
        <w:tc>
          <w:tcPr>
            <w:tcW w:w="4605" w:type="dxa"/>
            <w:tcBorders>
              <w:top w:val="nil"/>
              <w:left w:val="nil"/>
              <w:bottom w:val="nil"/>
              <w:right w:val="nil"/>
            </w:tcBorders>
            <w:shd w:val="clear" w:color="auto" w:fill="auto"/>
            <w:noWrap/>
            <w:vAlign w:val="center"/>
            <w:hideMark/>
          </w:tcPr>
          <w:p w14:paraId="138E01BD"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0</w:t>
            </w:r>
          </w:p>
        </w:tc>
        <w:tc>
          <w:tcPr>
            <w:tcW w:w="1350" w:type="dxa"/>
            <w:tcBorders>
              <w:top w:val="nil"/>
              <w:left w:val="nil"/>
              <w:bottom w:val="nil"/>
              <w:right w:val="nil"/>
            </w:tcBorders>
            <w:shd w:val="clear" w:color="auto" w:fill="auto"/>
            <w:noWrap/>
            <w:vAlign w:val="center"/>
            <w:hideMark/>
          </w:tcPr>
          <w:p w14:paraId="49E57B6A"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11,273</w:t>
            </w:r>
          </w:p>
        </w:tc>
        <w:tc>
          <w:tcPr>
            <w:tcW w:w="1350" w:type="dxa"/>
            <w:tcBorders>
              <w:top w:val="nil"/>
              <w:left w:val="nil"/>
              <w:bottom w:val="nil"/>
              <w:right w:val="nil"/>
            </w:tcBorders>
            <w:shd w:val="clear" w:color="auto" w:fill="auto"/>
            <w:noWrap/>
            <w:vAlign w:val="center"/>
            <w:hideMark/>
          </w:tcPr>
          <w:p w14:paraId="03BC5D7D"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65</w:t>
            </w:r>
          </w:p>
        </w:tc>
      </w:tr>
      <w:tr w:rsidR="00280B2E" w:rsidRPr="00BF3D07" w14:paraId="6F3858B4" w14:textId="77777777" w:rsidTr="00280B2E">
        <w:trPr>
          <w:trHeight w:val="300"/>
        </w:trPr>
        <w:tc>
          <w:tcPr>
            <w:tcW w:w="4605" w:type="dxa"/>
            <w:tcBorders>
              <w:top w:val="nil"/>
              <w:left w:val="nil"/>
              <w:bottom w:val="nil"/>
              <w:right w:val="nil"/>
            </w:tcBorders>
            <w:shd w:val="clear" w:color="auto" w:fill="auto"/>
            <w:noWrap/>
            <w:vAlign w:val="center"/>
            <w:hideMark/>
          </w:tcPr>
          <w:p w14:paraId="038A04FC"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1</w:t>
            </w:r>
          </w:p>
        </w:tc>
        <w:tc>
          <w:tcPr>
            <w:tcW w:w="1350" w:type="dxa"/>
            <w:tcBorders>
              <w:top w:val="nil"/>
              <w:left w:val="nil"/>
              <w:bottom w:val="nil"/>
              <w:right w:val="nil"/>
            </w:tcBorders>
            <w:shd w:val="clear" w:color="auto" w:fill="auto"/>
            <w:noWrap/>
            <w:vAlign w:val="center"/>
            <w:hideMark/>
          </w:tcPr>
          <w:p w14:paraId="60EDE6D3"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4,441</w:t>
            </w:r>
          </w:p>
        </w:tc>
        <w:tc>
          <w:tcPr>
            <w:tcW w:w="1350" w:type="dxa"/>
            <w:tcBorders>
              <w:top w:val="nil"/>
              <w:left w:val="nil"/>
              <w:bottom w:val="nil"/>
              <w:right w:val="nil"/>
            </w:tcBorders>
            <w:shd w:val="clear" w:color="auto" w:fill="auto"/>
            <w:noWrap/>
            <w:vAlign w:val="center"/>
            <w:hideMark/>
          </w:tcPr>
          <w:p w14:paraId="21BD1E19"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26</w:t>
            </w:r>
          </w:p>
        </w:tc>
      </w:tr>
      <w:tr w:rsidR="00280B2E" w:rsidRPr="00BF3D07" w14:paraId="6797D354" w14:textId="77777777" w:rsidTr="00280B2E">
        <w:trPr>
          <w:trHeight w:val="300"/>
        </w:trPr>
        <w:tc>
          <w:tcPr>
            <w:tcW w:w="4605" w:type="dxa"/>
            <w:tcBorders>
              <w:top w:val="nil"/>
              <w:left w:val="nil"/>
              <w:bottom w:val="nil"/>
              <w:right w:val="nil"/>
            </w:tcBorders>
            <w:shd w:val="clear" w:color="auto" w:fill="auto"/>
            <w:noWrap/>
            <w:vAlign w:val="center"/>
            <w:hideMark/>
          </w:tcPr>
          <w:p w14:paraId="5FAFF75C"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2</w:t>
            </w:r>
          </w:p>
        </w:tc>
        <w:tc>
          <w:tcPr>
            <w:tcW w:w="1350" w:type="dxa"/>
            <w:tcBorders>
              <w:top w:val="nil"/>
              <w:left w:val="nil"/>
              <w:bottom w:val="nil"/>
              <w:right w:val="nil"/>
            </w:tcBorders>
            <w:shd w:val="clear" w:color="auto" w:fill="auto"/>
            <w:noWrap/>
            <w:vAlign w:val="center"/>
            <w:hideMark/>
          </w:tcPr>
          <w:p w14:paraId="7CB17BEE"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1,079</w:t>
            </w:r>
          </w:p>
        </w:tc>
        <w:tc>
          <w:tcPr>
            <w:tcW w:w="1350" w:type="dxa"/>
            <w:tcBorders>
              <w:top w:val="nil"/>
              <w:left w:val="nil"/>
              <w:bottom w:val="nil"/>
              <w:right w:val="nil"/>
            </w:tcBorders>
            <w:shd w:val="clear" w:color="auto" w:fill="auto"/>
            <w:noWrap/>
            <w:vAlign w:val="center"/>
            <w:hideMark/>
          </w:tcPr>
          <w:p w14:paraId="3FEC4ECD"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6</w:t>
            </w:r>
          </w:p>
        </w:tc>
      </w:tr>
      <w:tr w:rsidR="00280B2E" w:rsidRPr="00BF3D07" w14:paraId="43E598B1" w14:textId="77777777" w:rsidTr="00280B2E">
        <w:trPr>
          <w:trHeight w:val="300"/>
        </w:trPr>
        <w:tc>
          <w:tcPr>
            <w:tcW w:w="4605" w:type="dxa"/>
            <w:tcBorders>
              <w:top w:val="nil"/>
              <w:left w:val="nil"/>
              <w:bottom w:val="nil"/>
              <w:right w:val="nil"/>
            </w:tcBorders>
            <w:shd w:val="clear" w:color="auto" w:fill="auto"/>
            <w:noWrap/>
            <w:vAlign w:val="center"/>
            <w:hideMark/>
          </w:tcPr>
          <w:p w14:paraId="46933AF2" w14:textId="77777777" w:rsidR="00280B2E" w:rsidRPr="00BF3D07" w:rsidRDefault="00280B2E" w:rsidP="00280B2E">
            <w:pPr>
              <w:spacing w:after="0" w:line="240" w:lineRule="auto"/>
              <w:ind w:firstLine="447"/>
              <w:rPr>
                <w:rFonts w:ascii="Arial" w:eastAsia="Times New Roman" w:hAnsi="Arial" w:cs="Arial"/>
                <w:sz w:val="20"/>
                <w:szCs w:val="20"/>
                <w:lang w:eastAsia="en-US"/>
              </w:rPr>
            </w:pPr>
            <w:r w:rsidRPr="00BF3D07">
              <w:rPr>
                <w:rFonts w:ascii="Arial" w:eastAsia="Times New Roman" w:hAnsi="Arial" w:cs="Arial"/>
                <w:sz w:val="20"/>
                <w:szCs w:val="20"/>
                <w:lang w:eastAsia="en-US"/>
              </w:rPr>
              <w:t>&gt;=3</w:t>
            </w:r>
          </w:p>
        </w:tc>
        <w:tc>
          <w:tcPr>
            <w:tcW w:w="1350" w:type="dxa"/>
            <w:tcBorders>
              <w:top w:val="nil"/>
              <w:left w:val="nil"/>
              <w:bottom w:val="nil"/>
              <w:right w:val="nil"/>
            </w:tcBorders>
            <w:shd w:val="clear" w:color="auto" w:fill="auto"/>
            <w:noWrap/>
            <w:vAlign w:val="center"/>
            <w:hideMark/>
          </w:tcPr>
          <w:p w14:paraId="1949324E"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462</w:t>
            </w:r>
          </w:p>
        </w:tc>
        <w:tc>
          <w:tcPr>
            <w:tcW w:w="1350" w:type="dxa"/>
            <w:tcBorders>
              <w:top w:val="nil"/>
              <w:left w:val="nil"/>
              <w:bottom w:val="nil"/>
              <w:right w:val="nil"/>
            </w:tcBorders>
            <w:shd w:val="clear" w:color="auto" w:fill="auto"/>
            <w:noWrap/>
            <w:vAlign w:val="center"/>
            <w:hideMark/>
          </w:tcPr>
          <w:p w14:paraId="281B8C64"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3</w:t>
            </w:r>
          </w:p>
        </w:tc>
      </w:tr>
      <w:tr w:rsidR="00280B2E" w:rsidRPr="00BF3D07" w14:paraId="0ECC0759" w14:textId="77777777" w:rsidTr="00280B2E">
        <w:trPr>
          <w:trHeight w:val="300"/>
        </w:trPr>
        <w:tc>
          <w:tcPr>
            <w:tcW w:w="4605" w:type="dxa"/>
            <w:tcBorders>
              <w:top w:val="nil"/>
              <w:left w:val="nil"/>
              <w:bottom w:val="nil"/>
              <w:right w:val="nil"/>
            </w:tcBorders>
            <w:shd w:val="clear" w:color="auto" w:fill="auto"/>
            <w:noWrap/>
            <w:vAlign w:val="center"/>
            <w:hideMark/>
          </w:tcPr>
          <w:p w14:paraId="5A1F9943" w14:textId="77777777" w:rsidR="00280B2E" w:rsidRPr="00BF3D07" w:rsidRDefault="00280B2E"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rPr>
              <w:t>History of depression at FSDT</w:t>
            </w:r>
          </w:p>
        </w:tc>
        <w:tc>
          <w:tcPr>
            <w:tcW w:w="1350" w:type="dxa"/>
            <w:tcBorders>
              <w:top w:val="nil"/>
              <w:left w:val="nil"/>
              <w:bottom w:val="nil"/>
              <w:right w:val="nil"/>
            </w:tcBorders>
            <w:shd w:val="clear" w:color="auto" w:fill="auto"/>
            <w:noWrap/>
            <w:vAlign w:val="center"/>
            <w:hideMark/>
          </w:tcPr>
          <w:p w14:paraId="09478CD0"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9,746</w:t>
            </w:r>
          </w:p>
        </w:tc>
        <w:tc>
          <w:tcPr>
            <w:tcW w:w="1350" w:type="dxa"/>
            <w:tcBorders>
              <w:top w:val="nil"/>
              <w:left w:val="nil"/>
              <w:bottom w:val="nil"/>
              <w:right w:val="nil"/>
            </w:tcBorders>
            <w:shd w:val="clear" w:color="auto" w:fill="auto"/>
            <w:noWrap/>
            <w:vAlign w:val="center"/>
            <w:hideMark/>
          </w:tcPr>
          <w:p w14:paraId="18F1C981"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56</w:t>
            </w:r>
          </w:p>
        </w:tc>
      </w:tr>
      <w:tr w:rsidR="00280B2E" w:rsidRPr="00BF3D07" w14:paraId="3A65E635" w14:textId="77777777" w:rsidTr="00280B2E">
        <w:trPr>
          <w:trHeight w:val="300"/>
        </w:trPr>
        <w:tc>
          <w:tcPr>
            <w:tcW w:w="4605" w:type="dxa"/>
            <w:tcBorders>
              <w:top w:val="nil"/>
              <w:left w:val="nil"/>
              <w:bottom w:val="nil"/>
              <w:right w:val="nil"/>
            </w:tcBorders>
            <w:shd w:val="clear" w:color="auto" w:fill="auto"/>
            <w:noWrap/>
            <w:vAlign w:val="center"/>
            <w:hideMark/>
          </w:tcPr>
          <w:p w14:paraId="44429EA0" w14:textId="77777777" w:rsidR="00280B2E" w:rsidRPr="00BF3D07" w:rsidRDefault="00280B2E"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rPr>
              <w:t>Current or ex-smoker</w:t>
            </w:r>
          </w:p>
        </w:tc>
        <w:tc>
          <w:tcPr>
            <w:tcW w:w="1350" w:type="dxa"/>
            <w:tcBorders>
              <w:top w:val="nil"/>
              <w:left w:val="nil"/>
              <w:bottom w:val="nil"/>
              <w:right w:val="nil"/>
            </w:tcBorders>
            <w:shd w:val="clear" w:color="auto" w:fill="auto"/>
            <w:noWrap/>
            <w:vAlign w:val="center"/>
            <w:hideMark/>
          </w:tcPr>
          <w:p w14:paraId="4ACC29EE"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12,556</w:t>
            </w:r>
          </w:p>
        </w:tc>
        <w:tc>
          <w:tcPr>
            <w:tcW w:w="1350" w:type="dxa"/>
            <w:tcBorders>
              <w:top w:val="nil"/>
              <w:left w:val="nil"/>
              <w:bottom w:val="nil"/>
              <w:right w:val="nil"/>
            </w:tcBorders>
            <w:shd w:val="clear" w:color="auto" w:fill="auto"/>
            <w:noWrap/>
            <w:vAlign w:val="center"/>
            <w:hideMark/>
          </w:tcPr>
          <w:p w14:paraId="15716615"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73</w:t>
            </w:r>
          </w:p>
        </w:tc>
      </w:tr>
      <w:tr w:rsidR="00280B2E" w:rsidRPr="00BF3D07" w14:paraId="76DAA02E" w14:textId="77777777" w:rsidTr="00280B2E">
        <w:trPr>
          <w:trHeight w:val="300"/>
        </w:trPr>
        <w:tc>
          <w:tcPr>
            <w:tcW w:w="4605" w:type="dxa"/>
            <w:tcBorders>
              <w:top w:val="nil"/>
              <w:left w:val="nil"/>
              <w:bottom w:val="nil"/>
              <w:right w:val="nil"/>
            </w:tcBorders>
            <w:shd w:val="clear" w:color="auto" w:fill="auto"/>
            <w:noWrap/>
            <w:vAlign w:val="center"/>
            <w:hideMark/>
          </w:tcPr>
          <w:p w14:paraId="723D4A08" w14:textId="77777777" w:rsidR="00280B2E" w:rsidRPr="00BF3D07" w:rsidRDefault="00280B2E"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rPr>
              <w:t>Current or ex-alcohol consumption</w:t>
            </w:r>
          </w:p>
        </w:tc>
        <w:tc>
          <w:tcPr>
            <w:tcW w:w="1350" w:type="dxa"/>
            <w:tcBorders>
              <w:top w:val="nil"/>
              <w:left w:val="nil"/>
              <w:bottom w:val="nil"/>
              <w:right w:val="nil"/>
            </w:tcBorders>
            <w:shd w:val="clear" w:color="auto" w:fill="auto"/>
            <w:noWrap/>
            <w:vAlign w:val="center"/>
            <w:hideMark/>
          </w:tcPr>
          <w:p w14:paraId="344DF963"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11,062</w:t>
            </w:r>
          </w:p>
        </w:tc>
        <w:tc>
          <w:tcPr>
            <w:tcW w:w="1350" w:type="dxa"/>
            <w:tcBorders>
              <w:top w:val="nil"/>
              <w:left w:val="nil"/>
              <w:bottom w:val="nil"/>
              <w:right w:val="nil"/>
            </w:tcBorders>
            <w:shd w:val="clear" w:color="auto" w:fill="auto"/>
            <w:noWrap/>
            <w:vAlign w:val="center"/>
            <w:hideMark/>
          </w:tcPr>
          <w:p w14:paraId="2E6514C5"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64</w:t>
            </w:r>
          </w:p>
        </w:tc>
      </w:tr>
      <w:tr w:rsidR="00280B2E" w:rsidRPr="00BF3D07" w14:paraId="52D4CBC7" w14:textId="77777777" w:rsidTr="00280B2E">
        <w:trPr>
          <w:trHeight w:val="300"/>
        </w:trPr>
        <w:tc>
          <w:tcPr>
            <w:tcW w:w="4605" w:type="dxa"/>
            <w:tcBorders>
              <w:top w:val="nil"/>
              <w:left w:val="nil"/>
              <w:bottom w:val="nil"/>
              <w:right w:val="nil"/>
            </w:tcBorders>
            <w:shd w:val="clear" w:color="auto" w:fill="auto"/>
            <w:noWrap/>
            <w:vAlign w:val="center"/>
            <w:hideMark/>
          </w:tcPr>
          <w:p w14:paraId="3C400404" w14:textId="77777777" w:rsidR="00280B2E" w:rsidRPr="00BF3D07" w:rsidRDefault="00280B2E"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lang w:eastAsia="en-US"/>
              </w:rPr>
              <w:t>Schizophrenia</w:t>
            </w:r>
          </w:p>
        </w:tc>
        <w:tc>
          <w:tcPr>
            <w:tcW w:w="1350" w:type="dxa"/>
            <w:tcBorders>
              <w:top w:val="nil"/>
              <w:left w:val="nil"/>
              <w:bottom w:val="nil"/>
              <w:right w:val="nil"/>
            </w:tcBorders>
            <w:shd w:val="clear" w:color="auto" w:fill="auto"/>
            <w:noWrap/>
            <w:vAlign w:val="center"/>
            <w:hideMark/>
          </w:tcPr>
          <w:p w14:paraId="7EE6D84E"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9,653</w:t>
            </w:r>
          </w:p>
        </w:tc>
        <w:tc>
          <w:tcPr>
            <w:tcW w:w="1350" w:type="dxa"/>
            <w:tcBorders>
              <w:top w:val="nil"/>
              <w:left w:val="nil"/>
              <w:bottom w:val="nil"/>
              <w:right w:val="nil"/>
            </w:tcBorders>
            <w:shd w:val="clear" w:color="auto" w:fill="auto"/>
            <w:noWrap/>
            <w:vAlign w:val="center"/>
            <w:hideMark/>
          </w:tcPr>
          <w:p w14:paraId="790513C8"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56</w:t>
            </w:r>
          </w:p>
        </w:tc>
      </w:tr>
      <w:tr w:rsidR="00280B2E" w:rsidRPr="00BF3D07" w14:paraId="029B6EA0" w14:textId="77777777" w:rsidTr="00280B2E">
        <w:trPr>
          <w:trHeight w:val="300"/>
        </w:trPr>
        <w:tc>
          <w:tcPr>
            <w:tcW w:w="4605" w:type="dxa"/>
            <w:tcBorders>
              <w:top w:val="nil"/>
              <w:left w:val="nil"/>
              <w:right w:val="nil"/>
            </w:tcBorders>
            <w:shd w:val="clear" w:color="auto" w:fill="auto"/>
            <w:noWrap/>
            <w:vAlign w:val="center"/>
            <w:hideMark/>
          </w:tcPr>
          <w:p w14:paraId="489A6F54" w14:textId="77777777" w:rsidR="00280B2E" w:rsidRPr="00BF3D07" w:rsidRDefault="00280B2E"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lang w:eastAsia="en-US"/>
              </w:rPr>
              <w:t>Bipolar</w:t>
            </w:r>
          </w:p>
        </w:tc>
        <w:tc>
          <w:tcPr>
            <w:tcW w:w="1350" w:type="dxa"/>
            <w:tcBorders>
              <w:top w:val="nil"/>
              <w:left w:val="nil"/>
              <w:right w:val="nil"/>
            </w:tcBorders>
            <w:shd w:val="clear" w:color="auto" w:fill="auto"/>
            <w:noWrap/>
            <w:vAlign w:val="center"/>
            <w:hideMark/>
          </w:tcPr>
          <w:p w14:paraId="67ADC1C7"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5,342</w:t>
            </w:r>
          </w:p>
        </w:tc>
        <w:tc>
          <w:tcPr>
            <w:tcW w:w="1350" w:type="dxa"/>
            <w:tcBorders>
              <w:top w:val="nil"/>
              <w:left w:val="nil"/>
              <w:right w:val="nil"/>
            </w:tcBorders>
            <w:shd w:val="clear" w:color="auto" w:fill="auto"/>
            <w:noWrap/>
            <w:vAlign w:val="center"/>
            <w:hideMark/>
          </w:tcPr>
          <w:p w14:paraId="0FEFEE73"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31</w:t>
            </w:r>
          </w:p>
        </w:tc>
      </w:tr>
      <w:tr w:rsidR="00280B2E" w:rsidRPr="00BF3D07" w14:paraId="678AC12F" w14:textId="77777777" w:rsidTr="00280B2E">
        <w:trPr>
          <w:trHeight w:val="300"/>
        </w:trPr>
        <w:tc>
          <w:tcPr>
            <w:tcW w:w="4605" w:type="dxa"/>
            <w:tcBorders>
              <w:top w:val="nil"/>
              <w:left w:val="nil"/>
              <w:bottom w:val="single" w:sz="12" w:space="0" w:color="auto"/>
              <w:right w:val="nil"/>
            </w:tcBorders>
            <w:shd w:val="clear" w:color="auto" w:fill="auto"/>
            <w:noWrap/>
            <w:vAlign w:val="center"/>
            <w:hideMark/>
          </w:tcPr>
          <w:p w14:paraId="1FEF901F" w14:textId="77777777" w:rsidR="00280B2E" w:rsidRPr="00BF3D07" w:rsidRDefault="00280B2E" w:rsidP="00280B2E">
            <w:pPr>
              <w:spacing w:after="0" w:line="240" w:lineRule="auto"/>
              <w:rPr>
                <w:rFonts w:ascii="Arial" w:eastAsia="Times New Roman" w:hAnsi="Arial" w:cs="Arial"/>
                <w:sz w:val="20"/>
                <w:szCs w:val="20"/>
                <w:lang w:eastAsia="en-US"/>
              </w:rPr>
            </w:pPr>
            <w:r w:rsidRPr="00BF3D07">
              <w:rPr>
                <w:rFonts w:ascii="Arial" w:eastAsia="Times New Roman" w:hAnsi="Arial" w:cs="Arial"/>
                <w:sz w:val="20"/>
                <w:szCs w:val="20"/>
                <w:lang w:eastAsia="en-US"/>
              </w:rPr>
              <w:t>Both schizophrenia and bipolar</w:t>
            </w:r>
          </w:p>
        </w:tc>
        <w:tc>
          <w:tcPr>
            <w:tcW w:w="1350" w:type="dxa"/>
            <w:tcBorders>
              <w:top w:val="nil"/>
              <w:left w:val="nil"/>
              <w:bottom w:val="single" w:sz="12" w:space="0" w:color="auto"/>
              <w:right w:val="nil"/>
            </w:tcBorders>
            <w:shd w:val="clear" w:color="auto" w:fill="auto"/>
            <w:noWrap/>
            <w:vAlign w:val="center"/>
            <w:hideMark/>
          </w:tcPr>
          <w:p w14:paraId="4478BE3F"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2,260</w:t>
            </w:r>
          </w:p>
        </w:tc>
        <w:tc>
          <w:tcPr>
            <w:tcW w:w="1350" w:type="dxa"/>
            <w:tcBorders>
              <w:top w:val="nil"/>
              <w:left w:val="nil"/>
              <w:bottom w:val="single" w:sz="12" w:space="0" w:color="auto"/>
              <w:right w:val="nil"/>
            </w:tcBorders>
            <w:shd w:val="clear" w:color="auto" w:fill="auto"/>
            <w:noWrap/>
            <w:vAlign w:val="center"/>
            <w:hideMark/>
          </w:tcPr>
          <w:p w14:paraId="67273E37" w14:textId="77777777" w:rsidR="00280B2E" w:rsidRPr="00BF3D07" w:rsidRDefault="00280B2E" w:rsidP="00280B2E">
            <w:pPr>
              <w:spacing w:after="0" w:line="240" w:lineRule="auto"/>
              <w:jc w:val="center"/>
              <w:rPr>
                <w:rFonts w:ascii="Arial" w:hAnsi="Arial" w:cs="Arial"/>
                <w:sz w:val="20"/>
                <w:szCs w:val="20"/>
              </w:rPr>
            </w:pPr>
            <w:r w:rsidRPr="00BF3D07">
              <w:rPr>
                <w:rFonts w:ascii="Arial" w:hAnsi="Arial" w:cs="Arial"/>
                <w:sz w:val="20"/>
                <w:szCs w:val="20"/>
              </w:rPr>
              <w:t>13</w:t>
            </w:r>
          </w:p>
        </w:tc>
      </w:tr>
    </w:tbl>
    <w:p w14:paraId="27F84069" w14:textId="7DB3B37D" w:rsidR="002B58B9" w:rsidRPr="00BF3D07" w:rsidRDefault="00882484" w:rsidP="001040F6">
      <w:pPr>
        <w:pStyle w:val="Caption"/>
        <w:rPr>
          <w:rFonts w:ascii="Arial" w:hAnsi="Arial" w:cs="Arial"/>
          <w:sz w:val="20"/>
          <w:szCs w:val="20"/>
        </w:rPr>
      </w:pPr>
      <w:bookmarkStart w:id="48" w:name="_Ref511302754"/>
      <w:r w:rsidRPr="00BF3D07">
        <w:lastRenderedPageBreak/>
        <w:t xml:space="preserve">Table </w:t>
      </w:r>
      <w:r w:rsidRPr="00BF3D07">
        <w:fldChar w:fldCharType="begin"/>
      </w:r>
      <w:r w:rsidRPr="00BF3D07">
        <w:instrText xml:space="preserve"> SEQ Table \* ARABIC </w:instrText>
      </w:r>
      <w:r w:rsidRPr="00BF3D07">
        <w:fldChar w:fldCharType="separate"/>
      </w:r>
      <w:r w:rsidR="00FF1B96">
        <w:rPr>
          <w:noProof/>
        </w:rPr>
        <w:t>3</w:t>
      </w:r>
      <w:r w:rsidRPr="00BF3D07">
        <w:fldChar w:fldCharType="end"/>
      </w:r>
      <w:bookmarkEnd w:id="48"/>
      <w:r w:rsidRPr="00BF3D07">
        <w:t>: Hazard Ratios</w:t>
      </w:r>
      <w:r w:rsidR="00DD565E" w:rsidRPr="00BF3D07">
        <w:t xml:space="preserve"> for </w:t>
      </w:r>
      <w:r w:rsidR="005922A5">
        <w:rPr>
          <w:rFonts w:ascii="Arial" w:hAnsi="Arial" w:cs="Arial"/>
          <w:sz w:val="20"/>
          <w:szCs w:val="20"/>
        </w:rPr>
        <w:t>polypharmacy</w:t>
      </w:r>
      <w:r w:rsidR="00DD565E" w:rsidRPr="00BF3D07">
        <w:t xml:space="preserve"> from the base case analysis</w:t>
      </w:r>
    </w:p>
    <w:tbl>
      <w:tblPr>
        <w:tblW w:w="9214" w:type="dxa"/>
        <w:jc w:val="center"/>
        <w:tblLook w:val="04A0" w:firstRow="1" w:lastRow="0" w:firstColumn="1" w:lastColumn="0" w:noHBand="0" w:noVBand="1"/>
      </w:tblPr>
      <w:tblGrid>
        <w:gridCol w:w="1843"/>
        <w:gridCol w:w="1174"/>
        <w:gridCol w:w="142"/>
        <w:gridCol w:w="1236"/>
        <w:gridCol w:w="992"/>
        <w:gridCol w:w="138"/>
        <w:gridCol w:w="1131"/>
        <w:gridCol w:w="6"/>
        <w:gridCol w:w="1284"/>
        <w:gridCol w:w="35"/>
        <w:gridCol w:w="1091"/>
        <w:gridCol w:w="142"/>
      </w:tblGrid>
      <w:tr w:rsidR="00841895" w:rsidRPr="00BF3D07" w14:paraId="15E1B504" w14:textId="1486BF96" w:rsidTr="00876672">
        <w:trPr>
          <w:gridAfter w:val="1"/>
          <w:wAfter w:w="142" w:type="dxa"/>
          <w:trHeight w:val="300"/>
          <w:jc w:val="center"/>
        </w:trPr>
        <w:tc>
          <w:tcPr>
            <w:tcW w:w="1843" w:type="dxa"/>
            <w:tcBorders>
              <w:top w:val="single" w:sz="4" w:space="0" w:color="auto"/>
              <w:left w:val="nil"/>
              <w:bottom w:val="nil"/>
              <w:right w:val="nil"/>
            </w:tcBorders>
            <w:shd w:val="clear" w:color="auto" w:fill="auto"/>
            <w:noWrap/>
            <w:vAlign w:val="bottom"/>
            <w:hideMark/>
          </w:tcPr>
          <w:p w14:paraId="79CBBB4E" w14:textId="77777777" w:rsidR="00841895" w:rsidRPr="00BF3D07" w:rsidRDefault="00841895" w:rsidP="00F9734A">
            <w:pPr>
              <w:spacing w:after="0" w:line="240" w:lineRule="auto"/>
              <w:rPr>
                <w:rFonts w:ascii="Calibri" w:eastAsia="Times New Roman" w:hAnsi="Calibri" w:cs="Times New Roman"/>
                <w:color w:val="000000"/>
                <w:sz w:val="22"/>
                <w:lang w:eastAsia="en-US"/>
              </w:rPr>
            </w:pPr>
            <w:r w:rsidRPr="00BF3D07">
              <w:rPr>
                <w:rFonts w:ascii="Calibri" w:eastAsia="Times New Roman" w:hAnsi="Calibri" w:cs="Times New Roman"/>
                <w:color w:val="000000"/>
                <w:sz w:val="22"/>
                <w:lang w:eastAsia="en-US"/>
              </w:rPr>
              <w:t> </w:t>
            </w:r>
          </w:p>
        </w:tc>
        <w:tc>
          <w:tcPr>
            <w:tcW w:w="2552" w:type="dxa"/>
            <w:gridSpan w:val="3"/>
            <w:tcBorders>
              <w:top w:val="single" w:sz="4" w:space="0" w:color="auto"/>
              <w:left w:val="nil"/>
              <w:bottom w:val="single" w:sz="4" w:space="0" w:color="auto"/>
              <w:right w:val="nil"/>
            </w:tcBorders>
            <w:shd w:val="clear" w:color="auto" w:fill="auto"/>
            <w:noWrap/>
            <w:vAlign w:val="bottom"/>
            <w:hideMark/>
          </w:tcPr>
          <w:p w14:paraId="39B23552" w14:textId="2C672528" w:rsidR="00841895" w:rsidRPr="00BF3D07" w:rsidRDefault="00841895" w:rsidP="00841895">
            <w:pPr>
              <w:spacing w:after="0" w:line="240" w:lineRule="auto"/>
              <w:jc w:val="center"/>
              <w:rPr>
                <w:rFonts w:ascii="Calibri" w:eastAsia="Times New Roman" w:hAnsi="Calibri" w:cs="Times New Roman"/>
                <w:color w:val="000000"/>
                <w:sz w:val="22"/>
                <w:lang w:eastAsia="en-US"/>
              </w:rPr>
            </w:pPr>
            <w:r w:rsidRPr="00BF3D07">
              <w:rPr>
                <w:rFonts w:ascii="Calibri" w:eastAsia="Times New Roman" w:hAnsi="Calibri" w:cs="Times New Roman"/>
                <w:color w:val="000000"/>
                <w:sz w:val="22"/>
                <w:lang w:eastAsia="en-US"/>
              </w:rPr>
              <w:t>Unplanned admissions</w:t>
            </w:r>
          </w:p>
        </w:tc>
        <w:tc>
          <w:tcPr>
            <w:tcW w:w="2261" w:type="dxa"/>
            <w:gridSpan w:val="3"/>
            <w:tcBorders>
              <w:top w:val="single" w:sz="4" w:space="0" w:color="auto"/>
              <w:left w:val="nil"/>
              <w:bottom w:val="single" w:sz="4" w:space="0" w:color="auto"/>
              <w:right w:val="nil"/>
            </w:tcBorders>
            <w:shd w:val="clear" w:color="auto" w:fill="auto"/>
            <w:noWrap/>
            <w:vAlign w:val="bottom"/>
            <w:hideMark/>
          </w:tcPr>
          <w:p w14:paraId="2EA6C6E8" w14:textId="622B608A" w:rsidR="00841895" w:rsidRPr="00BF3D07" w:rsidRDefault="00841895" w:rsidP="00841895">
            <w:pPr>
              <w:spacing w:after="0" w:line="240" w:lineRule="auto"/>
              <w:jc w:val="center"/>
              <w:rPr>
                <w:rFonts w:ascii="Calibri" w:eastAsia="Times New Roman" w:hAnsi="Calibri" w:cs="Times New Roman"/>
                <w:color w:val="000000"/>
                <w:sz w:val="22"/>
                <w:lang w:eastAsia="en-US"/>
              </w:rPr>
            </w:pPr>
            <w:r w:rsidRPr="00BF3D07">
              <w:rPr>
                <w:rFonts w:ascii="Calibri" w:eastAsia="Times New Roman" w:hAnsi="Calibri" w:cs="Times New Roman"/>
                <w:color w:val="000000"/>
                <w:sz w:val="22"/>
                <w:lang w:eastAsia="en-US"/>
              </w:rPr>
              <w:t>Death</w:t>
            </w:r>
          </w:p>
        </w:tc>
        <w:tc>
          <w:tcPr>
            <w:tcW w:w="2416" w:type="dxa"/>
            <w:gridSpan w:val="4"/>
            <w:tcBorders>
              <w:top w:val="single" w:sz="4" w:space="0" w:color="auto"/>
              <w:left w:val="nil"/>
              <w:bottom w:val="single" w:sz="4" w:space="0" w:color="auto"/>
              <w:right w:val="nil"/>
            </w:tcBorders>
            <w:shd w:val="clear" w:color="auto" w:fill="auto"/>
            <w:noWrap/>
            <w:vAlign w:val="bottom"/>
            <w:hideMark/>
          </w:tcPr>
          <w:p w14:paraId="10708FEC" w14:textId="7BF304B5" w:rsidR="00841895" w:rsidRPr="00BF3D07" w:rsidRDefault="001040F6" w:rsidP="001040F6">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 xml:space="preserve">ED </w:t>
            </w:r>
            <w:r w:rsidR="00841895" w:rsidRPr="00BF3D07">
              <w:rPr>
                <w:rFonts w:ascii="Calibri" w:eastAsia="Times New Roman" w:hAnsi="Calibri" w:cs="Times New Roman"/>
                <w:color w:val="000000"/>
                <w:sz w:val="22"/>
                <w:lang w:eastAsia="en-US"/>
              </w:rPr>
              <w:t>presentations</w:t>
            </w:r>
          </w:p>
        </w:tc>
      </w:tr>
      <w:tr w:rsidR="001040F6" w:rsidRPr="00BF3D07" w14:paraId="1E2E09BD" w14:textId="77777777" w:rsidTr="00876672">
        <w:trPr>
          <w:gridAfter w:val="1"/>
          <w:wAfter w:w="142" w:type="dxa"/>
          <w:trHeight w:val="300"/>
          <w:jc w:val="center"/>
        </w:trPr>
        <w:tc>
          <w:tcPr>
            <w:tcW w:w="1843" w:type="dxa"/>
            <w:tcBorders>
              <w:top w:val="single" w:sz="4" w:space="0" w:color="auto"/>
              <w:left w:val="nil"/>
              <w:bottom w:val="nil"/>
              <w:right w:val="nil"/>
            </w:tcBorders>
            <w:shd w:val="clear" w:color="auto" w:fill="auto"/>
            <w:noWrap/>
            <w:vAlign w:val="bottom"/>
          </w:tcPr>
          <w:p w14:paraId="74F88AE9" w14:textId="77777777" w:rsidR="001040F6" w:rsidRPr="00BF3D07" w:rsidRDefault="001040F6" w:rsidP="00F9734A">
            <w:pPr>
              <w:spacing w:after="0" w:line="240" w:lineRule="auto"/>
              <w:rPr>
                <w:rFonts w:ascii="Calibri" w:eastAsia="Times New Roman" w:hAnsi="Calibri" w:cs="Times New Roman"/>
                <w:color w:val="000000"/>
                <w:sz w:val="22"/>
                <w:lang w:eastAsia="en-US"/>
              </w:rPr>
            </w:pPr>
          </w:p>
        </w:tc>
        <w:tc>
          <w:tcPr>
            <w:tcW w:w="1316" w:type="dxa"/>
            <w:gridSpan w:val="2"/>
            <w:tcBorders>
              <w:top w:val="single" w:sz="4" w:space="0" w:color="auto"/>
              <w:left w:val="nil"/>
              <w:bottom w:val="single" w:sz="4" w:space="0" w:color="auto"/>
              <w:right w:val="nil"/>
            </w:tcBorders>
            <w:shd w:val="clear" w:color="auto" w:fill="auto"/>
            <w:noWrap/>
            <w:vAlign w:val="bottom"/>
          </w:tcPr>
          <w:p w14:paraId="63352A2E" w14:textId="114BF3FD" w:rsidR="001040F6" w:rsidRPr="00BF3D07" w:rsidRDefault="001040F6" w:rsidP="00841895">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HR</w:t>
            </w:r>
          </w:p>
        </w:tc>
        <w:tc>
          <w:tcPr>
            <w:tcW w:w="1236" w:type="dxa"/>
            <w:tcBorders>
              <w:top w:val="single" w:sz="4" w:space="0" w:color="auto"/>
              <w:left w:val="nil"/>
              <w:bottom w:val="single" w:sz="4" w:space="0" w:color="auto"/>
              <w:right w:val="nil"/>
            </w:tcBorders>
            <w:shd w:val="clear" w:color="auto" w:fill="auto"/>
            <w:vAlign w:val="bottom"/>
          </w:tcPr>
          <w:p w14:paraId="7DF5FD55" w14:textId="14D07DEF" w:rsidR="001040F6" w:rsidRPr="00BF3D07" w:rsidRDefault="001040F6" w:rsidP="00841895">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95% CI</w:t>
            </w:r>
          </w:p>
        </w:tc>
        <w:tc>
          <w:tcPr>
            <w:tcW w:w="1130" w:type="dxa"/>
            <w:gridSpan w:val="2"/>
            <w:tcBorders>
              <w:top w:val="single" w:sz="4" w:space="0" w:color="auto"/>
              <w:left w:val="nil"/>
              <w:bottom w:val="single" w:sz="4" w:space="0" w:color="auto"/>
              <w:right w:val="nil"/>
            </w:tcBorders>
            <w:shd w:val="clear" w:color="auto" w:fill="auto"/>
            <w:noWrap/>
            <w:vAlign w:val="bottom"/>
          </w:tcPr>
          <w:p w14:paraId="3B0F958F" w14:textId="3904A91A" w:rsidR="001040F6" w:rsidRPr="00BF3D07" w:rsidRDefault="001040F6" w:rsidP="00841895">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HR</w:t>
            </w:r>
          </w:p>
        </w:tc>
        <w:tc>
          <w:tcPr>
            <w:tcW w:w="1131" w:type="dxa"/>
            <w:tcBorders>
              <w:top w:val="single" w:sz="4" w:space="0" w:color="auto"/>
              <w:left w:val="nil"/>
              <w:bottom w:val="single" w:sz="4" w:space="0" w:color="auto"/>
              <w:right w:val="nil"/>
            </w:tcBorders>
            <w:shd w:val="clear" w:color="auto" w:fill="auto"/>
            <w:vAlign w:val="bottom"/>
          </w:tcPr>
          <w:p w14:paraId="6104AD46" w14:textId="4F6B2C7B" w:rsidR="001040F6" w:rsidRPr="00BF3D07" w:rsidRDefault="001040F6" w:rsidP="00841895">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95% CI</w:t>
            </w:r>
          </w:p>
        </w:tc>
        <w:tc>
          <w:tcPr>
            <w:tcW w:w="1325" w:type="dxa"/>
            <w:gridSpan w:val="3"/>
            <w:tcBorders>
              <w:top w:val="single" w:sz="4" w:space="0" w:color="auto"/>
              <w:left w:val="nil"/>
              <w:bottom w:val="single" w:sz="4" w:space="0" w:color="auto"/>
              <w:right w:val="nil"/>
            </w:tcBorders>
            <w:shd w:val="clear" w:color="auto" w:fill="auto"/>
            <w:noWrap/>
            <w:vAlign w:val="bottom"/>
          </w:tcPr>
          <w:p w14:paraId="382B3B70" w14:textId="76C70354" w:rsidR="001040F6" w:rsidRPr="00BF3D07" w:rsidRDefault="001040F6" w:rsidP="001040F6">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HR</w:t>
            </w:r>
          </w:p>
        </w:tc>
        <w:tc>
          <w:tcPr>
            <w:tcW w:w="1091" w:type="dxa"/>
            <w:tcBorders>
              <w:top w:val="single" w:sz="4" w:space="0" w:color="auto"/>
              <w:left w:val="nil"/>
              <w:bottom w:val="single" w:sz="4" w:space="0" w:color="auto"/>
              <w:right w:val="nil"/>
            </w:tcBorders>
            <w:shd w:val="clear" w:color="auto" w:fill="auto"/>
            <w:vAlign w:val="bottom"/>
          </w:tcPr>
          <w:p w14:paraId="0B7838F7" w14:textId="13934000" w:rsidR="001040F6" w:rsidRPr="00BF3D07" w:rsidRDefault="001040F6" w:rsidP="001040F6">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95% CI</w:t>
            </w:r>
          </w:p>
        </w:tc>
      </w:tr>
      <w:tr w:rsidR="00876672" w:rsidRPr="00BF3D07" w14:paraId="2C4E489C" w14:textId="494E0D93" w:rsidTr="00876672">
        <w:trPr>
          <w:trHeight w:val="300"/>
          <w:jc w:val="center"/>
        </w:trPr>
        <w:tc>
          <w:tcPr>
            <w:tcW w:w="1843" w:type="dxa"/>
            <w:tcBorders>
              <w:top w:val="nil"/>
              <w:left w:val="nil"/>
              <w:right w:val="nil"/>
            </w:tcBorders>
            <w:shd w:val="clear" w:color="auto" w:fill="auto"/>
            <w:noWrap/>
            <w:vAlign w:val="bottom"/>
            <w:hideMark/>
          </w:tcPr>
          <w:p w14:paraId="0EEA259C" w14:textId="771CF601" w:rsidR="00841895" w:rsidRPr="009902A5" w:rsidRDefault="00841895" w:rsidP="00841895">
            <w:pPr>
              <w:spacing w:after="0" w:line="240" w:lineRule="auto"/>
              <w:rPr>
                <w:rFonts w:ascii="Calibri" w:eastAsia="Times New Roman" w:hAnsi="Calibri" w:cs="Times New Roman"/>
                <w:color w:val="000000"/>
                <w:sz w:val="22"/>
                <w:lang w:eastAsia="en-US"/>
              </w:rPr>
            </w:pPr>
            <w:r w:rsidRPr="009902A5">
              <w:rPr>
                <w:rFonts w:ascii="Calibri" w:eastAsia="Times New Roman" w:hAnsi="Calibri" w:cs="Times New Roman"/>
                <w:color w:val="000000"/>
                <w:sz w:val="22"/>
                <w:lang w:eastAsia="en-US"/>
              </w:rPr>
              <w:t xml:space="preserve">Polypharmacy </w:t>
            </w:r>
          </w:p>
        </w:tc>
        <w:tc>
          <w:tcPr>
            <w:tcW w:w="1174" w:type="dxa"/>
            <w:tcBorders>
              <w:top w:val="nil"/>
              <w:left w:val="nil"/>
              <w:right w:val="nil"/>
            </w:tcBorders>
            <w:shd w:val="clear" w:color="auto" w:fill="auto"/>
            <w:noWrap/>
            <w:vAlign w:val="center"/>
            <w:hideMark/>
          </w:tcPr>
          <w:p w14:paraId="47B18C44" w14:textId="3267C2CA" w:rsidR="00841895" w:rsidRPr="00BF3D07" w:rsidRDefault="00841895" w:rsidP="00876672">
            <w:pPr>
              <w:tabs>
                <w:tab w:val="decimal" w:pos="460"/>
              </w:tabs>
              <w:spacing w:after="0" w:line="240" w:lineRule="auto"/>
              <w:rPr>
                <w:rFonts w:ascii="Calibri" w:eastAsia="Times New Roman" w:hAnsi="Calibri" w:cs="Times New Roman"/>
                <w:color w:val="000000"/>
                <w:sz w:val="22"/>
                <w:lang w:eastAsia="en-US"/>
              </w:rPr>
            </w:pPr>
            <w:r w:rsidRPr="00BF3D07">
              <w:rPr>
                <w:rFonts w:ascii="Calibri" w:eastAsia="Times New Roman" w:hAnsi="Calibri" w:cs="Times New Roman"/>
                <w:color w:val="000000"/>
                <w:sz w:val="22"/>
                <w:lang w:eastAsia="en-US"/>
              </w:rPr>
              <w:t>1.14</w:t>
            </w:r>
          </w:p>
        </w:tc>
        <w:tc>
          <w:tcPr>
            <w:tcW w:w="1378" w:type="dxa"/>
            <w:gridSpan w:val="2"/>
            <w:tcBorders>
              <w:top w:val="nil"/>
              <w:left w:val="nil"/>
              <w:right w:val="nil"/>
            </w:tcBorders>
            <w:vAlign w:val="center"/>
          </w:tcPr>
          <w:p w14:paraId="17E9E1A3" w14:textId="2B0E2611" w:rsidR="00841895" w:rsidRDefault="00841895" w:rsidP="00841895">
            <w:pPr>
              <w:spacing w:after="0" w:line="240" w:lineRule="auto"/>
              <w:jc w:val="center"/>
              <w:rPr>
                <w:rFonts w:ascii="Calibri" w:eastAsia="Times New Roman" w:hAnsi="Calibri" w:cs="Times New Roman"/>
                <w:color w:val="000000"/>
                <w:sz w:val="22"/>
                <w:lang w:eastAsia="en-US"/>
              </w:rPr>
            </w:pPr>
            <w:r w:rsidRPr="00BF3D07">
              <w:rPr>
                <w:rFonts w:ascii="Calibri" w:eastAsia="Times New Roman" w:hAnsi="Calibri" w:cs="Times New Roman"/>
                <w:color w:val="000000"/>
                <w:sz w:val="22"/>
                <w:lang w:eastAsia="en-US"/>
              </w:rPr>
              <w:t>(.98</w:t>
            </w:r>
            <w:r>
              <w:rPr>
                <w:rFonts w:ascii="Arial" w:hAnsi="Arial" w:cs="Arial"/>
                <w:color w:val="222222"/>
                <w:shd w:val="clear" w:color="auto" w:fill="FFFFFF"/>
              </w:rPr>
              <w:t>–</w:t>
            </w:r>
            <w:r>
              <w:rPr>
                <w:rFonts w:ascii="Calibri" w:eastAsia="Times New Roman" w:hAnsi="Calibri" w:cs="Times New Roman"/>
                <w:color w:val="000000"/>
                <w:sz w:val="22"/>
                <w:lang w:eastAsia="en-US"/>
              </w:rPr>
              <w:t>1.32</w:t>
            </w:r>
            <w:r w:rsidRPr="00BF3D07">
              <w:rPr>
                <w:rFonts w:ascii="Calibri" w:eastAsia="Times New Roman" w:hAnsi="Calibri" w:cs="Times New Roman"/>
                <w:color w:val="000000"/>
                <w:sz w:val="22"/>
                <w:lang w:eastAsia="en-US"/>
              </w:rPr>
              <w:t>)</w:t>
            </w:r>
          </w:p>
        </w:tc>
        <w:tc>
          <w:tcPr>
            <w:tcW w:w="992" w:type="dxa"/>
            <w:tcBorders>
              <w:top w:val="nil"/>
              <w:left w:val="nil"/>
              <w:right w:val="nil"/>
            </w:tcBorders>
            <w:shd w:val="clear" w:color="auto" w:fill="auto"/>
            <w:noWrap/>
            <w:vAlign w:val="center"/>
            <w:hideMark/>
          </w:tcPr>
          <w:p w14:paraId="015EE832" w14:textId="04B46741" w:rsidR="00841895" w:rsidRPr="00BF3D07" w:rsidRDefault="00841895" w:rsidP="00841895">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1.02</w:t>
            </w:r>
          </w:p>
        </w:tc>
        <w:tc>
          <w:tcPr>
            <w:tcW w:w="1275" w:type="dxa"/>
            <w:gridSpan w:val="3"/>
            <w:tcBorders>
              <w:top w:val="nil"/>
              <w:left w:val="nil"/>
              <w:right w:val="nil"/>
            </w:tcBorders>
            <w:vAlign w:val="center"/>
          </w:tcPr>
          <w:p w14:paraId="04147F6D" w14:textId="5B91AC03" w:rsidR="00841895" w:rsidRDefault="00841895" w:rsidP="00841895">
            <w:pPr>
              <w:spacing w:after="0" w:line="240" w:lineRule="auto"/>
              <w:jc w:val="center"/>
              <w:rPr>
                <w:rFonts w:ascii="Calibri" w:eastAsia="Times New Roman" w:hAnsi="Calibri" w:cs="Times New Roman"/>
                <w:color w:val="000000"/>
                <w:sz w:val="22"/>
                <w:lang w:eastAsia="en-US"/>
              </w:rPr>
            </w:pPr>
            <w:r w:rsidRPr="00BF3D07">
              <w:rPr>
                <w:rFonts w:ascii="Calibri" w:eastAsia="Times New Roman" w:hAnsi="Calibri" w:cs="Times New Roman"/>
                <w:color w:val="000000"/>
                <w:sz w:val="22"/>
                <w:lang w:eastAsia="en-US"/>
              </w:rPr>
              <w:t>(</w:t>
            </w:r>
            <w:r>
              <w:rPr>
                <w:rFonts w:ascii="Calibri" w:eastAsia="Times New Roman" w:hAnsi="Calibri" w:cs="Times New Roman"/>
                <w:color w:val="000000"/>
                <w:sz w:val="22"/>
                <w:lang w:eastAsia="en-US"/>
              </w:rPr>
              <w:t>.76</w:t>
            </w:r>
            <w:r>
              <w:rPr>
                <w:rFonts w:ascii="Arial" w:hAnsi="Arial" w:cs="Arial"/>
                <w:color w:val="222222"/>
                <w:shd w:val="clear" w:color="auto" w:fill="FFFFFF"/>
              </w:rPr>
              <w:t>–</w:t>
            </w:r>
            <w:r>
              <w:rPr>
                <w:rFonts w:ascii="Calibri" w:eastAsia="Times New Roman" w:hAnsi="Calibri" w:cs="Times New Roman"/>
                <w:color w:val="000000"/>
                <w:sz w:val="22"/>
                <w:lang w:eastAsia="en-US"/>
              </w:rPr>
              <w:t>1.37)</w:t>
            </w:r>
          </w:p>
        </w:tc>
        <w:tc>
          <w:tcPr>
            <w:tcW w:w="1284" w:type="dxa"/>
            <w:tcBorders>
              <w:top w:val="nil"/>
              <w:left w:val="nil"/>
              <w:right w:val="nil"/>
            </w:tcBorders>
            <w:shd w:val="clear" w:color="auto" w:fill="auto"/>
            <w:noWrap/>
            <w:vAlign w:val="center"/>
            <w:hideMark/>
          </w:tcPr>
          <w:p w14:paraId="30FE7153" w14:textId="0095EF2C" w:rsidR="00841895" w:rsidRPr="00BF3D07" w:rsidRDefault="00841895" w:rsidP="00876672">
            <w:pPr>
              <w:tabs>
                <w:tab w:val="decimal" w:pos="460"/>
              </w:tabs>
              <w:spacing w:after="0" w:line="240" w:lineRule="auto"/>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.95</w:t>
            </w:r>
          </w:p>
        </w:tc>
        <w:tc>
          <w:tcPr>
            <w:tcW w:w="1268" w:type="dxa"/>
            <w:gridSpan w:val="3"/>
            <w:tcBorders>
              <w:top w:val="nil"/>
              <w:left w:val="nil"/>
              <w:right w:val="nil"/>
            </w:tcBorders>
            <w:vAlign w:val="center"/>
          </w:tcPr>
          <w:p w14:paraId="526BAD1F" w14:textId="128C02DA" w:rsidR="00841895" w:rsidRDefault="00841895" w:rsidP="00841895">
            <w:pPr>
              <w:spacing w:after="0" w:line="240" w:lineRule="auto"/>
              <w:jc w:val="center"/>
              <w:rPr>
                <w:rFonts w:ascii="Calibri" w:eastAsia="Times New Roman" w:hAnsi="Calibri" w:cs="Times New Roman"/>
                <w:color w:val="000000"/>
                <w:sz w:val="22"/>
                <w:lang w:eastAsia="en-US"/>
              </w:rPr>
            </w:pPr>
            <w:r w:rsidRPr="00BF3D07">
              <w:rPr>
                <w:rFonts w:ascii="Calibri" w:eastAsia="Times New Roman" w:hAnsi="Calibri" w:cs="Times New Roman"/>
                <w:color w:val="000000"/>
                <w:sz w:val="22"/>
                <w:lang w:eastAsia="en-US"/>
              </w:rPr>
              <w:t>(</w:t>
            </w:r>
            <w:r>
              <w:rPr>
                <w:rFonts w:ascii="Calibri" w:eastAsia="Times New Roman" w:hAnsi="Calibri" w:cs="Times New Roman"/>
                <w:color w:val="000000"/>
                <w:sz w:val="22"/>
                <w:lang w:eastAsia="en-US"/>
              </w:rPr>
              <w:t>.80</w:t>
            </w:r>
            <w:r>
              <w:rPr>
                <w:rFonts w:ascii="Arial" w:hAnsi="Arial" w:cs="Arial"/>
                <w:color w:val="222222"/>
                <w:shd w:val="clear" w:color="auto" w:fill="FFFFFF"/>
              </w:rPr>
              <w:t>–</w:t>
            </w:r>
            <w:r>
              <w:rPr>
                <w:rFonts w:ascii="Calibri" w:eastAsia="Times New Roman" w:hAnsi="Calibri" w:cs="Times New Roman"/>
                <w:color w:val="000000"/>
                <w:sz w:val="22"/>
                <w:lang w:eastAsia="en-US"/>
              </w:rPr>
              <w:t>1.14</w:t>
            </w:r>
            <w:r w:rsidRPr="00BF3D07">
              <w:rPr>
                <w:rFonts w:ascii="Calibri" w:eastAsia="Times New Roman" w:hAnsi="Calibri" w:cs="Times New Roman"/>
                <w:color w:val="000000"/>
                <w:sz w:val="22"/>
                <w:lang w:eastAsia="en-US"/>
              </w:rPr>
              <w:t>)</w:t>
            </w:r>
          </w:p>
        </w:tc>
      </w:tr>
      <w:tr w:rsidR="00876672" w:rsidRPr="00BF3D07" w14:paraId="60C4937A" w14:textId="4B00A1E8" w:rsidTr="00876672">
        <w:trPr>
          <w:trHeight w:val="300"/>
          <w:jc w:val="center"/>
        </w:trPr>
        <w:tc>
          <w:tcPr>
            <w:tcW w:w="1843" w:type="dxa"/>
            <w:tcBorders>
              <w:top w:val="nil"/>
              <w:left w:val="nil"/>
              <w:bottom w:val="single" w:sz="4" w:space="0" w:color="auto"/>
              <w:right w:val="nil"/>
            </w:tcBorders>
            <w:shd w:val="clear" w:color="auto" w:fill="auto"/>
            <w:noWrap/>
            <w:vAlign w:val="bottom"/>
            <w:hideMark/>
          </w:tcPr>
          <w:p w14:paraId="1B850FA3" w14:textId="33C06769" w:rsidR="00841895" w:rsidRPr="00BF3D07" w:rsidRDefault="00841895" w:rsidP="00841895">
            <w:pPr>
              <w:spacing w:after="0" w:line="240" w:lineRule="auto"/>
              <w:rPr>
                <w:rFonts w:ascii="Calibri" w:eastAsia="Times New Roman" w:hAnsi="Calibri" w:cs="Times New Roman"/>
                <w:color w:val="000000"/>
                <w:sz w:val="22"/>
                <w:lang w:eastAsia="en-US"/>
              </w:rPr>
            </w:pPr>
            <w:r w:rsidRPr="00BF3D07">
              <w:rPr>
                <w:rFonts w:ascii="Calibri" w:eastAsia="Times New Roman" w:hAnsi="Calibri" w:cs="Times New Roman"/>
                <w:color w:val="000000"/>
                <w:sz w:val="22"/>
                <w:lang w:eastAsia="en-US"/>
              </w:rPr>
              <w:t>No antipsychotic substance</w:t>
            </w:r>
          </w:p>
        </w:tc>
        <w:tc>
          <w:tcPr>
            <w:tcW w:w="1174" w:type="dxa"/>
            <w:tcBorders>
              <w:top w:val="nil"/>
              <w:left w:val="nil"/>
              <w:bottom w:val="single" w:sz="4" w:space="0" w:color="auto"/>
              <w:right w:val="nil"/>
            </w:tcBorders>
            <w:shd w:val="clear" w:color="auto" w:fill="auto"/>
            <w:noWrap/>
            <w:vAlign w:val="center"/>
            <w:hideMark/>
          </w:tcPr>
          <w:p w14:paraId="5AB5A479" w14:textId="6E074133" w:rsidR="00841895" w:rsidRPr="00BF3D07" w:rsidRDefault="00841895" w:rsidP="00876672">
            <w:pPr>
              <w:tabs>
                <w:tab w:val="decimal" w:pos="460"/>
              </w:tabs>
              <w:spacing w:after="0" w:line="240" w:lineRule="auto"/>
              <w:rPr>
                <w:rFonts w:ascii="Calibri" w:eastAsia="Times New Roman" w:hAnsi="Calibri" w:cs="Times New Roman"/>
                <w:sz w:val="22"/>
                <w:lang w:eastAsia="en-US"/>
              </w:rPr>
            </w:pPr>
            <w:r>
              <w:rPr>
                <w:rFonts w:ascii="Calibri" w:eastAsia="Times New Roman" w:hAnsi="Calibri" w:cs="Times New Roman"/>
                <w:sz w:val="22"/>
                <w:lang w:eastAsia="en-US"/>
              </w:rPr>
              <w:t>1.08</w:t>
            </w:r>
            <w:r w:rsidRPr="00BF3D07">
              <w:rPr>
                <w:rFonts w:ascii="Calibri" w:eastAsia="Times New Roman" w:hAnsi="Calibri" w:cs="Times New Roman"/>
                <w:sz w:val="22"/>
                <w:lang w:eastAsia="en-US"/>
              </w:rPr>
              <w:t>**</w:t>
            </w:r>
          </w:p>
        </w:tc>
        <w:tc>
          <w:tcPr>
            <w:tcW w:w="1378" w:type="dxa"/>
            <w:gridSpan w:val="2"/>
            <w:tcBorders>
              <w:top w:val="nil"/>
              <w:left w:val="nil"/>
              <w:bottom w:val="single" w:sz="4" w:space="0" w:color="auto"/>
              <w:right w:val="nil"/>
            </w:tcBorders>
            <w:vAlign w:val="center"/>
          </w:tcPr>
          <w:p w14:paraId="5EAC96C8" w14:textId="32BDC614" w:rsidR="00841895" w:rsidRDefault="00841895" w:rsidP="00841895">
            <w:pPr>
              <w:spacing w:after="0" w:line="240" w:lineRule="auto"/>
              <w:jc w:val="center"/>
              <w:rPr>
                <w:rFonts w:ascii="Calibri" w:eastAsia="Times New Roman" w:hAnsi="Calibri" w:cs="Times New Roman"/>
                <w:sz w:val="22"/>
                <w:lang w:eastAsia="en-US"/>
              </w:rPr>
            </w:pPr>
            <w:r w:rsidRPr="00BF3D07">
              <w:rPr>
                <w:rFonts w:ascii="Calibri" w:eastAsia="Times New Roman" w:hAnsi="Calibri" w:cs="Times New Roman"/>
                <w:color w:val="000000"/>
                <w:sz w:val="22"/>
                <w:lang w:eastAsia="en-US"/>
              </w:rPr>
              <w:t>(</w:t>
            </w:r>
            <w:r>
              <w:rPr>
                <w:rFonts w:ascii="Calibri" w:eastAsia="Times New Roman" w:hAnsi="Calibri" w:cs="Times New Roman"/>
                <w:color w:val="000000"/>
                <w:sz w:val="22"/>
                <w:lang w:eastAsia="en-US"/>
              </w:rPr>
              <w:t>1.03</w:t>
            </w:r>
            <w:r>
              <w:rPr>
                <w:rFonts w:ascii="Arial" w:hAnsi="Arial" w:cs="Arial"/>
                <w:color w:val="222222"/>
                <w:shd w:val="clear" w:color="auto" w:fill="FFFFFF"/>
              </w:rPr>
              <w:t>–</w:t>
            </w:r>
            <w:r>
              <w:rPr>
                <w:rFonts w:ascii="Calibri" w:eastAsia="Times New Roman" w:hAnsi="Calibri" w:cs="Times New Roman"/>
                <w:color w:val="000000"/>
                <w:sz w:val="22"/>
                <w:lang w:eastAsia="en-US"/>
              </w:rPr>
              <w:t>1.14</w:t>
            </w:r>
            <w:r w:rsidRPr="00BF3D07">
              <w:rPr>
                <w:rFonts w:ascii="Calibri" w:eastAsia="Times New Roman" w:hAnsi="Calibri" w:cs="Times New Roman"/>
                <w:color w:val="000000"/>
                <w:sz w:val="22"/>
                <w:lang w:eastAsia="en-US"/>
              </w:rPr>
              <w:t>)</w:t>
            </w:r>
          </w:p>
        </w:tc>
        <w:tc>
          <w:tcPr>
            <w:tcW w:w="992" w:type="dxa"/>
            <w:tcBorders>
              <w:top w:val="nil"/>
              <w:left w:val="nil"/>
              <w:bottom w:val="single" w:sz="4" w:space="0" w:color="auto"/>
              <w:right w:val="nil"/>
            </w:tcBorders>
            <w:shd w:val="clear" w:color="auto" w:fill="auto"/>
            <w:noWrap/>
            <w:vAlign w:val="center"/>
            <w:hideMark/>
          </w:tcPr>
          <w:p w14:paraId="0573A202" w14:textId="70B4AF0E" w:rsidR="00841895" w:rsidRPr="00BF3D07" w:rsidRDefault="00841895" w:rsidP="00841895">
            <w:pPr>
              <w:spacing w:after="0" w:line="240" w:lineRule="auto"/>
              <w:jc w:val="center"/>
              <w:rPr>
                <w:rFonts w:ascii="Calibri" w:eastAsia="Times New Roman" w:hAnsi="Calibri" w:cs="Times New Roman"/>
                <w:sz w:val="22"/>
                <w:lang w:eastAsia="en-US"/>
              </w:rPr>
            </w:pPr>
            <w:r>
              <w:rPr>
                <w:rFonts w:ascii="Calibri" w:eastAsia="Times New Roman" w:hAnsi="Calibri" w:cs="Times New Roman"/>
                <w:sz w:val="22"/>
                <w:lang w:eastAsia="en-US"/>
              </w:rPr>
              <w:t>1.02</w:t>
            </w:r>
          </w:p>
        </w:tc>
        <w:tc>
          <w:tcPr>
            <w:tcW w:w="1275" w:type="dxa"/>
            <w:gridSpan w:val="3"/>
            <w:tcBorders>
              <w:top w:val="nil"/>
              <w:left w:val="nil"/>
              <w:bottom w:val="single" w:sz="4" w:space="0" w:color="auto"/>
              <w:right w:val="nil"/>
            </w:tcBorders>
            <w:vAlign w:val="center"/>
          </w:tcPr>
          <w:p w14:paraId="7C6189E3" w14:textId="7F2347FF" w:rsidR="00841895" w:rsidRDefault="00841895" w:rsidP="00841895">
            <w:pPr>
              <w:spacing w:after="0" w:line="240" w:lineRule="auto"/>
              <w:jc w:val="center"/>
              <w:rPr>
                <w:rFonts w:ascii="Calibri" w:eastAsia="Times New Roman" w:hAnsi="Calibri" w:cs="Times New Roman"/>
                <w:sz w:val="22"/>
                <w:lang w:eastAsia="en-US"/>
              </w:rPr>
            </w:pPr>
            <w:r w:rsidRPr="00BF3D07">
              <w:rPr>
                <w:rFonts w:ascii="Calibri" w:eastAsia="Times New Roman" w:hAnsi="Calibri" w:cs="Times New Roman"/>
                <w:color w:val="000000"/>
                <w:sz w:val="22"/>
                <w:lang w:eastAsia="en-US"/>
              </w:rPr>
              <w:t>(</w:t>
            </w:r>
            <w:r>
              <w:rPr>
                <w:rFonts w:ascii="Calibri" w:eastAsia="Times New Roman" w:hAnsi="Calibri" w:cs="Times New Roman"/>
                <w:color w:val="000000"/>
                <w:sz w:val="22"/>
                <w:lang w:eastAsia="en-US"/>
              </w:rPr>
              <w:t>.94</w:t>
            </w:r>
            <w:r>
              <w:rPr>
                <w:rFonts w:ascii="Arial" w:hAnsi="Arial" w:cs="Arial"/>
                <w:color w:val="222222"/>
                <w:shd w:val="clear" w:color="auto" w:fill="FFFFFF"/>
              </w:rPr>
              <w:t>–</w:t>
            </w:r>
            <w:r>
              <w:rPr>
                <w:rFonts w:ascii="Calibri" w:eastAsia="Times New Roman" w:hAnsi="Calibri" w:cs="Times New Roman"/>
                <w:color w:val="000000"/>
                <w:sz w:val="22"/>
                <w:lang w:eastAsia="en-US"/>
              </w:rPr>
              <w:t>1.10</w:t>
            </w:r>
            <w:r w:rsidRPr="00BF3D07">
              <w:rPr>
                <w:rFonts w:ascii="Calibri" w:eastAsia="Times New Roman" w:hAnsi="Calibri" w:cs="Times New Roman"/>
                <w:color w:val="000000"/>
                <w:sz w:val="22"/>
                <w:lang w:eastAsia="en-US"/>
              </w:rPr>
              <w:t>)</w:t>
            </w:r>
          </w:p>
        </w:tc>
        <w:tc>
          <w:tcPr>
            <w:tcW w:w="1284" w:type="dxa"/>
            <w:tcBorders>
              <w:top w:val="nil"/>
              <w:left w:val="nil"/>
              <w:bottom w:val="single" w:sz="4" w:space="0" w:color="auto"/>
              <w:right w:val="nil"/>
            </w:tcBorders>
            <w:shd w:val="clear" w:color="auto" w:fill="auto"/>
            <w:noWrap/>
            <w:vAlign w:val="center"/>
            <w:hideMark/>
          </w:tcPr>
          <w:p w14:paraId="401AD75B" w14:textId="0BDEC613" w:rsidR="00841895" w:rsidRPr="00876672" w:rsidRDefault="00841895" w:rsidP="00876672">
            <w:pPr>
              <w:tabs>
                <w:tab w:val="decimal" w:pos="460"/>
              </w:tabs>
              <w:spacing w:after="0" w:line="240" w:lineRule="auto"/>
              <w:rPr>
                <w:rFonts w:ascii="Calibri" w:eastAsia="Times New Roman" w:hAnsi="Calibri" w:cs="Times New Roman"/>
                <w:color w:val="000000"/>
                <w:sz w:val="22"/>
                <w:lang w:eastAsia="en-US"/>
              </w:rPr>
            </w:pPr>
            <w:r w:rsidRPr="00876672">
              <w:rPr>
                <w:rFonts w:ascii="Calibri" w:eastAsia="Times New Roman" w:hAnsi="Calibri" w:cs="Times New Roman"/>
                <w:color w:val="000000"/>
                <w:sz w:val="22"/>
                <w:lang w:eastAsia="en-US"/>
              </w:rPr>
              <w:t>1.19***</w:t>
            </w:r>
          </w:p>
        </w:tc>
        <w:tc>
          <w:tcPr>
            <w:tcW w:w="1268" w:type="dxa"/>
            <w:gridSpan w:val="3"/>
            <w:tcBorders>
              <w:top w:val="nil"/>
              <w:left w:val="nil"/>
              <w:bottom w:val="single" w:sz="4" w:space="0" w:color="auto"/>
              <w:right w:val="nil"/>
            </w:tcBorders>
            <w:vAlign w:val="center"/>
          </w:tcPr>
          <w:p w14:paraId="72502E4D" w14:textId="204B9179" w:rsidR="00841895" w:rsidRDefault="00841895" w:rsidP="00841895">
            <w:pPr>
              <w:spacing w:after="0" w:line="240" w:lineRule="auto"/>
              <w:jc w:val="center"/>
              <w:rPr>
                <w:rFonts w:ascii="Calibri" w:eastAsia="Times New Roman" w:hAnsi="Calibri" w:cs="Times New Roman"/>
                <w:sz w:val="22"/>
                <w:lang w:eastAsia="en-US"/>
              </w:rPr>
            </w:pPr>
            <w:r w:rsidRPr="00BF3D07">
              <w:rPr>
                <w:rFonts w:ascii="Calibri" w:eastAsia="Times New Roman" w:hAnsi="Calibri" w:cs="Times New Roman"/>
                <w:color w:val="000000"/>
                <w:sz w:val="22"/>
                <w:lang w:eastAsia="en-US"/>
              </w:rPr>
              <w:t>(</w:t>
            </w:r>
            <w:r>
              <w:rPr>
                <w:rFonts w:ascii="Calibri" w:eastAsia="Times New Roman" w:hAnsi="Calibri" w:cs="Times New Roman"/>
                <w:color w:val="000000"/>
                <w:sz w:val="22"/>
                <w:lang w:eastAsia="en-US"/>
              </w:rPr>
              <w:t>1.14</w:t>
            </w:r>
            <w:r>
              <w:rPr>
                <w:rFonts w:ascii="Arial" w:hAnsi="Arial" w:cs="Arial"/>
                <w:color w:val="222222"/>
                <w:shd w:val="clear" w:color="auto" w:fill="FFFFFF"/>
              </w:rPr>
              <w:t>–</w:t>
            </w:r>
            <w:r>
              <w:rPr>
                <w:rFonts w:ascii="Calibri" w:eastAsia="Times New Roman" w:hAnsi="Calibri" w:cs="Times New Roman"/>
                <w:color w:val="000000"/>
                <w:sz w:val="22"/>
                <w:lang w:eastAsia="en-US"/>
              </w:rPr>
              <w:t>1.24</w:t>
            </w:r>
            <w:r w:rsidRPr="00BF3D07">
              <w:rPr>
                <w:rFonts w:ascii="Calibri" w:eastAsia="Times New Roman" w:hAnsi="Calibri" w:cs="Times New Roman"/>
                <w:color w:val="000000"/>
                <w:sz w:val="22"/>
                <w:lang w:eastAsia="en-US"/>
              </w:rPr>
              <w:t>)</w:t>
            </w:r>
          </w:p>
        </w:tc>
      </w:tr>
    </w:tbl>
    <w:p w14:paraId="38B51433" w14:textId="70681F73" w:rsidR="00317434" w:rsidRDefault="002B58B9" w:rsidP="001040F6">
      <w:pPr>
        <w:spacing w:after="0" w:line="240" w:lineRule="auto"/>
        <w:ind w:hanging="426"/>
        <w:rPr>
          <w:rFonts w:ascii="Arial" w:eastAsia="Times New Roman" w:hAnsi="Arial" w:cs="Arial"/>
          <w:color w:val="000000"/>
          <w:sz w:val="20"/>
          <w:szCs w:val="20"/>
        </w:rPr>
      </w:pPr>
      <w:r w:rsidRPr="00BF3D07">
        <w:rPr>
          <w:rFonts w:ascii="Arial" w:eastAsia="Times New Roman" w:hAnsi="Arial" w:cs="Arial"/>
          <w:color w:val="000000"/>
          <w:sz w:val="20"/>
          <w:szCs w:val="20"/>
        </w:rPr>
        <w:t>**p&lt;0.01, ***p&lt;0.001</w:t>
      </w:r>
      <w:r w:rsidR="00317434">
        <w:rPr>
          <w:rFonts w:ascii="Arial" w:eastAsia="Times New Roman" w:hAnsi="Arial" w:cs="Arial"/>
          <w:color w:val="000000"/>
          <w:sz w:val="20"/>
          <w:szCs w:val="20"/>
        </w:rPr>
        <w:t xml:space="preserve">; </w:t>
      </w:r>
      <w:r w:rsidR="0014422D">
        <w:rPr>
          <w:rFonts w:ascii="Arial" w:eastAsia="Times New Roman" w:hAnsi="Arial" w:cs="Arial"/>
          <w:color w:val="000000"/>
          <w:sz w:val="20"/>
          <w:szCs w:val="20"/>
        </w:rPr>
        <w:t>95% CI in parentheses</w:t>
      </w:r>
    </w:p>
    <w:p w14:paraId="160FED32" w14:textId="64847592" w:rsidR="00FB5953" w:rsidRPr="008C404B" w:rsidRDefault="00FB5953">
      <w:pPr>
        <w:spacing w:after="200" w:line="276" w:lineRule="auto"/>
      </w:pPr>
    </w:p>
    <w:p w14:paraId="720A800C" w14:textId="23A8DB89" w:rsidR="00D6527B" w:rsidRDefault="00D6527B" w:rsidP="001040F6">
      <w:pPr>
        <w:pStyle w:val="Caption"/>
      </w:pPr>
      <w:bookmarkStart w:id="49" w:name="_Ref511302766"/>
      <w:bookmarkStart w:id="50" w:name="_Ref525119915"/>
      <w:r w:rsidRPr="00BF3D07">
        <w:t xml:space="preserve">Table </w:t>
      </w:r>
      <w:r w:rsidRPr="00BF3D07">
        <w:fldChar w:fldCharType="begin"/>
      </w:r>
      <w:r w:rsidRPr="00BF3D07">
        <w:instrText xml:space="preserve"> SEQ Table \* ARABIC </w:instrText>
      </w:r>
      <w:r w:rsidRPr="00BF3D07">
        <w:fldChar w:fldCharType="separate"/>
      </w:r>
      <w:r w:rsidR="00FF1B96">
        <w:rPr>
          <w:noProof/>
        </w:rPr>
        <w:t>4</w:t>
      </w:r>
      <w:r w:rsidRPr="00BF3D07">
        <w:fldChar w:fldCharType="end"/>
      </w:r>
      <w:bookmarkEnd w:id="49"/>
      <w:r w:rsidRPr="00BF3D07">
        <w:t xml:space="preserve">: Hazard Ratios for </w:t>
      </w:r>
      <w:r w:rsidR="005922A5">
        <w:rPr>
          <w:rFonts w:ascii="Arial" w:hAnsi="Arial" w:cs="Arial"/>
          <w:sz w:val="20"/>
          <w:szCs w:val="20"/>
        </w:rPr>
        <w:t>polypharmacy</w:t>
      </w:r>
      <w:r w:rsidRPr="00BF3D07">
        <w:t xml:space="preserve"> from the Sensitivity analyses</w:t>
      </w:r>
    </w:p>
    <w:tbl>
      <w:tblPr>
        <w:tblW w:w="9062" w:type="dxa"/>
        <w:jc w:val="center"/>
        <w:tblLook w:val="04A0" w:firstRow="1" w:lastRow="0" w:firstColumn="1" w:lastColumn="0" w:noHBand="0" w:noVBand="1"/>
      </w:tblPr>
      <w:tblGrid>
        <w:gridCol w:w="1843"/>
        <w:gridCol w:w="1134"/>
        <w:gridCol w:w="142"/>
        <w:gridCol w:w="1134"/>
        <w:gridCol w:w="142"/>
        <w:gridCol w:w="850"/>
        <w:gridCol w:w="280"/>
        <w:gridCol w:w="995"/>
        <w:gridCol w:w="136"/>
        <w:gridCol w:w="999"/>
        <w:gridCol w:w="204"/>
        <w:gridCol w:w="1071"/>
        <w:gridCol w:w="132"/>
      </w:tblGrid>
      <w:tr w:rsidR="001040F6" w:rsidRPr="00BF3D07" w14:paraId="1FC901DE" w14:textId="77777777" w:rsidTr="00EE44CF">
        <w:trPr>
          <w:trHeight w:val="300"/>
          <w:jc w:val="center"/>
        </w:trPr>
        <w:tc>
          <w:tcPr>
            <w:tcW w:w="1843" w:type="dxa"/>
            <w:tcBorders>
              <w:top w:val="single" w:sz="4" w:space="0" w:color="auto"/>
              <w:left w:val="nil"/>
              <w:bottom w:val="nil"/>
              <w:right w:val="nil"/>
            </w:tcBorders>
            <w:shd w:val="clear" w:color="auto" w:fill="auto"/>
            <w:noWrap/>
            <w:vAlign w:val="bottom"/>
            <w:hideMark/>
          </w:tcPr>
          <w:p w14:paraId="1AB0729D" w14:textId="77777777" w:rsidR="001040F6" w:rsidRPr="00BF3D07" w:rsidRDefault="001040F6" w:rsidP="00EE44CF">
            <w:pPr>
              <w:spacing w:after="0" w:line="240" w:lineRule="auto"/>
              <w:rPr>
                <w:rFonts w:ascii="Calibri" w:eastAsia="Times New Roman" w:hAnsi="Calibri" w:cs="Times New Roman"/>
                <w:color w:val="000000"/>
                <w:sz w:val="22"/>
                <w:lang w:eastAsia="en-US"/>
              </w:rPr>
            </w:pPr>
            <w:r w:rsidRPr="00BF3D07">
              <w:rPr>
                <w:rFonts w:ascii="Calibri" w:eastAsia="Times New Roman" w:hAnsi="Calibri" w:cs="Times New Roman"/>
                <w:color w:val="000000"/>
                <w:sz w:val="22"/>
                <w:lang w:eastAsia="en-US"/>
              </w:rPr>
              <w:t> </w:t>
            </w:r>
          </w:p>
        </w:tc>
        <w:tc>
          <w:tcPr>
            <w:tcW w:w="2552" w:type="dxa"/>
            <w:gridSpan w:val="4"/>
            <w:tcBorders>
              <w:top w:val="single" w:sz="4" w:space="0" w:color="auto"/>
              <w:left w:val="nil"/>
              <w:bottom w:val="single" w:sz="4" w:space="0" w:color="auto"/>
              <w:right w:val="nil"/>
            </w:tcBorders>
            <w:shd w:val="clear" w:color="auto" w:fill="auto"/>
            <w:noWrap/>
            <w:vAlign w:val="bottom"/>
            <w:hideMark/>
          </w:tcPr>
          <w:p w14:paraId="7E29B930" w14:textId="77777777" w:rsidR="001040F6" w:rsidRPr="00BF3D07" w:rsidRDefault="001040F6" w:rsidP="00EE44CF">
            <w:pPr>
              <w:spacing w:after="0" w:line="240" w:lineRule="auto"/>
              <w:jc w:val="center"/>
              <w:rPr>
                <w:rFonts w:ascii="Calibri" w:eastAsia="Times New Roman" w:hAnsi="Calibri" w:cs="Times New Roman"/>
                <w:color w:val="000000"/>
                <w:sz w:val="22"/>
                <w:lang w:eastAsia="en-US"/>
              </w:rPr>
            </w:pPr>
            <w:r w:rsidRPr="00BF3D07">
              <w:rPr>
                <w:rFonts w:ascii="Calibri" w:eastAsia="Times New Roman" w:hAnsi="Calibri" w:cs="Times New Roman"/>
                <w:color w:val="000000"/>
                <w:sz w:val="22"/>
                <w:lang w:eastAsia="en-US"/>
              </w:rPr>
              <w:t>Unplanned admissions</w:t>
            </w:r>
          </w:p>
        </w:tc>
        <w:tc>
          <w:tcPr>
            <w:tcW w:w="2261" w:type="dxa"/>
            <w:gridSpan w:val="4"/>
            <w:tcBorders>
              <w:top w:val="single" w:sz="4" w:space="0" w:color="auto"/>
              <w:left w:val="nil"/>
              <w:bottom w:val="single" w:sz="4" w:space="0" w:color="auto"/>
              <w:right w:val="nil"/>
            </w:tcBorders>
            <w:shd w:val="clear" w:color="auto" w:fill="auto"/>
            <w:noWrap/>
            <w:vAlign w:val="bottom"/>
            <w:hideMark/>
          </w:tcPr>
          <w:p w14:paraId="21B26392" w14:textId="77777777" w:rsidR="001040F6" w:rsidRPr="00BF3D07" w:rsidRDefault="001040F6" w:rsidP="00EE44CF">
            <w:pPr>
              <w:spacing w:after="0" w:line="240" w:lineRule="auto"/>
              <w:jc w:val="center"/>
              <w:rPr>
                <w:rFonts w:ascii="Calibri" w:eastAsia="Times New Roman" w:hAnsi="Calibri" w:cs="Times New Roman"/>
                <w:color w:val="000000"/>
                <w:sz w:val="22"/>
                <w:lang w:eastAsia="en-US"/>
              </w:rPr>
            </w:pPr>
            <w:r w:rsidRPr="00BF3D07">
              <w:rPr>
                <w:rFonts w:ascii="Calibri" w:eastAsia="Times New Roman" w:hAnsi="Calibri" w:cs="Times New Roman"/>
                <w:color w:val="000000"/>
                <w:sz w:val="22"/>
                <w:lang w:eastAsia="en-US"/>
              </w:rPr>
              <w:t>Death</w:t>
            </w:r>
          </w:p>
        </w:tc>
        <w:tc>
          <w:tcPr>
            <w:tcW w:w="2406" w:type="dxa"/>
            <w:gridSpan w:val="4"/>
            <w:tcBorders>
              <w:top w:val="single" w:sz="4" w:space="0" w:color="auto"/>
              <w:left w:val="nil"/>
              <w:bottom w:val="single" w:sz="4" w:space="0" w:color="auto"/>
              <w:right w:val="nil"/>
            </w:tcBorders>
            <w:shd w:val="clear" w:color="auto" w:fill="auto"/>
            <w:noWrap/>
            <w:vAlign w:val="bottom"/>
            <w:hideMark/>
          </w:tcPr>
          <w:p w14:paraId="53A298B4" w14:textId="77777777" w:rsidR="001040F6" w:rsidRPr="00BF3D07" w:rsidRDefault="001040F6"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 xml:space="preserve">ED </w:t>
            </w:r>
            <w:r w:rsidRPr="00BF3D07">
              <w:rPr>
                <w:rFonts w:ascii="Calibri" w:eastAsia="Times New Roman" w:hAnsi="Calibri" w:cs="Times New Roman"/>
                <w:color w:val="000000"/>
                <w:sz w:val="22"/>
                <w:lang w:eastAsia="en-US"/>
              </w:rPr>
              <w:t>presentations</w:t>
            </w:r>
          </w:p>
        </w:tc>
      </w:tr>
      <w:tr w:rsidR="001040F6" w:rsidRPr="00BF3D07" w14:paraId="3AB40835" w14:textId="77777777" w:rsidTr="00EE44CF">
        <w:trPr>
          <w:trHeight w:val="300"/>
          <w:jc w:val="center"/>
        </w:trPr>
        <w:tc>
          <w:tcPr>
            <w:tcW w:w="1843" w:type="dxa"/>
            <w:tcBorders>
              <w:top w:val="single" w:sz="4" w:space="0" w:color="auto"/>
              <w:left w:val="nil"/>
              <w:bottom w:val="nil"/>
              <w:right w:val="nil"/>
            </w:tcBorders>
            <w:shd w:val="clear" w:color="auto" w:fill="auto"/>
            <w:noWrap/>
            <w:vAlign w:val="bottom"/>
          </w:tcPr>
          <w:p w14:paraId="7D595845" w14:textId="77777777" w:rsidR="001040F6" w:rsidRPr="00BF3D07" w:rsidRDefault="001040F6" w:rsidP="00EE44CF">
            <w:pPr>
              <w:spacing w:after="0" w:line="240" w:lineRule="auto"/>
              <w:rPr>
                <w:rFonts w:ascii="Calibri" w:eastAsia="Times New Roman" w:hAnsi="Calibri" w:cs="Times New Roman"/>
                <w:color w:val="000000"/>
                <w:sz w:val="22"/>
                <w:lang w:eastAsia="en-US"/>
              </w:rPr>
            </w:pPr>
          </w:p>
        </w:tc>
        <w:tc>
          <w:tcPr>
            <w:tcW w:w="1276" w:type="dxa"/>
            <w:gridSpan w:val="2"/>
            <w:tcBorders>
              <w:top w:val="single" w:sz="4" w:space="0" w:color="auto"/>
              <w:left w:val="nil"/>
              <w:bottom w:val="single" w:sz="4" w:space="0" w:color="auto"/>
              <w:right w:val="nil"/>
            </w:tcBorders>
            <w:shd w:val="clear" w:color="auto" w:fill="auto"/>
            <w:noWrap/>
            <w:vAlign w:val="bottom"/>
          </w:tcPr>
          <w:p w14:paraId="679C38DD" w14:textId="77777777" w:rsidR="001040F6" w:rsidRPr="00BF3D07" w:rsidRDefault="001040F6"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HR</w:t>
            </w:r>
          </w:p>
        </w:tc>
        <w:tc>
          <w:tcPr>
            <w:tcW w:w="1276" w:type="dxa"/>
            <w:gridSpan w:val="2"/>
            <w:tcBorders>
              <w:top w:val="single" w:sz="4" w:space="0" w:color="auto"/>
              <w:left w:val="nil"/>
              <w:bottom w:val="single" w:sz="4" w:space="0" w:color="auto"/>
              <w:right w:val="nil"/>
            </w:tcBorders>
            <w:shd w:val="clear" w:color="auto" w:fill="auto"/>
            <w:vAlign w:val="bottom"/>
          </w:tcPr>
          <w:p w14:paraId="6F3E6267" w14:textId="77777777" w:rsidR="001040F6" w:rsidRPr="00BF3D07" w:rsidRDefault="001040F6"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95% CI</w:t>
            </w:r>
          </w:p>
        </w:tc>
        <w:tc>
          <w:tcPr>
            <w:tcW w:w="1130" w:type="dxa"/>
            <w:gridSpan w:val="2"/>
            <w:tcBorders>
              <w:top w:val="single" w:sz="4" w:space="0" w:color="auto"/>
              <w:left w:val="nil"/>
              <w:bottom w:val="single" w:sz="4" w:space="0" w:color="auto"/>
              <w:right w:val="nil"/>
            </w:tcBorders>
            <w:shd w:val="clear" w:color="auto" w:fill="auto"/>
            <w:noWrap/>
            <w:vAlign w:val="bottom"/>
          </w:tcPr>
          <w:p w14:paraId="47520DBE" w14:textId="77777777" w:rsidR="001040F6" w:rsidRPr="00BF3D07" w:rsidRDefault="001040F6"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HR</w:t>
            </w:r>
          </w:p>
        </w:tc>
        <w:tc>
          <w:tcPr>
            <w:tcW w:w="1131" w:type="dxa"/>
            <w:gridSpan w:val="2"/>
            <w:tcBorders>
              <w:top w:val="single" w:sz="4" w:space="0" w:color="auto"/>
              <w:left w:val="nil"/>
              <w:bottom w:val="single" w:sz="4" w:space="0" w:color="auto"/>
              <w:right w:val="nil"/>
            </w:tcBorders>
            <w:shd w:val="clear" w:color="auto" w:fill="auto"/>
            <w:vAlign w:val="bottom"/>
          </w:tcPr>
          <w:p w14:paraId="31E60379" w14:textId="77777777" w:rsidR="001040F6" w:rsidRPr="00BF3D07" w:rsidRDefault="001040F6"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95% CI</w:t>
            </w:r>
          </w:p>
        </w:tc>
        <w:tc>
          <w:tcPr>
            <w:tcW w:w="1203" w:type="dxa"/>
            <w:gridSpan w:val="2"/>
            <w:tcBorders>
              <w:top w:val="single" w:sz="4" w:space="0" w:color="auto"/>
              <w:left w:val="nil"/>
              <w:bottom w:val="single" w:sz="4" w:space="0" w:color="auto"/>
              <w:right w:val="nil"/>
            </w:tcBorders>
            <w:shd w:val="clear" w:color="auto" w:fill="auto"/>
            <w:noWrap/>
            <w:vAlign w:val="bottom"/>
          </w:tcPr>
          <w:p w14:paraId="601FFD71" w14:textId="77777777" w:rsidR="001040F6" w:rsidRPr="00BF3D07" w:rsidRDefault="001040F6"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HR</w:t>
            </w:r>
          </w:p>
        </w:tc>
        <w:tc>
          <w:tcPr>
            <w:tcW w:w="1203" w:type="dxa"/>
            <w:gridSpan w:val="2"/>
            <w:tcBorders>
              <w:top w:val="single" w:sz="4" w:space="0" w:color="auto"/>
              <w:left w:val="nil"/>
              <w:bottom w:val="single" w:sz="4" w:space="0" w:color="auto"/>
              <w:right w:val="nil"/>
            </w:tcBorders>
            <w:shd w:val="clear" w:color="auto" w:fill="auto"/>
            <w:vAlign w:val="bottom"/>
          </w:tcPr>
          <w:p w14:paraId="464AB2A4" w14:textId="77777777" w:rsidR="001040F6" w:rsidRPr="00BF3D07" w:rsidRDefault="001040F6"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Times New Roman"/>
                <w:color w:val="000000"/>
                <w:sz w:val="22"/>
                <w:lang w:eastAsia="en-US"/>
              </w:rPr>
              <w:t>95% CI</w:t>
            </w:r>
          </w:p>
        </w:tc>
      </w:tr>
      <w:tr w:rsidR="001040F6" w:rsidRPr="00BF3D07" w14:paraId="0D347CC9" w14:textId="77777777" w:rsidTr="00EE44CF">
        <w:trPr>
          <w:gridAfter w:val="1"/>
          <w:wAfter w:w="132" w:type="dxa"/>
          <w:trHeight w:val="300"/>
          <w:jc w:val="center"/>
        </w:trPr>
        <w:tc>
          <w:tcPr>
            <w:tcW w:w="1843" w:type="dxa"/>
            <w:tcBorders>
              <w:top w:val="nil"/>
              <w:left w:val="nil"/>
              <w:right w:val="nil"/>
            </w:tcBorders>
            <w:shd w:val="clear" w:color="auto" w:fill="auto"/>
            <w:noWrap/>
            <w:vAlign w:val="bottom"/>
            <w:hideMark/>
          </w:tcPr>
          <w:p w14:paraId="27ABAFCC" w14:textId="187249DA" w:rsidR="001040F6" w:rsidRPr="00841895" w:rsidRDefault="001040F6" w:rsidP="00EE44CF">
            <w:pPr>
              <w:spacing w:after="0" w:line="240" w:lineRule="auto"/>
              <w:rPr>
                <w:rFonts w:ascii="Arial" w:eastAsia="Times New Roman" w:hAnsi="Arial" w:cs="Arial"/>
                <w:color w:val="000000"/>
                <w:sz w:val="20"/>
                <w:szCs w:val="20"/>
              </w:rPr>
            </w:pPr>
            <w:r w:rsidRPr="00BF3D07">
              <w:rPr>
                <w:rFonts w:ascii="Calibri" w:eastAsia="Times New Roman" w:hAnsi="Calibri" w:cs="Calibri"/>
                <w:color w:val="000000"/>
                <w:sz w:val="22"/>
              </w:rPr>
              <w:t>14 days</w:t>
            </w:r>
            <w:r w:rsidRPr="00BF3D07">
              <w:rPr>
                <w:rFonts w:ascii="Arial" w:eastAsia="Times New Roman" w:hAnsi="Arial" w:cs="Arial"/>
                <w:color w:val="000000"/>
                <w:sz w:val="20"/>
                <w:szCs w:val="20"/>
              </w:rPr>
              <w:t xml:space="preserve"> </w:t>
            </w:r>
          </w:p>
        </w:tc>
        <w:tc>
          <w:tcPr>
            <w:tcW w:w="1134" w:type="dxa"/>
            <w:tcBorders>
              <w:top w:val="nil"/>
              <w:left w:val="nil"/>
              <w:right w:val="nil"/>
            </w:tcBorders>
            <w:shd w:val="clear" w:color="auto" w:fill="auto"/>
            <w:noWrap/>
            <w:vAlign w:val="center"/>
            <w:hideMark/>
          </w:tcPr>
          <w:p w14:paraId="0083F716" w14:textId="243C7CFC" w:rsidR="001040F6" w:rsidRPr="00BF3D07" w:rsidRDefault="00876672" w:rsidP="00876672">
            <w:pPr>
              <w:tabs>
                <w:tab w:val="decimal" w:pos="318"/>
              </w:tabs>
              <w:spacing w:after="0" w:line="240" w:lineRule="auto"/>
              <w:rPr>
                <w:rFonts w:ascii="Calibri" w:eastAsia="Times New Roman" w:hAnsi="Calibri" w:cs="Times New Roman"/>
                <w:color w:val="000000"/>
                <w:sz w:val="22"/>
                <w:lang w:eastAsia="en-US"/>
              </w:rPr>
            </w:pPr>
            <w:r>
              <w:rPr>
                <w:rFonts w:ascii="Calibri" w:eastAsia="Times New Roman" w:hAnsi="Calibri" w:cs="Calibri"/>
                <w:sz w:val="22"/>
              </w:rPr>
              <w:t>1.21</w:t>
            </w:r>
            <w:r w:rsidRPr="00BF3D07">
              <w:rPr>
                <w:rFonts w:ascii="Calibri" w:eastAsia="Times New Roman" w:hAnsi="Calibri" w:cs="Calibri"/>
                <w:sz w:val="22"/>
              </w:rPr>
              <w:t>**</w:t>
            </w:r>
          </w:p>
        </w:tc>
        <w:tc>
          <w:tcPr>
            <w:tcW w:w="1276" w:type="dxa"/>
            <w:gridSpan w:val="2"/>
            <w:tcBorders>
              <w:top w:val="nil"/>
              <w:left w:val="nil"/>
              <w:right w:val="nil"/>
            </w:tcBorders>
            <w:vAlign w:val="center"/>
          </w:tcPr>
          <w:p w14:paraId="61AAAF87" w14:textId="61CC121B" w:rsidR="001040F6" w:rsidRDefault="00876672"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Calibri"/>
                <w:color w:val="000000"/>
                <w:sz w:val="22"/>
              </w:rPr>
              <w:t>(1.08</w:t>
            </w:r>
            <w:r>
              <w:rPr>
                <w:rFonts w:ascii="Arial" w:hAnsi="Arial" w:cs="Arial"/>
                <w:color w:val="222222"/>
                <w:shd w:val="clear" w:color="auto" w:fill="FFFFFF"/>
              </w:rPr>
              <w:t>–</w:t>
            </w:r>
            <w:r>
              <w:rPr>
                <w:rFonts w:ascii="Calibri" w:eastAsia="Times New Roman" w:hAnsi="Calibri" w:cs="Calibri"/>
                <w:color w:val="000000"/>
                <w:sz w:val="22"/>
              </w:rPr>
              <w:t>1.37</w:t>
            </w:r>
            <w:r w:rsidRPr="00BF3D07">
              <w:rPr>
                <w:rFonts w:ascii="Calibri" w:eastAsia="Times New Roman" w:hAnsi="Calibri" w:cs="Calibri"/>
                <w:color w:val="000000"/>
                <w:sz w:val="22"/>
              </w:rPr>
              <w:t>)</w:t>
            </w:r>
          </w:p>
        </w:tc>
        <w:tc>
          <w:tcPr>
            <w:tcW w:w="992" w:type="dxa"/>
            <w:gridSpan w:val="2"/>
            <w:tcBorders>
              <w:top w:val="nil"/>
              <w:left w:val="nil"/>
              <w:right w:val="nil"/>
            </w:tcBorders>
            <w:shd w:val="clear" w:color="auto" w:fill="auto"/>
            <w:noWrap/>
            <w:vAlign w:val="center"/>
            <w:hideMark/>
          </w:tcPr>
          <w:p w14:paraId="6C1CB225" w14:textId="64BFB12D" w:rsidR="001040F6" w:rsidRPr="00BF3D07" w:rsidRDefault="00876672"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Calibri"/>
                <w:sz w:val="22"/>
              </w:rPr>
              <w:t>1.11</w:t>
            </w:r>
          </w:p>
        </w:tc>
        <w:tc>
          <w:tcPr>
            <w:tcW w:w="1275" w:type="dxa"/>
            <w:gridSpan w:val="2"/>
            <w:tcBorders>
              <w:top w:val="nil"/>
              <w:left w:val="nil"/>
              <w:right w:val="nil"/>
            </w:tcBorders>
            <w:vAlign w:val="center"/>
          </w:tcPr>
          <w:p w14:paraId="23EB3486" w14:textId="2CBACA69" w:rsidR="001040F6" w:rsidRDefault="00485E6B"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Calibri"/>
                <w:color w:val="000000"/>
                <w:sz w:val="22"/>
              </w:rPr>
              <w:t>(</w:t>
            </w:r>
            <w:r w:rsidR="00876672">
              <w:rPr>
                <w:rFonts w:ascii="Calibri" w:eastAsia="Times New Roman" w:hAnsi="Calibri" w:cs="Calibri"/>
                <w:color w:val="000000"/>
                <w:sz w:val="22"/>
              </w:rPr>
              <w:t>.87</w:t>
            </w:r>
            <w:r w:rsidR="00876672">
              <w:rPr>
                <w:rFonts w:ascii="Arial" w:hAnsi="Arial" w:cs="Arial"/>
                <w:color w:val="222222"/>
                <w:shd w:val="clear" w:color="auto" w:fill="FFFFFF"/>
              </w:rPr>
              <w:t>–</w:t>
            </w:r>
            <w:r w:rsidR="00876672">
              <w:rPr>
                <w:rFonts w:ascii="Calibri" w:eastAsia="Times New Roman" w:hAnsi="Calibri" w:cs="Calibri"/>
                <w:color w:val="000000"/>
                <w:sz w:val="22"/>
              </w:rPr>
              <w:t>1.40</w:t>
            </w:r>
            <w:r w:rsidR="00876672" w:rsidRPr="00BF3D07">
              <w:rPr>
                <w:rFonts w:ascii="Calibri" w:eastAsia="Times New Roman" w:hAnsi="Calibri" w:cs="Calibri"/>
                <w:color w:val="000000"/>
                <w:sz w:val="22"/>
              </w:rPr>
              <w:t>)</w:t>
            </w:r>
          </w:p>
        </w:tc>
        <w:tc>
          <w:tcPr>
            <w:tcW w:w="1135" w:type="dxa"/>
            <w:gridSpan w:val="2"/>
            <w:tcBorders>
              <w:top w:val="nil"/>
              <w:left w:val="nil"/>
              <w:right w:val="nil"/>
            </w:tcBorders>
            <w:shd w:val="clear" w:color="auto" w:fill="auto"/>
            <w:noWrap/>
            <w:vAlign w:val="center"/>
            <w:hideMark/>
          </w:tcPr>
          <w:p w14:paraId="114AAE8E" w14:textId="18F7FF3C" w:rsidR="001040F6" w:rsidRPr="00BF3D07" w:rsidRDefault="00876672"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Calibri"/>
                <w:color w:val="000000"/>
                <w:sz w:val="22"/>
              </w:rPr>
              <w:t>.94</w:t>
            </w:r>
          </w:p>
        </w:tc>
        <w:tc>
          <w:tcPr>
            <w:tcW w:w="1275" w:type="dxa"/>
            <w:gridSpan w:val="2"/>
            <w:tcBorders>
              <w:top w:val="nil"/>
              <w:left w:val="nil"/>
              <w:right w:val="nil"/>
            </w:tcBorders>
            <w:vAlign w:val="center"/>
          </w:tcPr>
          <w:p w14:paraId="79174810" w14:textId="578E4D61" w:rsidR="001040F6" w:rsidRDefault="00485E6B"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Calibri"/>
                <w:color w:val="000000"/>
                <w:sz w:val="22"/>
              </w:rPr>
              <w:t>(</w:t>
            </w:r>
            <w:r w:rsidR="00876672">
              <w:rPr>
                <w:rFonts w:ascii="Calibri" w:eastAsia="Times New Roman" w:hAnsi="Calibri" w:cs="Calibri"/>
                <w:color w:val="000000"/>
                <w:sz w:val="22"/>
              </w:rPr>
              <w:t>.80</w:t>
            </w:r>
            <w:r w:rsidR="00876672">
              <w:rPr>
                <w:rFonts w:ascii="Arial" w:hAnsi="Arial" w:cs="Arial"/>
                <w:color w:val="222222"/>
                <w:shd w:val="clear" w:color="auto" w:fill="FFFFFF"/>
              </w:rPr>
              <w:t>–</w:t>
            </w:r>
            <w:r w:rsidR="00876672">
              <w:rPr>
                <w:rFonts w:ascii="Calibri" w:eastAsia="Times New Roman" w:hAnsi="Calibri" w:cs="Calibri"/>
                <w:color w:val="000000"/>
                <w:sz w:val="22"/>
              </w:rPr>
              <w:t>1.11</w:t>
            </w:r>
            <w:r w:rsidR="00876672" w:rsidRPr="00BF3D07">
              <w:rPr>
                <w:rFonts w:ascii="Calibri" w:eastAsia="Times New Roman" w:hAnsi="Calibri" w:cs="Calibri"/>
                <w:color w:val="000000"/>
                <w:sz w:val="22"/>
              </w:rPr>
              <w:t>)</w:t>
            </w:r>
          </w:p>
        </w:tc>
      </w:tr>
      <w:tr w:rsidR="001040F6" w:rsidRPr="00BF3D07" w14:paraId="5D8983BB" w14:textId="77777777" w:rsidTr="001040F6">
        <w:trPr>
          <w:gridAfter w:val="1"/>
          <w:wAfter w:w="132" w:type="dxa"/>
          <w:trHeight w:val="300"/>
          <w:jc w:val="center"/>
        </w:trPr>
        <w:tc>
          <w:tcPr>
            <w:tcW w:w="1843" w:type="dxa"/>
            <w:tcBorders>
              <w:top w:val="nil"/>
              <w:left w:val="nil"/>
              <w:bottom w:val="nil"/>
              <w:right w:val="nil"/>
            </w:tcBorders>
            <w:shd w:val="clear" w:color="auto" w:fill="auto"/>
            <w:noWrap/>
            <w:vAlign w:val="bottom"/>
            <w:hideMark/>
          </w:tcPr>
          <w:p w14:paraId="31A3DEF2" w14:textId="1DD159C1" w:rsidR="001040F6" w:rsidRPr="00BF3D07" w:rsidRDefault="001040F6" w:rsidP="00EE44CF">
            <w:pPr>
              <w:spacing w:after="0" w:line="240" w:lineRule="auto"/>
              <w:rPr>
                <w:rFonts w:ascii="Calibri" w:eastAsia="Times New Roman" w:hAnsi="Calibri" w:cs="Times New Roman"/>
                <w:color w:val="000000"/>
                <w:sz w:val="22"/>
                <w:lang w:eastAsia="en-US"/>
              </w:rPr>
            </w:pPr>
            <w:r>
              <w:rPr>
                <w:rFonts w:ascii="Calibri" w:eastAsia="Times New Roman" w:hAnsi="Calibri" w:cs="Calibri"/>
                <w:color w:val="000000"/>
                <w:sz w:val="22"/>
              </w:rPr>
              <w:t>30</w:t>
            </w:r>
            <w:r w:rsidRPr="00BF3D07">
              <w:rPr>
                <w:rFonts w:ascii="Calibri" w:eastAsia="Times New Roman" w:hAnsi="Calibri" w:cs="Calibri"/>
                <w:color w:val="000000"/>
                <w:sz w:val="22"/>
              </w:rPr>
              <w:t xml:space="preserve"> days</w:t>
            </w:r>
          </w:p>
        </w:tc>
        <w:tc>
          <w:tcPr>
            <w:tcW w:w="1134" w:type="dxa"/>
            <w:tcBorders>
              <w:top w:val="nil"/>
              <w:left w:val="nil"/>
              <w:bottom w:val="nil"/>
              <w:right w:val="nil"/>
            </w:tcBorders>
            <w:shd w:val="clear" w:color="auto" w:fill="auto"/>
            <w:noWrap/>
            <w:vAlign w:val="center"/>
            <w:hideMark/>
          </w:tcPr>
          <w:p w14:paraId="76ACBF08" w14:textId="51FB9054" w:rsidR="001040F6" w:rsidRPr="00BF3D07" w:rsidRDefault="00876672" w:rsidP="00876672">
            <w:pPr>
              <w:tabs>
                <w:tab w:val="decimal" w:pos="318"/>
              </w:tabs>
              <w:spacing w:after="0" w:line="240" w:lineRule="auto"/>
              <w:rPr>
                <w:rFonts w:ascii="Calibri" w:eastAsia="Times New Roman" w:hAnsi="Calibri" w:cs="Times New Roman"/>
                <w:sz w:val="22"/>
                <w:lang w:eastAsia="en-US"/>
              </w:rPr>
            </w:pPr>
            <w:r>
              <w:rPr>
                <w:rFonts w:ascii="Calibri" w:eastAsia="Times New Roman" w:hAnsi="Calibri" w:cs="Calibri"/>
                <w:color w:val="000000"/>
                <w:sz w:val="22"/>
              </w:rPr>
              <w:t>1.14</w:t>
            </w:r>
          </w:p>
        </w:tc>
        <w:tc>
          <w:tcPr>
            <w:tcW w:w="1276" w:type="dxa"/>
            <w:gridSpan w:val="2"/>
            <w:tcBorders>
              <w:top w:val="nil"/>
              <w:left w:val="nil"/>
              <w:bottom w:val="nil"/>
              <w:right w:val="nil"/>
            </w:tcBorders>
            <w:vAlign w:val="center"/>
          </w:tcPr>
          <w:p w14:paraId="5C297CEE" w14:textId="43849CAF" w:rsidR="001040F6" w:rsidRDefault="00876672" w:rsidP="00485E6B">
            <w:pPr>
              <w:spacing w:after="0" w:line="240" w:lineRule="auto"/>
              <w:jc w:val="center"/>
              <w:rPr>
                <w:rFonts w:ascii="Calibri" w:eastAsia="Times New Roman" w:hAnsi="Calibri" w:cs="Times New Roman"/>
                <w:sz w:val="22"/>
                <w:lang w:eastAsia="en-US"/>
              </w:rPr>
            </w:pPr>
            <w:r>
              <w:rPr>
                <w:rFonts w:ascii="Calibri" w:eastAsia="Times New Roman" w:hAnsi="Calibri" w:cs="Calibri"/>
                <w:color w:val="000000"/>
                <w:sz w:val="22"/>
              </w:rPr>
              <w:t>(.98</w:t>
            </w:r>
            <w:r>
              <w:rPr>
                <w:rFonts w:ascii="Arial" w:hAnsi="Arial" w:cs="Arial"/>
                <w:color w:val="222222"/>
                <w:shd w:val="clear" w:color="auto" w:fill="FFFFFF"/>
              </w:rPr>
              <w:t>–</w:t>
            </w:r>
            <w:r>
              <w:rPr>
                <w:rFonts w:ascii="Calibri" w:eastAsia="Times New Roman" w:hAnsi="Calibri" w:cs="Calibri"/>
                <w:color w:val="000000"/>
                <w:sz w:val="22"/>
              </w:rPr>
              <w:t>1.32</w:t>
            </w:r>
            <w:r w:rsidRPr="00BF3D07">
              <w:rPr>
                <w:rFonts w:ascii="Calibri" w:eastAsia="Times New Roman" w:hAnsi="Calibri" w:cs="Calibri"/>
                <w:color w:val="000000"/>
                <w:sz w:val="22"/>
              </w:rPr>
              <w:t>)</w:t>
            </w:r>
          </w:p>
        </w:tc>
        <w:tc>
          <w:tcPr>
            <w:tcW w:w="992" w:type="dxa"/>
            <w:gridSpan w:val="2"/>
            <w:tcBorders>
              <w:top w:val="nil"/>
              <w:left w:val="nil"/>
              <w:bottom w:val="nil"/>
              <w:right w:val="nil"/>
            </w:tcBorders>
            <w:shd w:val="clear" w:color="auto" w:fill="auto"/>
            <w:noWrap/>
            <w:vAlign w:val="center"/>
            <w:hideMark/>
          </w:tcPr>
          <w:p w14:paraId="3EAAAD5F" w14:textId="77777777" w:rsidR="001040F6" w:rsidRPr="00BF3D07" w:rsidRDefault="001040F6" w:rsidP="00EE44CF">
            <w:pPr>
              <w:spacing w:after="0" w:line="240" w:lineRule="auto"/>
              <w:jc w:val="center"/>
              <w:rPr>
                <w:rFonts w:ascii="Calibri" w:eastAsia="Times New Roman" w:hAnsi="Calibri" w:cs="Times New Roman"/>
                <w:sz w:val="22"/>
                <w:lang w:eastAsia="en-US"/>
              </w:rPr>
            </w:pPr>
            <w:r>
              <w:rPr>
                <w:rFonts w:ascii="Calibri" w:eastAsia="Times New Roman" w:hAnsi="Calibri" w:cs="Times New Roman"/>
                <w:sz w:val="22"/>
                <w:lang w:eastAsia="en-US"/>
              </w:rPr>
              <w:t>1.02</w:t>
            </w:r>
          </w:p>
        </w:tc>
        <w:tc>
          <w:tcPr>
            <w:tcW w:w="1275" w:type="dxa"/>
            <w:gridSpan w:val="2"/>
            <w:tcBorders>
              <w:top w:val="nil"/>
              <w:left w:val="nil"/>
              <w:bottom w:val="nil"/>
              <w:right w:val="nil"/>
            </w:tcBorders>
            <w:vAlign w:val="center"/>
          </w:tcPr>
          <w:p w14:paraId="34C9F978" w14:textId="50FAD0E0" w:rsidR="001040F6" w:rsidRDefault="00485E6B" w:rsidP="00EE44CF">
            <w:pPr>
              <w:spacing w:after="0" w:line="240" w:lineRule="auto"/>
              <w:jc w:val="center"/>
              <w:rPr>
                <w:rFonts w:ascii="Calibri" w:eastAsia="Times New Roman" w:hAnsi="Calibri" w:cs="Times New Roman"/>
                <w:sz w:val="22"/>
                <w:lang w:eastAsia="en-US"/>
              </w:rPr>
            </w:pPr>
            <w:r>
              <w:rPr>
                <w:rFonts w:ascii="Calibri" w:eastAsia="Times New Roman" w:hAnsi="Calibri" w:cs="Calibri"/>
                <w:color w:val="000000"/>
                <w:sz w:val="22"/>
              </w:rPr>
              <w:t>(</w:t>
            </w:r>
            <w:r w:rsidR="00876672" w:rsidRPr="00BF3D07">
              <w:rPr>
                <w:rFonts w:ascii="Calibri" w:eastAsia="Times New Roman" w:hAnsi="Calibri" w:cs="Calibri"/>
                <w:color w:val="000000"/>
                <w:sz w:val="22"/>
              </w:rPr>
              <w:t>.76</w:t>
            </w:r>
            <w:r w:rsidR="00876672">
              <w:rPr>
                <w:rFonts w:ascii="Arial" w:hAnsi="Arial" w:cs="Arial"/>
                <w:color w:val="222222"/>
                <w:shd w:val="clear" w:color="auto" w:fill="FFFFFF"/>
              </w:rPr>
              <w:t>–</w:t>
            </w:r>
            <w:r w:rsidR="00876672">
              <w:rPr>
                <w:rFonts w:ascii="Calibri" w:eastAsia="Times New Roman" w:hAnsi="Calibri" w:cs="Calibri"/>
                <w:color w:val="000000"/>
                <w:sz w:val="22"/>
              </w:rPr>
              <w:t>1.37</w:t>
            </w:r>
            <w:r w:rsidR="00876672" w:rsidRPr="00BF3D07">
              <w:rPr>
                <w:rFonts w:ascii="Calibri" w:eastAsia="Times New Roman" w:hAnsi="Calibri" w:cs="Calibri"/>
                <w:color w:val="000000"/>
                <w:sz w:val="22"/>
              </w:rPr>
              <w:t>)</w:t>
            </w:r>
          </w:p>
        </w:tc>
        <w:tc>
          <w:tcPr>
            <w:tcW w:w="1135" w:type="dxa"/>
            <w:gridSpan w:val="2"/>
            <w:tcBorders>
              <w:top w:val="nil"/>
              <w:left w:val="nil"/>
              <w:bottom w:val="nil"/>
              <w:right w:val="nil"/>
            </w:tcBorders>
            <w:shd w:val="clear" w:color="auto" w:fill="auto"/>
            <w:noWrap/>
            <w:vAlign w:val="center"/>
            <w:hideMark/>
          </w:tcPr>
          <w:p w14:paraId="43742FE9" w14:textId="394799AA" w:rsidR="001040F6" w:rsidRPr="00BF3D07" w:rsidRDefault="00876672" w:rsidP="00EE44CF">
            <w:pPr>
              <w:spacing w:after="0" w:line="240" w:lineRule="auto"/>
              <w:jc w:val="center"/>
              <w:rPr>
                <w:rFonts w:ascii="Calibri" w:eastAsia="Times New Roman" w:hAnsi="Calibri" w:cs="Times New Roman"/>
                <w:sz w:val="22"/>
                <w:lang w:eastAsia="en-US"/>
              </w:rPr>
            </w:pPr>
            <w:r>
              <w:rPr>
                <w:rFonts w:ascii="Calibri" w:eastAsia="Times New Roman" w:hAnsi="Calibri" w:cs="Calibri"/>
                <w:color w:val="000000"/>
                <w:sz w:val="22"/>
              </w:rPr>
              <w:t>.95</w:t>
            </w:r>
          </w:p>
        </w:tc>
        <w:tc>
          <w:tcPr>
            <w:tcW w:w="1275" w:type="dxa"/>
            <w:gridSpan w:val="2"/>
            <w:tcBorders>
              <w:top w:val="nil"/>
              <w:left w:val="nil"/>
              <w:bottom w:val="nil"/>
              <w:right w:val="nil"/>
            </w:tcBorders>
            <w:vAlign w:val="center"/>
          </w:tcPr>
          <w:p w14:paraId="5B5EC3C7" w14:textId="3FE54464" w:rsidR="001040F6" w:rsidRDefault="00876672" w:rsidP="00EE44CF">
            <w:pPr>
              <w:spacing w:after="0" w:line="240" w:lineRule="auto"/>
              <w:jc w:val="center"/>
              <w:rPr>
                <w:rFonts w:ascii="Calibri" w:eastAsia="Times New Roman" w:hAnsi="Calibri" w:cs="Times New Roman"/>
                <w:sz w:val="22"/>
                <w:lang w:eastAsia="en-US"/>
              </w:rPr>
            </w:pPr>
            <w:r w:rsidRPr="00BF3D07">
              <w:rPr>
                <w:rFonts w:ascii="Calibri" w:eastAsia="Times New Roman" w:hAnsi="Calibri" w:cs="Calibri"/>
                <w:color w:val="000000"/>
                <w:sz w:val="22"/>
              </w:rPr>
              <w:t>(</w:t>
            </w:r>
            <w:r>
              <w:rPr>
                <w:rFonts w:ascii="Calibri" w:eastAsia="Times New Roman" w:hAnsi="Calibri" w:cs="Calibri"/>
                <w:color w:val="000000"/>
                <w:sz w:val="22"/>
              </w:rPr>
              <w:t>.80</w:t>
            </w:r>
            <w:r>
              <w:rPr>
                <w:rFonts w:ascii="Arial" w:hAnsi="Arial" w:cs="Arial"/>
                <w:color w:val="222222"/>
                <w:shd w:val="clear" w:color="auto" w:fill="FFFFFF"/>
              </w:rPr>
              <w:t>–</w:t>
            </w:r>
            <w:r>
              <w:rPr>
                <w:rFonts w:ascii="Calibri" w:eastAsia="Times New Roman" w:hAnsi="Calibri" w:cs="Calibri"/>
                <w:color w:val="000000"/>
                <w:sz w:val="22"/>
              </w:rPr>
              <w:t>1.14</w:t>
            </w:r>
            <w:r w:rsidRPr="00BF3D07">
              <w:rPr>
                <w:rFonts w:ascii="Calibri" w:eastAsia="Times New Roman" w:hAnsi="Calibri" w:cs="Calibri"/>
                <w:color w:val="000000"/>
                <w:sz w:val="22"/>
              </w:rPr>
              <w:t>)</w:t>
            </w:r>
          </w:p>
        </w:tc>
      </w:tr>
      <w:tr w:rsidR="001040F6" w:rsidRPr="00BF3D07" w14:paraId="10C9786F" w14:textId="77777777" w:rsidTr="001040F6">
        <w:trPr>
          <w:gridAfter w:val="1"/>
          <w:wAfter w:w="132" w:type="dxa"/>
          <w:trHeight w:val="300"/>
          <w:jc w:val="center"/>
        </w:trPr>
        <w:tc>
          <w:tcPr>
            <w:tcW w:w="1843" w:type="dxa"/>
            <w:tcBorders>
              <w:top w:val="nil"/>
              <w:left w:val="nil"/>
              <w:bottom w:val="nil"/>
              <w:right w:val="nil"/>
            </w:tcBorders>
            <w:shd w:val="clear" w:color="auto" w:fill="auto"/>
            <w:noWrap/>
            <w:vAlign w:val="bottom"/>
          </w:tcPr>
          <w:p w14:paraId="09A19FA0" w14:textId="1FA153EB" w:rsidR="001040F6" w:rsidRDefault="001040F6" w:rsidP="00EE44CF">
            <w:pPr>
              <w:spacing w:after="0" w:line="240" w:lineRule="auto"/>
              <w:rPr>
                <w:rFonts w:ascii="Calibri" w:eastAsia="Times New Roman" w:hAnsi="Calibri" w:cs="Calibri"/>
                <w:color w:val="000000"/>
                <w:sz w:val="22"/>
              </w:rPr>
            </w:pPr>
            <w:r>
              <w:rPr>
                <w:rFonts w:ascii="Calibri" w:eastAsia="Times New Roman" w:hAnsi="Calibri" w:cs="Calibri"/>
                <w:color w:val="000000"/>
                <w:sz w:val="22"/>
              </w:rPr>
              <w:t>60 days</w:t>
            </w:r>
          </w:p>
        </w:tc>
        <w:tc>
          <w:tcPr>
            <w:tcW w:w="1134" w:type="dxa"/>
            <w:tcBorders>
              <w:top w:val="nil"/>
              <w:left w:val="nil"/>
              <w:bottom w:val="nil"/>
              <w:right w:val="nil"/>
            </w:tcBorders>
            <w:shd w:val="clear" w:color="auto" w:fill="auto"/>
            <w:noWrap/>
            <w:vAlign w:val="center"/>
          </w:tcPr>
          <w:p w14:paraId="187578EC" w14:textId="5E9328BE" w:rsidR="001040F6" w:rsidRDefault="00876672" w:rsidP="00876672">
            <w:pPr>
              <w:tabs>
                <w:tab w:val="decimal" w:pos="318"/>
              </w:tabs>
              <w:spacing w:after="0" w:line="240" w:lineRule="auto"/>
              <w:rPr>
                <w:rFonts w:ascii="Calibri" w:eastAsia="Times New Roman" w:hAnsi="Calibri" w:cs="Times New Roman"/>
                <w:sz w:val="22"/>
                <w:lang w:eastAsia="en-US"/>
              </w:rPr>
            </w:pPr>
            <w:r>
              <w:rPr>
                <w:rFonts w:ascii="Calibri" w:eastAsia="Times New Roman" w:hAnsi="Calibri" w:cs="Calibri"/>
                <w:color w:val="000000"/>
                <w:sz w:val="22"/>
              </w:rPr>
              <w:t>1.08</w:t>
            </w:r>
          </w:p>
        </w:tc>
        <w:tc>
          <w:tcPr>
            <w:tcW w:w="1276" w:type="dxa"/>
            <w:gridSpan w:val="2"/>
            <w:tcBorders>
              <w:top w:val="nil"/>
              <w:left w:val="nil"/>
              <w:bottom w:val="nil"/>
              <w:right w:val="nil"/>
            </w:tcBorders>
            <w:vAlign w:val="center"/>
          </w:tcPr>
          <w:p w14:paraId="6DACA742" w14:textId="1150A34E" w:rsidR="001040F6" w:rsidRPr="00BF3D07" w:rsidRDefault="00485E6B"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Calibri"/>
                <w:color w:val="000000"/>
                <w:sz w:val="22"/>
              </w:rPr>
              <w:t>(</w:t>
            </w:r>
            <w:r w:rsidR="00876672">
              <w:rPr>
                <w:rFonts w:ascii="Calibri" w:eastAsia="Times New Roman" w:hAnsi="Calibri" w:cs="Calibri"/>
                <w:color w:val="000000"/>
                <w:sz w:val="22"/>
              </w:rPr>
              <w:t>.90</w:t>
            </w:r>
            <w:r w:rsidR="00876672">
              <w:rPr>
                <w:rFonts w:ascii="Arial" w:hAnsi="Arial" w:cs="Arial"/>
                <w:color w:val="222222"/>
                <w:shd w:val="clear" w:color="auto" w:fill="FFFFFF"/>
              </w:rPr>
              <w:t>–</w:t>
            </w:r>
            <w:r w:rsidR="00876672">
              <w:rPr>
                <w:rFonts w:ascii="Calibri" w:eastAsia="Times New Roman" w:hAnsi="Calibri" w:cs="Calibri"/>
                <w:color w:val="000000"/>
                <w:sz w:val="22"/>
              </w:rPr>
              <w:t>1.30</w:t>
            </w:r>
            <w:r w:rsidR="00876672" w:rsidRPr="00BF3D07">
              <w:rPr>
                <w:rFonts w:ascii="Calibri" w:eastAsia="Times New Roman" w:hAnsi="Calibri" w:cs="Calibri"/>
                <w:color w:val="000000"/>
                <w:sz w:val="22"/>
              </w:rPr>
              <w:t>)</w:t>
            </w:r>
          </w:p>
        </w:tc>
        <w:tc>
          <w:tcPr>
            <w:tcW w:w="992" w:type="dxa"/>
            <w:gridSpan w:val="2"/>
            <w:tcBorders>
              <w:top w:val="nil"/>
              <w:left w:val="nil"/>
              <w:bottom w:val="nil"/>
              <w:right w:val="nil"/>
            </w:tcBorders>
            <w:shd w:val="clear" w:color="auto" w:fill="auto"/>
            <w:noWrap/>
            <w:vAlign w:val="center"/>
          </w:tcPr>
          <w:p w14:paraId="139991A8" w14:textId="6B4E773E" w:rsidR="001040F6" w:rsidRDefault="00876672" w:rsidP="00EE44CF">
            <w:pPr>
              <w:spacing w:after="0" w:line="240" w:lineRule="auto"/>
              <w:jc w:val="center"/>
              <w:rPr>
                <w:rFonts w:ascii="Calibri" w:eastAsia="Times New Roman" w:hAnsi="Calibri" w:cs="Times New Roman"/>
                <w:sz w:val="22"/>
                <w:lang w:eastAsia="en-US"/>
              </w:rPr>
            </w:pPr>
            <w:r>
              <w:rPr>
                <w:rFonts w:ascii="Calibri" w:eastAsia="Times New Roman" w:hAnsi="Calibri" w:cs="Calibri"/>
                <w:color w:val="000000"/>
                <w:sz w:val="22"/>
              </w:rPr>
              <w:t>.90</w:t>
            </w:r>
          </w:p>
        </w:tc>
        <w:tc>
          <w:tcPr>
            <w:tcW w:w="1275" w:type="dxa"/>
            <w:gridSpan w:val="2"/>
            <w:tcBorders>
              <w:top w:val="nil"/>
              <w:left w:val="nil"/>
              <w:bottom w:val="nil"/>
              <w:right w:val="nil"/>
            </w:tcBorders>
            <w:vAlign w:val="center"/>
          </w:tcPr>
          <w:p w14:paraId="0575851E" w14:textId="56B37F5C" w:rsidR="001040F6" w:rsidRPr="00BF3D07" w:rsidRDefault="00485E6B"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Calibri"/>
                <w:color w:val="000000"/>
                <w:sz w:val="22"/>
              </w:rPr>
              <w:t>(</w:t>
            </w:r>
            <w:r w:rsidR="00876672">
              <w:rPr>
                <w:rFonts w:ascii="Calibri" w:eastAsia="Times New Roman" w:hAnsi="Calibri" w:cs="Calibri"/>
                <w:color w:val="000000"/>
                <w:sz w:val="22"/>
              </w:rPr>
              <w:t>.63</w:t>
            </w:r>
            <w:r w:rsidR="00876672">
              <w:rPr>
                <w:rFonts w:ascii="Arial" w:hAnsi="Arial" w:cs="Arial"/>
                <w:color w:val="222222"/>
                <w:shd w:val="clear" w:color="auto" w:fill="FFFFFF"/>
              </w:rPr>
              <w:t>–</w:t>
            </w:r>
            <w:r w:rsidR="00876672">
              <w:rPr>
                <w:rFonts w:ascii="Calibri" w:eastAsia="Times New Roman" w:hAnsi="Calibri" w:cs="Calibri"/>
                <w:color w:val="000000"/>
                <w:sz w:val="22"/>
              </w:rPr>
              <w:t>1.28</w:t>
            </w:r>
            <w:r w:rsidR="00876672" w:rsidRPr="00BF3D07">
              <w:rPr>
                <w:rFonts w:ascii="Calibri" w:eastAsia="Times New Roman" w:hAnsi="Calibri" w:cs="Calibri"/>
                <w:color w:val="000000"/>
                <w:sz w:val="22"/>
              </w:rPr>
              <w:t>)</w:t>
            </w:r>
          </w:p>
        </w:tc>
        <w:tc>
          <w:tcPr>
            <w:tcW w:w="1135" w:type="dxa"/>
            <w:gridSpan w:val="2"/>
            <w:tcBorders>
              <w:top w:val="nil"/>
              <w:left w:val="nil"/>
              <w:bottom w:val="nil"/>
              <w:right w:val="nil"/>
            </w:tcBorders>
            <w:shd w:val="clear" w:color="auto" w:fill="auto"/>
            <w:noWrap/>
            <w:vAlign w:val="center"/>
          </w:tcPr>
          <w:p w14:paraId="08809463" w14:textId="465E4461" w:rsidR="001040F6" w:rsidRDefault="00876672" w:rsidP="00EE44CF">
            <w:pPr>
              <w:spacing w:after="0" w:line="240" w:lineRule="auto"/>
              <w:jc w:val="center"/>
              <w:rPr>
                <w:rFonts w:ascii="Calibri" w:eastAsia="Times New Roman" w:hAnsi="Calibri" w:cs="Times New Roman"/>
                <w:sz w:val="22"/>
                <w:lang w:eastAsia="en-US"/>
              </w:rPr>
            </w:pPr>
            <w:r>
              <w:rPr>
                <w:rFonts w:ascii="Calibri" w:eastAsia="Times New Roman" w:hAnsi="Calibri" w:cs="Calibri"/>
                <w:color w:val="000000"/>
                <w:sz w:val="22"/>
              </w:rPr>
              <w:t>.98</w:t>
            </w:r>
          </w:p>
        </w:tc>
        <w:tc>
          <w:tcPr>
            <w:tcW w:w="1275" w:type="dxa"/>
            <w:gridSpan w:val="2"/>
            <w:tcBorders>
              <w:top w:val="nil"/>
              <w:left w:val="nil"/>
              <w:bottom w:val="nil"/>
              <w:right w:val="nil"/>
            </w:tcBorders>
            <w:vAlign w:val="center"/>
          </w:tcPr>
          <w:p w14:paraId="47C94E31" w14:textId="650A8886" w:rsidR="001040F6" w:rsidRPr="00BF3D07" w:rsidRDefault="00485E6B"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Calibri"/>
                <w:color w:val="000000"/>
                <w:sz w:val="22"/>
              </w:rPr>
              <w:t>(</w:t>
            </w:r>
            <w:r w:rsidR="00876672">
              <w:rPr>
                <w:rFonts w:ascii="Calibri" w:eastAsia="Times New Roman" w:hAnsi="Calibri" w:cs="Calibri"/>
                <w:color w:val="000000"/>
                <w:sz w:val="22"/>
              </w:rPr>
              <w:t>.79</w:t>
            </w:r>
            <w:r w:rsidR="00876672">
              <w:rPr>
                <w:rFonts w:ascii="Arial" w:hAnsi="Arial" w:cs="Arial"/>
                <w:color w:val="222222"/>
                <w:shd w:val="clear" w:color="auto" w:fill="FFFFFF"/>
              </w:rPr>
              <w:t>–</w:t>
            </w:r>
            <w:r w:rsidR="00876672">
              <w:rPr>
                <w:rFonts w:ascii="Calibri" w:eastAsia="Times New Roman" w:hAnsi="Calibri" w:cs="Calibri"/>
                <w:color w:val="000000"/>
                <w:sz w:val="22"/>
              </w:rPr>
              <w:t>1.21</w:t>
            </w:r>
            <w:r w:rsidR="00876672" w:rsidRPr="00BF3D07">
              <w:rPr>
                <w:rFonts w:ascii="Calibri" w:eastAsia="Times New Roman" w:hAnsi="Calibri" w:cs="Calibri"/>
                <w:color w:val="000000"/>
                <w:sz w:val="22"/>
              </w:rPr>
              <w:t>)</w:t>
            </w:r>
          </w:p>
        </w:tc>
      </w:tr>
      <w:tr w:rsidR="001040F6" w:rsidRPr="00BF3D07" w14:paraId="521D61CF" w14:textId="77777777" w:rsidTr="00EE44CF">
        <w:trPr>
          <w:gridAfter w:val="1"/>
          <w:wAfter w:w="132" w:type="dxa"/>
          <w:trHeight w:val="300"/>
          <w:jc w:val="center"/>
        </w:trPr>
        <w:tc>
          <w:tcPr>
            <w:tcW w:w="1843" w:type="dxa"/>
            <w:tcBorders>
              <w:top w:val="nil"/>
              <w:left w:val="nil"/>
              <w:bottom w:val="single" w:sz="4" w:space="0" w:color="auto"/>
              <w:right w:val="nil"/>
            </w:tcBorders>
            <w:shd w:val="clear" w:color="auto" w:fill="auto"/>
            <w:noWrap/>
            <w:vAlign w:val="bottom"/>
          </w:tcPr>
          <w:p w14:paraId="6220FA1E" w14:textId="043767E6" w:rsidR="001040F6" w:rsidRDefault="001040F6" w:rsidP="00EE44CF">
            <w:pPr>
              <w:spacing w:after="0" w:line="240" w:lineRule="auto"/>
              <w:rPr>
                <w:rFonts w:ascii="Calibri" w:eastAsia="Times New Roman" w:hAnsi="Calibri" w:cs="Calibri"/>
                <w:color w:val="000000"/>
                <w:sz w:val="22"/>
              </w:rPr>
            </w:pPr>
            <w:r>
              <w:rPr>
                <w:rFonts w:ascii="Calibri" w:eastAsia="Times New Roman" w:hAnsi="Calibri" w:cs="Calibri"/>
                <w:color w:val="000000"/>
                <w:sz w:val="22"/>
              </w:rPr>
              <w:t>90 days</w:t>
            </w:r>
          </w:p>
        </w:tc>
        <w:tc>
          <w:tcPr>
            <w:tcW w:w="1134" w:type="dxa"/>
            <w:tcBorders>
              <w:top w:val="nil"/>
              <w:left w:val="nil"/>
              <w:bottom w:val="single" w:sz="4" w:space="0" w:color="auto"/>
              <w:right w:val="nil"/>
            </w:tcBorders>
            <w:shd w:val="clear" w:color="auto" w:fill="auto"/>
            <w:noWrap/>
            <w:vAlign w:val="center"/>
          </w:tcPr>
          <w:p w14:paraId="26284830" w14:textId="3AE72301" w:rsidR="001040F6" w:rsidRDefault="00876672" w:rsidP="00876672">
            <w:pPr>
              <w:tabs>
                <w:tab w:val="decimal" w:pos="318"/>
              </w:tabs>
              <w:spacing w:after="0" w:line="240" w:lineRule="auto"/>
              <w:rPr>
                <w:rFonts w:ascii="Calibri" w:eastAsia="Times New Roman" w:hAnsi="Calibri" w:cs="Times New Roman"/>
                <w:sz w:val="22"/>
                <w:lang w:eastAsia="en-US"/>
              </w:rPr>
            </w:pPr>
            <w:r>
              <w:rPr>
                <w:rFonts w:ascii="Calibri" w:eastAsia="Times New Roman" w:hAnsi="Calibri" w:cs="Calibri"/>
                <w:color w:val="000000"/>
                <w:sz w:val="22"/>
              </w:rPr>
              <w:t>1.02</w:t>
            </w:r>
          </w:p>
        </w:tc>
        <w:tc>
          <w:tcPr>
            <w:tcW w:w="1276" w:type="dxa"/>
            <w:gridSpan w:val="2"/>
            <w:tcBorders>
              <w:top w:val="nil"/>
              <w:left w:val="nil"/>
              <w:bottom w:val="single" w:sz="4" w:space="0" w:color="auto"/>
              <w:right w:val="nil"/>
            </w:tcBorders>
            <w:vAlign w:val="center"/>
          </w:tcPr>
          <w:p w14:paraId="72661381" w14:textId="7EBD51BE" w:rsidR="001040F6" w:rsidRPr="00BF3D07" w:rsidRDefault="00485E6B"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Calibri"/>
                <w:color w:val="000000"/>
                <w:sz w:val="22"/>
              </w:rPr>
              <w:t>(</w:t>
            </w:r>
            <w:r w:rsidR="00876672">
              <w:rPr>
                <w:rFonts w:ascii="Calibri" w:eastAsia="Times New Roman" w:hAnsi="Calibri" w:cs="Calibri"/>
                <w:color w:val="000000"/>
                <w:sz w:val="22"/>
              </w:rPr>
              <w:t>.80</w:t>
            </w:r>
            <w:r w:rsidR="00876672">
              <w:rPr>
                <w:rFonts w:ascii="Arial" w:hAnsi="Arial" w:cs="Arial"/>
                <w:color w:val="222222"/>
                <w:shd w:val="clear" w:color="auto" w:fill="FFFFFF"/>
              </w:rPr>
              <w:t>–</w:t>
            </w:r>
            <w:r w:rsidR="00876672">
              <w:rPr>
                <w:rFonts w:ascii="Calibri" w:eastAsia="Times New Roman" w:hAnsi="Calibri" w:cs="Calibri"/>
                <w:color w:val="000000"/>
                <w:sz w:val="22"/>
              </w:rPr>
              <w:t>1.29</w:t>
            </w:r>
            <w:r w:rsidR="00876672" w:rsidRPr="00BF3D07">
              <w:rPr>
                <w:rFonts w:ascii="Calibri" w:eastAsia="Times New Roman" w:hAnsi="Calibri" w:cs="Calibri"/>
                <w:color w:val="000000"/>
                <w:sz w:val="22"/>
              </w:rPr>
              <w:t>)</w:t>
            </w:r>
          </w:p>
        </w:tc>
        <w:tc>
          <w:tcPr>
            <w:tcW w:w="992" w:type="dxa"/>
            <w:gridSpan w:val="2"/>
            <w:tcBorders>
              <w:top w:val="nil"/>
              <w:left w:val="nil"/>
              <w:bottom w:val="single" w:sz="4" w:space="0" w:color="auto"/>
              <w:right w:val="nil"/>
            </w:tcBorders>
            <w:shd w:val="clear" w:color="auto" w:fill="auto"/>
            <w:noWrap/>
            <w:vAlign w:val="center"/>
          </w:tcPr>
          <w:p w14:paraId="5107334C" w14:textId="3CFE368F" w:rsidR="001040F6" w:rsidRDefault="00876672" w:rsidP="00EE44CF">
            <w:pPr>
              <w:spacing w:after="0" w:line="240" w:lineRule="auto"/>
              <w:jc w:val="center"/>
              <w:rPr>
                <w:rFonts w:ascii="Calibri" w:eastAsia="Times New Roman" w:hAnsi="Calibri" w:cs="Times New Roman"/>
                <w:sz w:val="22"/>
                <w:lang w:eastAsia="en-US"/>
              </w:rPr>
            </w:pPr>
            <w:r>
              <w:rPr>
                <w:rFonts w:ascii="Calibri" w:eastAsia="Times New Roman" w:hAnsi="Calibri" w:cs="Calibri"/>
                <w:color w:val="000000"/>
                <w:sz w:val="22"/>
              </w:rPr>
              <w:t>.83</w:t>
            </w:r>
          </w:p>
        </w:tc>
        <w:tc>
          <w:tcPr>
            <w:tcW w:w="1275" w:type="dxa"/>
            <w:gridSpan w:val="2"/>
            <w:tcBorders>
              <w:top w:val="nil"/>
              <w:left w:val="nil"/>
              <w:bottom w:val="single" w:sz="4" w:space="0" w:color="auto"/>
              <w:right w:val="nil"/>
            </w:tcBorders>
            <w:vAlign w:val="center"/>
          </w:tcPr>
          <w:p w14:paraId="1C47D922" w14:textId="78FCAB55" w:rsidR="001040F6" w:rsidRPr="00BF3D07" w:rsidRDefault="00485E6B"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Calibri"/>
                <w:color w:val="000000"/>
                <w:sz w:val="22"/>
              </w:rPr>
              <w:t>(</w:t>
            </w:r>
            <w:r w:rsidR="00876672">
              <w:rPr>
                <w:rFonts w:ascii="Calibri" w:eastAsia="Times New Roman" w:hAnsi="Calibri" w:cs="Calibri"/>
                <w:color w:val="000000"/>
                <w:sz w:val="22"/>
              </w:rPr>
              <w:t>.54</w:t>
            </w:r>
            <w:r w:rsidR="00876672">
              <w:rPr>
                <w:rFonts w:ascii="Arial" w:hAnsi="Arial" w:cs="Arial"/>
                <w:color w:val="222222"/>
                <w:shd w:val="clear" w:color="auto" w:fill="FFFFFF"/>
              </w:rPr>
              <w:t>–</w:t>
            </w:r>
            <w:r w:rsidR="00876672">
              <w:rPr>
                <w:rFonts w:ascii="Calibri" w:eastAsia="Times New Roman" w:hAnsi="Calibri" w:cs="Calibri"/>
                <w:color w:val="000000"/>
                <w:sz w:val="22"/>
              </w:rPr>
              <w:t>1.28</w:t>
            </w:r>
            <w:r w:rsidR="00876672" w:rsidRPr="00BF3D07">
              <w:rPr>
                <w:rFonts w:ascii="Calibri" w:eastAsia="Times New Roman" w:hAnsi="Calibri" w:cs="Calibri"/>
                <w:color w:val="000000"/>
                <w:sz w:val="22"/>
              </w:rPr>
              <w:t>)</w:t>
            </w:r>
          </w:p>
        </w:tc>
        <w:tc>
          <w:tcPr>
            <w:tcW w:w="1135" w:type="dxa"/>
            <w:gridSpan w:val="2"/>
            <w:tcBorders>
              <w:top w:val="nil"/>
              <w:left w:val="nil"/>
              <w:bottom w:val="single" w:sz="4" w:space="0" w:color="auto"/>
              <w:right w:val="nil"/>
            </w:tcBorders>
            <w:shd w:val="clear" w:color="auto" w:fill="auto"/>
            <w:noWrap/>
            <w:vAlign w:val="center"/>
          </w:tcPr>
          <w:p w14:paraId="0B619DC2" w14:textId="485F3113" w:rsidR="001040F6" w:rsidRDefault="00876672" w:rsidP="00EE44CF">
            <w:pPr>
              <w:spacing w:after="0" w:line="240" w:lineRule="auto"/>
              <w:jc w:val="center"/>
              <w:rPr>
                <w:rFonts w:ascii="Calibri" w:eastAsia="Times New Roman" w:hAnsi="Calibri" w:cs="Times New Roman"/>
                <w:sz w:val="22"/>
                <w:lang w:eastAsia="en-US"/>
              </w:rPr>
            </w:pPr>
            <w:r>
              <w:rPr>
                <w:rFonts w:ascii="Calibri" w:eastAsia="Times New Roman" w:hAnsi="Calibri" w:cs="Calibri"/>
                <w:color w:val="000000"/>
                <w:sz w:val="22"/>
              </w:rPr>
              <w:t>.80</w:t>
            </w:r>
          </w:p>
        </w:tc>
        <w:tc>
          <w:tcPr>
            <w:tcW w:w="1275" w:type="dxa"/>
            <w:gridSpan w:val="2"/>
            <w:tcBorders>
              <w:top w:val="nil"/>
              <w:left w:val="nil"/>
              <w:bottom w:val="single" w:sz="4" w:space="0" w:color="auto"/>
              <w:right w:val="nil"/>
            </w:tcBorders>
            <w:vAlign w:val="center"/>
          </w:tcPr>
          <w:p w14:paraId="3AEDDBFE" w14:textId="3201D66E" w:rsidR="001040F6" w:rsidRPr="00BF3D07" w:rsidRDefault="00485E6B" w:rsidP="00EE44CF">
            <w:pPr>
              <w:spacing w:after="0" w:line="240" w:lineRule="auto"/>
              <w:jc w:val="center"/>
              <w:rPr>
                <w:rFonts w:ascii="Calibri" w:eastAsia="Times New Roman" w:hAnsi="Calibri" w:cs="Times New Roman"/>
                <w:color w:val="000000"/>
                <w:sz w:val="22"/>
                <w:lang w:eastAsia="en-US"/>
              </w:rPr>
            </w:pPr>
            <w:r>
              <w:rPr>
                <w:rFonts w:ascii="Calibri" w:eastAsia="Times New Roman" w:hAnsi="Calibri" w:cs="Calibri"/>
                <w:color w:val="000000"/>
                <w:sz w:val="22"/>
              </w:rPr>
              <w:t>(</w:t>
            </w:r>
            <w:r w:rsidR="00876672" w:rsidRPr="00BF3D07">
              <w:rPr>
                <w:rFonts w:ascii="Calibri" w:eastAsia="Times New Roman" w:hAnsi="Calibri" w:cs="Calibri"/>
                <w:color w:val="000000"/>
                <w:sz w:val="22"/>
              </w:rPr>
              <w:t>.62</w:t>
            </w:r>
            <w:r w:rsidR="00876672">
              <w:rPr>
                <w:rFonts w:ascii="Arial" w:hAnsi="Arial" w:cs="Arial"/>
                <w:color w:val="222222"/>
                <w:shd w:val="clear" w:color="auto" w:fill="FFFFFF"/>
              </w:rPr>
              <w:t>–</w:t>
            </w:r>
            <w:r w:rsidR="00876672">
              <w:rPr>
                <w:rFonts w:ascii="Calibri" w:eastAsia="Times New Roman" w:hAnsi="Calibri" w:cs="Calibri"/>
                <w:color w:val="000000"/>
                <w:sz w:val="22"/>
              </w:rPr>
              <w:t>1.03</w:t>
            </w:r>
            <w:r w:rsidR="00876672" w:rsidRPr="00BF3D07">
              <w:rPr>
                <w:rFonts w:ascii="Calibri" w:eastAsia="Times New Roman" w:hAnsi="Calibri" w:cs="Calibri"/>
                <w:color w:val="000000"/>
                <w:sz w:val="22"/>
              </w:rPr>
              <w:t>)</w:t>
            </w:r>
          </w:p>
        </w:tc>
      </w:tr>
    </w:tbl>
    <w:p w14:paraId="7F8F7FFC" w14:textId="56250F1E" w:rsidR="001040F6" w:rsidRDefault="00876672" w:rsidP="001040F6">
      <w:pPr>
        <w:spacing w:after="0" w:line="240" w:lineRule="auto"/>
        <w:ind w:hanging="426"/>
        <w:rPr>
          <w:rFonts w:ascii="Arial" w:eastAsia="Times New Roman" w:hAnsi="Arial" w:cs="Arial"/>
          <w:color w:val="000000"/>
          <w:sz w:val="20"/>
          <w:szCs w:val="20"/>
        </w:rPr>
      </w:pPr>
      <w:r>
        <w:rPr>
          <w:rFonts w:ascii="Arial" w:eastAsia="Times New Roman" w:hAnsi="Arial" w:cs="Arial"/>
          <w:color w:val="000000"/>
          <w:sz w:val="20"/>
          <w:szCs w:val="20"/>
        </w:rPr>
        <w:t>**p&lt;0.01</w:t>
      </w:r>
      <w:r w:rsidR="001040F6">
        <w:rPr>
          <w:rFonts w:ascii="Arial" w:eastAsia="Times New Roman" w:hAnsi="Arial" w:cs="Arial"/>
          <w:color w:val="000000"/>
          <w:sz w:val="20"/>
          <w:szCs w:val="20"/>
        </w:rPr>
        <w:t>; 95% CI in parentheses</w:t>
      </w:r>
    </w:p>
    <w:p w14:paraId="4C915FA3" w14:textId="77777777" w:rsidR="00D6527B" w:rsidRPr="00D6527B" w:rsidRDefault="00D6527B" w:rsidP="001040F6">
      <w:pPr>
        <w:pStyle w:val="Caption"/>
      </w:pPr>
    </w:p>
    <w:bookmarkEnd w:id="50"/>
    <w:p w14:paraId="5EB3DA82" w14:textId="266FADAA" w:rsidR="00FB5953" w:rsidRPr="006C7D7A" w:rsidRDefault="00FB5953" w:rsidP="006C7D7A">
      <w:pPr>
        <w:spacing w:after="200" w:line="276" w:lineRule="auto"/>
        <w:rPr>
          <w:rFonts w:cs="Times New Roman"/>
          <w:b/>
          <w:bCs/>
          <w:sz w:val="22"/>
          <w:lang w:val="en-US"/>
        </w:rPr>
      </w:pPr>
    </w:p>
    <w:sectPr w:rsidR="00FB5953" w:rsidRPr="006C7D7A" w:rsidSect="00876672">
      <w:footnotePr>
        <w:numFmt w:val="lowerRoman"/>
      </w:footnotePr>
      <w:pgSz w:w="11906" w:h="16838"/>
      <w:pgMar w:top="1440" w:right="1558"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CACAA" w14:textId="77777777" w:rsidR="002A713B" w:rsidRDefault="002A713B" w:rsidP="00CA29F2">
      <w:pPr>
        <w:spacing w:line="240" w:lineRule="auto"/>
      </w:pPr>
      <w:r>
        <w:separator/>
      </w:r>
    </w:p>
  </w:endnote>
  <w:endnote w:type="continuationSeparator" w:id="0">
    <w:p w14:paraId="5D2F57C2" w14:textId="77777777" w:rsidR="002A713B" w:rsidRDefault="002A713B" w:rsidP="00CA29F2">
      <w:pPr>
        <w:spacing w:line="240" w:lineRule="auto"/>
      </w:pPr>
      <w:r>
        <w:continuationSeparator/>
      </w:r>
    </w:p>
  </w:endnote>
  <w:endnote w:type="continuationNotice" w:id="1">
    <w:p w14:paraId="3990F6C9" w14:textId="77777777" w:rsidR="002A713B" w:rsidRDefault="002A71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45 Light">
    <w:altName w:val="MS Gothic"/>
    <w:panose1 w:val="00000000000000000000"/>
    <w:charset w:val="00"/>
    <w:family w:val="swiss"/>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0D27" w14:textId="1AC2B8F0" w:rsidR="00641045" w:rsidRPr="00FA291A" w:rsidRDefault="00641045" w:rsidP="00FA291A">
    <w:pPr>
      <w:pStyle w:val="Footer"/>
      <w:rPr>
        <w:rFonts w:cs="Times New Roman"/>
        <w:sz w:val="20"/>
        <w:szCs w:val="20"/>
      </w:rPr>
    </w:pPr>
    <w:r>
      <w:rPr>
        <w:rFonts w:cs="Times New Roman"/>
        <w:sz w:val="20"/>
        <w:szCs w:val="20"/>
      </w:rPr>
      <w:tab/>
    </w:r>
    <w:r w:rsidRPr="00852126">
      <w:rPr>
        <w:rFonts w:cs="Times New Roman"/>
        <w:sz w:val="20"/>
        <w:szCs w:val="20"/>
      </w:rPr>
      <w:fldChar w:fldCharType="begin"/>
    </w:r>
    <w:r w:rsidRPr="00852126">
      <w:rPr>
        <w:rFonts w:cs="Times New Roman"/>
        <w:sz w:val="20"/>
        <w:szCs w:val="20"/>
      </w:rPr>
      <w:instrText xml:space="preserve"> PAGE </w:instrText>
    </w:r>
    <w:r w:rsidRPr="00852126">
      <w:rPr>
        <w:rFonts w:cs="Times New Roman"/>
        <w:sz w:val="20"/>
        <w:szCs w:val="20"/>
      </w:rPr>
      <w:fldChar w:fldCharType="separate"/>
    </w:r>
    <w:r w:rsidR="00AF2FC8">
      <w:rPr>
        <w:rFonts w:cs="Times New Roman"/>
        <w:noProof/>
        <w:sz w:val="20"/>
        <w:szCs w:val="20"/>
      </w:rPr>
      <w:t>17</w:t>
    </w:r>
    <w:r w:rsidRPr="00852126">
      <w:rPr>
        <w:rFonts w:cs="Times New Roman"/>
        <w:sz w:val="20"/>
        <w:szCs w:val="20"/>
      </w:rPr>
      <w:fldChar w:fldCharType="end"/>
    </w:r>
    <w:r w:rsidRPr="00852126">
      <w:rPr>
        <w:rFonts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45730" w14:textId="77777777" w:rsidR="002A713B" w:rsidRDefault="002A713B" w:rsidP="00CA29F2">
      <w:pPr>
        <w:spacing w:line="240" w:lineRule="auto"/>
      </w:pPr>
      <w:r>
        <w:separator/>
      </w:r>
    </w:p>
  </w:footnote>
  <w:footnote w:type="continuationSeparator" w:id="0">
    <w:p w14:paraId="1454F521" w14:textId="77777777" w:rsidR="002A713B" w:rsidRDefault="002A713B" w:rsidP="00CA29F2">
      <w:pPr>
        <w:spacing w:line="240" w:lineRule="auto"/>
      </w:pPr>
      <w:r>
        <w:continuationSeparator/>
      </w:r>
    </w:p>
  </w:footnote>
  <w:footnote w:type="continuationNotice" w:id="1">
    <w:p w14:paraId="0AF9A521" w14:textId="77777777" w:rsidR="002A713B" w:rsidRDefault="002A71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3023"/>
    <w:multiLevelType w:val="hybridMultilevel"/>
    <w:tmpl w:val="F2C89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F539B8"/>
    <w:multiLevelType w:val="hybridMultilevel"/>
    <w:tmpl w:val="AA9CD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250A0"/>
    <w:multiLevelType w:val="hybridMultilevel"/>
    <w:tmpl w:val="9B162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412A9C"/>
    <w:multiLevelType w:val="hybridMultilevel"/>
    <w:tmpl w:val="D2105EC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C24B6"/>
    <w:multiLevelType w:val="hybridMultilevel"/>
    <w:tmpl w:val="20CC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5E2396"/>
    <w:multiLevelType w:val="hybridMultilevel"/>
    <w:tmpl w:val="C0BA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E2A0A"/>
    <w:multiLevelType w:val="hybridMultilevel"/>
    <w:tmpl w:val="BFD6FC0A"/>
    <w:lvl w:ilvl="0" w:tplc="336ABCCE">
      <w:start w:val="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71FF7"/>
    <w:multiLevelType w:val="hybridMultilevel"/>
    <w:tmpl w:val="08FAC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95145D"/>
    <w:multiLevelType w:val="hybridMultilevel"/>
    <w:tmpl w:val="FAE008A6"/>
    <w:lvl w:ilvl="0" w:tplc="AEB627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061388"/>
    <w:multiLevelType w:val="hybridMultilevel"/>
    <w:tmpl w:val="FFC615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583E5E"/>
    <w:multiLevelType w:val="hybridMultilevel"/>
    <w:tmpl w:val="11985A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A59E9"/>
    <w:multiLevelType w:val="hybridMultilevel"/>
    <w:tmpl w:val="A0E632CE"/>
    <w:lvl w:ilvl="0" w:tplc="6EE23AD6">
      <w:start w:val="1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607AC"/>
    <w:multiLevelType w:val="hybridMultilevel"/>
    <w:tmpl w:val="F6D4D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46411"/>
    <w:multiLevelType w:val="multilevel"/>
    <w:tmpl w:val="5C8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75460"/>
    <w:multiLevelType w:val="hybridMultilevel"/>
    <w:tmpl w:val="37FE8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D49FD"/>
    <w:multiLevelType w:val="hybridMultilevel"/>
    <w:tmpl w:val="95A42876"/>
    <w:lvl w:ilvl="0" w:tplc="CE5ACC14">
      <w:start w:val="4"/>
      <w:numFmt w:val="bullet"/>
      <w:lvlText w:val="-"/>
      <w:lvlJc w:val="left"/>
      <w:pPr>
        <w:ind w:left="405" w:hanging="360"/>
      </w:pPr>
      <w:rPr>
        <w:rFonts w:ascii="Calibri" w:eastAsiaTheme="minorEastAsia"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565A769D"/>
    <w:multiLevelType w:val="multilevel"/>
    <w:tmpl w:val="85F8DB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9D50EDE"/>
    <w:multiLevelType w:val="hybridMultilevel"/>
    <w:tmpl w:val="3D462EA6"/>
    <w:lvl w:ilvl="0" w:tplc="BD6A2E6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323565"/>
    <w:multiLevelType w:val="hybridMultilevel"/>
    <w:tmpl w:val="9E907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2C557F"/>
    <w:multiLevelType w:val="hybridMultilevel"/>
    <w:tmpl w:val="6CEAB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D92E86"/>
    <w:multiLevelType w:val="hybridMultilevel"/>
    <w:tmpl w:val="C84A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042B6"/>
    <w:multiLevelType w:val="hybridMultilevel"/>
    <w:tmpl w:val="24228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FCD5FEF"/>
    <w:multiLevelType w:val="hybridMultilevel"/>
    <w:tmpl w:val="CD1C3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077C8D"/>
    <w:multiLevelType w:val="hybridMultilevel"/>
    <w:tmpl w:val="EA101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7432C"/>
    <w:multiLevelType w:val="hybridMultilevel"/>
    <w:tmpl w:val="495E2F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4F52A45"/>
    <w:multiLevelType w:val="hybridMultilevel"/>
    <w:tmpl w:val="CA3E23F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9A7708"/>
    <w:multiLevelType w:val="hybridMultilevel"/>
    <w:tmpl w:val="651EB3FC"/>
    <w:lvl w:ilvl="0" w:tplc="4E08E45A">
      <w:start w:val="1"/>
      <w:numFmt w:val="bullet"/>
      <w:lvlText w:val="•"/>
      <w:lvlJc w:val="left"/>
      <w:pPr>
        <w:tabs>
          <w:tab w:val="num" w:pos="720"/>
        </w:tabs>
        <w:ind w:left="720" w:hanging="360"/>
      </w:pPr>
      <w:rPr>
        <w:rFonts w:ascii="Arial" w:hAnsi="Arial" w:hint="default"/>
      </w:rPr>
    </w:lvl>
    <w:lvl w:ilvl="1" w:tplc="CCECFEAC">
      <w:start w:val="2720"/>
      <w:numFmt w:val="bullet"/>
      <w:lvlText w:val="•"/>
      <w:lvlJc w:val="left"/>
      <w:pPr>
        <w:tabs>
          <w:tab w:val="num" w:pos="1440"/>
        </w:tabs>
        <w:ind w:left="1440" w:hanging="360"/>
      </w:pPr>
      <w:rPr>
        <w:rFonts w:ascii="Arial" w:hAnsi="Arial" w:hint="default"/>
      </w:rPr>
    </w:lvl>
    <w:lvl w:ilvl="2" w:tplc="9D22CEE8" w:tentative="1">
      <w:start w:val="1"/>
      <w:numFmt w:val="bullet"/>
      <w:lvlText w:val="•"/>
      <w:lvlJc w:val="left"/>
      <w:pPr>
        <w:tabs>
          <w:tab w:val="num" w:pos="2160"/>
        </w:tabs>
        <w:ind w:left="2160" w:hanging="360"/>
      </w:pPr>
      <w:rPr>
        <w:rFonts w:ascii="Arial" w:hAnsi="Arial" w:hint="default"/>
      </w:rPr>
    </w:lvl>
    <w:lvl w:ilvl="3" w:tplc="316C68EA" w:tentative="1">
      <w:start w:val="1"/>
      <w:numFmt w:val="bullet"/>
      <w:lvlText w:val="•"/>
      <w:lvlJc w:val="left"/>
      <w:pPr>
        <w:tabs>
          <w:tab w:val="num" w:pos="2880"/>
        </w:tabs>
        <w:ind w:left="2880" w:hanging="360"/>
      </w:pPr>
      <w:rPr>
        <w:rFonts w:ascii="Arial" w:hAnsi="Arial" w:hint="default"/>
      </w:rPr>
    </w:lvl>
    <w:lvl w:ilvl="4" w:tplc="6908F0B6" w:tentative="1">
      <w:start w:val="1"/>
      <w:numFmt w:val="bullet"/>
      <w:lvlText w:val="•"/>
      <w:lvlJc w:val="left"/>
      <w:pPr>
        <w:tabs>
          <w:tab w:val="num" w:pos="3600"/>
        </w:tabs>
        <w:ind w:left="3600" w:hanging="360"/>
      </w:pPr>
      <w:rPr>
        <w:rFonts w:ascii="Arial" w:hAnsi="Arial" w:hint="default"/>
      </w:rPr>
    </w:lvl>
    <w:lvl w:ilvl="5" w:tplc="10D29B26" w:tentative="1">
      <w:start w:val="1"/>
      <w:numFmt w:val="bullet"/>
      <w:lvlText w:val="•"/>
      <w:lvlJc w:val="left"/>
      <w:pPr>
        <w:tabs>
          <w:tab w:val="num" w:pos="4320"/>
        </w:tabs>
        <w:ind w:left="4320" w:hanging="360"/>
      </w:pPr>
      <w:rPr>
        <w:rFonts w:ascii="Arial" w:hAnsi="Arial" w:hint="default"/>
      </w:rPr>
    </w:lvl>
    <w:lvl w:ilvl="6" w:tplc="92E6103C" w:tentative="1">
      <w:start w:val="1"/>
      <w:numFmt w:val="bullet"/>
      <w:lvlText w:val="•"/>
      <w:lvlJc w:val="left"/>
      <w:pPr>
        <w:tabs>
          <w:tab w:val="num" w:pos="5040"/>
        </w:tabs>
        <w:ind w:left="5040" w:hanging="360"/>
      </w:pPr>
      <w:rPr>
        <w:rFonts w:ascii="Arial" w:hAnsi="Arial" w:hint="default"/>
      </w:rPr>
    </w:lvl>
    <w:lvl w:ilvl="7" w:tplc="35CA01F6" w:tentative="1">
      <w:start w:val="1"/>
      <w:numFmt w:val="bullet"/>
      <w:lvlText w:val="•"/>
      <w:lvlJc w:val="left"/>
      <w:pPr>
        <w:tabs>
          <w:tab w:val="num" w:pos="5760"/>
        </w:tabs>
        <w:ind w:left="5760" w:hanging="360"/>
      </w:pPr>
      <w:rPr>
        <w:rFonts w:ascii="Arial" w:hAnsi="Arial" w:hint="default"/>
      </w:rPr>
    </w:lvl>
    <w:lvl w:ilvl="8" w:tplc="81401A4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A441C9"/>
    <w:multiLevelType w:val="hybridMultilevel"/>
    <w:tmpl w:val="20C8FBAA"/>
    <w:lvl w:ilvl="0" w:tplc="94C23D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A449AF"/>
    <w:multiLevelType w:val="hybridMultilevel"/>
    <w:tmpl w:val="DB0E69DA"/>
    <w:lvl w:ilvl="0" w:tplc="C4DE19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9B56E1"/>
    <w:multiLevelType w:val="hybridMultilevel"/>
    <w:tmpl w:val="61B267B4"/>
    <w:lvl w:ilvl="0" w:tplc="D41A6A7E">
      <w:start w:val="1"/>
      <w:numFmt w:val="bullet"/>
      <w:lvlText w:val="•"/>
      <w:lvlJc w:val="left"/>
      <w:pPr>
        <w:tabs>
          <w:tab w:val="num" w:pos="720"/>
        </w:tabs>
        <w:ind w:left="720" w:hanging="360"/>
      </w:pPr>
      <w:rPr>
        <w:rFonts w:ascii="Arial" w:hAnsi="Arial" w:hint="default"/>
      </w:rPr>
    </w:lvl>
    <w:lvl w:ilvl="1" w:tplc="F4F627EA" w:tentative="1">
      <w:start w:val="1"/>
      <w:numFmt w:val="bullet"/>
      <w:lvlText w:val="•"/>
      <w:lvlJc w:val="left"/>
      <w:pPr>
        <w:tabs>
          <w:tab w:val="num" w:pos="1440"/>
        </w:tabs>
        <w:ind w:left="1440" w:hanging="360"/>
      </w:pPr>
      <w:rPr>
        <w:rFonts w:ascii="Arial" w:hAnsi="Arial" w:hint="default"/>
      </w:rPr>
    </w:lvl>
    <w:lvl w:ilvl="2" w:tplc="81C02FF4">
      <w:start w:val="1"/>
      <w:numFmt w:val="bullet"/>
      <w:lvlText w:val="•"/>
      <w:lvlJc w:val="left"/>
      <w:pPr>
        <w:tabs>
          <w:tab w:val="num" w:pos="2160"/>
        </w:tabs>
        <w:ind w:left="2160" w:hanging="360"/>
      </w:pPr>
      <w:rPr>
        <w:rFonts w:ascii="Arial" w:hAnsi="Arial" w:hint="default"/>
      </w:rPr>
    </w:lvl>
    <w:lvl w:ilvl="3" w:tplc="FD16E39A" w:tentative="1">
      <w:start w:val="1"/>
      <w:numFmt w:val="bullet"/>
      <w:lvlText w:val="•"/>
      <w:lvlJc w:val="left"/>
      <w:pPr>
        <w:tabs>
          <w:tab w:val="num" w:pos="2880"/>
        </w:tabs>
        <w:ind w:left="2880" w:hanging="360"/>
      </w:pPr>
      <w:rPr>
        <w:rFonts w:ascii="Arial" w:hAnsi="Arial" w:hint="default"/>
      </w:rPr>
    </w:lvl>
    <w:lvl w:ilvl="4" w:tplc="340C4074" w:tentative="1">
      <w:start w:val="1"/>
      <w:numFmt w:val="bullet"/>
      <w:lvlText w:val="•"/>
      <w:lvlJc w:val="left"/>
      <w:pPr>
        <w:tabs>
          <w:tab w:val="num" w:pos="3600"/>
        </w:tabs>
        <w:ind w:left="3600" w:hanging="360"/>
      </w:pPr>
      <w:rPr>
        <w:rFonts w:ascii="Arial" w:hAnsi="Arial" w:hint="default"/>
      </w:rPr>
    </w:lvl>
    <w:lvl w:ilvl="5" w:tplc="0CFEEA30" w:tentative="1">
      <w:start w:val="1"/>
      <w:numFmt w:val="bullet"/>
      <w:lvlText w:val="•"/>
      <w:lvlJc w:val="left"/>
      <w:pPr>
        <w:tabs>
          <w:tab w:val="num" w:pos="4320"/>
        </w:tabs>
        <w:ind w:left="4320" w:hanging="360"/>
      </w:pPr>
      <w:rPr>
        <w:rFonts w:ascii="Arial" w:hAnsi="Arial" w:hint="default"/>
      </w:rPr>
    </w:lvl>
    <w:lvl w:ilvl="6" w:tplc="B290F0C6" w:tentative="1">
      <w:start w:val="1"/>
      <w:numFmt w:val="bullet"/>
      <w:lvlText w:val="•"/>
      <w:lvlJc w:val="left"/>
      <w:pPr>
        <w:tabs>
          <w:tab w:val="num" w:pos="5040"/>
        </w:tabs>
        <w:ind w:left="5040" w:hanging="360"/>
      </w:pPr>
      <w:rPr>
        <w:rFonts w:ascii="Arial" w:hAnsi="Arial" w:hint="default"/>
      </w:rPr>
    </w:lvl>
    <w:lvl w:ilvl="7" w:tplc="89DC54BE" w:tentative="1">
      <w:start w:val="1"/>
      <w:numFmt w:val="bullet"/>
      <w:lvlText w:val="•"/>
      <w:lvlJc w:val="left"/>
      <w:pPr>
        <w:tabs>
          <w:tab w:val="num" w:pos="5760"/>
        </w:tabs>
        <w:ind w:left="5760" w:hanging="360"/>
      </w:pPr>
      <w:rPr>
        <w:rFonts w:ascii="Arial" w:hAnsi="Arial" w:hint="default"/>
      </w:rPr>
    </w:lvl>
    <w:lvl w:ilvl="8" w:tplc="5772106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3A2A21"/>
    <w:multiLevelType w:val="hybridMultilevel"/>
    <w:tmpl w:val="3692C98A"/>
    <w:lvl w:ilvl="0" w:tplc="E7C2C2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DD5FEC"/>
    <w:multiLevelType w:val="hybridMultilevel"/>
    <w:tmpl w:val="6878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3"/>
  </w:num>
  <w:num w:numId="3">
    <w:abstractNumId w:val="26"/>
  </w:num>
  <w:num w:numId="4">
    <w:abstractNumId w:val="18"/>
  </w:num>
  <w:num w:numId="5">
    <w:abstractNumId w:val="9"/>
  </w:num>
  <w:num w:numId="6">
    <w:abstractNumId w:val="27"/>
  </w:num>
  <w:num w:numId="7">
    <w:abstractNumId w:val="8"/>
  </w:num>
  <w:num w:numId="8">
    <w:abstractNumId w:val="25"/>
  </w:num>
  <w:num w:numId="9">
    <w:abstractNumId w:val="3"/>
  </w:num>
  <w:num w:numId="10">
    <w:abstractNumId w:val="14"/>
  </w:num>
  <w:num w:numId="11">
    <w:abstractNumId w:val="0"/>
  </w:num>
  <w:num w:numId="12">
    <w:abstractNumId w:val="20"/>
  </w:num>
  <w:num w:numId="13">
    <w:abstractNumId w:val="29"/>
  </w:num>
  <w:num w:numId="14">
    <w:abstractNumId w:val="11"/>
  </w:num>
  <w:num w:numId="15">
    <w:abstractNumId w:val="2"/>
  </w:num>
  <w:num w:numId="16">
    <w:abstractNumId w:val="21"/>
  </w:num>
  <w:num w:numId="17">
    <w:abstractNumId w:val="7"/>
  </w:num>
  <w:num w:numId="18">
    <w:abstractNumId w:val="10"/>
  </w:num>
  <w:num w:numId="19">
    <w:abstractNumId w:val="1"/>
  </w:num>
  <w:num w:numId="20">
    <w:abstractNumId w:val="15"/>
  </w:num>
  <w:num w:numId="21">
    <w:abstractNumId w:val="13"/>
  </w:num>
  <w:num w:numId="22">
    <w:abstractNumId w:val="4"/>
  </w:num>
  <w:num w:numId="23">
    <w:abstractNumId w:val="22"/>
  </w:num>
  <w:num w:numId="24">
    <w:abstractNumId w:val="24"/>
  </w:num>
  <w:num w:numId="25">
    <w:abstractNumId w:val="31"/>
  </w:num>
  <w:num w:numId="26">
    <w:abstractNumId w:val="17"/>
  </w:num>
  <w:num w:numId="27">
    <w:abstractNumId w:val="30"/>
  </w:num>
  <w:num w:numId="28">
    <w:abstractNumId w:val="28"/>
  </w:num>
  <w:num w:numId="29">
    <w:abstractNumId w:val="6"/>
  </w:num>
  <w:num w:numId="30">
    <w:abstractNumId w:val="19"/>
  </w:num>
  <w:num w:numId="31">
    <w:abstractNumId w:val="5"/>
  </w:num>
  <w:num w:numId="3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hdrShapeDefaults>
    <o:shapedefaults v:ext="edit" spidmax="14337"/>
  </w:hdrShapeDefaults>
  <w:footnotePr>
    <w:numFmt w:val="lowerRoman"/>
    <w:footnote w:id="-1"/>
    <w:footnote w:id="0"/>
    <w:footnote w:id="1"/>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4D3F32B-DF5B-4AEE-946E-A712BE8A33F1}"/>
    <w:docVar w:name="dgnword-eventsink" w:val="276797792"/>
    <w:docVar w:name="EN.InstantFormat" w:val="&lt;ENInstantFormat&gt;&lt;Enabled&gt;0&lt;/Enabled&gt;&lt;ScanUnformatted&gt;0&lt;/ScanUnformatted&gt;&lt;ScanChanges&gt;0&lt;/ScanChanges&gt;&lt;Suspended&gt;0&lt;/Suspended&gt;&lt;/ENInstantFormat&gt;"/>
    <w:docVar w:name="EN.Layout" w:val="&lt;ENLayout&gt;&lt;Style&gt;Vancouver_PsychServic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02d9srt525vsredawwvt0alfwx0xzzetfsw&quot;&gt;polypharmacy&lt;record-ids&gt;&lt;item&gt;1&lt;/item&gt;&lt;item&gt;3&lt;/item&gt;&lt;item&gt;5&lt;/item&gt;&lt;item&gt;7&lt;/item&gt;&lt;item&gt;19&lt;/item&gt;&lt;item&gt;37&lt;/item&gt;&lt;item&gt;42&lt;/item&gt;&lt;item&gt;44&lt;/item&gt;&lt;item&gt;45&lt;/item&gt;&lt;item&gt;48&lt;/item&gt;&lt;item&gt;51&lt;/item&gt;&lt;item&gt;55&lt;/item&gt;&lt;item&gt;58&lt;/item&gt;&lt;item&gt;59&lt;/item&gt;&lt;item&gt;71&lt;/item&gt;&lt;item&gt;76&lt;/item&gt;&lt;item&gt;78&lt;/item&gt;&lt;item&gt;79&lt;/item&gt;&lt;item&gt;84&lt;/item&gt;&lt;item&gt;85&lt;/item&gt;&lt;item&gt;86&lt;/item&gt;&lt;item&gt;87&lt;/item&gt;&lt;item&gt;92&lt;/item&gt;&lt;item&gt;93&lt;/item&gt;&lt;item&gt;94&lt;/item&gt;&lt;item&gt;97&lt;/item&gt;&lt;/record-ids&gt;&lt;/item&gt;&lt;/Libraries&gt;"/>
  </w:docVars>
  <w:rsids>
    <w:rsidRoot w:val="00996E17"/>
    <w:rsid w:val="00000A2C"/>
    <w:rsid w:val="00000C1F"/>
    <w:rsid w:val="00000E1A"/>
    <w:rsid w:val="000015B9"/>
    <w:rsid w:val="0000169B"/>
    <w:rsid w:val="000021D5"/>
    <w:rsid w:val="0000220C"/>
    <w:rsid w:val="00002555"/>
    <w:rsid w:val="000037E2"/>
    <w:rsid w:val="0000383F"/>
    <w:rsid w:val="00003ACB"/>
    <w:rsid w:val="00004D5E"/>
    <w:rsid w:val="00006343"/>
    <w:rsid w:val="00006482"/>
    <w:rsid w:val="00006CD2"/>
    <w:rsid w:val="0000718A"/>
    <w:rsid w:val="00007B19"/>
    <w:rsid w:val="00007CFA"/>
    <w:rsid w:val="00011068"/>
    <w:rsid w:val="000110F5"/>
    <w:rsid w:val="00011277"/>
    <w:rsid w:val="000114E3"/>
    <w:rsid w:val="00012B48"/>
    <w:rsid w:val="00012C11"/>
    <w:rsid w:val="000130EB"/>
    <w:rsid w:val="0001361A"/>
    <w:rsid w:val="00013AC3"/>
    <w:rsid w:val="00013B29"/>
    <w:rsid w:val="000147FF"/>
    <w:rsid w:val="0001480C"/>
    <w:rsid w:val="00014EB0"/>
    <w:rsid w:val="00014F72"/>
    <w:rsid w:val="00015674"/>
    <w:rsid w:val="00015D71"/>
    <w:rsid w:val="00016371"/>
    <w:rsid w:val="00016A80"/>
    <w:rsid w:val="00016D01"/>
    <w:rsid w:val="00017704"/>
    <w:rsid w:val="00017C86"/>
    <w:rsid w:val="00017D9B"/>
    <w:rsid w:val="0002028F"/>
    <w:rsid w:val="00020BD9"/>
    <w:rsid w:val="00020E5C"/>
    <w:rsid w:val="00021459"/>
    <w:rsid w:val="0002325D"/>
    <w:rsid w:val="000237CC"/>
    <w:rsid w:val="0002436B"/>
    <w:rsid w:val="00024E39"/>
    <w:rsid w:val="00025A73"/>
    <w:rsid w:val="0002617C"/>
    <w:rsid w:val="00026A07"/>
    <w:rsid w:val="00027AE4"/>
    <w:rsid w:val="0003035E"/>
    <w:rsid w:val="000305B0"/>
    <w:rsid w:val="00030B1E"/>
    <w:rsid w:val="0003109E"/>
    <w:rsid w:val="00031470"/>
    <w:rsid w:val="000315A4"/>
    <w:rsid w:val="00031A90"/>
    <w:rsid w:val="00031F6A"/>
    <w:rsid w:val="00032753"/>
    <w:rsid w:val="0003305F"/>
    <w:rsid w:val="00033BB7"/>
    <w:rsid w:val="0003448F"/>
    <w:rsid w:val="00034531"/>
    <w:rsid w:val="00034730"/>
    <w:rsid w:val="00034954"/>
    <w:rsid w:val="000349E0"/>
    <w:rsid w:val="00035824"/>
    <w:rsid w:val="00036607"/>
    <w:rsid w:val="00036AD8"/>
    <w:rsid w:val="000371C2"/>
    <w:rsid w:val="0003754C"/>
    <w:rsid w:val="00037C8D"/>
    <w:rsid w:val="000404D3"/>
    <w:rsid w:val="000407D2"/>
    <w:rsid w:val="00041A1C"/>
    <w:rsid w:val="00042816"/>
    <w:rsid w:val="00042AC5"/>
    <w:rsid w:val="00043493"/>
    <w:rsid w:val="000436A4"/>
    <w:rsid w:val="000436F0"/>
    <w:rsid w:val="00043776"/>
    <w:rsid w:val="00045964"/>
    <w:rsid w:val="0004625F"/>
    <w:rsid w:val="00046342"/>
    <w:rsid w:val="0004653F"/>
    <w:rsid w:val="00046869"/>
    <w:rsid w:val="00047EC3"/>
    <w:rsid w:val="000500DB"/>
    <w:rsid w:val="000508B0"/>
    <w:rsid w:val="00051634"/>
    <w:rsid w:val="000517FB"/>
    <w:rsid w:val="00051BDA"/>
    <w:rsid w:val="000523AB"/>
    <w:rsid w:val="00053C3C"/>
    <w:rsid w:val="0005488C"/>
    <w:rsid w:val="00054BE1"/>
    <w:rsid w:val="00055C66"/>
    <w:rsid w:val="00056B12"/>
    <w:rsid w:val="00057223"/>
    <w:rsid w:val="00057B9A"/>
    <w:rsid w:val="00060561"/>
    <w:rsid w:val="00060B58"/>
    <w:rsid w:val="00060B8D"/>
    <w:rsid w:val="00060F04"/>
    <w:rsid w:val="00060FC9"/>
    <w:rsid w:val="000612F7"/>
    <w:rsid w:val="0006176B"/>
    <w:rsid w:val="00061D8F"/>
    <w:rsid w:val="000626CB"/>
    <w:rsid w:val="00062A5C"/>
    <w:rsid w:val="00063754"/>
    <w:rsid w:val="00065355"/>
    <w:rsid w:val="000657B9"/>
    <w:rsid w:val="000660AE"/>
    <w:rsid w:val="00066A39"/>
    <w:rsid w:val="00067144"/>
    <w:rsid w:val="000678EE"/>
    <w:rsid w:val="00067B76"/>
    <w:rsid w:val="0007129A"/>
    <w:rsid w:val="0007153B"/>
    <w:rsid w:val="000716BE"/>
    <w:rsid w:val="00071C5D"/>
    <w:rsid w:val="000732BD"/>
    <w:rsid w:val="000738B3"/>
    <w:rsid w:val="0007524D"/>
    <w:rsid w:val="000757CC"/>
    <w:rsid w:val="00076200"/>
    <w:rsid w:val="000764E4"/>
    <w:rsid w:val="000775A4"/>
    <w:rsid w:val="000775DC"/>
    <w:rsid w:val="00077E45"/>
    <w:rsid w:val="00077FC7"/>
    <w:rsid w:val="00081483"/>
    <w:rsid w:val="000828B8"/>
    <w:rsid w:val="0008297D"/>
    <w:rsid w:val="00083149"/>
    <w:rsid w:val="000832B1"/>
    <w:rsid w:val="000832CA"/>
    <w:rsid w:val="00083376"/>
    <w:rsid w:val="0008343B"/>
    <w:rsid w:val="00084130"/>
    <w:rsid w:val="00085803"/>
    <w:rsid w:val="000858E4"/>
    <w:rsid w:val="000862AC"/>
    <w:rsid w:val="000871AB"/>
    <w:rsid w:val="0009036B"/>
    <w:rsid w:val="00090C58"/>
    <w:rsid w:val="00090DB9"/>
    <w:rsid w:val="0009102E"/>
    <w:rsid w:val="00091D9E"/>
    <w:rsid w:val="000928F5"/>
    <w:rsid w:val="00092968"/>
    <w:rsid w:val="00092EA4"/>
    <w:rsid w:val="000936D3"/>
    <w:rsid w:val="00093825"/>
    <w:rsid w:val="00093A27"/>
    <w:rsid w:val="0009451C"/>
    <w:rsid w:val="00094E83"/>
    <w:rsid w:val="00095619"/>
    <w:rsid w:val="00095733"/>
    <w:rsid w:val="0009586C"/>
    <w:rsid w:val="00095903"/>
    <w:rsid w:val="00095B2D"/>
    <w:rsid w:val="00095E68"/>
    <w:rsid w:val="00095F27"/>
    <w:rsid w:val="00096322"/>
    <w:rsid w:val="000969D6"/>
    <w:rsid w:val="0009713B"/>
    <w:rsid w:val="000A0141"/>
    <w:rsid w:val="000A06D0"/>
    <w:rsid w:val="000A0D63"/>
    <w:rsid w:val="000A0EBF"/>
    <w:rsid w:val="000A14D8"/>
    <w:rsid w:val="000A1968"/>
    <w:rsid w:val="000A2C97"/>
    <w:rsid w:val="000A2D5D"/>
    <w:rsid w:val="000A314C"/>
    <w:rsid w:val="000A34AE"/>
    <w:rsid w:val="000A359E"/>
    <w:rsid w:val="000A363B"/>
    <w:rsid w:val="000A5D5D"/>
    <w:rsid w:val="000A614E"/>
    <w:rsid w:val="000A6D4A"/>
    <w:rsid w:val="000A6D79"/>
    <w:rsid w:val="000A7850"/>
    <w:rsid w:val="000A79C7"/>
    <w:rsid w:val="000B1050"/>
    <w:rsid w:val="000B19FF"/>
    <w:rsid w:val="000B3060"/>
    <w:rsid w:val="000B34F9"/>
    <w:rsid w:val="000B3661"/>
    <w:rsid w:val="000B3B49"/>
    <w:rsid w:val="000B4102"/>
    <w:rsid w:val="000B451B"/>
    <w:rsid w:val="000B4FF6"/>
    <w:rsid w:val="000B5ABD"/>
    <w:rsid w:val="000B67AD"/>
    <w:rsid w:val="000B6C6E"/>
    <w:rsid w:val="000B7936"/>
    <w:rsid w:val="000B7A77"/>
    <w:rsid w:val="000C0413"/>
    <w:rsid w:val="000C04BF"/>
    <w:rsid w:val="000C0749"/>
    <w:rsid w:val="000C09AA"/>
    <w:rsid w:val="000C0E08"/>
    <w:rsid w:val="000C0EB0"/>
    <w:rsid w:val="000C1303"/>
    <w:rsid w:val="000C15D4"/>
    <w:rsid w:val="000C2A5D"/>
    <w:rsid w:val="000C415A"/>
    <w:rsid w:val="000C4379"/>
    <w:rsid w:val="000C4383"/>
    <w:rsid w:val="000C4F51"/>
    <w:rsid w:val="000C503E"/>
    <w:rsid w:val="000C6134"/>
    <w:rsid w:val="000C628D"/>
    <w:rsid w:val="000C6D19"/>
    <w:rsid w:val="000C7376"/>
    <w:rsid w:val="000C7860"/>
    <w:rsid w:val="000D019D"/>
    <w:rsid w:val="000D02C6"/>
    <w:rsid w:val="000D0626"/>
    <w:rsid w:val="000D0B9A"/>
    <w:rsid w:val="000D0D34"/>
    <w:rsid w:val="000D11CC"/>
    <w:rsid w:val="000D1893"/>
    <w:rsid w:val="000D1AA7"/>
    <w:rsid w:val="000D24B6"/>
    <w:rsid w:val="000D2EFC"/>
    <w:rsid w:val="000D32A7"/>
    <w:rsid w:val="000D38B0"/>
    <w:rsid w:val="000D3D82"/>
    <w:rsid w:val="000D3E04"/>
    <w:rsid w:val="000D4606"/>
    <w:rsid w:val="000D5644"/>
    <w:rsid w:val="000D5A14"/>
    <w:rsid w:val="000D5B06"/>
    <w:rsid w:val="000D7098"/>
    <w:rsid w:val="000D7BB1"/>
    <w:rsid w:val="000E01C8"/>
    <w:rsid w:val="000E163D"/>
    <w:rsid w:val="000E1D0B"/>
    <w:rsid w:val="000E2112"/>
    <w:rsid w:val="000E22B9"/>
    <w:rsid w:val="000E26A3"/>
    <w:rsid w:val="000E27F6"/>
    <w:rsid w:val="000E317D"/>
    <w:rsid w:val="000E3FB3"/>
    <w:rsid w:val="000E423D"/>
    <w:rsid w:val="000E4399"/>
    <w:rsid w:val="000E4ABE"/>
    <w:rsid w:val="000E561D"/>
    <w:rsid w:val="000E5E45"/>
    <w:rsid w:val="000E62FF"/>
    <w:rsid w:val="000E6828"/>
    <w:rsid w:val="000E7992"/>
    <w:rsid w:val="000E7A83"/>
    <w:rsid w:val="000F001C"/>
    <w:rsid w:val="000F1709"/>
    <w:rsid w:val="000F265F"/>
    <w:rsid w:val="000F3627"/>
    <w:rsid w:val="000F4412"/>
    <w:rsid w:val="000F477E"/>
    <w:rsid w:val="000F4CFA"/>
    <w:rsid w:val="000F5BEB"/>
    <w:rsid w:val="000F6A96"/>
    <w:rsid w:val="000F6C15"/>
    <w:rsid w:val="000F6C65"/>
    <w:rsid w:val="000F7970"/>
    <w:rsid w:val="0010065F"/>
    <w:rsid w:val="00100838"/>
    <w:rsid w:val="001008B9"/>
    <w:rsid w:val="00100A8B"/>
    <w:rsid w:val="00101676"/>
    <w:rsid w:val="0010177E"/>
    <w:rsid w:val="001033B0"/>
    <w:rsid w:val="00103759"/>
    <w:rsid w:val="001040F6"/>
    <w:rsid w:val="00104649"/>
    <w:rsid w:val="001048AE"/>
    <w:rsid w:val="001055F4"/>
    <w:rsid w:val="00105A22"/>
    <w:rsid w:val="00106580"/>
    <w:rsid w:val="00107372"/>
    <w:rsid w:val="00107483"/>
    <w:rsid w:val="00107B95"/>
    <w:rsid w:val="00110C17"/>
    <w:rsid w:val="00112207"/>
    <w:rsid w:val="00112582"/>
    <w:rsid w:val="00112830"/>
    <w:rsid w:val="00112C64"/>
    <w:rsid w:val="00112FB8"/>
    <w:rsid w:val="00113A14"/>
    <w:rsid w:val="001140B4"/>
    <w:rsid w:val="00114A0F"/>
    <w:rsid w:val="00114ECB"/>
    <w:rsid w:val="0011559A"/>
    <w:rsid w:val="001156CC"/>
    <w:rsid w:val="00115ABA"/>
    <w:rsid w:val="00116083"/>
    <w:rsid w:val="00116090"/>
    <w:rsid w:val="001201A5"/>
    <w:rsid w:val="00120567"/>
    <w:rsid w:val="00120A01"/>
    <w:rsid w:val="00120B94"/>
    <w:rsid w:val="00120D9C"/>
    <w:rsid w:val="001218D0"/>
    <w:rsid w:val="00121CEE"/>
    <w:rsid w:val="0012326F"/>
    <w:rsid w:val="001232E9"/>
    <w:rsid w:val="001239B5"/>
    <w:rsid w:val="00124AE5"/>
    <w:rsid w:val="00124E10"/>
    <w:rsid w:val="001253A9"/>
    <w:rsid w:val="00125621"/>
    <w:rsid w:val="00125845"/>
    <w:rsid w:val="00127524"/>
    <w:rsid w:val="001300EF"/>
    <w:rsid w:val="00130119"/>
    <w:rsid w:val="00130509"/>
    <w:rsid w:val="001307B5"/>
    <w:rsid w:val="001313C2"/>
    <w:rsid w:val="0013177F"/>
    <w:rsid w:val="001319A4"/>
    <w:rsid w:val="00131C71"/>
    <w:rsid w:val="00131F83"/>
    <w:rsid w:val="0013225F"/>
    <w:rsid w:val="001327F1"/>
    <w:rsid w:val="001328E5"/>
    <w:rsid w:val="00132EF3"/>
    <w:rsid w:val="0013303A"/>
    <w:rsid w:val="0013333B"/>
    <w:rsid w:val="00133AB7"/>
    <w:rsid w:val="001340BE"/>
    <w:rsid w:val="001348EC"/>
    <w:rsid w:val="00134AB7"/>
    <w:rsid w:val="00134F35"/>
    <w:rsid w:val="00134FFD"/>
    <w:rsid w:val="00135681"/>
    <w:rsid w:val="00135D8A"/>
    <w:rsid w:val="00135EAD"/>
    <w:rsid w:val="00136F37"/>
    <w:rsid w:val="001374D4"/>
    <w:rsid w:val="00137881"/>
    <w:rsid w:val="0014033C"/>
    <w:rsid w:val="00140568"/>
    <w:rsid w:val="0014120E"/>
    <w:rsid w:val="00141F66"/>
    <w:rsid w:val="001420B9"/>
    <w:rsid w:val="00142E63"/>
    <w:rsid w:val="00143A80"/>
    <w:rsid w:val="001441E4"/>
    <w:rsid w:val="0014422D"/>
    <w:rsid w:val="0014477C"/>
    <w:rsid w:val="00145B15"/>
    <w:rsid w:val="00145CCD"/>
    <w:rsid w:val="001460DB"/>
    <w:rsid w:val="0014642C"/>
    <w:rsid w:val="001471CE"/>
    <w:rsid w:val="0014738C"/>
    <w:rsid w:val="001473AC"/>
    <w:rsid w:val="001479FC"/>
    <w:rsid w:val="0015032D"/>
    <w:rsid w:val="00153521"/>
    <w:rsid w:val="001536A7"/>
    <w:rsid w:val="001538E2"/>
    <w:rsid w:val="00153E53"/>
    <w:rsid w:val="001545CA"/>
    <w:rsid w:val="001557E3"/>
    <w:rsid w:val="00155915"/>
    <w:rsid w:val="001572D5"/>
    <w:rsid w:val="0015750B"/>
    <w:rsid w:val="0015759C"/>
    <w:rsid w:val="001578A5"/>
    <w:rsid w:val="00161021"/>
    <w:rsid w:val="001611F3"/>
    <w:rsid w:val="001632F3"/>
    <w:rsid w:val="00163DB0"/>
    <w:rsid w:val="00166820"/>
    <w:rsid w:val="00166A07"/>
    <w:rsid w:val="00166C4C"/>
    <w:rsid w:val="001670F9"/>
    <w:rsid w:val="00167ECE"/>
    <w:rsid w:val="00167F85"/>
    <w:rsid w:val="00170537"/>
    <w:rsid w:val="001707B3"/>
    <w:rsid w:val="00170DBE"/>
    <w:rsid w:val="0017197E"/>
    <w:rsid w:val="00171B9D"/>
    <w:rsid w:val="00172F88"/>
    <w:rsid w:val="00173BBC"/>
    <w:rsid w:val="00173FDC"/>
    <w:rsid w:val="0017557C"/>
    <w:rsid w:val="00175583"/>
    <w:rsid w:val="001762CA"/>
    <w:rsid w:val="001762F7"/>
    <w:rsid w:val="00176719"/>
    <w:rsid w:val="00176F84"/>
    <w:rsid w:val="001806E3"/>
    <w:rsid w:val="00180778"/>
    <w:rsid w:val="0018107C"/>
    <w:rsid w:val="00181837"/>
    <w:rsid w:val="001839A5"/>
    <w:rsid w:val="00183BC6"/>
    <w:rsid w:val="00183BDA"/>
    <w:rsid w:val="001849D9"/>
    <w:rsid w:val="00184F2E"/>
    <w:rsid w:val="001853C9"/>
    <w:rsid w:val="00185762"/>
    <w:rsid w:val="0018578C"/>
    <w:rsid w:val="0018579A"/>
    <w:rsid w:val="00185F98"/>
    <w:rsid w:val="00186585"/>
    <w:rsid w:val="001867F8"/>
    <w:rsid w:val="0018754A"/>
    <w:rsid w:val="00190458"/>
    <w:rsid w:val="001905C0"/>
    <w:rsid w:val="00191FCC"/>
    <w:rsid w:val="001923D9"/>
    <w:rsid w:val="0019313E"/>
    <w:rsid w:val="00193660"/>
    <w:rsid w:val="001942C1"/>
    <w:rsid w:val="00194440"/>
    <w:rsid w:val="001946D4"/>
    <w:rsid w:val="001956E0"/>
    <w:rsid w:val="00195991"/>
    <w:rsid w:val="00195A29"/>
    <w:rsid w:val="00195D9C"/>
    <w:rsid w:val="00196172"/>
    <w:rsid w:val="0019687C"/>
    <w:rsid w:val="00196A6C"/>
    <w:rsid w:val="001A0083"/>
    <w:rsid w:val="001A0229"/>
    <w:rsid w:val="001A09CB"/>
    <w:rsid w:val="001A276A"/>
    <w:rsid w:val="001A2841"/>
    <w:rsid w:val="001A2A3A"/>
    <w:rsid w:val="001A3031"/>
    <w:rsid w:val="001A334C"/>
    <w:rsid w:val="001A34E3"/>
    <w:rsid w:val="001A3643"/>
    <w:rsid w:val="001A3FE6"/>
    <w:rsid w:val="001A3FE8"/>
    <w:rsid w:val="001A432B"/>
    <w:rsid w:val="001A4BFE"/>
    <w:rsid w:val="001A5513"/>
    <w:rsid w:val="001A572C"/>
    <w:rsid w:val="001A5E8D"/>
    <w:rsid w:val="001A7148"/>
    <w:rsid w:val="001A72AC"/>
    <w:rsid w:val="001A7319"/>
    <w:rsid w:val="001A7B74"/>
    <w:rsid w:val="001A7DBF"/>
    <w:rsid w:val="001B00DB"/>
    <w:rsid w:val="001B14B1"/>
    <w:rsid w:val="001B19A9"/>
    <w:rsid w:val="001B1D8F"/>
    <w:rsid w:val="001B329E"/>
    <w:rsid w:val="001B44F9"/>
    <w:rsid w:val="001B58A7"/>
    <w:rsid w:val="001B5961"/>
    <w:rsid w:val="001B6BF4"/>
    <w:rsid w:val="001B70C4"/>
    <w:rsid w:val="001B71A2"/>
    <w:rsid w:val="001B75A5"/>
    <w:rsid w:val="001B7A42"/>
    <w:rsid w:val="001B7B40"/>
    <w:rsid w:val="001C0047"/>
    <w:rsid w:val="001C02F9"/>
    <w:rsid w:val="001C196E"/>
    <w:rsid w:val="001C1A27"/>
    <w:rsid w:val="001C29A9"/>
    <w:rsid w:val="001C320E"/>
    <w:rsid w:val="001C320F"/>
    <w:rsid w:val="001C3617"/>
    <w:rsid w:val="001C3715"/>
    <w:rsid w:val="001C3795"/>
    <w:rsid w:val="001C3B75"/>
    <w:rsid w:val="001C3E9C"/>
    <w:rsid w:val="001C4E8D"/>
    <w:rsid w:val="001C4F29"/>
    <w:rsid w:val="001C5018"/>
    <w:rsid w:val="001C5627"/>
    <w:rsid w:val="001C656B"/>
    <w:rsid w:val="001C7B81"/>
    <w:rsid w:val="001D018F"/>
    <w:rsid w:val="001D1032"/>
    <w:rsid w:val="001D16A9"/>
    <w:rsid w:val="001D1B2B"/>
    <w:rsid w:val="001D214E"/>
    <w:rsid w:val="001D3AE5"/>
    <w:rsid w:val="001D4D39"/>
    <w:rsid w:val="001D5BF3"/>
    <w:rsid w:val="001D69DA"/>
    <w:rsid w:val="001D6D64"/>
    <w:rsid w:val="001D736E"/>
    <w:rsid w:val="001E06BB"/>
    <w:rsid w:val="001E10CE"/>
    <w:rsid w:val="001E1698"/>
    <w:rsid w:val="001E1917"/>
    <w:rsid w:val="001E2DA1"/>
    <w:rsid w:val="001E2FCF"/>
    <w:rsid w:val="001E32CE"/>
    <w:rsid w:val="001E3F4C"/>
    <w:rsid w:val="001E406D"/>
    <w:rsid w:val="001E4AB8"/>
    <w:rsid w:val="001E4CDA"/>
    <w:rsid w:val="001E4F0F"/>
    <w:rsid w:val="001E51CE"/>
    <w:rsid w:val="001E58A8"/>
    <w:rsid w:val="001E5DA0"/>
    <w:rsid w:val="001E5F7A"/>
    <w:rsid w:val="001E601B"/>
    <w:rsid w:val="001E61AF"/>
    <w:rsid w:val="001E62AE"/>
    <w:rsid w:val="001E75DD"/>
    <w:rsid w:val="001E76F8"/>
    <w:rsid w:val="001F0025"/>
    <w:rsid w:val="001F0721"/>
    <w:rsid w:val="001F0799"/>
    <w:rsid w:val="001F237C"/>
    <w:rsid w:val="001F2443"/>
    <w:rsid w:val="001F2738"/>
    <w:rsid w:val="001F33AA"/>
    <w:rsid w:val="001F3D52"/>
    <w:rsid w:val="001F3D60"/>
    <w:rsid w:val="001F48AD"/>
    <w:rsid w:val="001F4F50"/>
    <w:rsid w:val="001F5350"/>
    <w:rsid w:val="001F540B"/>
    <w:rsid w:val="001F5C1C"/>
    <w:rsid w:val="001F64C6"/>
    <w:rsid w:val="001F64F7"/>
    <w:rsid w:val="001F6F7A"/>
    <w:rsid w:val="001F7114"/>
    <w:rsid w:val="001F7E37"/>
    <w:rsid w:val="001F7EA0"/>
    <w:rsid w:val="0020080A"/>
    <w:rsid w:val="00201DB1"/>
    <w:rsid w:val="002030BA"/>
    <w:rsid w:val="0020339A"/>
    <w:rsid w:val="0020369A"/>
    <w:rsid w:val="00203914"/>
    <w:rsid w:val="002039E8"/>
    <w:rsid w:val="00204355"/>
    <w:rsid w:val="00204CCB"/>
    <w:rsid w:val="0020666E"/>
    <w:rsid w:val="00206AE6"/>
    <w:rsid w:val="00206E55"/>
    <w:rsid w:val="00206E60"/>
    <w:rsid w:val="00207D0E"/>
    <w:rsid w:val="00210027"/>
    <w:rsid w:val="00210F29"/>
    <w:rsid w:val="0021173B"/>
    <w:rsid w:val="00212867"/>
    <w:rsid w:val="00212C13"/>
    <w:rsid w:val="00213302"/>
    <w:rsid w:val="002143A3"/>
    <w:rsid w:val="00214705"/>
    <w:rsid w:val="002173B4"/>
    <w:rsid w:val="00217DA1"/>
    <w:rsid w:val="00220123"/>
    <w:rsid w:val="00220430"/>
    <w:rsid w:val="00220653"/>
    <w:rsid w:val="00220BBE"/>
    <w:rsid w:val="00220FF7"/>
    <w:rsid w:val="00221971"/>
    <w:rsid w:val="00221B01"/>
    <w:rsid w:val="00222E94"/>
    <w:rsid w:val="002243ED"/>
    <w:rsid w:val="002250EF"/>
    <w:rsid w:val="002258A5"/>
    <w:rsid w:val="00225ADB"/>
    <w:rsid w:val="0022624A"/>
    <w:rsid w:val="0022750F"/>
    <w:rsid w:val="00227DF8"/>
    <w:rsid w:val="00227E43"/>
    <w:rsid w:val="00230221"/>
    <w:rsid w:val="00230691"/>
    <w:rsid w:val="00231DF5"/>
    <w:rsid w:val="002323D7"/>
    <w:rsid w:val="00232BA0"/>
    <w:rsid w:val="002335EF"/>
    <w:rsid w:val="00234D3F"/>
    <w:rsid w:val="00235268"/>
    <w:rsid w:val="00235679"/>
    <w:rsid w:val="002357A8"/>
    <w:rsid w:val="0023585D"/>
    <w:rsid w:val="002359EA"/>
    <w:rsid w:val="00235D58"/>
    <w:rsid w:val="0023602D"/>
    <w:rsid w:val="002361FF"/>
    <w:rsid w:val="00236853"/>
    <w:rsid w:val="0023699D"/>
    <w:rsid w:val="00236CE8"/>
    <w:rsid w:val="00236E47"/>
    <w:rsid w:val="00237E15"/>
    <w:rsid w:val="00237E75"/>
    <w:rsid w:val="00240EED"/>
    <w:rsid w:val="00241082"/>
    <w:rsid w:val="00241D59"/>
    <w:rsid w:val="00241EE0"/>
    <w:rsid w:val="00242EE8"/>
    <w:rsid w:val="00243715"/>
    <w:rsid w:val="00244037"/>
    <w:rsid w:val="00244048"/>
    <w:rsid w:val="0024425C"/>
    <w:rsid w:val="00245511"/>
    <w:rsid w:val="0024571F"/>
    <w:rsid w:val="00245A96"/>
    <w:rsid w:val="00245D04"/>
    <w:rsid w:val="00245E6A"/>
    <w:rsid w:val="00246538"/>
    <w:rsid w:val="00246F4F"/>
    <w:rsid w:val="0024717C"/>
    <w:rsid w:val="00251A3C"/>
    <w:rsid w:val="00251F36"/>
    <w:rsid w:val="0025245D"/>
    <w:rsid w:val="002525DA"/>
    <w:rsid w:val="002527EC"/>
    <w:rsid w:val="002532FF"/>
    <w:rsid w:val="00253BC3"/>
    <w:rsid w:val="00253DB7"/>
    <w:rsid w:val="0025562A"/>
    <w:rsid w:val="00255F04"/>
    <w:rsid w:val="0026104F"/>
    <w:rsid w:val="00262F58"/>
    <w:rsid w:val="00263006"/>
    <w:rsid w:val="00263365"/>
    <w:rsid w:val="0026403A"/>
    <w:rsid w:val="00264563"/>
    <w:rsid w:val="00264DED"/>
    <w:rsid w:val="00264EE8"/>
    <w:rsid w:val="00264FE2"/>
    <w:rsid w:val="002660E4"/>
    <w:rsid w:val="00266AEF"/>
    <w:rsid w:val="002672A6"/>
    <w:rsid w:val="0026790A"/>
    <w:rsid w:val="00267969"/>
    <w:rsid w:val="00270417"/>
    <w:rsid w:val="00270A18"/>
    <w:rsid w:val="00272DA0"/>
    <w:rsid w:val="0027347B"/>
    <w:rsid w:val="00273638"/>
    <w:rsid w:val="00274E34"/>
    <w:rsid w:val="00274E9D"/>
    <w:rsid w:val="00275775"/>
    <w:rsid w:val="0027599B"/>
    <w:rsid w:val="00275D05"/>
    <w:rsid w:val="002773D6"/>
    <w:rsid w:val="002774F8"/>
    <w:rsid w:val="00280B2E"/>
    <w:rsid w:val="00280F8C"/>
    <w:rsid w:val="00282071"/>
    <w:rsid w:val="002823A6"/>
    <w:rsid w:val="00282E91"/>
    <w:rsid w:val="00282F56"/>
    <w:rsid w:val="00284E30"/>
    <w:rsid w:val="00286039"/>
    <w:rsid w:val="002866D9"/>
    <w:rsid w:val="002903CB"/>
    <w:rsid w:val="002906A9"/>
    <w:rsid w:val="00291029"/>
    <w:rsid w:val="00291701"/>
    <w:rsid w:val="00292999"/>
    <w:rsid w:val="0029375D"/>
    <w:rsid w:val="00293A23"/>
    <w:rsid w:val="00294707"/>
    <w:rsid w:val="00294C4F"/>
    <w:rsid w:val="0029515D"/>
    <w:rsid w:val="0029521A"/>
    <w:rsid w:val="00296416"/>
    <w:rsid w:val="00296607"/>
    <w:rsid w:val="00296FAB"/>
    <w:rsid w:val="0029773C"/>
    <w:rsid w:val="002977F0"/>
    <w:rsid w:val="002979DD"/>
    <w:rsid w:val="00297A0B"/>
    <w:rsid w:val="00297ECD"/>
    <w:rsid w:val="002A01D3"/>
    <w:rsid w:val="002A04F4"/>
    <w:rsid w:val="002A1156"/>
    <w:rsid w:val="002A205C"/>
    <w:rsid w:val="002A29BA"/>
    <w:rsid w:val="002A3351"/>
    <w:rsid w:val="002A3615"/>
    <w:rsid w:val="002A4992"/>
    <w:rsid w:val="002A5317"/>
    <w:rsid w:val="002A56C8"/>
    <w:rsid w:val="002A67AB"/>
    <w:rsid w:val="002A6EA4"/>
    <w:rsid w:val="002A713B"/>
    <w:rsid w:val="002A71F0"/>
    <w:rsid w:val="002A7340"/>
    <w:rsid w:val="002B0054"/>
    <w:rsid w:val="002B0976"/>
    <w:rsid w:val="002B0CBC"/>
    <w:rsid w:val="002B221F"/>
    <w:rsid w:val="002B2262"/>
    <w:rsid w:val="002B3739"/>
    <w:rsid w:val="002B5584"/>
    <w:rsid w:val="002B57A7"/>
    <w:rsid w:val="002B58B9"/>
    <w:rsid w:val="002B6E36"/>
    <w:rsid w:val="002C0286"/>
    <w:rsid w:val="002C146E"/>
    <w:rsid w:val="002C159E"/>
    <w:rsid w:val="002C3A7D"/>
    <w:rsid w:val="002C3C85"/>
    <w:rsid w:val="002C3F3E"/>
    <w:rsid w:val="002C41EE"/>
    <w:rsid w:val="002C432E"/>
    <w:rsid w:val="002C4430"/>
    <w:rsid w:val="002C4CAC"/>
    <w:rsid w:val="002C7325"/>
    <w:rsid w:val="002C754C"/>
    <w:rsid w:val="002C7E4E"/>
    <w:rsid w:val="002D04E4"/>
    <w:rsid w:val="002D07F8"/>
    <w:rsid w:val="002D08DD"/>
    <w:rsid w:val="002D1EFE"/>
    <w:rsid w:val="002D222A"/>
    <w:rsid w:val="002D3331"/>
    <w:rsid w:val="002D38B9"/>
    <w:rsid w:val="002D4562"/>
    <w:rsid w:val="002D456C"/>
    <w:rsid w:val="002D4A85"/>
    <w:rsid w:val="002D5779"/>
    <w:rsid w:val="002D5F03"/>
    <w:rsid w:val="002D5F64"/>
    <w:rsid w:val="002D627E"/>
    <w:rsid w:val="002D6A40"/>
    <w:rsid w:val="002D6C37"/>
    <w:rsid w:val="002D77BD"/>
    <w:rsid w:val="002D7B85"/>
    <w:rsid w:val="002E001F"/>
    <w:rsid w:val="002E01CE"/>
    <w:rsid w:val="002E09D0"/>
    <w:rsid w:val="002E19F5"/>
    <w:rsid w:val="002E1A68"/>
    <w:rsid w:val="002E3032"/>
    <w:rsid w:val="002E3B84"/>
    <w:rsid w:val="002E434C"/>
    <w:rsid w:val="002E4971"/>
    <w:rsid w:val="002E4A17"/>
    <w:rsid w:val="002E5265"/>
    <w:rsid w:val="002E577A"/>
    <w:rsid w:val="002E597F"/>
    <w:rsid w:val="002E5D16"/>
    <w:rsid w:val="002E5E3F"/>
    <w:rsid w:val="002E6F4D"/>
    <w:rsid w:val="002E7720"/>
    <w:rsid w:val="002E77A2"/>
    <w:rsid w:val="002E794D"/>
    <w:rsid w:val="002E79DA"/>
    <w:rsid w:val="002E7C2A"/>
    <w:rsid w:val="002E7F14"/>
    <w:rsid w:val="002F0982"/>
    <w:rsid w:val="002F0E49"/>
    <w:rsid w:val="002F1227"/>
    <w:rsid w:val="002F145F"/>
    <w:rsid w:val="002F1743"/>
    <w:rsid w:val="002F2685"/>
    <w:rsid w:val="002F394C"/>
    <w:rsid w:val="002F3A88"/>
    <w:rsid w:val="002F3B1D"/>
    <w:rsid w:val="002F3DAD"/>
    <w:rsid w:val="002F574F"/>
    <w:rsid w:val="002F6972"/>
    <w:rsid w:val="002F6F12"/>
    <w:rsid w:val="002F6F9B"/>
    <w:rsid w:val="002F72A5"/>
    <w:rsid w:val="002F761F"/>
    <w:rsid w:val="002F7EBB"/>
    <w:rsid w:val="003002A9"/>
    <w:rsid w:val="00300ED2"/>
    <w:rsid w:val="0030191B"/>
    <w:rsid w:val="00302353"/>
    <w:rsid w:val="00303E98"/>
    <w:rsid w:val="00305A44"/>
    <w:rsid w:val="003062DB"/>
    <w:rsid w:val="00306D4E"/>
    <w:rsid w:val="00307877"/>
    <w:rsid w:val="00307EE8"/>
    <w:rsid w:val="00310227"/>
    <w:rsid w:val="00310241"/>
    <w:rsid w:val="0031042B"/>
    <w:rsid w:val="00310A94"/>
    <w:rsid w:val="00310BD6"/>
    <w:rsid w:val="00311E5B"/>
    <w:rsid w:val="003122F3"/>
    <w:rsid w:val="00312F2A"/>
    <w:rsid w:val="0031315D"/>
    <w:rsid w:val="00313283"/>
    <w:rsid w:val="00313410"/>
    <w:rsid w:val="0031364B"/>
    <w:rsid w:val="00314A83"/>
    <w:rsid w:val="003154C1"/>
    <w:rsid w:val="00315F3E"/>
    <w:rsid w:val="00316495"/>
    <w:rsid w:val="00316ECF"/>
    <w:rsid w:val="00317434"/>
    <w:rsid w:val="003178E9"/>
    <w:rsid w:val="00317B8B"/>
    <w:rsid w:val="00317EB3"/>
    <w:rsid w:val="003205F4"/>
    <w:rsid w:val="00320837"/>
    <w:rsid w:val="00320855"/>
    <w:rsid w:val="003209E3"/>
    <w:rsid w:val="00320E55"/>
    <w:rsid w:val="0032119D"/>
    <w:rsid w:val="003212AC"/>
    <w:rsid w:val="003217DA"/>
    <w:rsid w:val="0032206E"/>
    <w:rsid w:val="00322B5B"/>
    <w:rsid w:val="0032358C"/>
    <w:rsid w:val="00324AF5"/>
    <w:rsid w:val="00325045"/>
    <w:rsid w:val="0032511C"/>
    <w:rsid w:val="003259A5"/>
    <w:rsid w:val="00326EB0"/>
    <w:rsid w:val="0033085D"/>
    <w:rsid w:val="003316C5"/>
    <w:rsid w:val="00333988"/>
    <w:rsid w:val="00333B73"/>
    <w:rsid w:val="00335D21"/>
    <w:rsid w:val="00335D92"/>
    <w:rsid w:val="00335FAD"/>
    <w:rsid w:val="0033695B"/>
    <w:rsid w:val="00336CB5"/>
    <w:rsid w:val="00337D85"/>
    <w:rsid w:val="00337E32"/>
    <w:rsid w:val="00340274"/>
    <w:rsid w:val="003407A8"/>
    <w:rsid w:val="00340E38"/>
    <w:rsid w:val="00341185"/>
    <w:rsid w:val="00341F2A"/>
    <w:rsid w:val="00341F4C"/>
    <w:rsid w:val="00341FF9"/>
    <w:rsid w:val="003426B7"/>
    <w:rsid w:val="00342A1A"/>
    <w:rsid w:val="0034325F"/>
    <w:rsid w:val="00343801"/>
    <w:rsid w:val="003440C8"/>
    <w:rsid w:val="003453E2"/>
    <w:rsid w:val="00347001"/>
    <w:rsid w:val="0034708A"/>
    <w:rsid w:val="00347119"/>
    <w:rsid w:val="003474E9"/>
    <w:rsid w:val="00347D73"/>
    <w:rsid w:val="0035050F"/>
    <w:rsid w:val="00350630"/>
    <w:rsid w:val="00350C4B"/>
    <w:rsid w:val="003510DF"/>
    <w:rsid w:val="003515CB"/>
    <w:rsid w:val="00351697"/>
    <w:rsid w:val="0035225D"/>
    <w:rsid w:val="00352351"/>
    <w:rsid w:val="00352759"/>
    <w:rsid w:val="00352D28"/>
    <w:rsid w:val="003533F4"/>
    <w:rsid w:val="00354847"/>
    <w:rsid w:val="00354962"/>
    <w:rsid w:val="00354BB3"/>
    <w:rsid w:val="00355EA1"/>
    <w:rsid w:val="00356089"/>
    <w:rsid w:val="0035639B"/>
    <w:rsid w:val="0035704E"/>
    <w:rsid w:val="0036041B"/>
    <w:rsid w:val="003607D3"/>
    <w:rsid w:val="003612C8"/>
    <w:rsid w:val="003613D5"/>
    <w:rsid w:val="00361CEF"/>
    <w:rsid w:val="0036240B"/>
    <w:rsid w:val="0036259F"/>
    <w:rsid w:val="003629CD"/>
    <w:rsid w:val="00362C6A"/>
    <w:rsid w:val="00363029"/>
    <w:rsid w:val="00363ABF"/>
    <w:rsid w:val="0036524A"/>
    <w:rsid w:val="00365B93"/>
    <w:rsid w:val="00365E07"/>
    <w:rsid w:val="00366EA4"/>
    <w:rsid w:val="00366ED7"/>
    <w:rsid w:val="0036752E"/>
    <w:rsid w:val="00367983"/>
    <w:rsid w:val="00367CFD"/>
    <w:rsid w:val="0037143B"/>
    <w:rsid w:val="0037244F"/>
    <w:rsid w:val="003734FD"/>
    <w:rsid w:val="00373872"/>
    <w:rsid w:val="003738D6"/>
    <w:rsid w:val="003738F1"/>
    <w:rsid w:val="00373C5B"/>
    <w:rsid w:val="0037429B"/>
    <w:rsid w:val="00374F70"/>
    <w:rsid w:val="00375F5B"/>
    <w:rsid w:val="00376249"/>
    <w:rsid w:val="00376B5C"/>
    <w:rsid w:val="003815BA"/>
    <w:rsid w:val="003829D9"/>
    <w:rsid w:val="00384484"/>
    <w:rsid w:val="00384CCF"/>
    <w:rsid w:val="00385329"/>
    <w:rsid w:val="00385971"/>
    <w:rsid w:val="00387D2D"/>
    <w:rsid w:val="00387F8E"/>
    <w:rsid w:val="0039008B"/>
    <w:rsid w:val="00390D19"/>
    <w:rsid w:val="00390DC8"/>
    <w:rsid w:val="0039130B"/>
    <w:rsid w:val="00391460"/>
    <w:rsid w:val="003918E9"/>
    <w:rsid w:val="003919D4"/>
    <w:rsid w:val="0039217F"/>
    <w:rsid w:val="00393FAC"/>
    <w:rsid w:val="00395B52"/>
    <w:rsid w:val="0039664C"/>
    <w:rsid w:val="00396CD3"/>
    <w:rsid w:val="00396D76"/>
    <w:rsid w:val="003978DA"/>
    <w:rsid w:val="00397AE7"/>
    <w:rsid w:val="003A071C"/>
    <w:rsid w:val="003A0F2F"/>
    <w:rsid w:val="003A1528"/>
    <w:rsid w:val="003A19F5"/>
    <w:rsid w:val="003A2C72"/>
    <w:rsid w:val="003A3015"/>
    <w:rsid w:val="003A316F"/>
    <w:rsid w:val="003A32B3"/>
    <w:rsid w:val="003A3303"/>
    <w:rsid w:val="003A3478"/>
    <w:rsid w:val="003A36E9"/>
    <w:rsid w:val="003A40E0"/>
    <w:rsid w:val="003A443D"/>
    <w:rsid w:val="003A450F"/>
    <w:rsid w:val="003A48C8"/>
    <w:rsid w:val="003A4D73"/>
    <w:rsid w:val="003A4EF8"/>
    <w:rsid w:val="003A5156"/>
    <w:rsid w:val="003A57B2"/>
    <w:rsid w:val="003A5B05"/>
    <w:rsid w:val="003A5DD4"/>
    <w:rsid w:val="003A6066"/>
    <w:rsid w:val="003A6255"/>
    <w:rsid w:val="003A65C3"/>
    <w:rsid w:val="003A6FBC"/>
    <w:rsid w:val="003B0479"/>
    <w:rsid w:val="003B06DB"/>
    <w:rsid w:val="003B1088"/>
    <w:rsid w:val="003B1414"/>
    <w:rsid w:val="003B1762"/>
    <w:rsid w:val="003B1D2F"/>
    <w:rsid w:val="003B213A"/>
    <w:rsid w:val="003B2A6A"/>
    <w:rsid w:val="003B2A73"/>
    <w:rsid w:val="003B31AE"/>
    <w:rsid w:val="003B3507"/>
    <w:rsid w:val="003B374A"/>
    <w:rsid w:val="003B3C0A"/>
    <w:rsid w:val="003B3CC6"/>
    <w:rsid w:val="003B4F99"/>
    <w:rsid w:val="003B7354"/>
    <w:rsid w:val="003B7DE4"/>
    <w:rsid w:val="003C218A"/>
    <w:rsid w:val="003C21BE"/>
    <w:rsid w:val="003C288E"/>
    <w:rsid w:val="003C3663"/>
    <w:rsid w:val="003C3F23"/>
    <w:rsid w:val="003C42BA"/>
    <w:rsid w:val="003C5209"/>
    <w:rsid w:val="003C6987"/>
    <w:rsid w:val="003C7315"/>
    <w:rsid w:val="003C785B"/>
    <w:rsid w:val="003D07DA"/>
    <w:rsid w:val="003D1A2B"/>
    <w:rsid w:val="003D1EC3"/>
    <w:rsid w:val="003D33B0"/>
    <w:rsid w:val="003D33BE"/>
    <w:rsid w:val="003D34B8"/>
    <w:rsid w:val="003D3A0B"/>
    <w:rsid w:val="003D4C33"/>
    <w:rsid w:val="003D503D"/>
    <w:rsid w:val="003D5598"/>
    <w:rsid w:val="003D573E"/>
    <w:rsid w:val="003D6719"/>
    <w:rsid w:val="003D68C5"/>
    <w:rsid w:val="003D6B7A"/>
    <w:rsid w:val="003D6B85"/>
    <w:rsid w:val="003D6D7F"/>
    <w:rsid w:val="003D79FD"/>
    <w:rsid w:val="003D7D81"/>
    <w:rsid w:val="003E0061"/>
    <w:rsid w:val="003E0CA1"/>
    <w:rsid w:val="003E1265"/>
    <w:rsid w:val="003E148D"/>
    <w:rsid w:val="003E1C99"/>
    <w:rsid w:val="003E1EE2"/>
    <w:rsid w:val="003E2B89"/>
    <w:rsid w:val="003E3444"/>
    <w:rsid w:val="003E3730"/>
    <w:rsid w:val="003E3B65"/>
    <w:rsid w:val="003E49B8"/>
    <w:rsid w:val="003E4F66"/>
    <w:rsid w:val="003E5C6E"/>
    <w:rsid w:val="003E637D"/>
    <w:rsid w:val="003E6FF5"/>
    <w:rsid w:val="003F068A"/>
    <w:rsid w:val="003F0F49"/>
    <w:rsid w:val="003F126D"/>
    <w:rsid w:val="003F1BEB"/>
    <w:rsid w:val="003F216E"/>
    <w:rsid w:val="003F28E3"/>
    <w:rsid w:val="003F2D49"/>
    <w:rsid w:val="003F3140"/>
    <w:rsid w:val="003F4074"/>
    <w:rsid w:val="003F435B"/>
    <w:rsid w:val="003F5B50"/>
    <w:rsid w:val="003F6F85"/>
    <w:rsid w:val="003F7768"/>
    <w:rsid w:val="003F7E75"/>
    <w:rsid w:val="00400924"/>
    <w:rsid w:val="004017D3"/>
    <w:rsid w:val="004021A4"/>
    <w:rsid w:val="0040320D"/>
    <w:rsid w:val="00403372"/>
    <w:rsid w:val="00403550"/>
    <w:rsid w:val="0040468B"/>
    <w:rsid w:val="00404833"/>
    <w:rsid w:val="00405D21"/>
    <w:rsid w:val="00407C07"/>
    <w:rsid w:val="004109C9"/>
    <w:rsid w:val="00410BC5"/>
    <w:rsid w:val="004111FB"/>
    <w:rsid w:val="004116CD"/>
    <w:rsid w:val="004126F8"/>
    <w:rsid w:val="00412C1C"/>
    <w:rsid w:val="00412CF9"/>
    <w:rsid w:val="00413061"/>
    <w:rsid w:val="00413331"/>
    <w:rsid w:val="004135AF"/>
    <w:rsid w:val="00413A52"/>
    <w:rsid w:val="00413AF1"/>
    <w:rsid w:val="00413C5B"/>
    <w:rsid w:val="00413D2C"/>
    <w:rsid w:val="00413EAD"/>
    <w:rsid w:val="004141C4"/>
    <w:rsid w:val="00414761"/>
    <w:rsid w:val="00414CC0"/>
    <w:rsid w:val="004167BA"/>
    <w:rsid w:val="00416862"/>
    <w:rsid w:val="00416942"/>
    <w:rsid w:val="00417757"/>
    <w:rsid w:val="00417DBE"/>
    <w:rsid w:val="00420D1A"/>
    <w:rsid w:val="00420EE5"/>
    <w:rsid w:val="00421E6F"/>
    <w:rsid w:val="0042211E"/>
    <w:rsid w:val="00422333"/>
    <w:rsid w:val="0042277F"/>
    <w:rsid w:val="00422F9F"/>
    <w:rsid w:val="00423461"/>
    <w:rsid w:val="00423DC2"/>
    <w:rsid w:val="00425677"/>
    <w:rsid w:val="00425E70"/>
    <w:rsid w:val="00425FF2"/>
    <w:rsid w:val="0042626D"/>
    <w:rsid w:val="004268C5"/>
    <w:rsid w:val="00426D2E"/>
    <w:rsid w:val="00426D68"/>
    <w:rsid w:val="00426DCB"/>
    <w:rsid w:val="00427922"/>
    <w:rsid w:val="004312BA"/>
    <w:rsid w:val="0043161D"/>
    <w:rsid w:val="004319E7"/>
    <w:rsid w:val="00431E96"/>
    <w:rsid w:val="00432F92"/>
    <w:rsid w:val="00433996"/>
    <w:rsid w:val="00433A69"/>
    <w:rsid w:val="0043462E"/>
    <w:rsid w:val="00434C24"/>
    <w:rsid w:val="00434ECB"/>
    <w:rsid w:val="00435215"/>
    <w:rsid w:val="0043593B"/>
    <w:rsid w:val="0043596F"/>
    <w:rsid w:val="00436012"/>
    <w:rsid w:val="00437DD0"/>
    <w:rsid w:val="004404B9"/>
    <w:rsid w:val="00441758"/>
    <w:rsid w:val="00442244"/>
    <w:rsid w:val="00442924"/>
    <w:rsid w:val="00442DB3"/>
    <w:rsid w:val="00443129"/>
    <w:rsid w:val="00443AD4"/>
    <w:rsid w:val="00443F95"/>
    <w:rsid w:val="00443FF8"/>
    <w:rsid w:val="00444048"/>
    <w:rsid w:val="0044469F"/>
    <w:rsid w:val="00444A51"/>
    <w:rsid w:val="00444F9E"/>
    <w:rsid w:val="0044527F"/>
    <w:rsid w:val="00445A99"/>
    <w:rsid w:val="00446AEB"/>
    <w:rsid w:val="00447601"/>
    <w:rsid w:val="004479BB"/>
    <w:rsid w:val="00447E84"/>
    <w:rsid w:val="00450359"/>
    <w:rsid w:val="00450D28"/>
    <w:rsid w:val="00450E6E"/>
    <w:rsid w:val="00451197"/>
    <w:rsid w:val="00451790"/>
    <w:rsid w:val="00451981"/>
    <w:rsid w:val="00452200"/>
    <w:rsid w:val="00452451"/>
    <w:rsid w:val="00453572"/>
    <w:rsid w:val="0045459A"/>
    <w:rsid w:val="00454E0E"/>
    <w:rsid w:val="00455BC6"/>
    <w:rsid w:val="00456F0D"/>
    <w:rsid w:val="00456FE1"/>
    <w:rsid w:val="00457414"/>
    <w:rsid w:val="00460ABC"/>
    <w:rsid w:val="00460EA2"/>
    <w:rsid w:val="00461E0D"/>
    <w:rsid w:val="004624A4"/>
    <w:rsid w:val="004629AD"/>
    <w:rsid w:val="00462B61"/>
    <w:rsid w:val="00463A5F"/>
    <w:rsid w:val="00464E25"/>
    <w:rsid w:val="00465356"/>
    <w:rsid w:val="0046554F"/>
    <w:rsid w:val="00465D96"/>
    <w:rsid w:val="00465DF3"/>
    <w:rsid w:val="00465FF7"/>
    <w:rsid w:val="00466B94"/>
    <w:rsid w:val="00467444"/>
    <w:rsid w:val="00470E67"/>
    <w:rsid w:val="004719C9"/>
    <w:rsid w:val="004727BE"/>
    <w:rsid w:val="00472D13"/>
    <w:rsid w:val="004731DD"/>
    <w:rsid w:val="00474328"/>
    <w:rsid w:val="004750DD"/>
    <w:rsid w:val="004752F8"/>
    <w:rsid w:val="004753A6"/>
    <w:rsid w:val="00475536"/>
    <w:rsid w:val="0047741C"/>
    <w:rsid w:val="004779D1"/>
    <w:rsid w:val="00477EB7"/>
    <w:rsid w:val="00480301"/>
    <w:rsid w:val="004804E6"/>
    <w:rsid w:val="00480F15"/>
    <w:rsid w:val="0048108C"/>
    <w:rsid w:val="0048127B"/>
    <w:rsid w:val="00481B76"/>
    <w:rsid w:val="00482504"/>
    <w:rsid w:val="004829CD"/>
    <w:rsid w:val="00482CA0"/>
    <w:rsid w:val="004830D6"/>
    <w:rsid w:val="0048340E"/>
    <w:rsid w:val="00483FF8"/>
    <w:rsid w:val="00484AF7"/>
    <w:rsid w:val="004855B4"/>
    <w:rsid w:val="00485E6B"/>
    <w:rsid w:val="004862A1"/>
    <w:rsid w:val="004865C1"/>
    <w:rsid w:val="004866D9"/>
    <w:rsid w:val="00486713"/>
    <w:rsid w:val="004869FD"/>
    <w:rsid w:val="004910A2"/>
    <w:rsid w:val="00491444"/>
    <w:rsid w:val="004916B9"/>
    <w:rsid w:val="00492181"/>
    <w:rsid w:val="004926DE"/>
    <w:rsid w:val="004934F2"/>
    <w:rsid w:val="004935D4"/>
    <w:rsid w:val="00493AE0"/>
    <w:rsid w:val="004940DF"/>
    <w:rsid w:val="00494C06"/>
    <w:rsid w:val="00494D0E"/>
    <w:rsid w:val="0049513A"/>
    <w:rsid w:val="00495645"/>
    <w:rsid w:val="00496362"/>
    <w:rsid w:val="00496F79"/>
    <w:rsid w:val="004970DE"/>
    <w:rsid w:val="004A242F"/>
    <w:rsid w:val="004A32FE"/>
    <w:rsid w:val="004A42D9"/>
    <w:rsid w:val="004A4D27"/>
    <w:rsid w:val="004A5BEC"/>
    <w:rsid w:val="004A5FEB"/>
    <w:rsid w:val="004A6F6A"/>
    <w:rsid w:val="004A6FA6"/>
    <w:rsid w:val="004A7825"/>
    <w:rsid w:val="004A7CF6"/>
    <w:rsid w:val="004A7DAF"/>
    <w:rsid w:val="004B09AC"/>
    <w:rsid w:val="004B0C96"/>
    <w:rsid w:val="004B0FDC"/>
    <w:rsid w:val="004B2035"/>
    <w:rsid w:val="004B24F4"/>
    <w:rsid w:val="004B29AD"/>
    <w:rsid w:val="004B3484"/>
    <w:rsid w:val="004B35F8"/>
    <w:rsid w:val="004B3861"/>
    <w:rsid w:val="004B3CF1"/>
    <w:rsid w:val="004B5E01"/>
    <w:rsid w:val="004B6871"/>
    <w:rsid w:val="004B6E6D"/>
    <w:rsid w:val="004B6E9E"/>
    <w:rsid w:val="004B7514"/>
    <w:rsid w:val="004B769C"/>
    <w:rsid w:val="004B7873"/>
    <w:rsid w:val="004B7BD9"/>
    <w:rsid w:val="004B7DDE"/>
    <w:rsid w:val="004B7F2C"/>
    <w:rsid w:val="004C05B5"/>
    <w:rsid w:val="004C0CD1"/>
    <w:rsid w:val="004C0E40"/>
    <w:rsid w:val="004C14C8"/>
    <w:rsid w:val="004C1726"/>
    <w:rsid w:val="004C1D0A"/>
    <w:rsid w:val="004C1F9F"/>
    <w:rsid w:val="004C2680"/>
    <w:rsid w:val="004C2D2E"/>
    <w:rsid w:val="004C3EA7"/>
    <w:rsid w:val="004C41C9"/>
    <w:rsid w:val="004C445E"/>
    <w:rsid w:val="004C4BB5"/>
    <w:rsid w:val="004C5C57"/>
    <w:rsid w:val="004C64A0"/>
    <w:rsid w:val="004C6CBC"/>
    <w:rsid w:val="004C7659"/>
    <w:rsid w:val="004C77D2"/>
    <w:rsid w:val="004C78E2"/>
    <w:rsid w:val="004C7B63"/>
    <w:rsid w:val="004C7BA2"/>
    <w:rsid w:val="004C7C09"/>
    <w:rsid w:val="004D04C8"/>
    <w:rsid w:val="004D09CC"/>
    <w:rsid w:val="004D1280"/>
    <w:rsid w:val="004D1972"/>
    <w:rsid w:val="004D3D96"/>
    <w:rsid w:val="004D61A3"/>
    <w:rsid w:val="004D6CF7"/>
    <w:rsid w:val="004D6E42"/>
    <w:rsid w:val="004D702F"/>
    <w:rsid w:val="004D77D3"/>
    <w:rsid w:val="004D7F50"/>
    <w:rsid w:val="004E03EB"/>
    <w:rsid w:val="004E0C10"/>
    <w:rsid w:val="004E1E82"/>
    <w:rsid w:val="004E2F54"/>
    <w:rsid w:val="004E3EAF"/>
    <w:rsid w:val="004E42FA"/>
    <w:rsid w:val="004E4EB2"/>
    <w:rsid w:val="004E52B8"/>
    <w:rsid w:val="004E5406"/>
    <w:rsid w:val="004E547E"/>
    <w:rsid w:val="004E78FB"/>
    <w:rsid w:val="004F027E"/>
    <w:rsid w:val="004F0EC1"/>
    <w:rsid w:val="004F16E0"/>
    <w:rsid w:val="004F1C91"/>
    <w:rsid w:val="004F24B1"/>
    <w:rsid w:val="004F26A7"/>
    <w:rsid w:val="004F2FCC"/>
    <w:rsid w:val="004F3A05"/>
    <w:rsid w:val="004F51BA"/>
    <w:rsid w:val="004F5C02"/>
    <w:rsid w:val="004F65CF"/>
    <w:rsid w:val="004F671E"/>
    <w:rsid w:val="004F673C"/>
    <w:rsid w:val="004F68D3"/>
    <w:rsid w:val="004F704E"/>
    <w:rsid w:val="004F7579"/>
    <w:rsid w:val="0050251E"/>
    <w:rsid w:val="0050414E"/>
    <w:rsid w:val="00504486"/>
    <w:rsid w:val="00504B86"/>
    <w:rsid w:val="00504DE5"/>
    <w:rsid w:val="00505522"/>
    <w:rsid w:val="005056ED"/>
    <w:rsid w:val="00506D01"/>
    <w:rsid w:val="00507925"/>
    <w:rsid w:val="00507A3E"/>
    <w:rsid w:val="00507E2D"/>
    <w:rsid w:val="005103AD"/>
    <w:rsid w:val="00510AFB"/>
    <w:rsid w:val="00510BCC"/>
    <w:rsid w:val="005115E6"/>
    <w:rsid w:val="005117A1"/>
    <w:rsid w:val="00511FE5"/>
    <w:rsid w:val="005120C4"/>
    <w:rsid w:val="005121FA"/>
    <w:rsid w:val="00512285"/>
    <w:rsid w:val="0051237A"/>
    <w:rsid w:val="0051266C"/>
    <w:rsid w:val="00512AF0"/>
    <w:rsid w:val="005133CB"/>
    <w:rsid w:val="005134B8"/>
    <w:rsid w:val="005164FB"/>
    <w:rsid w:val="00516BF7"/>
    <w:rsid w:val="00517455"/>
    <w:rsid w:val="00517822"/>
    <w:rsid w:val="00520A46"/>
    <w:rsid w:val="00520A7B"/>
    <w:rsid w:val="00520E58"/>
    <w:rsid w:val="0052231D"/>
    <w:rsid w:val="005226AA"/>
    <w:rsid w:val="00524844"/>
    <w:rsid w:val="0052490D"/>
    <w:rsid w:val="00524B4E"/>
    <w:rsid w:val="0052508C"/>
    <w:rsid w:val="005256B1"/>
    <w:rsid w:val="00526A91"/>
    <w:rsid w:val="00526C44"/>
    <w:rsid w:val="00526E7B"/>
    <w:rsid w:val="00527120"/>
    <w:rsid w:val="00527478"/>
    <w:rsid w:val="005277A7"/>
    <w:rsid w:val="0052790E"/>
    <w:rsid w:val="00527FC1"/>
    <w:rsid w:val="00530914"/>
    <w:rsid w:val="00530970"/>
    <w:rsid w:val="00530FA1"/>
    <w:rsid w:val="005314AE"/>
    <w:rsid w:val="00532C6D"/>
    <w:rsid w:val="00532EBA"/>
    <w:rsid w:val="0053343B"/>
    <w:rsid w:val="00533974"/>
    <w:rsid w:val="00533A7B"/>
    <w:rsid w:val="00533F4A"/>
    <w:rsid w:val="00534CB1"/>
    <w:rsid w:val="0053503E"/>
    <w:rsid w:val="00535651"/>
    <w:rsid w:val="00535A5B"/>
    <w:rsid w:val="00535B02"/>
    <w:rsid w:val="00536B56"/>
    <w:rsid w:val="00536BB5"/>
    <w:rsid w:val="005370CC"/>
    <w:rsid w:val="005373B3"/>
    <w:rsid w:val="005377E0"/>
    <w:rsid w:val="005413D8"/>
    <w:rsid w:val="00541F08"/>
    <w:rsid w:val="00543409"/>
    <w:rsid w:val="0054390C"/>
    <w:rsid w:val="00543F28"/>
    <w:rsid w:val="00545F0A"/>
    <w:rsid w:val="0054600E"/>
    <w:rsid w:val="00546098"/>
    <w:rsid w:val="005465B7"/>
    <w:rsid w:val="005467FB"/>
    <w:rsid w:val="00547CCB"/>
    <w:rsid w:val="00550F06"/>
    <w:rsid w:val="0055192C"/>
    <w:rsid w:val="00551D85"/>
    <w:rsid w:val="00551FA6"/>
    <w:rsid w:val="00552018"/>
    <w:rsid w:val="005523EB"/>
    <w:rsid w:val="0055271B"/>
    <w:rsid w:val="005528F8"/>
    <w:rsid w:val="00552D0B"/>
    <w:rsid w:val="00552D66"/>
    <w:rsid w:val="00552EBA"/>
    <w:rsid w:val="0055301C"/>
    <w:rsid w:val="005533E4"/>
    <w:rsid w:val="005541D9"/>
    <w:rsid w:val="00554579"/>
    <w:rsid w:val="00555C41"/>
    <w:rsid w:val="00555E1A"/>
    <w:rsid w:val="00556076"/>
    <w:rsid w:val="00556834"/>
    <w:rsid w:val="00556E6A"/>
    <w:rsid w:val="00556E95"/>
    <w:rsid w:val="00560A8E"/>
    <w:rsid w:val="00560B8B"/>
    <w:rsid w:val="0056112B"/>
    <w:rsid w:val="0056141F"/>
    <w:rsid w:val="00562A99"/>
    <w:rsid w:val="00562B96"/>
    <w:rsid w:val="00562F5B"/>
    <w:rsid w:val="00563D90"/>
    <w:rsid w:val="00563FCF"/>
    <w:rsid w:val="00564CC5"/>
    <w:rsid w:val="00565F3F"/>
    <w:rsid w:val="00567284"/>
    <w:rsid w:val="005672E1"/>
    <w:rsid w:val="005676A9"/>
    <w:rsid w:val="005676D4"/>
    <w:rsid w:val="00567956"/>
    <w:rsid w:val="00567EFD"/>
    <w:rsid w:val="005708B6"/>
    <w:rsid w:val="00570E49"/>
    <w:rsid w:val="00570EEA"/>
    <w:rsid w:val="00572505"/>
    <w:rsid w:val="00572ABB"/>
    <w:rsid w:val="005731A4"/>
    <w:rsid w:val="00573F0F"/>
    <w:rsid w:val="00574E7B"/>
    <w:rsid w:val="0057632C"/>
    <w:rsid w:val="00576642"/>
    <w:rsid w:val="00576D76"/>
    <w:rsid w:val="00576EC5"/>
    <w:rsid w:val="005778A6"/>
    <w:rsid w:val="005779D1"/>
    <w:rsid w:val="00580173"/>
    <w:rsid w:val="00580537"/>
    <w:rsid w:val="005806FE"/>
    <w:rsid w:val="005811B3"/>
    <w:rsid w:val="005818D0"/>
    <w:rsid w:val="00581B59"/>
    <w:rsid w:val="00581DBC"/>
    <w:rsid w:val="00582A8E"/>
    <w:rsid w:val="0058312B"/>
    <w:rsid w:val="00583967"/>
    <w:rsid w:val="00583EA6"/>
    <w:rsid w:val="005849B2"/>
    <w:rsid w:val="00584A3B"/>
    <w:rsid w:val="00585BB6"/>
    <w:rsid w:val="005863A9"/>
    <w:rsid w:val="00586666"/>
    <w:rsid w:val="00586E5E"/>
    <w:rsid w:val="00590A10"/>
    <w:rsid w:val="00590FF8"/>
    <w:rsid w:val="00591087"/>
    <w:rsid w:val="00591AC3"/>
    <w:rsid w:val="00591AC7"/>
    <w:rsid w:val="00591B56"/>
    <w:rsid w:val="00591D32"/>
    <w:rsid w:val="00591F58"/>
    <w:rsid w:val="005922A5"/>
    <w:rsid w:val="00593D88"/>
    <w:rsid w:val="00593FD4"/>
    <w:rsid w:val="005948C3"/>
    <w:rsid w:val="005948EC"/>
    <w:rsid w:val="00594932"/>
    <w:rsid w:val="00594A36"/>
    <w:rsid w:val="00594FCA"/>
    <w:rsid w:val="00595267"/>
    <w:rsid w:val="005954FA"/>
    <w:rsid w:val="0059562A"/>
    <w:rsid w:val="00595861"/>
    <w:rsid w:val="00595CEE"/>
    <w:rsid w:val="00595EAD"/>
    <w:rsid w:val="00596134"/>
    <w:rsid w:val="00597BE7"/>
    <w:rsid w:val="00597D41"/>
    <w:rsid w:val="00597F8A"/>
    <w:rsid w:val="005A00A0"/>
    <w:rsid w:val="005A0A9B"/>
    <w:rsid w:val="005A1366"/>
    <w:rsid w:val="005A1451"/>
    <w:rsid w:val="005A19DC"/>
    <w:rsid w:val="005A2426"/>
    <w:rsid w:val="005A2754"/>
    <w:rsid w:val="005A3286"/>
    <w:rsid w:val="005A37BA"/>
    <w:rsid w:val="005A47BE"/>
    <w:rsid w:val="005A4B33"/>
    <w:rsid w:val="005A4CFB"/>
    <w:rsid w:val="005A5981"/>
    <w:rsid w:val="005A5DE6"/>
    <w:rsid w:val="005A6243"/>
    <w:rsid w:val="005A642D"/>
    <w:rsid w:val="005A6A8C"/>
    <w:rsid w:val="005A7173"/>
    <w:rsid w:val="005B03AF"/>
    <w:rsid w:val="005B1872"/>
    <w:rsid w:val="005B3523"/>
    <w:rsid w:val="005B3F54"/>
    <w:rsid w:val="005B4774"/>
    <w:rsid w:val="005B5315"/>
    <w:rsid w:val="005B62E3"/>
    <w:rsid w:val="005B649D"/>
    <w:rsid w:val="005B6EB4"/>
    <w:rsid w:val="005C0166"/>
    <w:rsid w:val="005C01FE"/>
    <w:rsid w:val="005C0478"/>
    <w:rsid w:val="005C0823"/>
    <w:rsid w:val="005C09F2"/>
    <w:rsid w:val="005C0D68"/>
    <w:rsid w:val="005C1381"/>
    <w:rsid w:val="005C183D"/>
    <w:rsid w:val="005C22FC"/>
    <w:rsid w:val="005C2DF1"/>
    <w:rsid w:val="005C3A24"/>
    <w:rsid w:val="005C4EFA"/>
    <w:rsid w:val="005C5462"/>
    <w:rsid w:val="005C5679"/>
    <w:rsid w:val="005C6527"/>
    <w:rsid w:val="005C6CB3"/>
    <w:rsid w:val="005C7A1D"/>
    <w:rsid w:val="005D087D"/>
    <w:rsid w:val="005D0DAE"/>
    <w:rsid w:val="005D1BC1"/>
    <w:rsid w:val="005D2920"/>
    <w:rsid w:val="005D2A3C"/>
    <w:rsid w:val="005D33C1"/>
    <w:rsid w:val="005D33E3"/>
    <w:rsid w:val="005D3E0F"/>
    <w:rsid w:val="005D4852"/>
    <w:rsid w:val="005D4A97"/>
    <w:rsid w:val="005D4ED2"/>
    <w:rsid w:val="005D54A7"/>
    <w:rsid w:val="005D63B1"/>
    <w:rsid w:val="005D65BE"/>
    <w:rsid w:val="005D70D7"/>
    <w:rsid w:val="005D7AED"/>
    <w:rsid w:val="005E0590"/>
    <w:rsid w:val="005E0F08"/>
    <w:rsid w:val="005E242C"/>
    <w:rsid w:val="005E24AB"/>
    <w:rsid w:val="005E2AA5"/>
    <w:rsid w:val="005E393A"/>
    <w:rsid w:val="005E4A02"/>
    <w:rsid w:val="005E5263"/>
    <w:rsid w:val="005E6128"/>
    <w:rsid w:val="005E6424"/>
    <w:rsid w:val="005E68D2"/>
    <w:rsid w:val="005E68D5"/>
    <w:rsid w:val="005E72A2"/>
    <w:rsid w:val="005E7E1D"/>
    <w:rsid w:val="005F06BF"/>
    <w:rsid w:val="005F18FA"/>
    <w:rsid w:val="005F2152"/>
    <w:rsid w:val="005F2C4B"/>
    <w:rsid w:val="005F38DB"/>
    <w:rsid w:val="005F3AB6"/>
    <w:rsid w:val="005F3AFA"/>
    <w:rsid w:val="005F3C7C"/>
    <w:rsid w:val="005F432D"/>
    <w:rsid w:val="005F450B"/>
    <w:rsid w:val="005F531E"/>
    <w:rsid w:val="005F5937"/>
    <w:rsid w:val="005F5AD0"/>
    <w:rsid w:val="005F5FFC"/>
    <w:rsid w:val="005F616D"/>
    <w:rsid w:val="005F62E2"/>
    <w:rsid w:val="005F716A"/>
    <w:rsid w:val="005F741F"/>
    <w:rsid w:val="005F79B3"/>
    <w:rsid w:val="006000F5"/>
    <w:rsid w:val="0060044A"/>
    <w:rsid w:val="00600BD4"/>
    <w:rsid w:val="00600E10"/>
    <w:rsid w:val="00600EA6"/>
    <w:rsid w:val="006014DD"/>
    <w:rsid w:val="006016DF"/>
    <w:rsid w:val="00601AEE"/>
    <w:rsid w:val="00603719"/>
    <w:rsid w:val="006042E4"/>
    <w:rsid w:val="00604E75"/>
    <w:rsid w:val="00605F48"/>
    <w:rsid w:val="00606091"/>
    <w:rsid w:val="00606F53"/>
    <w:rsid w:val="0060758E"/>
    <w:rsid w:val="0061019E"/>
    <w:rsid w:val="006105A5"/>
    <w:rsid w:val="006107C7"/>
    <w:rsid w:val="00610F60"/>
    <w:rsid w:val="00611F3B"/>
    <w:rsid w:val="00613016"/>
    <w:rsid w:val="00613EDC"/>
    <w:rsid w:val="006151B7"/>
    <w:rsid w:val="006151D0"/>
    <w:rsid w:val="00615E2F"/>
    <w:rsid w:val="0061795E"/>
    <w:rsid w:val="00617A67"/>
    <w:rsid w:val="00620B48"/>
    <w:rsid w:val="00620C82"/>
    <w:rsid w:val="00620D13"/>
    <w:rsid w:val="006218A4"/>
    <w:rsid w:val="00621A87"/>
    <w:rsid w:val="00622149"/>
    <w:rsid w:val="006223BD"/>
    <w:rsid w:val="0062359D"/>
    <w:rsid w:val="006238D9"/>
    <w:rsid w:val="00624C4A"/>
    <w:rsid w:val="006255C9"/>
    <w:rsid w:val="00625C93"/>
    <w:rsid w:val="00625DF1"/>
    <w:rsid w:val="006262CF"/>
    <w:rsid w:val="00626B2B"/>
    <w:rsid w:val="00630006"/>
    <w:rsid w:val="00630610"/>
    <w:rsid w:val="00631098"/>
    <w:rsid w:val="006312BF"/>
    <w:rsid w:val="00631AA2"/>
    <w:rsid w:val="006327E7"/>
    <w:rsid w:val="0063303C"/>
    <w:rsid w:val="00633559"/>
    <w:rsid w:val="00635724"/>
    <w:rsid w:val="0063598F"/>
    <w:rsid w:val="00635E35"/>
    <w:rsid w:val="00635FCE"/>
    <w:rsid w:val="00636079"/>
    <w:rsid w:val="00636817"/>
    <w:rsid w:val="0063718A"/>
    <w:rsid w:val="006371B5"/>
    <w:rsid w:val="00637E10"/>
    <w:rsid w:val="00640985"/>
    <w:rsid w:val="00640A9E"/>
    <w:rsid w:val="00640CE4"/>
    <w:rsid w:val="00640EE0"/>
    <w:rsid w:val="00641045"/>
    <w:rsid w:val="006417B1"/>
    <w:rsid w:val="00641929"/>
    <w:rsid w:val="00641DCE"/>
    <w:rsid w:val="00641FBC"/>
    <w:rsid w:val="00642695"/>
    <w:rsid w:val="00642983"/>
    <w:rsid w:val="0064319D"/>
    <w:rsid w:val="00644D26"/>
    <w:rsid w:val="0064668F"/>
    <w:rsid w:val="00647ECF"/>
    <w:rsid w:val="00647F8A"/>
    <w:rsid w:val="00650436"/>
    <w:rsid w:val="00650745"/>
    <w:rsid w:val="006509AA"/>
    <w:rsid w:val="006521EB"/>
    <w:rsid w:val="00652AAC"/>
    <w:rsid w:val="00653173"/>
    <w:rsid w:val="0065543F"/>
    <w:rsid w:val="006560C1"/>
    <w:rsid w:val="00656D5B"/>
    <w:rsid w:val="0066013E"/>
    <w:rsid w:val="00660D34"/>
    <w:rsid w:val="006618BC"/>
    <w:rsid w:val="0066276E"/>
    <w:rsid w:val="00662A27"/>
    <w:rsid w:val="00662CA0"/>
    <w:rsid w:val="00662ED6"/>
    <w:rsid w:val="006633AC"/>
    <w:rsid w:val="006642AF"/>
    <w:rsid w:val="00664512"/>
    <w:rsid w:val="00664CE9"/>
    <w:rsid w:val="00664DF4"/>
    <w:rsid w:val="0066502D"/>
    <w:rsid w:val="0066525F"/>
    <w:rsid w:val="006654F1"/>
    <w:rsid w:val="00665596"/>
    <w:rsid w:val="00665B03"/>
    <w:rsid w:val="00665F9A"/>
    <w:rsid w:val="006668B5"/>
    <w:rsid w:val="006672B9"/>
    <w:rsid w:val="00667360"/>
    <w:rsid w:val="00667423"/>
    <w:rsid w:val="006676FD"/>
    <w:rsid w:val="00667B82"/>
    <w:rsid w:val="00667F17"/>
    <w:rsid w:val="006703B6"/>
    <w:rsid w:val="006704B4"/>
    <w:rsid w:val="00670A7F"/>
    <w:rsid w:val="00671133"/>
    <w:rsid w:val="00671C45"/>
    <w:rsid w:val="00672918"/>
    <w:rsid w:val="00673518"/>
    <w:rsid w:val="00673633"/>
    <w:rsid w:val="00674276"/>
    <w:rsid w:val="006752EC"/>
    <w:rsid w:val="00675D38"/>
    <w:rsid w:val="00676481"/>
    <w:rsid w:val="0067679A"/>
    <w:rsid w:val="00676FD4"/>
    <w:rsid w:val="006809D8"/>
    <w:rsid w:val="00680A13"/>
    <w:rsid w:val="00681150"/>
    <w:rsid w:val="00681214"/>
    <w:rsid w:val="006815AA"/>
    <w:rsid w:val="00681F7B"/>
    <w:rsid w:val="00682D25"/>
    <w:rsid w:val="00682E1A"/>
    <w:rsid w:val="0068300C"/>
    <w:rsid w:val="006836D8"/>
    <w:rsid w:val="00683988"/>
    <w:rsid w:val="006850F8"/>
    <w:rsid w:val="00685DF0"/>
    <w:rsid w:val="00686223"/>
    <w:rsid w:val="00686518"/>
    <w:rsid w:val="00686E33"/>
    <w:rsid w:val="00687C58"/>
    <w:rsid w:val="00690399"/>
    <w:rsid w:val="00690DF2"/>
    <w:rsid w:val="00691545"/>
    <w:rsid w:val="006916F3"/>
    <w:rsid w:val="00692949"/>
    <w:rsid w:val="0069328B"/>
    <w:rsid w:val="006934A7"/>
    <w:rsid w:val="00694307"/>
    <w:rsid w:val="00695D06"/>
    <w:rsid w:val="00696056"/>
    <w:rsid w:val="00696816"/>
    <w:rsid w:val="00697002"/>
    <w:rsid w:val="00697179"/>
    <w:rsid w:val="00697B12"/>
    <w:rsid w:val="00697B41"/>
    <w:rsid w:val="006A02B4"/>
    <w:rsid w:val="006A088D"/>
    <w:rsid w:val="006A0BB9"/>
    <w:rsid w:val="006A13A7"/>
    <w:rsid w:val="006A1FE2"/>
    <w:rsid w:val="006A3FF1"/>
    <w:rsid w:val="006A40BC"/>
    <w:rsid w:val="006A4953"/>
    <w:rsid w:val="006A66CB"/>
    <w:rsid w:val="006A7520"/>
    <w:rsid w:val="006B0EE1"/>
    <w:rsid w:val="006B20C1"/>
    <w:rsid w:val="006B25A0"/>
    <w:rsid w:val="006B2907"/>
    <w:rsid w:val="006B368E"/>
    <w:rsid w:val="006B3939"/>
    <w:rsid w:val="006B41B8"/>
    <w:rsid w:val="006B53CA"/>
    <w:rsid w:val="006B6674"/>
    <w:rsid w:val="006B6CFD"/>
    <w:rsid w:val="006B6ECB"/>
    <w:rsid w:val="006B7BD0"/>
    <w:rsid w:val="006B7DB1"/>
    <w:rsid w:val="006C027C"/>
    <w:rsid w:val="006C1044"/>
    <w:rsid w:val="006C128C"/>
    <w:rsid w:val="006C194A"/>
    <w:rsid w:val="006C1CD4"/>
    <w:rsid w:val="006C2D7E"/>
    <w:rsid w:val="006C2ED7"/>
    <w:rsid w:val="006C302A"/>
    <w:rsid w:val="006C3A93"/>
    <w:rsid w:val="006C3B75"/>
    <w:rsid w:val="006C3EFB"/>
    <w:rsid w:val="006C4590"/>
    <w:rsid w:val="006C4684"/>
    <w:rsid w:val="006C46C1"/>
    <w:rsid w:val="006C498D"/>
    <w:rsid w:val="006C695F"/>
    <w:rsid w:val="006C6A94"/>
    <w:rsid w:val="006C6CA1"/>
    <w:rsid w:val="006C720C"/>
    <w:rsid w:val="006C7552"/>
    <w:rsid w:val="006C76E5"/>
    <w:rsid w:val="006C76E7"/>
    <w:rsid w:val="006C778D"/>
    <w:rsid w:val="006C7D7A"/>
    <w:rsid w:val="006C7FEA"/>
    <w:rsid w:val="006D1074"/>
    <w:rsid w:val="006D1B22"/>
    <w:rsid w:val="006D1B4C"/>
    <w:rsid w:val="006D24B1"/>
    <w:rsid w:val="006D2BB3"/>
    <w:rsid w:val="006D3307"/>
    <w:rsid w:val="006D33CC"/>
    <w:rsid w:val="006D3558"/>
    <w:rsid w:val="006D3B8C"/>
    <w:rsid w:val="006D3BA1"/>
    <w:rsid w:val="006D40BB"/>
    <w:rsid w:val="006D538E"/>
    <w:rsid w:val="006D53CB"/>
    <w:rsid w:val="006D54F5"/>
    <w:rsid w:val="006D559E"/>
    <w:rsid w:val="006D67D1"/>
    <w:rsid w:val="006D6AD0"/>
    <w:rsid w:val="006D7FA2"/>
    <w:rsid w:val="006E05F4"/>
    <w:rsid w:val="006E06D0"/>
    <w:rsid w:val="006E0A9C"/>
    <w:rsid w:val="006E1061"/>
    <w:rsid w:val="006E1325"/>
    <w:rsid w:val="006E1365"/>
    <w:rsid w:val="006E17E4"/>
    <w:rsid w:val="006E1ED3"/>
    <w:rsid w:val="006E242E"/>
    <w:rsid w:val="006E290E"/>
    <w:rsid w:val="006E2EB1"/>
    <w:rsid w:val="006E2F9A"/>
    <w:rsid w:val="006E4028"/>
    <w:rsid w:val="006E4126"/>
    <w:rsid w:val="006E413F"/>
    <w:rsid w:val="006E45CC"/>
    <w:rsid w:val="006E471B"/>
    <w:rsid w:val="006E49A2"/>
    <w:rsid w:val="006E49C9"/>
    <w:rsid w:val="006E50EA"/>
    <w:rsid w:val="006E517F"/>
    <w:rsid w:val="006E557B"/>
    <w:rsid w:val="006E604A"/>
    <w:rsid w:val="006E6382"/>
    <w:rsid w:val="006E682F"/>
    <w:rsid w:val="006E757D"/>
    <w:rsid w:val="006E7CC0"/>
    <w:rsid w:val="006F0AC1"/>
    <w:rsid w:val="006F13B9"/>
    <w:rsid w:val="006F1642"/>
    <w:rsid w:val="006F18BB"/>
    <w:rsid w:val="006F34B9"/>
    <w:rsid w:val="006F37A3"/>
    <w:rsid w:val="006F3FF4"/>
    <w:rsid w:val="006F403E"/>
    <w:rsid w:val="006F46A7"/>
    <w:rsid w:val="006F5A09"/>
    <w:rsid w:val="006F5C64"/>
    <w:rsid w:val="006F6AB5"/>
    <w:rsid w:val="006F7616"/>
    <w:rsid w:val="006F77D2"/>
    <w:rsid w:val="00700C01"/>
    <w:rsid w:val="00701631"/>
    <w:rsid w:val="00701AA8"/>
    <w:rsid w:val="00701CFA"/>
    <w:rsid w:val="00702472"/>
    <w:rsid w:val="00703697"/>
    <w:rsid w:val="00704082"/>
    <w:rsid w:val="007040A2"/>
    <w:rsid w:val="00704A64"/>
    <w:rsid w:val="007061B2"/>
    <w:rsid w:val="00706370"/>
    <w:rsid w:val="00706AC0"/>
    <w:rsid w:val="007070A3"/>
    <w:rsid w:val="00710387"/>
    <w:rsid w:val="00710ED6"/>
    <w:rsid w:val="00710FE3"/>
    <w:rsid w:val="007112D8"/>
    <w:rsid w:val="0071137A"/>
    <w:rsid w:val="0071162C"/>
    <w:rsid w:val="00712358"/>
    <w:rsid w:val="00712DC9"/>
    <w:rsid w:val="00712E66"/>
    <w:rsid w:val="00713498"/>
    <w:rsid w:val="00713BF4"/>
    <w:rsid w:val="00714010"/>
    <w:rsid w:val="0071428D"/>
    <w:rsid w:val="0071450B"/>
    <w:rsid w:val="00714680"/>
    <w:rsid w:val="00714D54"/>
    <w:rsid w:val="00715129"/>
    <w:rsid w:val="0071584D"/>
    <w:rsid w:val="00715B4C"/>
    <w:rsid w:val="00716739"/>
    <w:rsid w:val="00716C63"/>
    <w:rsid w:val="00716CBA"/>
    <w:rsid w:val="007174F6"/>
    <w:rsid w:val="00717662"/>
    <w:rsid w:val="00721274"/>
    <w:rsid w:val="007219EC"/>
    <w:rsid w:val="0072222D"/>
    <w:rsid w:val="007228F1"/>
    <w:rsid w:val="00722A7C"/>
    <w:rsid w:val="00723FC8"/>
    <w:rsid w:val="00723FE6"/>
    <w:rsid w:val="00724055"/>
    <w:rsid w:val="0072406B"/>
    <w:rsid w:val="00724070"/>
    <w:rsid w:val="00724884"/>
    <w:rsid w:val="00724D87"/>
    <w:rsid w:val="00726219"/>
    <w:rsid w:val="00726C03"/>
    <w:rsid w:val="00727832"/>
    <w:rsid w:val="007324E0"/>
    <w:rsid w:val="00732839"/>
    <w:rsid w:val="007337E9"/>
    <w:rsid w:val="0073380A"/>
    <w:rsid w:val="00733CF4"/>
    <w:rsid w:val="007353AA"/>
    <w:rsid w:val="0073592C"/>
    <w:rsid w:val="00736162"/>
    <w:rsid w:val="00736D3A"/>
    <w:rsid w:val="00737BC8"/>
    <w:rsid w:val="00737CCC"/>
    <w:rsid w:val="00737E08"/>
    <w:rsid w:val="00740882"/>
    <w:rsid w:val="007413EE"/>
    <w:rsid w:val="00742627"/>
    <w:rsid w:val="00742885"/>
    <w:rsid w:val="00742A0E"/>
    <w:rsid w:val="00743DCC"/>
    <w:rsid w:val="00743F61"/>
    <w:rsid w:val="00744473"/>
    <w:rsid w:val="007449B6"/>
    <w:rsid w:val="007459BB"/>
    <w:rsid w:val="007460F0"/>
    <w:rsid w:val="0075009B"/>
    <w:rsid w:val="00750114"/>
    <w:rsid w:val="0075015E"/>
    <w:rsid w:val="00750164"/>
    <w:rsid w:val="0075130A"/>
    <w:rsid w:val="00751930"/>
    <w:rsid w:val="00752F9A"/>
    <w:rsid w:val="00753270"/>
    <w:rsid w:val="00753E37"/>
    <w:rsid w:val="00754436"/>
    <w:rsid w:val="007545B2"/>
    <w:rsid w:val="00754E42"/>
    <w:rsid w:val="00754E6C"/>
    <w:rsid w:val="00755C7B"/>
    <w:rsid w:val="007565CE"/>
    <w:rsid w:val="00756FA8"/>
    <w:rsid w:val="0075732A"/>
    <w:rsid w:val="00760327"/>
    <w:rsid w:val="00761C98"/>
    <w:rsid w:val="007626E5"/>
    <w:rsid w:val="00763A57"/>
    <w:rsid w:val="00763AFD"/>
    <w:rsid w:val="00763EF6"/>
    <w:rsid w:val="00764EAD"/>
    <w:rsid w:val="0076523A"/>
    <w:rsid w:val="007652CF"/>
    <w:rsid w:val="007667B6"/>
    <w:rsid w:val="00766DE9"/>
    <w:rsid w:val="007674F4"/>
    <w:rsid w:val="00770F54"/>
    <w:rsid w:val="00771CCC"/>
    <w:rsid w:val="00771E86"/>
    <w:rsid w:val="0077200F"/>
    <w:rsid w:val="00772235"/>
    <w:rsid w:val="00772E2F"/>
    <w:rsid w:val="007742E3"/>
    <w:rsid w:val="00774387"/>
    <w:rsid w:val="007745B4"/>
    <w:rsid w:val="00774653"/>
    <w:rsid w:val="007749E7"/>
    <w:rsid w:val="0077504B"/>
    <w:rsid w:val="0077512A"/>
    <w:rsid w:val="00775367"/>
    <w:rsid w:val="00775395"/>
    <w:rsid w:val="007753ED"/>
    <w:rsid w:val="00775458"/>
    <w:rsid w:val="007757DE"/>
    <w:rsid w:val="00775BD7"/>
    <w:rsid w:val="00775D53"/>
    <w:rsid w:val="0077642F"/>
    <w:rsid w:val="007766A1"/>
    <w:rsid w:val="00776736"/>
    <w:rsid w:val="007771E0"/>
    <w:rsid w:val="00780DE8"/>
    <w:rsid w:val="0078128C"/>
    <w:rsid w:val="00781870"/>
    <w:rsid w:val="007819F6"/>
    <w:rsid w:val="00781E85"/>
    <w:rsid w:val="00781F40"/>
    <w:rsid w:val="0078288D"/>
    <w:rsid w:val="00782B9D"/>
    <w:rsid w:val="00782C5D"/>
    <w:rsid w:val="00783FE5"/>
    <w:rsid w:val="00784F69"/>
    <w:rsid w:val="00785EE8"/>
    <w:rsid w:val="007878BD"/>
    <w:rsid w:val="007879F5"/>
    <w:rsid w:val="00787BB1"/>
    <w:rsid w:val="00790AAB"/>
    <w:rsid w:val="0079167B"/>
    <w:rsid w:val="007918A4"/>
    <w:rsid w:val="007927CB"/>
    <w:rsid w:val="0079286C"/>
    <w:rsid w:val="00792D18"/>
    <w:rsid w:val="0079398C"/>
    <w:rsid w:val="00794280"/>
    <w:rsid w:val="00794F32"/>
    <w:rsid w:val="00794FFF"/>
    <w:rsid w:val="007953CA"/>
    <w:rsid w:val="007960CC"/>
    <w:rsid w:val="007971BA"/>
    <w:rsid w:val="0079749F"/>
    <w:rsid w:val="007976D5"/>
    <w:rsid w:val="007A02BE"/>
    <w:rsid w:val="007A0F7B"/>
    <w:rsid w:val="007A14EA"/>
    <w:rsid w:val="007A1E42"/>
    <w:rsid w:val="007A2796"/>
    <w:rsid w:val="007A3219"/>
    <w:rsid w:val="007A370D"/>
    <w:rsid w:val="007A3F98"/>
    <w:rsid w:val="007A4595"/>
    <w:rsid w:val="007A46A7"/>
    <w:rsid w:val="007A4EE9"/>
    <w:rsid w:val="007A5496"/>
    <w:rsid w:val="007A6558"/>
    <w:rsid w:val="007A66F3"/>
    <w:rsid w:val="007A678D"/>
    <w:rsid w:val="007A682B"/>
    <w:rsid w:val="007A6FDF"/>
    <w:rsid w:val="007A7327"/>
    <w:rsid w:val="007A7ADA"/>
    <w:rsid w:val="007A7EF8"/>
    <w:rsid w:val="007B0A7F"/>
    <w:rsid w:val="007B238E"/>
    <w:rsid w:val="007B3B7D"/>
    <w:rsid w:val="007B45D7"/>
    <w:rsid w:val="007B4893"/>
    <w:rsid w:val="007B4C0B"/>
    <w:rsid w:val="007B515B"/>
    <w:rsid w:val="007B5A73"/>
    <w:rsid w:val="007B6CA0"/>
    <w:rsid w:val="007B751E"/>
    <w:rsid w:val="007B7EAA"/>
    <w:rsid w:val="007C0340"/>
    <w:rsid w:val="007C0DA0"/>
    <w:rsid w:val="007C1147"/>
    <w:rsid w:val="007C1C38"/>
    <w:rsid w:val="007C2113"/>
    <w:rsid w:val="007C2734"/>
    <w:rsid w:val="007C2EC5"/>
    <w:rsid w:val="007C3003"/>
    <w:rsid w:val="007C38E0"/>
    <w:rsid w:val="007C3A2B"/>
    <w:rsid w:val="007C3ADA"/>
    <w:rsid w:val="007C3B84"/>
    <w:rsid w:val="007C4822"/>
    <w:rsid w:val="007C4923"/>
    <w:rsid w:val="007C5569"/>
    <w:rsid w:val="007C5B16"/>
    <w:rsid w:val="007C5CF7"/>
    <w:rsid w:val="007C77D9"/>
    <w:rsid w:val="007C7805"/>
    <w:rsid w:val="007C7B76"/>
    <w:rsid w:val="007C7C64"/>
    <w:rsid w:val="007D0018"/>
    <w:rsid w:val="007D068E"/>
    <w:rsid w:val="007D06A4"/>
    <w:rsid w:val="007D354E"/>
    <w:rsid w:val="007D4606"/>
    <w:rsid w:val="007D47F7"/>
    <w:rsid w:val="007D52FA"/>
    <w:rsid w:val="007D5403"/>
    <w:rsid w:val="007D65C1"/>
    <w:rsid w:val="007D66F4"/>
    <w:rsid w:val="007D7026"/>
    <w:rsid w:val="007D7C93"/>
    <w:rsid w:val="007E07B3"/>
    <w:rsid w:val="007E0833"/>
    <w:rsid w:val="007E0CC4"/>
    <w:rsid w:val="007E0D29"/>
    <w:rsid w:val="007E101F"/>
    <w:rsid w:val="007E1507"/>
    <w:rsid w:val="007E16DE"/>
    <w:rsid w:val="007E1B38"/>
    <w:rsid w:val="007E27F2"/>
    <w:rsid w:val="007E2ACD"/>
    <w:rsid w:val="007E2E99"/>
    <w:rsid w:val="007E3C89"/>
    <w:rsid w:val="007E425A"/>
    <w:rsid w:val="007E598D"/>
    <w:rsid w:val="007E6416"/>
    <w:rsid w:val="007E7B49"/>
    <w:rsid w:val="007E7E2E"/>
    <w:rsid w:val="007E7E97"/>
    <w:rsid w:val="007F0608"/>
    <w:rsid w:val="007F0C54"/>
    <w:rsid w:val="007F0CA4"/>
    <w:rsid w:val="007F17C7"/>
    <w:rsid w:val="007F1883"/>
    <w:rsid w:val="007F26A2"/>
    <w:rsid w:val="007F28F0"/>
    <w:rsid w:val="007F3663"/>
    <w:rsid w:val="007F3851"/>
    <w:rsid w:val="007F3BBA"/>
    <w:rsid w:val="007F4274"/>
    <w:rsid w:val="007F46E3"/>
    <w:rsid w:val="007F52DD"/>
    <w:rsid w:val="007F5549"/>
    <w:rsid w:val="007F6448"/>
    <w:rsid w:val="007F6A93"/>
    <w:rsid w:val="007F7E9A"/>
    <w:rsid w:val="00800898"/>
    <w:rsid w:val="008011D7"/>
    <w:rsid w:val="0080162C"/>
    <w:rsid w:val="008016BC"/>
    <w:rsid w:val="008016C9"/>
    <w:rsid w:val="00801A99"/>
    <w:rsid w:val="008023CE"/>
    <w:rsid w:val="00802A69"/>
    <w:rsid w:val="00804228"/>
    <w:rsid w:val="008049F1"/>
    <w:rsid w:val="00806075"/>
    <w:rsid w:val="00807679"/>
    <w:rsid w:val="0081070E"/>
    <w:rsid w:val="00810C8A"/>
    <w:rsid w:val="00811968"/>
    <w:rsid w:val="00811DEC"/>
    <w:rsid w:val="0081300B"/>
    <w:rsid w:val="00813227"/>
    <w:rsid w:val="0081370E"/>
    <w:rsid w:val="00813F27"/>
    <w:rsid w:val="008143DD"/>
    <w:rsid w:val="008147E2"/>
    <w:rsid w:val="00814C22"/>
    <w:rsid w:val="00815FAE"/>
    <w:rsid w:val="00816035"/>
    <w:rsid w:val="00816395"/>
    <w:rsid w:val="00816953"/>
    <w:rsid w:val="00817E25"/>
    <w:rsid w:val="00820773"/>
    <w:rsid w:val="00820F57"/>
    <w:rsid w:val="0082165F"/>
    <w:rsid w:val="0082238B"/>
    <w:rsid w:val="00822BCB"/>
    <w:rsid w:val="00822CDC"/>
    <w:rsid w:val="00823071"/>
    <w:rsid w:val="008231C0"/>
    <w:rsid w:val="00823A77"/>
    <w:rsid w:val="00823CA9"/>
    <w:rsid w:val="00824124"/>
    <w:rsid w:val="008242A8"/>
    <w:rsid w:val="008242BE"/>
    <w:rsid w:val="00824718"/>
    <w:rsid w:val="008253B0"/>
    <w:rsid w:val="00825DFF"/>
    <w:rsid w:val="00825FC5"/>
    <w:rsid w:val="00826963"/>
    <w:rsid w:val="00826BFB"/>
    <w:rsid w:val="00826E3B"/>
    <w:rsid w:val="00827A66"/>
    <w:rsid w:val="0083156B"/>
    <w:rsid w:val="00831571"/>
    <w:rsid w:val="0083215F"/>
    <w:rsid w:val="00832866"/>
    <w:rsid w:val="00832C4C"/>
    <w:rsid w:val="00832CFA"/>
    <w:rsid w:val="00832F3F"/>
    <w:rsid w:val="0083322A"/>
    <w:rsid w:val="008335ED"/>
    <w:rsid w:val="00833E04"/>
    <w:rsid w:val="00834F6F"/>
    <w:rsid w:val="008351A8"/>
    <w:rsid w:val="00835813"/>
    <w:rsid w:val="0083599F"/>
    <w:rsid w:val="0083723E"/>
    <w:rsid w:val="008372AF"/>
    <w:rsid w:val="008375DE"/>
    <w:rsid w:val="00837BBC"/>
    <w:rsid w:val="00837DE2"/>
    <w:rsid w:val="0084073C"/>
    <w:rsid w:val="0084098F"/>
    <w:rsid w:val="00840AA9"/>
    <w:rsid w:val="00840C77"/>
    <w:rsid w:val="00841032"/>
    <w:rsid w:val="00841391"/>
    <w:rsid w:val="008414EE"/>
    <w:rsid w:val="00841830"/>
    <w:rsid w:val="00841895"/>
    <w:rsid w:val="008419AF"/>
    <w:rsid w:val="008420D8"/>
    <w:rsid w:val="008432A9"/>
    <w:rsid w:val="008433E2"/>
    <w:rsid w:val="00843D2B"/>
    <w:rsid w:val="008440FD"/>
    <w:rsid w:val="008446FE"/>
    <w:rsid w:val="00845716"/>
    <w:rsid w:val="00845CA9"/>
    <w:rsid w:val="00845FE3"/>
    <w:rsid w:val="00846104"/>
    <w:rsid w:val="00846E79"/>
    <w:rsid w:val="0084710A"/>
    <w:rsid w:val="008479DB"/>
    <w:rsid w:val="00847C06"/>
    <w:rsid w:val="0085028A"/>
    <w:rsid w:val="008510F6"/>
    <w:rsid w:val="00851466"/>
    <w:rsid w:val="00851BB9"/>
    <w:rsid w:val="00852126"/>
    <w:rsid w:val="008525F3"/>
    <w:rsid w:val="00852F15"/>
    <w:rsid w:val="00853538"/>
    <w:rsid w:val="008538AD"/>
    <w:rsid w:val="00853E06"/>
    <w:rsid w:val="008541FD"/>
    <w:rsid w:val="00854618"/>
    <w:rsid w:val="00854B7B"/>
    <w:rsid w:val="00854DA0"/>
    <w:rsid w:val="0085659F"/>
    <w:rsid w:val="00857F7D"/>
    <w:rsid w:val="0086039C"/>
    <w:rsid w:val="008608BF"/>
    <w:rsid w:val="00862748"/>
    <w:rsid w:val="008630DF"/>
    <w:rsid w:val="0086383A"/>
    <w:rsid w:val="00866238"/>
    <w:rsid w:val="008662F3"/>
    <w:rsid w:val="0086635F"/>
    <w:rsid w:val="00866635"/>
    <w:rsid w:val="0086665E"/>
    <w:rsid w:val="00866DF0"/>
    <w:rsid w:val="00867CD4"/>
    <w:rsid w:val="00870C4B"/>
    <w:rsid w:val="0087155A"/>
    <w:rsid w:val="00871853"/>
    <w:rsid w:val="00871B33"/>
    <w:rsid w:val="00871F57"/>
    <w:rsid w:val="00872105"/>
    <w:rsid w:val="00872FDD"/>
    <w:rsid w:val="008731D9"/>
    <w:rsid w:val="0087333D"/>
    <w:rsid w:val="00873D1E"/>
    <w:rsid w:val="008741CE"/>
    <w:rsid w:val="00876672"/>
    <w:rsid w:val="008767E7"/>
    <w:rsid w:val="00876B28"/>
    <w:rsid w:val="00876E2B"/>
    <w:rsid w:val="00877856"/>
    <w:rsid w:val="00877DE7"/>
    <w:rsid w:val="0088013F"/>
    <w:rsid w:val="008802D6"/>
    <w:rsid w:val="00880B47"/>
    <w:rsid w:val="00880F5E"/>
    <w:rsid w:val="00881844"/>
    <w:rsid w:val="00881A73"/>
    <w:rsid w:val="00881AC1"/>
    <w:rsid w:val="00881B2E"/>
    <w:rsid w:val="00882150"/>
    <w:rsid w:val="00882484"/>
    <w:rsid w:val="0088294E"/>
    <w:rsid w:val="008830F3"/>
    <w:rsid w:val="008834B0"/>
    <w:rsid w:val="00883634"/>
    <w:rsid w:val="00883F54"/>
    <w:rsid w:val="00884286"/>
    <w:rsid w:val="00884740"/>
    <w:rsid w:val="00884BAB"/>
    <w:rsid w:val="00884BE6"/>
    <w:rsid w:val="00885914"/>
    <w:rsid w:val="008870E3"/>
    <w:rsid w:val="00887721"/>
    <w:rsid w:val="00891D4D"/>
    <w:rsid w:val="008921BF"/>
    <w:rsid w:val="00892875"/>
    <w:rsid w:val="00892B37"/>
    <w:rsid w:val="00893546"/>
    <w:rsid w:val="0089427A"/>
    <w:rsid w:val="008945B9"/>
    <w:rsid w:val="00894690"/>
    <w:rsid w:val="0089554A"/>
    <w:rsid w:val="00895610"/>
    <w:rsid w:val="008957C5"/>
    <w:rsid w:val="008976BB"/>
    <w:rsid w:val="00897CF8"/>
    <w:rsid w:val="008A15EB"/>
    <w:rsid w:val="008A1659"/>
    <w:rsid w:val="008A1DCA"/>
    <w:rsid w:val="008A346D"/>
    <w:rsid w:val="008A3BD4"/>
    <w:rsid w:val="008A4018"/>
    <w:rsid w:val="008A4120"/>
    <w:rsid w:val="008A463F"/>
    <w:rsid w:val="008A4D1F"/>
    <w:rsid w:val="008A502F"/>
    <w:rsid w:val="008A5AF7"/>
    <w:rsid w:val="008A609B"/>
    <w:rsid w:val="008A64B9"/>
    <w:rsid w:val="008A6D5F"/>
    <w:rsid w:val="008A78A7"/>
    <w:rsid w:val="008B260E"/>
    <w:rsid w:val="008B29A6"/>
    <w:rsid w:val="008B2C3B"/>
    <w:rsid w:val="008B3122"/>
    <w:rsid w:val="008B4210"/>
    <w:rsid w:val="008B4255"/>
    <w:rsid w:val="008B5D04"/>
    <w:rsid w:val="008B6799"/>
    <w:rsid w:val="008B69E2"/>
    <w:rsid w:val="008B7CCB"/>
    <w:rsid w:val="008B7DC4"/>
    <w:rsid w:val="008C03A8"/>
    <w:rsid w:val="008C0AD9"/>
    <w:rsid w:val="008C1A6C"/>
    <w:rsid w:val="008C2023"/>
    <w:rsid w:val="008C2220"/>
    <w:rsid w:val="008C2C87"/>
    <w:rsid w:val="008C3200"/>
    <w:rsid w:val="008C34DD"/>
    <w:rsid w:val="008C3C00"/>
    <w:rsid w:val="008C404B"/>
    <w:rsid w:val="008C4FA6"/>
    <w:rsid w:val="008C5398"/>
    <w:rsid w:val="008C5730"/>
    <w:rsid w:val="008C6709"/>
    <w:rsid w:val="008C6E60"/>
    <w:rsid w:val="008C7C06"/>
    <w:rsid w:val="008D00DF"/>
    <w:rsid w:val="008D175D"/>
    <w:rsid w:val="008D1B2E"/>
    <w:rsid w:val="008D3B46"/>
    <w:rsid w:val="008D4007"/>
    <w:rsid w:val="008D42DD"/>
    <w:rsid w:val="008D4B71"/>
    <w:rsid w:val="008D562C"/>
    <w:rsid w:val="008D6990"/>
    <w:rsid w:val="008D78D0"/>
    <w:rsid w:val="008E0A2B"/>
    <w:rsid w:val="008E1261"/>
    <w:rsid w:val="008E18F9"/>
    <w:rsid w:val="008E1988"/>
    <w:rsid w:val="008E266B"/>
    <w:rsid w:val="008E26C9"/>
    <w:rsid w:val="008E34EB"/>
    <w:rsid w:val="008E37C4"/>
    <w:rsid w:val="008E389F"/>
    <w:rsid w:val="008E3AAE"/>
    <w:rsid w:val="008E414C"/>
    <w:rsid w:val="008E4248"/>
    <w:rsid w:val="008E5595"/>
    <w:rsid w:val="008E5EB1"/>
    <w:rsid w:val="008F0819"/>
    <w:rsid w:val="008F1E62"/>
    <w:rsid w:val="008F2378"/>
    <w:rsid w:val="008F258A"/>
    <w:rsid w:val="008F25DB"/>
    <w:rsid w:val="008F29C0"/>
    <w:rsid w:val="008F3146"/>
    <w:rsid w:val="008F34CA"/>
    <w:rsid w:val="008F4262"/>
    <w:rsid w:val="008F477B"/>
    <w:rsid w:val="008F4960"/>
    <w:rsid w:val="008F5A56"/>
    <w:rsid w:val="008F5B45"/>
    <w:rsid w:val="008F6331"/>
    <w:rsid w:val="008F657D"/>
    <w:rsid w:val="008F6CC5"/>
    <w:rsid w:val="008F7D56"/>
    <w:rsid w:val="00901279"/>
    <w:rsid w:val="00901EE0"/>
    <w:rsid w:val="009022F3"/>
    <w:rsid w:val="009028FE"/>
    <w:rsid w:val="0090324E"/>
    <w:rsid w:val="00904255"/>
    <w:rsid w:val="00905DB1"/>
    <w:rsid w:val="00906612"/>
    <w:rsid w:val="00906963"/>
    <w:rsid w:val="00906D9C"/>
    <w:rsid w:val="009071D1"/>
    <w:rsid w:val="009071F4"/>
    <w:rsid w:val="009077D1"/>
    <w:rsid w:val="0091005C"/>
    <w:rsid w:val="00910175"/>
    <w:rsid w:val="00910503"/>
    <w:rsid w:val="0091189D"/>
    <w:rsid w:val="009120ED"/>
    <w:rsid w:val="009122A4"/>
    <w:rsid w:val="00912B4B"/>
    <w:rsid w:val="00913C7F"/>
    <w:rsid w:val="00913CB4"/>
    <w:rsid w:val="009141B5"/>
    <w:rsid w:val="00914D4E"/>
    <w:rsid w:val="00915B7E"/>
    <w:rsid w:val="009166AA"/>
    <w:rsid w:val="00916D76"/>
    <w:rsid w:val="00917339"/>
    <w:rsid w:val="0092010E"/>
    <w:rsid w:val="0092017C"/>
    <w:rsid w:val="009202E3"/>
    <w:rsid w:val="00920322"/>
    <w:rsid w:val="009204C3"/>
    <w:rsid w:val="009224D2"/>
    <w:rsid w:val="0092286C"/>
    <w:rsid w:val="00922F35"/>
    <w:rsid w:val="009232E5"/>
    <w:rsid w:val="009237CC"/>
    <w:rsid w:val="009238B2"/>
    <w:rsid w:val="00924334"/>
    <w:rsid w:val="00924918"/>
    <w:rsid w:val="00924D6A"/>
    <w:rsid w:val="009262E6"/>
    <w:rsid w:val="00926AD8"/>
    <w:rsid w:val="00926D37"/>
    <w:rsid w:val="00926F88"/>
    <w:rsid w:val="009274C2"/>
    <w:rsid w:val="00927C1F"/>
    <w:rsid w:val="009306A5"/>
    <w:rsid w:val="009307C0"/>
    <w:rsid w:val="00931514"/>
    <w:rsid w:val="009316B2"/>
    <w:rsid w:val="00931B8D"/>
    <w:rsid w:val="00932320"/>
    <w:rsid w:val="00932433"/>
    <w:rsid w:val="0093289C"/>
    <w:rsid w:val="00933749"/>
    <w:rsid w:val="009345CE"/>
    <w:rsid w:val="00934C3F"/>
    <w:rsid w:val="00934EE6"/>
    <w:rsid w:val="00935B19"/>
    <w:rsid w:val="009365BF"/>
    <w:rsid w:val="009369B6"/>
    <w:rsid w:val="0093708A"/>
    <w:rsid w:val="0093754C"/>
    <w:rsid w:val="00937647"/>
    <w:rsid w:val="00937690"/>
    <w:rsid w:val="00940F4D"/>
    <w:rsid w:val="0094164A"/>
    <w:rsid w:val="00941C7F"/>
    <w:rsid w:val="0094252C"/>
    <w:rsid w:val="0094262B"/>
    <w:rsid w:val="00942835"/>
    <w:rsid w:val="00942EDC"/>
    <w:rsid w:val="00943056"/>
    <w:rsid w:val="009443AF"/>
    <w:rsid w:val="009446CF"/>
    <w:rsid w:val="00944E2B"/>
    <w:rsid w:val="00945A94"/>
    <w:rsid w:val="00946A3A"/>
    <w:rsid w:val="00947574"/>
    <w:rsid w:val="0095024D"/>
    <w:rsid w:val="00951BD0"/>
    <w:rsid w:val="00951C48"/>
    <w:rsid w:val="00951EF5"/>
    <w:rsid w:val="00952A6C"/>
    <w:rsid w:val="00952D9E"/>
    <w:rsid w:val="0095313A"/>
    <w:rsid w:val="00953C47"/>
    <w:rsid w:val="00953DCD"/>
    <w:rsid w:val="00954F7D"/>
    <w:rsid w:val="0095505D"/>
    <w:rsid w:val="00955596"/>
    <w:rsid w:val="0095609D"/>
    <w:rsid w:val="00956E47"/>
    <w:rsid w:val="009575F2"/>
    <w:rsid w:val="00957790"/>
    <w:rsid w:val="0096036D"/>
    <w:rsid w:val="009603E4"/>
    <w:rsid w:val="00960A3C"/>
    <w:rsid w:val="00960E5F"/>
    <w:rsid w:val="00961469"/>
    <w:rsid w:val="00962D4E"/>
    <w:rsid w:val="009636C0"/>
    <w:rsid w:val="00963A5E"/>
    <w:rsid w:val="00963CDC"/>
    <w:rsid w:val="0096460F"/>
    <w:rsid w:val="009647EF"/>
    <w:rsid w:val="00964D09"/>
    <w:rsid w:val="00965A6C"/>
    <w:rsid w:val="00966315"/>
    <w:rsid w:val="0096683C"/>
    <w:rsid w:val="00966E16"/>
    <w:rsid w:val="009678CD"/>
    <w:rsid w:val="00967E29"/>
    <w:rsid w:val="0097011B"/>
    <w:rsid w:val="00971590"/>
    <w:rsid w:val="0097160E"/>
    <w:rsid w:val="00971A94"/>
    <w:rsid w:val="00971F8B"/>
    <w:rsid w:val="0097226A"/>
    <w:rsid w:val="009731B6"/>
    <w:rsid w:val="00973418"/>
    <w:rsid w:val="0097355C"/>
    <w:rsid w:val="00973885"/>
    <w:rsid w:val="009748C5"/>
    <w:rsid w:val="00974D5B"/>
    <w:rsid w:val="0097509E"/>
    <w:rsid w:val="00975C30"/>
    <w:rsid w:val="00975FD7"/>
    <w:rsid w:val="0097668D"/>
    <w:rsid w:val="0097694F"/>
    <w:rsid w:val="00976A9A"/>
    <w:rsid w:val="00976B07"/>
    <w:rsid w:val="00977003"/>
    <w:rsid w:val="00980A8E"/>
    <w:rsid w:val="00981403"/>
    <w:rsid w:val="00981749"/>
    <w:rsid w:val="009828AF"/>
    <w:rsid w:val="00983646"/>
    <w:rsid w:val="00983C45"/>
    <w:rsid w:val="0098474D"/>
    <w:rsid w:val="00984F81"/>
    <w:rsid w:val="0098502A"/>
    <w:rsid w:val="00985D32"/>
    <w:rsid w:val="00986D38"/>
    <w:rsid w:val="00987426"/>
    <w:rsid w:val="0098763B"/>
    <w:rsid w:val="00987E6F"/>
    <w:rsid w:val="009902A5"/>
    <w:rsid w:val="00990462"/>
    <w:rsid w:val="00990495"/>
    <w:rsid w:val="00990723"/>
    <w:rsid w:val="00990D6D"/>
    <w:rsid w:val="009912BA"/>
    <w:rsid w:val="00992638"/>
    <w:rsid w:val="00993315"/>
    <w:rsid w:val="009933EA"/>
    <w:rsid w:val="009935BB"/>
    <w:rsid w:val="009937B6"/>
    <w:rsid w:val="00993EAE"/>
    <w:rsid w:val="009949B7"/>
    <w:rsid w:val="0099668F"/>
    <w:rsid w:val="0099678E"/>
    <w:rsid w:val="00996D06"/>
    <w:rsid w:val="00996E17"/>
    <w:rsid w:val="009972EC"/>
    <w:rsid w:val="009974A9"/>
    <w:rsid w:val="0099796C"/>
    <w:rsid w:val="009A08CC"/>
    <w:rsid w:val="009A0B41"/>
    <w:rsid w:val="009A27C3"/>
    <w:rsid w:val="009A2A06"/>
    <w:rsid w:val="009A3015"/>
    <w:rsid w:val="009A342C"/>
    <w:rsid w:val="009A4780"/>
    <w:rsid w:val="009A4A05"/>
    <w:rsid w:val="009A4CCD"/>
    <w:rsid w:val="009A4F60"/>
    <w:rsid w:val="009A4F89"/>
    <w:rsid w:val="009A503E"/>
    <w:rsid w:val="009A5070"/>
    <w:rsid w:val="009A53A1"/>
    <w:rsid w:val="009A6103"/>
    <w:rsid w:val="009A620C"/>
    <w:rsid w:val="009A726D"/>
    <w:rsid w:val="009A73C3"/>
    <w:rsid w:val="009A793F"/>
    <w:rsid w:val="009A7A7D"/>
    <w:rsid w:val="009A7EA9"/>
    <w:rsid w:val="009B227E"/>
    <w:rsid w:val="009B3061"/>
    <w:rsid w:val="009B3538"/>
    <w:rsid w:val="009B3B09"/>
    <w:rsid w:val="009B40FC"/>
    <w:rsid w:val="009B4394"/>
    <w:rsid w:val="009B47F3"/>
    <w:rsid w:val="009B4AEE"/>
    <w:rsid w:val="009B4C0A"/>
    <w:rsid w:val="009B537D"/>
    <w:rsid w:val="009B5BDF"/>
    <w:rsid w:val="009B75EF"/>
    <w:rsid w:val="009B7B5E"/>
    <w:rsid w:val="009C08E5"/>
    <w:rsid w:val="009C0D7B"/>
    <w:rsid w:val="009C159D"/>
    <w:rsid w:val="009C1819"/>
    <w:rsid w:val="009C18C6"/>
    <w:rsid w:val="009C18D4"/>
    <w:rsid w:val="009C254C"/>
    <w:rsid w:val="009C278F"/>
    <w:rsid w:val="009C3160"/>
    <w:rsid w:val="009C4126"/>
    <w:rsid w:val="009C425B"/>
    <w:rsid w:val="009C428C"/>
    <w:rsid w:val="009C4473"/>
    <w:rsid w:val="009C4598"/>
    <w:rsid w:val="009C5A7C"/>
    <w:rsid w:val="009C5FA4"/>
    <w:rsid w:val="009C639E"/>
    <w:rsid w:val="009C6775"/>
    <w:rsid w:val="009C6974"/>
    <w:rsid w:val="009C6B24"/>
    <w:rsid w:val="009C6DA2"/>
    <w:rsid w:val="009C7ECB"/>
    <w:rsid w:val="009D09E1"/>
    <w:rsid w:val="009D0A92"/>
    <w:rsid w:val="009D0E75"/>
    <w:rsid w:val="009D1741"/>
    <w:rsid w:val="009D1813"/>
    <w:rsid w:val="009D2163"/>
    <w:rsid w:val="009D306F"/>
    <w:rsid w:val="009D3537"/>
    <w:rsid w:val="009D3A1F"/>
    <w:rsid w:val="009D3FE0"/>
    <w:rsid w:val="009D55FB"/>
    <w:rsid w:val="009D579B"/>
    <w:rsid w:val="009D587C"/>
    <w:rsid w:val="009D642C"/>
    <w:rsid w:val="009D7CC2"/>
    <w:rsid w:val="009E0CE1"/>
    <w:rsid w:val="009E0D26"/>
    <w:rsid w:val="009E0F4A"/>
    <w:rsid w:val="009E1E05"/>
    <w:rsid w:val="009E2A50"/>
    <w:rsid w:val="009E4502"/>
    <w:rsid w:val="009E4728"/>
    <w:rsid w:val="009E4C54"/>
    <w:rsid w:val="009E61B7"/>
    <w:rsid w:val="009E6FC5"/>
    <w:rsid w:val="009F090B"/>
    <w:rsid w:val="009F0BD4"/>
    <w:rsid w:val="009F0C9C"/>
    <w:rsid w:val="009F0FDF"/>
    <w:rsid w:val="009F13D9"/>
    <w:rsid w:val="009F1D74"/>
    <w:rsid w:val="009F2159"/>
    <w:rsid w:val="009F27BC"/>
    <w:rsid w:val="009F3A45"/>
    <w:rsid w:val="009F4547"/>
    <w:rsid w:val="009F487B"/>
    <w:rsid w:val="009F4A57"/>
    <w:rsid w:val="009F4B05"/>
    <w:rsid w:val="009F4DDA"/>
    <w:rsid w:val="009F6833"/>
    <w:rsid w:val="009F7C3D"/>
    <w:rsid w:val="00A012AB"/>
    <w:rsid w:val="00A013C2"/>
    <w:rsid w:val="00A01D85"/>
    <w:rsid w:val="00A03771"/>
    <w:rsid w:val="00A03BB9"/>
    <w:rsid w:val="00A044D7"/>
    <w:rsid w:val="00A04A77"/>
    <w:rsid w:val="00A04C5E"/>
    <w:rsid w:val="00A05917"/>
    <w:rsid w:val="00A07875"/>
    <w:rsid w:val="00A07DA6"/>
    <w:rsid w:val="00A103EF"/>
    <w:rsid w:val="00A1055C"/>
    <w:rsid w:val="00A10AA0"/>
    <w:rsid w:val="00A10CA2"/>
    <w:rsid w:val="00A120BD"/>
    <w:rsid w:val="00A12CE6"/>
    <w:rsid w:val="00A13422"/>
    <w:rsid w:val="00A14231"/>
    <w:rsid w:val="00A16792"/>
    <w:rsid w:val="00A16C7E"/>
    <w:rsid w:val="00A16D64"/>
    <w:rsid w:val="00A16E0F"/>
    <w:rsid w:val="00A16EB4"/>
    <w:rsid w:val="00A16F35"/>
    <w:rsid w:val="00A17D46"/>
    <w:rsid w:val="00A201BC"/>
    <w:rsid w:val="00A209A7"/>
    <w:rsid w:val="00A20F7E"/>
    <w:rsid w:val="00A21F56"/>
    <w:rsid w:val="00A2249D"/>
    <w:rsid w:val="00A224DC"/>
    <w:rsid w:val="00A22FBC"/>
    <w:rsid w:val="00A23303"/>
    <w:rsid w:val="00A23CA2"/>
    <w:rsid w:val="00A2419A"/>
    <w:rsid w:val="00A26346"/>
    <w:rsid w:val="00A27643"/>
    <w:rsid w:val="00A3060F"/>
    <w:rsid w:val="00A31599"/>
    <w:rsid w:val="00A3181A"/>
    <w:rsid w:val="00A32A85"/>
    <w:rsid w:val="00A32F64"/>
    <w:rsid w:val="00A331E2"/>
    <w:rsid w:val="00A33603"/>
    <w:rsid w:val="00A34A6F"/>
    <w:rsid w:val="00A34EE6"/>
    <w:rsid w:val="00A3579C"/>
    <w:rsid w:val="00A35FA9"/>
    <w:rsid w:val="00A36198"/>
    <w:rsid w:val="00A37863"/>
    <w:rsid w:val="00A37C7A"/>
    <w:rsid w:val="00A37EE7"/>
    <w:rsid w:val="00A408E1"/>
    <w:rsid w:val="00A40EF5"/>
    <w:rsid w:val="00A42943"/>
    <w:rsid w:val="00A42E0D"/>
    <w:rsid w:val="00A42E79"/>
    <w:rsid w:val="00A45074"/>
    <w:rsid w:val="00A450C0"/>
    <w:rsid w:val="00A45E5B"/>
    <w:rsid w:val="00A467FE"/>
    <w:rsid w:val="00A46B07"/>
    <w:rsid w:val="00A475C1"/>
    <w:rsid w:val="00A50AC9"/>
    <w:rsid w:val="00A511C4"/>
    <w:rsid w:val="00A513E8"/>
    <w:rsid w:val="00A521B9"/>
    <w:rsid w:val="00A522B8"/>
    <w:rsid w:val="00A529B5"/>
    <w:rsid w:val="00A53658"/>
    <w:rsid w:val="00A543C3"/>
    <w:rsid w:val="00A5570D"/>
    <w:rsid w:val="00A55814"/>
    <w:rsid w:val="00A5616F"/>
    <w:rsid w:val="00A56179"/>
    <w:rsid w:val="00A601C9"/>
    <w:rsid w:val="00A602E9"/>
    <w:rsid w:val="00A605D3"/>
    <w:rsid w:val="00A606DB"/>
    <w:rsid w:val="00A6087F"/>
    <w:rsid w:val="00A610FB"/>
    <w:rsid w:val="00A61744"/>
    <w:rsid w:val="00A617F0"/>
    <w:rsid w:val="00A61C04"/>
    <w:rsid w:val="00A64A4E"/>
    <w:rsid w:val="00A64C6E"/>
    <w:rsid w:val="00A65423"/>
    <w:rsid w:val="00A65DCC"/>
    <w:rsid w:val="00A66400"/>
    <w:rsid w:val="00A67706"/>
    <w:rsid w:val="00A700C9"/>
    <w:rsid w:val="00A70D41"/>
    <w:rsid w:val="00A70FBD"/>
    <w:rsid w:val="00A71CC6"/>
    <w:rsid w:val="00A7311E"/>
    <w:rsid w:val="00A73ECF"/>
    <w:rsid w:val="00A746AE"/>
    <w:rsid w:val="00A75EE5"/>
    <w:rsid w:val="00A76176"/>
    <w:rsid w:val="00A761F9"/>
    <w:rsid w:val="00A76473"/>
    <w:rsid w:val="00A76831"/>
    <w:rsid w:val="00A76B5B"/>
    <w:rsid w:val="00A77F3D"/>
    <w:rsid w:val="00A801B5"/>
    <w:rsid w:val="00A80338"/>
    <w:rsid w:val="00A8043D"/>
    <w:rsid w:val="00A81514"/>
    <w:rsid w:val="00A818F8"/>
    <w:rsid w:val="00A8278F"/>
    <w:rsid w:val="00A82D8A"/>
    <w:rsid w:val="00A82DD9"/>
    <w:rsid w:val="00A83A75"/>
    <w:rsid w:val="00A849D2"/>
    <w:rsid w:val="00A850B0"/>
    <w:rsid w:val="00A854C4"/>
    <w:rsid w:val="00A86576"/>
    <w:rsid w:val="00A87DD9"/>
    <w:rsid w:val="00A9004A"/>
    <w:rsid w:val="00A90305"/>
    <w:rsid w:val="00A9063D"/>
    <w:rsid w:val="00A90A1C"/>
    <w:rsid w:val="00A90BB4"/>
    <w:rsid w:val="00A915B3"/>
    <w:rsid w:val="00A925AA"/>
    <w:rsid w:val="00A92E42"/>
    <w:rsid w:val="00A9379C"/>
    <w:rsid w:val="00A93A5F"/>
    <w:rsid w:val="00A93ABB"/>
    <w:rsid w:val="00A93D11"/>
    <w:rsid w:val="00A94413"/>
    <w:rsid w:val="00A94C18"/>
    <w:rsid w:val="00A954FB"/>
    <w:rsid w:val="00A969B6"/>
    <w:rsid w:val="00A96F64"/>
    <w:rsid w:val="00A97463"/>
    <w:rsid w:val="00A9769B"/>
    <w:rsid w:val="00A9792E"/>
    <w:rsid w:val="00A97B55"/>
    <w:rsid w:val="00A97EC1"/>
    <w:rsid w:val="00AA01B0"/>
    <w:rsid w:val="00AA17E7"/>
    <w:rsid w:val="00AA21E4"/>
    <w:rsid w:val="00AA2BC6"/>
    <w:rsid w:val="00AA5405"/>
    <w:rsid w:val="00AA69DE"/>
    <w:rsid w:val="00AA6B2A"/>
    <w:rsid w:val="00AA6E87"/>
    <w:rsid w:val="00AA6FEA"/>
    <w:rsid w:val="00AA7049"/>
    <w:rsid w:val="00AA720B"/>
    <w:rsid w:val="00AA72FC"/>
    <w:rsid w:val="00AA7947"/>
    <w:rsid w:val="00AA7C26"/>
    <w:rsid w:val="00AA7E8D"/>
    <w:rsid w:val="00AB0469"/>
    <w:rsid w:val="00AB04BE"/>
    <w:rsid w:val="00AB1A5E"/>
    <w:rsid w:val="00AB24CC"/>
    <w:rsid w:val="00AB2EF8"/>
    <w:rsid w:val="00AB2FFB"/>
    <w:rsid w:val="00AB3533"/>
    <w:rsid w:val="00AB399C"/>
    <w:rsid w:val="00AB3BDC"/>
    <w:rsid w:val="00AB3F9A"/>
    <w:rsid w:val="00AB4C26"/>
    <w:rsid w:val="00AB5004"/>
    <w:rsid w:val="00AB50F6"/>
    <w:rsid w:val="00AB57C0"/>
    <w:rsid w:val="00AB5AD4"/>
    <w:rsid w:val="00AB61F9"/>
    <w:rsid w:val="00AB6366"/>
    <w:rsid w:val="00AB7075"/>
    <w:rsid w:val="00AC027B"/>
    <w:rsid w:val="00AC1043"/>
    <w:rsid w:val="00AC1141"/>
    <w:rsid w:val="00AC1507"/>
    <w:rsid w:val="00AC21DA"/>
    <w:rsid w:val="00AC347E"/>
    <w:rsid w:val="00AC364D"/>
    <w:rsid w:val="00AC3934"/>
    <w:rsid w:val="00AC3F19"/>
    <w:rsid w:val="00AC3FB6"/>
    <w:rsid w:val="00AC6098"/>
    <w:rsid w:val="00AC646B"/>
    <w:rsid w:val="00AC6842"/>
    <w:rsid w:val="00AC6AE8"/>
    <w:rsid w:val="00AC7280"/>
    <w:rsid w:val="00AC7929"/>
    <w:rsid w:val="00AC7C01"/>
    <w:rsid w:val="00AC7C6D"/>
    <w:rsid w:val="00AC7C8C"/>
    <w:rsid w:val="00AC7DFD"/>
    <w:rsid w:val="00AD096F"/>
    <w:rsid w:val="00AD2360"/>
    <w:rsid w:val="00AD2BB2"/>
    <w:rsid w:val="00AD32B8"/>
    <w:rsid w:val="00AD3956"/>
    <w:rsid w:val="00AD398A"/>
    <w:rsid w:val="00AD45EB"/>
    <w:rsid w:val="00AD48D9"/>
    <w:rsid w:val="00AD553D"/>
    <w:rsid w:val="00AD5655"/>
    <w:rsid w:val="00AD5ABA"/>
    <w:rsid w:val="00AD5B7A"/>
    <w:rsid w:val="00AD5D0E"/>
    <w:rsid w:val="00AD5E6D"/>
    <w:rsid w:val="00AD668A"/>
    <w:rsid w:val="00AD690D"/>
    <w:rsid w:val="00AD6B4C"/>
    <w:rsid w:val="00AD703C"/>
    <w:rsid w:val="00AD713D"/>
    <w:rsid w:val="00AD75B9"/>
    <w:rsid w:val="00AD7CA5"/>
    <w:rsid w:val="00AE0353"/>
    <w:rsid w:val="00AE0F46"/>
    <w:rsid w:val="00AE137F"/>
    <w:rsid w:val="00AE146F"/>
    <w:rsid w:val="00AE2151"/>
    <w:rsid w:val="00AE297C"/>
    <w:rsid w:val="00AE5038"/>
    <w:rsid w:val="00AE524B"/>
    <w:rsid w:val="00AE5359"/>
    <w:rsid w:val="00AE607F"/>
    <w:rsid w:val="00AE60CF"/>
    <w:rsid w:val="00AE61BA"/>
    <w:rsid w:val="00AE65B0"/>
    <w:rsid w:val="00AE6618"/>
    <w:rsid w:val="00AE7455"/>
    <w:rsid w:val="00AE74BB"/>
    <w:rsid w:val="00AE765C"/>
    <w:rsid w:val="00AE77ED"/>
    <w:rsid w:val="00AE7A72"/>
    <w:rsid w:val="00AE7DFF"/>
    <w:rsid w:val="00AE7F12"/>
    <w:rsid w:val="00AF162C"/>
    <w:rsid w:val="00AF2FC8"/>
    <w:rsid w:val="00AF3BEB"/>
    <w:rsid w:val="00AF3D4B"/>
    <w:rsid w:val="00AF3E67"/>
    <w:rsid w:val="00AF3FDF"/>
    <w:rsid w:val="00AF58BE"/>
    <w:rsid w:val="00AF58D5"/>
    <w:rsid w:val="00AF6788"/>
    <w:rsid w:val="00AF6944"/>
    <w:rsid w:val="00AF6A7B"/>
    <w:rsid w:val="00AF7ED3"/>
    <w:rsid w:val="00B003F6"/>
    <w:rsid w:val="00B0156C"/>
    <w:rsid w:val="00B01DC5"/>
    <w:rsid w:val="00B01FA9"/>
    <w:rsid w:val="00B02C42"/>
    <w:rsid w:val="00B031D9"/>
    <w:rsid w:val="00B034A7"/>
    <w:rsid w:val="00B035AC"/>
    <w:rsid w:val="00B038CB"/>
    <w:rsid w:val="00B0400A"/>
    <w:rsid w:val="00B050D6"/>
    <w:rsid w:val="00B052C5"/>
    <w:rsid w:val="00B06CFD"/>
    <w:rsid w:val="00B072BF"/>
    <w:rsid w:val="00B108FE"/>
    <w:rsid w:val="00B10AA2"/>
    <w:rsid w:val="00B11123"/>
    <w:rsid w:val="00B1125E"/>
    <w:rsid w:val="00B11D11"/>
    <w:rsid w:val="00B1250E"/>
    <w:rsid w:val="00B1350A"/>
    <w:rsid w:val="00B140E2"/>
    <w:rsid w:val="00B149BF"/>
    <w:rsid w:val="00B14A7F"/>
    <w:rsid w:val="00B159C4"/>
    <w:rsid w:val="00B15D6D"/>
    <w:rsid w:val="00B168B4"/>
    <w:rsid w:val="00B16AA4"/>
    <w:rsid w:val="00B16ACD"/>
    <w:rsid w:val="00B16C1E"/>
    <w:rsid w:val="00B17495"/>
    <w:rsid w:val="00B17C44"/>
    <w:rsid w:val="00B17E7F"/>
    <w:rsid w:val="00B21E79"/>
    <w:rsid w:val="00B22C1D"/>
    <w:rsid w:val="00B23C12"/>
    <w:rsid w:val="00B244BA"/>
    <w:rsid w:val="00B24835"/>
    <w:rsid w:val="00B24AA2"/>
    <w:rsid w:val="00B24C21"/>
    <w:rsid w:val="00B24C96"/>
    <w:rsid w:val="00B24F61"/>
    <w:rsid w:val="00B26D11"/>
    <w:rsid w:val="00B271B9"/>
    <w:rsid w:val="00B30C67"/>
    <w:rsid w:val="00B30C6A"/>
    <w:rsid w:val="00B30CE6"/>
    <w:rsid w:val="00B3155C"/>
    <w:rsid w:val="00B3273E"/>
    <w:rsid w:val="00B337C8"/>
    <w:rsid w:val="00B3383D"/>
    <w:rsid w:val="00B33BCE"/>
    <w:rsid w:val="00B3434B"/>
    <w:rsid w:val="00B3442C"/>
    <w:rsid w:val="00B34F09"/>
    <w:rsid w:val="00B34F72"/>
    <w:rsid w:val="00B3518E"/>
    <w:rsid w:val="00B35C98"/>
    <w:rsid w:val="00B360F1"/>
    <w:rsid w:val="00B372AB"/>
    <w:rsid w:val="00B37B09"/>
    <w:rsid w:val="00B41217"/>
    <w:rsid w:val="00B41A30"/>
    <w:rsid w:val="00B41B81"/>
    <w:rsid w:val="00B42013"/>
    <w:rsid w:val="00B422A3"/>
    <w:rsid w:val="00B4273F"/>
    <w:rsid w:val="00B4350B"/>
    <w:rsid w:val="00B437C9"/>
    <w:rsid w:val="00B44049"/>
    <w:rsid w:val="00B440C7"/>
    <w:rsid w:val="00B44C33"/>
    <w:rsid w:val="00B44F0F"/>
    <w:rsid w:val="00B45AF0"/>
    <w:rsid w:val="00B4611D"/>
    <w:rsid w:val="00B46F57"/>
    <w:rsid w:val="00B47D99"/>
    <w:rsid w:val="00B507F4"/>
    <w:rsid w:val="00B51BC6"/>
    <w:rsid w:val="00B52436"/>
    <w:rsid w:val="00B5270E"/>
    <w:rsid w:val="00B52934"/>
    <w:rsid w:val="00B529C8"/>
    <w:rsid w:val="00B53668"/>
    <w:rsid w:val="00B54B6D"/>
    <w:rsid w:val="00B5541C"/>
    <w:rsid w:val="00B55EA4"/>
    <w:rsid w:val="00B56370"/>
    <w:rsid w:val="00B57B71"/>
    <w:rsid w:val="00B57D0F"/>
    <w:rsid w:val="00B57E0C"/>
    <w:rsid w:val="00B6047F"/>
    <w:rsid w:val="00B604F3"/>
    <w:rsid w:val="00B60AB5"/>
    <w:rsid w:val="00B62035"/>
    <w:rsid w:val="00B63069"/>
    <w:rsid w:val="00B6323D"/>
    <w:rsid w:val="00B634B7"/>
    <w:rsid w:val="00B6368F"/>
    <w:rsid w:val="00B637EB"/>
    <w:rsid w:val="00B641C4"/>
    <w:rsid w:val="00B643B2"/>
    <w:rsid w:val="00B647F6"/>
    <w:rsid w:val="00B64D5B"/>
    <w:rsid w:val="00B65104"/>
    <w:rsid w:val="00B66603"/>
    <w:rsid w:val="00B6697C"/>
    <w:rsid w:val="00B66BB2"/>
    <w:rsid w:val="00B670AE"/>
    <w:rsid w:val="00B67B56"/>
    <w:rsid w:val="00B7030D"/>
    <w:rsid w:val="00B70E80"/>
    <w:rsid w:val="00B715A0"/>
    <w:rsid w:val="00B71A62"/>
    <w:rsid w:val="00B72519"/>
    <w:rsid w:val="00B72BBB"/>
    <w:rsid w:val="00B72F87"/>
    <w:rsid w:val="00B7476F"/>
    <w:rsid w:val="00B74A35"/>
    <w:rsid w:val="00B752C0"/>
    <w:rsid w:val="00B762A9"/>
    <w:rsid w:val="00B7645B"/>
    <w:rsid w:val="00B775AD"/>
    <w:rsid w:val="00B77B12"/>
    <w:rsid w:val="00B80596"/>
    <w:rsid w:val="00B80955"/>
    <w:rsid w:val="00B80F1D"/>
    <w:rsid w:val="00B81464"/>
    <w:rsid w:val="00B81995"/>
    <w:rsid w:val="00B81DCC"/>
    <w:rsid w:val="00B81FCA"/>
    <w:rsid w:val="00B828CF"/>
    <w:rsid w:val="00B83681"/>
    <w:rsid w:val="00B84A91"/>
    <w:rsid w:val="00B86653"/>
    <w:rsid w:val="00B866C2"/>
    <w:rsid w:val="00B8674B"/>
    <w:rsid w:val="00B86AF4"/>
    <w:rsid w:val="00B878E3"/>
    <w:rsid w:val="00B90521"/>
    <w:rsid w:val="00B907DE"/>
    <w:rsid w:val="00B90B29"/>
    <w:rsid w:val="00B91D84"/>
    <w:rsid w:val="00B9248E"/>
    <w:rsid w:val="00B927A9"/>
    <w:rsid w:val="00B92A89"/>
    <w:rsid w:val="00B92ACB"/>
    <w:rsid w:val="00B92C91"/>
    <w:rsid w:val="00B933CD"/>
    <w:rsid w:val="00B94924"/>
    <w:rsid w:val="00B954A4"/>
    <w:rsid w:val="00B959D4"/>
    <w:rsid w:val="00B95DA2"/>
    <w:rsid w:val="00B9799B"/>
    <w:rsid w:val="00B97A50"/>
    <w:rsid w:val="00BA009A"/>
    <w:rsid w:val="00BA0525"/>
    <w:rsid w:val="00BA0682"/>
    <w:rsid w:val="00BA0707"/>
    <w:rsid w:val="00BA0D9A"/>
    <w:rsid w:val="00BA0EA4"/>
    <w:rsid w:val="00BA14BF"/>
    <w:rsid w:val="00BA2219"/>
    <w:rsid w:val="00BA25B1"/>
    <w:rsid w:val="00BA2E0F"/>
    <w:rsid w:val="00BA434D"/>
    <w:rsid w:val="00BA628A"/>
    <w:rsid w:val="00BA6BF7"/>
    <w:rsid w:val="00BA6D40"/>
    <w:rsid w:val="00BA782E"/>
    <w:rsid w:val="00BA7989"/>
    <w:rsid w:val="00BA7DD8"/>
    <w:rsid w:val="00BB18EB"/>
    <w:rsid w:val="00BB1A42"/>
    <w:rsid w:val="00BB2829"/>
    <w:rsid w:val="00BB2D9A"/>
    <w:rsid w:val="00BB3649"/>
    <w:rsid w:val="00BB3A7B"/>
    <w:rsid w:val="00BB3B24"/>
    <w:rsid w:val="00BB406B"/>
    <w:rsid w:val="00BB5557"/>
    <w:rsid w:val="00BB5E04"/>
    <w:rsid w:val="00BB63A9"/>
    <w:rsid w:val="00BB64D4"/>
    <w:rsid w:val="00BB76A7"/>
    <w:rsid w:val="00BC0ED0"/>
    <w:rsid w:val="00BC1311"/>
    <w:rsid w:val="00BC256D"/>
    <w:rsid w:val="00BC26A0"/>
    <w:rsid w:val="00BC2C8A"/>
    <w:rsid w:val="00BC2D26"/>
    <w:rsid w:val="00BC366D"/>
    <w:rsid w:val="00BC3713"/>
    <w:rsid w:val="00BC3E93"/>
    <w:rsid w:val="00BC43B8"/>
    <w:rsid w:val="00BC49AE"/>
    <w:rsid w:val="00BC5AF1"/>
    <w:rsid w:val="00BC6EEA"/>
    <w:rsid w:val="00BC6F90"/>
    <w:rsid w:val="00BC741B"/>
    <w:rsid w:val="00BD0152"/>
    <w:rsid w:val="00BD04C9"/>
    <w:rsid w:val="00BD0E58"/>
    <w:rsid w:val="00BD1BC2"/>
    <w:rsid w:val="00BD1D42"/>
    <w:rsid w:val="00BD355E"/>
    <w:rsid w:val="00BD3688"/>
    <w:rsid w:val="00BD4065"/>
    <w:rsid w:val="00BD48CB"/>
    <w:rsid w:val="00BD61C3"/>
    <w:rsid w:val="00BD629A"/>
    <w:rsid w:val="00BD6ECC"/>
    <w:rsid w:val="00BD6F6F"/>
    <w:rsid w:val="00BD6FC3"/>
    <w:rsid w:val="00BD78AE"/>
    <w:rsid w:val="00BD7B9D"/>
    <w:rsid w:val="00BD7F5C"/>
    <w:rsid w:val="00BE0572"/>
    <w:rsid w:val="00BE0AAF"/>
    <w:rsid w:val="00BE0D3D"/>
    <w:rsid w:val="00BE0EF3"/>
    <w:rsid w:val="00BE1597"/>
    <w:rsid w:val="00BE2320"/>
    <w:rsid w:val="00BE3026"/>
    <w:rsid w:val="00BE3722"/>
    <w:rsid w:val="00BE4369"/>
    <w:rsid w:val="00BE46BF"/>
    <w:rsid w:val="00BE478C"/>
    <w:rsid w:val="00BE47BF"/>
    <w:rsid w:val="00BE4CF9"/>
    <w:rsid w:val="00BE4D78"/>
    <w:rsid w:val="00BE5117"/>
    <w:rsid w:val="00BE592C"/>
    <w:rsid w:val="00BE5B14"/>
    <w:rsid w:val="00BE6032"/>
    <w:rsid w:val="00BE6363"/>
    <w:rsid w:val="00BE67A7"/>
    <w:rsid w:val="00BE6930"/>
    <w:rsid w:val="00BE7133"/>
    <w:rsid w:val="00BE71D7"/>
    <w:rsid w:val="00BE771E"/>
    <w:rsid w:val="00BE7AF8"/>
    <w:rsid w:val="00BE7CDD"/>
    <w:rsid w:val="00BE7FA7"/>
    <w:rsid w:val="00BF0E76"/>
    <w:rsid w:val="00BF1BDE"/>
    <w:rsid w:val="00BF1F4E"/>
    <w:rsid w:val="00BF236B"/>
    <w:rsid w:val="00BF25F4"/>
    <w:rsid w:val="00BF2CB6"/>
    <w:rsid w:val="00BF33C3"/>
    <w:rsid w:val="00BF3784"/>
    <w:rsid w:val="00BF3A30"/>
    <w:rsid w:val="00BF3D07"/>
    <w:rsid w:val="00BF3E67"/>
    <w:rsid w:val="00BF4F78"/>
    <w:rsid w:val="00BF6ABA"/>
    <w:rsid w:val="00BF6EB9"/>
    <w:rsid w:val="00BF7AA7"/>
    <w:rsid w:val="00BF7DDA"/>
    <w:rsid w:val="00C00AF1"/>
    <w:rsid w:val="00C01E5D"/>
    <w:rsid w:val="00C026DF"/>
    <w:rsid w:val="00C02BD7"/>
    <w:rsid w:val="00C031B4"/>
    <w:rsid w:val="00C0328B"/>
    <w:rsid w:val="00C03505"/>
    <w:rsid w:val="00C0401B"/>
    <w:rsid w:val="00C04A62"/>
    <w:rsid w:val="00C04B5B"/>
    <w:rsid w:val="00C05165"/>
    <w:rsid w:val="00C05495"/>
    <w:rsid w:val="00C05578"/>
    <w:rsid w:val="00C05952"/>
    <w:rsid w:val="00C059C8"/>
    <w:rsid w:val="00C0626E"/>
    <w:rsid w:val="00C06478"/>
    <w:rsid w:val="00C0684F"/>
    <w:rsid w:val="00C07375"/>
    <w:rsid w:val="00C1165F"/>
    <w:rsid w:val="00C11A63"/>
    <w:rsid w:val="00C12029"/>
    <w:rsid w:val="00C12268"/>
    <w:rsid w:val="00C126E2"/>
    <w:rsid w:val="00C13178"/>
    <w:rsid w:val="00C1348E"/>
    <w:rsid w:val="00C13853"/>
    <w:rsid w:val="00C138F3"/>
    <w:rsid w:val="00C14A1F"/>
    <w:rsid w:val="00C14AEB"/>
    <w:rsid w:val="00C1587E"/>
    <w:rsid w:val="00C15A9B"/>
    <w:rsid w:val="00C15B3B"/>
    <w:rsid w:val="00C160C4"/>
    <w:rsid w:val="00C1642C"/>
    <w:rsid w:val="00C173B6"/>
    <w:rsid w:val="00C17492"/>
    <w:rsid w:val="00C1794E"/>
    <w:rsid w:val="00C17C2E"/>
    <w:rsid w:val="00C20A32"/>
    <w:rsid w:val="00C211B2"/>
    <w:rsid w:val="00C21D3D"/>
    <w:rsid w:val="00C22414"/>
    <w:rsid w:val="00C2261D"/>
    <w:rsid w:val="00C22CA2"/>
    <w:rsid w:val="00C22F01"/>
    <w:rsid w:val="00C23AF1"/>
    <w:rsid w:val="00C24040"/>
    <w:rsid w:val="00C24185"/>
    <w:rsid w:val="00C24190"/>
    <w:rsid w:val="00C255C5"/>
    <w:rsid w:val="00C25DAC"/>
    <w:rsid w:val="00C303A0"/>
    <w:rsid w:val="00C308B9"/>
    <w:rsid w:val="00C30C76"/>
    <w:rsid w:val="00C3288E"/>
    <w:rsid w:val="00C32E56"/>
    <w:rsid w:val="00C33223"/>
    <w:rsid w:val="00C33A3C"/>
    <w:rsid w:val="00C3452A"/>
    <w:rsid w:val="00C363FF"/>
    <w:rsid w:val="00C370FF"/>
    <w:rsid w:val="00C37361"/>
    <w:rsid w:val="00C373BF"/>
    <w:rsid w:val="00C376D1"/>
    <w:rsid w:val="00C37E70"/>
    <w:rsid w:val="00C409FB"/>
    <w:rsid w:val="00C40FBD"/>
    <w:rsid w:val="00C41D44"/>
    <w:rsid w:val="00C41FD3"/>
    <w:rsid w:val="00C42790"/>
    <w:rsid w:val="00C427B6"/>
    <w:rsid w:val="00C42D95"/>
    <w:rsid w:val="00C43434"/>
    <w:rsid w:val="00C43CE4"/>
    <w:rsid w:val="00C4433A"/>
    <w:rsid w:val="00C446D2"/>
    <w:rsid w:val="00C451D1"/>
    <w:rsid w:val="00C459FC"/>
    <w:rsid w:val="00C46016"/>
    <w:rsid w:val="00C4617C"/>
    <w:rsid w:val="00C4618D"/>
    <w:rsid w:val="00C46356"/>
    <w:rsid w:val="00C469B9"/>
    <w:rsid w:val="00C46E8B"/>
    <w:rsid w:val="00C474BD"/>
    <w:rsid w:val="00C50A81"/>
    <w:rsid w:val="00C51438"/>
    <w:rsid w:val="00C51815"/>
    <w:rsid w:val="00C51846"/>
    <w:rsid w:val="00C52C42"/>
    <w:rsid w:val="00C53861"/>
    <w:rsid w:val="00C548A4"/>
    <w:rsid w:val="00C549F2"/>
    <w:rsid w:val="00C5532D"/>
    <w:rsid w:val="00C5563B"/>
    <w:rsid w:val="00C55683"/>
    <w:rsid w:val="00C5698A"/>
    <w:rsid w:val="00C57560"/>
    <w:rsid w:val="00C5785C"/>
    <w:rsid w:val="00C57B71"/>
    <w:rsid w:val="00C57BBC"/>
    <w:rsid w:val="00C609F6"/>
    <w:rsid w:val="00C61E4E"/>
    <w:rsid w:val="00C625E7"/>
    <w:rsid w:val="00C6324E"/>
    <w:rsid w:val="00C63862"/>
    <w:rsid w:val="00C63DAF"/>
    <w:rsid w:val="00C64DC5"/>
    <w:rsid w:val="00C65466"/>
    <w:rsid w:val="00C6561F"/>
    <w:rsid w:val="00C65D10"/>
    <w:rsid w:val="00C668AC"/>
    <w:rsid w:val="00C671A3"/>
    <w:rsid w:val="00C67A0B"/>
    <w:rsid w:val="00C67EE4"/>
    <w:rsid w:val="00C7077F"/>
    <w:rsid w:val="00C71226"/>
    <w:rsid w:val="00C7126D"/>
    <w:rsid w:val="00C715DF"/>
    <w:rsid w:val="00C725EF"/>
    <w:rsid w:val="00C72A90"/>
    <w:rsid w:val="00C72AF3"/>
    <w:rsid w:val="00C73293"/>
    <w:rsid w:val="00C733DE"/>
    <w:rsid w:val="00C744EA"/>
    <w:rsid w:val="00C74D04"/>
    <w:rsid w:val="00C75360"/>
    <w:rsid w:val="00C758D6"/>
    <w:rsid w:val="00C75FE7"/>
    <w:rsid w:val="00C762FD"/>
    <w:rsid w:val="00C7645E"/>
    <w:rsid w:val="00C76477"/>
    <w:rsid w:val="00C768DB"/>
    <w:rsid w:val="00C77E54"/>
    <w:rsid w:val="00C81A62"/>
    <w:rsid w:val="00C820E3"/>
    <w:rsid w:val="00C82B4A"/>
    <w:rsid w:val="00C8527B"/>
    <w:rsid w:val="00C86017"/>
    <w:rsid w:val="00C86D39"/>
    <w:rsid w:val="00C87B02"/>
    <w:rsid w:val="00C90723"/>
    <w:rsid w:val="00C90FD8"/>
    <w:rsid w:val="00C92241"/>
    <w:rsid w:val="00C9230E"/>
    <w:rsid w:val="00C93515"/>
    <w:rsid w:val="00C93E40"/>
    <w:rsid w:val="00C9491B"/>
    <w:rsid w:val="00C959EF"/>
    <w:rsid w:val="00C95DFC"/>
    <w:rsid w:val="00C961DC"/>
    <w:rsid w:val="00C97573"/>
    <w:rsid w:val="00C978FB"/>
    <w:rsid w:val="00CA0FC4"/>
    <w:rsid w:val="00CA252D"/>
    <w:rsid w:val="00CA29F2"/>
    <w:rsid w:val="00CA32A1"/>
    <w:rsid w:val="00CA40B9"/>
    <w:rsid w:val="00CA41BD"/>
    <w:rsid w:val="00CA487B"/>
    <w:rsid w:val="00CA540A"/>
    <w:rsid w:val="00CA57BE"/>
    <w:rsid w:val="00CA6604"/>
    <w:rsid w:val="00CA6C6A"/>
    <w:rsid w:val="00CA77FD"/>
    <w:rsid w:val="00CA782B"/>
    <w:rsid w:val="00CA7C07"/>
    <w:rsid w:val="00CB1320"/>
    <w:rsid w:val="00CB1885"/>
    <w:rsid w:val="00CB1AB7"/>
    <w:rsid w:val="00CB3AF4"/>
    <w:rsid w:val="00CB432F"/>
    <w:rsid w:val="00CB5254"/>
    <w:rsid w:val="00CB6123"/>
    <w:rsid w:val="00CB620A"/>
    <w:rsid w:val="00CB62B9"/>
    <w:rsid w:val="00CB6DAB"/>
    <w:rsid w:val="00CB6EDD"/>
    <w:rsid w:val="00CB7056"/>
    <w:rsid w:val="00CB7CFB"/>
    <w:rsid w:val="00CC00A5"/>
    <w:rsid w:val="00CC08A1"/>
    <w:rsid w:val="00CC0EAC"/>
    <w:rsid w:val="00CC143F"/>
    <w:rsid w:val="00CC2006"/>
    <w:rsid w:val="00CC23FE"/>
    <w:rsid w:val="00CC34AE"/>
    <w:rsid w:val="00CC358B"/>
    <w:rsid w:val="00CC3BED"/>
    <w:rsid w:val="00CC4300"/>
    <w:rsid w:val="00CC45A0"/>
    <w:rsid w:val="00CC4A1D"/>
    <w:rsid w:val="00CC6127"/>
    <w:rsid w:val="00CC6DDB"/>
    <w:rsid w:val="00CC7581"/>
    <w:rsid w:val="00CC7664"/>
    <w:rsid w:val="00CC771E"/>
    <w:rsid w:val="00CC7E84"/>
    <w:rsid w:val="00CD07D2"/>
    <w:rsid w:val="00CD09C7"/>
    <w:rsid w:val="00CD15D3"/>
    <w:rsid w:val="00CD1918"/>
    <w:rsid w:val="00CD276F"/>
    <w:rsid w:val="00CD288C"/>
    <w:rsid w:val="00CD2A81"/>
    <w:rsid w:val="00CD2B2E"/>
    <w:rsid w:val="00CD2D4E"/>
    <w:rsid w:val="00CD2E35"/>
    <w:rsid w:val="00CD3F36"/>
    <w:rsid w:val="00CD44D1"/>
    <w:rsid w:val="00CD4BFC"/>
    <w:rsid w:val="00CD5564"/>
    <w:rsid w:val="00CD6823"/>
    <w:rsid w:val="00CD6E3D"/>
    <w:rsid w:val="00CD76A3"/>
    <w:rsid w:val="00CE04FD"/>
    <w:rsid w:val="00CE07BB"/>
    <w:rsid w:val="00CE20CB"/>
    <w:rsid w:val="00CE23DA"/>
    <w:rsid w:val="00CE2AC6"/>
    <w:rsid w:val="00CE2D44"/>
    <w:rsid w:val="00CE30A1"/>
    <w:rsid w:val="00CE3507"/>
    <w:rsid w:val="00CE3632"/>
    <w:rsid w:val="00CE37DF"/>
    <w:rsid w:val="00CE3CF7"/>
    <w:rsid w:val="00CE3F4D"/>
    <w:rsid w:val="00CE4BAC"/>
    <w:rsid w:val="00CE4CAD"/>
    <w:rsid w:val="00CE628A"/>
    <w:rsid w:val="00CE64A9"/>
    <w:rsid w:val="00CE661C"/>
    <w:rsid w:val="00CE7304"/>
    <w:rsid w:val="00CE756B"/>
    <w:rsid w:val="00CE7805"/>
    <w:rsid w:val="00CE7E3E"/>
    <w:rsid w:val="00CF04FA"/>
    <w:rsid w:val="00CF0B60"/>
    <w:rsid w:val="00CF0CF1"/>
    <w:rsid w:val="00CF1614"/>
    <w:rsid w:val="00CF183A"/>
    <w:rsid w:val="00CF1F25"/>
    <w:rsid w:val="00CF211A"/>
    <w:rsid w:val="00CF2F6B"/>
    <w:rsid w:val="00CF4707"/>
    <w:rsid w:val="00CF4CD4"/>
    <w:rsid w:val="00CF53F7"/>
    <w:rsid w:val="00CF660C"/>
    <w:rsid w:val="00CF6786"/>
    <w:rsid w:val="00CF6C68"/>
    <w:rsid w:val="00CF6ED4"/>
    <w:rsid w:val="00CF78E4"/>
    <w:rsid w:val="00D00572"/>
    <w:rsid w:val="00D00757"/>
    <w:rsid w:val="00D0163C"/>
    <w:rsid w:val="00D01CBE"/>
    <w:rsid w:val="00D01F3A"/>
    <w:rsid w:val="00D026EA"/>
    <w:rsid w:val="00D02A54"/>
    <w:rsid w:val="00D03167"/>
    <w:rsid w:val="00D03215"/>
    <w:rsid w:val="00D0359B"/>
    <w:rsid w:val="00D03739"/>
    <w:rsid w:val="00D03846"/>
    <w:rsid w:val="00D03DD5"/>
    <w:rsid w:val="00D04169"/>
    <w:rsid w:val="00D04556"/>
    <w:rsid w:val="00D04744"/>
    <w:rsid w:val="00D049F6"/>
    <w:rsid w:val="00D0561C"/>
    <w:rsid w:val="00D056C1"/>
    <w:rsid w:val="00D058C2"/>
    <w:rsid w:val="00D066DD"/>
    <w:rsid w:val="00D06959"/>
    <w:rsid w:val="00D0782D"/>
    <w:rsid w:val="00D07A35"/>
    <w:rsid w:val="00D10208"/>
    <w:rsid w:val="00D105DB"/>
    <w:rsid w:val="00D10A52"/>
    <w:rsid w:val="00D117EA"/>
    <w:rsid w:val="00D11DD8"/>
    <w:rsid w:val="00D15201"/>
    <w:rsid w:val="00D156B3"/>
    <w:rsid w:val="00D15FC5"/>
    <w:rsid w:val="00D161BC"/>
    <w:rsid w:val="00D163AE"/>
    <w:rsid w:val="00D16628"/>
    <w:rsid w:val="00D16D80"/>
    <w:rsid w:val="00D175EE"/>
    <w:rsid w:val="00D175FA"/>
    <w:rsid w:val="00D17940"/>
    <w:rsid w:val="00D2045E"/>
    <w:rsid w:val="00D20FA7"/>
    <w:rsid w:val="00D214D4"/>
    <w:rsid w:val="00D215E6"/>
    <w:rsid w:val="00D22375"/>
    <w:rsid w:val="00D223E8"/>
    <w:rsid w:val="00D22536"/>
    <w:rsid w:val="00D236BB"/>
    <w:rsid w:val="00D237C5"/>
    <w:rsid w:val="00D23CC7"/>
    <w:rsid w:val="00D23F0B"/>
    <w:rsid w:val="00D2508F"/>
    <w:rsid w:val="00D260A2"/>
    <w:rsid w:val="00D261EF"/>
    <w:rsid w:val="00D262FD"/>
    <w:rsid w:val="00D26636"/>
    <w:rsid w:val="00D268AC"/>
    <w:rsid w:val="00D26FF5"/>
    <w:rsid w:val="00D279C2"/>
    <w:rsid w:val="00D27BEB"/>
    <w:rsid w:val="00D27E57"/>
    <w:rsid w:val="00D30321"/>
    <w:rsid w:val="00D30F46"/>
    <w:rsid w:val="00D322C1"/>
    <w:rsid w:val="00D32F64"/>
    <w:rsid w:val="00D335F3"/>
    <w:rsid w:val="00D33E6F"/>
    <w:rsid w:val="00D3425F"/>
    <w:rsid w:val="00D3461B"/>
    <w:rsid w:val="00D34D05"/>
    <w:rsid w:val="00D34FD9"/>
    <w:rsid w:val="00D35735"/>
    <w:rsid w:val="00D35B00"/>
    <w:rsid w:val="00D36DEC"/>
    <w:rsid w:val="00D37721"/>
    <w:rsid w:val="00D378CA"/>
    <w:rsid w:val="00D40262"/>
    <w:rsid w:val="00D402D2"/>
    <w:rsid w:val="00D40B31"/>
    <w:rsid w:val="00D41B7C"/>
    <w:rsid w:val="00D41F3C"/>
    <w:rsid w:val="00D43866"/>
    <w:rsid w:val="00D4486E"/>
    <w:rsid w:val="00D44C38"/>
    <w:rsid w:val="00D44C9D"/>
    <w:rsid w:val="00D4539F"/>
    <w:rsid w:val="00D45682"/>
    <w:rsid w:val="00D45D55"/>
    <w:rsid w:val="00D46080"/>
    <w:rsid w:val="00D465C1"/>
    <w:rsid w:val="00D46635"/>
    <w:rsid w:val="00D46FEA"/>
    <w:rsid w:val="00D47DCA"/>
    <w:rsid w:val="00D504CC"/>
    <w:rsid w:val="00D509BC"/>
    <w:rsid w:val="00D50A38"/>
    <w:rsid w:val="00D519E7"/>
    <w:rsid w:val="00D52343"/>
    <w:rsid w:val="00D523DE"/>
    <w:rsid w:val="00D52CF7"/>
    <w:rsid w:val="00D53603"/>
    <w:rsid w:val="00D53A39"/>
    <w:rsid w:val="00D53AF0"/>
    <w:rsid w:val="00D53E16"/>
    <w:rsid w:val="00D54DE2"/>
    <w:rsid w:val="00D5559C"/>
    <w:rsid w:val="00D5655D"/>
    <w:rsid w:val="00D56656"/>
    <w:rsid w:val="00D572D6"/>
    <w:rsid w:val="00D57F0B"/>
    <w:rsid w:val="00D6050F"/>
    <w:rsid w:val="00D608B3"/>
    <w:rsid w:val="00D613FC"/>
    <w:rsid w:val="00D61646"/>
    <w:rsid w:val="00D61936"/>
    <w:rsid w:val="00D622FD"/>
    <w:rsid w:val="00D62644"/>
    <w:rsid w:val="00D62B23"/>
    <w:rsid w:val="00D62B3D"/>
    <w:rsid w:val="00D6386D"/>
    <w:rsid w:val="00D63FEB"/>
    <w:rsid w:val="00D64606"/>
    <w:rsid w:val="00D6462F"/>
    <w:rsid w:val="00D64962"/>
    <w:rsid w:val="00D649C3"/>
    <w:rsid w:val="00D65120"/>
    <w:rsid w:val="00D6527B"/>
    <w:rsid w:val="00D6540A"/>
    <w:rsid w:val="00D66ED3"/>
    <w:rsid w:val="00D700FD"/>
    <w:rsid w:val="00D706EC"/>
    <w:rsid w:val="00D72A85"/>
    <w:rsid w:val="00D7324E"/>
    <w:rsid w:val="00D73642"/>
    <w:rsid w:val="00D743B4"/>
    <w:rsid w:val="00D74E55"/>
    <w:rsid w:val="00D74FDD"/>
    <w:rsid w:val="00D75690"/>
    <w:rsid w:val="00D75A63"/>
    <w:rsid w:val="00D75FAB"/>
    <w:rsid w:val="00D76957"/>
    <w:rsid w:val="00D76D85"/>
    <w:rsid w:val="00D76E29"/>
    <w:rsid w:val="00D8081A"/>
    <w:rsid w:val="00D80CA7"/>
    <w:rsid w:val="00D81491"/>
    <w:rsid w:val="00D81517"/>
    <w:rsid w:val="00D81B72"/>
    <w:rsid w:val="00D82B41"/>
    <w:rsid w:val="00D8318F"/>
    <w:rsid w:val="00D8363F"/>
    <w:rsid w:val="00D848C3"/>
    <w:rsid w:val="00D84D34"/>
    <w:rsid w:val="00D8534F"/>
    <w:rsid w:val="00D85E3E"/>
    <w:rsid w:val="00D86005"/>
    <w:rsid w:val="00D866D3"/>
    <w:rsid w:val="00D87373"/>
    <w:rsid w:val="00D87D8D"/>
    <w:rsid w:val="00D904FD"/>
    <w:rsid w:val="00D91706"/>
    <w:rsid w:val="00D919B0"/>
    <w:rsid w:val="00D9230A"/>
    <w:rsid w:val="00D92C51"/>
    <w:rsid w:val="00D93229"/>
    <w:rsid w:val="00D940E0"/>
    <w:rsid w:val="00D947FC"/>
    <w:rsid w:val="00D9498D"/>
    <w:rsid w:val="00D94CEF"/>
    <w:rsid w:val="00D94CFC"/>
    <w:rsid w:val="00D956F2"/>
    <w:rsid w:val="00D95EBA"/>
    <w:rsid w:val="00D964E3"/>
    <w:rsid w:val="00D96574"/>
    <w:rsid w:val="00D969CB"/>
    <w:rsid w:val="00D96F1C"/>
    <w:rsid w:val="00D97960"/>
    <w:rsid w:val="00D97AFD"/>
    <w:rsid w:val="00DA097C"/>
    <w:rsid w:val="00DA0DDD"/>
    <w:rsid w:val="00DA0FC3"/>
    <w:rsid w:val="00DA1DDD"/>
    <w:rsid w:val="00DA2008"/>
    <w:rsid w:val="00DA22B4"/>
    <w:rsid w:val="00DA2CA9"/>
    <w:rsid w:val="00DA2CF2"/>
    <w:rsid w:val="00DA2E72"/>
    <w:rsid w:val="00DA31C6"/>
    <w:rsid w:val="00DA3C50"/>
    <w:rsid w:val="00DA3ECD"/>
    <w:rsid w:val="00DA4B1C"/>
    <w:rsid w:val="00DA4E54"/>
    <w:rsid w:val="00DA5316"/>
    <w:rsid w:val="00DA5336"/>
    <w:rsid w:val="00DA566D"/>
    <w:rsid w:val="00DA587C"/>
    <w:rsid w:val="00DA601D"/>
    <w:rsid w:val="00DA6701"/>
    <w:rsid w:val="00DA6DF4"/>
    <w:rsid w:val="00DA730D"/>
    <w:rsid w:val="00DA73D7"/>
    <w:rsid w:val="00DA7986"/>
    <w:rsid w:val="00DA7C23"/>
    <w:rsid w:val="00DB0E1F"/>
    <w:rsid w:val="00DB18C7"/>
    <w:rsid w:val="00DB2476"/>
    <w:rsid w:val="00DB31E6"/>
    <w:rsid w:val="00DB3937"/>
    <w:rsid w:val="00DB4317"/>
    <w:rsid w:val="00DB48EA"/>
    <w:rsid w:val="00DB515B"/>
    <w:rsid w:val="00DB5AB0"/>
    <w:rsid w:val="00DB6031"/>
    <w:rsid w:val="00DB60A5"/>
    <w:rsid w:val="00DB62F1"/>
    <w:rsid w:val="00DB70FC"/>
    <w:rsid w:val="00DB767D"/>
    <w:rsid w:val="00DB7DA0"/>
    <w:rsid w:val="00DB7DC1"/>
    <w:rsid w:val="00DC00BB"/>
    <w:rsid w:val="00DC0F51"/>
    <w:rsid w:val="00DC1212"/>
    <w:rsid w:val="00DC1810"/>
    <w:rsid w:val="00DC19BB"/>
    <w:rsid w:val="00DC1C72"/>
    <w:rsid w:val="00DC3900"/>
    <w:rsid w:val="00DC3EFA"/>
    <w:rsid w:val="00DC3FF0"/>
    <w:rsid w:val="00DC4262"/>
    <w:rsid w:val="00DC5342"/>
    <w:rsid w:val="00DC65EB"/>
    <w:rsid w:val="00DC77CF"/>
    <w:rsid w:val="00DD0BA4"/>
    <w:rsid w:val="00DD1661"/>
    <w:rsid w:val="00DD1B85"/>
    <w:rsid w:val="00DD1E64"/>
    <w:rsid w:val="00DD20B1"/>
    <w:rsid w:val="00DD222A"/>
    <w:rsid w:val="00DD2445"/>
    <w:rsid w:val="00DD25EA"/>
    <w:rsid w:val="00DD2B00"/>
    <w:rsid w:val="00DD2E49"/>
    <w:rsid w:val="00DD30DF"/>
    <w:rsid w:val="00DD317C"/>
    <w:rsid w:val="00DD34F1"/>
    <w:rsid w:val="00DD439E"/>
    <w:rsid w:val="00DD4C1C"/>
    <w:rsid w:val="00DD565E"/>
    <w:rsid w:val="00DD5C26"/>
    <w:rsid w:val="00DD5E2B"/>
    <w:rsid w:val="00DD5F07"/>
    <w:rsid w:val="00DD6582"/>
    <w:rsid w:val="00DD74E9"/>
    <w:rsid w:val="00DE0E19"/>
    <w:rsid w:val="00DE133D"/>
    <w:rsid w:val="00DE31D8"/>
    <w:rsid w:val="00DE3276"/>
    <w:rsid w:val="00DE3586"/>
    <w:rsid w:val="00DE39FC"/>
    <w:rsid w:val="00DE4145"/>
    <w:rsid w:val="00DE4B8C"/>
    <w:rsid w:val="00DE4C63"/>
    <w:rsid w:val="00DE51C0"/>
    <w:rsid w:val="00DE547B"/>
    <w:rsid w:val="00DE7139"/>
    <w:rsid w:val="00DE745F"/>
    <w:rsid w:val="00DE7CB0"/>
    <w:rsid w:val="00DF006B"/>
    <w:rsid w:val="00DF06C4"/>
    <w:rsid w:val="00DF1215"/>
    <w:rsid w:val="00DF12C9"/>
    <w:rsid w:val="00DF1421"/>
    <w:rsid w:val="00DF172E"/>
    <w:rsid w:val="00DF1E09"/>
    <w:rsid w:val="00DF2DE5"/>
    <w:rsid w:val="00DF3DE3"/>
    <w:rsid w:val="00DF535A"/>
    <w:rsid w:val="00DF5573"/>
    <w:rsid w:val="00DF5C49"/>
    <w:rsid w:val="00DF5DD0"/>
    <w:rsid w:val="00DF68DD"/>
    <w:rsid w:val="00DF6A1C"/>
    <w:rsid w:val="00E001D3"/>
    <w:rsid w:val="00E007B3"/>
    <w:rsid w:val="00E00F63"/>
    <w:rsid w:val="00E018C6"/>
    <w:rsid w:val="00E02517"/>
    <w:rsid w:val="00E028BF"/>
    <w:rsid w:val="00E02E61"/>
    <w:rsid w:val="00E03157"/>
    <w:rsid w:val="00E033EB"/>
    <w:rsid w:val="00E04304"/>
    <w:rsid w:val="00E044EE"/>
    <w:rsid w:val="00E04A18"/>
    <w:rsid w:val="00E0564F"/>
    <w:rsid w:val="00E05A09"/>
    <w:rsid w:val="00E06112"/>
    <w:rsid w:val="00E0638D"/>
    <w:rsid w:val="00E06E7F"/>
    <w:rsid w:val="00E0705A"/>
    <w:rsid w:val="00E12218"/>
    <w:rsid w:val="00E125CC"/>
    <w:rsid w:val="00E1298D"/>
    <w:rsid w:val="00E12EB6"/>
    <w:rsid w:val="00E13103"/>
    <w:rsid w:val="00E13C16"/>
    <w:rsid w:val="00E15223"/>
    <w:rsid w:val="00E155D1"/>
    <w:rsid w:val="00E1578B"/>
    <w:rsid w:val="00E16BCF"/>
    <w:rsid w:val="00E17C23"/>
    <w:rsid w:val="00E20026"/>
    <w:rsid w:val="00E20153"/>
    <w:rsid w:val="00E20AE0"/>
    <w:rsid w:val="00E21282"/>
    <w:rsid w:val="00E213DC"/>
    <w:rsid w:val="00E218E5"/>
    <w:rsid w:val="00E21DE5"/>
    <w:rsid w:val="00E23342"/>
    <w:rsid w:val="00E23762"/>
    <w:rsid w:val="00E24E75"/>
    <w:rsid w:val="00E24F3A"/>
    <w:rsid w:val="00E25216"/>
    <w:rsid w:val="00E253E5"/>
    <w:rsid w:val="00E25E3B"/>
    <w:rsid w:val="00E266BF"/>
    <w:rsid w:val="00E279F8"/>
    <w:rsid w:val="00E30360"/>
    <w:rsid w:val="00E31592"/>
    <w:rsid w:val="00E31C34"/>
    <w:rsid w:val="00E32AF8"/>
    <w:rsid w:val="00E33081"/>
    <w:rsid w:val="00E33988"/>
    <w:rsid w:val="00E3471B"/>
    <w:rsid w:val="00E349EC"/>
    <w:rsid w:val="00E34B86"/>
    <w:rsid w:val="00E34E85"/>
    <w:rsid w:val="00E376D3"/>
    <w:rsid w:val="00E37F95"/>
    <w:rsid w:val="00E4023B"/>
    <w:rsid w:val="00E40555"/>
    <w:rsid w:val="00E40DF4"/>
    <w:rsid w:val="00E40E11"/>
    <w:rsid w:val="00E41DA9"/>
    <w:rsid w:val="00E423CC"/>
    <w:rsid w:val="00E42BEC"/>
    <w:rsid w:val="00E43211"/>
    <w:rsid w:val="00E436A3"/>
    <w:rsid w:val="00E4440B"/>
    <w:rsid w:val="00E445F6"/>
    <w:rsid w:val="00E44862"/>
    <w:rsid w:val="00E450BD"/>
    <w:rsid w:val="00E45260"/>
    <w:rsid w:val="00E45360"/>
    <w:rsid w:val="00E45AD9"/>
    <w:rsid w:val="00E46369"/>
    <w:rsid w:val="00E46748"/>
    <w:rsid w:val="00E46B20"/>
    <w:rsid w:val="00E46B64"/>
    <w:rsid w:val="00E47442"/>
    <w:rsid w:val="00E4796D"/>
    <w:rsid w:val="00E47D08"/>
    <w:rsid w:val="00E514F2"/>
    <w:rsid w:val="00E5171F"/>
    <w:rsid w:val="00E51A74"/>
    <w:rsid w:val="00E51B02"/>
    <w:rsid w:val="00E524DB"/>
    <w:rsid w:val="00E54995"/>
    <w:rsid w:val="00E55161"/>
    <w:rsid w:val="00E55691"/>
    <w:rsid w:val="00E558E4"/>
    <w:rsid w:val="00E5598E"/>
    <w:rsid w:val="00E55997"/>
    <w:rsid w:val="00E55AA1"/>
    <w:rsid w:val="00E55FD9"/>
    <w:rsid w:val="00E56464"/>
    <w:rsid w:val="00E56834"/>
    <w:rsid w:val="00E569A9"/>
    <w:rsid w:val="00E57B28"/>
    <w:rsid w:val="00E60106"/>
    <w:rsid w:val="00E6041B"/>
    <w:rsid w:val="00E61BF9"/>
    <w:rsid w:val="00E625B3"/>
    <w:rsid w:val="00E632AB"/>
    <w:rsid w:val="00E638D4"/>
    <w:rsid w:val="00E63C06"/>
    <w:rsid w:val="00E642EE"/>
    <w:rsid w:val="00E64DEA"/>
    <w:rsid w:val="00E650A1"/>
    <w:rsid w:val="00E650FE"/>
    <w:rsid w:val="00E65B94"/>
    <w:rsid w:val="00E660A1"/>
    <w:rsid w:val="00E669BF"/>
    <w:rsid w:val="00E669DD"/>
    <w:rsid w:val="00E67544"/>
    <w:rsid w:val="00E705E2"/>
    <w:rsid w:val="00E70C15"/>
    <w:rsid w:val="00E71534"/>
    <w:rsid w:val="00E715F3"/>
    <w:rsid w:val="00E720AF"/>
    <w:rsid w:val="00E722FC"/>
    <w:rsid w:val="00E739C7"/>
    <w:rsid w:val="00E73EF1"/>
    <w:rsid w:val="00E741D9"/>
    <w:rsid w:val="00E751F3"/>
    <w:rsid w:val="00E75CD4"/>
    <w:rsid w:val="00E76DD9"/>
    <w:rsid w:val="00E770BA"/>
    <w:rsid w:val="00E772FB"/>
    <w:rsid w:val="00E777A6"/>
    <w:rsid w:val="00E804F0"/>
    <w:rsid w:val="00E807A5"/>
    <w:rsid w:val="00E80854"/>
    <w:rsid w:val="00E8179F"/>
    <w:rsid w:val="00E828BC"/>
    <w:rsid w:val="00E83168"/>
    <w:rsid w:val="00E84248"/>
    <w:rsid w:val="00E84563"/>
    <w:rsid w:val="00E85B9C"/>
    <w:rsid w:val="00E85F51"/>
    <w:rsid w:val="00E866EC"/>
    <w:rsid w:val="00E86B3C"/>
    <w:rsid w:val="00E86F05"/>
    <w:rsid w:val="00E870F4"/>
    <w:rsid w:val="00E873AE"/>
    <w:rsid w:val="00E8749E"/>
    <w:rsid w:val="00E87E28"/>
    <w:rsid w:val="00E87E65"/>
    <w:rsid w:val="00E900A3"/>
    <w:rsid w:val="00E90DAC"/>
    <w:rsid w:val="00E9162E"/>
    <w:rsid w:val="00E918F8"/>
    <w:rsid w:val="00E91F7D"/>
    <w:rsid w:val="00E92896"/>
    <w:rsid w:val="00E92A84"/>
    <w:rsid w:val="00E92D13"/>
    <w:rsid w:val="00E936C3"/>
    <w:rsid w:val="00E93C7D"/>
    <w:rsid w:val="00E9486C"/>
    <w:rsid w:val="00E94C40"/>
    <w:rsid w:val="00E94D37"/>
    <w:rsid w:val="00E953C9"/>
    <w:rsid w:val="00E955CC"/>
    <w:rsid w:val="00E9711E"/>
    <w:rsid w:val="00E97835"/>
    <w:rsid w:val="00E97E87"/>
    <w:rsid w:val="00E97FF1"/>
    <w:rsid w:val="00EA00C8"/>
    <w:rsid w:val="00EA0441"/>
    <w:rsid w:val="00EA0F9C"/>
    <w:rsid w:val="00EA1259"/>
    <w:rsid w:val="00EA1770"/>
    <w:rsid w:val="00EA1C5F"/>
    <w:rsid w:val="00EA1D8F"/>
    <w:rsid w:val="00EA3662"/>
    <w:rsid w:val="00EA3A30"/>
    <w:rsid w:val="00EA3ADF"/>
    <w:rsid w:val="00EA479F"/>
    <w:rsid w:val="00EA49A6"/>
    <w:rsid w:val="00EA5303"/>
    <w:rsid w:val="00EA56C7"/>
    <w:rsid w:val="00EA6593"/>
    <w:rsid w:val="00EA6DA2"/>
    <w:rsid w:val="00EA6FCF"/>
    <w:rsid w:val="00EB049E"/>
    <w:rsid w:val="00EB06CA"/>
    <w:rsid w:val="00EB0B1A"/>
    <w:rsid w:val="00EB1654"/>
    <w:rsid w:val="00EB1AB8"/>
    <w:rsid w:val="00EB21AB"/>
    <w:rsid w:val="00EB2F36"/>
    <w:rsid w:val="00EB30DA"/>
    <w:rsid w:val="00EB316C"/>
    <w:rsid w:val="00EB35D8"/>
    <w:rsid w:val="00EB3756"/>
    <w:rsid w:val="00EB3A25"/>
    <w:rsid w:val="00EB40B6"/>
    <w:rsid w:val="00EB57DD"/>
    <w:rsid w:val="00EB6A11"/>
    <w:rsid w:val="00EB77D2"/>
    <w:rsid w:val="00EC0505"/>
    <w:rsid w:val="00EC068D"/>
    <w:rsid w:val="00EC1DC6"/>
    <w:rsid w:val="00EC22EE"/>
    <w:rsid w:val="00EC3128"/>
    <w:rsid w:val="00EC3235"/>
    <w:rsid w:val="00EC3961"/>
    <w:rsid w:val="00EC3A3A"/>
    <w:rsid w:val="00EC3EDC"/>
    <w:rsid w:val="00EC456F"/>
    <w:rsid w:val="00EC4CB0"/>
    <w:rsid w:val="00EC5119"/>
    <w:rsid w:val="00EC5402"/>
    <w:rsid w:val="00EC5548"/>
    <w:rsid w:val="00EC564E"/>
    <w:rsid w:val="00EC58D0"/>
    <w:rsid w:val="00EC7A32"/>
    <w:rsid w:val="00EC7F6C"/>
    <w:rsid w:val="00ED0BC3"/>
    <w:rsid w:val="00ED0C9C"/>
    <w:rsid w:val="00ED0EC7"/>
    <w:rsid w:val="00ED114A"/>
    <w:rsid w:val="00ED1426"/>
    <w:rsid w:val="00ED14CF"/>
    <w:rsid w:val="00ED1D07"/>
    <w:rsid w:val="00ED20ED"/>
    <w:rsid w:val="00ED232C"/>
    <w:rsid w:val="00ED2BC7"/>
    <w:rsid w:val="00ED2C17"/>
    <w:rsid w:val="00ED32C9"/>
    <w:rsid w:val="00ED3A80"/>
    <w:rsid w:val="00ED44FE"/>
    <w:rsid w:val="00ED48F1"/>
    <w:rsid w:val="00ED4BF4"/>
    <w:rsid w:val="00ED4C1B"/>
    <w:rsid w:val="00ED55F2"/>
    <w:rsid w:val="00ED568F"/>
    <w:rsid w:val="00ED6829"/>
    <w:rsid w:val="00ED6C8E"/>
    <w:rsid w:val="00ED70D0"/>
    <w:rsid w:val="00EE2318"/>
    <w:rsid w:val="00EE234B"/>
    <w:rsid w:val="00EE334F"/>
    <w:rsid w:val="00EE3384"/>
    <w:rsid w:val="00EE33BB"/>
    <w:rsid w:val="00EE397C"/>
    <w:rsid w:val="00EE44CF"/>
    <w:rsid w:val="00EE4C01"/>
    <w:rsid w:val="00EE4FC9"/>
    <w:rsid w:val="00EE4FD3"/>
    <w:rsid w:val="00EE52D2"/>
    <w:rsid w:val="00EE566A"/>
    <w:rsid w:val="00EE6825"/>
    <w:rsid w:val="00EE6956"/>
    <w:rsid w:val="00EE7326"/>
    <w:rsid w:val="00EE73E6"/>
    <w:rsid w:val="00EE74A4"/>
    <w:rsid w:val="00EE7A4E"/>
    <w:rsid w:val="00EE7D86"/>
    <w:rsid w:val="00EF0079"/>
    <w:rsid w:val="00EF008B"/>
    <w:rsid w:val="00EF091D"/>
    <w:rsid w:val="00EF11E9"/>
    <w:rsid w:val="00EF2939"/>
    <w:rsid w:val="00EF2DE2"/>
    <w:rsid w:val="00EF3193"/>
    <w:rsid w:val="00EF4664"/>
    <w:rsid w:val="00EF47F0"/>
    <w:rsid w:val="00EF4CF1"/>
    <w:rsid w:val="00EF54B9"/>
    <w:rsid w:val="00EF61AD"/>
    <w:rsid w:val="00EF64DC"/>
    <w:rsid w:val="00EF6AB8"/>
    <w:rsid w:val="00EF73BF"/>
    <w:rsid w:val="00EF7D01"/>
    <w:rsid w:val="00F0015F"/>
    <w:rsid w:val="00F00723"/>
    <w:rsid w:val="00F00CDF"/>
    <w:rsid w:val="00F018D1"/>
    <w:rsid w:val="00F021B4"/>
    <w:rsid w:val="00F03595"/>
    <w:rsid w:val="00F03B3B"/>
    <w:rsid w:val="00F03D06"/>
    <w:rsid w:val="00F04A86"/>
    <w:rsid w:val="00F050AE"/>
    <w:rsid w:val="00F06078"/>
    <w:rsid w:val="00F069F8"/>
    <w:rsid w:val="00F06F87"/>
    <w:rsid w:val="00F071FB"/>
    <w:rsid w:val="00F07472"/>
    <w:rsid w:val="00F07D2B"/>
    <w:rsid w:val="00F10280"/>
    <w:rsid w:val="00F10F72"/>
    <w:rsid w:val="00F1103F"/>
    <w:rsid w:val="00F11678"/>
    <w:rsid w:val="00F1190A"/>
    <w:rsid w:val="00F11C0F"/>
    <w:rsid w:val="00F120A7"/>
    <w:rsid w:val="00F122CF"/>
    <w:rsid w:val="00F12AD2"/>
    <w:rsid w:val="00F1300C"/>
    <w:rsid w:val="00F1353F"/>
    <w:rsid w:val="00F1390A"/>
    <w:rsid w:val="00F13A91"/>
    <w:rsid w:val="00F13FDB"/>
    <w:rsid w:val="00F14A25"/>
    <w:rsid w:val="00F1650E"/>
    <w:rsid w:val="00F16570"/>
    <w:rsid w:val="00F16B95"/>
    <w:rsid w:val="00F17648"/>
    <w:rsid w:val="00F17657"/>
    <w:rsid w:val="00F1770E"/>
    <w:rsid w:val="00F2017A"/>
    <w:rsid w:val="00F20BEE"/>
    <w:rsid w:val="00F20C18"/>
    <w:rsid w:val="00F20F06"/>
    <w:rsid w:val="00F21474"/>
    <w:rsid w:val="00F216E5"/>
    <w:rsid w:val="00F228A8"/>
    <w:rsid w:val="00F2336C"/>
    <w:rsid w:val="00F23D1E"/>
    <w:rsid w:val="00F23DFA"/>
    <w:rsid w:val="00F2432E"/>
    <w:rsid w:val="00F24416"/>
    <w:rsid w:val="00F24F5E"/>
    <w:rsid w:val="00F2568C"/>
    <w:rsid w:val="00F257D2"/>
    <w:rsid w:val="00F25ACD"/>
    <w:rsid w:val="00F25EEF"/>
    <w:rsid w:val="00F2657A"/>
    <w:rsid w:val="00F2694F"/>
    <w:rsid w:val="00F27B02"/>
    <w:rsid w:val="00F27E89"/>
    <w:rsid w:val="00F305CE"/>
    <w:rsid w:val="00F31937"/>
    <w:rsid w:val="00F31C9F"/>
    <w:rsid w:val="00F33250"/>
    <w:rsid w:val="00F33FBF"/>
    <w:rsid w:val="00F34D29"/>
    <w:rsid w:val="00F35146"/>
    <w:rsid w:val="00F353D5"/>
    <w:rsid w:val="00F37105"/>
    <w:rsid w:val="00F37C54"/>
    <w:rsid w:val="00F37CE7"/>
    <w:rsid w:val="00F4255C"/>
    <w:rsid w:val="00F42A39"/>
    <w:rsid w:val="00F42B19"/>
    <w:rsid w:val="00F4321D"/>
    <w:rsid w:val="00F43558"/>
    <w:rsid w:val="00F43E59"/>
    <w:rsid w:val="00F445FE"/>
    <w:rsid w:val="00F449C8"/>
    <w:rsid w:val="00F44D97"/>
    <w:rsid w:val="00F453D6"/>
    <w:rsid w:val="00F45411"/>
    <w:rsid w:val="00F45641"/>
    <w:rsid w:val="00F459B7"/>
    <w:rsid w:val="00F46719"/>
    <w:rsid w:val="00F467C6"/>
    <w:rsid w:val="00F46E5D"/>
    <w:rsid w:val="00F46E63"/>
    <w:rsid w:val="00F47185"/>
    <w:rsid w:val="00F473DD"/>
    <w:rsid w:val="00F476D7"/>
    <w:rsid w:val="00F47F75"/>
    <w:rsid w:val="00F50563"/>
    <w:rsid w:val="00F5076D"/>
    <w:rsid w:val="00F50BDF"/>
    <w:rsid w:val="00F5162B"/>
    <w:rsid w:val="00F51EC6"/>
    <w:rsid w:val="00F53E60"/>
    <w:rsid w:val="00F53F2E"/>
    <w:rsid w:val="00F54677"/>
    <w:rsid w:val="00F54A41"/>
    <w:rsid w:val="00F54FB6"/>
    <w:rsid w:val="00F55EE8"/>
    <w:rsid w:val="00F55FA4"/>
    <w:rsid w:val="00F56B97"/>
    <w:rsid w:val="00F56CFA"/>
    <w:rsid w:val="00F5719C"/>
    <w:rsid w:val="00F60B06"/>
    <w:rsid w:val="00F60DB4"/>
    <w:rsid w:val="00F61D6F"/>
    <w:rsid w:val="00F62530"/>
    <w:rsid w:val="00F625BB"/>
    <w:rsid w:val="00F6307F"/>
    <w:rsid w:val="00F636AE"/>
    <w:rsid w:val="00F63C1F"/>
    <w:rsid w:val="00F64C6D"/>
    <w:rsid w:val="00F653CB"/>
    <w:rsid w:val="00F65673"/>
    <w:rsid w:val="00F6575C"/>
    <w:rsid w:val="00F65A8E"/>
    <w:rsid w:val="00F6612B"/>
    <w:rsid w:val="00F66180"/>
    <w:rsid w:val="00F66B1E"/>
    <w:rsid w:val="00F67C20"/>
    <w:rsid w:val="00F70C8D"/>
    <w:rsid w:val="00F71168"/>
    <w:rsid w:val="00F716BF"/>
    <w:rsid w:val="00F716D4"/>
    <w:rsid w:val="00F71D98"/>
    <w:rsid w:val="00F72A09"/>
    <w:rsid w:val="00F72C85"/>
    <w:rsid w:val="00F732C7"/>
    <w:rsid w:val="00F73F63"/>
    <w:rsid w:val="00F74822"/>
    <w:rsid w:val="00F75449"/>
    <w:rsid w:val="00F76B8E"/>
    <w:rsid w:val="00F81D7A"/>
    <w:rsid w:val="00F821B4"/>
    <w:rsid w:val="00F82321"/>
    <w:rsid w:val="00F82B53"/>
    <w:rsid w:val="00F82F13"/>
    <w:rsid w:val="00F83120"/>
    <w:rsid w:val="00F83136"/>
    <w:rsid w:val="00F83B4C"/>
    <w:rsid w:val="00F83C86"/>
    <w:rsid w:val="00F843AC"/>
    <w:rsid w:val="00F84412"/>
    <w:rsid w:val="00F8576E"/>
    <w:rsid w:val="00F85789"/>
    <w:rsid w:val="00F85CF7"/>
    <w:rsid w:val="00F85DBA"/>
    <w:rsid w:val="00F86B6C"/>
    <w:rsid w:val="00F86DDD"/>
    <w:rsid w:val="00F872CB"/>
    <w:rsid w:val="00F87650"/>
    <w:rsid w:val="00F87934"/>
    <w:rsid w:val="00F87984"/>
    <w:rsid w:val="00F87B38"/>
    <w:rsid w:val="00F90644"/>
    <w:rsid w:val="00F90E2B"/>
    <w:rsid w:val="00F9315B"/>
    <w:rsid w:val="00F933EE"/>
    <w:rsid w:val="00F93456"/>
    <w:rsid w:val="00F93714"/>
    <w:rsid w:val="00F93B7F"/>
    <w:rsid w:val="00F94BC8"/>
    <w:rsid w:val="00F96147"/>
    <w:rsid w:val="00F96ED0"/>
    <w:rsid w:val="00F96FB9"/>
    <w:rsid w:val="00F9734A"/>
    <w:rsid w:val="00F97E29"/>
    <w:rsid w:val="00F97E4C"/>
    <w:rsid w:val="00FA03FB"/>
    <w:rsid w:val="00FA0471"/>
    <w:rsid w:val="00FA0E10"/>
    <w:rsid w:val="00FA1882"/>
    <w:rsid w:val="00FA22A6"/>
    <w:rsid w:val="00FA240E"/>
    <w:rsid w:val="00FA2711"/>
    <w:rsid w:val="00FA291A"/>
    <w:rsid w:val="00FA3018"/>
    <w:rsid w:val="00FA3268"/>
    <w:rsid w:val="00FA4075"/>
    <w:rsid w:val="00FA524C"/>
    <w:rsid w:val="00FA5669"/>
    <w:rsid w:val="00FA606A"/>
    <w:rsid w:val="00FA7435"/>
    <w:rsid w:val="00FA779D"/>
    <w:rsid w:val="00FB0A59"/>
    <w:rsid w:val="00FB0D71"/>
    <w:rsid w:val="00FB0ED7"/>
    <w:rsid w:val="00FB0F3F"/>
    <w:rsid w:val="00FB1215"/>
    <w:rsid w:val="00FB1A82"/>
    <w:rsid w:val="00FB1D31"/>
    <w:rsid w:val="00FB1DCE"/>
    <w:rsid w:val="00FB1FA9"/>
    <w:rsid w:val="00FB1FEF"/>
    <w:rsid w:val="00FB260D"/>
    <w:rsid w:val="00FB29A5"/>
    <w:rsid w:val="00FB322C"/>
    <w:rsid w:val="00FB3457"/>
    <w:rsid w:val="00FB43DB"/>
    <w:rsid w:val="00FB4998"/>
    <w:rsid w:val="00FB5352"/>
    <w:rsid w:val="00FB56F6"/>
    <w:rsid w:val="00FB5953"/>
    <w:rsid w:val="00FB6233"/>
    <w:rsid w:val="00FB6E30"/>
    <w:rsid w:val="00FB7C51"/>
    <w:rsid w:val="00FC017D"/>
    <w:rsid w:val="00FC01BB"/>
    <w:rsid w:val="00FC05B1"/>
    <w:rsid w:val="00FC0E0D"/>
    <w:rsid w:val="00FC137D"/>
    <w:rsid w:val="00FC1520"/>
    <w:rsid w:val="00FC1C33"/>
    <w:rsid w:val="00FC1C76"/>
    <w:rsid w:val="00FC249C"/>
    <w:rsid w:val="00FC426B"/>
    <w:rsid w:val="00FC4D32"/>
    <w:rsid w:val="00FC4FAB"/>
    <w:rsid w:val="00FC5ECE"/>
    <w:rsid w:val="00FC76BD"/>
    <w:rsid w:val="00FD00F4"/>
    <w:rsid w:val="00FD0F0B"/>
    <w:rsid w:val="00FD116A"/>
    <w:rsid w:val="00FD3106"/>
    <w:rsid w:val="00FD35E6"/>
    <w:rsid w:val="00FD3646"/>
    <w:rsid w:val="00FD36A9"/>
    <w:rsid w:val="00FD3BB3"/>
    <w:rsid w:val="00FD3C42"/>
    <w:rsid w:val="00FD42B1"/>
    <w:rsid w:val="00FD42BC"/>
    <w:rsid w:val="00FD502C"/>
    <w:rsid w:val="00FD51E3"/>
    <w:rsid w:val="00FD5EE8"/>
    <w:rsid w:val="00FD640A"/>
    <w:rsid w:val="00FD74F5"/>
    <w:rsid w:val="00FD7A7D"/>
    <w:rsid w:val="00FD7C3E"/>
    <w:rsid w:val="00FE155A"/>
    <w:rsid w:val="00FE16AE"/>
    <w:rsid w:val="00FE2C01"/>
    <w:rsid w:val="00FE2D45"/>
    <w:rsid w:val="00FE2EFC"/>
    <w:rsid w:val="00FE3C45"/>
    <w:rsid w:val="00FE5132"/>
    <w:rsid w:val="00FE5526"/>
    <w:rsid w:val="00FE59CB"/>
    <w:rsid w:val="00FE5EB0"/>
    <w:rsid w:val="00FE5EC2"/>
    <w:rsid w:val="00FE68D5"/>
    <w:rsid w:val="00FE6DD7"/>
    <w:rsid w:val="00FE72F9"/>
    <w:rsid w:val="00FE7913"/>
    <w:rsid w:val="00FE7AA7"/>
    <w:rsid w:val="00FF07F1"/>
    <w:rsid w:val="00FF0B34"/>
    <w:rsid w:val="00FF0CC1"/>
    <w:rsid w:val="00FF10B2"/>
    <w:rsid w:val="00FF1253"/>
    <w:rsid w:val="00FF1452"/>
    <w:rsid w:val="00FF19C1"/>
    <w:rsid w:val="00FF1B96"/>
    <w:rsid w:val="00FF218A"/>
    <w:rsid w:val="00FF2ACA"/>
    <w:rsid w:val="00FF3598"/>
    <w:rsid w:val="00FF3A46"/>
    <w:rsid w:val="00FF4776"/>
    <w:rsid w:val="00FF577F"/>
    <w:rsid w:val="00FF596C"/>
    <w:rsid w:val="00FF5A05"/>
    <w:rsid w:val="00FF63DD"/>
    <w:rsid w:val="00FF6C39"/>
    <w:rsid w:val="00FF6C70"/>
    <w:rsid w:val="00FF6D0F"/>
    <w:rsid w:val="00FF6E12"/>
    <w:rsid w:val="00FF6F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4239303"/>
  <w15:docId w15:val="{B50F738D-B3FE-4CA4-B093-5C9E7BE8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EA4"/>
    <w:pPr>
      <w:spacing w:after="240" w:line="360" w:lineRule="auto"/>
    </w:pPr>
    <w:rPr>
      <w:sz w:val="24"/>
    </w:rPr>
  </w:style>
  <w:style w:type="paragraph" w:styleId="Heading1">
    <w:name w:val="heading 1"/>
    <w:basedOn w:val="Normal"/>
    <w:next w:val="Normal"/>
    <w:link w:val="Heading1Char"/>
    <w:uiPriority w:val="9"/>
    <w:qFormat/>
    <w:rsid w:val="005120C4"/>
    <w:pPr>
      <w:keepNext/>
      <w:keepLines/>
      <w:spacing w:before="240" w:after="0" w:line="480" w:lineRule="auto"/>
      <w:outlineLvl w:val="0"/>
    </w:pPr>
    <w:rPr>
      <w:rFonts w:ascii="Arial" w:eastAsiaTheme="majorEastAsia" w:hAnsi="Arial" w:cstheme="majorBidi"/>
      <w:b/>
      <w:bCs/>
      <w:color w:val="000000" w:themeColor="text1"/>
      <w:szCs w:val="28"/>
    </w:rPr>
  </w:style>
  <w:style w:type="paragraph" w:styleId="Heading2">
    <w:name w:val="heading 2"/>
    <w:basedOn w:val="Normal"/>
    <w:next w:val="Normal"/>
    <w:link w:val="Heading2Char"/>
    <w:uiPriority w:val="9"/>
    <w:unhideWhenUsed/>
    <w:qFormat/>
    <w:rsid w:val="005120C4"/>
    <w:pPr>
      <w:keepNext/>
      <w:keepLines/>
      <w:spacing w:after="0" w:line="480" w:lineRule="auto"/>
      <w:outlineLvl w:val="1"/>
    </w:pPr>
    <w:rPr>
      <w:rFonts w:ascii="Arial" w:eastAsiaTheme="majorEastAsia" w:hAnsi="Arial" w:cstheme="majorBidi"/>
      <w:b/>
      <w:bCs/>
      <w:color w:val="4F81BD" w:themeColor="accent1"/>
      <w:sz w:val="20"/>
      <w:szCs w:val="26"/>
    </w:rPr>
  </w:style>
  <w:style w:type="paragraph" w:styleId="Heading3">
    <w:name w:val="heading 3"/>
    <w:basedOn w:val="Normal"/>
    <w:next w:val="Normal"/>
    <w:link w:val="Heading3Char"/>
    <w:uiPriority w:val="9"/>
    <w:unhideWhenUsed/>
    <w:qFormat/>
    <w:rsid w:val="005120C4"/>
    <w:pPr>
      <w:keepNext/>
      <w:keepLines/>
      <w:numPr>
        <w:ilvl w:val="2"/>
        <w:numId w:val="1"/>
      </w:numPr>
      <w:spacing w:before="120" w:after="120" w:line="480" w:lineRule="auto"/>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unhideWhenUsed/>
    <w:qFormat/>
    <w:rsid w:val="00112207"/>
    <w:pPr>
      <w:keepNext/>
      <w:keepLines/>
      <w:numPr>
        <w:ilvl w:val="3"/>
        <w:numId w:val="1"/>
      </w:numPr>
      <w:spacing w:before="200" w:after="120"/>
      <w:ind w:left="862" w:hanging="862"/>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96E1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96E1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6E1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6E1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6E1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0C4"/>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uiPriority w:val="9"/>
    <w:rsid w:val="005120C4"/>
    <w:rPr>
      <w:rFonts w:ascii="Arial" w:eastAsiaTheme="majorEastAsia" w:hAnsi="Arial" w:cstheme="majorBidi"/>
      <w:b/>
      <w:bCs/>
      <w:color w:val="4F81BD" w:themeColor="accent1"/>
      <w:sz w:val="20"/>
      <w:szCs w:val="26"/>
    </w:rPr>
  </w:style>
  <w:style w:type="character" w:customStyle="1" w:styleId="Heading3Char">
    <w:name w:val="Heading 3 Char"/>
    <w:basedOn w:val="DefaultParagraphFont"/>
    <w:link w:val="Heading3"/>
    <w:uiPriority w:val="9"/>
    <w:rsid w:val="005120C4"/>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112207"/>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996E17"/>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996E17"/>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996E17"/>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96E1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6E17"/>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996E17"/>
    <w:pPr>
      <w:outlineLvl w:val="9"/>
    </w:pPr>
    <w:rPr>
      <w:lang w:val="en-US" w:eastAsia="ja-JP"/>
    </w:rPr>
  </w:style>
  <w:style w:type="paragraph" w:styleId="TOC1">
    <w:name w:val="toc 1"/>
    <w:basedOn w:val="Normal"/>
    <w:next w:val="Normal"/>
    <w:autoRedefine/>
    <w:uiPriority w:val="39"/>
    <w:unhideWhenUsed/>
    <w:qFormat/>
    <w:rsid w:val="00996E17"/>
    <w:pPr>
      <w:spacing w:after="100"/>
    </w:pPr>
  </w:style>
  <w:style w:type="paragraph" w:styleId="TOC2">
    <w:name w:val="toc 2"/>
    <w:basedOn w:val="Normal"/>
    <w:next w:val="Normal"/>
    <w:autoRedefine/>
    <w:uiPriority w:val="39"/>
    <w:unhideWhenUsed/>
    <w:qFormat/>
    <w:rsid w:val="00996E17"/>
    <w:pPr>
      <w:spacing w:after="100"/>
      <w:ind w:left="220"/>
    </w:pPr>
  </w:style>
  <w:style w:type="paragraph" w:styleId="TOC3">
    <w:name w:val="toc 3"/>
    <w:basedOn w:val="Normal"/>
    <w:next w:val="Normal"/>
    <w:autoRedefine/>
    <w:uiPriority w:val="39"/>
    <w:unhideWhenUsed/>
    <w:qFormat/>
    <w:rsid w:val="00996E17"/>
    <w:pPr>
      <w:spacing w:after="100"/>
      <w:ind w:left="440"/>
    </w:pPr>
  </w:style>
  <w:style w:type="character" w:styleId="Hyperlink">
    <w:name w:val="Hyperlink"/>
    <w:basedOn w:val="DefaultParagraphFont"/>
    <w:uiPriority w:val="99"/>
    <w:unhideWhenUsed/>
    <w:rsid w:val="00996E17"/>
    <w:rPr>
      <w:color w:val="0000FF" w:themeColor="hyperlink"/>
      <w:u w:val="single"/>
    </w:rPr>
  </w:style>
  <w:style w:type="paragraph" w:styleId="BalloonText">
    <w:name w:val="Balloon Text"/>
    <w:basedOn w:val="Normal"/>
    <w:link w:val="BalloonTextChar"/>
    <w:semiHidden/>
    <w:unhideWhenUsed/>
    <w:rsid w:val="00996E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E17"/>
    <w:rPr>
      <w:rFonts w:ascii="Tahoma" w:hAnsi="Tahoma" w:cs="Tahoma"/>
      <w:sz w:val="16"/>
      <w:szCs w:val="16"/>
    </w:rPr>
  </w:style>
  <w:style w:type="paragraph" w:styleId="FootnoteText">
    <w:name w:val="footnote text"/>
    <w:basedOn w:val="Normal"/>
    <w:link w:val="FootnoteTextChar"/>
    <w:uiPriority w:val="99"/>
    <w:unhideWhenUsed/>
    <w:rsid w:val="00CA29F2"/>
    <w:pPr>
      <w:spacing w:line="240" w:lineRule="auto"/>
    </w:pPr>
    <w:rPr>
      <w:sz w:val="20"/>
      <w:szCs w:val="20"/>
    </w:rPr>
  </w:style>
  <w:style w:type="character" w:customStyle="1" w:styleId="FootnoteTextChar">
    <w:name w:val="Footnote Text Char"/>
    <w:basedOn w:val="DefaultParagraphFont"/>
    <w:link w:val="FootnoteText"/>
    <w:uiPriority w:val="99"/>
    <w:rsid w:val="00CA29F2"/>
    <w:rPr>
      <w:sz w:val="20"/>
      <w:szCs w:val="20"/>
    </w:rPr>
  </w:style>
  <w:style w:type="character" w:styleId="FootnoteReference">
    <w:name w:val="footnote reference"/>
    <w:basedOn w:val="DefaultParagraphFont"/>
    <w:uiPriority w:val="99"/>
    <w:unhideWhenUsed/>
    <w:rsid w:val="00CA29F2"/>
    <w:rPr>
      <w:vertAlign w:val="superscript"/>
    </w:rPr>
  </w:style>
  <w:style w:type="character" w:styleId="CommentReference">
    <w:name w:val="annotation reference"/>
    <w:basedOn w:val="DefaultParagraphFont"/>
    <w:uiPriority w:val="99"/>
    <w:unhideWhenUsed/>
    <w:rsid w:val="00CA29F2"/>
    <w:rPr>
      <w:sz w:val="16"/>
      <w:szCs w:val="16"/>
    </w:rPr>
  </w:style>
  <w:style w:type="paragraph" w:styleId="CommentText">
    <w:name w:val="annotation text"/>
    <w:basedOn w:val="Normal"/>
    <w:link w:val="CommentTextChar"/>
    <w:uiPriority w:val="99"/>
    <w:unhideWhenUsed/>
    <w:rsid w:val="00CA29F2"/>
    <w:pPr>
      <w:spacing w:line="240" w:lineRule="auto"/>
    </w:pPr>
    <w:rPr>
      <w:sz w:val="20"/>
      <w:szCs w:val="20"/>
    </w:rPr>
  </w:style>
  <w:style w:type="character" w:customStyle="1" w:styleId="CommentTextChar">
    <w:name w:val="Comment Text Char"/>
    <w:basedOn w:val="DefaultParagraphFont"/>
    <w:link w:val="CommentText"/>
    <w:uiPriority w:val="99"/>
    <w:rsid w:val="00CA29F2"/>
    <w:rPr>
      <w:sz w:val="20"/>
      <w:szCs w:val="20"/>
    </w:rPr>
  </w:style>
  <w:style w:type="paragraph" w:styleId="CommentSubject">
    <w:name w:val="annotation subject"/>
    <w:basedOn w:val="CommentText"/>
    <w:next w:val="CommentText"/>
    <w:link w:val="CommentSubjectChar"/>
    <w:unhideWhenUsed/>
    <w:rsid w:val="00CA29F2"/>
    <w:rPr>
      <w:b/>
      <w:bCs/>
    </w:rPr>
  </w:style>
  <w:style w:type="character" w:customStyle="1" w:styleId="CommentSubjectChar">
    <w:name w:val="Comment Subject Char"/>
    <w:basedOn w:val="CommentTextChar"/>
    <w:link w:val="CommentSubject"/>
    <w:rsid w:val="00CA29F2"/>
    <w:rPr>
      <w:b/>
      <w:bCs/>
      <w:sz w:val="20"/>
      <w:szCs w:val="20"/>
    </w:rPr>
  </w:style>
  <w:style w:type="paragraph" w:styleId="Revision">
    <w:name w:val="Revision"/>
    <w:hidden/>
    <w:uiPriority w:val="99"/>
    <w:semiHidden/>
    <w:rsid w:val="00754436"/>
    <w:pPr>
      <w:spacing w:after="0" w:line="240" w:lineRule="auto"/>
    </w:pPr>
  </w:style>
  <w:style w:type="character" w:styleId="PlaceholderText">
    <w:name w:val="Placeholder Text"/>
    <w:basedOn w:val="DefaultParagraphFont"/>
    <w:uiPriority w:val="99"/>
    <w:semiHidden/>
    <w:rsid w:val="002E597F"/>
    <w:rPr>
      <w:color w:val="808080"/>
    </w:rPr>
  </w:style>
  <w:style w:type="table" w:styleId="TableGrid">
    <w:name w:val="Table Grid"/>
    <w:basedOn w:val="TableNormal"/>
    <w:rsid w:val="00BA0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BA0EA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autoRedefine/>
    <w:uiPriority w:val="35"/>
    <w:unhideWhenUsed/>
    <w:qFormat/>
    <w:rsid w:val="001040F6"/>
    <w:pPr>
      <w:keepNext/>
      <w:spacing w:before="120" w:after="0" w:line="276" w:lineRule="auto"/>
      <w:ind w:hanging="426"/>
    </w:pPr>
    <w:rPr>
      <w:rFonts w:cs="Times New Roman"/>
      <w:b/>
      <w:bCs/>
      <w:sz w:val="22"/>
      <w:lang w:val="en-US"/>
    </w:rPr>
  </w:style>
  <w:style w:type="paragraph" w:styleId="ListParagraph">
    <w:name w:val="List Paragraph"/>
    <w:basedOn w:val="Normal"/>
    <w:uiPriority w:val="34"/>
    <w:qFormat/>
    <w:rsid w:val="008D78D0"/>
    <w:pPr>
      <w:ind w:left="720"/>
      <w:contextualSpacing/>
    </w:pPr>
  </w:style>
  <w:style w:type="paragraph" w:styleId="PlainText">
    <w:name w:val="Plain Text"/>
    <w:basedOn w:val="Normal"/>
    <w:link w:val="PlainTextChar"/>
    <w:uiPriority w:val="99"/>
    <w:unhideWhenUsed/>
    <w:rsid w:val="00A81514"/>
    <w:rPr>
      <w:rFonts w:ascii="Consolas" w:eastAsiaTheme="minorHAnsi" w:hAnsi="Consolas"/>
      <w:color w:val="000000" w:themeColor="text1"/>
      <w:sz w:val="21"/>
      <w:szCs w:val="21"/>
      <w:lang w:eastAsia="en-US"/>
    </w:rPr>
  </w:style>
  <w:style w:type="character" w:customStyle="1" w:styleId="PlainTextChar">
    <w:name w:val="Plain Text Char"/>
    <w:basedOn w:val="DefaultParagraphFont"/>
    <w:link w:val="PlainText"/>
    <w:uiPriority w:val="99"/>
    <w:rsid w:val="00A81514"/>
    <w:rPr>
      <w:rFonts w:ascii="Consolas" w:eastAsiaTheme="minorHAnsi" w:hAnsi="Consolas"/>
      <w:color w:val="000000" w:themeColor="text1"/>
      <w:sz w:val="21"/>
      <w:szCs w:val="21"/>
      <w:lang w:eastAsia="en-US"/>
    </w:rPr>
  </w:style>
  <w:style w:type="paragraph" w:styleId="Header">
    <w:name w:val="header"/>
    <w:basedOn w:val="Normal"/>
    <w:link w:val="HeaderChar"/>
    <w:uiPriority w:val="99"/>
    <w:unhideWhenUsed/>
    <w:rsid w:val="003E4F66"/>
    <w:pPr>
      <w:tabs>
        <w:tab w:val="center" w:pos="4513"/>
        <w:tab w:val="right" w:pos="9026"/>
      </w:tabs>
      <w:spacing w:line="240" w:lineRule="auto"/>
    </w:pPr>
  </w:style>
  <w:style w:type="character" w:customStyle="1" w:styleId="HeaderChar">
    <w:name w:val="Header Char"/>
    <w:basedOn w:val="DefaultParagraphFont"/>
    <w:link w:val="Header"/>
    <w:uiPriority w:val="99"/>
    <w:rsid w:val="003E4F66"/>
  </w:style>
  <w:style w:type="paragraph" w:styleId="Footer">
    <w:name w:val="footer"/>
    <w:basedOn w:val="Normal"/>
    <w:link w:val="FooterChar"/>
    <w:uiPriority w:val="99"/>
    <w:unhideWhenUsed/>
    <w:rsid w:val="003E4F66"/>
    <w:pPr>
      <w:tabs>
        <w:tab w:val="center" w:pos="4513"/>
        <w:tab w:val="right" w:pos="9026"/>
      </w:tabs>
      <w:spacing w:line="240" w:lineRule="auto"/>
    </w:pPr>
  </w:style>
  <w:style w:type="character" w:customStyle="1" w:styleId="FooterChar">
    <w:name w:val="Footer Char"/>
    <w:basedOn w:val="DefaultParagraphFont"/>
    <w:link w:val="Footer"/>
    <w:uiPriority w:val="99"/>
    <w:rsid w:val="003E4F66"/>
  </w:style>
  <w:style w:type="character" w:customStyle="1" w:styleId="apple-converted-space">
    <w:name w:val="apple-converted-space"/>
    <w:basedOn w:val="DefaultParagraphFont"/>
    <w:rsid w:val="00A76B5B"/>
  </w:style>
  <w:style w:type="character" w:styleId="Strong">
    <w:name w:val="Strong"/>
    <w:basedOn w:val="DefaultParagraphFont"/>
    <w:uiPriority w:val="22"/>
    <w:qFormat/>
    <w:rsid w:val="00A76B5B"/>
    <w:rPr>
      <w:b/>
      <w:bCs/>
    </w:rPr>
  </w:style>
  <w:style w:type="paragraph" w:customStyle="1" w:styleId="Default">
    <w:name w:val="Default"/>
    <w:rsid w:val="00492181"/>
    <w:pPr>
      <w:autoSpaceDE w:val="0"/>
      <w:autoSpaceDN w:val="0"/>
      <w:adjustRightInd w:val="0"/>
      <w:spacing w:after="0" w:line="240" w:lineRule="auto"/>
    </w:pPr>
    <w:rPr>
      <w:rFonts w:ascii="Frutiger 45 Light" w:eastAsia="Times New Roman" w:hAnsi="Frutiger 45 Light" w:cs="Frutiger 45 Light"/>
      <w:color w:val="000000"/>
      <w:sz w:val="24"/>
      <w:szCs w:val="24"/>
    </w:rPr>
  </w:style>
  <w:style w:type="paragraph" w:styleId="NormalWeb">
    <w:name w:val="Normal (Web)"/>
    <w:basedOn w:val="Normal"/>
    <w:uiPriority w:val="99"/>
    <w:rsid w:val="00492181"/>
    <w:pPr>
      <w:spacing w:before="100" w:beforeAutospacing="1" w:after="100" w:afterAutospacing="1" w:line="240" w:lineRule="auto"/>
    </w:pPr>
    <w:rPr>
      <w:rFonts w:eastAsia="Times New Roman" w:cs="Times New Roman"/>
      <w:szCs w:val="24"/>
    </w:rPr>
  </w:style>
  <w:style w:type="character" w:customStyle="1" w:styleId="A8">
    <w:name w:val="A8"/>
    <w:uiPriority w:val="99"/>
    <w:rsid w:val="00390D19"/>
    <w:rPr>
      <w:i/>
      <w:iCs/>
      <w:color w:val="000000"/>
      <w:sz w:val="22"/>
      <w:szCs w:val="22"/>
    </w:rPr>
  </w:style>
  <w:style w:type="paragraph" w:styleId="TableofFigures">
    <w:name w:val="table of figures"/>
    <w:basedOn w:val="Normal"/>
    <w:next w:val="Normal"/>
    <w:uiPriority w:val="99"/>
    <w:unhideWhenUsed/>
    <w:rsid w:val="00556076"/>
  </w:style>
  <w:style w:type="paragraph" w:styleId="Title">
    <w:name w:val="Title"/>
    <w:basedOn w:val="Normal"/>
    <w:next w:val="Normal"/>
    <w:link w:val="TitleChar"/>
    <w:uiPriority w:val="10"/>
    <w:qFormat/>
    <w:rsid w:val="006554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54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A2CA9"/>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DA2CA9"/>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DA2CA9"/>
    <w:rPr>
      <w:i/>
      <w:iCs/>
    </w:rPr>
  </w:style>
  <w:style w:type="character" w:styleId="IntenseEmphasis">
    <w:name w:val="Intense Emphasis"/>
    <w:basedOn w:val="DefaultParagraphFont"/>
    <w:uiPriority w:val="21"/>
    <w:qFormat/>
    <w:rsid w:val="00DA2CA9"/>
    <w:rPr>
      <w:b/>
      <w:bCs/>
      <w:i/>
      <w:iCs/>
      <w:color w:val="4F81BD" w:themeColor="accent1"/>
    </w:rPr>
  </w:style>
  <w:style w:type="character" w:styleId="FollowedHyperlink">
    <w:name w:val="FollowedHyperlink"/>
    <w:basedOn w:val="DefaultParagraphFont"/>
    <w:uiPriority w:val="99"/>
    <w:semiHidden/>
    <w:unhideWhenUsed/>
    <w:rsid w:val="00B72BBB"/>
    <w:rPr>
      <w:color w:val="800080" w:themeColor="followedHyperlink"/>
      <w:u w:val="single"/>
    </w:rPr>
  </w:style>
  <w:style w:type="paragraph" w:customStyle="1" w:styleId="EndNoteBibliography">
    <w:name w:val="EndNote Bibliography"/>
    <w:basedOn w:val="Normal"/>
    <w:link w:val="EndNoteBibliographyChar"/>
    <w:rsid w:val="001B44F9"/>
    <w:pPr>
      <w:spacing w:after="0" w:line="240" w:lineRule="auto"/>
    </w:pPr>
    <w:rPr>
      <w:rFonts w:ascii="Calibri" w:eastAsia="Times New Roman" w:hAnsi="Calibri" w:cs="Calibri"/>
      <w:noProof/>
      <w:sz w:val="22"/>
      <w:lang w:val="en-US" w:eastAsia="en-US"/>
    </w:rPr>
  </w:style>
  <w:style w:type="character" w:customStyle="1" w:styleId="EndNoteBibliographyChar">
    <w:name w:val="EndNote Bibliography Char"/>
    <w:basedOn w:val="DefaultParagraphFont"/>
    <w:link w:val="EndNoteBibliography"/>
    <w:locked/>
    <w:rsid w:val="001B44F9"/>
    <w:rPr>
      <w:rFonts w:ascii="Calibri" w:eastAsia="Times New Roman" w:hAnsi="Calibri" w:cs="Calibri"/>
      <w:noProof/>
      <w:lang w:val="en-US" w:eastAsia="en-US"/>
    </w:rPr>
  </w:style>
  <w:style w:type="character" w:customStyle="1" w:styleId="il">
    <w:name w:val="il"/>
    <w:basedOn w:val="DefaultParagraphFont"/>
    <w:rsid w:val="00B95DA2"/>
  </w:style>
  <w:style w:type="character" w:customStyle="1" w:styleId="MTEquationSection">
    <w:name w:val="MTEquationSection"/>
    <w:basedOn w:val="DefaultParagraphFont"/>
    <w:rsid w:val="00A93ABB"/>
    <w:rPr>
      <w:vanish w:val="0"/>
      <w:color w:val="FF0000"/>
      <w:sz w:val="40"/>
      <w:szCs w:val="40"/>
    </w:rPr>
  </w:style>
  <w:style w:type="paragraph" w:customStyle="1" w:styleId="MTDisplayEquation">
    <w:name w:val="MTDisplayEquation"/>
    <w:basedOn w:val="Normal"/>
    <w:next w:val="Normal"/>
    <w:link w:val="MTDisplayEquationChar"/>
    <w:rsid w:val="00A93ABB"/>
    <w:pPr>
      <w:tabs>
        <w:tab w:val="center" w:pos="4160"/>
        <w:tab w:val="right" w:pos="8320"/>
      </w:tabs>
    </w:pPr>
  </w:style>
  <w:style w:type="character" w:customStyle="1" w:styleId="MTDisplayEquationChar">
    <w:name w:val="MTDisplayEquation Char"/>
    <w:basedOn w:val="DefaultParagraphFont"/>
    <w:link w:val="MTDisplayEquation"/>
    <w:rsid w:val="00A93ABB"/>
    <w:rPr>
      <w:rFonts w:ascii="Times New Roman" w:hAnsi="Times New Roman"/>
      <w:sz w:val="24"/>
    </w:rPr>
  </w:style>
  <w:style w:type="paragraph" w:customStyle="1" w:styleId="default0">
    <w:name w:val="default"/>
    <w:basedOn w:val="Normal"/>
    <w:rsid w:val="00C95DFC"/>
    <w:pPr>
      <w:spacing w:before="100" w:beforeAutospacing="1" w:after="100" w:afterAutospacing="1" w:line="240" w:lineRule="auto"/>
    </w:pPr>
    <w:rPr>
      <w:rFonts w:eastAsia="Times New Roman" w:cs="Times New Roman"/>
      <w:szCs w:val="24"/>
      <w:lang w:val="en-US" w:eastAsia="en-US"/>
    </w:rPr>
  </w:style>
  <w:style w:type="paragraph" w:styleId="NoSpacing">
    <w:name w:val="No Spacing"/>
    <w:uiPriority w:val="1"/>
    <w:qFormat/>
    <w:rsid w:val="008C6E60"/>
    <w:pPr>
      <w:spacing w:after="0" w:line="240" w:lineRule="auto"/>
    </w:pPr>
    <w:rPr>
      <w:rFonts w:eastAsiaTheme="minorHAnsi"/>
      <w:lang w:val="en-US" w:eastAsia="en-US"/>
    </w:rPr>
  </w:style>
  <w:style w:type="paragraph" w:customStyle="1" w:styleId="EndNoteBibliographyTitle">
    <w:name w:val="EndNote Bibliography Title"/>
    <w:basedOn w:val="Normal"/>
    <w:link w:val="EndNoteBibliographyTitleChar"/>
    <w:rsid w:val="00B031D9"/>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B031D9"/>
    <w:rPr>
      <w:rFonts w:ascii="Calibri" w:hAnsi="Calibri" w:cs="Calibri"/>
      <w:noProof/>
    </w:rPr>
  </w:style>
  <w:style w:type="paragraph" w:styleId="EndnoteText">
    <w:name w:val="endnote text"/>
    <w:basedOn w:val="Normal"/>
    <w:link w:val="EndnoteTextChar"/>
    <w:uiPriority w:val="99"/>
    <w:semiHidden/>
    <w:unhideWhenUsed/>
    <w:rsid w:val="003E6F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6FF5"/>
    <w:rPr>
      <w:rFonts w:ascii="Times New Roman" w:hAnsi="Times New Roman"/>
      <w:sz w:val="20"/>
      <w:szCs w:val="20"/>
    </w:rPr>
  </w:style>
  <w:style w:type="character" w:styleId="EndnoteReference">
    <w:name w:val="endnote reference"/>
    <w:basedOn w:val="DefaultParagraphFont"/>
    <w:uiPriority w:val="99"/>
    <w:semiHidden/>
    <w:unhideWhenUsed/>
    <w:rsid w:val="003E6FF5"/>
    <w:rPr>
      <w:vertAlign w:val="superscript"/>
    </w:rPr>
  </w:style>
  <w:style w:type="paragraph" w:styleId="DocumentMap">
    <w:name w:val="Document Map"/>
    <w:basedOn w:val="Normal"/>
    <w:link w:val="DocumentMapChar"/>
    <w:uiPriority w:val="99"/>
    <w:semiHidden/>
    <w:unhideWhenUsed/>
    <w:rsid w:val="00F60DB4"/>
    <w:pPr>
      <w:spacing w:after="0" w:line="240" w:lineRule="auto"/>
    </w:pPr>
    <w:rPr>
      <w:rFonts w:cs="Times New Roman"/>
      <w:szCs w:val="24"/>
    </w:rPr>
  </w:style>
  <w:style w:type="character" w:customStyle="1" w:styleId="DocumentMapChar">
    <w:name w:val="Document Map Char"/>
    <w:basedOn w:val="DefaultParagraphFont"/>
    <w:link w:val="DocumentMap"/>
    <w:uiPriority w:val="99"/>
    <w:semiHidden/>
    <w:rsid w:val="00F60DB4"/>
    <w:rPr>
      <w:rFonts w:ascii="Times New Roman" w:hAnsi="Times New Roman" w:cs="Times New Roman"/>
      <w:sz w:val="24"/>
      <w:szCs w:val="24"/>
    </w:rPr>
  </w:style>
  <w:style w:type="table" w:customStyle="1" w:styleId="TableGrid1">
    <w:name w:val="Table Grid1"/>
    <w:basedOn w:val="TableNormal"/>
    <w:next w:val="TableGrid"/>
    <w:uiPriority w:val="39"/>
    <w:rsid w:val="00E423C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D3F3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043">
      <w:bodyDiv w:val="1"/>
      <w:marLeft w:val="0"/>
      <w:marRight w:val="0"/>
      <w:marTop w:val="0"/>
      <w:marBottom w:val="0"/>
      <w:divBdr>
        <w:top w:val="none" w:sz="0" w:space="0" w:color="auto"/>
        <w:left w:val="none" w:sz="0" w:space="0" w:color="auto"/>
        <w:bottom w:val="none" w:sz="0" w:space="0" w:color="auto"/>
        <w:right w:val="none" w:sz="0" w:space="0" w:color="auto"/>
      </w:divBdr>
    </w:div>
    <w:div w:id="20282530">
      <w:bodyDiv w:val="1"/>
      <w:marLeft w:val="0"/>
      <w:marRight w:val="0"/>
      <w:marTop w:val="0"/>
      <w:marBottom w:val="0"/>
      <w:divBdr>
        <w:top w:val="none" w:sz="0" w:space="0" w:color="auto"/>
        <w:left w:val="none" w:sz="0" w:space="0" w:color="auto"/>
        <w:bottom w:val="none" w:sz="0" w:space="0" w:color="auto"/>
        <w:right w:val="none" w:sz="0" w:space="0" w:color="auto"/>
      </w:divBdr>
    </w:div>
    <w:div w:id="31268837">
      <w:bodyDiv w:val="1"/>
      <w:marLeft w:val="0"/>
      <w:marRight w:val="0"/>
      <w:marTop w:val="0"/>
      <w:marBottom w:val="0"/>
      <w:divBdr>
        <w:top w:val="none" w:sz="0" w:space="0" w:color="auto"/>
        <w:left w:val="none" w:sz="0" w:space="0" w:color="auto"/>
        <w:bottom w:val="none" w:sz="0" w:space="0" w:color="auto"/>
        <w:right w:val="none" w:sz="0" w:space="0" w:color="auto"/>
      </w:divBdr>
    </w:div>
    <w:div w:id="53433663">
      <w:bodyDiv w:val="1"/>
      <w:marLeft w:val="0"/>
      <w:marRight w:val="0"/>
      <w:marTop w:val="0"/>
      <w:marBottom w:val="0"/>
      <w:divBdr>
        <w:top w:val="none" w:sz="0" w:space="0" w:color="auto"/>
        <w:left w:val="none" w:sz="0" w:space="0" w:color="auto"/>
        <w:bottom w:val="none" w:sz="0" w:space="0" w:color="auto"/>
        <w:right w:val="none" w:sz="0" w:space="0" w:color="auto"/>
      </w:divBdr>
    </w:div>
    <w:div w:id="53504421">
      <w:bodyDiv w:val="1"/>
      <w:marLeft w:val="0"/>
      <w:marRight w:val="0"/>
      <w:marTop w:val="0"/>
      <w:marBottom w:val="0"/>
      <w:divBdr>
        <w:top w:val="none" w:sz="0" w:space="0" w:color="auto"/>
        <w:left w:val="none" w:sz="0" w:space="0" w:color="auto"/>
        <w:bottom w:val="none" w:sz="0" w:space="0" w:color="auto"/>
        <w:right w:val="none" w:sz="0" w:space="0" w:color="auto"/>
      </w:divBdr>
    </w:div>
    <w:div w:id="100346837">
      <w:bodyDiv w:val="1"/>
      <w:marLeft w:val="0"/>
      <w:marRight w:val="0"/>
      <w:marTop w:val="0"/>
      <w:marBottom w:val="0"/>
      <w:divBdr>
        <w:top w:val="none" w:sz="0" w:space="0" w:color="auto"/>
        <w:left w:val="none" w:sz="0" w:space="0" w:color="auto"/>
        <w:bottom w:val="none" w:sz="0" w:space="0" w:color="auto"/>
        <w:right w:val="none" w:sz="0" w:space="0" w:color="auto"/>
      </w:divBdr>
    </w:div>
    <w:div w:id="134682817">
      <w:bodyDiv w:val="1"/>
      <w:marLeft w:val="0"/>
      <w:marRight w:val="0"/>
      <w:marTop w:val="0"/>
      <w:marBottom w:val="0"/>
      <w:divBdr>
        <w:top w:val="none" w:sz="0" w:space="0" w:color="auto"/>
        <w:left w:val="none" w:sz="0" w:space="0" w:color="auto"/>
        <w:bottom w:val="none" w:sz="0" w:space="0" w:color="auto"/>
        <w:right w:val="none" w:sz="0" w:space="0" w:color="auto"/>
      </w:divBdr>
    </w:div>
    <w:div w:id="182669303">
      <w:bodyDiv w:val="1"/>
      <w:marLeft w:val="0"/>
      <w:marRight w:val="0"/>
      <w:marTop w:val="0"/>
      <w:marBottom w:val="0"/>
      <w:divBdr>
        <w:top w:val="none" w:sz="0" w:space="0" w:color="auto"/>
        <w:left w:val="none" w:sz="0" w:space="0" w:color="auto"/>
        <w:bottom w:val="none" w:sz="0" w:space="0" w:color="auto"/>
        <w:right w:val="none" w:sz="0" w:space="0" w:color="auto"/>
      </w:divBdr>
    </w:div>
    <w:div w:id="227691271">
      <w:bodyDiv w:val="1"/>
      <w:marLeft w:val="0"/>
      <w:marRight w:val="0"/>
      <w:marTop w:val="0"/>
      <w:marBottom w:val="0"/>
      <w:divBdr>
        <w:top w:val="none" w:sz="0" w:space="0" w:color="auto"/>
        <w:left w:val="none" w:sz="0" w:space="0" w:color="auto"/>
        <w:bottom w:val="none" w:sz="0" w:space="0" w:color="auto"/>
        <w:right w:val="none" w:sz="0" w:space="0" w:color="auto"/>
      </w:divBdr>
    </w:div>
    <w:div w:id="243537385">
      <w:bodyDiv w:val="1"/>
      <w:marLeft w:val="0"/>
      <w:marRight w:val="0"/>
      <w:marTop w:val="0"/>
      <w:marBottom w:val="0"/>
      <w:divBdr>
        <w:top w:val="none" w:sz="0" w:space="0" w:color="auto"/>
        <w:left w:val="none" w:sz="0" w:space="0" w:color="auto"/>
        <w:bottom w:val="none" w:sz="0" w:space="0" w:color="auto"/>
        <w:right w:val="none" w:sz="0" w:space="0" w:color="auto"/>
      </w:divBdr>
    </w:div>
    <w:div w:id="373425136">
      <w:bodyDiv w:val="1"/>
      <w:marLeft w:val="0"/>
      <w:marRight w:val="0"/>
      <w:marTop w:val="0"/>
      <w:marBottom w:val="0"/>
      <w:divBdr>
        <w:top w:val="none" w:sz="0" w:space="0" w:color="auto"/>
        <w:left w:val="none" w:sz="0" w:space="0" w:color="auto"/>
        <w:bottom w:val="none" w:sz="0" w:space="0" w:color="auto"/>
        <w:right w:val="none" w:sz="0" w:space="0" w:color="auto"/>
      </w:divBdr>
      <w:divsChild>
        <w:div w:id="230359293">
          <w:marLeft w:val="562"/>
          <w:marRight w:val="0"/>
          <w:marTop w:val="0"/>
          <w:marBottom w:val="0"/>
          <w:divBdr>
            <w:top w:val="none" w:sz="0" w:space="0" w:color="auto"/>
            <w:left w:val="none" w:sz="0" w:space="0" w:color="auto"/>
            <w:bottom w:val="none" w:sz="0" w:space="0" w:color="auto"/>
            <w:right w:val="none" w:sz="0" w:space="0" w:color="auto"/>
          </w:divBdr>
        </w:div>
        <w:div w:id="252903547">
          <w:marLeft w:val="562"/>
          <w:marRight w:val="0"/>
          <w:marTop w:val="0"/>
          <w:marBottom w:val="0"/>
          <w:divBdr>
            <w:top w:val="none" w:sz="0" w:space="0" w:color="auto"/>
            <w:left w:val="none" w:sz="0" w:space="0" w:color="auto"/>
            <w:bottom w:val="none" w:sz="0" w:space="0" w:color="auto"/>
            <w:right w:val="none" w:sz="0" w:space="0" w:color="auto"/>
          </w:divBdr>
        </w:div>
        <w:div w:id="960377383">
          <w:marLeft w:val="562"/>
          <w:marRight w:val="0"/>
          <w:marTop w:val="0"/>
          <w:marBottom w:val="0"/>
          <w:divBdr>
            <w:top w:val="none" w:sz="0" w:space="0" w:color="auto"/>
            <w:left w:val="none" w:sz="0" w:space="0" w:color="auto"/>
            <w:bottom w:val="none" w:sz="0" w:space="0" w:color="auto"/>
            <w:right w:val="none" w:sz="0" w:space="0" w:color="auto"/>
          </w:divBdr>
        </w:div>
        <w:div w:id="1174418837">
          <w:marLeft w:val="562"/>
          <w:marRight w:val="0"/>
          <w:marTop w:val="0"/>
          <w:marBottom w:val="0"/>
          <w:divBdr>
            <w:top w:val="none" w:sz="0" w:space="0" w:color="auto"/>
            <w:left w:val="none" w:sz="0" w:space="0" w:color="auto"/>
            <w:bottom w:val="none" w:sz="0" w:space="0" w:color="auto"/>
            <w:right w:val="none" w:sz="0" w:space="0" w:color="auto"/>
          </w:divBdr>
        </w:div>
        <w:div w:id="1574119256">
          <w:marLeft w:val="562"/>
          <w:marRight w:val="0"/>
          <w:marTop w:val="0"/>
          <w:marBottom w:val="0"/>
          <w:divBdr>
            <w:top w:val="none" w:sz="0" w:space="0" w:color="auto"/>
            <w:left w:val="none" w:sz="0" w:space="0" w:color="auto"/>
            <w:bottom w:val="none" w:sz="0" w:space="0" w:color="auto"/>
            <w:right w:val="none" w:sz="0" w:space="0" w:color="auto"/>
          </w:divBdr>
        </w:div>
        <w:div w:id="1838768589">
          <w:marLeft w:val="562"/>
          <w:marRight w:val="0"/>
          <w:marTop w:val="0"/>
          <w:marBottom w:val="0"/>
          <w:divBdr>
            <w:top w:val="none" w:sz="0" w:space="0" w:color="auto"/>
            <w:left w:val="none" w:sz="0" w:space="0" w:color="auto"/>
            <w:bottom w:val="none" w:sz="0" w:space="0" w:color="auto"/>
            <w:right w:val="none" w:sz="0" w:space="0" w:color="auto"/>
          </w:divBdr>
        </w:div>
      </w:divsChild>
    </w:div>
    <w:div w:id="377554085">
      <w:bodyDiv w:val="1"/>
      <w:marLeft w:val="0"/>
      <w:marRight w:val="0"/>
      <w:marTop w:val="0"/>
      <w:marBottom w:val="0"/>
      <w:divBdr>
        <w:top w:val="none" w:sz="0" w:space="0" w:color="auto"/>
        <w:left w:val="none" w:sz="0" w:space="0" w:color="auto"/>
        <w:bottom w:val="none" w:sz="0" w:space="0" w:color="auto"/>
        <w:right w:val="none" w:sz="0" w:space="0" w:color="auto"/>
      </w:divBdr>
    </w:div>
    <w:div w:id="387849459">
      <w:bodyDiv w:val="1"/>
      <w:marLeft w:val="0"/>
      <w:marRight w:val="0"/>
      <w:marTop w:val="0"/>
      <w:marBottom w:val="0"/>
      <w:divBdr>
        <w:top w:val="none" w:sz="0" w:space="0" w:color="auto"/>
        <w:left w:val="none" w:sz="0" w:space="0" w:color="auto"/>
        <w:bottom w:val="none" w:sz="0" w:space="0" w:color="auto"/>
        <w:right w:val="none" w:sz="0" w:space="0" w:color="auto"/>
      </w:divBdr>
    </w:div>
    <w:div w:id="408845918">
      <w:bodyDiv w:val="1"/>
      <w:marLeft w:val="0"/>
      <w:marRight w:val="0"/>
      <w:marTop w:val="0"/>
      <w:marBottom w:val="0"/>
      <w:divBdr>
        <w:top w:val="none" w:sz="0" w:space="0" w:color="auto"/>
        <w:left w:val="none" w:sz="0" w:space="0" w:color="auto"/>
        <w:bottom w:val="none" w:sz="0" w:space="0" w:color="auto"/>
        <w:right w:val="none" w:sz="0" w:space="0" w:color="auto"/>
      </w:divBdr>
    </w:div>
    <w:div w:id="421342390">
      <w:bodyDiv w:val="1"/>
      <w:marLeft w:val="0"/>
      <w:marRight w:val="0"/>
      <w:marTop w:val="0"/>
      <w:marBottom w:val="0"/>
      <w:divBdr>
        <w:top w:val="none" w:sz="0" w:space="0" w:color="auto"/>
        <w:left w:val="none" w:sz="0" w:space="0" w:color="auto"/>
        <w:bottom w:val="none" w:sz="0" w:space="0" w:color="auto"/>
        <w:right w:val="none" w:sz="0" w:space="0" w:color="auto"/>
      </w:divBdr>
    </w:div>
    <w:div w:id="477189685">
      <w:bodyDiv w:val="1"/>
      <w:marLeft w:val="0"/>
      <w:marRight w:val="0"/>
      <w:marTop w:val="0"/>
      <w:marBottom w:val="0"/>
      <w:divBdr>
        <w:top w:val="none" w:sz="0" w:space="0" w:color="auto"/>
        <w:left w:val="none" w:sz="0" w:space="0" w:color="auto"/>
        <w:bottom w:val="none" w:sz="0" w:space="0" w:color="auto"/>
        <w:right w:val="none" w:sz="0" w:space="0" w:color="auto"/>
      </w:divBdr>
    </w:div>
    <w:div w:id="503545362">
      <w:bodyDiv w:val="1"/>
      <w:marLeft w:val="0"/>
      <w:marRight w:val="0"/>
      <w:marTop w:val="0"/>
      <w:marBottom w:val="0"/>
      <w:divBdr>
        <w:top w:val="none" w:sz="0" w:space="0" w:color="auto"/>
        <w:left w:val="none" w:sz="0" w:space="0" w:color="auto"/>
        <w:bottom w:val="none" w:sz="0" w:space="0" w:color="auto"/>
        <w:right w:val="none" w:sz="0" w:space="0" w:color="auto"/>
      </w:divBdr>
    </w:div>
    <w:div w:id="536700789">
      <w:bodyDiv w:val="1"/>
      <w:marLeft w:val="0"/>
      <w:marRight w:val="0"/>
      <w:marTop w:val="0"/>
      <w:marBottom w:val="0"/>
      <w:divBdr>
        <w:top w:val="none" w:sz="0" w:space="0" w:color="auto"/>
        <w:left w:val="none" w:sz="0" w:space="0" w:color="auto"/>
        <w:bottom w:val="none" w:sz="0" w:space="0" w:color="auto"/>
        <w:right w:val="none" w:sz="0" w:space="0" w:color="auto"/>
      </w:divBdr>
    </w:div>
    <w:div w:id="573854272">
      <w:bodyDiv w:val="1"/>
      <w:marLeft w:val="0"/>
      <w:marRight w:val="0"/>
      <w:marTop w:val="0"/>
      <w:marBottom w:val="0"/>
      <w:divBdr>
        <w:top w:val="none" w:sz="0" w:space="0" w:color="auto"/>
        <w:left w:val="none" w:sz="0" w:space="0" w:color="auto"/>
        <w:bottom w:val="none" w:sz="0" w:space="0" w:color="auto"/>
        <w:right w:val="none" w:sz="0" w:space="0" w:color="auto"/>
      </w:divBdr>
    </w:div>
    <w:div w:id="580674437">
      <w:bodyDiv w:val="1"/>
      <w:marLeft w:val="0"/>
      <w:marRight w:val="0"/>
      <w:marTop w:val="0"/>
      <w:marBottom w:val="0"/>
      <w:divBdr>
        <w:top w:val="none" w:sz="0" w:space="0" w:color="auto"/>
        <w:left w:val="none" w:sz="0" w:space="0" w:color="auto"/>
        <w:bottom w:val="none" w:sz="0" w:space="0" w:color="auto"/>
        <w:right w:val="none" w:sz="0" w:space="0" w:color="auto"/>
      </w:divBdr>
    </w:div>
    <w:div w:id="634288035">
      <w:bodyDiv w:val="1"/>
      <w:marLeft w:val="0"/>
      <w:marRight w:val="0"/>
      <w:marTop w:val="0"/>
      <w:marBottom w:val="0"/>
      <w:divBdr>
        <w:top w:val="none" w:sz="0" w:space="0" w:color="auto"/>
        <w:left w:val="none" w:sz="0" w:space="0" w:color="auto"/>
        <w:bottom w:val="none" w:sz="0" w:space="0" w:color="auto"/>
        <w:right w:val="none" w:sz="0" w:space="0" w:color="auto"/>
      </w:divBdr>
    </w:div>
    <w:div w:id="638464715">
      <w:bodyDiv w:val="1"/>
      <w:marLeft w:val="0"/>
      <w:marRight w:val="0"/>
      <w:marTop w:val="0"/>
      <w:marBottom w:val="0"/>
      <w:divBdr>
        <w:top w:val="none" w:sz="0" w:space="0" w:color="auto"/>
        <w:left w:val="none" w:sz="0" w:space="0" w:color="auto"/>
        <w:bottom w:val="none" w:sz="0" w:space="0" w:color="auto"/>
        <w:right w:val="none" w:sz="0" w:space="0" w:color="auto"/>
      </w:divBdr>
    </w:div>
    <w:div w:id="738015984">
      <w:bodyDiv w:val="1"/>
      <w:marLeft w:val="0"/>
      <w:marRight w:val="0"/>
      <w:marTop w:val="0"/>
      <w:marBottom w:val="0"/>
      <w:divBdr>
        <w:top w:val="none" w:sz="0" w:space="0" w:color="auto"/>
        <w:left w:val="none" w:sz="0" w:space="0" w:color="auto"/>
        <w:bottom w:val="none" w:sz="0" w:space="0" w:color="auto"/>
        <w:right w:val="none" w:sz="0" w:space="0" w:color="auto"/>
      </w:divBdr>
    </w:div>
    <w:div w:id="789396311">
      <w:bodyDiv w:val="1"/>
      <w:marLeft w:val="0"/>
      <w:marRight w:val="0"/>
      <w:marTop w:val="0"/>
      <w:marBottom w:val="0"/>
      <w:divBdr>
        <w:top w:val="none" w:sz="0" w:space="0" w:color="auto"/>
        <w:left w:val="none" w:sz="0" w:space="0" w:color="auto"/>
        <w:bottom w:val="none" w:sz="0" w:space="0" w:color="auto"/>
        <w:right w:val="none" w:sz="0" w:space="0" w:color="auto"/>
      </w:divBdr>
    </w:div>
    <w:div w:id="821846567">
      <w:bodyDiv w:val="1"/>
      <w:marLeft w:val="0"/>
      <w:marRight w:val="0"/>
      <w:marTop w:val="0"/>
      <w:marBottom w:val="0"/>
      <w:divBdr>
        <w:top w:val="none" w:sz="0" w:space="0" w:color="auto"/>
        <w:left w:val="none" w:sz="0" w:space="0" w:color="auto"/>
        <w:bottom w:val="none" w:sz="0" w:space="0" w:color="auto"/>
        <w:right w:val="none" w:sz="0" w:space="0" w:color="auto"/>
      </w:divBdr>
    </w:div>
    <w:div w:id="833448335">
      <w:bodyDiv w:val="1"/>
      <w:marLeft w:val="0"/>
      <w:marRight w:val="0"/>
      <w:marTop w:val="0"/>
      <w:marBottom w:val="0"/>
      <w:divBdr>
        <w:top w:val="none" w:sz="0" w:space="0" w:color="auto"/>
        <w:left w:val="none" w:sz="0" w:space="0" w:color="auto"/>
        <w:bottom w:val="none" w:sz="0" w:space="0" w:color="auto"/>
        <w:right w:val="none" w:sz="0" w:space="0" w:color="auto"/>
      </w:divBdr>
    </w:div>
    <w:div w:id="853107412">
      <w:bodyDiv w:val="1"/>
      <w:marLeft w:val="0"/>
      <w:marRight w:val="0"/>
      <w:marTop w:val="0"/>
      <w:marBottom w:val="0"/>
      <w:divBdr>
        <w:top w:val="none" w:sz="0" w:space="0" w:color="auto"/>
        <w:left w:val="none" w:sz="0" w:space="0" w:color="auto"/>
        <w:bottom w:val="none" w:sz="0" w:space="0" w:color="auto"/>
        <w:right w:val="none" w:sz="0" w:space="0" w:color="auto"/>
      </w:divBdr>
    </w:div>
    <w:div w:id="888303962">
      <w:bodyDiv w:val="1"/>
      <w:marLeft w:val="0"/>
      <w:marRight w:val="0"/>
      <w:marTop w:val="0"/>
      <w:marBottom w:val="0"/>
      <w:divBdr>
        <w:top w:val="none" w:sz="0" w:space="0" w:color="auto"/>
        <w:left w:val="none" w:sz="0" w:space="0" w:color="auto"/>
        <w:bottom w:val="none" w:sz="0" w:space="0" w:color="auto"/>
        <w:right w:val="none" w:sz="0" w:space="0" w:color="auto"/>
      </w:divBdr>
    </w:div>
    <w:div w:id="911155657">
      <w:bodyDiv w:val="1"/>
      <w:marLeft w:val="0"/>
      <w:marRight w:val="0"/>
      <w:marTop w:val="0"/>
      <w:marBottom w:val="0"/>
      <w:divBdr>
        <w:top w:val="none" w:sz="0" w:space="0" w:color="auto"/>
        <w:left w:val="none" w:sz="0" w:space="0" w:color="auto"/>
        <w:bottom w:val="none" w:sz="0" w:space="0" w:color="auto"/>
        <w:right w:val="none" w:sz="0" w:space="0" w:color="auto"/>
      </w:divBdr>
    </w:div>
    <w:div w:id="941954606">
      <w:bodyDiv w:val="1"/>
      <w:marLeft w:val="0"/>
      <w:marRight w:val="0"/>
      <w:marTop w:val="0"/>
      <w:marBottom w:val="0"/>
      <w:divBdr>
        <w:top w:val="none" w:sz="0" w:space="0" w:color="auto"/>
        <w:left w:val="none" w:sz="0" w:space="0" w:color="auto"/>
        <w:bottom w:val="none" w:sz="0" w:space="0" w:color="auto"/>
        <w:right w:val="none" w:sz="0" w:space="0" w:color="auto"/>
      </w:divBdr>
    </w:div>
    <w:div w:id="941957413">
      <w:bodyDiv w:val="1"/>
      <w:marLeft w:val="0"/>
      <w:marRight w:val="0"/>
      <w:marTop w:val="0"/>
      <w:marBottom w:val="0"/>
      <w:divBdr>
        <w:top w:val="none" w:sz="0" w:space="0" w:color="auto"/>
        <w:left w:val="none" w:sz="0" w:space="0" w:color="auto"/>
        <w:bottom w:val="none" w:sz="0" w:space="0" w:color="auto"/>
        <w:right w:val="none" w:sz="0" w:space="0" w:color="auto"/>
      </w:divBdr>
    </w:div>
    <w:div w:id="955792245">
      <w:bodyDiv w:val="1"/>
      <w:marLeft w:val="0"/>
      <w:marRight w:val="0"/>
      <w:marTop w:val="0"/>
      <w:marBottom w:val="0"/>
      <w:divBdr>
        <w:top w:val="none" w:sz="0" w:space="0" w:color="auto"/>
        <w:left w:val="none" w:sz="0" w:space="0" w:color="auto"/>
        <w:bottom w:val="none" w:sz="0" w:space="0" w:color="auto"/>
        <w:right w:val="none" w:sz="0" w:space="0" w:color="auto"/>
      </w:divBdr>
    </w:div>
    <w:div w:id="1045907342">
      <w:bodyDiv w:val="1"/>
      <w:marLeft w:val="0"/>
      <w:marRight w:val="0"/>
      <w:marTop w:val="0"/>
      <w:marBottom w:val="0"/>
      <w:divBdr>
        <w:top w:val="none" w:sz="0" w:space="0" w:color="auto"/>
        <w:left w:val="none" w:sz="0" w:space="0" w:color="auto"/>
        <w:bottom w:val="none" w:sz="0" w:space="0" w:color="auto"/>
        <w:right w:val="none" w:sz="0" w:space="0" w:color="auto"/>
      </w:divBdr>
    </w:div>
    <w:div w:id="1047795965">
      <w:bodyDiv w:val="1"/>
      <w:marLeft w:val="0"/>
      <w:marRight w:val="0"/>
      <w:marTop w:val="0"/>
      <w:marBottom w:val="0"/>
      <w:divBdr>
        <w:top w:val="none" w:sz="0" w:space="0" w:color="auto"/>
        <w:left w:val="none" w:sz="0" w:space="0" w:color="auto"/>
        <w:bottom w:val="none" w:sz="0" w:space="0" w:color="auto"/>
        <w:right w:val="none" w:sz="0" w:space="0" w:color="auto"/>
      </w:divBdr>
    </w:div>
    <w:div w:id="1050769324">
      <w:bodyDiv w:val="1"/>
      <w:marLeft w:val="0"/>
      <w:marRight w:val="0"/>
      <w:marTop w:val="0"/>
      <w:marBottom w:val="0"/>
      <w:divBdr>
        <w:top w:val="none" w:sz="0" w:space="0" w:color="auto"/>
        <w:left w:val="none" w:sz="0" w:space="0" w:color="auto"/>
        <w:bottom w:val="none" w:sz="0" w:space="0" w:color="auto"/>
        <w:right w:val="none" w:sz="0" w:space="0" w:color="auto"/>
      </w:divBdr>
      <w:divsChild>
        <w:div w:id="1262956035">
          <w:marLeft w:val="1987"/>
          <w:marRight w:val="0"/>
          <w:marTop w:val="0"/>
          <w:marBottom w:val="0"/>
          <w:divBdr>
            <w:top w:val="none" w:sz="0" w:space="0" w:color="auto"/>
            <w:left w:val="none" w:sz="0" w:space="0" w:color="auto"/>
            <w:bottom w:val="none" w:sz="0" w:space="0" w:color="auto"/>
            <w:right w:val="none" w:sz="0" w:space="0" w:color="auto"/>
          </w:divBdr>
        </w:div>
        <w:div w:id="412895235">
          <w:marLeft w:val="1987"/>
          <w:marRight w:val="0"/>
          <w:marTop w:val="0"/>
          <w:marBottom w:val="0"/>
          <w:divBdr>
            <w:top w:val="none" w:sz="0" w:space="0" w:color="auto"/>
            <w:left w:val="none" w:sz="0" w:space="0" w:color="auto"/>
            <w:bottom w:val="none" w:sz="0" w:space="0" w:color="auto"/>
            <w:right w:val="none" w:sz="0" w:space="0" w:color="auto"/>
          </w:divBdr>
        </w:div>
      </w:divsChild>
    </w:div>
    <w:div w:id="1070154501">
      <w:bodyDiv w:val="1"/>
      <w:marLeft w:val="0"/>
      <w:marRight w:val="0"/>
      <w:marTop w:val="0"/>
      <w:marBottom w:val="0"/>
      <w:divBdr>
        <w:top w:val="none" w:sz="0" w:space="0" w:color="auto"/>
        <w:left w:val="none" w:sz="0" w:space="0" w:color="auto"/>
        <w:bottom w:val="none" w:sz="0" w:space="0" w:color="auto"/>
        <w:right w:val="none" w:sz="0" w:space="0" w:color="auto"/>
      </w:divBdr>
    </w:div>
    <w:div w:id="1195272223">
      <w:bodyDiv w:val="1"/>
      <w:marLeft w:val="0"/>
      <w:marRight w:val="0"/>
      <w:marTop w:val="0"/>
      <w:marBottom w:val="0"/>
      <w:divBdr>
        <w:top w:val="none" w:sz="0" w:space="0" w:color="auto"/>
        <w:left w:val="none" w:sz="0" w:space="0" w:color="auto"/>
        <w:bottom w:val="none" w:sz="0" w:space="0" w:color="auto"/>
        <w:right w:val="none" w:sz="0" w:space="0" w:color="auto"/>
      </w:divBdr>
      <w:divsChild>
        <w:div w:id="555627818">
          <w:marLeft w:val="1267"/>
          <w:marRight w:val="0"/>
          <w:marTop w:val="0"/>
          <w:marBottom w:val="0"/>
          <w:divBdr>
            <w:top w:val="none" w:sz="0" w:space="0" w:color="auto"/>
            <w:left w:val="none" w:sz="0" w:space="0" w:color="auto"/>
            <w:bottom w:val="none" w:sz="0" w:space="0" w:color="auto"/>
            <w:right w:val="none" w:sz="0" w:space="0" w:color="auto"/>
          </w:divBdr>
        </w:div>
        <w:div w:id="994334176">
          <w:marLeft w:val="547"/>
          <w:marRight w:val="0"/>
          <w:marTop w:val="0"/>
          <w:marBottom w:val="0"/>
          <w:divBdr>
            <w:top w:val="none" w:sz="0" w:space="0" w:color="auto"/>
            <w:left w:val="none" w:sz="0" w:space="0" w:color="auto"/>
            <w:bottom w:val="none" w:sz="0" w:space="0" w:color="auto"/>
            <w:right w:val="none" w:sz="0" w:space="0" w:color="auto"/>
          </w:divBdr>
        </w:div>
        <w:div w:id="1226179579">
          <w:marLeft w:val="547"/>
          <w:marRight w:val="0"/>
          <w:marTop w:val="0"/>
          <w:marBottom w:val="0"/>
          <w:divBdr>
            <w:top w:val="none" w:sz="0" w:space="0" w:color="auto"/>
            <w:left w:val="none" w:sz="0" w:space="0" w:color="auto"/>
            <w:bottom w:val="none" w:sz="0" w:space="0" w:color="auto"/>
            <w:right w:val="none" w:sz="0" w:space="0" w:color="auto"/>
          </w:divBdr>
        </w:div>
        <w:div w:id="1864200494">
          <w:marLeft w:val="547"/>
          <w:marRight w:val="0"/>
          <w:marTop w:val="0"/>
          <w:marBottom w:val="0"/>
          <w:divBdr>
            <w:top w:val="none" w:sz="0" w:space="0" w:color="auto"/>
            <w:left w:val="none" w:sz="0" w:space="0" w:color="auto"/>
            <w:bottom w:val="none" w:sz="0" w:space="0" w:color="auto"/>
            <w:right w:val="none" w:sz="0" w:space="0" w:color="auto"/>
          </w:divBdr>
        </w:div>
        <w:div w:id="1869634078">
          <w:marLeft w:val="1267"/>
          <w:marRight w:val="0"/>
          <w:marTop w:val="0"/>
          <w:marBottom w:val="0"/>
          <w:divBdr>
            <w:top w:val="none" w:sz="0" w:space="0" w:color="auto"/>
            <w:left w:val="none" w:sz="0" w:space="0" w:color="auto"/>
            <w:bottom w:val="none" w:sz="0" w:space="0" w:color="auto"/>
            <w:right w:val="none" w:sz="0" w:space="0" w:color="auto"/>
          </w:divBdr>
        </w:div>
      </w:divsChild>
    </w:div>
    <w:div w:id="1267423214">
      <w:bodyDiv w:val="1"/>
      <w:marLeft w:val="0"/>
      <w:marRight w:val="0"/>
      <w:marTop w:val="0"/>
      <w:marBottom w:val="0"/>
      <w:divBdr>
        <w:top w:val="none" w:sz="0" w:space="0" w:color="auto"/>
        <w:left w:val="none" w:sz="0" w:space="0" w:color="auto"/>
        <w:bottom w:val="none" w:sz="0" w:space="0" w:color="auto"/>
        <w:right w:val="none" w:sz="0" w:space="0" w:color="auto"/>
      </w:divBdr>
    </w:div>
    <w:div w:id="1296838459">
      <w:bodyDiv w:val="1"/>
      <w:marLeft w:val="0"/>
      <w:marRight w:val="0"/>
      <w:marTop w:val="0"/>
      <w:marBottom w:val="0"/>
      <w:divBdr>
        <w:top w:val="none" w:sz="0" w:space="0" w:color="auto"/>
        <w:left w:val="none" w:sz="0" w:space="0" w:color="auto"/>
        <w:bottom w:val="none" w:sz="0" w:space="0" w:color="auto"/>
        <w:right w:val="none" w:sz="0" w:space="0" w:color="auto"/>
      </w:divBdr>
    </w:div>
    <w:div w:id="1352758667">
      <w:bodyDiv w:val="1"/>
      <w:marLeft w:val="0"/>
      <w:marRight w:val="0"/>
      <w:marTop w:val="0"/>
      <w:marBottom w:val="0"/>
      <w:divBdr>
        <w:top w:val="none" w:sz="0" w:space="0" w:color="auto"/>
        <w:left w:val="none" w:sz="0" w:space="0" w:color="auto"/>
        <w:bottom w:val="none" w:sz="0" w:space="0" w:color="auto"/>
        <w:right w:val="none" w:sz="0" w:space="0" w:color="auto"/>
      </w:divBdr>
    </w:div>
    <w:div w:id="1365717306">
      <w:bodyDiv w:val="1"/>
      <w:marLeft w:val="0"/>
      <w:marRight w:val="0"/>
      <w:marTop w:val="0"/>
      <w:marBottom w:val="0"/>
      <w:divBdr>
        <w:top w:val="none" w:sz="0" w:space="0" w:color="auto"/>
        <w:left w:val="none" w:sz="0" w:space="0" w:color="auto"/>
        <w:bottom w:val="none" w:sz="0" w:space="0" w:color="auto"/>
        <w:right w:val="none" w:sz="0" w:space="0" w:color="auto"/>
      </w:divBdr>
    </w:div>
    <w:div w:id="1379740592">
      <w:bodyDiv w:val="1"/>
      <w:marLeft w:val="0"/>
      <w:marRight w:val="0"/>
      <w:marTop w:val="0"/>
      <w:marBottom w:val="0"/>
      <w:divBdr>
        <w:top w:val="none" w:sz="0" w:space="0" w:color="auto"/>
        <w:left w:val="none" w:sz="0" w:space="0" w:color="auto"/>
        <w:bottom w:val="none" w:sz="0" w:space="0" w:color="auto"/>
        <w:right w:val="none" w:sz="0" w:space="0" w:color="auto"/>
      </w:divBdr>
    </w:div>
    <w:div w:id="1385326789">
      <w:bodyDiv w:val="1"/>
      <w:marLeft w:val="0"/>
      <w:marRight w:val="0"/>
      <w:marTop w:val="0"/>
      <w:marBottom w:val="0"/>
      <w:divBdr>
        <w:top w:val="none" w:sz="0" w:space="0" w:color="auto"/>
        <w:left w:val="none" w:sz="0" w:space="0" w:color="auto"/>
        <w:bottom w:val="none" w:sz="0" w:space="0" w:color="auto"/>
        <w:right w:val="none" w:sz="0" w:space="0" w:color="auto"/>
      </w:divBdr>
    </w:div>
    <w:div w:id="1392651443">
      <w:bodyDiv w:val="1"/>
      <w:marLeft w:val="0"/>
      <w:marRight w:val="0"/>
      <w:marTop w:val="0"/>
      <w:marBottom w:val="0"/>
      <w:divBdr>
        <w:top w:val="none" w:sz="0" w:space="0" w:color="auto"/>
        <w:left w:val="none" w:sz="0" w:space="0" w:color="auto"/>
        <w:bottom w:val="none" w:sz="0" w:space="0" w:color="auto"/>
        <w:right w:val="none" w:sz="0" w:space="0" w:color="auto"/>
      </w:divBdr>
    </w:div>
    <w:div w:id="1425876001">
      <w:bodyDiv w:val="1"/>
      <w:marLeft w:val="0"/>
      <w:marRight w:val="0"/>
      <w:marTop w:val="0"/>
      <w:marBottom w:val="0"/>
      <w:divBdr>
        <w:top w:val="none" w:sz="0" w:space="0" w:color="auto"/>
        <w:left w:val="none" w:sz="0" w:space="0" w:color="auto"/>
        <w:bottom w:val="none" w:sz="0" w:space="0" w:color="auto"/>
        <w:right w:val="none" w:sz="0" w:space="0" w:color="auto"/>
      </w:divBdr>
      <w:divsChild>
        <w:div w:id="78063050">
          <w:marLeft w:val="0"/>
          <w:marRight w:val="0"/>
          <w:marTop w:val="0"/>
          <w:marBottom w:val="0"/>
          <w:divBdr>
            <w:top w:val="none" w:sz="0" w:space="0" w:color="auto"/>
            <w:left w:val="none" w:sz="0" w:space="0" w:color="auto"/>
            <w:bottom w:val="none" w:sz="0" w:space="0" w:color="auto"/>
            <w:right w:val="none" w:sz="0" w:space="0" w:color="auto"/>
          </w:divBdr>
        </w:div>
        <w:div w:id="1547765350">
          <w:marLeft w:val="0"/>
          <w:marRight w:val="0"/>
          <w:marTop w:val="0"/>
          <w:marBottom w:val="0"/>
          <w:divBdr>
            <w:top w:val="none" w:sz="0" w:space="0" w:color="auto"/>
            <w:left w:val="none" w:sz="0" w:space="0" w:color="auto"/>
            <w:bottom w:val="none" w:sz="0" w:space="0" w:color="auto"/>
            <w:right w:val="none" w:sz="0" w:space="0" w:color="auto"/>
          </w:divBdr>
        </w:div>
        <w:div w:id="2039771566">
          <w:marLeft w:val="0"/>
          <w:marRight w:val="0"/>
          <w:marTop w:val="0"/>
          <w:marBottom w:val="0"/>
          <w:divBdr>
            <w:top w:val="none" w:sz="0" w:space="0" w:color="auto"/>
            <w:left w:val="none" w:sz="0" w:space="0" w:color="auto"/>
            <w:bottom w:val="none" w:sz="0" w:space="0" w:color="auto"/>
            <w:right w:val="none" w:sz="0" w:space="0" w:color="auto"/>
          </w:divBdr>
        </w:div>
      </w:divsChild>
    </w:div>
    <w:div w:id="1428966753">
      <w:bodyDiv w:val="1"/>
      <w:marLeft w:val="0"/>
      <w:marRight w:val="0"/>
      <w:marTop w:val="0"/>
      <w:marBottom w:val="0"/>
      <w:divBdr>
        <w:top w:val="none" w:sz="0" w:space="0" w:color="auto"/>
        <w:left w:val="none" w:sz="0" w:space="0" w:color="auto"/>
        <w:bottom w:val="none" w:sz="0" w:space="0" w:color="auto"/>
        <w:right w:val="none" w:sz="0" w:space="0" w:color="auto"/>
      </w:divBdr>
    </w:div>
    <w:div w:id="1433554315">
      <w:bodyDiv w:val="1"/>
      <w:marLeft w:val="0"/>
      <w:marRight w:val="0"/>
      <w:marTop w:val="0"/>
      <w:marBottom w:val="0"/>
      <w:divBdr>
        <w:top w:val="none" w:sz="0" w:space="0" w:color="auto"/>
        <w:left w:val="none" w:sz="0" w:space="0" w:color="auto"/>
        <w:bottom w:val="none" w:sz="0" w:space="0" w:color="auto"/>
        <w:right w:val="none" w:sz="0" w:space="0" w:color="auto"/>
      </w:divBdr>
      <w:divsChild>
        <w:div w:id="255947872">
          <w:marLeft w:val="0"/>
          <w:marRight w:val="0"/>
          <w:marTop w:val="0"/>
          <w:marBottom w:val="0"/>
          <w:divBdr>
            <w:top w:val="none" w:sz="0" w:space="0" w:color="auto"/>
            <w:left w:val="none" w:sz="0" w:space="0" w:color="auto"/>
            <w:bottom w:val="none" w:sz="0" w:space="0" w:color="auto"/>
            <w:right w:val="none" w:sz="0" w:space="0" w:color="auto"/>
          </w:divBdr>
        </w:div>
        <w:div w:id="659382334">
          <w:marLeft w:val="0"/>
          <w:marRight w:val="0"/>
          <w:marTop w:val="0"/>
          <w:marBottom w:val="0"/>
          <w:divBdr>
            <w:top w:val="none" w:sz="0" w:space="0" w:color="auto"/>
            <w:left w:val="none" w:sz="0" w:space="0" w:color="auto"/>
            <w:bottom w:val="none" w:sz="0" w:space="0" w:color="auto"/>
            <w:right w:val="none" w:sz="0" w:space="0" w:color="auto"/>
          </w:divBdr>
        </w:div>
        <w:div w:id="1212570027">
          <w:marLeft w:val="0"/>
          <w:marRight w:val="0"/>
          <w:marTop w:val="0"/>
          <w:marBottom w:val="0"/>
          <w:divBdr>
            <w:top w:val="none" w:sz="0" w:space="0" w:color="auto"/>
            <w:left w:val="none" w:sz="0" w:space="0" w:color="auto"/>
            <w:bottom w:val="none" w:sz="0" w:space="0" w:color="auto"/>
            <w:right w:val="none" w:sz="0" w:space="0" w:color="auto"/>
          </w:divBdr>
        </w:div>
      </w:divsChild>
    </w:div>
    <w:div w:id="1433892819">
      <w:bodyDiv w:val="1"/>
      <w:marLeft w:val="0"/>
      <w:marRight w:val="0"/>
      <w:marTop w:val="0"/>
      <w:marBottom w:val="0"/>
      <w:divBdr>
        <w:top w:val="none" w:sz="0" w:space="0" w:color="auto"/>
        <w:left w:val="none" w:sz="0" w:space="0" w:color="auto"/>
        <w:bottom w:val="none" w:sz="0" w:space="0" w:color="auto"/>
        <w:right w:val="none" w:sz="0" w:space="0" w:color="auto"/>
      </w:divBdr>
    </w:div>
    <w:div w:id="1494760314">
      <w:bodyDiv w:val="1"/>
      <w:marLeft w:val="0"/>
      <w:marRight w:val="0"/>
      <w:marTop w:val="0"/>
      <w:marBottom w:val="0"/>
      <w:divBdr>
        <w:top w:val="none" w:sz="0" w:space="0" w:color="auto"/>
        <w:left w:val="none" w:sz="0" w:space="0" w:color="auto"/>
        <w:bottom w:val="none" w:sz="0" w:space="0" w:color="auto"/>
        <w:right w:val="none" w:sz="0" w:space="0" w:color="auto"/>
      </w:divBdr>
    </w:div>
    <w:div w:id="1518689766">
      <w:bodyDiv w:val="1"/>
      <w:marLeft w:val="0"/>
      <w:marRight w:val="0"/>
      <w:marTop w:val="0"/>
      <w:marBottom w:val="0"/>
      <w:divBdr>
        <w:top w:val="none" w:sz="0" w:space="0" w:color="auto"/>
        <w:left w:val="none" w:sz="0" w:space="0" w:color="auto"/>
        <w:bottom w:val="none" w:sz="0" w:space="0" w:color="auto"/>
        <w:right w:val="none" w:sz="0" w:space="0" w:color="auto"/>
      </w:divBdr>
    </w:div>
    <w:div w:id="1522088904">
      <w:bodyDiv w:val="1"/>
      <w:marLeft w:val="0"/>
      <w:marRight w:val="0"/>
      <w:marTop w:val="0"/>
      <w:marBottom w:val="0"/>
      <w:divBdr>
        <w:top w:val="none" w:sz="0" w:space="0" w:color="auto"/>
        <w:left w:val="none" w:sz="0" w:space="0" w:color="auto"/>
        <w:bottom w:val="none" w:sz="0" w:space="0" w:color="auto"/>
        <w:right w:val="none" w:sz="0" w:space="0" w:color="auto"/>
      </w:divBdr>
    </w:div>
    <w:div w:id="1575697911">
      <w:bodyDiv w:val="1"/>
      <w:marLeft w:val="0"/>
      <w:marRight w:val="0"/>
      <w:marTop w:val="0"/>
      <w:marBottom w:val="0"/>
      <w:divBdr>
        <w:top w:val="none" w:sz="0" w:space="0" w:color="auto"/>
        <w:left w:val="none" w:sz="0" w:space="0" w:color="auto"/>
        <w:bottom w:val="none" w:sz="0" w:space="0" w:color="auto"/>
        <w:right w:val="none" w:sz="0" w:space="0" w:color="auto"/>
      </w:divBdr>
    </w:div>
    <w:div w:id="1676565551">
      <w:bodyDiv w:val="1"/>
      <w:marLeft w:val="0"/>
      <w:marRight w:val="0"/>
      <w:marTop w:val="0"/>
      <w:marBottom w:val="0"/>
      <w:divBdr>
        <w:top w:val="none" w:sz="0" w:space="0" w:color="auto"/>
        <w:left w:val="none" w:sz="0" w:space="0" w:color="auto"/>
        <w:bottom w:val="none" w:sz="0" w:space="0" w:color="auto"/>
        <w:right w:val="none" w:sz="0" w:space="0" w:color="auto"/>
      </w:divBdr>
    </w:div>
    <w:div w:id="1819034665">
      <w:bodyDiv w:val="1"/>
      <w:marLeft w:val="0"/>
      <w:marRight w:val="0"/>
      <w:marTop w:val="0"/>
      <w:marBottom w:val="0"/>
      <w:divBdr>
        <w:top w:val="none" w:sz="0" w:space="0" w:color="auto"/>
        <w:left w:val="none" w:sz="0" w:space="0" w:color="auto"/>
        <w:bottom w:val="none" w:sz="0" w:space="0" w:color="auto"/>
        <w:right w:val="none" w:sz="0" w:space="0" w:color="auto"/>
      </w:divBdr>
    </w:div>
    <w:div w:id="1846286130">
      <w:bodyDiv w:val="1"/>
      <w:marLeft w:val="0"/>
      <w:marRight w:val="0"/>
      <w:marTop w:val="0"/>
      <w:marBottom w:val="0"/>
      <w:divBdr>
        <w:top w:val="none" w:sz="0" w:space="0" w:color="auto"/>
        <w:left w:val="none" w:sz="0" w:space="0" w:color="auto"/>
        <w:bottom w:val="none" w:sz="0" w:space="0" w:color="auto"/>
        <w:right w:val="none" w:sz="0" w:space="0" w:color="auto"/>
      </w:divBdr>
    </w:div>
    <w:div w:id="1877038421">
      <w:bodyDiv w:val="1"/>
      <w:marLeft w:val="0"/>
      <w:marRight w:val="0"/>
      <w:marTop w:val="0"/>
      <w:marBottom w:val="0"/>
      <w:divBdr>
        <w:top w:val="none" w:sz="0" w:space="0" w:color="auto"/>
        <w:left w:val="none" w:sz="0" w:space="0" w:color="auto"/>
        <w:bottom w:val="none" w:sz="0" w:space="0" w:color="auto"/>
        <w:right w:val="none" w:sz="0" w:space="0" w:color="auto"/>
      </w:divBdr>
    </w:div>
    <w:div w:id="1949239550">
      <w:bodyDiv w:val="1"/>
      <w:marLeft w:val="0"/>
      <w:marRight w:val="0"/>
      <w:marTop w:val="0"/>
      <w:marBottom w:val="0"/>
      <w:divBdr>
        <w:top w:val="none" w:sz="0" w:space="0" w:color="auto"/>
        <w:left w:val="none" w:sz="0" w:space="0" w:color="auto"/>
        <w:bottom w:val="none" w:sz="0" w:space="0" w:color="auto"/>
        <w:right w:val="none" w:sz="0" w:space="0" w:color="auto"/>
      </w:divBdr>
    </w:div>
    <w:div w:id="1958828933">
      <w:bodyDiv w:val="1"/>
      <w:marLeft w:val="0"/>
      <w:marRight w:val="0"/>
      <w:marTop w:val="0"/>
      <w:marBottom w:val="0"/>
      <w:divBdr>
        <w:top w:val="none" w:sz="0" w:space="0" w:color="auto"/>
        <w:left w:val="none" w:sz="0" w:space="0" w:color="auto"/>
        <w:bottom w:val="none" w:sz="0" w:space="0" w:color="auto"/>
        <w:right w:val="none" w:sz="0" w:space="0" w:color="auto"/>
      </w:divBdr>
    </w:div>
    <w:div w:id="1975911569">
      <w:bodyDiv w:val="1"/>
      <w:marLeft w:val="0"/>
      <w:marRight w:val="0"/>
      <w:marTop w:val="0"/>
      <w:marBottom w:val="0"/>
      <w:divBdr>
        <w:top w:val="none" w:sz="0" w:space="0" w:color="auto"/>
        <w:left w:val="none" w:sz="0" w:space="0" w:color="auto"/>
        <w:bottom w:val="none" w:sz="0" w:space="0" w:color="auto"/>
        <w:right w:val="none" w:sz="0" w:space="0" w:color="auto"/>
      </w:divBdr>
    </w:div>
    <w:div w:id="1990742840">
      <w:bodyDiv w:val="1"/>
      <w:marLeft w:val="0"/>
      <w:marRight w:val="0"/>
      <w:marTop w:val="0"/>
      <w:marBottom w:val="0"/>
      <w:divBdr>
        <w:top w:val="none" w:sz="0" w:space="0" w:color="auto"/>
        <w:left w:val="none" w:sz="0" w:space="0" w:color="auto"/>
        <w:bottom w:val="none" w:sz="0" w:space="0" w:color="auto"/>
        <w:right w:val="none" w:sz="0" w:space="0" w:color="auto"/>
      </w:divBdr>
    </w:div>
    <w:div w:id="21037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os.kasteridis@york.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cpsych.ac.uk/mental-health/treatments-and-wellbeing/antipsycho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8A361-7657-4C04-A380-B73B35AC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4799</Words>
  <Characters>59690</Characters>
  <Application>Microsoft Office Word</Application>
  <DocSecurity>0</DocSecurity>
  <Lines>497</Lines>
  <Paragraphs>128</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Jemimah Ride</dc:creator>
  <cp:lastModifiedBy>Panos Kasteridis</cp:lastModifiedBy>
  <cp:revision>2</cp:revision>
  <cp:lastPrinted>2018-11-07T12:40:00Z</cp:lastPrinted>
  <dcterms:created xsi:type="dcterms:W3CDTF">2019-05-28T09:52:00Z</dcterms:created>
  <dcterms:modified xsi:type="dcterms:W3CDTF">2019-05-28T09:52:00Z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MTEqnNumsOnRight">
    <vt:bool>true</vt:bool>
  </property>
</Properties>
</file>