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DED" w:rsidRDefault="003A0DED" w:rsidP="00862343">
      <w:pPr>
        <w:pStyle w:val="Header"/>
        <w:spacing w:line="480" w:lineRule="auto"/>
      </w:pPr>
    </w:p>
    <w:p w:rsidR="00A241A5" w:rsidRDefault="00A241A5" w:rsidP="00862343">
      <w:pPr>
        <w:pStyle w:val="Header"/>
        <w:spacing w:line="480" w:lineRule="auto"/>
      </w:pPr>
    </w:p>
    <w:p w:rsidR="00E054C1" w:rsidRDefault="0001452D" w:rsidP="00862343">
      <w:pPr>
        <w:pStyle w:val="Header"/>
        <w:spacing w:line="480" w:lineRule="auto"/>
        <w:jc w:val="center"/>
      </w:pPr>
      <w:r>
        <w:t>Economic geography and t</w:t>
      </w:r>
      <w:r w:rsidR="00FA1009">
        <w:t>he regulatory state</w:t>
      </w:r>
      <w:r>
        <w:t>:</w:t>
      </w:r>
      <w:r w:rsidR="003C6DE0">
        <w:t xml:space="preserve"> </w:t>
      </w:r>
      <w:r w:rsidR="00674D08">
        <w:t>A</w:t>
      </w:r>
      <w:r w:rsidR="007C353C">
        <w:t xml:space="preserve">symmetric </w:t>
      </w:r>
      <w:r w:rsidR="003C6DE0">
        <w:t>marketization</w:t>
      </w:r>
      <w:r>
        <w:t xml:space="preserve"> of</w:t>
      </w:r>
      <w:r w:rsidR="007449A4">
        <w:t xml:space="preserve"> social housing</w:t>
      </w:r>
      <w:r w:rsidR="00E50D1C">
        <w:t xml:space="preserve"> </w:t>
      </w:r>
      <w:r w:rsidR="007449A4">
        <w:t>in England</w:t>
      </w:r>
    </w:p>
    <w:p w:rsidR="00A241A5" w:rsidRDefault="00A241A5" w:rsidP="001830F0">
      <w:pPr>
        <w:pStyle w:val="Header"/>
        <w:spacing w:line="480" w:lineRule="auto"/>
      </w:pPr>
    </w:p>
    <w:p w:rsidR="00A241A5" w:rsidRDefault="00A241A5" w:rsidP="00862343">
      <w:pPr>
        <w:pStyle w:val="Header"/>
        <w:spacing w:line="480" w:lineRule="auto"/>
        <w:jc w:val="center"/>
      </w:pPr>
    </w:p>
    <w:p w:rsidR="00E054C1" w:rsidRDefault="00E054C1" w:rsidP="00862343">
      <w:pPr>
        <w:pStyle w:val="Header"/>
        <w:spacing w:line="480" w:lineRule="auto"/>
        <w:jc w:val="center"/>
      </w:pPr>
    </w:p>
    <w:p w:rsidR="00E054C1" w:rsidRDefault="00E054C1" w:rsidP="00862343">
      <w:pPr>
        <w:pStyle w:val="Header"/>
        <w:spacing w:line="480" w:lineRule="auto"/>
        <w:rPr>
          <w:u w:val="single"/>
        </w:rPr>
      </w:pPr>
      <w:r>
        <w:rPr>
          <w:u w:val="single"/>
        </w:rPr>
        <w:t>Abstract</w:t>
      </w:r>
    </w:p>
    <w:p w:rsidR="00F359B3" w:rsidRDefault="0030713C" w:rsidP="00862343">
      <w:pPr>
        <w:pStyle w:val="Header"/>
        <w:spacing w:line="480" w:lineRule="auto"/>
      </w:pPr>
      <w:r>
        <w:t>The</w:t>
      </w:r>
      <w:r w:rsidR="00F359B3">
        <w:t xml:space="preserve"> 2011 Affordable Homes Programme (AHP) introduced dramatic reductions in the level of government grant </w:t>
      </w:r>
      <w:r w:rsidR="008D23E0">
        <w:t>for new-build construction by</w:t>
      </w:r>
      <w:r w:rsidR="00F359B3">
        <w:t xml:space="preserve"> Housing Associations, with an expectation that Associations’ rents would rise towards market rates to compensate. </w:t>
      </w:r>
      <w:r w:rsidR="0012762B">
        <w:t>Through this paper</w:t>
      </w:r>
      <w:r w:rsidR="00A53FCA">
        <w:t>,</w:t>
      </w:r>
      <w:r w:rsidR="00F359B3">
        <w:t xml:space="preserve"> I </w:t>
      </w:r>
      <w:r w:rsidR="005E0AF7">
        <w:t xml:space="preserve">explore </w:t>
      </w:r>
      <w:r w:rsidR="0012762B">
        <w:t xml:space="preserve">London-based </w:t>
      </w:r>
      <w:r w:rsidR="00054B48">
        <w:t>Associations</w:t>
      </w:r>
      <w:r w:rsidR="005E0AF7">
        <w:t>’</w:t>
      </w:r>
      <w:r w:rsidR="00054B48">
        <w:t xml:space="preserve"> us</w:t>
      </w:r>
      <w:r w:rsidR="007C353C">
        <w:t>e</w:t>
      </w:r>
      <w:r w:rsidR="005E0AF7">
        <w:t xml:space="preserve"> of</w:t>
      </w:r>
      <w:r w:rsidR="00054B48">
        <w:t xml:space="preserve"> cross-subsidy </w:t>
      </w:r>
      <w:r w:rsidR="008D23E0">
        <w:t xml:space="preserve">from commercial sale and rental operations </w:t>
      </w:r>
      <w:r w:rsidR="00054B48">
        <w:t xml:space="preserve">to ameliorate the push towards </w:t>
      </w:r>
      <w:r w:rsidR="00C236EA">
        <w:t>higher</w:t>
      </w:r>
      <w:r w:rsidR="00054B48">
        <w:t xml:space="preserve"> </w:t>
      </w:r>
      <w:r w:rsidR="00C236EA">
        <w:t xml:space="preserve">rents for </w:t>
      </w:r>
      <w:r w:rsidR="00054B48">
        <w:t>social housing</w:t>
      </w:r>
      <w:r w:rsidR="00A53FCA">
        <w:t xml:space="preserve">. I </w:t>
      </w:r>
      <w:r w:rsidR="006D128A">
        <w:t>characterise</w:t>
      </w:r>
      <w:r w:rsidR="00A53FCA">
        <w:t xml:space="preserve"> the</w:t>
      </w:r>
      <w:r w:rsidR="009C7674">
        <w:t xml:space="preserve"> </w:t>
      </w:r>
      <w:r w:rsidR="008D23E0">
        <w:t>spatially-variegated response</w:t>
      </w:r>
      <w:r w:rsidR="00A53FCA">
        <w:t xml:space="preserve"> to the</w:t>
      </w:r>
      <w:r w:rsidR="00B66304">
        <w:t xml:space="preserve"> as</w:t>
      </w:r>
      <w:r w:rsidR="00A53FCA">
        <w:t xml:space="preserve"> AHP </w:t>
      </w:r>
      <w:r w:rsidR="009C7674">
        <w:t>‘asymmetric marketisation’</w:t>
      </w:r>
      <w:r w:rsidR="00646777">
        <w:t>. The</w:t>
      </w:r>
      <w:r w:rsidR="009C7674">
        <w:t xml:space="preserve"> case </w:t>
      </w:r>
      <w:r w:rsidR="00646777">
        <w:t>illustrates the value of bridging between Economic Geography literatures that acknowledge spatial variation in stat</w:t>
      </w:r>
      <w:r w:rsidR="002A354C">
        <w:t>e-market conste</w:t>
      </w:r>
      <w:r w:rsidR="00646777">
        <w:t xml:space="preserve">llations but </w:t>
      </w:r>
      <w:r w:rsidR="007C353C">
        <w:t>offers less developed insights on modes of marketisation</w:t>
      </w:r>
      <w:r w:rsidR="00646777">
        <w:t>, and Political Sci</w:t>
      </w:r>
      <w:r w:rsidR="002A354C">
        <w:t>e</w:t>
      </w:r>
      <w:r w:rsidR="00646777">
        <w:t>nce liter</w:t>
      </w:r>
      <w:r w:rsidR="000E43C4">
        <w:t xml:space="preserve">ature on the regulatory </w:t>
      </w:r>
      <w:r w:rsidR="00646777">
        <w:t xml:space="preserve">state that </w:t>
      </w:r>
      <w:r w:rsidR="007C353C">
        <w:t>offers a useful framework for disaggregating between modes of marketization but which</w:t>
      </w:r>
      <w:r w:rsidR="00646777">
        <w:t xml:space="preserve"> has overlooked the issue of spatial variation. </w:t>
      </w:r>
      <w:r w:rsidR="001830F0">
        <w:t xml:space="preserve">The significance of this asymmetric marketization is heightened by ongoing concerns over the sustainability of </w:t>
      </w:r>
      <w:r w:rsidR="00C236EA">
        <w:t>London-based Housing Associations’ commercial activities</w:t>
      </w:r>
      <w:r w:rsidR="001830F0">
        <w:t xml:space="preserve">, and by the possible extension of </w:t>
      </w:r>
      <w:r w:rsidR="00C236EA">
        <w:t>commercial-to-social cross-subsidisation</w:t>
      </w:r>
      <w:r w:rsidR="001830F0">
        <w:t xml:space="preserve"> across other national housing systems. </w:t>
      </w:r>
    </w:p>
    <w:p w:rsidR="003F2E77" w:rsidRDefault="003F2E77" w:rsidP="00862343">
      <w:pPr>
        <w:pStyle w:val="Header"/>
        <w:spacing w:line="480" w:lineRule="auto"/>
      </w:pPr>
    </w:p>
    <w:p w:rsidR="00316E0C" w:rsidRDefault="00E47F0E" w:rsidP="00862343">
      <w:pPr>
        <w:pStyle w:val="Header"/>
        <w:spacing w:line="480" w:lineRule="auto"/>
      </w:pPr>
      <w:r>
        <w:t xml:space="preserve"> </w:t>
      </w:r>
      <w:r w:rsidR="0081559C">
        <w:t xml:space="preserve"> </w:t>
      </w:r>
      <w:r w:rsidR="004F6905">
        <w:t xml:space="preserve"> </w:t>
      </w:r>
    </w:p>
    <w:p w:rsidR="00316E0C" w:rsidRDefault="00316E0C" w:rsidP="00862343">
      <w:pPr>
        <w:pStyle w:val="Header"/>
        <w:spacing w:line="480" w:lineRule="auto"/>
      </w:pPr>
    </w:p>
    <w:p w:rsidR="00F76631" w:rsidRDefault="00F76631" w:rsidP="00862343">
      <w:pPr>
        <w:pStyle w:val="Header"/>
        <w:spacing w:line="480" w:lineRule="auto"/>
      </w:pPr>
    </w:p>
    <w:p w:rsidR="00E054C1" w:rsidRPr="007B17F2" w:rsidRDefault="00E054C1" w:rsidP="00862343">
      <w:pPr>
        <w:pStyle w:val="Header"/>
        <w:spacing w:line="480" w:lineRule="auto"/>
      </w:pPr>
      <w:bookmarkStart w:id="0" w:name="_GoBack"/>
      <w:bookmarkEnd w:id="0"/>
      <w:r>
        <w:rPr>
          <w:u w:val="single"/>
        </w:rPr>
        <w:lastRenderedPageBreak/>
        <w:t xml:space="preserve">Introduction </w:t>
      </w:r>
    </w:p>
    <w:p w:rsidR="003075FF" w:rsidRDefault="00FF59FF" w:rsidP="007C557C">
      <w:pPr>
        <w:pStyle w:val="Header"/>
        <w:tabs>
          <w:tab w:val="clear" w:pos="4513"/>
          <w:tab w:val="center" w:pos="1134"/>
        </w:tabs>
        <w:spacing w:line="480" w:lineRule="auto"/>
      </w:pPr>
      <w:r>
        <w:t xml:space="preserve">In June 2010, the Chancellor of the United Kingdom’s newly-formed </w:t>
      </w:r>
      <w:r w:rsidR="007833B2">
        <w:t>Conservative-Liberal Democrat coalition government</w:t>
      </w:r>
      <w:r w:rsidR="00602E2C">
        <w:t xml:space="preserve"> George Osborne</w:t>
      </w:r>
      <w:r w:rsidR="007833B2">
        <w:t xml:space="preserve"> </w:t>
      </w:r>
      <w:r>
        <w:t>introduced his ‘accelerated plan to reduce the deficit’ (</w:t>
      </w:r>
      <w:r w:rsidR="00602E2C">
        <w:t xml:space="preserve">HM </w:t>
      </w:r>
      <w:r>
        <w:t>Treasury 2010: 1). ‘Austerity’ came to be a defining feature of</w:t>
      </w:r>
      <w:r w:rsidR="007833B2">
        <w:t xml:space="preserve"> </w:t>
      </w:r>
      <w:r>
        <w:t>the coalition government</w:t>
      </w:r>
      <w:r w:rsidR="00602E2C">
        <w:t>, and a significant academic literature has emerged exploring the ideas</w:t>
      </w:r>
      <w:r w:rsidR="006212C4">
        <w:t>,</w:t>
      </w:r>
      <w:r w:rsidR="00602E2C">
        <w:t xml:space="preserve"> policy transformations</w:t>
      </w:r>
      <w:r w:rsidR="006212C4">
        <w:t>, and socio-economic outcomes</w:t>
      </w:r>
      <w:r w:rsidR="00602E2C">
        <w:t xml:space="preserve"> associated </w:t>
      </w:r>
      <w:r w:rsidR="008D23E0">
        <w:t xml:space="preserve">with this </w:t>
      </w:r>
      <w:r w:rsidR="00602E2C">
        <w:t xml:space="preserve">agenda (e.g. </w:t>
      </w:r>
      <w:r w:rsidR="007E644D">
        <w:t xml:space="preserve">Taylor-Gooby 2012, </w:t>
      </w:r>
      <w:r w:rsidR="00602E2C">
        <w:t xml:space="preserve">Blyth </w:t>
      </w:r>
      <w:r w:rsidR="0009668C">
        <w:t>2013</w:t>
      </w:r>
      <w:r w:rsidR="006212C4">
        <w:t xml:space="preserve">, </w:t>
      </w:r>
      <w:r w:rsidR="00063AEA">
        <w:t xml:space="preserve">Hay 2013, </w:t>
      </w:r>
      <w:r w:rsidR="006212C4" w:rsidRPr="006212C4">
        <w:t>Karamessini</w:t>
      </w:r>
      <w:r w:rsidR="00BD78B0">
        <w:t xml:space="preserve"> and Rubery 2013</w:t>
      </w:r>
      <w:r w:rsidR="0009668C">
        <w:t>).</w:t>
      </w:r>
      <w:r w:rsidR="00BD78B0">
        <w:t xml:space="preserve"> </w:t>
      </w:r>
      <w:r w:rsidR="005702AD">
        <w:t xml:space="preserve">Housing was an area to experience an early manifestation of austerity, with the coalition government’s Affordable Homes Programme reducing </w:t>
      </w:r>
      <w:r w:rsidR="009E4026">
        <w:t xml:space="preserve">dramatically the volume of </w:t>
      </w:r>
      <w:r w:rsidR="00C95856">
        <w:t>grants</w:t>
      </w:r>
      <w:r w:rsidR="005702AD">
        <w:t xml:space="preserve"> available</w:t>
      </w:r>
      <w:r w:rsidR="00C95856">
        <w:t xml:space="preserve"> to Housing Associations</w:t>
      </w:r>
      <w:r w:rsidR="005702AD">
        <w:t xml:space="preserve"> </w:t>
      </w:r>
      <w:r w:rsidR="00C95856">
        <w:t>for the</w:t>
      </w:r>
      <w:r w:rsidR="005702AD">
        <w:t xml:space="preserve"> construction of </w:t>
      </w:r>
      <w:r w:rsidR="00C95856">
        <w:t>homes to be let at</w:t>
      </w:r>
      <w:r w:rsidR="005702AD">
        <w:t xml:space="preserve"> below-market rates. </w:t>
      </w:r>
      <w:r w:rsidR="00C95856">
        <w:t>Through this paper, I explore patterns of variation in Housing Association responses to the AHP.</w:t>
      </w:r>
      <w:r w:rsidR="005702AD">
        <w:t xml:space="preserve"> </w:t>
      </w:r>
    </w:p>
    <w:p w:rsidR="003075FF" w:rsidRDefault="003075FF" w:rsidP="007C557C">
      <w:pPr>
        <w:pStyle w:val="Header"/>
        <w:tabs>
          <w:tab w:val="clear" w:pos="4513"/>
          <w:tab w:val="center" w:pos="1134"/>
        </w:tabs>
        <w:spacing w:line="480" w:lineRule="auto"/>
      </w:pPr>
    </w:p>
    <w:p w:rsidR="003B6F4D" w:rsidRDefault="008D23E0" w:rsidP="007C557C">
      <w:pPr>
        <w:pStyle w:val="Header"/>
        <w:tabs>
          <w:tab w:val="clear" w:pos="4513"/>
          <w:tab w:val="center" w:pos="1134"/>
        </w:tabs>
        <w:spacing w:line="480" w:lineRule="auto"/>
      </w:pPr>
      <w:r>
        <w:t>Housing Associations’ co</w:t>
      </w:r>
      <w:r w:rsidR="0026720D">
        <w:t>re mission is the supply of ren</w:t>
      </w:r>
      <w:r>
        <w:t xml:space="preserve">tal accommodation at below-market rates to individuals who struggle to access private sector provision. </w:t>
      </w:r>
      <w:r w:rsidR="00324B4A">
        <w:t xml:space="preserve">The AHP was designed to allow Associations to offset grant reduction by charging higher rents on </w:t>
      </w:r>
      <w:r>
        <w:t xml:space="preserve">both </w:t>
      </w:r>
      <w:r w:rsidR="00324B4A">
        <w:t>newly-constructed home</w:t>
      </w:r>
      <w:r>
        <w:t>s</w:t>
      </w:r>
      <w:r w:rsidR="00324B4A">
        <w:t xml:space="preserve"> and existing properties. </w:t>
      </w:r>
      <w:r w:rsidR="00055B1B">
        <w:t xml:space="preserve">Some </w:t>
      </w:r>
      <w:r w:rsidR="00324B4A">
        <w:t>Associations have</w:t>
      </w:r>
      <w:r w:rsidR="00055B1B">
        <w:t>, however,</w:t>
      </w:r>
      <w:r w:rsidR="00324B4A">
        <w:t xml:space="preserve"> turned to cross-</w:t>
      </w:r>
      <w:r w:rsidR="00055B1B">
        <w:t>subsidy to ameliorate rent increases, using surplus generated by commercial sale and market rental properties to support their</w:t>
      </w:r>
      <w:r>
        <w:t xml:space="preserve"> core</w:t>
      </w:r>
      <w:r w:rsidR="00055B1B">
        <w:t xml:space="preserve"> social operations. By </w:t>
      </w:r>
      <w:r w:rsidR="003075FF">
        <w:t>drawing on Homes and Communities Agency data on</w:t>
      </w:r>
      <w:r w:rsidR="00055B1B">
        <w:t xml:space="preserve"> Housing Association operations</w:t>
      </w:r>
      <w:r w:rsidR="009E4026">
        <w:t xml:space="preserve"> </w:t>
      </w:r>
      <w:r w:rsidR="003075FF">
        <w:t xml:space="preserve">from </w:t>
      </w:r>
      <w:r w:rsidR="009E4026">
        <w:t>2015-17</w:t>
      </w:r>
      <w:r w:rsidR="00055B1B">
        <w:t>, I present</w:t>
      </w:r>
      <w:r w:rsidR="00207957" w:rsidRPr="00207957">
        <w:t xml:space="preserve"> </w:t>
      </w:r>
      <w:r w:rsidR="00207957">
        <w:t>a regression analysis that demonstrates the significant influence of a London location on the turn to cross-subsidy, and</w:t>
      </w:r>
      <w:r w:rsidR="00055B1B">
        <w:t xml:space="preserve"> descripti</w:t>
      </w:r>
      <w:r w:rsidR="009E4026">
        <w:t>ve</w:t>
      </w:r>
      <w:r w:rsidR="00055B1B">
        <w:t xml:space="preserve"> statistics </w:t>
      </w:r>
      <w:r w:rsidR="00207957">
        <w:t>that unpack relevant contextual factors</w:t>
      </w:r>
      <w:r w:rsidR="00055B1B">
        <w:t xml:space="preserve">. I </w:t>
      </w:r>
      <w:r w:rsidR="00207957">
        <w:t>characterise</w:t>
      </w:r>
      <w:r w:rsidR="00055B1B">
        <w:t xml:space="preserve"> this </w:t>
      </w:r>
      <w:r>
        <w:t xml:space="preserve">spatial </w:t>
      </w:r>
      <w:r w:rsidR="00055B1B">
        <w:t>variation</w:t>
      </w:r>
      <w:r>
        <w:t xml:space="preserve"> in Associations’ responses to the AHP</w:t>
      </w:r>
      <w:r w:rsidR="00055B1B">
        <w:t xml:space="preserve"> as asymmetric marketization</w:t>
      </w:r>
      <w:r w:rsidR="003075FF">
        <w:t xml:space="preserve">, with local </w:t>
      </w:r>
      <w:r w:rsidR="00DE751D">
        <w:t>economic conditions</w:t>
      </w:r>
      <w:r w:rsidR="003075FF">
        <w:t xml:space="preserve"> having conditioned the </w:t>
      </w:r>
      <w:r w:rsidR="00AD05CE">
        <w:t>manner in which</w:t>
      </w:r>
      <w:r w:rsidR="003075FF">
        <w:t xml:space="preserve"> these non-state providers of welfare goods </w:t>
      </w:r>
      <w:r w:rsidR="00AD05CE">
        <w:t>engage with</w:t>
      </w:r>
      <w:r w:rsidR="003075FF">
        <w:t xml:space="preserve"> market-based mechanisms</w:t>
      </w:r>
      <w:r w:rsidR="00AD05CE">
        <w:t xml:space="preserve">. </w:t>
      </w:r>
    </w:p>
    <w:p w:rsidR="003B6F4D" w:rsidRDefault="003B6F4D" w:rsidP="007C557C">
      <w:pPr>
        <w:pStyle w:val="Header"/>
        <w:tabs>
          <w:tab w:val="clear" w:pos="4513"/>
          <w:tab w:val="center" w:pos="1134"/>
        </w:tabs>
        <w:spacing w:line="480" w:lineRule="auto"/>
      </w:pPr>
    </w:p>
    <w:p w:rsidR="0000763D" w:rsidRDefault="00AD05CE" w:rsidP="007C557C">
      <w:pPr>
        <w:pStyle w:val="Header"/>
        <w:tabs>
          <w:tab w:val="clear" w:pos="4513"/>
          <w:tab w:val="center" w:pos="1134"/>
        </w:tabs>
        <w:spacing w:line="480" w:lineRule="auto"/>
      </w:pPr>
      <w:r>
        <w:lastRenderedPageBreak/>
        <w:t>In conditioning London-based Associations’ turn toward commercial cross-subsidy, the region’s buoyant housing market provided ‘push’ and ‘pull’ factors that were less pre</w:t>
      </w:r>
      <w:r w:rsidR="007A1FD5">
        <w:t>valent</w:t>
      </w:r>
      <w:r>
        <w:t xml:space="preserve"> elsewhere</w:t>
      </w:r>
      <w:r w:rsidR="00B51AF9">
        <w:t xml:space="preserve">. </w:t>
      </w:r>
      <w:r w:rsidR="003B6F4D">
        <w:t>H</w:t>
      </w:r>
      <w:r w:rsidR="00B51AF9">
        <w:t>igh prevailing rents provided a significant push factor, with Associations fearing that a move toward such rates would undercut their social mission of providing affordable housing to tenants priced-out from the local market</w:t>
      </w:r>
      <w:r w:rsidR="003B6F4D">
        <w:t>. H</w:t>
      </w:r>
      <w:r w:rsidR="00B51AF9">
        <w:t>igh sale</w:t>
      </w:r>
      <w:r w:rsidR="00BD14E7">
        <w:t>s</w:t>
      </w:r>
      <w:r w:rsidR="00B51AF9">
        <w:t xml:space="preserve"> </w:t>
      </w:r>
      <w:r w:rsidR="003B6F4D">
        <w:t>prices provided a significant pull factor, allowing Associations</w:t>
      </w:r>
      <w:r>
        <w:t xml:space="preserve"> </w:t>
      </w:r>
      <w:r w:rsidR="003B6F4D">
        <w:t>to generate substantial returns on commercial sales of new-build property. Beyond the spa</w:t>
      </w:r>
      <w:r w:rsidR="0050246F">
        <w:t>t</w:t>
      </w:r>
      <w:r w:rsidR="003B6F4D">
        <w:t xml:space="preserve">ially-specific influence of local market context, Associations’ </w:t>
      </w:r>
      <w:r w:rsidR="00DE751D">
        <w:t>turn to commercial cross-subsidy</w:t>
      </w:r>
      <w:r w:rsidR="003B6F4D">
        <w:t xml:space="preserve"> was also significantly related to organisation size, and prior experience with new-build construction.  </w:t>
      </w:r>
      <w:r w:rsidR="00324B4A">
        <w:t xml:space="preserve"> </w:t>
      </w:r>
    </w:p>
    <w:p w:rsidR="0000763D" w:rsidRDefault="0000763D" w:rsidP="007C557C">
      <w:pPr>
        <w:pStyle w:val="Header"/>
        <w:tabs>
          <w:tab w:val="clear" w:pos="4513"/>
          <w:tab w:val="center" w:pos="1134"/>
        </w:tabs>
        <w:spacing w:line="480" w:lineRule="auto"/>
      </w:pPr>
    </w:p>
    <w:p w:rsidR="00201DE4" w:rsidRDefault="006A2222" w:rsidP="0037051D">
      <w:pPr>
        <w:pStyle w:val="Header"/>
        <w:tabs>
          <w:tab w:val="clear" w:pos="4513"/>
          <w:tab w:val="center" w:pos="1134"/>
        </w:tabs>
        <w:spacing w:line="480" w:lineRule="auto"/>
      </w:pPr>
      <w:r>
        <w:t>Driven by these findings</w:t>
      </w:r>
      <w:r w:rsidR="00674D08">
        <w:t xml:space="preserve"> on </w:t>
      </w:r>
      <w:r w:rsidR="00DE751D">
        <w:t>asymmetric marketisation</w:t>
      </w:r>
      <w:r w:rsidR="009E4026">
        <w:t xml:space="preserve">, </w:t>
      </w:r>
      <w:r w:rsidR="0032690C">
        <w:t xml:space="preserve">through the paper </w:t>
      </w:r>
      <w:r w:rsidR="009E4026">
        <w:t xml:space="preserve">I present a case for building bridges between </w:t>
      </w:r>
      <w:r w:rsidR="003B6F4D">
        <w:t>scholarship within Economic Geography and Political Science</w:t>
      </w:r>
      <w:r w:rsidR="009E4026">
        <w:t xml:space="preserve">. Economic Geography literature has displayed a prominent interest in </w:t>
      </w:r>
      <w:r>
        <w:t xml:space="preserve">sub-national </w:t>
      </w:r>
      <w:r w:rsidR="009E4026">
        <w:t>spatial variation of state-market relationships</w:t>
      </w:r>
      <w:r w:rsidR="00DA2544">
        <w:t>.</w:t>
      </w:r>
      <w:r w:rsidR="007D7687">
        <w:t xml:space="preserve"> </w:t>
      </w:r>
      <w:r w:rsidR="0080299A">
        <w:t>However, within this literature levels of abstraction can remain high</w:t>
      </w:r>
      <w:r w:rsidR="00DA2544">
        <w:t>, and the tendency to characterise prevailing constellations as ‘neoliberal’ can direct attention from ‘within-type’ variation in modes of marketisation</w:t>
      </w:r>
      <w:r w:rsidR="006B5221">
        <w:t xml:space="preserve">. </w:t>
      </w:r>
      <w:r>
        <w:t xml:space="preserve">In contrast, </w:t>
      </w:r>
      <w:r w:rsidR="006B5221">
        <w:t>Political Science liter</w:t>
      </w:r>
      <w:r>
        <w:t xml:space="preserve">ature on the regulatory </w:t>
      </w:r>
      <w:r w:rsidR="006B5221">
        <w:t>state</w:t>
      </w:r>
      <w:r>
        <w:t xml:space="preserve"> </w:t>
      </w:r>
      <w:r w:rsidR="00DE751D">
        <w:t xml:space="preserve">offers useful disaggregation of modes </w:t>
      </w:r>
      <w:r w:rsidR="00674D08">
        <w:t>of marketization</w:t>
      </w:r>
      <w:r w:rsidR="00DE751D">
        <w:t xml:space="preserve">, but </w:t>
      </w:r>
      <w:r>
        <w:t xml:space="preserve">does not place sustained attention to sub-national spatial variation in state-market relationships. Through the concept of asymmetric marketization, I aim to refine the focus on spatial variation in Political Science literature on the regulatory state, and the </w:t>
      </w:r>
      <w:r w:rsidR="008470C0">
        <w:t xml:space="preserve">focus on </w:t>
      </w:r>
      <w:r w:rsidR="00DE751D">
        <w:t>differential modes of marketisation</w:t>
      </w:r>
      <w:r w:rsidR="008470C0">
        <w:t xml:space="preserve"> in Economic Geography literature on neoliberalism</w:t>
      </w:r>
      <w:r w:rsidR="00DE751D">
        <w:t xml:space="preserve"> and state transformation</w:t>
      </w:r>
      <w:r w:rsidR="008470C0">
        <w:t>.</w:t>
      </w:r>
    </w:p>
    <w:p w:rsidR="009F315F" w:rsidRDefault="009F315F" w:rsidP="007C557C">
      <w:pPr>
        <w:pStyle w:val="Header"/>
        <w:tabs>
          <w:tab w:val="clear" w:pos="4513"/>
          <w:tab w:val="center" w:pos="1134"/>
        </w:tabs>
        <w:spacing w:line="480" w:lineRule="auto"/>
      </w:pPr>
    </w:p>
    <w:p w:rsidR="00E054C1" w:rsidRDefault="00E50D1C" w:rsidP="00040F79">
      <w:pPr>
        <w:pStyle w:val="Header"/>
        <w:tabs>
          <w:tab w:val="clear" w:pos="4513"/>
          <w:tab w:val="center" w:pos="1134"/>
        </w:tabs>
        <w:spacing w:line="480" w:lineRule="auto"/>
      </w:pPr>
      <w:r>
        <w:t>I</w:t>
      </w:r>
      <w:r w:rsidR="007B5C37">
        <w:t xml:space="preserve">n </w:t>
      </w:r>
      <w:r>
        <w:t>identifying and exploring this manifestation of asymmetric marketization</w:t>
      </w:r>
      <w:r w:rsidR="007B5C37">
        <w:t xml:space="preserve">, I develop my line of analysis through the following structure. In the first section below, I present the </w:t>
      </w:r>
      <w:r w:rsidR="007A1FD5">
        <w:t xml:space="preserve">engagement </w:t>
      </w:r>
      <w:r w:rsidR="00711AB3">
        <w:t xml:space="preserve">that is prompted by this case study </w:t>
      </w:r>
      <w:r w:rsidR="007A1FD5">
        <w:t xml:space="preserve">with </w:t>
      </w:r>
      <w:r w:rsidR="007B5C37">
        <w:t xml:space="preserve">Economic Geography literature on spatially-differentiated </w:t>
      </w:r>
      <w:r w:rsidR="006E49A0">
        <w:t>state-society constellations</w:t>
      </w:r>
      <w:r w:rsidR="00674D08">
        <w:t xml:space="preserve"> and</w:t>
      </w:r>
      <w:r w:rsidR="00674D08" w:rsidRPr="00674D08">
        <w:t xml:space="preserve"> </w:t>
      </w:r>
      <w:r w:rsidR="00674D08">
        <w:t>Political Science literature on the regulatory state</w:t>
      </w:r>
      <w:r w:rsidR="00040F79">
        <w:t xml:space="preserve">. Through the second </w:t>
      </w:r>
      <w:r w:rsidR="00040F79">
        <w:lastRenderedPageBreak/>
        <w:t>section</w:t>
      </w:r>
      <w:r w:rsidR="007A1FD5">
        <w:t>,</w:t>
      </w:r>
      <w:r w:rsidR="00040F79">
        <w:t xml:space="preserve"> I </w:t>
      </w:r>
      <w:r w:rsidR="00E054C1">
        <w:t xml:space="preserve">present an </w:t>
      </w:r>
      <w:r>
        <w:t xml:space="preserve">introduction </w:t>
      </w:r>
      <w:r w:rsidR="00563CF1">
        <w:t xml:space="preserve">both </w:t>
      </w:r>
      <w:r>
        <w:t>to</w:t>
      </w:r>
      <w:r w:rsidR="00E054C1">
        <w:t xml:space="preserve"> Housing Associations</w:t>
      </w:r>
      <w:r w:rsidR="00563CF1">
        <w:t>’ role</w:t>
      </w:r>
      <w:r w:rsidR="00E054C1">
        <w:t xml:space="preserve"> </w:t>
      </w:r>
      <w:r w:rsidR="00563CF1">
        <w:t>in</w:t>
      </w:r>
      <w:r w:rsidR="00E054C1">
        <w:t xml:space="preserve"> the </w:t>
      </w:r>
      <w:r w:rsidR="00BF67D3">
        <w:t xml:space="preserve">English </w:t>
      </w:r>
      <w:r w:rsidR="003D1B33">
        <w:t>social rental sector</w:t>
      </w:r>
      <w:r w:rsidR="00563CF1">
        <w:t>, and to the 2011 Affordable Homes Programme</w:t>
      </w:r>
      <w:r w:rsidR="001D524B">
        <w:t>.</w:t>
      </w:r>
      <w:r w:rsidR="00040F79">
        <w:t xml:space="preserve"> I then in the third section </w:t>
      </w:r>
      <w:r w:rsidR="006E49A0">
        <w:t xml:space="preserve">provide </w:t>
      </w:r>
      <w:r>
        <w:t>an overview</w:t>
      </w:r>
      <w:r w:rsidR="008470C0">
        <w:t xml:space="preserve"> </w:t>
      </w:r>
      <w:r>
        <w:t xml:space="preserve">of </w:t>
      </w:r>
      <w:r w:rsidR="00563CF1">
        <w:t>the regression analysis.</w:t>
      </w:r>
      <w:r w:rsidR="00563CF1" w:rsidRPr="00563CF1">
        <w:t xml:space="preserve"> </w:t>
      </w:r>
      <w:r w:rsidR="00563CF1">
        <w:t xml:space="preserve">By adding information on location to Homes and Communities Agency data on </w:t>
      </w:r>
      <w:r w:rsidR="00BD14E7">
        <w:t>Housing Association</w:t>
      </w:r>
      <w:r w:rsidR="00563CF1">
        <w:t xml:space="preserve">s’ financial accounts, I am able through the regression to demonstate that being located in London has a significant influence on the turn to commercial cross-subsidy. Through this section, I also draw on </w:t>
      </w:r>
      <w:r w:rsidR="008470C0">
        <w:t xml:space="preserve">descriptive statistics </w:t>
      </w:r>
      <w:r w:rsidR="00563CF1">
        <w:t xml:space="preserve">to identify relevant contextual factors that underpin these </w:t>
      </w:r>
      <w:r w:rsidR="006E49A0">
        <w:t>patterns of</w:t>
      </w:r>
      <w:r w:rsidR="008470C0">
        <w:t xml:space="preserve"> regional variation</w:t>
      </w:r>
      <w:r w:rsidR="00A241A5">
        <w:t>.</w:t>
      </w:r>
      <w:r w:rsidR="003D1B33">
        <w:t xml:space="preserve"> </w:t>
      </w:r>
      <w:r w:rsidR="00E054C1">
        <w:t>I conclude the paper by providing</w:t>
      </w:r>
      <w:r w:rsidR="007A1FD5">
        <w:t xml:space="preserve"> r</w:t>
      </w:r>
      <w:r w:rsidR="003F21E0">
        <w:t>eflection</w:t>
      </w:r>
      <w:r w:rsidR="009915FA">
        <w:t>s</w:t>
      </w:r>
      <w:r w:rsidR="003F21E0">
        <w:t xml:space="preserve"> on </w:t>
      </w:r>
      <w:r w:rsidR="007A1FD5">
        <w:t xml:space="preserve">the </w:t>
      </w:r>
      <w:r w:rsidR="009915FA">
        <w:t>changes in Housing Assoc</w:t>
      </w:r>
      <w:r w:rsidR="0026720D">
        <w:t>i</w:t>
      </w:r>
      <w:r w:rsidR="009915FA">
        <w:t>ation practice highlighted in the paper</w:t>
      </w:r>
      <w:r w:rsidR="003F21E0">
        <w:t xml:space="preserve">, and </w:t>
      </w:r>
      <w:r w:rsidR="007A1FD5">
        <w:t>exploring</w:t>
      </w:r>
      <w:r w:rsidR="003F21E0">
        <w:t xml:space="preserve"> the </w:t>
      </w:r>
      <w:r w:rsidR="009915FA">
        <w:t xml:space="preserve">wider </w:t>
      </w:r>
      <w:r w:rsidR="007C353C">
        <w:t xml:space="preserve">value-added </w:t>
      </w:r>
      <w:r w:rsidR="009915FA">
        <w:t>from the concept of asymmetric marketisation</w:t>
      </w:r>
      <w:r w:rsidR="00E054C1">
        <w:t xml:space="preserve">. </w:t>
      </w:r>
      <w:r w:rsidR="002865E3">
        <w:t>Given disquiet over the impact of the increased reliance of social housing provision on market-based mechanisms in the (London region of the) English</w:t>
      </w:r>
      <w:r w:rsidR="00E054C1">
        <w:t xml:space="preserve"> </w:t>
      </w:r>
      <w:r w:rsidR="002865E3">
        <w:t>system, and the potential for the practice to gain traction elsewhere, it is important for further scholarship to explore this intersection of space, markets, and welfare provision.</w:t>
      </w:r>
      <w:r w:rsidR="00E054C1">
        <w:t xml:space="preserve">   </w:t>
      </w:r>
      <w:r w:rsidR="00E054C1">
        <w:tab/>
      </w:r>
    </w:p>
    <w:p w:rsidR="00E054C1" w:rsidRDefault="00E054C1" w:rsidP="00862343">
      <w:pPr>
        <w:pStyle w:val="Header"/>
        <w:spacing w:line="480" w:lineRule="auto"/>
        <w:rPr>
          <w:u w:val="single"/>
        </w:rPr>
      </w:pPr>
    </w:p>
    <w:p w:rsidR="003D1B33" w:rsidRDefault="0088467E" w:rsidP="00862343">
      <w:pPr>
        <w:pStyle w:val="Header"/>
        <w:tabs>
          <w:tab w:val="clear" w:pos="4513"/>
          <w:tab w:val="left" w:pos="851"/>
        </w:tabs>
        <w:spacing w:line="480" w:lineRule="auto"/>
        <w:mirrorIndents/>
        <w:rPr>
          <w:u w:val="single"/>
        </w:rPr>
      </w:pPr>
      <w:r>
        <w:rPr>
          <w:u w:val="single"/>
        </w:rPr>
        <w:t>Situating asymmetric marketization</w:t>
      </w:r>
    </w:p>
    <w:p w:rsidR="0088467E" w:rsidRDefault="007C2E58" w:rsidP="00862343">
      <w:pPr>
        <w:pStyle w:val="Header"/>
        <w:tabs>
          <w:tab w:val="clear" w:pos="4513"/>
          <w:tab w:val="left" w:pos="851"/>
        </w:tabs>
        <w:spacing w:line="480" w:lineRule="auto"/>
        <w:mirrorIndents/>
      </w:pPr>
      <w:r>
        <w:t>The identific</w:t>
      </w:r>
      <w:r w:rsidR="000B35B2">
        <w:t xml:space="preserve">ation of </w:t>
      </w:r>
      <w:r w:rsidR="00FD719E">
        <w:t xml:space="preserve">asymmetric marketization </w:t>
      </w:r>
      <w:r>
        <w:t xml:space="preserve">within the English social housing sector constitutes the core conceptual contribution from this study. </w:t>
      </w:r>
      <w:r w:rsidR="00674D08">
        <w:t xml:space="preserve">I define asymmetric marketization as </w:t>
      </w:r>
      <w:r w:rsidR="00674D08" w:rsidRPr="002A354C">
        <w:rPr>
          <w:i/>
        </w:rPr>
        <w:t xml:space="preserve">spatial variation in the </w:t>
      </w:r>
      <w:r w:rsidR="0044114D" w:rsidRPr="002A354C">
        <w:rPr>
          <w:i/>
        </w:rPr>
        <w:t>mix of market and non-market mechanisms used to support the delivery of a</w:t>
      </w:r>
      <w:r w:rsidR="00D46A59">
        <w:rPr>
          <w:i/>
        </w:rPr>
        <w:t xml:space="preserve"> given</w:t>
      </w:r>
      <w:r w:rsidR="0044114D" w:rsidRPr="002A354C">
        <w:rPr>
          <w:i/>
        </w:rPr>
        <w:t xml:space="preserve"> welfare good</w:t>
      </w:r>
      <w:r w:rsidR="0044114D">
        <w:t xml:space="preserve">. In the context of the case study of social housing in England, Housing Association revenue from commercial residential sale and rental operations are taken to constitute ‘market mechanisms’, revenue from social rental operational to constitute a non-market mechanism, and the supply of social rental accommodation to constitute a welfare good. </w:t>
      </w:r>
      <w:r w:rsidR="00D46A59">
        <w:t xml:space="preserve">The concept both builds from and bridges between Economic Geography scholarship on spatially-variegated state-market constellations, and Political Science literature that explores variation in modes of marketization in </w:t>
      </w:r>
      <w:r w:rsidR="00D46A59">
        <w:lastRenderedPageBreak/>
        <w:t xml:space="preserve">the delivery of welfare goods. </w:t>
      </w:r>
      <w:r w:rsidR="00E94F44">
        <w:t>In the paragraphs below, I situate the concept</w:t>
      </w:r>
      <w:r>
        <w:t xml:space="preserve"> </w:t>
      </w:r>
      <w:r w:rsidR="0044114D">
        <w:t xml:space="preserve">of asymmetric marketization </w:t>
      </w:r>
      <w:r>
        <w:t>in relation to these literature</w:t>
      </w:r>
      <w:r w:rsidR="000B35B2">
        <w:t>s</w:t>
      </w:r>
      <w:r w:rsidR="00E94F44">
        <w:t>.</w:t>
      </w:r>
    </w:p>
    <w:p w:rsidR="00FD719E" w:rsidRDefault="00FD719E" w:rsidP="00862343">
      <w:pPr>
        <w:pStyle w:val="Header"/>
        <w:tabs>
          <w:tab w:val="clear" w:pos="4513"/>
          <w:tab w:val="left" w:pos="851"/>
        </w:tabs>
        <w:spacing w:line="480" w:lineRule="auto"/>
        <w:mirrorIndents/>
      </w:pPr>
    </w:p>
    <w:p w:rsidR="00320CC2" w:rsidRDefault="00E94F44" w:rsidP="00E94F44">
      <w:pPr>
        <w:pStyle w:val="Header"/>
        <w:tabs>
          <w:tab w:val="clear" w:pos="4513"/>
          <w:tab w:val="left" w:pos="851"/>
        </w:tabs>
        <w:spacing w:line="480" w:lineRule="auto"/>
        <w:mirrorIndents/>
      </w:pPr>
      <w:r>
        <w:rPr>
          <w:color w:val="222222"/>
        </w:rPr>
        <w:t xml:space="preserve">The relationship between state, economy, and space is a core focus of </w:t>
      </w:r>
      <w:r w:rsidR="007C2E58">
        <w:rPr>
          <w:color w:val="222222"/>
        </w:rPr>
        <w:t>scholarship</w:t>
      </w:r>
      <w:r>
        <w:rPr>
          <w:color w:val="222222"/>
        </w:rPr>
        <w:t xml:space="preserve"> within Economic Geography. </w:t>
      </w:r>
      <w:r w:rsidR="00305355">
        <w:rPr>
          <w:color w:val="222222"/>
        </w:rPr>
        <w:t>Through the early-2000s</w:t>
      </w:r>
      <w:r w:rsidR="00EE2FD9">
        <w:rPr>
          <w:color w:val="222222"/>
        </w:rPr>
        <w:t>,</w:t>
      </w:r>
      <w:r w:rsidR="00503997">
        <w:rPr>
          <w:color w:val="222222"/>
        </w:rPr>
        <w:t xml:space="preserve"> </w:t>
      </w:r>
      <w:r w:rsidR="00305355">
        <w:rPr>
          <w:color w:val="222222"/>
        </w:rPr>
        <w:t xml:space="preserve">this subject of investigation was often framed through </w:t>
      </w:r>
      <w:r w:rsidR="00503997">
        <w:rPr>
          <w:color w:val="222222"/>
        </w:rPr>
        <w:t xml:space="preserve">debates over the </w:t>
      </w:r>
      <w:r w:rsidR="00305355">
        <w:rPr>
          <w:color w:val="222222"/>
        </w:rPr>
        <w:t>relative importance of states and markets</w:t>
      </w:r>
      <w:r w:rsidR="00EE2FD9">
        <w:rPr>
          <w:color w:val="222222"/>
        </w:rPr>
        <w:t xml:space="preserve">. </w:t>
      </w:r>
      <w:r w:rsidR="00322994">
        <w:rPr>
          <w:color w:val="222222"/>
        </w:rPr>
        <w:t>T</w:t>
      </w:r>
      <w:r w:rsidR="00EE2FD9">
        <w:rPr>
          <w:color w:val="222222"/>
        </w:rPr>
        <w:t xml:space="preserve">he prevailing view was that </w:t>
      </w:r>
      <w:r w:rsidR="00F12E56">
        <w:rPr>
          <w:color w:val="222222"/>
        </w:rPr>
        <w:t xml:space="preserve">changes to structures of and rules </w:t>
      </w:r>
      <w:r w:rsidR="00322994">
        <w:rPr>
          <w:color w:val="222222"/>
        </w:rPr>
        <w:t>on</w:t>
      </w:r>
      <w:r w:rsidR="00F12E56">
        <w:rPr>
          <w:color w:val="222222"/>
        </w:rPr>
        <w:t xml:space="preserve"> transnational finance and production had contributed to </w:t>
      </w:r>
      <w:r w:rsidR="00322994">
        <w:rPr>
          <w:color w:val="222222"/>
        </w:rPr>
        <w:t xml:space="preserve">states losing </w:t>
      </w:r>
      <w:r w:rsidR="00305355">
        <w:rPr>
          <w:color w:val="222222"/>
        </w:rPr>
        <w:t xml:space="preserve">power </w:t>
      </w:r>
      <w:r w:rsidR="00322994">
        <w:rPr>
          <w:color w:val="222222"/>
        </w:rPr>
        <w:t>to market actors</w:t>
      </w:r>
      <w:r w:rsidR="00F12E56">
        <w:rPr>
          <w:color w:val="222222"/>
        </w:rPr>
        <w:t xml:space="preserve">, </w:t>
      </w:r>
      <w:r w:rsidR="00322994">
        <w:rPr>
          <w:color w:val="222222"/>
        </w:rPr>
        <w:t xml:space="preserve">although </w:t>
      </w:r>
      <w:r w:rsidR="00F12E56">
        <w:rPr>
          <w:color w:val="222222"/>
        </w:rPr>
        <w:t>evaluations remained contested (Scott 2000: 493-4)</w:t>
      </w:r>
      <w:r w:rsidR="0042029A">
        <w:rPr>
          <w:color w:val="222222"/>
        </w:rPr>
        <w:t>.</w:t>
      </w:r>
      <w:r w:rsidR="00F12E56">
        <w:rPr>
          <w:color w:val="222222"/>
        </w:rPr>
        <w:t xml:space="preserve"> </w:t>
      </w:r>
      <w:r w:rsidR="002B1FD6">
        <w:rPr>
          <w:color w:val="222222"/>
        </w:rPr>
        <w:t xml:space="preserve">Within this body of literature, ‘neoliberalism’ rapidly emerged as a central organising concept. </w:t>
      </w:r>
      <w:r w:rsidR="00C236EA">
        <w:rPr>
          <w:color w:val="222222"/>
        </w:rPr>
        <w:t xml:space="preserve">In this regard, </w:t>
      </w:r>
      <w:r w:rsidR="002B1FD6">
        <w:rPr>
          <w:color w:val="222222"/>
        </w:rPr>
        <w:t>Springer (</w:t>
      </w:r>
      <w:r w:rsidR="00C236EA">
        <w:rPr>
          <w:color w:val="222222"/>
        </w:rPr>
        <w:t xml:space="preserve">2010: </w:t>
      </w:r>
      <w:r w:rsidR="002B1FD6">
        <w:rPr>
          <w:color w:val="222222"/>
        </w:rPr>
        <w:t>1025) noted the ‘remarkable pervasiveness’ of the term within Economic Geography scholarship</w:t>
      </w:r>
      <w:r w:rsidR="00320CC2">
        <w:rPr>
          <w:color w:val="222222"/>
        </w:rPr>
        <w:t xml:space="preserve">, </w:t>
      </w:r>
      <w:r w:rsidR="00322994">
        <w:rPr>
          <w:color w:val="222222"/>
        </w:rPr>
        <w:t>with</w:t>
      </w:r>
      <w:r w:rsidR="00320CC2">
        <w:rPr>
          <w:color w:val="222222"/>
        </w:rPr>
        <w:t xml:space="preserve"> the field </w:t>
      </w:r>
      <w:r w:rsidR="00322994">
        <w:rPr>
          <w:color w:val="222222"/>
        </w:rPr>
        <w:t>in</w:t>
      </w:r>
      <w:r w:rsidR="00320CC2">
        <w:rPr>
          <w:color w:val="222222"/>
        </w:rPr>
        <w:t xml:space="preserve"> the course of a decade orient</w:t>
      </w:r>
      <w:r w:rsidR="00322994">
        <w:rPr>
          <w:color w:val="222222"/>
        </w:rPr>
        <w:t>ing</w:t>
      </w:r>
      <w:r w:rsidR="00320CC2">
        <w:rPr>
          <w:color w:val="222222"/>
        </w:rPr>
        <w:t xml:space="preserve"> itself </w:t>
      </w:r>
      <w:r w:rsidR="00322994">
        <w:rPr>
          <w:color w:val="222222"/>
        </w:rPr>
        <w:t>around this</w:t>
      </w:r>
      <w:r w:rsidR="00320CC2">
        <w:rPr>
          <w:color w:val="222222"/>
        </w:rPr>
        <w:t xml:space="preserve"> study of ‘</w:t>
      </w:r>
      <w:r w:rsidR="00320CC2">
        <w:t>a new political, economic, and social arrangement emphasizing market relations, minimal states, and individual responsibility’.</w:t>
      </w:r>
    </w:p>
    <w:p w:rsidR="00320CC2" w:rsidRDefault="00320CC2" w:rsidP="00E94F44">
      <w:pPr>
        <w:pStyle w:val="Header"/>
        <w:tabs>
          <w:tab w:val="clear" w:pos="4513"/>
          <w:tab w:val="left" w:pos="851"/>
        </w:tabs>
        <w:spacing w:line="480" w:lineRule="auto"/>
        <w:mirrorIndents/>
      </w:pPr>
    </w:p>
    <w:p w:rsidR="002B1FD6" w:rsidRDefault="00320CC2" w:rsidP="00E94F44">
      <w:pPr>
        <w:pStyle w:val="Header"/>
        <w:tabs>
          <w:tab w:val="clear" w:pos="4513"/>
          <w:tab w:val="left" w:pos="851"/>
        </w:tabs>
        <w:spacing w:line="480" w:lineRule="auto"/>
        <w:mirrorIndents/>
        <w:rPr>
          <w:color w:val="222222"/>
        </w:rPr>
      </w:pPr>
      <w:r>
        <w:t xml:space="preserve">From the early stages of </w:t>
      </w:r>
      <w:r w:rsidR="000C3CF0">
        <w:t>these moves to interrogate</w:t>
      </w:r>
      <w:r>
        <w:t xml:space="preserve"> the theory and practice of neoliberalism, interventions have sought to probe the importance of space and spatial variation. Perhaps most prominently, Peck and Tickell (2002: 388) advanced the position that </w:t>
      </w:r>
      <w:r w:rsidR="000C3CF0">
        <w:t xml:space="preserve">in order to gain traction over the phenomenon of ‘neoliberalism’, it was necessary to incorporate analysis of ‘local neoliberalisms’. In their study of the North Atlantic neoliberal </w:t>
      </w:r>
      <w:r w:rsidR="000C3CF0" w:rsidRPr="002A354C">
        <w:rPr>
          <w:i/>
        </w:rPr>
        <w:t>genus</w:t>
      </w:r>
      <w:r w:rsidR="000C3CF0">
        <w:t xml:space="preserve">, Peck and Tickell argued that </w:t>
      </w:r>
      <w:r w:rsidR="00443F8F">
        <w:t>while localised manifestations of neoliberalism could exhibit substantial variation,</w:t>
      </w:r>
      <w:r w:rsidR="000C3CF0">
        <w:t xml:space="preserve"> </w:t>
      </w:r>
      <w:r w:rsidR="00633AF8">
        <w:t>overarching</w:t>
      </w:r>
      <w:r w:rsidR="000C3CF0">
        <w:t xml:space="preserve"> networks and structures provided significant constraint. Overall, Peck and Tickell (2002: </w:t>
      </w:r>
      <w:r w:rsidR="005C45F7">
        <w:t>384) emphasise</w:t>
      </w:r>
      <w:r w:rsidR="0048108B">
        <w:t>d</w:t>
      </w:r>
      <w:r w:rsidR="005C45F7">
        <w:t xml:space="preserve"> the family resemblance</w:t>
      </w:r>
      <w:r w:rsidR="00443F8F">
        <w:t xml:space="preserve"> in</w:t>
      </w:r>
      <w:r w:rsidR="005C45F7">
        <w:t xml:space="preserve"> Anglo-American neoliberalism</w:t>
      </w:r>
      <w:r w:rsidR="00443F8F">
        <w:t>, which they characterise</w:t>
      </w:r>
      <w:r w:rsidR="0048108B">
        <w:t>d</w:t>
      </w:r>
      <w:r w:rsidR="005C45F7">
        <w:t xml:space="preserve"> as</w:t>
      </w:r>
      <w:r w:rsidR="00443F8F">
        <w:t xml:space="preserve"> having entered</w:t>
      </w:r>
      <w:r w:rsidR="005C45F7">
        <w:t xml:space="preserve"> a ‘roll-out’ </w:t>
      </w:r>
      <w:r w:rsidR="00443F8F">
        <w:t xml:space="preserve">phase </w:t>
      </w:r>
      <w:r w:rsidR="005C45F7">
        <w:t xml:space="preserve">‘focused on the purposeful construction and consolidation of neoliberalized state forms, modes of governance, and regulatory relations’. Parallel </w:t>
      </w:r>
      <w:r w:rsidR="00443F8F">
        <w:t xml:space="preserve">reflections on the tension between localised difference and </w:t>
      </w:r>
      <w:r w:rsidR="00790FBD">
        <w:t>overarching</w:t>
      </w:r>
      <w:r w:rsidR="00443F8F">
        <w:t xml:space="preserve"> structures of constraint</w:t>
      </w:r>
      <w:r w:rsidR="005C45F7">
        <w:t xml:space="preserve"> are presented by Brenner and </w:t>
      </w:r>
      <w:r w:rsidR="005C45F7">
        <w:lastRenderedPageBreak/>
        <w:t>Theodore. When evaluating the nature of ‘actually-existing’ neoliberalism, Brenner and Theodore (2002: 372)</w:t>
      </w:r>
      <w:r w:rsidR="00F26E1F">
        <w:t xml:space="preserve"> suggest that local difference is being crowded-out by a homogenous form of marketization</w:t>
      </w:r>
      <w:r w:rsidR="00443F8F">
        <w:t>.</w:t>
      </w:r>
      <w:r w:rsidR="00790FBD">
        <w:t xml:space="preserve"> For Brenner and Theodore, as for Peck and Tickell, local manifestations of neoliberalism tended to be marked more by similarity than by difference.</w:t>
      </w:r>
    </w:p>
    <w:p w:rsidR="002B1FD6" w:rsidRDefault="002B1FD6" w:rsidP="00E94F44">
      <w:pPr>
        <w:pStyle w:val="Header"/>
        <w:tabs>
          <w:tab w:val="clear" w:pos="4513"/>
          <w:tab w:val="left" w:pos="851"/>
        </w:tabs>
        <w:spacing w:line="480" w:lineRule="auto"/>
        <w:mirrorIndents/>
        <w:rPr>
          <w:color w:val="222222"/>
        </w:rPr>
      </w:pPr>
    </w:p>
    <w:p w:rsidR="00F26E1F" w:rsidRDefault="009D3282" w:rsidP="00583BD9">
      <w:pPr>
        <w:pStyle w:val="Header"/>
        <w:tabs>
          <w:tab w:val="clear" w:pos="4513"/>
          <w:tab w:val="left" w:pos="851"/>
        </w:tabs>
        <w:spacing w:line="480" w:lineRule="auto"/>
        <w:mirrorIndents/>
        <w:rPr>
          <w:color w:val="222222"/>
        </w:rPr>
      </w:pPr>
      <w:r>
        <w:rPr>
          <w:color w:val="222222"/>
        </w:rPr>
        <w:t xml:space="preserve">The introduction and exploration of the concept of ‘rescaling’ has helped advance </w:t>
      </w:r>
      <w:r w:rsidR="00BB34B5">
        <w:rPr>
          <w:color w:val="222222"/>
        </w:rPr>
        <w:t>discussion</w:t>
      </w:r>
      <w:r w:rsidR="0048108B">
        <w:rPr>
          <w:color w:val="222222"/>
        </w:rPr>
        <w:t xml:space="preserve"> within Economic Geography</w:t>
      </w:r>
      <w:r w:rsidR="00BB34B5">
        <w:rPr>
          <w:color w:val="222222"/>
        </w:rPr>
        <w:t xml:space="preserve"> over the relationship between space and transformation</w:t>
      </w:r>
      <w:r w:rsidR="0048108B">
        <w:rPr>
          <w:color w:val="222222"/>
        </w:rPr>
        <w:t>s in state-market relationships</w:t>
      </w:r>
      <w:r w:rsidR="00BB34B5">
        <w:rPr>
          <w:color w:val="222222"/>
        </w:rPr>
        <w:t>. Brenner et al (2003: 11) helped to direct attention to rescaling, as they argued that transfers of power to sub- and supra-national sites of authority were leading ‘</w:t>
      </w:r>
      <w:r w:rsidR="0042029A">
        <w:rPr>
          <w:color w:val="222222"/>
        </w:rPr>
        <w:t xml:space="preserve">the inherited geographies of the nation state’ </w:t>
      </w:r>
      <w:r w:rsidR="00BB34B5">
        <w:rPr>
          <w:color w:val="222222"/>
        </w:rPr>
        <w:t>to be</w:t>
      </w:r>
      <w:r w:rsidR="0042029A">
        <w:rPr>
          <w:color w:val="222222"/>
        </w:rPr>
        <w:t xml:space="preserve"> ‘transcended… [and] destabilised’. </w:t>
      </w:r>
      <w:r w:rsidR="0023606D">
        <w:rPr>
          <w:color w:val="222222"/>
        </w:rPr>
        <w:t xml:space="preserve">While a common conclusion </w:t>
      </w:r>
      <w:r w:rsidR="0048108B">
        <w:rPr>
          <w:color w:val="222222"/>
        </w:rPr>
        <w:t>on the politics of rescaling has been</w:t>
      </w:r>
      <w:r w:rsidR="0023606D">
        <w:rPr>
          <w:color w:val="222222"/>
        </w:rPr>
        <w:t xml:space="preserve"> that</w:t>
      </w:r>
      <w:r w:rsidR="00BB34B5">
        <w:rPr>
          <w:color w:val="222222"/>
        </w:rPr>
        <w:t xml:space="preserve"> the nation state </w:t>
      </w:r>
      <w:r w:rsidR="0023606D">
        <w:rPr>
          <w:color w:val="222222"/>
        </w:rPr>
        <w:t>retains its pre</w:t>
      </w:r>
      <w:r w:rsidR="00BF6452">
        <w:rPr>
          <w:color w:val="222222"/>
        </w:rPr>
        <w:t>-</w:t>
      </w:r>
      <w:r w:rsidR="0023606D">
        <w:rPr>
          <w:color w:val="222222"/>
        </w:rPr>
        <w:t>eminence</w:t>
      </w:r>
      <w:r w:rsidR="00BB34B5">
        <w:rPr>
          <w:color w:val="222222"/>
        </w:rPr>
        <w:t xml:space="preserve"> (cf. Bulkely 2005, Mansfield 2005</w:t>
      </w:r>
      <w:r w:rsidR="0023606D">
        <w:rPr>
          <w:color w:val="222222"/>
        </w:rPr>
        <w:t>, Magnusson 2010</w:t>
      </w:r>
      <w:r w:rsidR="00BB34B5">
        <w:rPr>
          <w:color w:val="222222"/>
        </w:rPr>
        <w:t>)</w:t>
      </w:r>
      <w:r w:rsidR="0023606D">
        <w:rPr>
          <w:color w:val="222222"/>
        </w:rPr>
        <w:t>, significant contributions have identified in particular the city as a site of authority (e.g</w:t>
      </w:r>
      <w:r w:rsidR="00BB34B5">
        <w:rPr>
          <w:color w:val="222222"/>
        </w:rPr>
        <w:t>.</w:t>
      </w:r>
      <w:r w:rsidR="0023606D">
        <w:rPr>
          <w:color w:val="222222"/>
        </w:rPr>
        <w:t xml:space="preserve"> Paul 2005</w:t>
      </w:r>
      <w:r w:rsidR="002B479E">
        <w:rPr>
          <w:color w:val="222222"/>
        </w:rPr>
        <w:t>, Jonas and Pincetl 2006</w:t>
      </w:r>
      <w:r w:rsidR="00402906">
        <w:rPr>
          <w:color w:val="222222"/>
        </w:rPr>
        <w:t>, Li 2015</w:t>
      </w:r>
      <w:r w:rsidR="0023606D">
        <w:rPr>
          <w:color w:val="222222"/>
        </w:rPr>
        <w:t xml:space="preserve">). </w:t>
      </w:r>
    </w:p>
    <w:p w:rsidR="00A665D8" w:rsidRDefault="00A665D8" w:rsidP="00583BD9">
      <w:pPr>
        <w:pStyle w:val="Header"/>
        <w:tabs>
          <w:tab w:val="clear" w:pos="4513"/>
          <w:tab w:val="left" w:pos="851"/>
        </w:tabs>
        <w:spacing w:line="480" w:lineRule="auto"/>
        <w:mirrorIndents/>
        <w:rPr>
          <w:color w:val="222222"/>
        </w:rPr>
      </w:pPr>
    </w:p>
    <w:p w:rsidR="00E94F44" w:rsidRDefault="00305DA4" w:rsidP="00583BD9">
      <w:pPr>
        <w:pStyle w:val="Header"/>
        <w:tabs>
          <w:tab w:val="clear" w:pos="4513"/>
          <w:tab w:val="left" w:pos="851"/>
        </w:tabs>
        <w:spacing w:line="480" w:lineRule="auto"/>
        <w:mirrorIndents/>
        <w:rPr>
          <w:color w:val="222222"/>
        </w:rPr>
      </w:pPr>
      <w:r>
        <w:rPr>
          <w:color w:val="222222"/>
        </w:rPr>
        <w:t xml:space="preserve">Donald et al (2014) present </w:t>
      </w:r>
      <w:r w:rsidR="00583BD9">
        <w:rPr>
          <w:color w:val="222222"/>
        </w:rPr>
        <w:t xml:space="preserve">cities, with their differential </w:t>
      </w:r>
      <w:r w:rsidR="00BF6452">
        <w:rPr>
          <w:color w:val="222222"/>
        </w:rPr>
        <w:t>socio-economic</w:t>
      </w:r>
      <w:r w:rsidR="00583BD9">
        <w:rPr>
          <w:color w:val="222222"/>
        </w:rPr>
        <w:t xml:space="preserve"> conditions and policy and institutional mixes,</w:t>
      </w:r>
      <w:r>
        <w:rPr>
          <w:color w:val="222222"/>
        </w:rPr>
        <w:t xml:space="preserve"> as an appropriate unit of analysis through which to explore austerity-era </w:t>
      </w:r>
      <w:r w:rsidR="00583BD9">
        <w:rPr>
          <w:color w:val="222222"/>
        </w:rPr>
        <w:t>transformation</w:t>
      </w:r>
      <w:r>
        <w:rPr>
          <w:color w:val="222222"/>
        </w:rPr>
        <w:t>.</w:t>
      </w:r>
      <w:r w:rsidR="0048108B">
        <w:rPr>
          <w:color w:val="222222"/>
        </w:rPr>
        <w:t xml:space="preserve"> </w:t>
      </w:r>
      <w:r w:rsidR="00F26E1F">
        <w:rPr>
          <w:color w:val="222222"/>
        </w:rPr>
        <w:t>T</w:t>
      </w:r>
      <w:r w:rsidR="0048108B">
        <w:rPr>
          <w:color w:val="222222"/>
        </w:rPr>
        <w:t>he challenge</w:t>
      </w:r>
      <w:r w:rsidR="00583BD9">
        <w:rPr>
          <w:color w:val="222222"/>
        </w:rPr>
        <w:t xml:space="preserve"> of effectively managing dissimilar metropolitan sites within an overarching national framework </w:t>
      </w:r>
      <w:r w:rsidR="00633AF8">
        <w:rPr>
          <w:color w:val="222222"/>
        </w:rPr>
        <w:t>is</w:t>
      </w:r>
      <w:r w:rsidR="00583BD9">
        <w:rPr>
          <w:color w:val="222222"/>
        </w:rPr>
        <w:t xml:space="preserve"> a recurrent theme of contemporary literature on the relationship between urban</w:t>
      </w:r>
      <w:r w:rsidR="00BF6452">
        <w:rPr>
          <w:color w:val="222222"/>
        </w:rPr>
        <w:t>-</w:t>
      </w:r>
      <w:r w:rsidR="00583BD9">
        <w:rPr>
          <w:color w:val="222222"/>
        </w:rPr>
        <w:t xml:space="preserve"> and state-based scales of governance (e.g. </w:t>
      </w:r>
      <w:r w:rsidR="00F842B1">
        <w:rPr>
          <w:color w:val="222222"/>
        </w:rPr>
        <w:t xml:space="preserve">Baldwin et al 2011, </w:t>
      </w:r>
      <w:r w:rsidR="00583BD9">
        <w:rPr>
          <w:color w:val="222222"/>
        </w:rPr>
        <w:t xml:space="preserve">Pares et al 2014, Wood and Alexander 2016, </w:t>
      </w:r>
      <w:r w:rsidR="00F842B1">
        <w:rPr>
          <w:color w:val="222222"/>
        </w:rPr>
        <w:t xml:space="preserve">Chapple 2018, Rodriguez-Pose and Wilkie 2018). </w:t>
      </w:r>
      <w:r w:rsidR="00F65E61">
        <w:rPr>
          <w:color w:val="222222"/>
        </w:rPr>
        <w:t xml:space="preserve">Reed and Bruyneel (2010) note that variation in material </w:t>
      </w:r>
      <w:r w:rsidR="00560139">
        <w:rPr>
          <w:color w:val="222222"/>
        </w:rPr>
        <w:t>factors</w:t>
      </w:r>
      <w:r w:rsidR="00F65E61">
        <w:rPr>
          <w:color w:val="222222"/>
        </w:rPr>
        <w:t xml:space="preserve"> contribute to the creation of ‘borders’ within national frameworks</w:t>
      </w:r>
      <w:r w:rsidR="00BF6452">
        <w:rPr>
          <w:color w:val="222222"/>
        </w:rPr>
        <w:t>; differing</w:t>
      </w:r>
      <w:r w:rsidR="00560139">
        <w:rPr>
          <w:color w:val="222222"/>
        </w:rPr>
        <w:t xml:space="preserve"> </w:t>
      </w:r>
      <w:r w:rsidR="00233353">
        <w:rPr>
          <w:color w:val="222222"/>
        </w:rPr>
        <w:t>environments</w:t>
      </w:r>
      <w:r w:rsidR="00560139">
        <w:rPr>
          <w:color w:val="222222"/>
        </w:rPr>
        <w:t xml:space="preserve"> </w:t>
      </w:r>
      <w:r w:rsidR="00BF6452">
        <w:rPr>
          <w:color w:val="222222"/>
        </w:rPr>
        <w:t>can condition sub-national authorities toward</w:t>
      </w:r>
      <w:r w:rsidR="00560139">
        <w:rPr>
          <w:color w:val="222222"/>
        </w:rPr>
        <w:t xml:space="preserve"> </w:t>
      </w:r>
      <w:r w:rsidR="00BF6452">
        <w:rPr>
          <w:color w:val="222222"/>
        </w:rPr>
        <w:t>variations in both</w:t>
      </w:r>
      <w:r w:rsidR="00560139">
        <w:rPr>
          <w:color w:val="222222"/>
        </w:rPr>
        <w:t xml:space="preserve"> practice</w:t>
      </w:r>
      <w:r w:rsidR="009965AC">
        <w:rPr>
          <w:color w:val="222222"/>
        </w:rPr>
        <w:t xml:space="preserve"> and outcome</w:t>
      </w:r>
      <w:r w:rsidR="00F65E61">
        <w:rPr>
          <w:color w:val="222222"/>
        </w:rPr>
        <w:t>.</w:t>
      </w:r>
    </w:p>
    <w:p w:rsidR="00C07BF8" w:rsidRDefault="00C07BF8" w:rsidP="00E94F44">
      <w:pPr>
        <w:pStyle w:val="Header"/>
        <w:tabs>
          <w:tab w:val="clear" w:pos="4513"/>
          <w:tab w:val="left" w:pos="851"/>
        </w:tabs>
        <w:spacing w:line="480" w:lineRule="auto"/>
        <w:mirrorIndents/>
        <w:rPr>
          <w:color w:val="222222"/>
        </w:rPr>
      </w:pPr>
    </w:p>
    <w:p w:rsidR="00F94C8F" w:rsidRDefault="007B1833" w:rsidP="00397641">
      <w:pPr>
        <w:pStyle w:val="Header"/>
        <w:tabs>
          <w:tab w:val="clear" w:pos="4513"/>
          <w:tab w:val="left" w:pos="851"/>
        </w:tabs>
        <w:spacing w:line="480" w:lineRule="auto"/>
        <w:mirrorIndents/>
        <w:rPr>
          <w:color w:val="222222"/>
        </w:rPr>
      </w:pPr>
      <w:r>
        <w:rPr>
          <w:color w:val="222222"/>
        </w:rPr>
        <w:lastRenderedPageBreak/>
        <w:t xml:space="preserve">The literature on rescaling in general, and on the challenging relationship between the urban and the national scales specifically, brings detail and nuance to broader debates on local variation under conditions of (trans-)national neoliberalism. </w:t>
      </w:r>
      <w:r w:rsidR="00560139">
        <w:rPr>
          <w:color w:val="222222"/>
        </w:rPr>
        <w:t xml:space="preserve">There has been an acknowledgement, however, that greater attention to policy detail will help advance understanding </w:t>
      </w:r>
      <w:r w:rsidR="00112119">
        <w:rPr>
          <w:color w:val="222222"/>
        </w:rPr>
        <w:t>of the interaction between local socio-economic conditions and variations in state-market constellations</w:t>
      </w:r>
      <w:r w:rsidR="00560139">
        <w:rPr>
          <w:color w:val="222222"/>
        </w:rPr>
        <w:t xml:space="preserve"> (Reed and Bruyneel 2010: 651). </w:t>
      </w:r>
      <w:r w:rsidR="0048108B">
        <w:rPr>
          <w:color w:val="222222"/>
        </w:rPr>
        <w:t>This</w:t>
      </w:r>
      <w:r w:rsidR="00A93C5F">
        <w:rPr>
          <w:color w:val="222222"/>
        </w:rPr>
        <w:t xml:space="preserve"> study of social housing in England is presented as an attempt to use policy detail to refine understanding of the interplay between space, states, and markets</w:t>
      </w:r>
      <w:r w:rsidR="0048108B">
        <w:rPr>
          <w:color w:val="222222"/>
        </w:rPr>
        <w:t xml:space="preserve"> in the execution of public policy</w:t>
      </w:r>
      <w:r w:rsidR="00A93C5F">
        <w:rPr>
          <w:color w:val="222222"/>
        </w:rPr>
        <w:t xml:space="preserve">. </w:t>
      </w:r>
      <w:r w:rsidR="00670E08">
        <w:rPr>
          <w:color w:val="222222"/>
        </w:rPr>
        <w:t xml:space="preserve">In </w:t>
      </w:r>
      <w:r w:rsidR="00674D08">
        <w:rPr>
          <w:color w:val="222222"/>
        </w:rPr>
        <w:t xml:space="preserve">line with Reed and Bruyneel (2010), </w:t>
      </w:r>
      <w:r w:rsidR="00BF6452">
        <w:rPr>
          <w:color w:val="222222"/>
        </w:rPr>
        <w:t xml:space="preserve">through this study </w:t>
      </w:r>
      <w:r w:rsidR="00674D08">
        <w:rPr>
          <w:color w:val="222222"/>
        </w:rPr>
        <w:t xml:space="preserve">I confirm that local variation in material </w:t>
      </w:r>
      <w:r w:rsidR="00BF6452">
        <w:rPr>
          <w:color w:val="222222"/>
        </w:rPr>
        <w:t>conditions</w:t>
      </w:r>
      <w:r w:rsidR="00674D08">
        <w:rPr>
          <w:color w:val="222222"/>
        </w:rPr>
        <w:t xml:space="preserve"> is associated with local variation in the operatioanalisation of national policy frameworks.</w:t>
      </w:r>
      <w:r w:rsidR="00233353">
        <w:rPr>
          <w:color w:val="222222"/>
        </w:rPr>
        <w:t xml:space="preserve"> In essence, the London</w:t>
      </w:r>
      <w:r w:rsidR="006767BD">
        <w:rPr>
          <w:color w:val="222222"/>
        </w:rPr>
        <w:t xml:space="preserve"> </w:t>
      </w:r>
      <w:r w:rsidR="00233353">
        <w:rPr>
          <w:color w:val="222222"/>
        </w:rPr>
        <w:t xml:space="preserve">area constitutes a ‘border’ within the English social housing system, inside which Housing Associations have </w:t>
      </w:r>
      <w:r w:rsidR="0004176D">
        <w:rPr>
          <w:color w:val="222222"/>
        </w:rPr>
        <w:t>turned toward</w:t>
      </w:r>
      <w:r w:rsidR="00233353">
        <w:rPr>
          <w:color w:val="222222"/>
        </w:rPr>
        <w:t xml:space="preserve"> commercial activity to ameliorate the marketization of </w:t>
      </w:r>
      <w:r w:rsidR="00112119">
        <w:rPr>
          <w:color w:val="222222"/>
        </w:rPr>
        <w:t>social rental accommodation. T</w:t>
      </w:r>
      <w:r w:rsidR="006767BD">
        <w:rPr>
          <w:color w:val="222222"/>
        </w:rPr>
        <w:t>h</w:t>
      </w:r>
      <w:r w:rsidR="00112119">
        <w:rPr>
          <w:color w:val="222222"/>
        </w:rPr>
        <w:t>is</w:t>
      </w:r>
      <w:r w:rsidR="006767BD">
        <w:rPr>
          <w:color w:val="222222"/>
        </w:rPr>
        <w:t xml:space="preserve"> sub-national variation </w:t>
      </w:r>
      <w:r w:rsidR="00112119">
        <w:rPr>
          <w:color w:val="222222"/>
        </w:rPr>
        <w:t>has created differential</w:t>
      </w:r>
      <w:r w:rsidR="006767BD">
        <w:rPr>
          <w:color w:val="222222"/>
        </w:rPr>
        <w:t xml:space="preserve"> </w:t>
      </w:r>
      <w:r w:rsidR="00112119">
        <w:rPr>
          <w:color w:val="222222"/>
        </w:rPr>
        <w:t>combinations</w:t>
      </w:r>
      <w:r w:rsidR="006767BD">
        <w:rPr>
          <w:color w:val="222222"/>
        </w:rPr>
        <w:t xml:space="preserve"> of market and non-market mechanisms </w:t>
      </w:r>
      <w:r w:rsidR="00112119">
        <w:rPr>
          <w:color w:val="222222"/>
        </w:rPr>
        <w:t xml:space="preserve">in the </w:t>
      </w:r>
      <w:r w:rsidR="006767BD">
        <w:rPr>
          <w:color w:val="222222"/>
        </w:rPr>
        <w:t>supply</w:t>
      </w:r>
      <w:r w:rsidR="00112119">
        <w:rPr>
          <w:color w:val="222222"/>
        </w:rPr>
        <w:t xml:space="preserve"> of this</w:t>
      </w:r>
      <w:r w:rsidR="006767BD">
        <w:rPr>
          <w:color w:val="222222"/>
        </w:rPr>
        <w:t xml:space="preserve"> welfare good.</w:t>
      </w:r>
      <w:r w:rsidR="00F61ED4">
        <w:rPr>
          <w:color w:val="222222"/>
        </w:rPr>
        <w:t xml:space="preserve"> Given the conventional view of the UK as a highly centralised political system,</w:t>
      </w:r>
      <w:r w:rsidR="00F61ED4">
        <w:rPr>
          <w:rStyle w:val="FootnoteReference"/>
          <w:color w:val="222222"/>
        </w:rPr>
        <w:footnoteReference w:id="1"/>
      </w:r>
      <w:r w:rsidR="00F61ED4">
        <w:rPr>
          <w:color w:val="222222"/>
        </w:rPr>
        <w:t xml:space="preserve"> this sub-national variation is particularly noteworthy. </w:t>
      </w:r>
      <w:r w:rsidR="00A665D8">
        <w:rPr>
          <w:color w:val="222222"/>
        </w:rPr>
        <w:t>Some studies do se</w:t>
      </w:r>
      <w:r w:rsidR="00C236EA">
        <w:rPr>
          <w:color w:val="222222"/>
        </w:rPr>
        <w:t>ek to challenge this</w:t>
      </w:r>
      <w:r w:rsidR="00A665D8">
        <w:rPr>
          <w:color w:val="222222"/>
        </w:rPr>
        <w:t xml:space="preserve"> conventional view by exploring the impact of devolution and other new institutional arrangements on UK and English cities</w:t>
      </w:r>
      <w:r w:rsidR="00C236EA">
        <w:rPr>
          <w:color w:val="222222"/>
        </w:rPr>
        <w:t>.</w:t>
      </w:r>
      <w:r w:rsidR="00E71A6A">
        <w:rPr>
          <w:rStyle w:val="FootnoteReference"/>
          <w:color w:val="222222"/>
        </w:rPr>
        <w:footnoteReference w:id="2"/>
      </w:r>
      <w:r w:rsidR="00A665D8">
        <w:rPr>
          <w:color w:val="222222"/>
        </w:rPr>
        <w:t xml:space="preserve"> </w:t>
      </w:r>
      <w:r w:rsidR="00C236EA">
        <w:rPr>
          <w:color w:val="222222"/>
        </w:rPr>
        <w:t>However, whereas</w:t>
      </w:r>
      <w:r w:rsidR="00DD538F">
        <w:rPr>
          <w:color w:val="222222"/>
        </w:rPr>
        <w:t xml:space="preserve"> these </w:t>
      </w:r>
      <w:r w:rsidR="00C236EA">
        <w:rPr>
          <w:color w:val="222222"/>
        </w:rPr>
        <w:t xml:space="preserve">revisionist </w:t>
      </w:r>
      <w:r w:rsidR="00DD538F">
        <w:rPr>
          <w:color w:val="222222"/>
        </w:rPr>
        <w:t xml:space="preserve">studies tend to privilege changes to formal political institutions and agreements as drivers of increased city- and region-level autonomy, here I highlight the role of variation in sub-national market structures in shaping </w:t>
      </w:r>
      <w:r w:rsidR="00C236EA">
        <w:rPr>
          <w:color w:val="222222"/>
        </w:rPr>
        <w:t xml:space="preserve">local </w:t>
      </w:r>
      <w:r w:rsidR="00DD538F">
        <w:rPr>
          <w:color w:val="222222"/>
        </w:rPr>
        <w:t>divergence</w:t>
      </w:r>
      <w:r w:rsidR="00A665D8">
        <w:rPr>
          <w:color w:val="222222"/>
        </w:rPr>
        <w:t>. In this case, differential</w:t>
      </w:r>
      <w:r w:rsidR="00F61ED4">
        <w:rPr>
          <w:color w:val="222222"/>
        </w:rPr>
        <w:t xml:space="preserve"> housing market performance</w:t>
      </w:r>
      <w:r w:rsidR="006767BD">
        <w:rPr>
          <w:color w:val="222222"/>
        </w:rPr>
        <w:t xml:space="preserve"> </w:t>
      </w:r>
      <w:r w:rsidR="00F61ED4">
        <w:rPr>
          <w:color w:val="222222"/>
        </w:rPr>
        <w:t>across England has provided a foundation for differential modes of marketization within this policy area</w:t>
      </w:r>
      <w:r w:rsidR="00A665D8">
        <w:rPr>
          <w:color w:val="222222"/>
        </w:rPr>
        <w:t>, with London’s buoyant market both pushing and pulling London-based Associations toward cross-subsidization</w:t>
      </w:r>
      <w:r w:rsidR="00F61ED4">
        <w:rPr>
          <w:color w:val="222222"/>
        </w:rPr>
        <w:t xml:space="preserve">. </w:t>
      </w:r>
    </w:p>
    <w:p w:rsidR="00F94C8F" w:rsidRDefault="00F94C8F" w:rsidP="00397641">
      <w:pPr>
        <w:pStyle w:val="Header"/>
        <w:tabs>
          <w:tab w:val="clear" w:pos="4513"/>
          <w:tab w:val="left" w:pos="851"/>
        </w:tabs>
        <w:spacing w:line="480" w:lineRule="auto"/>
        <w:mirrorIndents/>
        <w:rPr>
          <w:color w:val="222222"/>
        </w:rPr>
      </w:pPr>
    </w:p>
    <w:p w:rsidR="00217E78" w:rsidRDefault="005E0AF7" w:rsidP="00397641">
      <w:pPr>
        <w:pStyle w:val="Header"/>
        <w:tabs>
          <w:tab w:val="clear" w:pos="4513"/>
          <w:tab w:val="left" w:pos="851"/>
        </w:tabs>
        <w:spacing w:line="480" w:lineRule="auto"/>
        <w:mirrorIndents/>
        <w:rPr>
          <w:color w:val="222222"/>
        </w:rPr>
      </w:pPr>
      <w:r>
        <w:rPr>
          <w:color w:val="222222"/>
        </w:rPr>
        <w:lastRenderedPageBreak/>
        <w:t xml:space="preserve">To clarify the modes of marketization manifest in Housing Associations’ responses to the Affordable Homes Programme, I now turn to </w:t>
      </w:r>
      <w:r w:rsidR="006767BD">
        <w:rPr>
          <w:color w:val="222222"/>
        </w:rPr>
        <w:t>Political Science literature on the regulatory state</w:t>
      </w:r>
      <w:r>
        <w:rPr>
          <w:color w:val="222222"/>
        </w:rPr>
        <w:t>.</w:t>
      </w:r>
      <w:r w:rsidR="00112119">
        <w:rPr>
          <w:color w:val="222222"/>
        </w:rPr>
        <w:t xml:space="preserve"> </w:t>
      </w:r>
      <w:r w:rsidR="003E4252">
        <w:rPr>
          <w:color w:val="222222"/>
        </w:rPr>
        <w:t xml:space="preserve">Given the shared interest in understanding the mechanisms through which market-based actors and processes have been woven into contemporary structures of governance, there is significant thematic similarity between literature on the regulatory state and that explored above on neoliberalism and the neoliberal state. </w:t>
      </w:r>
      <w:r>
        <w:rPr>
          <w:color w:val="222222"/>
        </w:rPr>
        <w:t>T</w:t>
      </w:r>
      <w:r w:rsidR="00112119">
        <w:rPr>
          <w:color w:val="222222"/>
        </w:rPr>
        <w:t>h</w:t>
      </w:r>
      <w:r w:rsidR="003E4252">
        <w:rPr>
          <w:color w:val="222222"/>
        </w:rPr>
        <w:t>e</w:t>
      </w:r>
      <w:r w:rsidR="00112119">
        <w:rPr>
          <w:color w:val="222222"/>
        </w:rPr>
        <w:t xml:space="preserve"> literature</w:t>
      </w:r>
      <w:r w:rsidR="003E4252">
        <w:rPr>
          <w:color w:val="222222"/>
        </w:rPr>
        <w:t xml:space="preserve"> on the regulatory state tends to prioritise the inclusion of a high level of policy detail within its analyses, and</w:t>
      </w:r>
      <w:r>
        <w:rPr>
          <w:color w:val="222222"/>
        </w:rPr>
        <w:t xml:space="preserve"> offers </w:t>
      </w:r>
      <w:r w:rsidR="003E4252">
        <w:rPr>
          <w:color w:val="222222"/>
        </w:rPr>
        <w:t xml:space="preserve">a </w:t>
      </w:r>
      <w:r>
        <w:rPr>
          <w:color w:val="222222"/>
        </w:rPr>
        <w:t>useful disaggregation of modes of marketization within the</w:t>
      </w:r>
      <w:r w:rsidR="007A484E">
        <w:rPr>
          <w:color w:val="222222"/>
        </w:rPr>
        <w:t xml:space="preserve"> contemporary provision of welfare services</w:t>
      </w:r>
      <w:r w:rsidR="003E4252">
        <w:rPr>
          <w:color w:val="222222"/>
        </w:rPr>
        <w:t>. T</w:t>
      </w:r>
      <w:r w:rsidR="007A484E">
        <w:rPr>
          <w:color w:val="222222"/>
        </w:rPr>
        <w:t>he concept of asymmetric marketization builds out from this strand of analysis, and also introduces</w:t>
      </w:r>
      <w:r w:rsidR="00112119">
        <w:rPr>
          <w:color w:val="222222"/>
        </w:rPr>
        <w:t xml:space="preserve"> a focus on space</w:t>
      </w:r>
      <w:r w:rsidR="006767BD">
        <w:rPr>
          <w:color w:val="222222"/>
        </w:rPr>
        <w:t xml:space="preserve"> to this </w:t>
      </w:r>
      <w:r w:rsidR="00112119">
        <w:rPr>
          <w:color w:val="222222"/>
        </w:rPr>
        <w:t xml:space="preserve">regulatory state </w:t>
      </w:r>
      <w:r w:rsidR="006767BD">
        <w:rPr>
          <w:color w:val="222222"/>
        </w:rPr>
        <w:t xml:space="preserve">scholarship.  </w:t>
      </w:r>
    </w:p>
    <w:p w:rsidR="00217E78" w:rsidRDefault="00217E78" w:rsidP="00397641">
      <w:pPr>
        <w:pStyle w:val="Header"/>
        <w:tabs>
          <w:tab w:val="clear" w:pos="4513"/>
          <w:tab w:val="left" w:pos="851"/>
        </w:tabs>
        <w:spacing w:line="480" w:lineRule="auto"/>
        <w:mirrorIndents/>
        <w:rPr>
          <w:color w:val="222222"/>
        </w:rPr>
      </w:pPr>
    </w:p>
    <w:p w:rsidR="00B24460" w:rsidRDefault="005A3ED1" w:rsidP="00397641">
      <w:pPr>
        <w:pStyle w:val="Header"/>
        <w:tabs>
          <w:tab w:val="clear" w:pos="4513"/>
          <w:tab w:val="left" w:pos="851"/>
        </w:tabs>
        <w:spacing w:line="480" w:lineRule="auto"/>
        <w:mirrorIndents/>
      </w:pPr>
      <w:r>
        <w:t>The concept of the regulatory state is most close</w:t>
      </w:r>
      <w:r w:rsidR="00C542E1">
        <w:t>ly associated with Majone (1994,</w:t>
      </w:r>
      <w:r>
        <w:t xml:space="preserve"> 1997), </w:t>
      </w:r>
      <w:r w:rsidR="00877D51">
        <w:t>who use</w:t>
      </w:r>
      <w:r w:rsidR="00106547">
        <w:t>d</w:t>
      </w:r>
      <w:r w:rsidR="00877D51">
        <w:t xml:space="preserve"> the term to capture wholesale shifts from</w:t>
      </w:r>
      <w:r w:rsidR="00106547">
        <w:t xml:space="preserve"> the</w:t>
      </w:r>
      <w:r w:rsidR="00877D51">
        <w:t xml:space="preserve"> </w:t>
      </w:r>
      <w:r w:rsidR="00895FC7">
        <w:t>hierarchical and integrated provision of public goods to more marketised systems incorpor</w:t>
      </w:r>
      <w:r w:rsidR="00B5755C">
        <w:t>ating a broader range of actors</w:t>
      </w:r>
      <w:r w:rsidR="00C83A9C">
        <w:t xml:space="preserve"> taking place across Western Europe at the time</w:t>
      </w:r>
      <w:r w:rsidR="00C4178B">
        <w:t xml:space="preserve">. </w:t>
      </w:r>
      <w:r w:rsidR="00C954B4">
        <w:t xml:space="preserve">Subsequent literature on the rise of the regulatory state has </w:t>
      </w:r>
      <w:r w:rsidR="00B57C94">
        <w:t>often focused</w:t>
      </w:r>
      <w:r w:rsidR="00C954B4">
        <w:t xml:space="preserve"> on </w:t>
      </w:r>
      <w:r w:rsidR="00B57C94">
        <w:t xml:space="preserve">the emergence of regulatory agencies as increasingly substantive hubs in governance networks, </w:t>
      </w:r>
      <w:r w:rsidR="003C60BA">
        <w:t>and sought to clarify the range of mechanisms involved in shaping performance and outcomes</w:t>
      </w:r>
      <w:r w:rsidR="00B57C94">
        <w:t xml:space="preserve"> (e.g. </w:t>
      </w:r>
      <w:r w:rsidR="000F5D32">
        <w:t xml:space="preserve">Thatcher 1998, </w:t>
      </w:r>
      <w:r w:rsidR="00C97AED">
        <w:t xml:space="preserve">Lodge 2002, </w:t>
      </w:r>
      <w:r w:rsidR="00555DAC">
        <w:t>Gilardi 2005</w:t>
      </w:r>
      <w:r w:rsidR="00C542E1">
        <w:t>,</w:t>
      </w:r>
      <w:r w:rsidR="00555DAC">
        <w:t xml:space="preserve"> </w:t>
      </w:r>
      <w:r w:rsidR="00DA2B91">
        <w:t>Flinders and Buller 2006</w:t>
      </w:r>
      <w:r w:rsidR="00C542E1">
        <w:t>,</w:t>
      </w:r>
      <w:r w:rsidR="00DA2B91">
        <w:t xml:space="preserve"> </w:t>
      </w:r>
      <w:r w:rsidR="001E4EC6">
        <w:t xml:space="preserve">Kaye 2006, </w:t>
      </w:r>
      <w:r w:rsidR="00555DAC">
        <w:t>Lodge 2008</w:t>
      </w:r>
      <w:r w:rsidR="00C542E1">
        <w:t>,</w:t>
      </w:r>
      <w:r w:rsidR="00555DAC">
        <w:t xml:space="preserve"> </w:t>
      </w:r>
      <w:r w:rsidR="00956D24">
        <w:t>Wright 2009</w:t>
      </w:r>
      <w:r w:rsidR="00C542E1">
        <w:t>,</w:t>
      </w:r>
      <w:r w:rsidR="00956D24">
        <w:t xml:space="preserve"> </w:t>
      </w:r>
      <w:r w:rsidR="00E7621F">
        <w:t>Jordana et al 2011</w:t>
      </w:r>
      <w:r w:rsidR="00C542E1">
        <w:t>,</w:t>
      </w:r>
      <w:r w:rsidR="00601AC0">
        <w:t xml:space="preserve"> </w:t>
      </w:r>
      <w:r w:rsidR="008621C6">
        <w:t>Verbruggen 2013</w:t>
      </w:r>
      <w:r w:rsidR="00C542E1">
        <w:t>,</w:t>
      </w:r>
      <w:r w:rsidR="008621C6">
        <w:t xml:space="preserve"> </w:t>
      </w:r>
      <w:r w:rsidR="00601AC0">
        <w:t>Heims 2015</w:t>
      </w:r>
      <w:r w:rsidR="00C97AED">
        <w:t>, Badran 2017</w:t>
      </w:r>
      <w:r w:rsidR="00B57C94">
        <w:t xml:space="preserve">). </w:t>
      </w:r>
      <w:r w:rsidR="00106547">
        <w:t>D</w:t>
      </w:r>
      <w:r w:rsidR="00E2239D">
        <w:t>iscussions over the impact o</w:t>
      </w:r>
      <w:r w:rsidR="00106547">
        <w:t xml:space="preserve">f </w:t>
      </w:r>
      <w:r w:rsidR="00C83A9C">
        <w:t xml:space="preserve">more </w:t>
      </w:r>
      <w:r w:rsidR="00E2239D">
        <w:t xml:space="preserve">market-based delivery of government functions feature </w:t>
      </w:r>
      <w:r w:rsidR="00106547">
        <w:t xml:space="preserve">prominently </w:t>
      </w:r>
      <w:r w:rsidR="00E2239D">
        <w:t xml:space="preserve">within this literature. It is broadly </w:t>
      </w:r>
      <w:r w:rsidR="00D12D32">
        <w:t xml:space="preserve">held that the move toward </w:t>
      </w:r>
      <w:r w:rsidR="00FD5E39">
        <w:t>marketisation</w:t>
      </w:r>
      <w:r w:rsidR="00D12D32">
        <w:t xml:space="preserve"> was driven by a perception amongst policy elites that significant efficiency gains were there for the taking</w:t>
      </w:r>
      <w:r w:rsidR="00DF4EF3">
        <w:t xml:space="preserve"> (e.g. </w:t>
      </w:r>
      <w:r w:rsidR="00F24786">
        <w:t xml:space="preserve">Majone 1997: 144, </w:t>
      </w:r>
      <w:r w:rsidR="0059081C">
        <w:t xml:space="preserve">Moran 2001: 29, </w:t>
      </w:r>
      <w:r w:rsidR="00871B8E">
        <w:t>Levi-Faur 2005: 20)</w:t>
      </w:r>
      <w:r w:rsidR="00D12D32">
        <w:t xml:space="preserve">. </w:t>
      </w:r>
      <w:r w:rsidR="00FD5E39">
        <w:t>D</w:t>
      </w:r>
      <w:r w:rsidR="00E2239D">
        <w:t>ebates remain unresolved over</w:t>
      </w:r>
      <w:r w:rsidR="00C542E1">
        <w:t xml:space="preserve"> whether</w:t>
      </w:r>
      <w:r w:rsidR="00036153">
        <w:t xml:space="preserve"> removals of government monopoly provision and the cont</w:t>
      </w:r>
      <w:r w:rsidR="003179B6">
        <w:t>racting</w:t>
      </w:r>
      <w:r w:rsidR="00E2239D">
        <w:t>-</w:t>
      </w:r>
      <w:r w:rsidR="003179B6">
        <w:t>in of private agents</w:t>
      </w:r>
      <w:r w:rsidR="00C542E1">
        <w:t xml:space="preserve"> has in fact generated increasingly efficient delivery</w:t>
      </w:r>
      <w:r w:rsidR="003179B6">
        <w:t xml:space="preserve"> </w:t>
      </w:r>
      <w:r w:rsidR="003179B6">
        <w:lastRenderedPageBreak/>
        <w:t>(</w:t>
      </w:r>
      <w:r w:rsidR="00FD5E39">
        <w:t xml:space="preserve">cf. </w:t>
      </w:r>
      <w:r w:rsidR="006C4C8A">
        <w:t xml:space="preserve">Grimsey and Lewis 2005, Hodge and Greve 2007, Hodge and Greve 2009, </w:t>
      </w:r>
      <w:r w:rsidR="00036153">
        <w:t xml:space="preserve">Hermann and Flecker 2013, </w:t>
      </w:r>
      <w:r w:rsidR="006C4C8A" w:rsidRPr="00F22827">
        <w:rPr>
          <w:rFonts w:eastAsia="Times New Roman" w:cs="Arial"/>
          <w:color w:val="222222"/>
          <w:lang w:eastAsia="en-GB"/>
        </w:rPr>
        <w:t>Mennicken</w:t>
      </w:r>
      <w:r w:rsidR="006C4C8A">
        <w:rPr>
          <w:rFonts w:eastAsia="Times New Roman" w:cs="Arial"/>
          <w:color w:val="222222"/>
          <w:lang w:eastAsia="en-GB"/>
        </w:rPr>
        <w:t xml:space="preserve"> 2013</w:t>
      </w:r>
      <w:r w:rsidR="00C542E1">
        <w:rPr>
          <w:rFonts w:eastAsia="Times New Roman" w:cs="Arial"/>
          <w:color w:val="222222"/>
          <w:lang w:eastAsia="en-GB"/>
        </w:rPr>
        <w:t>,</w:t>
      </w:r>
      <w:r w:rsidR="00C542E1" w:rsidRPr="00C542E1">
        <w:t xml:space="preserve"> </w:t>
      </w:r>
      <w:r w:rsidR="00C542E1">
        <w:t>Del Pino and Pavelini 2015, Gingrich and Watson 2016</w:t>
      </w:r>
      <w:r w:rsidR="006C4C8A">
        <w:rPr>
          <w:rFonts w:eastAsia="Times New Roman" w:cs="Arial"/>
          <w:color w:val="222222"/>
          <w:lang w:eastAsia="en-GB"/>
        </w:rPr>
        <w:t>).</w:t>
      </w:r>
      <w:r w:rsidR="000B749E">
        <w:rPr>
          <w:rFonts w:eastAsia="Times New Roman" w:cs="Arial"/>
          <w:color w:val="222222"/>
          <w:lang w:eastAsia="en-GB"/>
        </w:rPr>
        <w:t xml:space="preserve"> </w:t>
      </w:r>
    </w:p>
    <w:p w:rsidR="00B24460" w:rsidRDefault="00B24460" w:rsidP="00397641">
      <w:pPr>
        <w:pStyle w:val="Header"/>
        <w:tabs>
          <w:tab w:val="clear" w:pos="4513"/>
          <w:tab w:val="left" w:pos="851"/>
        </w:tabs>
        <w:spacing w:line="480" w:lineRule="auto"/>
        <w:mirrorIndents/>
      </w:pPr>
    </w:p>
    <w:p w:rsidR="009B2B1B" w:rsidRDefault="00E2239D" w:rsidP="00397641">
      <w:pPr>
        <w:pStyle w:val="Header"/>
        <w:tabs>
          <w:tab w:val="clear" w:pos="4513"/>
          <w:tab w:val="left" w:pos="851"/>
        </w:tabs>
        <w:spacing w:line="480" w:lineRule="auto"/>
        <w:mirrorIndents/>
      </w:pPr>
      <w:r>
        <w:t xml:space="preserve">The work of Levi-Faur (2013) has helped to direct this focus on regulatory governance </w:t>
      </w:r>
      <w:r w:rsidR="00FD5E39">
        <w:t>toward</w:t>
      </w:r>
      <w:r>
        <w:t xml:space="preserve"> the study of welfare provision </w:t>
      </w:r>
      <w:r w:rsidR="00FD5E39">
        <w:t>in particular</w:t>
      </w:r>
      <w:r>
        <w:t xml:space="preserve">. Contributions from Leisering and Mabbett (2011) on the governance of pensions and Haber (2015, 2016) on the governance of housing also served to extend this agenda. A ‘regulation for welfare’ strand of literature has emerged, which advocates the exploration of the mechanisms that shape the relationship between states, market actors, and non-market actors in the provision of </w:t>
      </w:r>
      <w:r w:rsidR="00FD5E39">
        <w:t>welfare</w:t>
      </w:r>
      <w:r>
        <w:t xml:space="preserve"> goods within contemporary governance networks (Levi-Faur 2014, Haber et al 2018). </w:t>
      </w:r>
      <w:r w:rsidR="00711AB3">
        <w:t>W</w:t>
      </w:r>
      <w:r w:rsidR="0060196C">
        <w:t xml:space="preserve">ithin </w:t>
      </w:r>
      <w:r>
        <w:t>studies of welfare delivery through complex governance networks</w:t>
      </w:r>
      <w:r w:rsidR="0060196C">
        <w:t>,</w:t>
      </w:r>
      <w:r w:rsidR="00397641">
        <w:t xml:space="preserve"> </w:t>
      </w:r>
      <w:r>
        <w:t>we are presented with useful attempts to disaggregate ‘the market’</w:t>
      </w:r>
      <w:r w:rsidR="00106547">
        <w:t xml:space="preserve"> that</w:t>
      </w:r>
      <w:r w:rsidR="009B2B1B">
        <w:t xml:space="preserve"> </w:t>
      </w:r>
      <w:r w:rsidR="00106547">
        <w:t>both identify</w:t>
      </w:r>
      <w:r w:rsidR="009B2B1B">
        <w:t xml:space="preserve"> different modes of contracting-in and delegation</w:t>
      </w:r>
      <w:r w:rsidR="00397641">
        <w:t xml:space="preserve"> </w:t>
      </w:r>
      <w:r w:rsidR="009B2B1B">
        <w:t xml:space="preserve">used to incorporate private actors into welfare delivery, </w:t>
      </w:r>
      <w:r w:rsidR="00106547">
        <w:t>and explore the implications on</w:t>
      </w:r>
      <w:r w:rsidR="00397641">
        <w:t xml:space="preserve"> quality of provision</w:t>
      </w:r>
      <w:r w:rsidR="009B2B1B">
        <w:t xml:space="preserve"> </w:t>
      </w:r>
      <w:r w:rsidR="00FD5E39">
        <w:t>from variations in</w:t>
      </w:r>
      <w:r w:rsidR="009B2B1B">
        <w:t xml:space="preserve"> the relationship</w:t>
      </w:r>
      <w:r w:rsidR="0060196C">
        <w:t xml:space="preserve"> between state, service provider, and service user</w:t>
      </w:r>
      <w:r w:rsidR="00FD5E39">
        <w:t xml:space="preserve"> that accompany </w:t>
      </w:r>
      <w:r w:rsidR="00106547">
        <w:t>such marketisation</w:t>
      </w:r>
      <w:r w:rsidR="00397641">
        <w:t xml:space="preserve"> </w:t>
      </w:r>
      <w:r w:rsidR="00AD22DA">
        <w:t>(Pavolini and Guillen 2013, Starke et al 2013, Taylor-Gooby 2013).</w:t>
      </w:r>
      <w:r w:rsidR="00397641">
        <w:t xml:space="preserve"> </w:t>
      </w:r>
    </w:p>
    <w:p w:rsidR="009B2B1B" w:rsidRDefault="009B2B1B" w:rsidP="00397641">
      <w:pPr>
        <w:pStyle w:val="Header"/>
        <w:tabs>
          <w:tab w:val="clear" w:pos="4513"/>
          <w:tab w:val="left" w:pos="851"/>
        </w:tabs>
        <w:spacing w:line="480" w:lineRule="auto"/>
        <w:mirrorIndents/>
      </w:pPr>
    </w:p>
    <w:p w:rsidR="0064479E" w:rsidRDefault="0060196C" w:rsidP="00397641">
      <w:pPr>
        <w:pStyle w:val="Header"/>
        <w:tabs>
          <w:tab w:val="clear" w:pos="4513"/>
          <w:tab w:val="left" w:pos="851"/>
        </w:tabs>
        <w:spacing w:line="480" w:lineRule="auto"/>
        <w:mirrorIndents/>
      </w:pPr>
      <w:r>
        <w:t xml:space="preserve">The contribution from Gingrich (2013) </w:t>
      </w:r>
      <w:r w:rsidR="00F81E8F">
        <w:t xml:space="preserve">advances these efforts to disaggregate </w:t>
      </w:r>
      <w:r w:rsidR="001C122E">
        <w:t xml:space="preserve">the modes of marketization within regulatory governance structures, </w:t>
      </w:r>
      <w:r w:rsidR="009B2B1B">
        <w:t>provid</w:t>
      </w:r>
      <w:r w:rsidR="001C122E">
        <w:t>ing</w:t>
      </w:r>
      <w:r w:rsidR="009B2B1B">
        <w:t xml:space="preserve"> </w:t>
      </w:r>
      <w:r w:rsidR="00F81E8F">
        <w:t xml:space="preserve">the most comprehensive </w:t>
      </w:r>
      <w:r w:rsidR="001C122E">
        <w:t>and prominent typology in this regard</w:t>
      </w:r>
      <w:r>
        <w:t>.</w:t>
      </w:r>
      <w:r w:rsidR="007B2FF6">
        <w:t xml:space="preserve"> </w:t>
      </w:r>
      <w:r>
        <w:t>Gingrich</w:t>
      </w:r>
      <w:r w:rsidR="007B2FF6">
        <w:t xml:space="preserve"> (12-1</w:t>
      </w:r>
      <w:r w:rsidR="002A7872">
        <w:t>9</w:t>
      </w:r>
      <w:r w:rsidR="007B2FF6">
        <w:t>)</w:t>
      </w:r>
      <w:r w:rsidR="00457087">
        <w:t xml:space="preserve"> </w:t>
      </w:r>
      <w:r w:rsidR="00E30C41">
        <w:t xml:space="preserve">identifies </w:t>
      </w:r>
      <w:r w:rsidR="00BD187B">
        <w:t>a range</w:t>
      </w:r>
      <w:r w:rsidR="007B2FF6">
        <w:t xml:space="preserve"> of </w:t>
      </w:r>
      <w:r w:rsidR="00FD5E39">
        <w:t xml:space="preserve">forms of </w:t>
      </w:r>
      <w:r w:rsidR="007B2FF6">
        <w:t>market</w:t>
      </w:r>
      <w:r w:rsidR="00BD187B">
        <w:t xml:space="preserve"> within regulatory state-type structures</w:t>
      </w:r>
      <w:r w:rsidR="00FD5E39">
        <w:t>. Modes</w:t>
      </w:r>
      <w:r w:rsidR="007B2FF6">
        <w:t xml:space="preserve"> are defined </w:t>
      </w:r>
      <w:r w:rsidR="003045F2">
        <w:t xml:space="preserve">as ‘consumer-driven’, ‘producer-driven’, and ‘state-driven’ </w:t>
      </w:r>
      <w:r w:rsidR="007B2FF6">
        <w:t>according who holds effective control over production.</w:t>
      </w:r>
      <w:r w:rsidR="009B2B1B">
        <w:t xml:space="preserve"> </w:t>
      </w:r>
      <w:r w:rsidR="00FD5E39">
        <w:t>In the consumer-driven mode, users select from a range of competing suppliers</w:t>
      </w:r>
      <w:r w:rsidR="00154859">
        <w:t xml:space="preserve"> and are well-informed on service quality</w:t>
      </w:r>
      <w:r w:rsidR="00FD5E39">
        <w:t xml:space="preserve">, </w:t>
      </w:r>
      <w:r w:rsidR="00154859">
        <w:t>with providers thereby being pushed to respond to prevailing preferences</w:t>
      </w:r>
      <w:r w:rsidR="00FD5E39">
        <w:t xml:space="preserve">. The producer-driven mode </w:t>
      </w:r>
      <w:r w:rsidR="00154859">
        <w:t xml:space="preserve">is characterised by inadequate information on service quality and lack of oversight, in which users can be tied into a contractual relationship with a poorly-performing supplier. In the state-driven mode, </w:t>
      </w:r>
      <w:r w:rsidR="00154859">
        <w:lastRenderedPageBreak/>
        <w:t xml:space="preserve">governments retain </w:t>
      </w:r>
      <w:r w:rsidR="00F21FAE">
        <w:t>capacity to shape the cost-efficiency incentives applied to all producers, and enact broad-based monitoring of performance. Under the ‘managed market’ variant, providers are forced to absorb resource reduction through efficiency gains, and under the ‘austerity market’ variant some reduction can be counter-balanced by levying charges on individual users.</w:t>
      </w:r>
      <w:r w:rsidR="00154859">
        <w:t xml:space="preserve"> </w:t>
      </w:r>
    </w:p>
    <w:p w:rsidR="00500D75" w:rsidRDefault="00500D75" w:rsidP="00397641">
      <w:pPr>
        <w:pStyle w:val="Header"/>
        <w:tabs>
          <w:tab w:val="clear" w:pos="4513"/>
          <w:tab w:val="left" w:pos="851"/>
        </w:tabs>
        <w:spacing w:line="480" w:lineRule="auto"/>
        <w:mirrorIndents/>
      </w:pPr>
    </w:p>
    <w:p w:rsidR="00EA0323" w:rsidRDefault="00D95181" w:rsidP="00397641">
      <w:pPr>
        <w:pStyle w:val="Header"/>
        <w:tabs>
          <w:tab w:val="clear" w:pos="4513"/>
          <w:tab w:val="left" w:pos="851"/>
        </w:tabs>
        <w:spacing w:line="480" w:lineRule="auto"/>
        <w:mirrorIndents/>
      </w:pPr>
      <w:r>
        <w:t xml:space="preserve">Dynamics associated with Gingrich’s austerity markets are manifest within the asymmetric marketization of social housing in England. </w:t>
      </w:r>
      <w:r w:rsidR="001D1932">
        <w:t xml:space="preserve">The Affordable Homes Programme was designed to allow that, where </w:t>
      </w:r>
      <w:r w:rsidR="00A31968">
        <w:t xml:space="preserve">necessary, </w:t>
      </w:r>
      <w:r w:rsidR="001D1932">
        <w:t>Associations</w:t>
      </w:r>
      <w:r w:rsidR="00A31968">
        <w:t xml:space="preserve"> could replace lost grant for new-build by increasing social rent levels towards prevailing market rates. With state agencies shaping resource flows in the form of maximum rents and grant allocation, and providers able to defray some efficiency pressures by increasing costs to users, the AHP displays core dynamics of the austerity </w:t>
      </w:r>
      <w:r w:rsidR="00632719">
        <w:t>m</w:t>
      </w:r>
      <w:r w:rsidR="00A31968">
        <w:t xml:space="preserve">ode of Gingrich’s schema. </w:t>
      </w:r>
      <w:r w:rsidR="004A481A">
        <w:t>However, the turn toward commercial cross-subsidy by London-based Associations represents a</w:t>
      </w:r>
      <w:r w:rsidR="00B170A2">
        <w:t xml:space="preserve"> modification of the austerity market, with increased costs being defrayed through market mechanisms to non-service users. </w:t>
      </w:r>
      <w:r w:rsidR="00D87B51">
        <w:t>Gingrich’s</w:t>
      </w:r>
      <w:r w:rsidR="00B170A2">
        <w:t xml:space="preserve"> disaggregation of modes of marketization </w:t>
      </w:r>
      <w:r w:rsidR="00D87B51">
        <w:t>within the</w:t>
      </w:r>
      <w:r w:rsidR="00B170A2">
        <w:t xml:space="preserve"> regulatory welfare state allows for </w:t>
      </w:r>
      <w:r w:rsidR="00B13803">
        <w:t>variations in Housing Associations’</w:t>
      </w:r>
      <w:r w:rsidR="00B170A2">
        <w:t xml:space="preserve"> </w:t>
      </w:r>
      <w:r w:rsidR="00B13803">
        <w:t>responses to the Affordable Homes Programme</w:t>
      </w:r>
      <w:r w:rsidR="00D87B51">
        <w:t xml:space="preserve"> to be </w:t>
      </w:r>
      <w:r w:rsidR="00B13803">
        <w:t>effectively identified</w:t>
      </w:r>
      <w:r w:rsidR="00B170A2">
        <w:t>.</w:t>
      </w:r>
      <w:r w:rsidR="00D87B51">
        <w:t xml:space="preserve"> </w:t>
      </w:r>
    </w:p>
    <w:p w:rsidR="00EA0323" w:rsidRDefault="00EA0323" w:rsidP="00397641">
      <w:pPr>
        <w:pStyle w:val="Header"/>
        <w:tabs>
          <w:tab w:val="clear" w:pos="4513"/>
          <w:tab w:val="left" w:pos="851"/>
        </w:tabs>
        <w:spacing w:line="480" w:lineRule="auto"/>
        <w:mirrorIndents/>
      </w:pPr>
    </w:p>
    <w:p w:rsidR="005D33C6" w:rsidRDefault="00EA0323" w:rsidP="00397641">
      <w:pPr>
        <w:pStyle w:val="Header"/>
        <w:tabs>
          <w:tab w:val="clear" w:pos="4513"/>
          <w:tab w:val="left" w:pos="851"/>
        </w:tabs>
        <w:spacing w:line="480" w:lineRule="auto"/>
        <w:mirrorIndents/>
      </w:pPr>
      <w:r>
        <w:t xml:space="preserve">Overall, the concept of asymmetric marketization both draws on and bridges between Political Science literature on the regulatory welfare state and Economic Geography literature on rescaling and neoliberal transformation. </w:t>
      </w:r>
      <w:r w:rsidR="00B1720E">
        <w:t>The high level of p</w:t>
      </w:r>
      <w:r w:rsidR="00B43D32">
        <w:t>recision within literature on the regulatory welfare state on modes of marketization</w:t>
      </w:r>
      <w:r w:rsidR="00B1720E">
        <w:t>, as typified by Gingrich’s typology,</w:t>
      </w:r>
      <w:r w:rsidR="00B43D32">
        <w:t xml:space="preserve"> </w:t>
      </w:r>
      <w:r w:rsidR="00B1720E">
        <w:t xml:space="preserve">presents us with a conceptual language with which to capture </w:t>
      </w:r>
      <w:r w:rsidR="00B43D32">
        <w:t xml:space="preserve">variation in the mix of market and non-market mechanisms </w:t>
      </w:r>
      <w:r w:rsidR="00B1720E">
        <w:t>within</w:t>
      </w:r>
      <w:r w:rsidR="00B43D32">
        <w:t xml:space="preserve"> Housing Associations</w:t>
      </w:r>
      <w:r w:rsidR="00B1720E">
        <w:t>’</w:t>
      </w:r>
      <w:r w:rsidR="00B43D32">
        <w:t xml:space="preserve"> responses to the Affordable Homes Programme. </w:t>
      </w:r>
      <w:r w:rsidR="00B1720E">
        <w:t xml:space="preserve">With the aid of this conceptual language, we specifically see that London-based Associations have adapted the ‘austerity market’ response by using commercial activity to defray the extent to which </w:t>
      </w:r>
      <w:r w:rsidR="005D33C6">
        <w:t xml:space="preserve">reduced government </w:t>
      </w:r>
      <w:r w:rsidR="005D33C6">
        <w:lastRenderedPageBreak/>
        <w:t xml:space="preserve">revenue has been translated into higher costs for </w:t>
      </w:r>
      <w:r w:rsidR="00B1720E">
        <w:t>social renters</w:t>
      </w:r>
      <w:r w:rsidR="005D33C6">
        <w:t>.</w:t>
      </w:r>
      <w:r w:rsidR="00B1720E">
        <w:t xml:space="preserve"> </w:t>
      </w:r>
      <w:r w:rsidR="00B43D32">
        <w:t>The focus in literature on rescaling and spatial variegation</w:t>
      </w:r>
      <w:r w:rsidR="005D33C6">
        <w:t xml:space="preserve"> within Economic Geography pushes us to conceptualise the London region as a ‘border’ within the English social housing regime, and to identify variation in market performance as a driver of sub-national variation in policy operationalisation. </w:t>
      </w:r>
      <w:r w:rsidR="002B61CA">
        <w:t xml:space="preserve">By bringing together these two strands of literature, </w:t>
      </w:r>
      <w:r w:rsidR="00FF60AA">
        <w:t xml:space="preserve">the lack of attention to spatial variation within regulatory welfare state literature and the under-developed </w:t>
      </w:r>
      <w:r w:rsidR="005D33C6">
        <w:t>conceptualisation</w:t>
      </w:r>
      <w:r w:rsidR="00FF60AA">
        <w:t xml:space="preserve"> of modes of marketization within </w:t>
      </w:r>
      <w:r w:rsidR="005D33C6">
        <w:t xml:space="preserve">literature on </w:t>
      </w:r>
      <w:r w:rsidR="00FF60AA">
        <w:t xml:space="preserve">rescaling and neoliberal transformation can be </w:t>
      </w:r>
      <w:r w:rsidR="00AD4C4E">
        <w:t>addressed</w:t>
      </w:r>
      <w:r w:rsidR="00FF60AA">
        <w:t>.</w:t>
      </w:r>
      <w:r w:rsidR="00AD4C4E">
        <w:t xml:space="preserve"> </w:t>
      </w:r>
      <w:r w:rsidR="006C730F">
        <w:t>The concept of asymmetric marketization represents a mechanism through which the comparative strengths of the two bodies of literature can be locked together</w:t>
      </w:r>
      <w:r w:rsidR="005D33C6">
        <w:t xml:space="preserve">. </w:t>
      </w:r>
    </w:p>
    <w:p w:rsidR="005D33C6" w:rsidRDefault="005D33C6" w:rsidP="00397641">
      <w:pPr>
        <w:pStyle w:val="Header"/>
        <w:tabs>
          <w:tab w:val="clear" w:pos="4513"/>
          <w:tab w:val="left" w:pos="851"/>
        </w:tabs>
        <w:spacing w:line="480" w:lineRule="auto"/>
        <w:mirrorIndents/>
      </w:pPr>
    </w:p>
    <w:p w:rsidR="00FB5730" w:rsidRDefault="005D33C6" w:rsidP="00397641">
      <w:pPr>
        <w:pStyle w:val="Header"/>
        <w:tabs>
          <w:tab w:val="clear" w:pos="4513"/>
          <w:tab w:val="left" w:pos="851"/>
        </w:tabs>
        <w:spacing w:line="480" w:lineRule="auto"/>
        <w:mirrorIndents/>
      </w:pPr>
      <w:r>
        <w:t xml:space="preserve">Beyond this set of conceptual contributions, through this paper I also offer an engagement with social housing and social housing reform. </w:t>
      </w:r>
      <w:r w:rsidR="001E4506">
        <w:t>The challenges faced by Housing Associations within an increasingly marketised sector have attracted substantial comment within existing housing studies literature. Manvill</w:t>
      </w:r>
      <w:r w:rsidR="006D0E6F">
        <w:t>e et al (2016), for example, note</w:t>
      </w:r>
      <w:r w:rsidR="001E4506">
        <w:t xml:space="preserve"> that recent reform</w:t>
      </w:r>
      <w:r w:rsidR="00FB5730">
        <w:t>s</w:t>
      </w:r>
      <w:r w:rsidR="001E4506">
        <w:t xml:space="preserve"> ha</w:t>
      </w:r>
      <w:r w:rsidR="00FB5730">
        <w:t>ve</w:t>
      </w:r>
      <w:r w:rsidR="001E4506">
        <w:t xml:space="preserve"> reduced the level of support on offer to Associations from their regulatory agency, with the creation of a more distant relationship increasing the need for autonomous organisational leadership. </w:t>
      </w:r>
      <w:r w:rsidR="00E636C4">
        <w:t xml:space="preserve">Housing Associations’ difficulties in maintaining a focus on ‘social mission’ within their increasingly marketised environments have </w:t>
      </w:r>
      <w:r w:rsidR="006D0E6F">
        <w:t xml:space="preserve">also </w:t>
      </w:r>
      <w:r w:rsidR="00E636C4">
        <w:t>been well-charted (e.g. Mullins et al 2012, Teasdale 2012</w:t>
      </w:r>
      <w:r w:rsidR="00041865">
        <w:t>, Tang et al 2017</w:t>
      </w:r>
      <w:r w:rsidR="00E636C4">
        <w:t>)</w:t>
      </w:r>
      <w:r w:rsidR="00FB5730">
        <w:t>, while Casey and Allen’s (2004) work suggests that this</w:t>
      </w:r>
      <w:r w:rsidR="006D0E6F">
        <w:t xml:space="preserve"> social versus market</w:t>
      </w:r>
      <w:r w:rsidR="00FB5730">
        <w:t xml:space="preserve"> tension has existed for some time.</w:t>
      </w:r>
      <w:r w:rsidR="00041865">
        <w:t xml:space="preserve"> </w:t>
      </w:r>
      <w:r w:rsidR="006D0E6F">
        <w:t>A</w:t>
      </w:r>
      <w:r w:rsidR="00041865">
        <w:t xml:space="preserve">symmetric marketization </w:t>
      </w:r>
      <w:r w:rsidR="006D0E6F">
        <w:t>presents a novel means of addressing this longstanding tension, with</w:t>
      </w:r>
      <w:r w:rsidR="00041865">
        <w:t xml:space="preserve"> London-based Associations </w:t>
      </w:r>
      <w:r w:rsidR="006D0E6F">
        <w:t>using expanded</w:t>
      </w:r>
      <w:r w:rsidR="00041865">
        <w:t xml:space="preserve"> </w:t>
      </w:r>
      <w:r w:rsidR="006D0E6F">
        <w:t>commercial operation</w:t>
      </w:r>
      <w:r w:rsidR="00041865">
        <w:t>s to protect their</w:t>
      </w:r>
      <w:r w:rsidR="006D0E6F">
        <w:t xml:space="preserve"> core</w:t>
      </w:r>
      <w:r w:rsidR="00041865">
        <w:t xml:space="preserve"> social mission</w:t>
      </w:r>
      <w:r w:rsidR="006D0E6F">
        <w:t xml:space="preserve"> – the provision of affordable rental accommodation</w:t>
      </w:r>
      <w:r w:rsidR="00041865">
        <w:t>. As is explored in the conclusion to the paper, the desirability and effectiveness of this turn to</w:t>
      </w:r>
      <w:r w:rsidR="006D0E6F">
        <w:t xml:space="preserve"> enhanced</w:t>
      </w:r>
      <w:r w:rsidR="00041865">
        <w:t xml:space="preserve"> cross-subsidy is highly contestable. Nonetheless, the existence of this operational practice</w:t>
      </w:r>
      <w:r w:rsidR="000803D5">
        <w:t xml:space="preserve"> represents an additional, </w:t>
      </w:r>
      <w:r w:rsidR="000803D5">
        <w:lastRenderedPageBreak/>
        <w:t xml:space="preserve">and spatially-variegated, </w:t>
      </w:r>
      <w:r w:rsidR="00041865">
        <w:t xml:space="preserve">layer of complexity </w:t>
      </w:r>
      <w:r w:rsidR="000803D5">
        <w:t>within</w:t>
      </w:r>
      <w:r w:rsidR="00041865">
        <w:t xml:space="preserve"> the relationship between Housing Associations, social mission, and marketization.</w:t>
      </w:r>
    </w:p>
    <w:p w:rsidR="001D1932" w:rsidRDefault="001D1932" w:rsidP="00862343">
      <w:pPr>
        <w:pStyle w:val="Header"/>
        <w:spacing w:line="480" w:lineRule="auto"/>
        <w:rPr>
          <w:u w:val="single"/>
        </w:rPr>
      </w:pPr>
    </w:p>
    <w:p w:rsidR="00E054C1" w:rsidRDefault="0081759F" w:rsidP="00862343">
      <w:pPr>
        <w:pStyle w:val="Header"/>
        <w:spacing w:line="480" w:lineRule="auto"/>
        <w:rPr>
          <w:u w:val="single"/>
        </w:rPr>
      </w:pPr>
      <w:r>
        <w:rPr>
          <w:u w:val="single"/>
        </w:rPr>
        <w:t>S</w:t>
      </w:r>
      <w:r w:rsidR="00F116CE">
        <w:rPr>
          <w:u w:val="single"/>
        </w:rPr>
        <w:t>ocial housing</w:t>
      </w:r>
      <w:r>
        <w:rPr>
          <w:u w:val="single"/>
        </w:rPr>
        <w:t xml:space="preserve"> in England</w:t>
      </w:r>
      <w:r w:rsidR="00B05AAD">
        <w:rPr>
          <w:u w:val="single"/>
        </w:rPr>
        <w:t>: Housing Associations and the Affordable Homes Programme</w:t>
      </w:r>
    </w:p>
    <w:p w:rsidR="008C632B" w:rsidRDefault="000115D3" w:rsidP="00862343">
      <w:pPr>
        <w:pStyle w:val="Header"/>
        <w:tabs>
          <w:tab w:val="left" w:pos="851"/>
        </w:tabs>
        <w:spacing w:line="480" w:lineRule="auto"/>
      </w:pPr>
      <w:r>
        <w:t>S</w:t>
      </w:r>
      <w:r w:rsidR="00E651A2">
        <w:t xml:space="preserve">ocial housing in England </w:t>
      </w:r>
      <w:r>
        <w:t xml:space="preserve">has </w:t>
      </w:r>
      <w:r w:rsidR="00E651A2">
        <w:t xml:space="preserve">followed a </w:t>
      </w:r>
      <w:r>
        <w:t>trajectory</w:t>
      </w:r>
      <w:r w:rsidR="00E651A2">
        <w:t xml:space="preserve"> that was common to many sectors of welfare provision through the 20</w:t>
      </w:r>
      <w:r w:rsidR="00E651A2" w:rsidRPr="00E651A2">
        <w:rPr>
          <w:vertAlign w:val="superscript"/>
        </w:rPr>
        <w:t>th</w:t>
      </w:r>
      <w:r w:rsidR="00E651A2">
        <w:t xml:space="preserve"> century. </w:t>
      </w:r>
      <w:r w:rsidR="0081183D">
        <w:t>These changes broadly parallel Majone’s (1997) characterisation of the shift from a ‘positive’ state that directly provides welfare goods to a ‘regulatory’ state whose interventions occur through rule-making within increasingly marketised networks. In the paragraphs below, I provide information on role of Housing Associations within the provision of social housing in England</w:t>
      </w:r>
      <w:r w:rsidR="00226DCB">
        <w:t>,</w:t>
      </w:r>
      <w:r w:rsidR="0081183D">
        <w:t xml:space="preserve"> </w:t>
      </w:r>
      <w:r w:rsidR="00226DCB">
        <w:t>and conclude the section with an overview of the 2011 Affordable Homes Programme.</w:t>
      </w:r>
    </w:p>
    <w:p w:rsidR="00E651A2" w:rsidRDefault="00E651A2" w:rsidP="00862343">
      <w:pPr>
        <w:pStyle w:val="Header"/>
        <w:tabs>
          <w:tab w:val="left" w:pos="851"/>
        </w:tabs>
        <w:spacing w:line="480" w:lineRule="auto"/>
      </w:pPr>
    </w:p>
    <w:p w:rsidR="002E533F" w:rsidRDefault="00E651A2" w:rsidP="00B67A6D">
      <w:pPr>
        <w:pStyle w:val="Header"/>
        <w:tabs>
          <w:tab w:val="left" w:pos="851"/>
        </w:tabs>
        <w:spacing w:line="480" w:lineRule="auto"/>
      </w:pPr>
      <w:r>
        <w:t>It was in the aftermath of WWI</w:t>
      </w:r>
      <w:r w:rsidR="00B67A6D">
        <w:t>I</w:t>
      </w:r>
      <w:r>
        <w:t xml:space="preserve"> that</w:t>
      </w:r>
      <w:r w:rsidR="002E533F">
        <w:t xml:space="preserve"> the UK </w:t>
      </w:r>
      <w:r>
        <w:t>government</w:t>
      </w:r>
      <w:r w:rsidR="002E533F">
        <w:t xml:space="preserve"> began to expand</w:t>
      </w:r>
      <w:r w:rsidR="0081183D">
        <w:t xml:space="preserve"> significantly</w:t>
      </w:r>
      <w:r w:rsidR="002E533F">
        <w:t xml:space="preserve"> its capacity to directly provide </w:t>
      </w:r>
      <w:r w:rsidR="00383ABC">
        <w:t xml:space="preserve">social </w:t>
      </w:r>
      <w:r w:rsidR="002E533F">
        <w:t xml:space="preserve">rental housing </w:t>
      </w:r>
      <w:r w:rsidR="00383ABC">
        <w:t xml:space="preserve">(accommodation let </w:t>
      </w:r>
      <w:r w:rsidR="002E533F">
        <w:t xml:space="preserve">at </w:t>
      </w:r>
      <w:r w:rsidR="00383ABC">
        <w:t xml:space="preserve">rates below the prevailing </w:t>
      </w:r>
      <w:r w:rsidR="002E533F">
        <w:t xml:space="preserve">market </w:t>
      </w:r>
      <w:r w:rsidR="00383ABC">
        <w:t>level)</w:t>
      </w:r>
      <w:r w:rsidR="00B67A6D">
        <w:t>, with l</w:t>
      </w:r>
      <w:r w:rsidR="00322F3B">
        <w:t>ocal authorities</w:t>
      </w:r>
      <w:r w:rsidR="00B67A6D">
        <w:t xml:space="preserve"> becoming pivotal agencies in the system that emerged.</w:t>
      </w:r>
      <w:r w:rsidR="00322F3B">
        <w:t xml:space="preserve"> </w:t>
      </w:r>
      <w:r w:rsidR="00B67A6D">
        <w:t xml:space="preserve">Local authorities </w:t>
      </w:r>
      <w:r w:rsidR="00322F3B">
        <w:t>provided the central government with a conveniently ‘plannable instrument’; by providing access to subsidised loans and grants, and mandating that a set contribution to building costs be made through locally collected rates</w:t>
      </w:r>
      <w:r w:rsidR="00164085">
        <w:t>, central government could</w:t>
      </w:r>
      <w:r w:rsidR="00322F3B">
        <w:t xml:space="preserve"> ensure that </w:t>
      </w:r>
      <w:r w:rsidR="00B67A6D">
        <w:t xml:space="preserve">their house-building </w:t>
      </w:r>
      <w:r w:rsidR="00322F3B">
        <w:t>targets were delivered</w:t>
      </w:r>
      <w:r w:rsidR="00B67A6D">
        <w:t xml:space="preserve"> relatively predictably and consistently</w:t>
      </w:r>
      <w:r w:rsidR="00322F3B">
        <w:t xml:space="preserve"> (Cole and Furbey 1994</w:t>
      </w:r>
      <w:r w:rsidR="00383ABC">
        <w:t>:</w:t>
      </w:r>
      <w:r w:rsidR="00322F3B">
        <w:t xml:space="preserve"> 59-63).</w:t>
      </w:r>
      <w:r w:rsidR="002E5E9A">
        <w:t xml:space="preserve"> </w:t>
      </w:r>
      <w:r w:rsidR="00B67A6D">
        <w:t>T</w:t>
      </w:r>
      <w:r w:rsidR="00B70791">
        <w:t>his local authority housing was provided at below-market rates to lower-income groups, and came to be regarded as a central pillar of the state’s welfare system</w:t>
      </w:r>
      <w:r w:rsidR="00143A69">
        <w:t xml:space="preserve"> (Malpass 2005</w:t>
      </w:r>
      <w:r w:rsidR="00383ABC">
        <w:t xml:space="preserve">: </w:t>
      </w:r>
      <w:r w:rsidR="00143A69">
        <w:t>83-90)</w:t>
      </w:r>
      <w:r w:rsidR="00B70791">
        <w:t>.</w:t>
      </w:r>
      <w:r w:rsidR="00B67A6D" w:rsidRPr="00B67A6D">
        <w:t xml:space="preserve"> </w:t>
      </w:r>
      <w:r w:rsidR="00B67A6D">
        <w:t>By 1980, around 6.5 million homes – 30 percent of the UK’s total stock of housing – came through such local authority provision (Stephens 2013: 200-1).</w:t>
      </w:r>
    </w:p>
    <w:p w:rsidR="00D96AC7" w:rsidRDefault="00D96AC7" w:rsidP="00862343">
      <w:pPr>
        <w:pStyle w:val="Header"/>
        <w:tabs>
          <w:tab w:val="clear" w:pos="4513"/>
          <w:tab w:val="left" w:pos="851"/>
        </w:tabs>
        <w:spacing w:line="480" w:lineRule="auto"/>
      </w:pPr>
    </w:p>
    <w:p w:rsidR="002E533F" w:rsidRDefault="002E5E9A" w:rsidP="00862343">
      <w:pPr>
        <w:pStyle w:val="Header"/>
        <w:tabs>
          <w:tab w:val="clear" w:pos="4513"/>
          <w:tab w:val="left" w:pos="851"/>
        </w:tabs>
        <w:spacing w:line="480" w:lineRule="auto"/>
      </w:pPr>
      <w:r>
        <w:t xml:space="preserve">Movement away from </w:t>
      </w:r>
      <w:r w:rsidR="00B70791">
        <w:t>a</w:t>
      </w:r>
      <w:r>
        <w:t xml:space="preserve"> provider state mode </w:t>
      </w:r>
      <w:r w:rsidR="00B70791">
        <w:t xml:space="preserve">began to gain traction in the UK from the </w:t>
      </w:r>
      <w:r w:rsidR="00662835">
        <w:t xml:space="preserve">start of the </w:t>
      </w:r>
      <w:r w:rsidR="00B70791">
        <w:t xml:space="preserve">1980s. </w:t>
      </w:r>
      <w:r w:rsidR="00662835">
        <w:t xml:space="preserve">At this time, the Conservative government under Prime Minister Margaret Thatcher passed </w:t>
      </w:r>
      <w:r w:rsidR="00662835">
        <w:lastRenderedPageBreak/>
        <w:t xml:space="preserve">legislation introducing a Right to Buy for local authority tenants. Under the Right to Buy, </w:t>
      </w:r>
      <w:r w:rsidR="00B475D3">
        <w:t xml:space="preserve">tenants </w:t>
      </w:r>
      <w:r w:rsidR="00984FBD">
        <w:t>meeting</w:t>
      </w:r>
      <w:r w:rsidR="00B475D3">
        <w:t xml:space="preserve"> minimum </w:t>
      </w:r>
      <w:r w:rsidR="00164085">
        <w:t>length of tenure</w:t>
      </w:r>
      <w:r w:rsidR="00B475D3">
        <w:t xml:space="preserve"> criteria were able to purchase their home from a local authority at a discounted rate, with the scale of discount increasing with length of tenancy. </w:t>
      </w:r>
      <w:r w:rsidR="00984FBD">
        <w:t>Cumulatively, around 1.8 million units were transferred out of local authority ownership through this route.</w:t>
      </w:r>
      <w:r w:rsidR="00984FBD">
        <w:rPr>
          <w:rStyle w:val="FootnoteReference"/>
        </w:rPr>
        <w:footnoteReference w:id="3"/>
      </w:r>
      <w:r w:rsidR="00E23171">
        <w:t xml:space="preserve"> It was from the end of the decade that a</w:t>
      </w:r>
      <w:r w:rsidR="00164085">
        <w:t>n additional</w:t>
      </w:r>
      <w:r w:rsidR="00E23171">
        <w:t xml:space="preserve"> dimension of transformation in the UK housing system began to emerge, </w:t>
      </w:r>
      <w:r w:rsidR="00457430">
        <w:t>with local authorities moving to transfer stock through wholesale transactions to Housing Associations</w:t>
      </w:r>
      <w:r w:rsidR="00E23171">
        <w:t>.</w:t>
      </w:r>
    </w:p>
    <w:p w:rsidR="00D96AC7" w:rsidRDefault="00D96AC7" w:rsidP="00862343">
      <w:pPr>
        <w:pStyle w:val="Header"/>
        <w:tabs>
          <w:tab w:val="clear" w:pos="4513"/>
          <w:tab w:val="left" w:pos="851"/>
        </w:tabs>
        <w:spacing w:line="480" w:lineRule="auto"/>
      </w:pPr>
    </w:p>
    <w:p w:rsidR="00E23171" w:rsidRDefault="00E23171" w:rsidP="00862343">
      <w:pPr>
        <w:pStyle w:val="Header"/>
        <w:tabs>
          <w:tab w:val="clear" w:pos="4513"/>
          <w:tab w:val="left" w:pos="851"/>
        </w:tabs>
        <w:spacing w:line="480" w:lineRule="auto"/>
      </w:pPr>
      <w:r>
        <w:t>The regulatory framework surrounding Housing Associations was, to a large extent, put in place thoug</w:t>
      </w:r>
      <w:r w:rsidR="00632719">
        <w:t xml:space="preserve">h the 1985 Housing </w:t>
      </w:r>
      <w:r>
        <w:t xml:space="preserve">Act. The 1985 Act codified Housing Associations as entities established </w:t>
      </w:r>
      <w:r w:rsidR="008D31BC">
        <w:t>for the purpose of managing or constructing housing, and which did not trade for profit</w:t>
      </w:r>
      <w:r w:rsidR="00F75323">
        <w:t xml:space="preserve">. </w:t>
      </w:r>
      <w:r w:rsidR="008451B0">
        <w:t xml:space="preserve">Under the Act, </w:t>
      </w:r>
      <w:r w:rsidR="00F75323">
        <w:t xml:space="preserve">Housing Associations were to register with </w:t>
      </w:r>
      <w:r w:rsidR="00C9665B">
        <w:t>the Housing Corporation, a newly-created agency under the Department for the Environment</w:t>
      </w:r>
      <w:r w:rsidR="008D31BC">
        <w:t xml:space="preserve"> (Housing Associations Act 1985: Section 12). </w:t>
      </w:r>
      <w:r w:rsidR="00C9665B">
        <w:t>T</w:t>
      </w:r>
      <w:r>
        <w:t xml:space="preserve">he relationship between </w:t>
      </w:r>
      <w:r w:rsidR="00C9665B">
        <w:t xml:space="preserve">the government and Housing Associations was close, with the Corporation retaining oversight over </w:t>
      </w:r>
      <w:r w:rsidR="00545D44">
        <w:t xml:space="preserve">Association </w:t>
      </w:r>
      <w:r w:rsidR="00C9665B">
        <w:t>performance and, through a series of grant-based mechanisms, providing important sources of funding</w:t>
      </w:r>
      <w:r w:rsidR="00683473">
        <w:t>.</w:t>
      </w:r>
    </w:p>
    <w:p w:rsidR="00D96AC7" w:rsidRDefault="00D96AC7" w:rsidP="00862343">
      <w:pPr>
        <w:pStyle w:val="Header"/>
        <w:tabs>
          <w:tab w:val="clear" w:pos="4513"/>
          <w:tab w:val="left" w:pos="851"/>
        </w:tabs>
        <w:spacing w:line="480" w:lineRule="auto"/>
      </w:pPr>
    </w:p>
    <w:p w:rsidR="009308D4" w:rsidRDefault="00692AC6" w:rsidP="00862343">
      <w:pPr>
        <w:pStyle w:val="Header"/>
        <w:tabs>
          <w:tab w:val="clear" w:pos="4513"/>
          <w:tab w:val="left" w:pos="851"/>
        </w:tabs>
        <w:spacing w:line="480" w:lineRule="auto"/>
      </w:pPr>
      <w:r>
        <w:t>It was from 1989 that the role of H</w:t>
      </w:r>
      <w:r w:rsidR="00545D44">
        <w:t xml:space="preserve">ousing </w:t>
      </w:r>
      <w:r>
        <w:t>A</w:t>
      </w:r>
      <w:r w:rsidR="00545D44">
        <w:t>ssociation</w:t>
      </w:r>
      <w:r>
        <w:t xml:space="preserve">s in the UK housing system underwent a qualitative shift. 1989 marked the year in which the first stock transfers occurred from local authorities to Housing Associations. </w:t>
      </w:r>
      <w:r w:rsidR="00D37852">
        <w:t>An impor</w:t>
      </w:r>
      <w:r w:rsidR="007F4532">
        <w:t>tant driver of these transfers</w:t>
      </w:r>
      <w:r w:rsidR="00D37852">
        <w:t xml:space="preserve"> came from local authority housing managers acting to protect stock from potential transfers to market-based actors. </w:t>
      </w:r>
      <w:r w:rsidR="004B0F31">
        <w:t>Regulatory changes introduced through the 1988 Housing Act opened-up a mechanism for local authority residents to vo</w:t>
      </w:r>
      <w:r w:rsidR="008B3940">
        <w:t xml:space="preserve">te to transfer their homes to a market-based landlord. To forestall the </w:t>
      </w:r>
      <w:r w:rsidR="008B3940">
        <w:lastRenderedPageBreak/>
        <w:t>perceived danger of stock being transferred to predatory landlords, and of local authority housing teams’ jobs being placed under pressure, many local authority housing managers took the lead in creating H</w:t>
      </w:r>
      <w:r w:rsidR="00545D44">
        <w:t xml:space="preserve">ousing </w:t>
      </w:r>
      <w:r w:rsidR="008B3940">
        <w:t>A</w:t>
      </w:r>
      <w:r w:rsidR="00545D44">
        <w:t>ssociation</w:t>
      </w:r>
      <w:r w:rsidR="008B3940">
        <w:t>s and arranging for stock transfers to occur (Malpass and Mullins 2002</w:t>
      </w:r>
      <w:r w:rsidR="00383ABC">
        <w:t xml:space="preserve">: </w:t>
      </w:r>
      <w:r w:rsidR="008B3940">
        <w:t>675-6).</w:t>
      </w:r>
      <w:r w:rsidR="00C34ABD">
        <w:t xml:space="preserve"> Since 1989, around 1.3 million homes have been transferred from local authority to Housing Association ownership (</w:t>
      </w:r>
      <w:r w:rsidR="009308D4">
        <w:t>Altair 2016</w:t>
      </w:r>
      <w:r w:rsidR="00C34ABD">
        <w:t>).</w:t>
      </w:r>
      <w:r w:rsidR="009308D4">
        <w:t xml:space="preserve"> Through the Housing Corporation (whose functions were in 2008 subsumed into the Homes and Communities Agency), the government retained capacities to shape rent levels and new-build construction activities of Housing Associations.</w:t>
      </w:r>
      <w:r w:rsidR="00AE3F3C">
        <w:t xml:space="preserve"> </w:t>
      </w:r>
    </w:p>
    <w:p w:rsidR="007475B0" w:rsidRDefault="007475B0" w:rsidP="00862343">
      <w:pPr>
        <w:pStyle w:val="Header"/>
        <w:tabs>
          <w:tab w:val="clear" w:pos="4513"/>
          <w:tab w:val="left" w:pos="851"/>
        </w:tabs>
        <w:spacing w:line="480" w:lineRule="auto"/>
      </w:pPr>
    </w:p>
    <w:p w:rsidR="00EA0742" w:rsidRDefault="009308D4" w:rsidP="00862343">
      <w:pPr>
        <w:pStyle w:val="Header"/>
        <w:tabs>
          <w:tab w:val="clear" w:pos="4513"/>
          <w:tab w:val="left" w:pos="851"/>
        </w:tabs>
        <w:spacing w:line="480" w:lineRule="auto"/>
      </w:pPr>
      <w:r>
        <w:t>In relation to rent charges, f</w:t>
      </w:r>
      <w:r w:rsidR="00D10B93">
        <w:t xml:space="preserve">or the early years of the 1990s Housing Associations operated in a relatively </w:t>
      </w:r>
      <w:r w:rsidR="00D10B93">
        <w:rPr>
          <w:i/>
        </w:rPr>
        <w:t>laissez-faire</w:t>
      </w:r>
      <w:r w:rsidR="00E54A1F">
        <w:t xml:space="preserve"> environment</w:t>
      </w:r>
      <w:r w:rsidR="0013185D">
        <w:t xml:space="preserve">. </w:t>
      </w:r>
      <w:r w:rsidR="00C74F02">
        <w:t>However, from the middle of the decade</w:t>
      </w:r>
      <w:r w:rsidR="00382919">
        <w:t>,</w:t>
      </w:r>
      <w:r w:rsidR="00C74F02">
        <w:t xml:space="preserve"> the government moved away from its </w:t>
      </w:r>
      <w:r>
        <w:t>light touch approach</w:t>
      </w:r>
      <w:r w:rsidR="00487A06">
        <w:t>, with</w:t>
      </w:r>
      <w:r w:rsidR="00C74F02">
        <w:t xml:space="preserve"> the Housing Corporation </w:t>
      </w:r>
      <w:r w:rsidR="00E11B54">
        <w:t>being</w:t>
      </w:r>
      <w:r w:rsidR="00C74F02">
        <w:t xml:space="preserve"> directed by the government to</w:t>
      </w:r>
      <w:r w:rsidR="00E11B54">
        <w:t xml:space="preserve"> </w:t>
      </w:r>
      <w:r>
        <w:t xml:space="preserve">use its influence to </w:t>
      </w:r>
      <w:r w:rsidR="00E11B54">
        <w:t xml:space="preserve">manage the pace of </w:t>
      </w:r>
      <w:r w:rsidR="00545D44">
        <w:t xml:space="preserve">Associations’ </w:t>
      </w:r>
      <w:r w:rsidR="00E11B54">
        <w:t>rent increases. In the first instance, the Corporation began to</w:t>
      </w:r>
      <w:r w:rsidR="00C74F02">
        <w:t xml:space="preserve"> take account of</w:t>
      </w:r>
      <w:r w:rsidR="00E11B54">
        <w:t xml:space="preserve"> </w:t>
      </w:r>
      <w:r w:rsidR="00545D44">
        <w:t xml:space="preserve">Associations’ </w:t>
      </w:r>
      <w:r w:rsidR="00C74F02">
        <w:t xml:space="preserve">rent levels when making decisions over applications for capital grants. Given the importance of Corporation funding </w:t>
      </w:r>
      <w:r w:rsidR="00DB4C69">
        <w:t xml:space="preserve">to </w:t>
      </w:r>
      <w:r w:rsidR="00AE3F3C">
        <w:t>Associations’</w:t>
      </w:r>
      <w:r w:rsidR="00DB4C69">
        <w:t xml:space="preserve"> development activities, this </w:t>
      </w:r>
      <w:r w:rsidR="00DD0332">
        <w:t xml:space="preserve">mechanism provided </w:t>
      </w:r>
      <w:r w:rsidR="00074ABE">
        <w:t>a potent</w:t>
      </w:r>
      <w:r w:rsidR="00DD0332">
        <w:t xml:space="preserve"> incentive.</w:t>
      </w:r>
      <w:r w:rsidR="00074ABE">
        <w:t xml:space="preserve"> </w:t>
      </w:r>
      <w:r w:rsidR="001052AD">
        <w:t xml:space="preserve">After some prevarication over the target level, the Housing Corporation announced in 1998 that </w:t>
      </w:r>
      <w:r w:rsidR="00487A06">
        <w:t>HAs with rent increases above Retail Price Inflation + 1 percent would lose access to funding (Malpass 2000</w:t>
      </w:r>
      <w:r w:rsidR="00666737">
        <w:t xml:space="preserve">: </w:t>
      </w:r>
      <w:r w:rsidR="00487A06">
        <w:t>216).</w:t>
      </w:r>
      <w:r w:rsidR="00DD0332">
        <w:t xml:space="preserve"> </w:t>
      </w:r>
    </w:p>
    <w:p w:rsidR="00D96AC7" w:rsidRDefault="00D96AC7" w:rsidP="00862343">
      <w:pPr>
        <w:pStyle w:val="Header"/>
        <w:tabs>
          <w:tab w:val="clear" w:pos="4513"/>
          <w:tab w:val="left" w:pos="851"/>
        </w:tabs>
        <w:spacing w:line="480" w:lineRule="auto"/>
      </w:pPr>
    </w:p>
    <w:p w:rsidR="00FE1487" w:rsidRPr="00FE1487" w:rsidRDefault="00EA0742" w:rsidP="00862343">
      <w:pPr>
        <w:pStyle w:val="Header"/>
        <w:tabs>
          <w:tab w:val="clear" w:pos="4513"/>
          <w:tab w:val="left" w:pos="851"/>
        </w:tabs>
        <w:spacing w:line="480" w:lineRule="auto"/>
      </w:pPr>
      <w:r>
        <w:t xml:space="preserve">These regulatory tweaks served to constrain the </w:t>
      </w:r>
      <w:r w:rsidR="00DA7EF5">
        <w:t xml:space="preserve">rents that could be levied on social rental tenants by </w:t>
      </w:r>
      <w:r>
        <w:t xml:space="preserve">Housing Associations were able to achieve through their core social rental activity. </w:t>
      </w:r>
      <w:r w:rsidR="00DA7EF5">
        <w:t xml:space="preserve">Regulatory </w:t>
      </w:r>
      <w:r>
        <w:t>constraint</w:t>
      </w:r>
      <w:r w:rsidR="00DA7EF5">
        <w:t>s</w:t>
      </w:r>
      <w:r>
        <w:t xml:space="preserve"> </w:t>
      </w:r>
      <w:r w:rsidR="00DA7EF5">
        <w:t>evovled</w:t>
      </w:r>
      <w:r w:rsidR="0050045E">
        <w:t xml:space="preserve"> through the years of the Labour government</w:t>
      </w:r>
      <w:r>
        <w:t xml:space="preserve"> from 1997-2010</w:t>
      </w:r>
      <w:r w:rsidR="0050045E">
        <w:t>, for whom a major goal</w:t>
      </w:r>
      <w:r w:rsidR="00A964A2">
        <w:t xml:space="preserve"> was the equaliz</w:t>
      </w:r>
      <w:r>
        <w:t xml:space="preserve">ation of </w:t>
      </w:r>
      <w:r w:rsidR="0050045E">
        <w:t>rent charges</w:t>
      </w:r>
      <w:r>
        <w:t xml:space="preserve"> across the social rental sector for equivalent properties</w:t>
      </w:r>
      <w:r w:rsidR="0050045E">
        <w:t>. T</w:t>
      </w:r>
      <w:r>
        <w:t>o accomplish this goal, a complex set of ‘rent influencing guidelines’ were created</w:t>
      </w:r>
      <w:r w:rsidR="0050045E">
        <w:t xml:space="preserve">, which </w:t>
      </w:r>
      <w:r w:rsidR="00B43E62">
        <w:t xml:space="preserve">deployed Housing Corporation monitoring to </w:t>
      </w:r>
      <w:r w:rsidR="00EF2A2B">
        <w:t xml:space="preserve">steer </w:t>
      </w:r>
      <w:r w:rsidR="00DA7EF5">
        <w:t xml:space="preserve">Associations </w:t>
      </w:r>
      <w:r w:rsidR="00EF2A2B">
        <w:t>toward rents that were deemed locally appropriate for the given type of property (Wilson 2016</w:t>
      </w:r>
      <w:r w:rsidR="00383ABC">
        <w:t xml:space="preserve">: </w:t>
      </w:r>
      <w:r w:rsidR="00EF2A2B">
        <w:t>6-9).</w:t>
      </w:r>
      <w:r w:rsidR="0050045E">
        <w:t xml:space="preserve"> </w:t>
      </w:r>
      <w:r w:rsidR="00FE1487">
        <w:t xml:space="preserve">Overall, under this regime, Housing </w:t>
      </w:r>
      <w:r w:rsidR="00FE1487">
        <w:lastRenderedPageBreak/>
        <w:t xml:space="preserve">Associations charged </w:t>
      </w:r>
      <w:r w:rsidR="0007306D">
        <w:t xml:space="preserve">a </w:t>
      </w:r>
      <w:r w:rsidR="00DA7EF5">
        <w:t xml:space="preserve">‘social rent’ </w:t>
      </w:r>
      <w:r w:rsidR="00FE1487">
        <w:t>that w</w:t>
      </w:r>
      <w:r w:rsidR="0007306D">
        <w:t>as</w:t>
      </w:r>
      <w:r w:rsidR="00FE1487">
        <w:t xml:space="preserve"> set according to a formula that took account, </w:t>
      </w:r>
      <w:r w:rsidR="00FE1487">
        <w:rPr>
          <w:i/>
        </w:rPr>
        <w:t>inter alia</w:t>
      </w:r>
      <w:r w:rsidR="00FE1487">
        <w:t>, of property value and local earnings level (Wilson 2017: 3).</w:t>
      </w:r>
    </w:p>
    <w:p w:rsidR="00FE1487" w:rsidRDefault="00FE1487" w:rsidP="00862343">
      <w:pPr>
        <w:pStyle w:val="Header"/>
        <w:tabs>
          <w:tab w:val="clear" w:pos="4513"/>
          <w:tab w:val="left" w:pos="851"/>
        </w:tabs>
        <w:spacing w:line="480" w:lineRule="auto"/>
      </w:pPr>
    </w:p>
    <w:p w:rsidR="00FE1487" w:rsidRDefault="00B2433C" w:rsidP="00862343">
      <w:pPr>
        <w:pStyle w:val="Header"/>
        <w:tabs>
          <w:tab w:val="clear" w:pos="4513"/>
          <w:tab w:val="left" w:pos="851"/>
        </w:tabs>
        <w:spacing w:line="480" w:lineRule="auto"/>
      </w:pPr>
      <w:r>
        <w:t xml:space="preserve">The period through the 1990s and 2000s, then, saw the emergence of Housing Associations as the leading providers of social housing in England. Through the Housing Corporation, the UK government retained the capacity to shape charges levied by Associations, with </w:t>
      </w:r>
      <w:r w:rsidR="00DA7EF5">
        <w:t xml:space="preserve">social rents </w:t>
      </w:r>
      <w:r>
        <w:t xml:space="preserve">being set against a measure of property value, local income levels, and other factors. The Housing Corporation was also a fulcrum of Associations’ new-build operations, with its grants constituting around 50 percent of Associations’ investment expenditure from the mid-1990s through to the late-2010s (see Figure 1). The Affordable Homes Programme, introduced by the Coalition government in 2011, </w:t>
      </w:r>
      <w:r w:rsidR="00FE1487">
        <w:t xml:space="preserve">served to transform the </w:t>
      </w:r>
      <w:r>
        <w:t xml:space="preserve">rent and new-build development regime surrounding Housing Associations, and </w:t>
      </w:r>
      <w:r w:rsidR="00F5399D">
        <w:t>provided the context for</w:t>
      </w:r>
      <w:r>
        <w:t xml:space="preserve"> London-based Associations’ turn to cross-subsidisation. </w:t>
      </w:r>
    </w:p>
    <w:p w:rsidR="00984715" w:rsidRDefault="00984715" w:rsidP="00984715">
      <w:pPr>
        <w:pStyle w:val="Header"/>
        <w:tabs>
          <w:tab w:val="clear" w:pos="4513"/>
          <w:tab w:val="left" w:pos="851"/>
        </w:tabs>
        <w:spacing w:line="480" w:lineRule="auto"/>
      </w:pPr>
    </w:p>
    <w:p w:rsidR="00984715" w:rsidRDefault="00984715" w:rsidP="00984715">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t>Figure 1: English Housing Associations’ gross investment expenditure (£bn)</w:t>
      </w:r>
    </w:p>
    <w:p w:rsidR="00984715" w:rsidRDefault="00984715" w:rsidP="00984715">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rPr>
          <w:noProof/>
          <w:lang w:eastAsia="en-GB"/>
        </w:rPr>
        <w:drawing>
          <wp:inline distT="0" distB="0" distL="0" distR="0" wp14:anchorId="5F89404D" wp14:editId="2F74B413">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4715" w:rsidRDefault="00984715" w:rsidP="00984715">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t>Source: Wilcox et al 2017: Table 59</w:t>
      </w:r>
    </w:p>
    <w:p w:rsidR="00984715" w:rsidRDefault="00984715" w:rsidP="00984715">
      <w:pPr>
        <w:pStyle w:val="Header"/>
        <w:tabs>
          <w:tab w:val="clear" w:pos="4513"/>
          <w:tab w:val="left" w:pos="851"/>
        </w:tabs>
        <w:spacing w:line="480" w:lineRule="auto"/>
      </w:pPr>
    </w:p>
    <w:p w:rsidR="00745AA9" w:rsidRDefault="008E4CCC" w:rsidP="00862343">
      <w:pPr>
        <w:pStyle w:val="Header"/>
        <w:tabs>
          <w:tab w:val="clear" w:pos="4513"/>
          <w:tab w:val="left" w:pos="851"/>
        </w:tabs>
        <w:spacing w:line="480" w:lineRule="auto"/>
      </w:pPr>
      <w:r>
        <w:lastRenderedPageBreak/>
        <w:t>In December 2010, six months after coming to power, the Conservative-Liberal Democrat Coalition government officially launched its Affordable Homes Programme</w:t>
      </w:r>
      <w:r w:rsidR="00EB0499">
        <w:t xml:space="preserve"> 2011-15</w:t>
      </w:r>
      <w:r>
        <w:t xml:space="preserve">. </w:t>
      </w:r>
      <w:r w:rsidR="00EB0499">
        <w:t>With its commitment of £4.5bn over the four-year period, the AHP represented a manifestation of the Coalition government’s ‘austerity’ focus on reducing capital expenditure. Projected HCA spend under the AHP was around one-third of the level committed during the pr</w:t>
      </w:r>
      <w:r w:rsidR="00616236">
        <w:t>evious four-year period</w:t>
      </w:r>
      <w:r w:rsidR="00EB0499">
        <w:t xml:space="preserve">. </w:t>
      </w:r>
    </w:p>
    <w:p w:rsidR="00745AA9" w:rsidRDefault="00745AA9" w:rsidP="00862343">
      <w:pPr>
        <w:pStyle w:val="Header"/>
        <w:tabs>
          <w:tab w:val="clear" w:pos="4513"/>
          <w:tab w:val="left" w:pos="851"/>
        </w:tabs>
        <w:spacing w:line="480" w:lineRule="auto"/>
      </w:pPr>
    </w:p>
    <w:p w:rsidR="00D52AAB" w:rsidRDefault="00D52AAB" w:rsidP="00862343">
      <w:pPr>
        <w:pStyle w:val="Header"/>
        <w:tabs>
          <w:tab w:val="clear" w:pos="4513"/>
          <w:tab w:val="left" w:pos="851"/>
        </w:tabs>
        <w:spacing w:line="480" w:lineRule="auto"/>
      </w:pPr>
      <w:r>
        <w:t>The aim of the AHP was to support the delivery of 150,000 new homes</w:t>
      </w:r>
      <w:r w:rsidR="00745AA9">
        <w:t>,</w:t>
      </w:r>
      <w:r>
        <w:t xml:space="preserve"> </w:t>
      </w:r>
      <w:r w:rsidR="0007306D">
        <w:t>predominantly for rent at sub-market rates</w:t>
      </w:r>
      <w:r>
        <w:t>. In order to facilitate the attainment of this target</w:t>
      </w:r>
      <w:r w:rsidR="00745AA9">
        <w:t xml:space="preserve"> off the back of a significantly-reduced capital grant</w:t>
      </w:r>
      <w:r>
        <w:t>, a new</w:t>
      </w:r>
      <w:r w:rsidR="00F33BEB">
        <w:t xml:space="preserve"> market-linked</w:t>
      </w:r>
      <w:r>
        <w:t xml:space="preserve"> </w:t>
      </w:r>
      <w:r w:rsidR="00616236">
        <w:t>rental</w:t>
      </w:r>
      <w:r>
        <w:t xml:space="preserve"> modality for Housing Associations</w:t>
      </w:r>
      <w:r w:rsidR="00745AA9">
        <w:t xml:space="preserve"> was introduced as part of the Programme. Under this ‘affordable rent’ modality</w:t>
      </w:r>
      <w:r w:rsidR="00F33BEB">
        <w:t>, Associations we</w:t>
      </w:r>
      <w:r w:rsidR="0007306D">
        <w:t xml:space="preserve">re permitted to charge </w:t>
      </w:r>
      <w:r w:rsidR="00F33BEB">
        <w:t>up to 80 percent of the prevailing market rate</w:t>
      </w:r>
      <w:r w:rsidR="00745AA9">
        <w:t xml:space="preserve"> (as a point of</w:t>
      </w:r>
      <w:r w:rsidR="00F33BEB">
        <w:t xml:space="preserve"> comparison, in 2011 the average </w:t>
      </w:r>
      <w:r w:rsidR="00616236">
        <w:t>s</w:t>
      </w:r>
      <w:r w:rsidR="00F33BEB">
        <w:t xml:space="preserve">ocial </w:t>
      </w:r>
      <w:r w:rsidR="00616236">
        <w:t>r</w:t>
      </w:r>
      <w:r w:rsidR="00F33BEB">
        <w:t xml:space="preserve">ent </w:t>
      </w:r>
      <w:r w:rsidR="0007306D">
        <w:t>(determined by</w:t>
      </w:r>
      <w:r w:rsidR="00F33BEB">
        <w:t xml:space="preserve"> the national rent regime</w:t>
      </w:r>
      <w:r w:rsidR="0007306D">
        <w:t>)</w:t>
      </w:r>
      <w:r w:rsidR="00F33BEB">
        <w:t xml:space="preserve"> was </w:t>
      </w:r>
      <w:r w:rsidR="0007306D">
        <w:t xml:space="preserve">around </w:t>
      </w:r>
      <w:r w:rsidR="00F33BEB">
        <w:t>50 percent of the prevailing market rate (DCLG 2012)</w:t>
      </w:r>
      <w:r w:rsidR="00745AA9">
        <w:t>)</w:t>
      </w:r>
      <w:r w:rsidR="00F33BEB">
        <w:t xml:space="preserve">. </w:t>
      </w:r>
      <w:r w:rsidR="00745AA9">
        <w:t>This a</w:t>
      </w:r>
      <w:r w:rsidR="009851AA">
        <w:t xml:space="preserve">ffordable </w:t>
      </w:r>
      <w:r w:rsidR="00616236">
        <w:t>r</w:t>
      </w:r>
      <w:r w:rsidR="009851AA">
        <w:t xml:space="preserve">ent </w:t>
      </w:r>
      <w:r w:rsidR="00745AA9">
        <w:t xml:space="preserve">mode </w:t>
      </w:r>
      <w:r w:rsidR="009851AA">
        <w:t>was intended to constitute the ‘principal element’ of new-build homes delivered</w:t>
      </w:r>
      <w:r w:rsidR="00745AA9">
        <w:t xml:space="preserve"> under the AHP</w:t>
      </w:r>
      <w:r w:rsidR="009851AA">
        <w:t xml:space="preserve"> (HCA 2011: 5); while not completely barred, the AHP prospectus was clear that applications for grant to support new-build </w:t>
      </w:r>
      <w:r w:rsidR="00616236">
        <w:t>s</w:t>
      </w:r>
      <w:r w:rsidR="009851AA">
        <w:t xml:space="preserve">ocial </w:t>
      </w:r>
      <w:r w:rsidR="00616236">
        <w:t>r</w:t>
      </w:r>
      <w:r w:rsidR="009851AA">
        <w:t xml:space="preserve">ent accommodation would only be considered ‘in exceptional circumstances’ (HCA 2011: 20). </w:t>
      </w:r>
      <w:r w:rsidR="00217F9C">
        <w:t>It was envisaged that the higher ‘tenanted market value’</w:t>
      </w:r>
      <w:r w:rsidR="009165DF">
        <w:t xml:space="preserve"> (a 30-year projection of rental income)</w:t>
      </w:r>
      <w:r w:rsidR="00217F9C">
        <w:t xml:space="preserve"> of </w:t>
      </w:r>
      <w:r w:rsidR="00616236">
        <w:t>a</w:t>
      </w:r>
      <w:r w:rsidR="00217F9C">
        <w:t xml:space="preserve">ffordable </w:t>
      </w:r>
      <w:r w:rsidR="00616236">
        <w:t>r</w:t>
      </w:r>
      <w:r w:rsidR="00217F9C">
        <w:t xml:space="preserve">ent properties would allow Housing Associations to ‘crowd in’ private finance to </w:t>
      </w:r>
      <w:r w:rsidR="009165DF">
        <w:t>counter-balance</w:t>
      </w:r>
      <w:r w:rsidR="00217F9C">
        <w:t xml:space="preserve"> the lower levels of HCA grant.</w:t>
      </w:r>
      <w:r w:rsidR="009165DF">
        <w:t xml:space="preserve"> In addition to pushing Associations to provide new-builds at </w:t>
      </w:r>
      <w:r w:rsidR="00616236">
        <w:t>a</w:t>
      </w:r>
      <w:r w:rsidR="009165DF">
        <w:t xml:space="preserve">ffordable </w:t>
      </w:r>
      <w:r w:rsidR="00616236">
        <w:t>r</w:t>
      </w:r>
      <w:r w:rsidR="009165DF">
        <w:t xml:space="preserve">ent rather than </w:t>
      </w:r>
      <w:r w:rsidR="00616236">
        <w:t>s</w:t>
      </w:r>
      <w:r w:rsidR="009165DF">
        <w:t xml:space="preserve">ocial </w:t>
      </w:r>
      <w:r w:rsidR="00616236">
        <w:t>r</w:t>
      </w:r>
      <w:r w:rsidR="009165DF">
        <w:t xml:space="preserve">ent, the AHP also introduced an expectation that existing stock would be converted from </w:t>
      </w:r>
      <w:r w:rsidR="00616236">
        <w:t>s</w:t>
      </w:r>
      <w:r w:rsidR="009165DF">
        <w:t xml:space="preserve">ocial to </w:t>
      </w:r>
      <w:r w:rsidR="00616236">
        <w:t>a</w:t>
      </w:r>
      <w:r w:rsidR="009165DF">
        <w:t>ffordable</w:t>
      </w:r>
      <w:r w:rsidR="00430FD6">
        <w:t xml:space="preserve"> </w:t>
      </w:r>
      <w:r w:rsidR="00616236">
        <w:t>r</w:t>
      </w:r>
      <w:r w:rsidR="00430FD6">
        <w:t>ent</w:t>
      </w:r>
      <w:r w:rsidR="009165DF">
        <w:t xml:space="preserve">, with the additional resource flows </w:t>
      </w:r>
      <w:r w:rsidR="00430FD6">
        <w:t xml:space="preserve">generated </w:t>
      </w:r>
      <w:r w:rsidR="009165DF">
        <w:t>also being used to support new-build activities</w:t>
      </w:r>
      <w:r w:rsidR="008C7961">
        <w:t xml:space="preserve"> (HCA 2011: 5)</w:t>
      </w:r>
      <w:r w:rsidR="009165DF">
        <w:t>.</w:t>
      </w:r>
      <w:r w:rsidR="00217F9C">
        <w:t xml:space="preserve"> </w:t>
      </w:r>
    </w:p>
    <w:p w:rsidR="00745AA9" w:rsidRDefault="00745AA9" w:rsidP="00862343">
      <w:pPr>
        <w:pStyle w:val="Header"/>
        <w:tabs>
          <w:tab w:val="clear" w:pos="4513"/>
          <w:tab w:val="left" w:pos="851"/>
        </w:tabs>
        <w:spacing w:line="480" w:lineRule="auto"/>
      </w:pPr>
    </w:p>
    <w:p w:rsidR="00745AA9" w:rsidRDefault="00745AA9" w:rsidP="00862343">
      <w:pPr>
        <w:pStyle w:val="Header"/>
        <w:tabs>
          <w:tab w:val="clear" w:pos="4513"/>
          <w:tab w:val="left" w:pos="851"/>
        </w:tabs>
        <w:spacing w:line="480" w:lineRule="auto"/>
      </w:pPr>
      <w:r>
        <w:t xml:space="preserve">Under the AHP, then, the broad expectation was that Housing Associations would </w:t>
      </w:r>
      <w:r w:rsidR="00784EC7">
        <w:t>counterbalance</w:t>
      </w:r>
      <w:r>
        <w:t xml:space="preserve"> reduced grant flows </w:t>
      </w:r>
      <w:r w:rsidR="00784EC7">
        <w:t xml:space="preserve">for new-build operations </w:t>
      </w:r>
      <w:r>
        <w:t xml:space="preserve">by moving towards increasingly market-related </w:t>
      </w:r>
      <w:r w:rsidR="00784EC7">
        <w:t xml:space="preserve">rental </w:t>
      </w:r>
      <w:r>
        <w:lastRenderedPageBreak/>
        <w:t xml:space="preserve">rates. As is explored below, significant sub-national variation emerged in the </w:t>
      </w:r>
      <w:r w:rsidR="00784EC7">
        <w:t>form of marketization adopted within the provision of social housing in England.</w:t>
      </w:r>
    </w:p>
    <w:p w:rsidR="003E7AD3" w:rsidRDefault="003E7AD3" w:rsidP="009C740D"/>
    <w:p w:rsidR="00A71004" w:rsidRPr="002A354C" w:rsidRDefault="00766E08" w:rsidP="00A71004">
      <w:pPr>
        <w:pStyle w:val="Header"/>
        <w:tabs>
          <w:tab w:val="clear" w:pos="4513"/>
          <w:tab w:val="left" w:pos="851"/>
        </w:tabs>
        <w:spacing w:line="480" w:lineRule="auto"/>
        <w:rPr>
          <w:u w:val="single"/>
        </w:rPr>
      </w:pPr>
      <w:r>
        <w:rPr>
          <w:u w:val="single"/>
        </w:rPr>
        <w:t>Exploring a</w:t>
      </w:r>
      <w:r w:rsidR="00A71004">
        <w:rPr>
          <w:u w:val="single"/>
        </w:rPr>
        <w:t>symmetric marketization</w:t>
      </w:r>
      <w:r>
        <w:rPr>
          <w:u w:val="single"/>
        </w:rPr>
        <w:t xml:space="preserve">: method </w:t>
      </w:r>
      <w:r w:rsidR="008B3AFF">
        <w:rPr>
          <w:u w:val="single"/>
        </w:rPr>
        <w:t>and</w:t>
      </w:r>
      <w:r>
        <w:rPr>
          <w:u w:val="single"/>
        </w:rPr>
        <w:t xml:space="preserve"> analysis</w:t>
      </w:r>
    </w:p>
    <w:p w:rsidR="00F56112" w:rsidRDefault="00575F34" w:rsidP="009C740D">
      <w:r>
        <w:t>Through the 1990s and 2000s, then, the provision of social housing in England evolved in a manner that reflected the transformations toward the ‘regulatory state’ and the ‘regulatory provision of welfare’. In the</w:t>
      </w:r>
      <w:r w:rsidR="00004F92">
        <w:t xml:space="preserve"> paragraphs below, </w:t>
      </w:r>
      <w:r>
        <w:t>I outline the spatial variation that was embedded</w:t>
      </w:r>
      <w:r w:rsidR="00766E08">
        <w:t xml:space="preserve"> in the English social housing system</w:t>
      </w:r>
      <w:r>
        <w:t xml:space="preserve"> in response to the Coalition government’s AHP. In doing so, </w:t>
      </w:r>
      <w:r w:rsidR="00004F92">
        <w:t>I</w:t>
      </w:r>
      <w:r w:rsidR="00E23210">
        <w:t xml:space="preserve"> present a</w:t>
      </w:r>
      <w:r w:rsidR="00784EC7">
        <w:t xml:space="preserve"> </w:t>
      </w:r>
      <w:r w:rsidR="009F3ED8">
        <w:t>regression</w:t>
      </w:r>
      <w:r w:rsidR="00784EC7">
        <w:t xml:space="preserve"> </w:t>
      </w:r>
      <w:r w:rsidR="00004F92">
        <w:t xml:space="preserve">analysis </w:t>
      </w:r>
      <w:r w:rsidR="009F3ED8">
        <w:t>that seeks to probe the</w:t>
      </w:r>
      <w:r w:rsidR="009D4D39">
        <w:t xml:space="preserve"> drivers</w:t>
      </w:r>
      <w:r>
        <w:t xml:space="preserve"> – including spatial location –</w:t>
      </w:r>
      <w:r w:rsidR="009D4D39">
        <w:t xml:space="preserve"> of Associations’ turn toward commercial cross-subsidy</w:t>
      </w:r>
      <w:r w:rsidR="009F3ED8">
        <w:t xml:space="preserve"> following the launch of the AHP</w:t>
      </w:r>
      <w:r w:rsidR="009D4D39">
        <w:t xml:space="preserve">. I frame this analysis by first reviewing descriptive statistics that capture regional variation in volumes of commercial cross-subsidy, private sector rental affordability, and Housing Association rent levels. </w:t>
      </w:r>
      <w:r w:rsidR="009F3ED8">
        <w:t>Key descriptive statistics and the regression analysis are founded on an extension of the Homes and Communities Agency’s Global Accounts dataset,</w:t>
      </w:r>
      <w:r w:rsidR="000F128E">
        <w:rPr>
          <w:rStyle w:val="FootnoteReference"/>
        </w:rPr>
        <w:footnoteReference w:id="4"/>
      </w:r>
      <w:r w:rsidR="009F3ED8">
        <w:t xml:space="preserve"> through which I have added location information to the HCA’s compendium of Associations’ income and expenditure activities. The descriptive statistics identify </w:t>
      </w:r>
      <w:r w:rsidR="00F56112">
        <w:t>overall patterns of</w:t>
      </w:r>
      <w:r w:rsidR="009F3ED8">
        <w:t xml:space="preserve"> asymmetric marketization, and the regression analysis confirms the significant role of a London location (alongside Associations’ size and prior experience of new-bui</w:t>
      </w:r>
      <w:r w:rsidR="00F56112">
        <w:t>ld construction) in shaping the</w:t>
      </w:r>
      <w:r w:rsidR="009F3ED8">
        <w:t xml:space="preserve"> </w:t>
      </w:r>
      <w:r w:rsidR="00F56112">
        <w:t>drive toward commercial cross-subsidy as a mechanism to ameliorate grant reduction</w:t>
      </w:r>
      <w:r w:rsidR="009F3ED8">
        <w:t>.</w:t>
      </w:r>
    </w:p>
    <w:p w:rsidR="00F56112" w:rsidRDefault="00F56112" w:rsidP="009C740D"/>
    <w:p w:rsidR="009D4D39" w:rsidRDefault="00F56112" w:rsidP="009C740D">
      <w:r>
        <w:t xml:space="preserve">Before progressing to the descriptive statistics and regression analysis, a word on data </w:t>
      </w:r>
      <w:r w:rsidR="006F396F">
        <w:t>limitations</w:t>
      </w:r>
      <w:r>
        <w:t xml:space="preserve"> is necessary. </w:t>
      </w:r>
      <w:r w:rsidR="003C3969">
        <w:t xml:space="preserve">Within the Homes and Communities Agency Global Accounts, data on Housing </w:t>
      </w:r>
      <w:r w:rsidR="003C3969">
        <w:lastRenderedPageBreak/>
        <w:t>Associations’ income and expenditure relating to market</w:t>
      </w:r>
      <w:r w:rsidR="009F3ED8">
        <w:t xml:space="preserve"> </w:t>
      </w:r>
      <w:r w:rsidR="003C3969">
        <w:t>sale and market rent is available only after 2015. As such, the descriptive statistics and regression analysis focus on the 2015-17 period. This time period captures the completion of the 2011-15 AHP, and the transition into the 2015-18 AHP which retained the core features of the</w:t>
      </w:r>
      <w:r w:rsidR="009F3ED8">
        <w:t xml:space="preserve"> </w:t>
      </w:r>
      <w:r w:rsidR="003C3969">
        <w:t>early iteration.</w:t>
      </w:r>
      <w:r w:rsidR="00BD14E7">
        <w:t xml:space="preserve"> Given the broad continuity across the earlier and later iterations of the AHP</w:t>
      </w:r>
      <w:r w:rsidR="002A5B1F">
        <w:t>, the 2015-17 timeframe is an appropriate focus of analysis.</w:t>
      </w:r>
    </w:p>
    <w:p w:rsidR="009D4D39" w:rsidRDefault="009D4D39" w:rsidP="009C740D"/>
    <w:p w:rsidR="00004F92" w:rsidRDefault="009F3ED8" w:rsidP="00004F92">
      <w:r>
        <w:t>The 2011-15</w:t>
      </w:r>
      <w:r w:rsidR="00004F92">
        <w:t xml:space="preserve"> AHP prospectus was explicit in laying out an expectation that affordable rents</w:t>
      </w:r>
      <w:r w:rsidR="00F56112">
        <w:t xml:space="preserve"> introduced under the programme</w:t>
      </w:r>
      <w:r w:rsidR="00004F92">
        <w:t xml:space="preserve"> </w:t>
      </w:r>
      <w:r w:rsidR="006B21CA">
        <w:t xml:space="preserve">across England </w:t>
      </w:r>
      <w:r w:rsidR="00004F92">
        <w:t>would be ‘at, or close to, the 80 percent</w:t>
      </w:r>
      <w:r w:rsidR="006B21CA">
        <w:t xml:space="preserve"> [of the prevailing market rate]</w:t>
      </w:r>
      <w:r w:rsidR="00004F92">
        <w:t xml:space="preserve"> limit’ (HCA 2011: 47)</w:t>
      </w:r>
      <w:r w:rsidR="00047D74">
        <w:t>, with t</w:t>
      </w:r>
      <w:r w:rsidR="006B21CA">
        <w:t xml:space="preserve">he subsequent </w:t>
      </w:r>
      <w:r w:rsidR="00004F92">
        <w:t>2015-18</w:t>
      </w:r>
      <w:r w:rsidR="006B21CA">
        <w:t xml:space="preserve"> AHP</w:t>
      </w:r>
      <w:r w:rsidR="00004F92">
        <w:t xml:space="preserve"> retain</w:t>
      </w:r>
      <w:r w:rsidR="00047D74">
        <w:t>ing the</w:t>
      </w:r>
      <w:r w:rsidR="00004F92">
        <w:t xml:space="preserve"> core </w:t>
      </w:r>
      <w:r w:rsidR="00F56112">
        <w:t>assumption that reduction in grants flowing to Associations would be counterbalanced by this move toward market-based rental rates</w:t>
      </w:r>
      <w:r w:rsidR="00004F92">
        <w:t xml:space="preserve"> (HCA 2014). </w:t>
      </w:r>
      <w:r w:rsidR="00047D74">
        <w:t>However, regional disparities in the affordability of market rent levels meant that the implications of a move toward market rates were particularly dramatic for Londo</w:t>
      </w:r>
      <w:r w:rsidR="005E3719">
        <w:t>n-based Associations. In London</w:t>
      </w:r>
      <w:r w:rsidR="00047D74">
        <w:t xml:space="preserve"> </w:t>
      </w:r>
      <w:r w:rsidR="005E3719">
        <w:t xml:space="preserve">median private rent equated to around 50 percent of median income at the start of the AHP period, as compared with figures of between 35 and 23 percent across the other English regions (see Figure 2). </w:t>
      </w:r>
    </w:p>
    <w:p w:rsidR="00004F92" w:rsidRDefault="00004F92" w:rsidP="00004F92"/>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rPr>
          <w:noProof/>
          <w:lang w:eastAsia="en-GB"/>
        </w:rPr>
        <w:drawing>
          <wp:inline distT="0" distB="0" distL="0" distR="0" wp14:anchorId="144B57EF" wp14:editId="29793ABA">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t>Source: ONS (2016).</w:t>
      </w:r>
    </w:p>
    <w:p w:rsidR="00004F92" w:rsidRDefault="00004F92" w:rsidP="00004F92">
      <w:pPr>
        <w:pStyle w:val="Header"/>
        <w:tabs>
          <w:tab w:val="clear" w:pos="4513"/>
          <w:tab w:val="left" w:pos="851"/>
        </w:tabs>
        <w:spacing w:line="480" w:lineRule="auto"/>
      </w:pPr>
    </w:p>
    <w:p w:rsidR="00004F92" w:rsidRPr="005E3719" w:rsidRDefault="002A5B1F" w:rsidP="00004F92">
      <w:pPr>
        <w:pStyle w:val="Header"/>
        <w:tabs>
          <w:tab w:val="clear" w:pos="4513"/>
          <w:tab w:val="left" w:pos="851"/>
        </w:tabs>
        <w:spacing w:line="480" w:lineRule="auto"/>
      </w:pPr>
      <w:r>
        <w:t>In the light of</w:t>
      </w:r>
      <w:r w:rsidR="005E3719">
        <w:t xml:space="preserve"> these local market conditions, London-based Associations responded to the AHP by committing to the use of additional market-based mechanisms to counter-balance reduced grant flow. Rather than, as the architects of the AHP had expected, increasing the rents charged to new and existing social tenants, a commitment to </w:t>
      </w:r>
      <w:r>
        <w:t xml:space="preserve">generate additional resource flows through </w:t>
      </w:r>
      <w:r w:rsidR="005E3719">
        <w:t>increased commercial cross-subsidy was articulated. Plans were laid to use profit generated by market sale of new housing and market rental activity to support new-build construction (G15 2015, Network Homes 2016a, Network Homes 2016b). Several larger London-based Associations adopted a principle that</w:t>
      </w:r>
      <w:r>
        <w:t>, supported by such cross-subsidy,</w:t>
      </w:r>
      <w:r w:rsidR="005E3719">
        <w:t xml:space="preserve"> </w:t>
      </w:r>
      <w:r w:rsidR="00575EA4">
        <w:t>new rent levels would not</w:t>
      </w:r>
      <w:r w:rsidR="005E3719">
        <w:t xml:space="preserve"> exceed 65 percent of the prevailing market rate (Hollander 2018)</w:t>
      </w:r>
      <w:r>
        <w:t xml:space="preserve"> (</w:t>
      </w:r>
      <w:r w:rsidR="00575EA4">
        <w:t>substantially below the AHP cap of 80 percent</w:t>
      </w:r>
      <w:r>
        <w:t>)</w:t>
      </w:r>
      <w:r w:rsidR="005E3719">
        <w:t>.</w:t>
      </w:r>
      <w:r w:rsidR="00575EA4">
        <w:rPr>
          <w:rStyle w:val="FootnoteReference"/>
        </w:rPr>
        <w:footnoteReference w:id="5"/>
      </w:r>
      <w:r w:rsidR="005E3719">
        <w:t xml:space="preserve"> </w:t>
      </w:r>
    </w:p>
    <w:p w:rsidR="005E3719" w:rsidRDefault="005E3719" w:rsidP="00004F92"/>
    <w:p w:rsidR="00004F92" w:rsidRDefault="00004F92" w:rsidP="00004F92">
      <w:r>
        <w:t xml:space="preserve">The extent of the regional divergence in Housing Associations’ extraction of commercial surplus is illustrated in Figure 3. At £120m, the commercial surplus generated by London-based Associations in 2015-17 was over four-times the volume generated by the next-highest performing region. </w:t>
      </w:r>
      <w:r w:rsidR="00575EA4">
        <w:t xml:space="preserve">London-based Associations’ turn toward commercial cross-subsidisation was accompanied by two notable trends. First, we see that these Associations provided affordable rent at rates that were substantially below the 80 percent of prevailing market rate permitted under the AHP. Whereas across England as a whole the average affordable rent was levied at around 70 percent of the prevailing market rate, in London the figure was below 50 percent (see Figure 4). Second, we see that London-based Associations had a lower propensity to convert existing social rent properties to affordable rent. Whereas across England as a whole 37 percent of existing social housing was converted by Housing Associations to the new affordable rent mode from 2015-17, in London the figure was 30 percent (see Figure 5). Overall, the rate of construction in recent years has been broadly similar across the </w:t>
      </w:r>
      <w:r w:rsidR="00575EA4">
        <w:lastRenderedPageBreak/>
        <w:t>English regions; exempting the North East and North West, Associations’ new constructions have on average added 4-6 percent to their 2015 social housing stock levels (see Figure 6).</w:t>
      </w:r>
    </w:p>
    <w:p w:rsidR="00004F92" w:rsidRDefault="00004F92" w:rsidP="00004F92">
      <w:pPr>
        <w:pStyle w:val="Header"/>
        <w:tabs>
          <w:tab w:val="clear" w:pos="4513"/>
          <w:tab w:val="left" w:pos="851"/>
        </w:tabs>
        <w:spacing w:line="480" w:lineRule="auto"/>
      </w:pP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rPr>
          <w:noProof/>
          <w:lang w:eastAsia="en-GB"/>
        </w:rPr>
        <w:drawing>
          <wp:inline distT="0" distB="0" distL="0" distR="0" wp14:anchorId="2ACEC651" wp14:editId="599AD59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t>Source: Author’s analysis of HCA Annual Global Accounts</w:t>
      </w:r>
      <w:r>
        <w:rPr>
          <w:rStyle w:val="FootnoteReference"/>
        </w:rPr>
        <w:footnoteReference w:id="6"/>
      </w:r>
    </w:p>
    <w:p w:rsidR="00004F92" w:rsidRDefault="00004F92" w:rsidP="00004F92">
      <w:pPr>
        <w:pStyle w:val="Header"/>
        <w:tabs>
          <w:tab w:val="clear" w:pos="4513"/>
          <w:tab w:val="left" w:pos="851"/>
        </w:tabs>
        <w:spacing w:line="480" w:lineRule="auto"/>
      </w:pPr>
    </w:p>
    <w:p w:rsidR="00004F92" w:rsidRDefault="00004F92" w:rsidP="00004F92">
      <w:pPr>
        <w:pStyle w:val="Header"/>
        <w:tabs>
          <w:tab w:val="clear" w:pos="4513"/>
          <w:tab w:val="left" w:pos="851"/>
        </w:tabs>
        <w:spacing w:line="480" w:lineRule="auto"/>
      </w:pP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rPr>
          <w:noProof/>
          <w:lang w:eastAsia="en-GB"/>
        </w:rPr>
        <w:drawing>
          <wp:inline distT="0" distB="0" distL="0" distR="0" wp14:anchorId="2401A6C1" wp14:editId="6E66EEDC">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rPr>
          <w:rStyle w:val="Hyperlink"/>
          <w:u w:val="none"/>
        </w:rPr>
      </w:pPr>
      <w:r>
        <w:rPr>
          <w:rStyle w:val="Hyperlink"/>
          <w:u w:val="none"/>
        </w:rPr>
        <w:lastRenderedPageBreak/>
        <w:t>Source: Author’s analysis of DCLG Social Housing Lettings data.</w:t>
      </w:r>
      <w:r>
        <w:rPr>
          <w:rStyle w:val="FootnoteReference"/>
          <w:color w:val="5F5F5F" w:themeColor="hyperlink"/>
        </w:rPr>
        <w:footnoteReference w:id="7"/>
      </w:r>
      <w:r>
        <w:rPr>
          <w:rStyle w:val="Hyperlink"/>
          <w:u w:val="none"/>
        </w:rPr>
        <w:t xml:space="preserve"> </w:t>
      </w:r>
    </w:p>
    <w:p w:rsidR="00004F92" w:rsidRPr="00A350E2" w:rsidRDefault="00004F92" w:rsidP="00004F92"/>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rPr>
          <w:rStyle w:val="Hyperlink"/>
        </w:rPr>
      </w:pPr>
      <w:r>
        <w:rPr>
          <w:noProof/>
          <w:lang w:eastAsia="en-GB"/>
        </w:rPr>
        <w:drawing>
          <wp:inline distT="0" distB="0" distL="0" distR="0" wp14:anchorId="7DE66953" wp14:editId="0B639BA7">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4F92" w:rsidRPr="0017339D"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rPr>
          <w:rStyle w:val="Hyperlink"/>
          <w:u w:val="none"/>
        </w:rPr>
      </w:pPr>
      <w:r w:rsidRPr="0017339D">
        <w:rPr>
          <w:rStyle w:val="Hyperlink"/>
          <w:u w:val="none"/>
        </w:rPr>
        <w:t>Source:</w:t>
      </w:r>
      <w:r>
        <w:rPr>
          <w:rStyle w:val="Hyperlink"/>
          <w:u w:val="none"/>
        </w:rPr>
        <w:t xml:space="preserve"> Author’s analysis of HCA Global Accounts.</w:t>
      </w:r>
      <w:r>
        <w:rPr>
          <w:rStyle w:val="FootnoteReference"/>
          <w:color w:val="5F5F5F" w:themeColor="hyperlink"/>
        </w:rPr>
        <w:footnoteReference w:id="8"/>
      </w:r>
    </w:p>
    <w:p w:rsidR="00004F92" w:rsidRDefault="00004F92" w:rsidP="00004F92">
      <w:pPr>
        <w:pStyle w:val="Header"/>
        <w:tabs>
          <w:tab w:val="clear" w:pos="4513"/>
          <w:tab w:val="left" w:pos="851"/>
        </w:tabs>
        <w:spacing w:line="480" w:lineRule="auto"/>
        <w:rPr>
          <w:rStyle w:val="Hyperlink"/>
        </w:rPr>
      </w:pP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rPr>
          <w:noProof/>
          <w:lang w:eastAsia="en-GB"/>
        </w:rPr>
        <w:drawing>
          <wp:inline distT="0" distB="0" distL="0" distR="0" wp14:anchorId="07570AF2" wp14:editId="314B9F03">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4F92" w:rsidRDefault="00004F92" w:rsidP="00004F92">
      <w:pPr>
        <w:pStyle w:val="Header"/>
        <w:pBdr>
          <w:top w:val="single" w:sz="4" w:space="1" w:color="auto"/>
          <w:left w:val="single" w:sz="4" w:space="4" w:color="auto"/>
          <w:bottom w:val="single" w:sz="4" w:space="1" w:color="auto"/>
          <w:right w:val="single" w:sz="4" w:space="4" w:color="auto"/>
        </w:pBdr>
        <w:tabs>
          <w:tab w:val="clear" w:pos="4513"/>
          <w:tab w:val="left" w:pos="851"/>
        </w:tabs>
        <w:spacing w:line="480" w:lineRule="auto"/>
      </w:pPr>
      <w:r>
        <w:lastRenderedPageBreak/>
        <w:t>Source: Author’s analysis of HCA Global Accounts.</w:t>
      </w:r>
      <w:r>
        <w:rPr>
          <w:rStyle w:val="FootnoteReference"/>
        </w:rPr>
        <w:footnoteReference w:id="9"/>
      </w:r>
    </w:p>
    <w:p w:rsidR="00A71004" w:rsidRDefault="00A71004" w:rsidP="009C740D"/>
    <w:p w:rsidR="00D70AD7" w:rsidRDefault="00434AC1" w:rsidP="00D70AD7">
      <w:pPr>
        <w:tabs>
          <w:tab w:val="left" w:pos="2359"/>
        </w:tabs>
      </w:pPr>
      <w:r>
        <w:t xml:space="preserve">A regression analysis was used to confirm the influence of location and other organisational factors on Housing Associations’ use of commercial cross-subsidy. </w:t>
      </w:r>
      <w:r w:rsidR="00D70AD7">
        <w:t>For the dependent variable (‘Rate of commercial surplus’), total surplus generated from market sales and market rent (2015-17) provided the numerator, and total turnover (2015) the denominator.</w:t>
      </w:r>
      <w:r w:rsidR="00D70AD7">
        <w:rPr>
          <w:rStyle w:val="FootnoteReference"/>
        </w:rPr>
        <w:footnoteReference w:id="10"/>
      </w:r>
      <w:r w:rsidR="00D70AD7">
        <w:t xml:space="preserve"> To test for the influence of location on Associations’ turn to commercial surplus and cross-subsidy, dummy variables were created to capture an organisation’s home region. The HCA classification, in which Associations are assigned to the English region in which he majority of its homes are located, was used as the source data.</w:t>
      </w:r>
      <w:r w:rsidR="00D70AD7">
        <w:rPr>
          <w:rStyle w:val="FootnoteReference"/>
        </w:rPr>
        <w:footnoteReference w:id="11"/>
      </w:r>
      <w:r w:rsidR="00D70AD7">
        <w:t xml:space="preserve"> Existing literature on social enterprises leads us to expect that organisations’ capacity to branch-out into commercial activity is shaped by size (with larger entities having greater access to financial resources and personnel required to adapt into and expand marketable activities), and by prior experience in the production of the marketable commodity. To test for the influence of organisation size, total turnover (2015) was used as the source data. To test for the influence of prior experience, the HCA classification of Association type was used. Where the majority of its stock was derived from independent construction and acquisition, an Association is classified as ‘traditional’; when the majority of its stock was purchased wholesale from local authorities through Large-Scale Voluntary </w:t>
      </w:r>
      <w:r w:rsidR="00D70AD7">
        <w:lastRenderedPageBreak/>
        <w:t>Transfer, an Association is classified as ‘LSVT’.</w:t>
      </w:r>
      <w:r w:rsidR="00D70AD7">
        <w:rPr>
          <w:rStyle w:val="FootnoteReference"/>
        </w:rPr>
        <w:footnoteReference w:id="12"/>
      </w:r>
      <w:r w:rsidR="00D70AD7">
        <w:t xml:space="preserve"> The intuition is that traditional</w:t>
      </w:r>
      <w:r>
        <w:t>-type</w:t>
      </w:r>
      <w:r w:rsidR="00D70AD7">
        <w:t xml:space="preserve"> Associations have greater experience at new-build construction, and so are better placed to expand construction for market sale and for market rent. Dummy variables were created for traditional and LSVT Association type.</w:t>
      </w:r>
    </w:p>
    <w:p w:rsidR="00D70AD7" w:rsidRDefault="00D70AD7" w:rsidP="00D70AD7">
      <w:pPr>
        <w:tabs>
          <w:tab w:val="left" w:pos="2359"/>
        </w:tabs>
      </w:pPr>
    </w:p>
    <w:p w:rsidR="00D70AD7" w:rsidRDefault="00D70AD7" w:rsidP="00D70AD7">
      <w:pPr>
        <w:tabs>
          <w:tab w:val="left" w:pos="2359"/>
        </w:tabs>
      </w:pPr>
      <w:r>
        <w:t>As Table 1 shows, the mean rate of commercial surplus across the 263 Associations included in the model was 0.01 (i.e. commercial surplus equated to one percent of turnover). The range ran from -0.19 to 0.15. The mean turnover in 2015 was £</w:t>
      </w:r>
      <w:r w:rsidRPr="00897654">
        <w:t>60</w:t>
      </w:r>
      <w:r>
        <w:t>,</w:t>
      </w:r>
      <w:r w:rsidRPr="00897654">
        <w:t>528</w:t>
      </w:r>
      <w:r>
        <w:t>,</w:t>
      </w:r>
      <w:r w:rsidRPr="00897654">
        <w:t>470</w:t>
      </w:r>
      <w:r>
        <w:t xml:space="preserve">, with the </w:t>
      </w:r>
      <w:r w:rsidR="00434AC1">
        <w:t>range running from £2,614,000 to £439,617,000.</w:t>
      </w:r>
      <w:r>
        <w:t xml:space="preserve"> There was an even split between traditional- and LSVT-type Associations, and a broadly even distribution of Associations across the English regions (with slightly higher numbers of Associations in London and the North West) (Table 2).</w:t>
      </w:r>
    </w:p>
    <w:p w:rsidR="00D70AD7" w:rsidRDefault="00D70AD7" w:rsidP="00D70AD7">
      <w:pPr>
        <w:tabs>
          <w:tab w:val="left" w:pos="2359"/>
        </w:tabs>
      </w:pPr>
    </w:p>
    <w:p w:rsidR="00D70AD7" w:rsidRDefault="00D70AD7" w:rsidP="00D70AD7">
      <w:pPr>
        <w:tabs>
          <w:tab w:val="left" w:pos="2359"/>
        </w:tabs>
      </w:pPr>
      <w:r>
        <w:t>Table 1: Descriptive statistics (scale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D70AD7" w:rsidTr="00745AA9">
        <w:tc>
          <w:tcPr>
            <w:tcW w:w="1803" w:type="dxa"/>
            <w:tcBorders>
              <w:bottom w:val="single" w:sz="4" w:space="0" w:color="auto"/>
            </w:tcBorders>
          </w:tcPr>
          <w:p w:rsidR="00D70AD7" w:rsidRDefault="00D70AD7" w:rsidP="00745AA9">
            <w:pPr>
              <w:tabs>
                <w:tab w:val="left" w:pos="2359"/>
              </w:tabs>
            </w:pPr>
          </w:p>
        </w:tc>
        <w:tc>
          <w:tcPr>
            <w:tcW w:w="1803" w:type="dxa"/>
            <w:tcBorders>
              <w:bottom w:val="single" w:sz="4" w:space="0" w:color="auto"/>
            </w:tcBorders>
          </w:tcPr>
          <w:p w:rsidR="00D70AD7" w:rsidRDefault="00D70AD7" w:rsidP="00745AA9">
            <w:pPr>
              <w:tabs>
                <w:tab w:val="left" w:pos="2359"/>
              </w:tabs>
            </w:pPr>
            <w:r>
              <w:t>Minimum</w:t>
            </w:r>
          </w:p>
        </w:tc>
        <w:tc>
          <w:tcPr>
            <w:tcW w:w="1803" w:type="dxa"/>
            <w:tcBorders>
              <w:bottom w:val="single" w:sz="4" w:space="0" w:color="auto"/>
            </w:tcBorders>
          </w:tcPr>
          <w:p w:rsidR="00D70AD7" w:rsidRDefault="00D70AD7" w:rsidP="00745AA9">
            <w:pPr>
              <w:tabs>
                <w:tab w:val="left" w:pos="2359"/>
              </w:tabs>
            </w:pPr>
            <w:r>
              <w:t>Maximum</w:t>
            </w:r>
          </w:p>
        </w:tc>
        <w:tc>
          <w:tcPr>
            <w:tcW w:w="1803" w:type="dxa"/>
            <w:tcBorders>
              <w:bottom w:val="single" w:sz="4" w:space="0" w:color="auto"/>
            </w:tcBorders>
          </w:tcPr>
          <w:p w:rsidR="00D70AD7" w:rsidRDefault="00D70AD7" w:rsidP="00745AA9">
            <w:pPr>
              <w:tabs>
                <w:tab w:val="left" w:pos="2359"/>
              </w:tabs>
            </w:pPr>
            <w:r>
              <w:t>Mean</w:t>
            </w:r>
          </w:p>
        </w:tc>
        <w:tc>
          <w:tcPr>
            <w:tcW w:w="1804" w:type="dxa"/>
            <w:tcBorders>
              <w:bottom w:val="single" w:sz="4" w:space="0" w:color="auto"/>
            </w:tcBorders>
          </w:tcPr>
          <w:p w:rsidR="00D70AD7" w:rsidRDefault="00D70AD7" w:rsidP="00745AA9">
            <w:pPr>
              <w:tabs>
                <w:tab w:val="left" w:pos="2359"/>
              </w:tabs>
            </w:pPr>
            <w:r>
              <w:t>Std. deviation</w:t>
            </w:r>
          </w:p>
        </w:tc>
      </w:tr>
      <w:tr w:rsidR="00D70AD7" w:rsidTr="00745AA9">
        <w:tc>
          <w:tcPr>
            <w:tcW w:w="1803" w:type="dxa"/>
            <w:tcBorders>
              <w:top w:val="single" w:sz="4" w:space="0" w:color="auto"/>
              <w:bottom w:val="nil"/>
            </w:tcBorders>
          </w:tcPr>
          <w:p w:rsidR="00D70AD7" w:rsidRDefault="00D70AD7" w:rsidP="00745AA9">
            <w:pPr>
              <w:tabs>
                <w:tab w:val="left" w:pos="2359"/>
              </w:tabs>
            </w:pPr>
            <w:r>
              <w:t>Commercial surplus (proportion)</w:t>
            </w:r>
          </w:p>
        </w:tc>
        <w:tc>
          <w:tcPr>
            <w:tcW w:w="1803" w:type="dxa"/>
            <w:tcBorders>
              <w:top w:val="single" w:sz="4" w:space="0" w:color="auto"/>
              <w:bottom w:val="nil"/>
            </w:tcBorders>
          </w:tcPr>
          <w:p w:rsidR="00D70AD7" w:rsidRDefault="00D70AD7" w:rsidP="00745AA9">
            <w:pPr>
              <w:tabs>
                <w:tab w:val="left" w:pos="2359"/>
              </w:tabs>
            </w:pPr>
            <w:r>
              <w:t>-0.19</w:t>
            </w:r>
          </w:p>
        </w:tc>
        <w:tc>
          <w:tcPr>
            <w:tcW w:w="1803" w:type="dxa"/>
            <w:tcBorders>
              <w:top w:val="single" w:sz="4" w:space="0" w:color="auto"/>
              <w:bottom w:val="nil"/>
            </w:tcBorders>
          </w:tcPr>
          <w:p w:rsidR="00D70AD7" w:rsidRDefault="00D70AD7" w:rsidP="00745AA9">
            <w:pPr>
              <w:tabs>
                <w:tab w:val="left" w:pos="2359"/>
              </w:tabs>
            </w:pPr>
            <w:r>
              <w:t>0.15</w:t>
            </w:r>
          </w:p>
        </w:tc>
        <w:tc>
          <w:tcPr>
            <w:tcW w:w="1803" w:type="dxa"/>
            <w:tcBorders>
              <w:top w:val="single" w:sz="4" w:space="0" w:color="auto"/>
              <w:bottom w:val="nil"/>
            </w:tcBorders>
          </w:tcPr>
          <w:p w:rsidR="00D70AD7" w:rsidRDefault="00D70AD7" w:rsidP="00745AA9">
            <w:pPr>
              <w:tabs>
                <w:tab w:val="left" w:pos="2359"/>
              </w:tabs>
            </w:pPr>
            <w:r>
              <w:t>0.01</w:t>
            </w:r>
          </w:p>
        </w:tc>
        <w:tc>
          <w:tcPr>
            <w:tcW w:w="1804" w:type="dxa"/>
            <w:tcBorders>
              <w:top w:val="single" w:sz="4" w:space="0" w:color="auto"/>
              <w:bottom w:val="nil"/>
            </w:tcBorders>
          </w:tcPr>
          <w:p w:rsidR="00D70AD7" w:rsidRDefault="00D70AD7" w:rsidP="00745AA9">
            <w:pPr>
              <w:tabs>
                <w:tab w:val="left" w:pos="2359"/>
              </w:tabs>
            </w:pPr>
            <w:r>
              <w:t>0.02</w:t>
            </w:r>
          </w:p>
        </w:tc>
      </w:tr>
      <w:tr w:rsidR="00D70AD7" w:rsidTr="00745AA9">
        <w:tc>
          <w:tcPr>
            <w:tcW w:w="1803" w:type="dxa"/>
            <w:tcBorders>
              <w:top w:val="nil"/>
            </w:tcBorders>
          </w:tcPr>
          <w:p w:rsidR="00D70AD7" w:rsidRDefault="00D70AD7" w:rsidP="00745AA9">
            <w:pPr>
              <w:tabs>
                <w:tab w:val="left" w:pos="2359"/>
              </w:tabs>
            </w:pPr>
            <w:r>
              <w:t>Turnover (£000)</w:t>
            </w:r>
          </w:p>
        </w:tc>
        <w:tc>
          <w:tcPr>
            <w:tcW w:w="1803" w:type="dxa"/>
            <w:tcBorders>
              <w:top w:val="nil"/>
            </w:tcBorders>
          </w:tcPr>
          <w:p w:rsidR="00D70AD7" w:rsidRDefault="00D70AD7" w:rsidP="00745AA9">
            <w:pPr>
              <w:tabs>
                <w:tab w:val="left" w:pos="2359"/>
              </w:tabs>
            </w:pPr>
            <w:r>
              <w:t>4444.00</w:t>
            </w:r>
          </w:p>
        </w:tc>
        <w:tc>
          <w:tcPr>
            <w:tcW w:w="1803" w:type="dxa"/>
            <w:tcBorders>
              <w:top w:val="nil"/>
            </w:tcBorders>
          </w:tcPr>
          <w:p w:rsidR="00D70AD7" w:rsidRDefault="00D70AD7" w:rsidP="00745AA9">
            <w:pPr>
              <w:tabs>
                <w:tab w:val="left" w:pos="2359"/>
              </w:tabs>
            </w:pPr>
            <w:r>
              <w:t>439617.00</w:t>
            </w:r>
          </w:p>
        </w:tc>
        <w:tc>
          <w:tcPr>
            <w:tcW w:w="1803" w:type="dxa"/>
            <w:tcBorders>
              <w:top w:val="nil"/>
            </w:tcBorders>
          </w:tcPr>
          <w:p w:rsidR="00D70AD7" w:rsidRDefault="00D70AD7" w:rsidP="00745AA9">
            <w:pPr>
              <w:tabs>
                <w:tab w:val="left" w:pos="2359"/>
              </w:tabs>
            </w:pPr>
            <w:r>
              <w:t>44350.8</w:t>
            </w:r>
          </w:p>
        </w:tc>
        <w:tc>
          <w:tcPr>
            <w:tcW w:w="1804" w:type="dxa"/>
            <w:tcBorders>
              <w:top w:val="nil"/>
            </w:tcBorders>
          </w:tcPr>
          <w:p w:rsidR="00D70AD7" w:rsidRDefault="00D70AD7" w:rsidP="00745AA9">
            <w:pPr>
              <w:tabs>
                <w:tab w:val="left" w:pos="2359"/>
              </w:tabs>
            </w:pPr>
            <w:r>
              <w:t>48943.96</w:t>
            </w:r>
          </w:p>
        </w:tc>
      </w:tr>
    </w:tbl>
    <w:p w:rsidR="00D70AD7" w:rsidRDefault="00D70AD7" w:rsidP="00D70AD7">
      <w:pPr>
        <w:tabs>
          <w:tab w:val="left" w:pos="2359"/>
        </w:tabs>
      </w:pPr>
    </w:p>
    <w:p w:rsidR="00D70AD7" w:rsidRDefault="00D70AD7" w:rsidP="00D70AD7">
      <w:pPr>
        <w:tabs>
          <w:tab w:val="left" w:pos="2359"/>
        </w:tabs>
      </w:pPr>
      <w:r>
        <w:t xml:space="preserve"> Table 2: Descriptive statistics (nominal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1585"/>
        <w:gridCol w:w="1187"/>
      </w:tblGrid>
      <w:tr w:rsidR="00D70AD7" w:rsidTr="00745AA9">
        <w:tc>
          <w:tcPr>
            <w:tcW w:w="0" w:type="auto"/>
            <w:tcBorders>
              <w:top w:val="single" w:sz="4" w:space="0" w:color="auto"/>
              <w:bottom w:val="single" w:sz="4" w:space="0" w:color="auto"/>
            </w:tcBorders>
          </w:tcPr>
          <w:p w:rsidR="00D70AD7" w:rsidRDefault="00D70AD7" w:rsidP="00745AA9">
            <w:pPr>
              <w:tabs>
                <w:tab w:val="left" w:pos="2359"/>
              </w:tabs>
            </w:pPr>
          </w:p>
        </w:tc>
        <w:tc>
          <w:tcPr>
            <w:tcW w:w="0" w:type="auto"/>
            <w:tcBorders>
              <w:top w:val="single" w:sz="4" w:space="0" w:color="auto"/>
              <w:bottom w:val="single" w:sz="4" w:space="0" w:color="auto"/>
            </w:tcBorders>
          </w:tcPr>
          <w:p w:rsidR="00D70AD7" w:rsidRDefault="00D70AD7" w:rsidP="00745AA9">
            <w:pPr>
              <w:tabs>
                <w:tab w:val="left" w:pos="2359"/>
              </w:tabs>
            </w:pPr>
          </w:p>
        </w:tc>
        <w:tc>
          <w:tcPr>
            <w:tcW w:w="0" w:type="auto"/>
            <w:tcBorders>
              <w:top w:val="single" w:sz="4" w:space="0" w:color="auto"/>
              <w:bottom w:val="single" w:sz="4" w:space="0" w:color="auto"/>
            </w:tcBorders>
          </w:tcPr>
          <w:p w:rsidR="00D70AD7" w:rsidRDefault="00D70AD7" w:rsidP="00745AA9">
            <w:pPr>
              <w:tabs>
                <w:tab w:val="left" w:pos="2359"/>
              </w:tabs>
            </w:pPr>
            <w:r>
              <w:t>Proportion</w:t>
            </w:r>
          </w:p>
        </w:tc>
      </w:tr>
      <w:tr w:rsidR="00D70AD7" w:rsidTr="00745AA9">
        <w:tc>
          <w:tcPr>
            <w:tcW w:w="0" w:type="auto"/>
            <w:vMerge w:val="restart"/>
            <w:tcBorders>
              <w:top w:val="single" w:sz="4" w:space="0" w:color="auto"/>
              <w:bottom w:val="nil"/>
            </w:tcBorders>
          </w:tcPr>
          <w:p w:rsidR="00D70AD7" w:rsidRDefault="00D70AD7" w:rsidP="00745AA9">
            <w:pPr>
              <w:tabs>
                <w:tab w:val="left" w:pos="2359"/>
              </w:tabs>
            </w:pPr>
            <w:r>
              <w:t>Type</w:t>
            </w:r>
          </w:p>
        </w:tc>
        <w:tc>
          <w:tcPr>
            <w:tcW w:w="0" w:type="auto"/>
            <w:tcBorders>
              <w:top w:val="single" w:sz="4" w:space="0" w:color="auto"/>
              <w:bottom w:val="nil"/>
            </w:tcBorders>
          </w:tcPr>
          <w:p w:rsidR="00D70AD7" w:rsidRDefault="00D70AD7" w:rsidP="00745AA9">
            <w:pPr>
              <w:tabs>
                <w:tab w:val="left" w:pos="2359"/>
              </w:tabs>
            </w:pPr>
            <w:r>
              <w:t>Traditional</w:t>
            </w:r>
          </w:p>
        </w:tc>
        <w:tc>
          <w:tcPr>
            <w:tcW w:w="0" w:type="auto"/>
            <w:tcBorders>
              <w:top w:val="single" w:sz="4" w:space="0" w:color="auto"/>
              <w:bottom w:val="nil"/>
            </w:tcBorders>
          </w:tcPr>
          <w:p w:rsidR="00D70AD7" w:rsidRDefault="00D70AD7" w:rsidP="00745AA9">
            <w:pPr>
              <w:tabs>
                <w:tab w:val="left" w:pos="2359"/>
              </w:tabs>
            </w:pPr>
            <w:r>
              <w:t>46.6</w:t>
            </w:r>
          </w:p>
        </w:tc>
      </w:tr>
      <w:tr w:rsidR="00D70AD7" w:rsidTr="00745AA9">
        <w:tc>
          <w:tcPr>
            <w:tcW w:w="0" w:type="auto"/>
            <w:vMerge/>
            <w:tcBorders>
              <w:top w:val="nil"/>
              <w:bottom w:val="single" w:sz="4" w:space="0" w:color="auto"/>
            </w:tcBorders>
          </w:tcPr>
          <w:p w:rsidR="00D70AD7" w:rsidRDefault="00D70AD7" w:rsidP="00745AA9">
            <w:pPr>
              <w:tabs>
                <w:tab w:val="left" w:pos="2359"/>
              </w:tabs>
            </w:pPr>
          </w:p>
        </w:tc>
        <w:tc>
          <w:tcPr>
            <w:tcW w:w="0" w:type="auto"/>
            <w:tcBorders>
              <w:top w:val="nil"/>
              <w:bottom w:val="single" w:sz="4" w:space="0" w:color="auto"/>
            </w:tcBorders>
          </w:tcPr>
          <w:p w:rsidR="00D70AD7" w:rsidRDefault="00D70AD7" w:rsidP="00745AA9">
            <w:pPr>
              <w:tabs>
                <w:tab w:val="left" w:pos="2359"/>
              </w:tabs>
            </w:pPr>
            <w:r>
              <w:t>LSVT</w:t>
            </w:r>
          </w:p>
        </w:tc>
        <w:tc>
          <w:tcPr>
            <w:tcW w:w="0" w:type="auto"/>
            <w:tcBorders>
              <w:top w:val="nil"/>
              <w:bottom w:val="single" w:sz="4" w:space="0" w:color="auto"/>
            </w:tcBorders>
          </w:tcPr>
          <w:p w:rsidR="00D70AD7" w:rsidRDefault="00D70AD7" w:rsidP="00745AA9">
            <w:pPr>
              <w:tabs>
                <w:tab w:val="left" w:pos="2359"/>
              </w:tabs>
            </w:pPr>
            <w:r>
              <w:t>53.6</w:t>
            </w:r>
          </w:p>
        </w:tc>
      </w:tr>
      <w:tr w:rsidR="00D70AD7" w:rsidTr="00745AA9">
        <w:tc>
          <w:tcPr>
            <w:tcW w:w="0" w:type="auto"/>
            <w:vMerge w:val="restart"/>
            <w:tcBorders>
              <w:top w:val="single" w:sz="4" w:space="0" w:color="auto"/>
            </w:tcBorders>
          </w:tcPr>
          <w:p w:rsidR="00D70AD7" w:rsidRDefault="00D70AD7" w:rsidP="00745AA9">
            <w:pPr>
              <w:tabs>
                <w:tab w:val="left" w:pos="2359"/>
              </w:tabs>
            </w:pPr>
          </w:p>
          <w:p w:rsidR="00D70AD7" w:rsidRDefault="00D70AD7" w:rsidP="00745AA9">
            <w:pPr>
              <w:tabs>
                <w:tab w:val="left" w:pos="2359"/>
              </w:tabs>
            </w:pPr>
          </w:p>
          <w:p w:rsidR="00D70AD7" w:rsidRDefault="00D70AD7" w:rsidP="00745AA9">
            <w:pPr>
              <w:tabs>
                <w:tab w:val="left" w:pos="2359"/>
              </w:tabs>
            </w:pPr>
          </w:p>
          <w:p w:rsidR="00D70AD7" w:rsidRDefault="00D70AD7" w:rsidP="00745AA9">
            <w:pPr>
              <w:tabs>
                <w:tab w:val="left" w:pos="2359"/>
              </w:tabs>
            </w:pPr>
            <w:r>
              <w:t>Region</w:t>
            </w:r>
          </w:p>
        </w:tc>
        <w:tc>
          <w:tcPr>
            <w:tcW w:w="0" w:type="auto"/>
            <w:tcBorders>
              <w:top w:val="single" w:sz="4" w:space="0" w:color="auto"/>
            </w:tcBorders>
          </w:tcPr>
          <w:p w:rsidR="00D70AD7" w:rsidRDefault="00D70AD7" w:rsidP="00745AA9">
            <w:pPr>
              <w:tabs>
                <w:tab w:val="left" w:pos="2359"/>
              </w:tabs>
            </w:pPr>
            <w:r>
              <w:t>East Midlands</w:t>
            </w:r>
          </w:p>
        </w:tc>
        <w:tc>
          <w:tcPr>
            <w:tcW w:w="0" w:type="auto"/>
            <w:tcBorders>
              <w:top w:val="single" w:sz="4" w:space="0" w:color="auto"/>
            </w:tcBorders>
          </w:tcPr>
          <w:p w:rsidR="00D70AD7" w:rsidRDefault="00D70AD7" w:rsidP="00745AA9">
            <w:pPr>
              <w:tabs>
                <w:tab w:val="left" w:pos="2359"/>
              </w:tabs>
            </w:pPr>
            <w:r>
              <w:t>6.5</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East of England</w:t>
            </w:r>
          </w:p>
        </w:tc>
        <w:tc>
          <w:tcPr>
            <w:tcW w:w="0" w:type="auto"/>
          </w:tcPr>
          <w:p w:rsidR="00D70AD7" w:rsidRDefault="00D70AD7" w:rsidP="00745AA9">
            <w:pPr>
              <w:tabs>
                <w:tab w:val="left" w:pos="2359"/>
              </w:tabs>
            </w:pPr>
            <w:r>
              <w:t>10.6</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London</w:t>
            </w:r>
          </w:p>
        </w:tc>
        <w:tc>
          <w:tcPr>
            <w:tcW w:w="0" w:type="auto"/>
          </w:tcPr>
          <w:p w:rsidR="00D70AD7" w:rsidRDefault="00D70AD7" w:rsidP="00745AA9">
            <w:pPr>
              <w:tabs>
                <w:tab w:val="left" w:pos="2359"/>
              </w:tabs>
            </w:pPr>
            <w:r>
              <w:t>14.1</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North East</w:t>
            </w:r>
          </w:p>
        </w:tc>
        <w:tc>
          <w:tcPr>
            <w:tcW w:w="0" w:type="auto"/>
          </w:tcPr>
          <w:p w:rsidR="00D70AD7" w:rsidRDefault="00D70AD7" w:rsidP="00745AA9">
            <w:pPr>
              <w:tabs>
                <w:tab w:val="left" w:pos="2359"/>
              </w:tabs>
            </w:pPr>
            <w:r>
              <w:t>6.5</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North West</w:t>
            </w:r>
          </w:p>
        </w:tc>
        <w:tc>
          <w:tcPr>
            <w:tcW w:w="0" w:type="auto"/>
          </w:tcPr>
          <w:p w:rsidR="00D70AD7" w:rsidRDefault="00D70AD7" w:rsidP="00745AA9">
            <w:pPr>
              <w:tabs>
                <w:tab w:val="left" w:pos="2359"/>
              </w:tabs>
            </w:pPr>
            <w:r>
              <w:t>22.4</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South East</w:t>
            </w:r>
          </w:p>
        </w:tc>
        <w:tc>
          <w:tcPr>
            <w:tcW w:w="0" w:type="auto"/>
          </w:tcPr>
          <w:p w:rsidR="00D70AD7" w:rsidRDefault="00D70AD7" w:rsidP="00745AA9">
            <w:pPr>
              <w:tabs>
                <w:tab w:val="left" w:pos="2359"/>
              </w:tabs>
            </w:pPr>
            <w:r>
              <w:t>11.8</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South West</w:t>
            </w:r>
          </w:p>
        </w:tc>
        <w:tc>
          <w:tcPr>
            <w:tcW w:w="0" w:type="auto"/>
          </w:tcPr>
          <w:p w:rsidR="00D70AD7" w:rsidRDefault="00D70AD7" w:rsidP="00745AA9">
            <w:pPr>
              <w:tabs>
                <w:tab w:val="left" w:pos="2359"/>
              </w:tabs>
            </w:pPr>
            <w:r>
              <w:t>9.1</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West Midlands</w:t>
            </w:r>
          </w:p>
        </w:tc>
        <w:tc>
          <w:tcPr>
            <w:tcW w:w="0" w:type="auto"/>
          </w:tcPr>
          <w:p w:rsidR="00D70AD7" w:rsidRDefault="00D70AD7" w:rsidP="00745AA9">
            <w:pPr>
              <w:tabs>
                <w:tab w:val="left" w:pos="2359"/>
              </w:tabs>
            </w:pPr>
            <w:r>
              <w:t>11.8</w:t>
            </w:r>
          </w:p>
        </w:tc>
      </w:tr>
      <w:tr w:rsidR="00D70AD7" w:rsidTr="00745AA9">
        <w:tc>
          <w:tcPr>
            <w:tcW w:w="0" w:type="auto"/>
            <w:vMerge/>
          </w:tcPr>
          <w:p w:rsidR="00D70AD7" w:rsidRDefault="00D70AD7" w:rsidP="00745AA9">
            <w:pPr>
              <w:tabs>
                <w:tab w:val="left" w:pos="2359"/>
              </w:tabs>
            </w:pPr>
          </w:p>
        </w:tc>
        <w:tc>
          <w:tcPr>
            <w:tcW w:w="0" w:type="auto"/>
          </w:tcPr>
          <w:p w:rsidR="00D70AD7" w:rsidRDefault="00D70AD7" w:rsidP="00745AA9">
            <w:pPr>
              <w:tabs>
                <w:tab w:val="left" w:pos="2359"/>
              </w:tabs>
            </w:pPr>
            <w:r>
              <w:t>Yorkshire</w:t>
            </w:r>
          </w:p>
        </w:tc>
        <w:tc>
          <w:tcPr>
            <w:tcW w:w="0" w:type="auto"/>
          </w:tcPr>
          <w:p w:rsidR="00D70AD7" w:rsidRDefault="00D70AD7" w:rsidP="00745AA9">
            <w:pPr>
              <w:tabs>
                <w:tab w:val="left" w:pos="2359"/>
              </w:tabs>
            </w:pPr>
            <w:r>
              <w:t>7.2</w:t>
            </w:r>
          </w:p>
        </w:tc>
      </w:tr>
    </w:tbl>
    <w:p w:rsidR="00D70AD7" w:rsidRDefault="00D70AD7" w:rsidP="00D70AD7">
      <w:pPr>
        <w:tabs>
          <w:tab w:val="left" w:pos="2359"/>
        </w:tabs>
      </w:pPr>
    </w:p>
    <w:p w:rsidR="00D70AD7" w:rsidRDefault="00D70AD7" w:rsidP="00D70AD7">
      <w:pPr>
        <w:tabs>
          <w:tab w:val="left" w:pos="2359"/>
        </w:tabs>
      </w:pPr>
      <w:r>
        <w:t>Running an OLS multiple regression to see what explains the variation in commercial surplus, we get the following results. The model is significant, F (263) = 2.71 p.004, and accounts for 9.7% of the variation (R</w:t>
      </w:r>
      <w:r w:rsidRPr="003552A9">
        <w:rPr>
          <w:vertAlign w:val="superscript"/>
        </w:rPr>
        <w:t>2</w:t>
      </w:r>
      <w:r>
        <w:t>). This demonstrates that these Housing Association characteristics play a fairly important role in explaining variation in extraction of commercial surplus. Table 3 shows the results of the regression analysis. Housing Association size (as measured by turnover) and location in London are significantly positively related to commercial surplus. These findings confirm the London-centric nature of asymmetric marketization in English social housing, and the suggestion in existing literature regarding the greater capacity of large social enterprises to effectively marketise output. In line with existing literature, a positive (although not statistically significant) relationship was found between traditional-type Associations and rate of commercial surplus.</w:t>
      </w:r>
      <w:r w:rsidR="00434AC1">
        <w:rPr>
          <w:rStyle w:val="FootnoteReference"/>
        </w:rPr>
        <w:footnoteReference w:id="13"/>
      </w:r>
      <w:r>
        <w:tab/>
      </w:r>
    </w:p>
    <w:p w:rsidR="00D70AD7" w:rsidRDefault="00D70AD7" w:rsidP="00D70AD7"/>
    <w:p w:rsidR="00D70AD7" w:rsidRDefault="00D70AD7" w:rsidP="00D70AD7">
      <w:r>
        <w:t>Table 3: Explaining variation in Associations’ extraction of commercial surplus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5"/>
        <w:gridCol w:w="1585"/>
        <w:gridCol w:w="1470"/>
        <w:gridCol w:w="436"/>
      </w:tblGrid>
      <w:tr w:rsidR="00D70AD7" w:rsidTr="00745AA9">
        <w:tc>
          <w:tcPr>
            <w:tcW w:w="0" w:type="auto"/>
            <w:tcBorders>
              <w:top w:val="single" w:sz="4" w:space="0" w:color="auto"/>
              <w:bottom w:val="single" w:sz="4" w:space="0" w:color="auto"/>
            </w:tcBorders>
          </w:tcPr>
          <w:p w:rsidR="00D70AD7" w:rsidRDefault="00D70AD7" w:rsidP="00745AA9"/>
        </w:tc>
        <w:tc>
          <w:tcPr>
            <w:tcW w:w="0" w:type="auto"/>
            <w:tcBorders>
              <w:top w:val="single" w:sz="4" w:space="0" w:color="auto"/>
              <w:bottom w:val="single" w:sz="4" w:space="0" w:color="auto"/>
            </w:tcBorders>
          </w:tcPr>
          <w:p w:rsidR="00D70AD7" w:rsidRDefault="00D70AD7" w:rsidP="00745AA9">
            <w:r>
              <w:t>Variable</w:t>
            </w:r>
          </w:p>
        </w:tc>
        <w:tc>
          <w:tcPr>
            <w:tcW w:w="0" w:type="auto"/>
            <w:tcBorders>
              <w:top w:val="single" w:sz="4" w:space="0" w:color="auto"/>
              <w:bottom w:val="single" w:sz="4" w:space="0" w:color="auto"/>
            </w:tcBorders>
          </w:tcPr>
          <w:p w:rsidR="00D70AD7" w:rsidRDefault="00D70AD7" w:rsidP="00745AA9">
            <w:r>
              <w:t xml:space="preserve">Coefficient </w:t>
            </w:r>
          </w:p>
          <w:p w:rsidR="00D70AD7" w:rsidRDefault="00D70AD7" w:rsidP="00745AA9">
            <w:r>
              <w:t>(std. error)</w:t>
            </w:r>
          </w:p>
        </w:tc>
        <w:tc>
          <w:tcPr>
            <w:tcW w:w="0" w:type="auto"/>
            <w:tcBorders>
              <w:top w:val="single" w:sz="4" w:space="0" w:color="auto"/>
              <w:bottom w:val="single" w:sz="4" w:space="0" w:color="auto"/>
            </w:tcBorders>
          </w:tcPr>
          <w:p w:rsidR="00D70AD7" w:rsidRDefault="00D70AD7" w:rsidP="00745AA9"/>
        </w:tc>
      </w:tr>
      <w:tr w:rsidR="00D70AD7" w:rsidTr="00745AA9">
        <w:tc>
          <w:tcPr>
            <w:tcW w:w="0" w:type="auto"/>
            <w:tcBorders>
              <w:top w:val="single" w:sz="4" w:space="0" w:color="auto"/>
              <w:bottom w:val="single" w:sz="4" w:space="0" w:color="auto"/>
            </w:tcBorders>
          </w:tcPr>
          <w:p w:rsidR="00D70AD7" w:rsidRDefault="00D70AD7" w:rsidP="00745AA9"/>
        </w:tc>
        <w:tc>
          <w:tcPr>
            <w:tcW w:w="0" w:type="auto"/>
            <w:tcBorders>
              <w:top w:val="single" w:sz="4" w:space="0" w:color="auto"/>
              <w:bottom w:val="single" w:sz="4" w:space="0" w:color="auto"/>
            </w:tcBorders>
          </w:tcPr>
          <w:p w:rsidR="00D70AD7" w:rsidRDefault="00D70AD7" w:rsidP="00745AA9">
            <w:r>
              <w:t>Size</w:t>
            </w:r>
          </w:p>
        </w:tc>
        <w:tc>
          <w:tcPr>
            <w:tcW w:w="0" w:type="auto"/>
            <w:tcBorders>
              <w:top w:val="single" w:sz="4" w:space="0" w:color="auto"/>
              <w:bottom w:val="single" w:sz="4" w:space="0" w:color="auto"/>
            </w:tcBorders>
          </w:tcPr>
          <w:p w:rsidR="00D70AD7" w:rsidRDefault="00D70AD7" w:rsidP="00745AA9">
            <w:pPr>
              <w:jc w:val="right"/>
            </w:pPr>
            <w:r>
              <w:t>0.133 (0.000)</w:t>
            </w:r>
          </w:p>
        </w:tc>
        <w:tc>
          <w:tcPr>
            <w:tcW w:w="0" w:type="auto"/>
            <w:tcBorders>
              <w:top w:val="single" w:sz="4" w:space="0" w:color="auto"/>
              <w:bottom w:val="single" w:sz="4" w:space="0" w:color="auto"/>
            </w:tcBorders>
          </w:tcPr>
          <w:p w:rsidR="00D70AD7" w:rsidRDefault="00D70AD7" w:rsidP="00745AA9">
            <w:pPr>
              <w:jc w:val="both"/>
            </w:pPr>
            <w:r>
              <w:t>*</w:t>
            </w:r>
          </w:p>
        </w:tc>
      </w:tr>
      <w:tr w:rsidR="00D70AD7" w:rsidTr="00745AA9">
        <w:tc>
          <w:tcPr>
            <w:tcW w:w="0" w:type="auto"/>
            <w:tcBorders>
              <w:top w:val="single" w:sz="4" w:space="0" w:color="auto"/>
              <w:bottom w:val="single" w:sz="4" w:space="0" w:color="auto"/>
            </w:tcBorders>
          </w:tcPr>
          <w:p w:rsidR="00D70AD7" w:rsidRDefault="00D70AD7" w:rsidP="00745AA9">
            <w:r>
              <w:t>Type</w:t>
            </w:r>
          </w:p>
        </w:tc>
        <w:tc>
          <w:tcPr>
            <w:tcW w:w="0" w:type="auto"/>
            <w:tcBorders>
              <w:top w:val="single" w:sz="4" w:space="0" w:color="auto"/>
              <w:bottom w:val="single" w:sz="4" w:space="0" w:color="auto"/>
            </w:tcBorders>
          </w:tcPr>
          <w:p w:rsidR="00D70AD7" w:rsidRDefault="00D70AD7" w:rsidP="00745AA9">
            <w:r>
              <w:t>Traditional</w:t>
            </w:r>
          </w:p>
        </w:tc>
        <w:tc>
          <w:tcPr>
            <w:tcW w:w="0" w:type="auto"/>
            <w:tcBorders>
              <w:top w:val="single" w:sz="4" w:space="0" w:color="auto"/>
              <w:bottom w:val="single" w:sz="4" w:space="0" w:color="auto"/>
            </w:tcBorders>
          </w:tcPr>
          <w:p w:rsidR="00D70AD7" w:rsidRDefault="00D70AD7" w:rsidP="00745AA9">
            <w:pPr>
              <w:jc w:val="right"/>
            </w:pPr>
            <w:r>
              <w:t>0.049 (0.003)</w:t>
            </w:r>
          </w:p>
        </w:tc>
        <w:tc>
          <w:tcPr>
            <w:tcW w:w="0" w:type="auto"/>
            <w:tcBorders>
              <w:top w:val="single" w:sz="4" w:space="0" w:color="auto"/>
              <w:bottom w:val="single" w:sz="4" w:space="0" w:color="auto"/>
            </w:tcBorders>
          </w:tcPr>
          <w:p w:rsidR="00D70AD7" w:rsidRDefault="00D70AD7" w:rsidP="00745AA9">
            <w:pPr>
              <w:jc w:val="both"/>
            </w:pPr>
          </w:p>
        </w:tc>
      </w:tr>
      <w:tr w:rsidR="00D70AD7" w:rsidTr="00745AA9">
        <w:tc>
          <w:tcPr>
            <w:tcW w:w="0" w:type="auto"/>
            <w:tcBorders>
              <w:top w:val="single" w:sz="4" w:space="0" w:color="auto"/>
            </w:tcBorders>
          </w:tcPr>
          <w:p w:rsidR="00D70AD7" w:rsidRDefault="00D70AD7" w:rsidP="00745AA9">
            <w:r>
              <w:t>Region</w:t>
            </w:r>
          </w:p>
        </w:tc>
        <w:tc>
          <w:tcPr>
            <w:tcW w:w="0" w:type="auto"/>
            <w:tcBorders>
              <w:top w:val="single" w:sz="4" w:space="0" w:color="auto"/>
            </w:tcBorders>
          </w:tcPr>
          <w:p w:rsidR="00D70AD7" w:rsidRDefault="00D70AD7" w:rsidP="00745AA9">
            <w:r>
              <w:t>East Midlands</w:t>
            </w:r>
          </w:p>
        </w:tc>
        <w:tc>
          <w:tcPr>
            <w:tcW w:w="0" w:type="auto"/>
            <w:tcBorders>
              <w:top w:val="single" w:sz="4" w:space="0" w:color="auto"/>
            </w:tcBorders>
          </w:tcPr>
          <w:p w:rsidR="00D70AD7" w:rsidRDefault="00D70AD7" w:rsidP="00745AA9">
            <w:pPr>
              <w:jc w:val="right"/>
            </w:pPr>
            <w:r>
              <w:t>0.023 (0.006)</w:t>
            </w:r>
          </w:p>
        </w:tc>
        <w:tc>
          <w:tcPr>
            <w:tcW w:w="0" w:type="auto"/>
            <w:tcBorders>
              <w:top w:val="single" w:sz="4" w:space="0" w:color="auto"/>
            </w:tcBorders>
          </w:tcPr>
          <w:p w:rsidR="00D70AD7" w:rsidRDefault="00D70AD7" w:rsidP="00745AA9">
            <w:pPr>
              <w:jc w:val="both"/>
            </w:pPr>
          </w:p>
        </w:tc>
      </w:tr>
      <w:tr w:rsidR="00D70AD7" w:rsidTr="00745AA9">
        <w:tc>
          <w:tcPr>
            <w:tcW w:w="0" w:type="auto"/>
          </w:tcPr>
          <w:p w:rsidR="00D70AD7" w:rsidRDefault="00D70AD7" w:rsidP="00745AA9"/>
        </w:tc>
        <w:tc>
          <w:tcPr>
            <w:tcW w:w="0" w:type="auto"/>
          </w:tcPr>
          <w:p w:rsidR="00D70AD7" w:rsidRDefault="00D70AD7" w:rsidP="00745AA9">
            <w:r>
              <w:t>East of England</w:t>
            </w:r>
          </w:p>
        </w:tc>
        <w:tc>
          <w:tcPr>
            <w:tcW w:w="0" w:type="auto"/>
          </w:tcPr>
          <w:p w:rsidR="00D70AD7" w:rsidRDefault="00D70AD7" w:rsidP="00745AA9">
            <w:pPr>
              <w:jc w:val="right"/>
            </w:pPr>
            <w:r>
              <w:t>0.077 (0.005)</w:t>
            </w:r>
          </w:p>
        </w:tc>
        <w:tc>
          <w:tcPr>
            <w:tcW w:w="0" w:type="auto"/>
          </w:tcPr>
          <w:p w:rsidR="00D70AD7" w:rsidRDefault="00D70AD7" w:rsidP="00745AA9">
            <w:pPr>
              <w:jc w:val="both"/>
            </w:pPr>
          </w:p>
        </w:tc>
      </w:tr>
      <w:tr w:rsidR="00D70AD7" w:rsidTr="00745AA9">
        <w:tc>
          <w:tcPr>
            <w:tcW w:w="0" w:type="auto"/>
          </w:tcPr>
          <w:p w:rsidR="00D70AD7" w:rsidRDefault="00D70AD7" w:rsidP="00745AA9"/>
        </w:tc>
        <w:tc>
          <w:tcPr>
            <w:tcW w:w="0" w:type="auto"/>
          </w:tcPr>
          <w:p w:rsidR="00D70AD7" w:rsidRDefault="00D70AD7" w:rsidP="00745AA9">
            <w:r>
              <w:t>London</w:t>
            </w:r>
          </w:p>
        </w:tc>
        <w:tc>
          <w:tcPr>
            <w:tcW w:w="0" w:type="auto"/>
          </w:tcPr>
          <w:p w:rsidR="00D70AD7" w:rsidRDefault="00D70AD7" w:rsidP="00745AA9">
            <w:pPr>
              <w:jc w:val="right"/>
            </w:pPr>
            <w:r>
              <w:t>0.192 (0.005)</w:t>
            </w:r>
          </w:p>
        </w:tc>
        <w:tc>
          <w:tcPr>
            <w:tcW w:w="0" w:type="auto"/>
          </w:tcPr>
          <w:p w:rsidR="00D70AD7" w:rsidRDefault="00D70AD7" w:rsidP="00745AA9">
            <w:pPr>
              <w:jc w:val="both"/>
            </w:pPr>
            <w:r>
              <w:t>*</w:t>
            </w:r>
          </w:p>
        </w:tc>
      </w:tr>
      <w:tr w:rsidR="00D70AD7" w:rsidTr="00745AA9">
        <w:tc>
          <w:tcPr>
            <w:tcW w:w="0" w:type="auto"/>
          </w:tcPr>
          <w:p w:rsidR="00D70AD7" w:rsidRDefault="00D70AD7" w:rsidP="00745AA9"/>
        </w:tc>
        <w:tc>
          <w:tcPr>
            <w:tcW w:w="0" w:type="auto"/>
          </w:tcPr>
          <w:p w:rsidR="00D70AD7" w:rsidRDefault="00D70AD7" w:rsidP="00745AA9">
            <w:r>
              <w:t>North East</w:t>
            </w:r>
          </w:p>
        </w:tc>
        <w:tc>
          <w:tcPr>
            <w:tcW w:w="0" w:type="auto"/>
          </w:tcPr>
          <w:p w:rsidR="00D70AD7" w:rsidRDefault="00D70AD7" w:rsidP="00745AA9">
            <w:pPr>
              <w:jc w:val="right"/>
            </w:pPr>
            <w:r>
              <w:t>-0.070 (0.006)</w:t>
            </w:r>
          </w:p>
        </w:tc>
        <w:tc>
          <w:tcPr>
            <w:tcW w:w="0" w:type="auto"/>
          </w:tcPr>
          <w:p w:rsidR="00D70AD7" w:rsidRDefault="00D70AD7" w:rsidP="00745AA9">
            <w:pPr>
              <w:jc w:val="both"/>
            </w:pPr>
          </w:p>
        </w:tc>
      </w:tr>
      <w:tr w:rsidR="00D70AD7" w:rsidTr="00745AA9">
        <w:tc>
          <w:tcPr>
            <w:tcW w:w="0" w:type="auto"/>
          </w:tcPr>
          <w:p w:rsidR="00D70AD7" w:rsidRDefault="00D70AD7" w:rsidP="00745AA9"/>
        </w:tc>
        <w:tc>
          <w:tcPr>
            <w:tcW w:w="0" w:type="auto"/>
          </w:tcPr>
          <w:p w:rsidR="00D70AD7" w:rsidRDefault="00D70AD7" w:rsidP="00745AA9">
            <w:r>
              <w:t>South East</w:t>
            </w:r>
          </w:p>
        </w:tc>
        <w:tc>
          <w:tcPr>
            <w:tcW w:w="0" w:type="auto"/>
          </w:tcPr>
          <w:p w:rsidR="00D70AD7" w:rsidRDefault="00D70AD7" w:rsidP="00745AA9">
            <w:pPr>
              <w:jc w:val="right"/>
            </w:pPr>
            <w:r>
              <w:t>0.020 (0.006)</w:t>
            </w:r>
          </w:p>
        </w:tc>
        <w:tc>
          <w:tcPr>
            <w:tcW w:w="0" w:type="auto"/>
          </w:tcPr>
          <w:p w:rsidR="00D70AD7" w:rsidRDefault="00D70AD7" w:rsidP="00745AA9">
            <w:pPr>
              <w:jc w:val="both"/>
            </w:pPr>
          </w:p>
        </w:tc>
      </w:tr>
      <w:tr w:rsidR="00D70AD7" w:rsidTr="00745AA9">
        <w:tc>
          <w:tcPr>
            <w:tcW w:w="0" w:type="auto"/>
          </w:tcPr>
          <w:p w:rsidR="00D70AD7" w:rsidRDefault="00D70AD7" w:rsidP="00745AA9"/>
        </w:tc>
        <w:tc>
          <w:tcPr>
            <w:tcW w:w="0" w:type="auto"/>
          </w:tcPr>
          <w:p w:rsidR="00D70AD7" w:rsidRDefault="00D70AD7" w:rsidP="00745AA9">
            <w:r>
              <w:t>South West</w:t>
            </w:r>
          </w:p>
        </w:tc>
        <w:tc>
          <w:tcPr>
            <w:tcW w:w="0" w:type="auto"/>
          </w:tcPr>
          <w:p w:rsidR="00D70AD7" w:rsidRDefault="00D70AD7" w:rsidP="00745AA9">
            <w:pPr>
              <w:jc w:val="right"/>
            </w:pPr>
            <w:r>
              <w:t>0.014 (0.005)</w:t>
            </w:r>
          </w:p>
        </w:tc>
        <w:tc>
          <w:tcPr>
            <w:tcW w:w="0" w:type="auto"/>
          </w:tcPr>
          <w:p w:rsidR="00D70AD7" w:rsidRDefault="00D70AD7" w:rsidP="00745AA9">
            <w:pPr>
              <w:jc w:val="both"/>
            </w:pPr>
          </w:p>
        </w:tc>
      </w:tr>
      <w:tr w:rsidR="00D70AD7" w:rsidTr="00745AA9">
        <w:tc>
          <w:tcPr>
            <w:tcW w:w="0" w:type="auto"/>
          </w:tcPr>
          <w:p w:rsidR="00D70AD7" w:rsidRDefault="00D70AD7" w:rsidP="00745AA9"/>
        </w:tc>
        <w:tc>
          <w:tcPr>
            <w:tcW w:w="0" w:type="auto"/>
          </w:tcPr>
          <w:p w:rsidR="00D70AD7" w:rsidRDefault="00D70AD7" w:rsidP="00745AA9">
            <w:r>
              <w:t>West Midlands</w:t>
            </w:r>
          </w:p>
        </w:tc>
        <w:tc>
          <w:tcPr>
            <w:tcW w:w="0" w:type="auto"/>
          </w:tcPr>
          <w:p w:rsidR="00D70AD7" w:rsidRDefault="00D70AD7" w:rsidP="00745AA9">
            <w:pPr>
              <w:jc w:val="right"/>
            </w:pPr>
            <w:r>
              <w:t>0.018 (0.005)</w:t>
            </w:r>
          </w:p>
        </w:tc>
        <w:tc>
          <w:tcPr>
            <w:tcW w:w="0" w:type="auto"/>
          </w:tcPr>
          <w:p w:rsidR="00D70AD7" w:rsidRDefault="00D70AD7" w:rsidP="00745AA9">
            <w:pPr>
              <w:jc w:val="both"/>
            </w:pPr>
          </w:p>
        </w:tc>
      </w:tr>
      <w:tr w:rsidR="00D70AD7" w:rsidTr="00745AA9">
        <w:tc>
          <w:tcPr>
            <w:tcW w:w="0" w:type="auto"/>
            <w:tcBorders>
              <w:bottom w:val="single" w:sz="4" w:space="0" w:color="auto"/>
            </w:tcBorders>
          </w:tcPr>
          <w:p w:rsidR="00D70AD7" w:rsidRDefault="00D70AD7" w:rsidP="00745AA9"/>
        </w:tc>
        <w:tc>
          <w:tcPr>
            <w:tcW w:w="0" w:type="auto"/>
            <w:tcBorders>
              <w:bottom w:val="single" w:sz="4" w:space="0" w:color="auto"/>
            </w:tcBorders>
          </w:tcPr>
          <w:p w:rsidR="00D70AD7" w:rsidRDefault="00D70AD7" w:rsidP="00745AA9">
            <w:r>
              <w:t>Yorkshire</w:t>
            </w:r>
          </w:p>
        </w:tc>
        <w:tc>
          <w:tcPr>
            <w:tcW w:w="0" w:type="auto"/>
            <w:tcBorders>
              <w:bottom w:val="single" w:sz="4" w:space="0" w:color="auto"/>
            </w:tcBorders>
          </w:tcPr>
          <w:p w:rsidR="00D70AD7" w:rsidRDefault="00D70AD7" w:rsidP="00745AA9">
            <w:pPr>
              <w:jc w:val="right"/>
            </w:pPr>
            <w:r>
              <w:t>-0.057 (0.006)</w:t>
            </w:r>
          </w:p>
        </w:tc>
        <w:tc>
          <w:tcPr>
            <w:tcW w:w="0" w:type="auto"/>
            <w:tcBorders>
              <w:bottom w:val="single" w:sz="4" w:space="0" w:color="auto"/>
            </w:tcBorders>
          </w:tcPr>
          <w:p w:rsidR="00D70AD7" w:rsidRDefault="00D70AD7" w:rsidP="00745AA9">
            <w:pPr>
              <w:jc w:val="both"/>
            </w:pPr>
          </w:p>
        </w:tc>
      </w:tr>
      <w:tr w:rsidR="00D70AD7" w:rsidTr="00745AA9">
        <w:tc>
          <w:tcPr>
            <w:tcW w:w="0" w:type="auto"/>
            <w:tcBorders>
              <w:top w:val="single" w:sz="4" w:space="0" w:color="auto"/>
              <w:bottom w:val="nil"/>
            </w:tcBorders>
          </w:tcPr>
          <w:p w:rsidR="00D70AD7" w:rsidRDefault="00D70AD7" w:rsidP="00745AA9">
            <w:r>
              <w:t>N</w:t>
            </w:r>
          </w:p>
        </w:tc>
        <w:tc>
          <w:tcPr>
            <w:tcW w:w="0" w:type="auto"/>
            <w:tcBorders>
              <w:top w:val="single" w:sz="4" w:space="0" w:color="auto"/>
              <w:bottom w:val="nil"/>
            </w:tcBorders>
          </w:tcPr>
          <w:p w:rsidR="00D70AD7" w:rsidRDefault="00D70AD7" w:rsidP="00745AA9"/>
        </w:tc>
        <w:tc>
          <w:tcPr>
            <w:tcW w:w="0" w:type="auto"/>
            <w:tcBorders>
              <w:top w:val="single" w:sz="4" w:space="0" w:color="auto"/>
              <w:bottom w:val="nil"/>
            </w:tcBorders>
          </w:tcPr>
          <w:p w:rsidR="00D70AD7" w:rsidRDefault="00D70AD7" w:rsidP="00745AA9">
            <w:pPr>
              <w:jc w:val="right"/>
            </w:pPr>
            <w:r>
              <w:t>263</w:t>
            </w:r>
          </w:p>
        </w:tc>
        <w:tc>
          <w:tcPr>
            <w:tcW w:w="0" w:type="auto"/>
            <w:tcBorders>
              <w:top w:val="single" w:sz="4" w:space="0" w:color="auto"/>
              <w:bottom w:val="nil"/>
            </w:tcBorders>
          </w:tcPr>
          <w:p w:rsidR="00D70AD7" w:rsidRDefault="00D70AD7" w:rsidP="00745AA9">
            <w:pPr>
              <w:jc w:val="both"/>
            </w:pPr>
          </w:p>
        </w:tc>
      </w:tr>
      <w:tr w:rsidR="00D70AD7" w:rsidTr="00745AA9">
        <w:tc>
          <w:tcPr>
            <w:tcW w:w="0" w:type="auto"/>
            <w:tcBorders>
              <w:top w:val="nil"/>
            </w:tcBorders>
          </w:tcPr>
          <w:p w:rsidR="00D70AD7" w:rsidRPr="006E29AC" w:rsidRDefault="00D70AD7" w:rsidP="00745AA9">
            <w:r>
              <w:t>X</w:t>
            </w:r>
            <w:r w:rsidRPr="006E29AC">
              <w:rPr>
                <w:vertAlign w:val="superscript"/>
              </w:rPr>
              <w:t>2</w:t>
            </w:r>
            <w:r>
              <w:rPr>
                <w:vertAlign w:val="superscript"/>
              </w:rPr>
              <w:t xml:space="preserve"> </w:t>
            </w:r>
            <w:r>
              <w:t>(model fit)</w:t>
            </w:r>
          </w:p>
        </w:tc>
        <w:tc>
          <w:tcPr>
            <w:tcW w:w="0" w:type="auto"/>
            <w:tcBorders>
              <w:top w:val="nil"/>
            </w:tcBorders>
          </w:tcPr>
          <w:p w:rsidR="00D70AD7" w:rsidRDefault="00D70AD7" w:rsidP="00745AA9"/>
        </w:tc>
        <w:tc>
          <w:tcPr>
            <w:tcW w:w="0" w:type="auto"/>
            <w:tcBorders>
              <w:top w:val="nil"/>
            </w:tcBorders>
          </w:tcPr>
          <w:p w:rsidR="00D70AD7" w:rsidRDefault="00D70AD7" w:rsidP="00745AA9">
            <w:pPr>
              <w:jc w:val="right"/>
            </w:pPr>
            <w:r>
              <w:t>2.707</w:t>
            </w:r>
          </w:p>
        </w:tc>
        <w:tc>
          <w:tcPr>
            <w:tcW w:w="0" w:type="auto"/>
            <w:tcBorders>
              <w:top w:val="nil"/>
            </w:tcBorders>
          </w:tcPr>
          <w:p w:rsidR="00D70AD7" w:rsidRDefault="00D70AD7" w:rsidP="00745AA9">
            <w:pPr>
              <w:jc w:val="both"/>
            </w:pPr>
            <w:r>
              <w:t>**</w:t>
            </w:r>
          </w:p>
        </w:tc>
      </w:tr>
      <w:tr w:rsidR="00D70AD7" w:rsidTr="00745AA9">
        <w:tc>
          <w:tcPr>
            <w:tcW w:w="0" w:type="auto"/>
          </w:tcPr>
          <w:p w:rsidR="00D70AD7" w:rsidRDefault="00D70AD7" w:rsidP="00745AA9">
            <w:r>
              <w:t>R</w:t>
            </w:r>
            <w:r w:rsidRPr="006E29AC">
              <w:rPr>
                <w:vertAlign w:val="superscript"/>
              </w:rPr>
              <w:t>2</w:t>
            </w:r>
          </w:p>
        </w:tc>
        <w:tc>
          <w:tcPr>
            <w:tcW w:w="0" w:type="auto"/>
          </w:tcPr>
          <w:p w:rsidR="00D70AD7" w:rsidRDefault="00D70AD7" w:rsidP="00745AA9"/>
        </w:tc>
        <w:tc>
          <w:tcPr>
            <w:tcW w:w="0" w:type="auto"/>
          </w:tcPr>
          <w:p w:rsidR="00D70AD7" w:rsidRDefault="00D70AD7" w:rsidP="00745AA9">
            <w:pPr>
              <w:jc w:val="right"/>
            </w:pPr>
            <w:r>
              <w:t>0.097</w:t>
            </w:r>
          </w:p>
        </w:tc>
        <w:tc>
          <w:tcPr>
            <w:tcW w:w="0" w:type="auto"/>
          </w:tcPr>
          <w:p w:rsidR="00D70AD7" w:rsidRDefault="00D70AD7" w:rsidP="00745AA9">
            <w:pPr>
              <w:jc w:val="both"/>
            </w:pPr>
          </w:p>
        </w:tc>
      </w:tr>
    </w:tbl>
    <w:p w:rsidR="00D70AD7" w:rsidRDefault="00D70AD7" w:rsidP="00D70AD7">
      <w:pPr>
        <w:spacing w:line="240" w:lineRule="auto"/>
      </w:pPr>
      <w:r w:rsidRPr="009A4B00">
        <w:t>Note: *p &lt; 0.05; **p &lt; 0.01</w:t>
      </w:r>
      <w:r>
        <w:t>. The LSVT-type and North West-region variables have been removed from the model because of collinearity issues.</w:t>
      </w:r>
    </w:p>
    <w:p w:rsidR="009359EB" w:rsidRDefault="009359EB" w:rsidP="00E418AF"/>
    <w:p w:rsidR="006B063F" w:rsidRPr="0026720D" w:rsidRDefault="000D5B15" w:rsidP="006475B9">
      <w:r>
        <w:lastRenderedPageBreak/>
        <w:t xml:space="preserve">In </w:t>
      </w:r>
      <w:r w:rsidR="009359EB">
        <w:t>summary</w:t>
      </w:r>
      <w:r>
        <w:t xml:space="preserve">, the regression analysis </w:t>
      </w:r>
      <w:r w:rsidR="00D96062">
        <w:t>confirms</w:t>
      </w:r>
      <w:r>
        <w:t xml:space="preserve"> that London-based</w:t>
      </w:r>
      <w:r w:rsidR="00CA0200">
        <w:t xml:space="preserve"> and</w:t>
      </w:r>
      <w:r>
        <w:t xml:space="preserve"> larger Associations have a greater propensity towards generating commercial surplus. T</w:t>
      </w:r>
      <w:r w:rsidR="00D96062">
        <w:t>aken together, this analysis and the accompanying</w:t>
      </w:r>
      <w:r>
        <w:t xml:space="preserve"> descriptive statistics </w:t>
      </w:r>
      <w:r w:rsidR="00D96062">
        <w:t>shed light on</w:t>
      </w:r>
      <w:r>
        <w:t xml:space="preserve"> the </w:t>
      </w:r>
      <w:r w:rsidR="009359EB">
        <w:t>relationship between com</w:t>
      </w:r>
      <w:r w:rsidR="00D96062">
        <w:t>mercial surplus and use of the a</w:t>
      </w:r>
      <w:r w:rsidR="009359EB">
        <w:t xml:space="preserve">ffordable </w:t>
      </w:r>
      <w:r w:rsidR="00D96062">
        <w:t>r</w:t>
      </w:r>
      <w:r w:rsidR="009359EB">
        <w:t>ent modality, suggesting that commercial surplus has been used both to reduce the volume of conversions</w:t>
      </w:r>
      <w:r w:rsidR="00D96062">
        <w:t xml:space="preserve"> from s</w:t>
      </w:r>
      <w:r w:rsidR="009359EB">
        <w:t xml:space="preserve">ocial </w:t>
      </w:r>
      <w:r w:rsidR="00D96062">
        <w:t>r</w:t>
      </w:r>
      <w:r w:rsidR="009359EB">
        <w:t>ent</w:t>
      </w:r>
      <w:r w:rsidR="0026720D">
        <w:t xml:space="preserve"> to affordable rent</w:t>
      </w:r>
      <w:r w:rsidR="009359EB">
        <w:t xml:space="preserve"> required to support new-build activity, and </w:t>
      </w:r>
      <w:r w:rsidR="0026720D">
        <w:t xml:space="preserve">also </w:t>
      </w:r>
      <w:r w:rsidR="009359EB">
        <w:t xml:space="preserve">to sustain the gap between </w:t>
      </w:r>
      <w:r w:rsidR="00D96062">
        <w:t>a</w:t>
      </w:r>
      <w:r w:rsidR="009359EB">
        <w:t xml:space="preserve">ffordable </w:t>
      </w:r>
      <w:r w:rsidR="00D96062">
        <w:t>r</w:t>
      </w:r>
      <w:r w:rsidR="009359EB">
        <w:t xml:space="preserve">ent charged and the prevailing market rate. </w:t>
      </w:r>
      <w:r w:rsidR="0026720D">
        <w:t>Across English Housing Associations, this London-based turn to cross-subsidy represents the emergence of significant spatial variation in the mix of market and non-market mechanisms used to deliver social housing</w:t>
      </w:r>
      <w:r w:rsidR="0026720D">
        <w:rPr>
          <w:i/>
        </w:rPr>
        <w:t>.</w:t>
      </w:r>
      <w:r w:rsidR="0026720D">
        <w:t xml:space="preserve"> </w:t>
      </w:r>
    </w:p>
    <w:p w:rsidR="00CA0200" w:rsidRDefault="00CA0200" w:rsidP="006475B9"/>
    <w:p w:rsidR="0026720D" w:rsidRPr="0026720D" w:rsidRDefault="00CA0200" w:rsidP="006475B9">
      <w:pPr>
        <w:rPr>
          <w:u w:val="single"/>
        </w:rPr>
      </w:pPr>
      <w:r w:rsidRPr="00CA0200">
        <w:rPr>
          <w:u w:val="single"/>
        </w:rPr>
        <w:t>Conclusion</w:t>
      </w:r>
    </w:p>
    <w:p w:rsidR="0026720D" w:rsidRPr="0026720D" w:rsidRDefault="007E3497" w:rsidP="006475B9">
      <w:r>
        <w:t>Through this article, I have</w:t>
      </w:r>
      <w:r w:rsidR="0026720D">
        <w:t xml:space="preserve"> defined asymmetr</w:t>
      </w:r>
      <w:r w:rsidR="00575F34">
        <w:t>ic marketization as</w:t>
      </w:r>
      <w:r w:rsidR="0026720D">
        <w:t xml:space="preserve"> </w:t>
      </w:r>
      <w:r w:rsidR="0026720D" w:rsidRPr="002A354C">
        <w:rPr>
          <w:i/>
        </w:rPr>
        <w:t>spatial variation in the mix of market and non-market mechanisms used to support the delivery of a</w:t>
      </w:r>
      <w:r w:rsidR="0026720D">
        <w:rPr>
          <w:i/>
        </w:rPr>
        <w:t xml:space="preserve"> given</w:t>
      </w:r>
      <w:r w:rsidR="0026720D" w:rsidRPr="002A354C">
        <w:rPr>
          <w:i/>
        </w:rPr>
        <w:t xml:space="preserve"> welfare good</w:t>
      </w:r>
      <w:r w:rsidR="0026720D">
        <w:t>, and confirmed the existence of asymmetric marketization within the English social housing system. In this concluding section, I reflect on the implications to the changes in Housing Association practice explored through the main analysis</w:t>
      </w:r>
      <w:r w:rsidR="001A496B">
        <w:t>, and highlight the wider relevance of the concept of asymmetric ma</w:t>
      </w:r>
      <w:r w:rsidR="00575F34">
        <w:t>rketization</w:t>
      </w:r>
      <w:r w:rsidR="001A496B">
        <w:t>.</w:t>
      </w:r>
    </w:p>
    <w:p w:rsidR="004F7FAC" w:rsidRDefault="004F7FAC" w:rsidP="006475B9"/>
    <w:p w:rsidR="00CA0200" w:rsidRDefault="004F7FAC" w:rsidP="006475B9">
      <w:r>
        <w:t xml:space="preserve">The turn toward market-based cross-subsidy </w:t>
      </w:r>
      <w:r w:rsidR="004D15BB">
        <w:t>is a contentious</w:t>
      </w:r>
      <w:r>
        <w:t xml:space="preserve"> issue within English social housing.</w:t>
      </w:r>
      <w:r w:rsidR="0097276C">
        <w:t xml:space="preserve"> </w:t>
      </w:r>
      <w:r w:rsidR="00061E9C">
        <w:t xml:space="preserve">A positive reading of the development is that commercial cross-subsidy represents an innovative response to austerity budgets, and one that may involve broadly progressive resource flows from relatively affluent </w:t>
      </w:r>
      <w:r w:rsidR="00BA1FC4">
        <w:t>market buyers and renters to lower income social housing tenants. However, c</w:t>
      </w:r>
      <w:r w:rsidR="004D15BB">
        <w:t xml:space="preserve">oncerns have been voiced over the sustainability of the new model by both providers and </w:t>
      </w:r>
      <w:r w:rsidR="00BA1FC4">
        <w:t xml:space="preserve">the sector’s </w:t>
      </w:r>
      <w:r w:rsidR="004D15BB">
        <w:t>regulator. In relation to providers, the chair of the</w:t>
      </w:r>
      <w:r w:rsidR="0097276C">
        <w:t xml:space="preserve"> G15 </w:t>
      </w:r>
      <w:r w:rsidR="001A496B">
        <w:t xml:space="preserve">grouping of large London-based </w:t>
      </w:r>
      <w:r w:rsidR="001A496B">
        <w:lastRenderedPageBreak/>
        <w:t xml:space="preserve">Associations </w:t>
      </w:r>
      <w:r w:rsidR="0097276C">
        <w:t xml:space="preserve">has recently declared that in </w:t>
      </w:r>
      <w:r w:rsidR="001A496B">
        <w:t>the capital</w:t>
      </w:r>
      <w:r w:rsidR="0097276C">
        <w:t xml:space="preserve"> ‘the cross-subsidy model is at full stretch’.</w:t>
      </w:r>
      <w:r w:rsidR="0097276C">
        <w:rPr>
          <w:rStyle w:val="FootnoteReference"/>
        </w:rPr>
        <w:footnoteReference w:id="14"/>
      </w:r>
      <w:r>
        <w:t xml:space="preserve"> </w:t>
      </w:r>
      <w:r w:rsidR="004D15BB">
        <w:t>I</w:t>
      </w:r>
      <w:r w:rsidR="00061E9C">
        <w:t>n relation to the regulator</w:t>
      </w:r>
      <w:r w:rsidR="004D15BB">
        <w:t>, the Homes and Communities Agency has recently offered critical reflection on the levels of risk involved in the increased reliance on market-based mechanisms, questioning the ability of some Associations to cope with a slowdown in rental and sales markets</w:t>
      </w:r>
      <w:r w:rsidR="0097276C">
        <w:t xml:space="preserve"> (HCA 2017).</w:t>
      </w:r>
      <w:r w:rsidR="006B137C">
        <w:t xml:space="preserve"> </w:t>
      </w:r>
      <w:r w:rsidR="00BA1FC4">
        <w:t>T</w:t>
      </w:r>
      <w:r w:rsidR="004D15BB">
        <w:t xml:space="preserve">he significance of this risk has been </w:t>
      </w:r>
      <w:r w:rsidR="00061E9C">
        <w:t xml:space="preserve">underscored </w:t>
      </w:r>
      <w:r w:rsidR="004D15BB">
        <w:t xml:space="preserve">by </w:t>
      </w:r>
      <w:r w:rsidR="006B137C">
        <w:t>the credit rating agency Standards and Poor</w:t>
      </w:r>
      <w:r w:rsidR="004D15BB">
        <w:t>’s</w:t>
      </w:r>
      <w:r w:rsidR="006B137C">
        <w:t xml:space="preserve"> recent downgrad</w:t>
      </w:r>
      <w:r w:rsidR="004D15BB">
        <w:t>e of</w:t>
      </w:r>
      <w:r w:rsidR="006B137C">
        <w:t xml:space="preserve"> four London-based Associations, </w:t>
      </w:r>
      <w:r w:rsidR="004D15BB">
        <w:t xml:space="preserve">which was done on the back of </w:t>
      </w:r>
      <w:r w:rsidR="006B137C">
        <w:t xml:space="preserve">concerns over the </w:t>
      </w:r>
      <w:r w:rsidR="004D15BB">
        <w:t>future stability</w:t>
      </w:r>
      <w:r w:rsidR="006B137C">
        <w:t xml:space="preserve"> of market-based resource</w:t>
      </w:r>
      <w:r w:rsidR="004D15BB">
        <w:t xml:space="preserve"> flows</w:t>
      </w:r>
      <w:r w:rsidR="006B137C">
        <w:t xml:space="preserve"> (Cross 2018).</w:t>
      </w:r>
      <w:r w:rsidR="002A252B">
        <w:t xml:space="preserve"> </w:t>
      </w:r>
      <w:r w:rsidR="001C400F">
        <w:t xml:space="preserve">Norris and Byrne’s (2017a, 2017b) comparative analysis, which explores the potential role of social housing as either a pro- or counter-cyclical factor in housing booms and busts, further highlights the importance of considering the evolution of modes of marketization in this sector. </w:t>
      </w:r>
      <w:r w:rsidR="002F0E3F">
        <w:t xml:space="preserve">Beyond these material concerns, questions have also been raised over the impact of increased commercialisation on Housing Associations’ focus on their core social mission (Hilditch 2017). </w:t>
      </w:r>
    </w:p>
    <w:p w:rsidR="001D1932" w:rsidRDefault="001D1932" w:rsidP="006475B9"/>
    <w:p w:rsidR="00C22C53" w:rsidRDefault="004377B2" w:rsidP="00C04C94">
      <w:pPr>
        <w:pStyle w:val="Header"/>
        <w:tabs>
          <w:tab w:val="clear" w:pos="4513"/>
          <w:tab w:val="left" w:pos="851"/>
        </w:tabs>
        <w:spacing w:line="480" w:lineRule="auto"/>
        <w:mirrorIndents/>
        <w:rPr>
          <w:color w:val="222222"/>
        </w:rPr>
      </w:pPr>
      <w:r>
        <w:rPr>
          <w:color w:val="222222"/>
        </w:rPr>
        <w:t xml:space="preserve">Beyond the English context, </w:t>
      </w:r>
      <w:r w:rsidR="008052D7">
        <w:rPr>
          <w:color w:val="222222"/>
        </w:rPr>
        <w:t xml:space="preserve">parallel practices of asymmetric marketization can be seen within different national systems. </w:t>
      </w:r>
      <w:r w:rsidR="00C22C53">
        <w:rPr>
          <w:color w:val="222222"/>
        </w:rPr>
        <w:t>In</w:t>
      </w:r>
      <w:r w:rsidR="009E6C6E">
        <w:rPr>
          <w:color w:val="222222"/>
        </w:rPr>
        <w:t xml:space="preserve"> </w:t>
      </w:r>
      <w:r w:rsidR="00C22C53">
        <w:rPr>
          <w:color w:val="222222"/>
        </w:rPr>
        <w:t>the Netherlands, for example, through the early-2000s Ams</w:t>
      </w:r>
      <w:r w:rsidR="009E6C6E">
        <w:rPr>
          <w:color w:val="222222"/>
        </w:rPr>
        <w:t xml:space="preserve">terdam-based Associations in particular </w:t>
      </w:r>
      <w:r w:rsidR="00C22C53">
        <w:rPr>
          <w:color w:val="222222"/>
        </w:rPr>
        <w:t>turned to</w:t>
      </w:r>
      <w:r w:rsidR="009E6C6E">
        <w:rPr>
          <w:color w:val="222222"/>
        </w:rPr>
        <w:t xml:space="preserve"> commercial cross-subsidy to support the provision of new-build social rental accommodation</w:t>
      </w:r>
      <w:r w:rsidR="00656703">
        <w:rPr>
          <w:color w:val="222222"/>
        </w:rPr>
        <w:t xml:space="preserve"> (van der Veer and Schuiling 2005: 177)</w:t>
      </w:r>
      <w:r w:rsidR="009E6C6E">
        <w:rPr>
          <w:color w:val="222222"/>
        </w:rPr>
        <w:t xml:space="preserve">. </w:t>
      </w:r>
      <w:r w:rsidR="00C22C53">
        <w:rPr>
          <w:color w:val="222222"/>
        </w:rPr>
        <w:t>Within the Turkish system, the</w:t>
      </w:r>
      <w:r w:rsidR="003B67B6">
        <w:rPr>
          <w:color w:val="222222"/>
        </w:rPr>
        <w:t xml:space="preserve"> Housing Development Administration</w:t>
      </w:r>
      <w:r w:rsidR="00C22C53">
        <w:rPr>
          <w:color w:val="222222"/>
        </w:rPr>
        <w:t xml:space="preserve"> (</w:t>
      </w:r>
      <w:r w:rsidR="00730822">
        <w:rPr>
          <w:color w:val="222222"/>
        </w:rPr>
        <w:t>TOKI</w:t>
      </w:r>
      <w:r w:rsidR="00C22C53">
        <w:rPr>
          <w:color w:val="222222"/>
        </w:rPr>
        <w:t>)</w:t>
      </w:r>
      <w:r w:rsidR="00730822">
        <w:rPr>
          <w:color w:val="222222"/>
        </w:rPr>
        <w:t xml:space="preserve"> </w:t>
      </w:r>
      <w:r w:rsidR="00C22C53">
        <w:rPr>
          <w:color w:val="222222"/>
        </w:rPr>
        <w:t>has cross-subsidised particularly in its</w:t>
      </w:r>
      <w:r w:rsidR="00730822">
        <w:rPr>
          <w:color w:val="222222"/>
        </w:rPr>
        <w:t xml:space="preserve"> Istanbul</w:t>
      </w:r>
      <w:r w:rsidR="00C22C53">
        <w:rPr>
          <w:color w:val="222222"/>
        </w:rPr>
        <w:t>-based operations</w:t>
      </w:r>
      <w:r w:rsidR="00C04C94">
        <w:rPr>
          <w:color w:val="222222"/>
        </w:rPr>
        <w:t xml:space="preserve"> (Turk and Altes 2010: 28).</w:t>
      </w:r>
      <w:r w:rsidR="008052D7">
        <w:rPr>
          <w:color w:val="222222"/>
        </w:rPr>
        <w:t xml:space="preserve"> </w:t>
      </w:r>
      <w:r w:rsidR="00183D6B">
        <w:rPr>
          <w:color w:val="222222"/>
        </w:rPr>
        <w:t>We are in addition currently</w:t>
      </w:r>
      <w:r w:rsidR="008052D7">
        <w:rPr>
          <w:color w:val="222222"/>
        </w:rPr>
        <w:t xml:space="preserve"> see</w:t>
      </w:r>
      <w:r w:rsidR="00183D6B">
        <w:rPr>
          <w:color w:val="222222"/>
        </w:rPr>
        <w:t>ing</w:t>
      </w:r>
      <w:r w:rsidR="008052D7">
        <w:rPr>
          <w:color w:val="222222"/>
        </w:rPr>
        <w:t xml:space="preserve"> ongoing experimentation across a range of lower- and middle-income countries</w:t>
      </w:r>
      <w:r w:rsidR="00C1052F">
        <w:rPr>
          <w:color w:val="222222"/>
        </w:rPr>
        <w:t xml:space="preserve"> with ways</w:t>
      </w:r>
      <w:r w:rsidR="008052D7">
        <w:rPr>
          <w:color w:val="222222"/>
        </w:rPr>
        <w:t xml:space="preserve"> to simultaneously deepen market-based housing provision and introduce mechanisms to correct market failure (Clegg 2017).</w:t>
      </w:r>
    </w:p>
    <w:p w:rsidR="008052D7" w:rsidRDefault="008052D7" w:rsidP="00C04C94">
      <w:pPr>
        <w:pStyle w:val="Header"/>
        <w:tabs>
          <w:tab w:val="clear" w:pos="4513"/>
          <w:tab w:val="left" w:pos="851"/>
        </w:tabs>
        <w:spacing w:line="480" w:lineRule="auto"/>
        <w:mirrorIndents/>
        <w:rPr>
          <w:color w:val="222222"/>
        </w:rPr>
      </w:pPr>
    </w:p>
    <w:p w:rsidR="00D06603" w:rsidRDefault="00EF6C5F" w:rsidP="008052D7">
      <w:pPr>
        <w:pStyle w:val="Header"/>
        <w:tabs>
          <w:tab w:val="clear" w:pos="4513"/>
          <w:tab w:val="left" w:pos="851"/>
        </w:tabs>
        <w:spacing w:line="480" w:lineRule="auto"/>
        <w:mirrorIndents/>
        <w:rPr>
          <w:color w:val="222222"/>
        </w:rPr>
      </w:pPr>
      <w:r>
        <w:rPr>
          <w:color w:val="222222"/>
        </w:rPr>
        <w:lastRenderedPageBreak/>
        <w:t>Beyond these existing dynamics, t</w:t>
      </w:r>
      <w:r w:rsidR="008052D7">
        <w:rPr>
          <w:color w:val="222222"/>
        </w:rPr>
        <w:t>here are</w:t>
      </w:r>
      <w:r>
        <w:rPr>
          <w:color w:val="222222"/>
        </w:rPr>
        <w:t xml:space="preserve"> more general</w:t>
      </w:r>
      <w:r w:rsidR="008052D7">
        <w:rPr>
          <w:color w:val="222222"/>
        </w:rPr>
        <w:t xml:space="preserve"> reasons to expect asymmetric marketization to </w:t>
      </w:r>
      <w:r>
        <w:rPr>
          <w:color w:val="222222"/>
        </w:rPr>
        <w:t xml:space="preserve">grow in importance for the provision of social housing across different national </w:t>
      </w:r>
      <w:r w:rsidR="008052D7">
        <w:rPr>
          <w:color w:val="222222"/>
        </w:rPr>
        <w:t>systems. In her typology of housing system transformation, Whitehead (2015: 250) suggests that within many countries the social housing sector is moving from a heavy reliance on government support, to an increasingly self-s</w:t>
      </w:r>
      <w:r>
        <w:rPr>
          <w:color w:val="222222"/>
        </w:rPr>
        <w:t>ufficient situation. Within</w:t>
      </w:r>
      <w:r w:rsidR="008052D7">
        <w:rPr>
          <w:color w:val="222222"/>
        </w:rPr>
        <w:t xml:space="preserve"> ‘austerity-era’ transition</w:t>
      </w:r>
      <w:r>
        <w:rPr>
          <w:color w:val="222222"/>
        </w:rPr>
        <w:t>s</w:t>
      </w:r>
      <w:r w:rsidR="008052D7">
        <w:rPr>
          <w:color w:val="222222"/>
        </w:rPr>
        <w:t>, Whitehead notes that cross-subsidisation can help fill resource gaps.</w:t>
      </w:r>
      <w:r w:rsidR="00EC722E">
        <w:rPr>
          <w:rStyle w:val="FootnoteReference"/>
          <w:color w:val="222222"/>
        </w:rPr>
        <w:footnoteReference w:id="15"/>
      </w:r>
      <w:r w:rsidR="00EC722E">
        <w:rPr>
          <w:color w:val="222222"/>
        </w:rPr>
        <w:t xml:space="preserve"> </w:t>
      </w:r>
      <w:r w:rsidR="008052D7">
        <w:rPr>
          <w:color w:val="222222"/>
        </w:rPr>
        <w:t xml:space="preserve">Across OECD countries and beyond, </w:t>
      </w:r>
      <w:r w:rsidR="00EB770D">
        <w:rPr>
          <w:color w:val="222222"/>
        </w:rPr>
        <w:t>housing systems remain marked by deep and sustained sub-national variation (</w:t>
      </w:r>
      <w:r w:rsidR="008E289B">
        <w:rPr>
          <w:color w:val="222222"/>
        </w:rPr>
        <w:t xml:space="preserve">Crescenzi et al 2016, </w:t>
      </w:r>
      <w:r w:rsidR="00EB770D">
        <w:rPr>
          <w:color w:val="222222"/>
        </w:rPr>
        <w:t>OECD 2016</w:t>
      </w:r>
      <w:r w:rsidR="005E7A1D">
        <w:rPr>
          <w:color w:val="222222"/>
        </w:rPr>
        <w:t>, Hudson et al 2018</w:t>
      </w:r>
      <w:r w:rsidR="00EB770D">
        <w:rPr>
          <w:color w:val="222222"/>
        </w:rPr>
        <w:t>)</w:t>
      </w:r>
      <w:r w:rsidR="008E289B">
        <w:rPr>
          <w:color w:val="222222"/>
        </w:rPr>
        <w:t xml:space="preserve">. </w:t>
      </w:r>
      <w:r w:rsidR="00D06603">
        <w:rPr>
          <w:color w:val="222222"/>
        </w:rPr>
        <w:t>R</w:t>
      </w:r>
      <w:r>
        <w:rPr>
          <w:color w:val="222222"/>
        </w:rPr>
        <w:t>eduction</w:t>
      </w:r>
      <w:r w:rsidR="00D06603">
        <w:rPr>
          <w:color w:val="222222"/>
        </w:rPr>
        <w:t>s</w:t>
      </w:r>
      <w:r>
        <w:rPr>
          <w:color w:val="222222"/>
        </w:rPr>
        <w:t xml:space="preserve"> of government support</w:t>
      </w:r>
      <w:r w:rsidR="00D06603">
        <w:rPr>
          <w:color w:val="222222"/>
        </w:rPr>
        <w:t xml:space="preserve"> for social housing</w:t>
      </w:r>
      <w:r>
        <w:rPr>
          <w:color w:val="222222"/>
        </w:rPr>
        <w:t xml:space="preserve"> and significant</w:t>
      </w:r>
      <w:r w:rsidR="008E289B">
        <w:rPr>
          <w:color w:val="222222"/>
        </w:rPr>
        <w:t xml:space="preserve"> spatial variation in housing market performance </w:t>
      </w:r>
      <w:r w:rsidR="00D06603">
        <w:rPr>
          <w:color w:val="222222"/>
        </w:rPr>
        <w:t>are, then, common features across national systems; i</w:t>
      </w:r>
      <w:r>
        <w:rPr>
          <w:color w:val="222222"/>
        </w:rPr>
        <w:t>n the English case</w:t>
      </w:r>
      <w:r w:rsidR="00D06603">
        <w:rPr>
          <w:color w:val="222222"/>
        </w:rPr>
        <w:t>, the confluence of these factors served</w:t>
      </w:r>
      <w:r>
        <w:rPr>
          <w:color w:val="222222"/>
        </w:rPr>
        <w:t xml:space="preserve"> to</w:t>
      </w:r>
      <w:r w:rsidR="008E289B">
        <w:rPr>
          <w:color w:val="222222"/>
        </w:rPr>
        <w:t xml:space="preserve"> </w:t>
      </w:r>
      <w:r>
        <w:rPr>
          <w:color w:val="222222"/>
        </w:rPr>
        <w:t>condition</w:t>
      </w:r>
      <w:r w:rsidR="008E289B">
        <w:rPr>
          <w:color w:val="222222"/>
        </w:rPr>
        <w:t xml:space="preserve"> social housing providers toward asymmetric </w:t>
      </w:r>
      <w:r w:rsidR="00EC722E">
        <w:rPr>
          <w:color w:val="222222"/>
        </w:rPr>
        <w:t>marketization.</w:t>
      </w:r>
    </w:p>
    <w:p w:rsidR="00D06603" w:rsidRDefault="00D06603" w:rsidP="008052D7">
      <w:pPr>
        <w:pStyle w:val="Header"/>
        <w:tabs>
          <w:tab w:val="clear" w:pos="4513"/>
          <w:tab w:val="left" w:pos="851"/>
        </w:tabs>
        <w:spacing w:line="480" w:lineRule="auto"/>
        <w:mirrorIndents/>
        <w:rPr>
          <w:color w:val="222222"/>
        </w:rPr>
      </w:pPr>
    </w:p>
    <w:p w:rsidR="00D06603" w:rsidRDefault="00C24815" w:rsidP="00F33FEB">
      <w:pPr>
        <w:pStyle w:val="Header"/>
        <w:tabs>
          <w:tab w:val="clear" w:pos="4513"/>
          <w:tab w:val="left" w:pos="851"/>
        </w:tabs>
        <w:spacing w:line="480" w:lineRule="auto"/>
        <w:mirrorIndents/>
        <w:rPr>
          <w:color w:val="222222"/>
        </w:rPr>
      </w:pPr>
      <w:r>
        <w:rPr>
          <w:color w:val="222222"/>
        </w:rPr>
        <w:t>As manifest i</w:t>
      </w:r>
      <w:r w:rsidR="00D06603">
        <w:rPr>
          <w:color w:val="222222"/>
        </w:rPr>
        <w:t>n the English case, a</w:t>
      </w:r>
      <w:r w:rsidR="00064E0F">
        <w:rPr>
          <w:color w:val="222222"/>
        </w:rPr>
        <w:t xml:space="preserve">symmetric marketization represents a </w:t>
      </w:r>
      <w:r w:rsidR="00D06603">
        <w:rPr>
          <w:color w:val="222222"/>
        </w:rPr>
        <w:t xml:space="preserve">response to a particular set of political economic constraints and opportunities. It was a response that provided an empirical foundation on which to bridge between Economic Geography and Political Science scholarship, bringing together the former’s focus on spatial variation with the latter’s disaggregation of market-based mechanisms. Given </w:t>
      </w:r>
      <w:r w:rsidR="00F33FEB">
        <w:rPr>
          <w:color w:val="222222"/>
        </w:rPr>
        <w:t xml:space="preserve">the </w:t>
      </w:r>
      <w:r w:rsidR="00D06603">
        <w:rPr>
          <w:color w:val="222222"/>
        </w:rPr>
        <w:t xml:space="preserve">concerns </w:t>
      </w:r>
      <w:r w:rsidR="00F33FEB">
        <w:rPr>
          <w:color w:val="222222"/>
        </w:rPr>
        <w:t xml:space="preserve">that have been raised </w:t>
      </w:r>
      <w:r w:rsidR="00D06603">
        <w:rPr>
          <w:color w:val="222222"/>
        </w:rPr>
        <w:t xml:space="preserve">over the sustainability and desirability of </w:t>
      </w:r>
      <w:r w:rsidR="00F33FEB">
        <w:rPr>
          <w:color w:val="222222"/>
        </w:rPr>
        <w:t xml:space="preserve">the observed changes in London-based Housing Association practice, and given the potential in other national systems for similar </w:t>
      </w:r>
      <w:r>
        <w:rPr>
          <w:color w:val="222222"/>
        </w:rPr>
        <w:t>spaces</w:t>
      </w:r>
      <w:r w:rsidR="00F33FEB">
        <w:rPr>
          <w:color w:val="222222"/>
        </w:rPr>
        <w:t xml:space="preserve"> to emerge where social provision becomes increasingly reliant on market mechanisms,</w:t>
      </w:r>
      <w:r w:rsidR="00D06603">
        <w:rPr>
          <w:color w:val="222222"/>
        </w:rPr>
        <w:t xml:space="preserve"> it is important that the theory and practice of asymmetric marketization is subjected to further scrutiny.</w:t>
      </w:r>
    </w:p>
    <w:p w:rsidR="00C04C94" w:rsidRDefault="00C04C94" w:rsidP="00C04C94">
      <w:pPr>
        <w:pStyle w:val="Header"/>
        <w:tabs>
          <w:tab w:val="clear" w:pos="4513"/>
          <w:tab w:val="left" w:pos="851"/>
        </w:tabs>
        <w:spacing w:line="480" w:lineRule="auto"/>
        <w:mirrorIndents/>
        <w:rPr>
          <w:color w:val="222222"/>
        </w:rPr>
      </w:pPr>
    </w:p>
    <w:p w:rsidR="00C04C94" w:rsidRDefault="00C04C94" w:rsidP="00C04C94">
      <w:pPr>
        <w:pStyle w:val="Header"/>
        <w:tabs>
          <w:tab w:val="clear" w:pos="4513"/>
          <w:tab w:val="left" w:pos="851"/>
        </w:tabs>
        <w:spacing w:line="480" w:lineRule="auto"/>
        <w:mirrorIndents/>
        <w:rPr>
          <w:color w:val="222222"/>
        </w:rPr>
      </w:pPr>
    </w:p>
    <w:p w:rsidR="00C04C94" w:rsidRPr="00C04C94" w:rsidRDefault="00C04C94" w:rsidP="00C04C94">
      <w:pPr>
        <w:pStyle w:val="Header"/>
        <w:tabs>
          <w:tab w:val="clear" w:pos="4513"/>
          <w:tab w:val="left" w:pos="851"/>
        </w:tabs>
        <w:spacing w:line="480" w:lineRule="auto"/>
        <w:mirrorIndents/>
        <w:rPr>
          <w:color w:val="222222"/>
        </w:rPr>
        <w:sectPr w:rsidR="00C04C94" w:rsidRPr="00C04C94">
          <w:headerReference w:type="default" r:id="rId14"/>
          <w:footerReference w:type="default" r:id="rId15"/>
          <w:pgSz w:w="11906" w:h="16838"/>
          <w:pgMar w:top="1440" w:right="1440" w:bottom="1440" w:left="1440" w:header="708" w:footer="708" w:gutter="0"/>
          <w:cols w:space="708"/>
          <w:docGrid w:linePitch="360"/>
        </w:sectPr>
      </w:pPr>
    </w:p>
    <w:p w:rsidR="00E054C1" w:rsidRDefault="00E054C1" w:rsidP="00862343">
      <w:r>
        <w:rPr>
          <w:u w:val="single"/>
        </w:rPr>
        <w:lastRenderedPageBreak/>
        <w:t>Bibliography</w:t>
      </w:r>
    </w:p>
    <w:p w:rsidR="008D0AA9" w:rsidRDefault="008D0AA9" w:rsidP="00862343">
      <w:pPr>
        <w:rPr>
          <w:rFonts w:eastAsia="Times New Roman" w:cs="Arial"/>
          <w:color w:val="222222"/>
          <w:lang w:eastAsia="en-GB"/>
        </w:rPr>
      </w:pPr>
      <w:r>
        <w:rPr>
          <w:rFonts w:eastAsia="Times New Roman" w:cs="Arial"/>
          <w:color w:val="222222"/>
          <w:lang w:eastAsia="en-GB"/>
        </w:rPr>
        <w:t>Aalbers, M.</w:t>
      </w:r>
      <w:r w:rsidRPr="008D0AA9">
        <w:rPr>
          <w:rFonts w:eastAsia="Times New Roman" w:cs="Arial"/>
          <w:color w:val="222222"/>
          <w:lang w:eastAsia="en-GB"/>
        </w:rPr>
        <w:t xml:space="preserve">, </w:t>
      </w:r>
      <w:r>
        <w:rPr>
          <w:rFonts w:eastAsia="Times New Roman" w:cs="Arial"/>
          <w:color w:val="222222"/>
          <w:lang w:eastAsia="en-GB"/>
        </w:rPr>
        <w:t xml:space="preserve">J. </w:t>
      </w:r>
      <w:r w:rsidRPr="008D0AA9">
        <w:rPr>
          <w:rFonts w:eastAsia="Times New Roman" w:cs="Arial"/>
          <w:color w:val="222222"/>
          <w:lang w:eastAsia="en-GB"/>
        </w:rPr>
        <w:t>Loon</w:t>
      </w:r>
      <w:r>
        <w:rPr>
          <w:rFonts w:eastAsia="Times New Roman" w:cs="Arial"/>
          <w:color w:val="222222"/>
          <w:lang w:eastAsia="en-GB"/>
        </w:rPr>
        <w:t xml:space="preserve"> </w:t>
      </w:r>
      <w:r w:rsidRPr="008D0AA9">
        <w:rPr>
          <w:rFonts w:eastAsia="Times New Roman" w:cs="Arial"/>
          <w:color w:val="222222"/>
          <w:lang w:eastAsia="en-GB"/>
        </w:rPr>
        <w:t xml:space="preserve">and </w:t>
      </w:r>
      <w:r>
        <w:rPr>
          <w:rFonts w:eastAsia="Times New Roman" w:cs="Arial"/>
          <w:color w:val="222222"/>
          <w:lang w:eastAsia="en-GB"/>
        </w:rPr>
        <w:t xml:space="preserve">R. </w:t>
      </w:r>
      <w:r w:rsidRPr="008D0AA9">
        <w:rPr>
          <w:rFonts w:eastAsia="Times New Roman" w:cs="Arial"/>
          <w:color w:val="222222"/>
          <w:lang w:eastAsia="en-GB"/>
        </w:rPr>
        <w:t>Fernandez</w:t>
      </w:r>
      <w:r>
        <w:rPr>
          <w:rFonts w:eastAsia="Times New Roman" w:cs="Arial"/>
          <w:color w:val="222222"/>
          <w:lang w:eastAsia="en-GB"/>
        </w:rPr>
        <w:t>.</w:t>
      </w:r>
      <w:r w:rsidRPr="008D0AA9">
        <w:rPr>
          <w:rFonts w:eastAsia="Times New Roman" w:cs="Arial"/>
          <w:color w:val="222222"/>
          <w:lang w:eastAsia="en-GB"/>
        </w:rPr>
        <w:t xml:space="preserve"> 2017. </w:t>
      </w:r>
      <w:r>
        <w:rPr>
          <w:rFonts w:eastAsia="Times New Roman" w:cs="Arial"/>
          <w:color w:val="222222"/>
          <w:lang w:eastAsia="en-GB"/>
        </w:rPr>
        <w:t>‘</w:t>
      </w:r>
      <w:r w:rsidRPr="008D0AA9">
        <w:rPr>
          <w:rFonts w:eastAsia="Times New Roman" w:cs="Arial"/>
          <w:color w:val="222222"/>
          <w:lang w:eastAsia="en-GB"/>
        </w:rPr>
        <w:t>The financialization of a social housing provider</w:t>
      </w:r>
      <w:r>
        <w:rPr>
          <w:rFonts w:eastAsia="Times New Roman" w:cs="Arial"/>
          <w:color w:val="222222"/>
          <w:lang w:eastAsia="en-GB"/>
        </w:rPr>
        <w:t>’,</w:t>
      </w:r>
      <w:r w:rsidRPr="008D0AA9">
        <w:rPr>
          <w:rFonts w:eastAsia="Times New Roman" w:cs="Arial"/>
          <w:color w:val="222222"/>
          <w:lang w:eastAsia="en-GB"/>
        </w:rPr>
        <w:t xml:space="preserve"> </w:t>
      </w:r>
      <w:r w:rsidRPr="008D0AA9">
        <w:rPr>
          <w:rFonts w:eastAsia="Times New Roman" w:cs="Arial"/>
          <w:i/>
          <w:color w:val="222222"/>
          <w:lang w:eastAsia="en-GB"/>
        </w:rPr>
        <w:t>International Journal of Urban and Regional Research</w:t>
      </w:r>
      <w:r w:rsidRPr="008D0AA9">
        <w:rPr>
          <w:rFonts w:eastAsia="Times New Roman" w:cs="Arial"/>
          <w:color w:val="222222"/>
          <w:lang w:eastAsia="en-GB"/>
        </w:rPr>
        <w:t>, 41</w:t>
      </w:r>
      <w:r>
        <w:rPr>
          <w:rFonts w:eastAsia="Times New Roman" w:cs="Arial"/>
          <w:color w:val="222222"/>
          <w:lang w:eastAsia="en-GB"/>
        </w:rPr>
        <w:t>, 4</w:t>
      </w:r>
      <w:r w:rsidRPr="008D0AA9">
        <w:rPr>
          <w:rFonts w:eastAsia="Times New Roman" w:cs="Arial"/>
          <w:color w:val="222222"/>
          <w:lang w:eastAsia="en-GB"/>
        </w:rPr>
        <w:t>, 572-587.</w:t>
      </w:r>
    </w:p>
    <w:p w:rsidR="00457430" w:rsidRPr="00457430" w:rsidRDefault="00457430" w:rsidP="00862343">
      <w:pPr>
        <w:rPr>
          <w:rFonts w:eastAsia="Times New Roman" w:cs="Arial"/>
          <w:color w:val="222222"/>
          <w:lang w:eastAsia="en-GB"/>
        </w:rPr>
      </w:pPr>
      <w:r>
        <w:rPr>
          <w:rFonts w:eastAsia="Times New Roman" w:cs="Arial"/>
          <w:color w:val="222222"/>
          <w:lang w:eastAsia="en-GB"/>
        </w:rPr>
        <w:t xml:space="preserve">Altair. 2016. </w:t>
      </w:r>
      <w:r>
        <w:rPr>
          <w:rFonts w:eastAsia="Times New Roman" w:cs="Arial"/>
          <w:i/>
          <w:color w:val="222222"/>
          <w:lang w:eastAsia="en-GB"/>
        </w:rPr>
        <w:t>LSVT Governance that is Fit for the Future</w:t>
      </w:r>
      <w:r>
        <w:rPr>
          <w:rFonts w:eastAsia="Times New Roman" w:cs="Arial"/>
          <w:color w:val="222222"/>
          <w:lang w:eastAsia="en-GB"/>
        </w:rPr>
        <w:t>. London: Altair.</w:t>
      </w:r>
    </w:p>
    <w:p w:rsidR="00985CA1" w:rsidRPr="00985CA1" w:rsidRDefault="00985CA1" w:rsidP="00862343">
      <w:pPr>
        <w:rPr>
          <w:rFonts w:eastAsia="Times New Roman" w:cs="Arial"/>
          <w:color w:val="222222"/>
          <w:lang w:eastAsia="en-GB"/>
        </w:rPr>
      </w:pPr>
      <w:r>
        <w:rPr>
          <w:rFonts w:eastAsia="Times New Roman" w:cs="Arial"/>
          <w:color w:val="222222"/>
          <w:lang w:eastAsia="en-GB"/>
        </w:rPr>
        <w:t xml:space="preserve">Apps, P. 2015. ‘Commercial activity “not just for cross-subsidy”’, </w:t>
      </w:r>
      <w:r>
        <w:rPr>
          <w:rFonts w:eastAsia="Times New Roman" w:cs="Arial"/>
          <w:i/>
          <w:color w:val="222222"/>
          <w:lang w:eastAsia="en-GB"/>
        </w:rPr>
        <w:t>Inside Housing</w:t>
      </w:r>
      <w:r>
        <w:rPr>
          <w:rFonts w:eastAsia="Times New Roman" w:cs="Arial"/>
          <w:color w:val="222222"/>
          <w:lang w:eastAsia="en-GB"/>
        </w:rPr>
        <w:t>, 24</w:t>
      </w:r>
      <w:r w:rsidRPr="00985CA1">
        <w:rPr>
          <w:rFonts w:eastAsia="Times New Roman" w:cs="Arial"/>
          <w:color w:val="222222"/>
          <w:vertAlign w:val="superscript"/>
          <w:lang w:eastAsia="en-GB"/>
        </w:rPr>
        <w:t>th</w:t>
      </w:r>
      <w:r>
        <w:rPr>
          <w:rFonts w:eastAsia="Times New Roman" w:cs="Arial"/>
          <w:color w:val="222222"/>
          <w:lang w:eastAsia="en-GB"/>
        </w:rPr>
        <w:t xml:space="preserve"> June.</w:t>
      </w:r>
    </w:p>
    <w:p w:rsidR="00C97AED" w:rsidRDefault="00C97AED" w:rsidP="00862343">
      <w:pPr>
        <w:rPr>
          <w:rFonts w:eastAsia="Times New Roman" w:cs="Arial"/>
          <w:color w:val="222222"/>
          <w:lang w:eastAsia="en-GB"/>
        </w:rPr>
      </w:pPr>
      <w:r>
        <w:rPr>
          <w:rFonts w:eastAsia="Times New Roman" w:cs="Arial"/>
          <w:color w:val="222222"/>
          <w:lang w:eastAsia="en-GB"/>
        </w:rPr>
        <w:t>Badran, A.</w:t>
      </w:r>
      <w:r w:rsidRPr="00C97AED">
        <w:rPr>
          <w:rFonts w:eastAsia="Times New Roman" w:cs="Arial"/>
          <w:color w:val="222222"/>
          <w:lang w:eastAsia="en-GB"/>
        </w:rPr>
        <w:t xml:space="preserve"> 2017. </w:t>
      </w:r>
      <w:r>
        <w:rPr>
          <w:rFonts w:eastAsia="Times New Roman" w:cs="Arial"/>
          <w:color w:val="222222"/>
          <w:lang w:eastAsia="en-GB"/>
        </w:rPr>
        <w:t>‘</w:t>
      </w:r>
      <w:r w:rsidRPr="00C97AED">
        <w:rPr>
          <w:rFonts w:eastAsia="Times New Roman" w:cs="Arial"/>
          <w:color w:val="222222"/>
          <w:lang w:eastAsia="en-GB"/>
        </w:rPr>
        <w:t>Revisiting regulatory independence: The relationship between the formal and de-facto independence of the Egyptian telecoms regulator</w:t>
      </w:r>
      <w:r>
        <w:rPr>
          <w:rFonts w:eastAsia="Times New Roman" w:cs="Arial"/>
          <w:color w:val="222222"/>
          <w:lang w:eastAsia="en-GB"/>
        </w:rPr>
        <w:t>’,</w:t>
      </w:r>
      <w:r w:rsidRPr="00C97AED">
        <w:rPr>
          <w:rFonts w:eastAsia="Times New Roman" w:cs="Arial"/>
          <w:color w:val="222222"/>
          <w:lang w:eastAsia="en-GB"/>
        </w:rPr>
        <w:t xml:space="preserve"> </w:t>
      </w:r>
      <w:r w:rsidRPr="00C97AED">
        <w:rPr>
          <w:rFonts w:eastAsia="Times New Roman" w:cs="Arial"/>
          <w:i/>
          <w:color w:val="222222"/>
          <w:lang w:eastAsia="en-GB"/>
        </w:rPr>
        <w:t>Public Policy and Administration</w:t>
      </w:r>
      <w:r w:rsidRPr="00C97AED">
        <w:rPr>
          <w:rFonts w:eastAsia="Times New Roman" w:cs="Arial"/>
          <w:color w:val="222222"/>
          <w:lang w:eastAsia="en-GB"/>
        </w:rPr>
        <w:t>, 32</w:t>
      </w:r>
      <w:r>
        <w:rPr>
          <w:rFonts w:eastAsia="Times New Roman" w:cs="Arial"/>
          <w:color w:val="222222"/>
          <w:lang w:eastAsia="en-GB"/>
        </w:rPr>
        <w:t xml:space="preserve">, </w:t>
      </w:r>
      <w:r w:rsidRPr="00C97AED">
        <w:rPr>
          <w:rFonts w:eastAsia="Times New Roman" w:cs="Arial"/>
          <w:color w:val="222222"/>
          <w:lang w:eastAsia="en-GB"/>
        </w:rPr>
        <w:t>1, 66-84.</w:t>
      </w:r>
    </w:p>
    <w:p w:rsidR="00AE2920" w:rsidRDefault="00AE2920" w:rsidP="00862343">
      <w:pPr>
        <w:rPr>
          <w:rFonts w:eastAsia="Times New Roman" w:cs="Arial"/>
          <w:color w:val="222222"/>
          <w:lang w:eastAsia="en-GB"/>
        </w:rPr>
      </w:pPr>
      <w:r>
        <w:rPr>
          <w:rFonts w:eastAsia="Times New Roman" w:cs="Arial"/>
          <w:color w:val="222222"/>
          <w:lang w:eastAsia="en-GB"/>
        </w:rPr>
        <w:t>Bailey, D. and Wood, M.</w:t>
      </w:r>
      <w:r w:rsidRPr="00AE2920">
        <w:rPr>
          <w:rFonts w:eastAsia="Times New Roman" w:cs="Arial"/>
          <w:color w:val="222222"/>
          <w:lang w:eastAsia="en-GB"/>
        </w:rPr>
        <w:t xml:space="preserve"> 2017. </w:t>
      </w:r>
      <w:r>
        <w:rPr>
          <w:rFonts w:eastAsia="Times New Roman" w:cs="Arial"/>
          <w:color w:val="222222"/>
          <w:lang w:eastAsia="en-GB"/>
        </w:rPr>
        <w:t>‘</w:t>
      </w:r>
      <w:r w:rsidRPr="00AE2920">
        <w:rPr>
          <w:rFonts w:eastAsia="Times New Roman" w:cs="Arial"/>
          <w:color w:val="222222"/>
          <w:lang w:eastAsia="en-GB"/>
        </w:rPr>
        <w:t>The metagovernance of English devolution</w:t>
      </w:r>
      <w:r>
        <w:rPr>
          <w:rFonts w:eastAsia="Times New Roman" w:cs="Arial"/>
          <w:color w:val="222222"/>
          <w:lang w:eastAsia="en-GB"/>
        </w:rPr>
        <w:t>’,</w:t>
      </w:r>
      <w:r w:rsidRPr="00AE2920">
        <w:rPr>
          <w:rFonts w:eastAsia="Times New Roman" w:cs="Arial"/>
          <w:color w:val="222222"/>
          <w:lang w:eastAsia="en-GB"/>
        </w:rPr>
        <w:t xml:space="preserve"> </w:t>
      </w:r>
      <w:r w:rsidRPr="00AE2920">
        <w:rPr>
          <w:rFonts w:eastAsia="Times New Roman" w:cs="Arial"/>
          <w:i/>
          <w:color w:val="222222"/>
          <w:lang w:eastAsia="en-GB"/>
        </w:rPr>
        <w:t>Local Government Studies</w:t>
      </w:r>
      <w:r w:rsidRPr="00AE2920">
        <w:rPr>
          <w:rFonts w:eastAsia="Times New Roman" w:cs="Arial"/>
          <w:color w:val="222222"/>
          <w:lang w:eastAsia="en-GB"/>
        </w:rPr>
        <w:t>, 43</w:t>
      </w:r>
      <w:r>
        <w:rPr>
          <w:rFonts w:eastAsia="Times New Roman" w:cs="Arial"/>
          <w:color w:val="222222"/>
          <w:lang w:eastAsia="en-GB"/>
        </w:rPr>
        <w:t xml:space="preserve">, </w:t>
      </w:r>
      <w:r w:rsidRPr="00AE2920">
        <w:rPr>
          <w:rFonts w:eastAsia="Times New Roman" w:cs="Arial"/>
          <w:color w:val="222222"/>
          <w:lang w:eastAsia="en-GB"/>
        </w:rPr>
        <w:t>6</w:t>
      </w:r>
      <w:r>
        <w:rPr>
          <w:rFonts w:eastAsia="Times New Roman" w:cs="Arial"/>
          <w:color w:val="222222"/>
          <w:lang w:eastAsia="en-GB"/>
        </w:rPr>
        <w:t xml:space="preserve">, </w:t>
      </w:r>
      <w:r w:rsidR="00D05CE0">
        <w:rPr>
          <w:rFonts w:eastAsia="Times New Roman" w:cs="Arial"/>
          <w:color w:val="222222"/>
          <w:lang w:eastAsia="en-GB"/>
        </w:rPr>
        <w:t>966-</w:t>
      </w:r>
      <w:r w:rsidRPr="00AE2920">
        <w:rPr>
          <w:rFonts w:eastAsia="Times New Roman" w:cs="Arial"/>
          <w:color w:val="222222"/>
          <w:lang w:eastAsia="en-GB"/>
        </w:rPr>
        <w:t>91.</w:t>
      </w:r>
    </w:p>
    <w:p w:rsidR="00576CA2" w:rsidRDefault="00576CA2" w:rsidP="00862343">
      <w:pPr>
        <w:rPr>
          <w:rFonts w:eastAsia="Times New Roman" w:cs="Arial"/>
          <w:color w:val="222222"/>
          <w:lang w:eastAsia="en-GB"/>
        </w:rPr>
      </w:pPr>
      <w:r w:rsidRPr="00576CA2">
        <w:rPr>
          <w:rFonts w:eastAsia="Times New Roman" w:cs="Arial"/>
          <w:color w:val="222222"/>
          <w:lang w:eastAsia="en-GB"/>
        </w:rPr>
        <w:t>Baldwin, R</w:t>
      </w:r>
      <w:r>
        <w:rPr>
          <w:rFonts w:eastAsia="Times New Roman" w:cs="Arial"/>
          <w:color w:val="222222"/>
          <w:lang w:eastAsia="en-GB"/>
        </w:rPr>
        <w:t>.</w:t>
      </w:r>
      <w:r w:rsidRPr="00576CA2">
        <w:rPr>
          <w:rFonts w:eastAsia="Times New Roman" w:cs="Arial"/>
          <w:color w:val="222222"/>
          <w:lang w:eastAsia="en-GB"/>
        </w:rPr>
        <w:t>, R</w:t>
      </w:r>
      <w:r>
        <w:rPr>
          <w:rFonts w:eastAsia="Times New Roman" w:cs="Arial"/>
          <w:color w:val="222222"/>
          <w:lang w:eastAsia="en-GB"/>
        </w:rPr>
        <w:t>.</w:t>
      </w:r>
      <w:r w:rsidRPr="00576CA2">
        <w:rPr>
          <w:rFonts w:eastAsia="Times New Roman" w:cs="Arial"/>
          <w:color w:val="222222"/>
          <w:lang w:eastAsia="en-GB"/>
        </w:rPr>
        <w:t xml:space="preserve"> Forslid, P</w:t>
      </w:r>
      <w:r>
        <w:rPr>
          <w:rFonts w:eastAsia="Times New Roman" w:cs="Arial"/>
          <w:color w:val="222222"/>
          <w:lang w:eastAsia="en-GB"/>
        </w:rPr>
        <w:t>.</w:t>
      </w:r>
      <w:r w:rsidRPr="00576CA2">
        <w:rPr>
          <w:rFonts w:eastAsia="Times New Roman" w:cs="Arial"/>
          <w:color w:val="222222"/>
          <w:lang w:eastAsia="en-GB"/>
        </w:rPr>
        <w:t xml:space="preserve"> Martin, G</w:t>
      </w:r>
      <w:r>
        <w:rPr>
          <w:rFonts w:eastAsia="Times New Roman" w:cs="Arial"/>
          <w:color w:val="222222"/>
          <w:lang w:eastAsia="en-GB"/>
        </w:rPr>
        <w:t>.</w:t>
      </w:r>
      <w:r w:rsidRPr="00576CA2">
        <w:rPr>
          <w:rFonts w:eastAsia="Times New Roman" w:cs="Arial"/>
          <w:color w:val="222222"/>
          <w:lang w:eastAsia="en-GB"/>
        </w:rPr>
        <w:t xml:space="preserve"> Ottaviano, and F</w:t>
      </w:r>
      <w:r>
        <w:rPr>
          <w:rFonts w:eastAsia="Times New Roman" w:cs="Arial"/>
          <w:color w:val="222222"/>
          <w:lang w:eastAsia="en-GB"/>
        </w:rPr>
        <w:t>.</w:t>
      </w:r>
      <w:r w:rsidRPr="00576CA2">
        <w:rPr>
          <w:rFonts w:eastAsia="Times New Roman" w:cs="Arial"/>
          <w:color w:val="222222"/>
          <w:lang w:eastAsia="en-GB"/>
        </w:rPr>
        <w:t xml:space="preserve"> Robert-Nicoud. </w:t>
      </w:r>
      <w:r>
        <w:rPr>
          <w:rFonts w:eastAsia="Times New Roman" w:cs="Arial"/>
          <w:color w:val="222222"/>
          <w:lang w:eastAsia="en-GB"/>
        </w:rPr>
        <w:t xml:space="preserve">2011. </w:t>
      </w:r>
      <w:r w:rsidRPr="00576CA2">
        <w:rPr>
          <w:rFonts w:eastAsia="Times New Roman" w:cs="Arial"/>
          <w:i/>
          <w:color w:val="222222"/>
          <w:lang w:eastAsia="en-GB"/>
        </w:rPr>
        <w:t>Economic Geography and Public Policy</w:t>
      </w:r>
      <w:r w:rsidRPr="00576CA2">
        <w:rPr>
          <w:rFonts w:eastAsia="Times New Roman" w:cs="Arial"/>
          <w:color w:val="222222"/>
          <w:lang w:eastAsia="en-GB"/>
        </w:rPr>
        <w:t xml:space="preserve">. </w:t>
      </w:r>
      <w:r>
        <w:rPr>
          <w:rFonts w:eastAsia="Times New Roman" w:cs="Arial"/>
          <w:color w:val="222222"/>
          <w:lang w:eastAsia="en-GB"/>
        </w:rPr>
        <w:t xml:space="preserve">New York: </w:t>
      </w:r>
      <w:r w:rsidRPr="00576CA2">
        <w:rPr>
          <w:rFonts w:eastAsia="Times New Roman" w:cs="Arial"/>
          <w:color w:val="222222"/>
          <w:lang w:eastAsia="en-GB"/>
        </w:rPr>
        <w:t>Princeton University Press.</w:t>
      </w:r>
    </w:p>
    <w:p w:rsidR="00E710BE" w:rsidRPr="00E710BE" w:rsidRDefault="006955AF" w:rsidP="00862343">
      <w:pPr>
        <w:rPr>
          <w:rFonts w:eastAsia="Times New Roman" w:cs="Arial"/>
          <w:color w:val="222222"/>
          <w:lang w:eastAsia="en-GB"/>
        </w:rPr>
      </w:pPr>
      <w:r>
        <w:rPr>
          <w:rFonts w:eastAsia="Times New Roman" w:cs="Arial"/>
          <w:color w:val="222222"/>
          <w:lang w:eastAsia="en-GB"/>
        </w:rPr>
        <w:t>Barra</w:t>
      </w:r>
      <w:r w:rsidR="00E710BE">
        <w:rPr>
          <w:rFonts w:eastAsia="Times New Roman" w:cs="Arial"/>
          <w:color w:val="222222"/>
          <w:lang w:eastAsia="en-GB"/>
        </w:rPr>
        <w:t>tt, P. 2018. ‘</w:t>
      </w:r>
      <w:r w:rsidR="00E710BE" w:rsidRPr="00E710BE">
        <w:rPr>
          <w:rFonts w:eastAsia="Times New Roman" w:cs="Arial"/>
          <w:color w:val="222222"/>
          <w:lang w:eastAsia="en-GB"/>
        </w:rPr>
        <w:t>London mayor raises grant rates for housing associations</w:t>
      </w:r>
      <w:r w:rsidR="00E710BE">
        <w:rPr>
          <w:rFonts w:eastAsia="Times New Roman" w:cs="Arial"/>
          <w:color w:val="222222"/>
          <w:lang w:eastAsia="en-GB"/>
        </w:rPr>
        <w:t xml:space="preserve">’, </w:t>
      </w:r>
      <w:r w:rsidR="00E710BE">
        <w:rPr>
          <w:rFonts w:eastAsia="Times New Roman" w:cs="Arial"/>
          <w:i/>
          <w:color w:val="222222"/>
          <w:lang w:eastAsia="en-GB"/>
        </w:rPr>
        <w:t>Inside Housing</w:t>
      </w:r>
      <w:r w:rsidR="00E710BE">
        <w:rPr>
          <w:rFonts w:eastAsia="Times New Roman" w:cs="Arial"/>
          <w:color w:val="222222"/>
          <w:lang w:eastAsia="en-GB"/>
        </w:rPr>
        <w:t>, 19</w:t>
      </w:r>
      <w:r w:rsidR="00E710BE" w:rsidRPr="00E710BE">
        <w:rPr>
          <w:rFonts w:eastAsia="Times New Roman" w:cs="Arial"/>
          <w:color w:val="222222"/>
          <w:vertAlign w:val="superscript"/>
          <w:lang w:eastAsia="en-GB"/>
        </w:rPr>
        <w:t>th</w:t>
      </w:r>
      <w:r w:rsidR="00E710BE">
        <w:rPr>
          <w:rFonts w:eastAsia="Times New Roman" w:cs="Arial"/>
          <w:color w:val="222222"/>
          <w:lang w:eastAsia="en-GB"/>
        </w:rPr>
        <w:t xml:space="preserve"> June.</w:t>
      </w:r>
    </w:p>
    <w:p w:rsidR="006955AF" w:rsidRPr="006955AF" w:rsidRDefault="006955AF" w:rsidP="00862343">
      <w:pPr>
        <w:rPr>
          <w:rFonts w:eastAsia="Times New Roman" w:cs="Arial"/>
          <w:color w:val="222222"/>
          <w:lang w:eastAsia="en-GB"/>
        </w:rPr>
      </w:pPr>
      <w:r>
        <w:rPr>
          <w:rFonts w:eastAsia="Times New Roman" w:cs="Arial"/>
          <w:color w:val="222222"/>
          <w:lang w:eastAsia="en-GB"/>
        </w:rPr>
        <w:t xml:space="preserve">Barratt, P. 2019. ‘Number of unsold housing association homes soars to more than 7,000’, </w:t>
      </w:r>
      <w:r>
        <w:rPr>
          <w:rFonts w:eastAsia="Times New Roman" w:cs="Arial"/>
          <w:i/>
          <w:color w:val="222222"/>
          <w:lang w:eastAsia="en-GB"/>
        </w:rPr>
        <w:t>Inside Housing</w:t>
      </w:r>
      <w:r>
        <w:rPr>
          <w:rFonts w:eastAsia="Times New Roman" w:cs="Arial"/>
          <w:color w:val="222222"/>
          <w:lang w:eastAsia="en-GB"/>
        </w:rPr>
        <w:t>, 25</w:t>
      </w:r>
      <w:r w:rsidRPr="006955AF">
        <w:rPr>
          <w:rFonts w:eastAsia="Times New Roman" w:cs="Arial"/>
          <w:color w:val="222222"/>
          <w:vertAlign w:val="superscript"/>
          <w:lang w:eastAsia="en-GB"/>
        </w:rPr>
        <w:t>th</w:t>
      </w:r>
      <w:r>
        <w:rPr>
          <w:rFonts w:eastAsia="Times New Roman" w:cs="Arial"/>
          <w:color w:val="222222"/>
          <w:lang w:eastAsia="en-GB"/>
        </w:rPr>
        <w:t xml:space="preserve"> February.</w:t>
      </w:r>
    </w:p>
    <w:p w:rsidR="00EC77A5" w:rsidRPr="00EC77A5" w:rsidRDefault="00EC77A5" w:rsidP="00862343">
      <w:pPr>
        <w:rPr>
          <w:rFonts w:eastAsia="Times New Roman" w:cs="Arial"/>
          <w:color w:val="222222"/>
          <w:lang w:eastAsia="en-GB"/>
        </w:rPr>
      </w:pPr>
      <w:r>
        <w:rPr>
          <w:rFonts w:eastAsia="Times New Roman" w:cs="Arial"/>
          <w:color w:val="222222"/>
          <w:lang w:eastAsia="en-GB"/>
        </w:rPr>
        <w:t xml:space="preserve">Blackman, D. 2017. “The next regeneration”, </w:t>
      </w:r>
      <w:r>
        <w:rPr>
          <w:rFonts w:eastAsia="Times New Roman" w:cs="Arial"/>
          <w:i/>
          <w:color w:val="222222"/>
          <w:lang w:eastAsia="en-GB"/>
        </w:rPr>
        <w:t>Social Housing</w:t>
      </w:r>
      <w:r>
        <w:rPr>
          <w:rFonts w:eastAsia="Times New Roman" w:cs="Arial"/>
          <w:color w:val="222222"/>
          <w:lang w:eastAsia="en-GB"/>
        </w:rPr>
        <w:t>, 9</w:t>
      </w:r>
      <w:r w:rsidRPr="00EC77A5">
        <w:rPr>
          <w:rFonts w:eastAsia="Times New Roman" w:cs="Arial"/>
          <w:color w:val="222222"/>
          <w:vertAlign w:val="superscript"/>
          <w:lang w:eastAsia="en-GB"/>
        </w:rPr>
        <w:t>th</w:t>
      </w:r>
      <w:r>
        <w:rPr>
          <w:rFonts w:eastAsia="Times New Roman" w:cs="Arial"/>
          <w:color w:val="222222"/>
          <w:lang w:eastAsia="en-GB"/>
        </w:rPr>
        <w:t xml:space="preserve"> March.</w:t>
      </w:r>
    </w:p>
    <w:p w:rsidR="0009668C" w:rsidRPr="0009668C" w:rsidRDefault="0009668C" w:rsidP="00862343">
      <w:pPr>
        <w:rPr>
          <w:rFonts w:eastAsia="Times New Roman" w:cs="Arial"/>
          <w:color w:val="222222"/>
          <w:lang w:eastAsia="en-GB"/>
        </w:rPr>
      </w:pPr>
      <w:r>
        <w:rPr>
          <w:rFonts w:eastAsia="Times New Roman" w:cs="Arial"/>
          <w:color w:val="222222"/>
          <w:lang w:eastAsia="en-GB"/>
        </w:rPr>
        <w:t xml:space="preserve">Blyth, M. 2013. </w:t>
      </w:r>
      <w:r>
        <w:rPr>
          <w:rFonts w:eastAsia="Times New Roman" w:cs="Arial"/>
          <w:i/>
          <w:color w:val="222222"/>
          <w:lang w:eastAsia="en-GB"/>
        </w:rPr>
        <w:t>Austerity: History of a Dangerous Idea</w:t>
      </w:r>
      <w:r>
        <w:rPr>
          <w:rFonts w:eastAsia="Times New Roman" w:cs="Arial"/>
          <w:color w:val="222222"/>
          <w:lang w:eastAsia="en-GB"/>
        </w:rPr>
        <w:t>. Oxford: University Press.</w:t>
      </w:r>
    </w:p>
    <w:p w:rsidR="00CD7D35" w:rsidRPr="00CD7D35" w:rsidRDefault="00CD7D35" w:rsidP="00862343">
      <w:pPr>
        <w:rPr>
          <w:rFonts w:eastAsia="Times New Roman" w:cs="Arial"/>
          <w:color w:val="222222"/>
          <w:lang w:eastAsia="en-GB"/>
        </w:rPr>
      </w:pPr>
      <w:r>
        <w:rPr>
          <w:rFonts w:eastAsia="Times New Roman" w:cs="Arial"/>
          <w:color w:val="222222"/>
          <w:lang w:eastAsia="en-GB"/>
        </w:rPr>
        <w:t xml:space="preserve">Buckle, C. 2015. </w:t>
      </w:r>
      <w:r>
        <w:rPr>
          <w:rFonts w:eastAsia="Times New Roman" w:cs="Arial"/>
          <w:i/>
          <w:color w:val="222222"/>
          <w:lang w:eastAsia="en-GB"/>
        </w:rPr>
        <w:t>The Future of Sub-Market Housing</w:t>
      </w:r>
      <w:r>
        <w:rPr>
          <w:rFonts w:eastAsia="Times New Roman" w:cs="Arial"/>
          <w:color w:val="222222"/>
          <w:lang w:eastAsia="en-GB"/>
        </w:rPr>
        <w:t>. London: Savills.</w:t>
      </w:r>
    </w:p>
    <w:p w:rsidR="0075542B" w:rsidRDefault="0075542B" w:rsidP="00862343">
      <w:pPr>
        <w:rPr>
          <w:rFonts w:eastAsia="Times New Roman" w:cs="Arial"/>
          <w:color w:val="222222"/>
          <w:lang w:eastAsia="en-GB"/>
        </w:rPr>
      </w:pPr>
      <w:r>
        <w:rPr>
          <w:rFonts w:eastAsia="Times New Roman" w:cs="Arial"/>
          <w:color w:val="222222"/>
          <w:lang w:eastAsia="en-GB"/>
        </w:rPr>
        <w:t>Bulkeley, H.</w:t>
      </w:r>
      <w:r w:rsidRPr="0075542B">
        <w:rPr>
          <w:rFonts w:eastAsia="Times New Roman" w:cs="Arial"/>
          <w:color w:val="222222"/>
          <w:lang w:eastAsia="en-GB"/>
        </w:rPr>
        <w:t xml:space="preserve"> 2005. </w:t>
      </w:r>
      <w:r>
        <w:rPr>
          <w:rFonts w:eastAsia="Times New Roman" w:cs="Arial"/>
          <w:color w:val="222222"/>
          <w:lang w:eastAsia="en-GB"/>
        </w:rPr>
        <w:t>“</w:t>
      </w:r>
      <w:r w:rsidRPr="0075542B">
        <w:rPr>
          <w:rFonts w:eastAsia="Times New Roman" w:cs="Arial"/>
          <w:color w:val="222222"/>
          <w:lang w:eastAsia="en-GB"/>
        </w:rPr>
        <w:t>Reconfiguring environmental governance: Towards a politics of scales and networks</w:t>
      </w:r>
      <w:r>
        <w:rPr>
          <w:rFonts w:eastAsia="Times New Roman" w:cs="Arial"/>
          <w:color w:val="222222"/>
          <w:lang w:eastAsia="en-GB"/>
        </w:rPr>
        <w:t>”,</w:t>
      </w:r>
      <w:r w:rsidRPr="0075542B">
        <w:rPr>
          <w:rFonts w:eastAsia="Times New Roman" w:cs="Arial"/>
          <w:color w:val="222222"/>
          <w:lang w:eastAsia="en-GB"/>
        </w:rPr>
        <w:t xml:space="preserve"> </w:t>
      </w:r>
      <w:r w:rsidRPr="0075542B">
        <w:rPr>
          <w:rFonts w:eastAsia="Times New Roman" w:cs="Arial"/>
          <w:i/>
          <w:color w:val="222222"/>
          <w:lang w:eastAsia="en-GB"/>
        </w:rPr>
        <w:t>Political Geography</w:t>
      </w:r>
      <w:r w:rsidRPr="0075542B">
        <w:rPr>
          <w:rFonts w:eastAsia="Times New Roman" w:cs="Arial"/>
          <w:color w:val="222222"/>
          <w:lang w:eastAsia="en-GB"/>
        </w:rPr>
        <w:t>, 24</w:t>
      </w:r>
      <w:r>
        <w:rPr>
          <w:rFonts w:eastAsia="Times New Roman" w:cs="Arial"/>
          <w:color w:val="222222"/>
          <w:lang w:eastAsia="en-GB"/>
        </w:rPr>
        <w:t xml:space="preserve">, </w:t>
      </w:r>
      <w:r w:rsidRPr="0075542B">
        <w:rPr>
          <w:rFonts w:eastAsia="Times New Roman" w:cs="Arial"/>
          <w:color w:val="222222"/>
          <w:lang w:eastAsia="en-GB"/>
        </w:rPr>
        <w:t>8</w:t>
      </w:r>
      <w:r>
        <w:rPr>
          <w:rFonts w:eastAsia="Times New Roman" w:cs="Arial"/>
          <w:color w:val="222222"/>
          <w:lang w:eastAsia="en-GB"/>
        </w:rPr>
        <w:t xml:space="preserve">, </w:t>
      </w:r>
      <w:r w:rsidRPr="0075542B">
        <w:rPr>
          <w:rFonts w:eastAsia="Times New Roman" w:cs="Arial"/>
          <w:color w:val="222222"/>
          <w:lang w:eastAsia="en-GB"/>
        </w:rPr>
        <w:t>875-902.</w:t>
      </w:r>
    </w:p>
    <w:p w:rsidR="00FB5730" w:rsidRDefault="00FB5730" w:rsidP="00862343">
      <w:pPr>
        <w:rPr>
          <w:rFonts w:eastAsia="Times New Roman" w:cs="Arial"/>
          <w:color w:val="222222"/>
          <w:lang w:eastAsia="en-GB"/>
        </w:rPr>
      </w:pPr>
      <w:r w:rsidRPr="00FB5730">
        <w:rPr>
          <w:rFonts w:eastAsia="Times New Roman" w:cs="Arial"/>
          <w:color w:val="222222"/>
          <w:lang w:eastAsia="en-GB"/>
        </w:rPr>
        <w:t xml:space="preserve">Casey, R. and </w:t>
      </w:r>
      <w:r>
        <w:rPr>
          <w:rFonts w:eastAsia="Times New Roman" w:cs="Arial"/>
          <w:color w:val="222222"/>
          <w:lang w:eastAsia="en-GB"/>
        </w:rPr>
        <w:t xml:space="preserve">C. </w:t>
      </w:r>
      <w:r w:rsidRPr="00FB5730">
        <w:rPr>
          <w:rFonts w:eastAsia="Times New Roman" w:cs="Arial"/>
          <w:color w:val="222222"/>
          <w:lang w:eastAsia="en-GB"/>
        </w:rPr>
        <w:t>Allen</w:t>
      </w:r>
      <w:r>
        <w:rPr>
          <w:rFonts w:eastAsia="Times New Roman" w:cs="Arial"/>
          <w:color w:val="222222"/>
          <w:lang w:eastAsia="en-GB"/>
        </w:rPr>
        <w:t>.</w:t>
      </w:r>
      <w:r w:rsidRPr="00FB5730">
        <w:rPr>
          <w:rFonts w:eastAsia="Times New Roman" w:cs="Arial"/>
          <w:color w:val="222222"/>
          <w:lang w:eastAsia="en-GB"/>
        </w:rPr>
        <w:t xml:space="preserve"> 2004. </w:t>
      </w:r>
      <w:r>
        <w:rPr>
          <w:rFonts w:eastAsia="Times New Roman" w:cs="Arial"/>
          <w:color w:val="222222"/>
          <w:lang w:eastAsia="en-GB"/>
        </w:rPr>
        <w:t>‘</w:t>
      </w:r>
      <w:r w:rsidRPr="00FB5730">
        <w:rPr>
          <w:rFonts w:eastAsia="Times New Roman" w:cs="Arial"/>
          <w:color w:val="222222"/>
          <w:lang w:eastAsia="en-GB"/>
        </w:rPr>
        <w:t xml:space="preserve">Social housing managers and the performance ethos: towards a </w:t>
      </w:r>
      <w:r>
        <w:rPr>
          <w:rFonts w:eastAsia="Times New Roman" w:cs="Arial"/>
          <w:color w:val="222222"/>
          <w:lang w:eastAsia="en-GB"/>
        </w:rPr>
        <w:t>“</w:t>
      </w:r>
      <w:r w:rsidRPr="00FB5730">
        <w:rPr>
          <w:rFonts w:eastAsia="Times New Roman" w:cs="Arial"/>
          <w:color w:val="222222"/>
          <w:lang w:eastAsia="en-GB"/>
        </w:rPr>
        <w:t>professional project of the self</w:t>
      </w:r>
      <w:r>
        <w:rPr>
          <w:rFonts w:eastAsia="Times New Roman" w:cs="Arial"/>
          <w:color w:val="222222"/>
          <w:lang w:eastAsia="en-GB"/>
        </w:rPr>
        <w:t>”’,</w:t>
      </w:r>
      <w:r w:rsidRPr="00FB5730">
        <w:rPr>
          <w:rFonts w:eastAsia="Times New Roman" w:cs="Arial"/>
          <w:color w:val="222222"/>
          <w:lang w:eastAsia="en-GB"/>
        </w:rPr>
        <w:t xml:space="preserve"> </w:t>
      </w:r>
      <w:r w:rsidRPr="00FB5730">
        <w:rPr>
          <w:rFonts w:eastAsia="Times New Roman" w:cs="Arial"/>
          <w:i/>
          <w:color w:val="222222"/>
          <w:lang w:eastAsia="en-GB"/>
        </w:rPr>
        <w:t xml:space="preserve">Work, </w:t>
      </w:r>
      <w:r>
        <w:rPr>
          <w:rFonts w:eastAsia="Times New Roman" w:cs="Arial"/>
          <w:i/>
          <w:color w:val="222222"/>
          <w:lang w:eastAsia="en-GB"/>
        </w:rPr>
        <w:t>E</w:t>
      </w:r>
      <w:r w:rsidRPr="00FB5730">
        <w:rPr>
          <w:rFonts w:eastAsia="Times New Roman" w:cs="Arial"/>
          <w:i/>
          <w:color w:val="222222"/>
          <w:lang w:eastAsia="en-GB"/>
        </w:rPr>
        <w:t xml:space="preserve">mployment and </w:t>
      </w:r>
      <w:r>
        <w:rPr>
          <w:rFonts w:eastAsia="Times New Roman" w:cs="Arial"/>
          <w:i/>
          <w:color w:val="222222"/>
          <w:lang w:eastAsia="en-GB"/>
        </w:rPr>
        <w:t>S</w:t>
      </w:r>
      <w:r w:rsidRPr="00FB5730">
        <w:rPr>
          <w:rFonts w:eastAsia="Times New Roman" w:cs="Arial"/>
          <w:i/>
          <w:color w:val="222222"/>
          <w:lang w:eastAsia="en-GB"/>
        </w:rPr>
        <w:t>ociety</w:t>
      </w:r>
      <w:r w:rsidRPr="00FB5730">
        <w:rPr>
          <w:rFonts w:eastAsia="Times New Roman" w:cs="Arial"/>
          <w:color w:val="222222"/>
          <w:lang w:eastAsia="en-GB"/>
        </w:rPr>
        <w:t>, 18</w:t>
      </w:r>
      <w:r>
        <w:rPr>
          <w:rFonts w:eastAsia="Times New Roman" w:cs="Arial"/>
          <w:color w:val="222222"/>
          <w:lang w:eastAsia="en-GB"/>
        </w:rPr>
        <w:t xml:space="preserve">, </w:t>
      </w:r>
      <w:r w:rsidRPr="00FB5730">
        <w:rPr>
          <w:rFonts w:eastAsia="Times New Roman" w:cs="Arial"/>
          <w:color w:val="222222"/>
          <w:lang w:eastAsia="en-GB"/>
        </w:rPr>
        <w:t>2, 395-412.</w:t>
      </w:r>
    </w:p>
    <w:p w:rsidR="001550FD" w:rsidRDefault="001550FD" w:rsidP="00862343">
      <w:pPr>
        <w:rPr>
          <w:rFonts w:eastAsia="Times New Roman" w:cs="Arial"/>
          <w:color w:val="222222"/>
          <w:lang w:eastAsia="en-GB"/>
        </w:rPr>
      </w:pPr>
      <w:r>
        <w:rPr>
          <w:rFonts w:eastAsia="Times New Roman" w:cs="Arial"/>
          <w:color w:val="222222"/>
          <w:lang w:eastAsia="en-GB"/>
        </w:rPr>
        <w:t>Chapple, K</w:t>
      </w:r>
      <w:r w:rsidRPr="001550FD">
        <w:rPr>
          <w:rFonts w:eastAsia="Times New Roman" w:cs="Arial"/>
          <w:color w:val="222222"/>
          <w:lang w:eastAsia="en-GB"/>
        </w:rPr>
        <w:t xml:space="preserve">. 2018. "Just Growth: Strategies for Growth with Equity", in G. Clark, M. Feldman, M. </w:t>
      </w:r>
    </w:p>
    <w:p w:rsidR="001C1481" w:rsidRPr="001C1481" w:rsidRDefault="001C1481" w:rsidP="00862343">
      <w:pPr>
        <w:rPr>
          <w:rFonts w:eastAsia="Times New Roman" w:cs="Arial"/>
          <w:color w:val="222222"/>
          <w:lang w:eastAsia="en-GB"/>
        </w:rPr>
      </w:pPr>
      <w:r>
        <w:rPr>
          <w:rFonts w:eastAsia="Times New Roman" w:cs="Arial"/>
          <w:color w:val="222222"/>
          <w:lang w:eastAsia="en-GB"/>
        </w:rPr>
        <w:lastRenderedPageBreak/>
        <w:t xml:space="preserve">Clark, G. 1992. ‘“Real” regulation: The administrative state’, </w:t>
      </w:r>
      <w:r>
        <w:rPr>
          <w:rFonts w:eastAsia="Times New Roman" w:cs="Arial"/>
          <w:i/>
          <w:color w:val="222222"/>
          <w:lang w:eastAsia="en-GB"/>
        </w:rPr>
        <w:t>Environment and Planning A: Economy and Space</w:t>
      </w:r>
      <w:r>
        <w:rPr>
          <w:rFonts w:eastAsia="Times New Roman" w:cs="Arial"/>
          <w:color w:val="222222"/>
          <w:lang w:eastAsia="en-GB"/>
        </w:rPr>
        <w:t>, 24, 5, 615-27.</w:t>
      </w:r>
    </w:p>
    <w:p w:rsidR="008474E3" w:rsidRDefault="008474E3" w:rsidP="00862343">
      <w:pPr>
        <w:rPr>
          <w:rFonts w:eastAsia="Times New Roman" w:cs="Arial"/>
          <w:color w:val="222222"/>
          <w:lang w:eastAsia="en-GB"/>
        </w:rPr>
      </w:pPr>
      <w:r w:rsidRPr="008474E3">
        <w:rPr>
          <w:rFonts w:eastAsia="Times New Roman" w:cs="Arial"/>
          <w:color w:val="222222"/>
          <w:lang w:eastAsia="en-GB"/>
        </w:rPr>
        <w:t xml:space="preserve">Clark, G., </w:t>
      </w:r>
      <w:r>
        <w:rPr>
          <w:rFonts w:eastAsia="Times New Roman" w:cs="Arial"/>
          <w:color w:val="222222"/>
          <w:lang w:eastAsia="en-GB"/>
        </w:rPr>
        <w:t xml:space="preserve">J. </w:t>
      </w:r>
      <w:r w:rsidRPr="008474E3">
        <w:rPr>
          <w:rFonts w:eastAsia="Times New Roman" w:cs="Arial"/>
          <w:color w:val="222222"/>
          <w:lang w:eastAsia="en-GB"/>
        </w:rPr>
        <w:t>Couturier,</w:t>
      </w:r>
      <w:r>
        <w:rPr>
          <w:rFonts w:eastAsia="Times New Roman" w:cs="Arial"/>
          <w:color w:val="222222"/>
          <w:lang w:eastAsia="en-GB"/>
        </w:rPr>
        <w:t xml:space="preserve"> E.</w:t>
      </w:r>
      <w:r w:rsidRPr="008474E3">
        <w:rPr>
          <w:rFonts w:eastAsia="Times New Roman" w:cs="Arial"/>
          <w:color w:val="222222"/>
          <w:lang w:eastAsia="en-GB"/>
        </w:rPr>
        <w:t xml:space="preserve"> Moir</w:t>
      </w:r>
      <w:r>
        <w:rPr>
          <w:rFonts w:eastAsia="Times New Roman" w:cs="Arial"/>
          <w:color w:val="222222"/>
          <w:lang w:eastAsia="en-GB"/>
        </w:rPr>
        <w:t>,</w:t>
      </w:r>
      <w:r w:rsidRPr="008474E3">
        <w:rPr>
          <w:rFonts w:eastAsia="Times New Roman" w:cs="Arial"/>
          <w:color w:val="222222"/>
          <w:lang w:eastAsia="en-GB"/>
        </w:rPr>
        <w:t xml:space="preserve"> and </w:t>
      </w:r>
      <w:r>
        <w:rPr>
          <w:rFonts w:eastAsia="Times New Roman" w:cs="Arial"/>
          <w:color w:val="222222"/>
          <w:lang w:eastAsia="en-GB"/>
        </w:rPr>
        <w:t xml:space="preserve">T. </w:t>
      </w:r>
      <w:r w:rsidRPr="008474E3">
        <w:rPr>
          <w:rFonts w:eastAsia="Times New Roman" w:cs="Arial"/>
          <w:color w:val="222222"/>
          <w:lang w:eastAsia="en-GB"/>
        </w:rPr>
        <w:t>Moonen</w:t>
      </w:r>
      <w:r>
        <w:rPr>
          <w:rFonts w:eastAsia="Times New Roman" w:cs="Arial"/>
          <w:color w:val="222222"/>
          <w:lang w:eastAsia="en-GB"/>
        </w:rPr>
        <w:t>.</w:t>
      </w:r>
      <w:r w:rsidRPr="008474E3">
        <w:rPr>
          <w:rFonts w:eastAsia="Times New Roman" w:cs="Arial"/>
          <w:color w:val="222222"/>
          <w:lang w:eastAsia="en-GB"/>
        </w:rPr>
        <w:t xml:space="preserve"> 2016. </w:t>
      </w:r>
      <w:r>
        <w:rPr>
          <w:rFonts w:eastAsia="Times New Roman" w:cs="Arial"/>
          <w:color w:val="222222"/>
          <w:lang w:eastAsia="en-GB"/>
        </w:rPr>
        <w:t>‘</w:t>
      </w:r>
      <w:r w:rsidRPr="008474E3">
        <w:rPr>
          <w:rFonts w:eastAsia="Times New Roman" w:cs="Arial"/>
          <w:color w:val="222222"/>
          <w:lang w:eastAsia="en-GB"/>
        </w:rPr>
        <w:t>Fiscal devolution and Scotland’s cities:</w:t>
      </w:r>
      <w:r>
        <w:rPr>
          <w:rFonts w:eastAsia="Times New Roman" w:cs="Arial"/>
          <w:color w:val="222222"/>
          <w:lang w:eastAsia="en-GB"/>
        </w:rPr>
        <w:t xml:space="preserve"> “D</w:t>
      </w:r>
      <w:r w:rsidRPr="008474E3">
        <w:rPr>
          <w:rFonts w:eastAsia="Times New Roman" w:cs="Arial"/>
          <w:color w:val="222222"/>
          <w:lang w:eastAsia="en-GB"/>
        </w:rPr>
        <w:t>ouble devolution</w:t>
      </w:r>
      <w:r>
        <w:rPr>
          <w:rFonts w:eastAsia="Times New Roman" w:cs="Arial"/>
          <w:color w:val="222222"/>
          <w:lang w:eastAsia="en-GB"/>
        </w:rPr>
        <w:t xml:space="preserve">” </w:t>
      </w:r>
      <w:r w:rsidRPr="008474E3">
        <w:rPr>
          <w:rFonts w:eastAsia="Times New Roman" w:cs="Arial"/>
          <w:color w:val="222222"/>
          <w:lang w:eastAsia="en-GB"/>
        </w:rPr>
        <w:t>and optimising urban investment</w:t>
      </w:r>
      <w:r>
        <w:rPr>
          <w:rFonts w:eastAsia="Times New Roman" w:cs="Arial"/>
          <w:color w:val="222222"/>
          <w:lang w:eastAsia="en-GB"/>
        </w:rPr>
        <w:t>’,</w:t>
      </w:r>
      <w:r w:rsidRPr="008474E3">
        <w:rPr>
          <w:rFonts w:eastAsia="Times New Roman" w:cs="Arial"/>
          <w:color w:val="222222"/>
          <w:lang w:eastAsia="en-GB"/>
        </w:rPr>
        <w:t xml:space="preserve"> </w:t>
      </w:r>
      <w:r w:rsidRPr="008474E3">
        <w:rPr>
          <w:rFonts w:eastAsia="Times New Roman" w:cs="Arial"/>
          <w:i/>
          <w:color w:val="222222"/>
          <w:lang w:eastAsia="en-GB"/>
        </w:rPr>
        <w:t>Fraser of Allander Economic Commentary</w:t>
      </w:r>
      <w:r w:rsidRPr="008474E3">
        <w:rPr>
          <w:rFonts w:eastAsia="Times New Roman" w:cs="Arial"/>
          <w:color w:val="222222"/>
          <w:lang w:eastAsia="en-GB"/>
        </w:rPr>
        <w:t>, 40</w:t>
      </w:r>
      <w:r>
        <w:rPr>
          <w:rFonts w:eastAsia="Times New Roman" w:cs="Arial"/>
          <w:color w:val="222222"/>
          <w:lang w:eastAsia="en-GB"/>
        </w:rPr>
        <w:t xml:space="preserve">, </w:t>
      </w:r>
      <w:r w:rsidRPr="008474E3">
        <w:rPr>
          <w:rFonts w:eastAsia="Times New Roman" w:cs="Arial"/>
          <w:color w:val="222222"/>
          <w:lang w:eastAsia="en-GB"/>
        </w:rPr>
        <w:t>3, 36-50.</w:t>
      </w:r>
    </w:p>
    <w:p w:rsidR="00E41D4E" w:rsidRPr="00E41D4E" w:rsidRDefault="00E41D4E" w:rsidP="00862343">
      <w:pPr>
        <w:rPr>
          <w:rFonts w:eastAsia="Times New Roman" w:cs="Arial"/>
          <w:color w:val="222222"/>
          <w:lang w:eastAsia="en-GB"/>
        </w:rPr>
      </w:pPr>
      <w:r>
        <w:rPr>
          <w:rFonts w:eastAsia="Times New Roman" w:cs="Arial"/>
          <w:color w:val="222222"/>
          <w:lang w:eastAsia="en-GB"/>
        </w:rPr>
        <w:t xml:space="preserve">Clegg, L. 2017. </w:t>
      </w:r>
      <w:r>
        <w:rPr>
          <w:rFonts w:eastAsia="Times New Roman" w:cs="Arial"/>
          <w:i/>
          <w:color w:val="222222"/>
          <w:lang w:eastAsia="en-GB"/>
        </w:rPr>
        <w:t>The World Bank and the Globalization of Housing Finance: Mortgaging Development</w:t>
      </w:r>
      <w:r>
        <w:rPr>
          <w:rFonts w:eastAsia="Times New Roman" w:cs="Arial"/>
          <w:color w:val="222222"/>
          <w:lang w:eastAsia="en-GB"/>
        </w:rPr>
        <w:t xml:space="preserve"> (Cheltenham: Edward Elgar).</w:t>
      </w:r>
    </w:p>
    <w:p w:rsidR="003D4982" w:rsidRPr="003D4982" w:rsidRDefault="003D4982" w:rsidP="00862343">
      <w:pPr>
        <w:rPr>
          <w:rFonts w:eastAsia="Times New Roman" w:cs="Arial"/>
          <w:color w:val="222222"/>
          <w:lang w:eastAsia="en-GB"/>
        </w:rPr>
      </w:pPr>
      <w:r>
        <w:rPr>
          <w:rFonts w:eastAsia="Times New Roman" w:cs="Arial"/>
          <w:color w:val="222222"/>
          <w:lang w:eastAsia="en-GB"/>
        </w:rPr>
        <w:t xml:space="preserve">Cole, I. and R. Furbey. 1994. </w:t>
      </w:r>
      <w:r>
        <w:rPr>
          <w:rFonts w:eastAsia="Times New Roman" w:cs="Arial"/>
          <w:i/>
          <w:color w:val="222222"/>
          <w:lang w:eastAsia="en-GB"/>
        </w:rPr>
        <w:t>The Eclipse of Council Housing</w:t>
      </w:r>
      <w:r>
        <w:rPr>
          <w:rFonts w:eastAsia="Times New Roman" w:cs="Arial"/>
          <w:color w:val="222222"/>
          <w:lang w:eastAsia="en-GB"/>
        </w:rPr>
        <w:t>. London: Routledge.</w:t>
      </w:r>
    </w:p>
    <w:p w:rsidR="00DF6929" w:rsidRDefault="009D1B7E" w:rsidP="00862343">
      <w:pPr>
        <w:rPr>
          <w:rFonts w:eastAsia="Times New Roman" w:cs="Arial"/>
          <w:color w:val="222222"/>
          <w:lang w:eastAsia="en-GB"/>
        </w:rPr>
      </w:pPr>
      <w:r>
        <w:t xml:space="preserve">Communities and Local Government Committee. 2009. </w:t>
      </w:r>
      <w:r>
        <w:rPr>
          <w:i/>
        </w:rPr>
        <w:t>Housing and the Credit Crunch</w:t>
      </w:r>
      <w:r>
        <w:t>. London: House of Commons Library.</w:t>
      </w:r>
    </w:p>
    <w:p w:rsidR="007F0725" w:rsidRPr="007F0725" w:rsidRDefault="007F0725" w:rsidP="00862343">
      <w:pPr>
        <w:rPr>
          <w:rFonts w:eastAsia="Times New Roman" w:cs="Arial"/>
          <w:color w:val="222222"/>
          <w:lang w:eastAsia="en-GB"/>
        </w:rPr>
      </w:pPr>
      <w:r>
        <w:rPr>
          <w:rFonts w:eastAsia="Times New Roman" w:cs="Arial"/>
          <w:color w:val="222222"/>
          <w:lang w:eastAsia="en-GB"/>
        </w:rPr>
        <w:t>Crescenzi, R., D. Luca and S. Milio. 2016. ‘</w:t>
      </w:r>
      <w:r w:rsidRPr="007F0725">
        <w:rPr>
          <w:rFonts w:eastAsia="Times New Roman" w:cs="Arial"/>
          <w:color w:val="222222"/>
          <w:lang w:eastAsia="en-GB"/>
        </w:rPr>
        <w:t>The geography of the economic crisis in Europe: national macroeconomic conditions, regional structural factors and short-term economic performance</w:t>
      </w:r>
      <w:r>
        <w:rPr>
          <w:rFonts w:eastAsia="Times New Roman" w:cs="Arial"/>
          <w:color w:val="222222"/>
          <w:lang w:eastAsia="en-GB"/>
        </w:rPr>
        <w:t xml:space="preserve">’, </w:t>
      </w:r>
      <w:r>
        <w:rPr>
          <w:rFonts w:eastAsia="Times New Roman" w:cs="Arial"/>
          <w:i/>
          <w:color w:val="222222"/>
          <w:lang w:eastAsia="en-GB"/>
        </w:rPr>
        <w:t>Cambridge Journal of Regions, Economy, and Society</w:t>
      </w:r>
      <w:r>
        <w:rPr>
          <w:rFonts w:eastAsia="Times New Roman" w:cs="Arial"/>
          <w:color w:val="222222"/>
          <w:lang w:eastAsia="en-GB"/>
        </w:rPr>
        <w:t>, 9, 1, 13-32.</w:t>
      </w:r>
    </w:p>
    <w:p w:rsidR="009E4994" w:rsidRDefault="009E4994" w:rsidP="00862343">
      <w:pPr>
        <w:rPr>
          <w:rFonts w:eastAsia="Times New Roman" w:cs="Arial"/>
          <w:color w:val="222222"/>
          <w:lang w:eastAsia="en-GB"/>
        </w:rPr>
      </w:pPr>
      <w:r w:rsidRPr="009E4994">
        <w:rPr>
          <w:rFonts w:eastAsia="Times New Roman" w:cs="Arial"/>
          <w:color w:val="222222"/>
          <w:lang w:eastAsia="en-GB"/>
        </w:rPr>
        <w:t>Del Pino, E. and</w:t>
      </w:r>
      <w:r>
        <w:rPr>
          <w:rFonts w:eastAsia="Times New Roman" w:cs="Arial"/>
          <w:color w:val="222222"/>
          <w:lang w:eastAsia="en-GB"/>
        </w:rPr>
        <w:t xml:space="preserve">E. </w:t>
      </w:r>
      <w:r w:rsidRPr="009E4994">
        <w:rPr>
          <w:rFonts w:eastAsia="Times New Roman" w:cs="Arial"/>
          <w:color w:val="222222"/>
          <w:lang w:eastAsia="en-GB"/>
        </w:rPr>
        <w:t xml:space="preserve"> Pavolini</w:t>
      </w:r>
      <w:r>
        <w:rPr>
          <w:rFonts w:eastAsia="Times New Roman" w:cs="Arial"/>
          <w:color w:val="222222"/>
          <w:lang w:eastAsia="en-GB"/>
        </w:rPr>
        <w:t>.</w:t>
      </w:r>
      <w:r w:rsidRPr="009E4994">
        <w:rPr>
          <w:rFonts w:eastAsia="Times New Roman" w:cs="Arial"/>
          <w:color w:val="222222"/>
          <w:lang w:eastAsia="en-GB"/>
        </w:rPr>
        <w:t xml:space="preserve"> 2015. </w:t>
      </w:r>
      <w:r>
        <w:rPr>
          <w:rFonts w:eastAsia="Times New Roman" w:cs="Arial"/>
          <w:color w:val="222222"/>
          <w:lang w:eastAsia="en-GB"/>
        </w:rPr>
        <w:t>“</w:t>
      </w:r>
      <w:r w:rsidRPr="009E4994">
        <w:rPr>
          <w:rFonts w:eastAsia="Times New Roman" w:cs="Arial"/>
          <w:color w:val="222222"/>
          <w:lang w:eastAsia="en-GB"/>
        </w:rPr>
        <w:t>Decentralisation at a time of harsh austerity: Multilevel governance and the welfare state in Spain and Italy Facing the Crisis</w:t>
      </w:r>
      <w:r>
        <w:rPr>
          <w:rFonts w:eastAsia="Times New Roman" w:cs="Arial"/>
          <w:color w:val="222222"/>
          <w:lang w:eastAsia="en-GB"/>
        </w:rPr>
        <w:t>”,</w:t>
      </w:r>
      <w:r w:rsidRPr="009E4994">
        <w:rPr>
          <w:rFonts w:eastAsia="Times New Roman" w:cs="Arial"/>
          <w:color w:val="222222"/>
          <w:lang w:eastAsia="en-GB"/>
        </w:rPr>
        <w:t xml:space="preserve"> </w:t>
      </w:r>
      <w:r w:rsidRPr="009E4994">
        <w:rPr>
          <w:rFonts w:eastAsia="Times New Roman" w:cs="Arial"/>
          <w:i/>
          <w:color w:val="222222"/>
          <w:lang w:eastAsia="en-GB"/>
        </w:rPr>
        <w:t>European Journal of Social Security</w:t>
      </w:r>
      <w:r w:rsidRPr="009E4994">
        <w:rPr>
          <w:rFonts w:eastAsia="Times New Roman" w:cs="Arial"/>
          <w:color w:val="222222"/>
          <w:lang w:eastAsia="en-GB"/>
        </w:rPr>
        <w:t>, 17</w:t>
      </w:r>
      <w:r>
        <w:rPr>
          <w:rFonts w:eastAsia="Times New Roman" w:cs="Arial"/>
          <w:color w:val="222222"/>
          <w:lang w:eastAsia="en-GB"/>
        </w:rPr>
        <w:t xml:space="preserve">, </w:t>
      </w:r>
      <w:r w:rsidRPr="009E4994">
        <w:rPr>
          <w:rFonts w:eastAsia="Times New Roman" w:cs="Arial"/>
          <w:color w:val="222222"/>
          <w:lang w:eastAsia="en-GB"/>
        </w:rPr>
        <w:t>2, 246-270.</w:t>
      </w:r>
    </w:p>
    <w:p w:rsidR="00305DA4" w:rsidRDefault="00305DA4" w:rsidP="009D2F43">
      <w:pPr>
        <w:rPr>
          <w:rFonts w:eastAsia="Times New Roman" w:cs="Arial"/>
          <w:color w:val="222222"/>
          <w:lang w:eastAsia="en-GB"/>
        </w:rPr>
      </w:pPr>
      <w:r>
        <w:rPr>
          <w:rFonts w:eastAsia="Times New Roman" w:cs="Arial"/>
          <w:color w:val="222222"/>
          <w:lang w:eastAsia="en-GB"/>
        </w:rPr>
        <w:t xml:space="preserve">Donald, B., A. Glasmeier, M. Gray, and L. Lobao. 2014. ‘Austerity in the city’, </w:t>
      </w:r>
      <w:r>
        <w:rPr>
          <w:rFonts w:eastAsia="Times New Roman" w:cs="Arial"/>
          <w:i/>
          <w:color w:val="222222"/>
          <w:lang w:eastAsia="en-GB"/>
        </w:rPr>
        <w:t>Cambridge Journal of Regions, Economy, and Society</w:t>
      </w:r>
      <w:r>
        <w:rPr>
          <w:rFonts w:eastAsia="Times New Roman" w:cs="Arial"/>
          <w:color w:val="222222"/>
          <w:lang w:eastAsia="en-GB"/>
        </w:rPr>
        <w:t xml:space="preserve">, 7, 1, 3-15. </w:t>
      </w:r>
    </w:p>
    <w:p w:rsidR="00DA2B91" w:rsidRPr="00DA2B91" w:rsidRDefault="00DA2B91" w:rsidP="00862343">
      <w:pPr>
        <w:rPr>
          <w:rFonts w:eastAsia="Times New Roman" w:cs="Arial"/>
          <w:color w:val="222222"/>
          <w:lang w:eastAsia="en-GB"/>
        </w:rPr>
      </w:pPr>
      <w:r>
        <w:rPr>
          <w:rFonts w:eastAsia="Times New Roman" w:cs="Arial"/>
          <w:color w:val="222222"/>
          <w:lang w:eastAsia="en-GB"/>
        </w:rPr>
        <w:t xml:space="preserve">Flinders, M. and J. Buller. 2006. ‘Depoliticization, democracy, and arena shifting’, in T. Christensen and P. Laegreid (eds), </w:t>
      </w:r>
      <w:r>
        <w:rPr>
          <w:rFonts w:eastAsia="Times New Roman" w:cs="Arial"/>
          <w:i/>
          <w:color w:val="222222"/>
          <w:lang w:eastAsia="en-GB"/>
        </w:rPr>
        <w:t>Autonomy and Regulation: Coping with Agencies in the Modern State</w:t>
      </w:r>
      <w:r>
        <w:rPr>
          <w:rFonts w:eastAsia="Times New Roman" w:cs="Arial"/>
          <w:color w:val="222222"/>
          <w:lang w:eastAsia="en-GB"/>
        </w:rPr>
        <w:t>. Cheltenham: Edward Elgar</w:t>
      </w:r>
      <w:r w:rsidR="008972EA">
        <w:rPr>
          <w:rFonts w:eastAsia="Times New Roman" w:cs="Arial"/>
          <w:color w:val="222222"/>
          <w:lang w:eastAsia="en-GB"/>
        </w:rPr>
        <w:t xml:space="preserve">, </w:t>
      </w:r>
      <w:r w:rsidR="00F32B05">
        <w:rPr>
          <w:rFonts w:eastAsia="Times New Roman" w:cs="Arial"/>
          <w:color w:val="222222"/>
          <w:lang w:eastAsia="en-GB"/>
        </w:rPr>
        <w:t>pp.</w:t>
      </w:r>
      <w:r w:rsidR="008972EA">
        <w:rPr>
          <w:rFonts w:eastAsia="Times New Roman" w:cs="Arial"/>
          <w:color w:val="222222"/>
          <w:lang w:eastAsia="en-GB"/>
        </w:rPr>
        <w:t>53-81</w:t>
      </w:r>
      <w:r>
        <w:rPr>
          <w:rFonts w:eastAsia="Times New Roman" w:cs="Arial"/>
          <w:color w:val="222222"/>
          <w:lang w:eastAsia="en-GB"/>
        </w:rPr>
        <w:t>.</w:t>
      </w:r>
    </w:p>
    <w:p w:rsidR="00CC3221" w:rsidRPr="00CC3221" w:rsidRDefault="00CC3221" w:rsidP="00862343">
      <w:pPr>
        <w:rPr>
          <w:rFonts w:eastAsia="Times New Roman" w:cs="Arial"/>
          <w:color w:val="222222"/>
          <w:lang w:eastAsia="en-GB"/>
        </w:rPr>
      </w:pPr>
      <w:r>
        <w:rPr>
          <w:rFonts w:eastAsia="Times New Roman" w:cs="Arial"/>
          <w:color w:val="222222"/>
          <w:lang w:eastAsia="en-GB"/>
        </w:rPr>
        <w:t xml:space="preserve">G15. 2015. </w:t>
      </w:r>
      <w:r>
        <w:rPr>
          <w:rFonts w:eastAsia="Times New Roman" w:cs="Arial"/>
          <w:i/>
          <w:color w:val="222222"/>
          <w:lang w:eastAsia="en-GB"/>
        </w:rPr>
        <w:t>The Housing Association Sector and the Right-to-Buy</w:t>
      </w:r>
      <w:r>
        <w:rPr>
          <w:rFonts w:eastAsia="Times New Roman" w:cs="Arial"/>
          <w:color w:val="222222"/>
          <w:lang w:eastAsia="en-GB"/>
        </w:rPr>
        <w:t>. London: G15.</w:t>
      </w:r>
    </w:p>
    <w:p w:rsidR="00E7621F" w:rsidRDefault="00E7621F" w:rsidP="00862343">
      <w:pPr>
        <w:rPr>
          <w:rFonts w:eastAsia="Times New Roman" w:cs="Arial"/>
          <w:color w:val="222222"/>
          <w:lang w:eastAsia="en-GB"/>
        </w:rPr>
      </w:pPr>
      <w:r>
        <w:rPr>
          <w:rFonts w:eastAsia="Times New Roman" w:cs="Arial"/>
          <w:color w:val="222222"/>
          <w:lang w:eastAsia="en-GB"/>
        </w:rPr>
        <w:t>Gilardi, F.</w:t>
      </w:r>
      <w:r w:rsidRPr="00E7621F">
        <w:rPr>
          <w:rFonts w:eastAsia="Times New Roman" w:cs="Arial"/>
          <w:color w:val="222222"/>
          <w:lang w:eastAsia="en-GB"/>
        </w:rPr>
        <w:t xml:space="preserve"> 2005. </w:t>
      </w:r>
      <w:r>
        <w:rPr>
          <w:rFonts w:eastAsia="Times New Roman" w:cs="Arial"/>
          <w:color w:val="222222"/>
          <w:lang w:eastAsia="en-GB"/>
        </w:rPr>
        <w:t>‘</w:t>
      </w:r>
      <w:r w:rsidRPr="00E7621F">
        <w:rPr>
          <w:rFonts w:eastAsia="Times New Roman" w:cs="Arial"/>
          <w:color w:val="222222"/>
          <w:lang w:eastAsia="en-GB"/>
        </w:rPr>
        <w:t>The institutional foundations of regulatory capitalism: The diffusion of independent regulatory agencies in Western Europe</w:t>
      </w:r>
      <w:r>
        <w:rPr>
          <w:rFonts w:eastAsia="Times New Roman" w:cs="Arial"/>
          <w:color w:val="222222"/>
          <w:lang w:eastAsia="en-GB"/>
        </w:rPr>
        <w:t>’,</w:t>
      </w:r>
      <w:r w:rsidRPr="00E7621F">
        <w:rPr>
          <w:rFonts w:eastAsia="Times New Roman" w:cs="Arial"/>
          <w:color w:val="222222"/>
          <w:lang w:eastAsia="en-GB"/>
        </w:rPr>
        <w:t xml:space="preserve"> </w:t>
      </w:r>
      <w:r w:rsidRPr="00E7621F">
        <w:rPr>
          <w:rFonts w:eastAsia="Times New Roman" w:cs="Arial"/>
          <w:i/>
          <w:color w:val="222222"/>
          <w:lang w:eastAsia="en-GB"/>
        </w:rPr>
        <w:t>The Annals of the American Academy of Political and Social Science</w:t>
      </w:r>
      <w:r w:rsidRPr="00E7621F">
        <w:rPr>
          <w:rFonts w:eastAsia="Times New Roman" w:cs="Arial"/>
          <w:color w:val="222222"/>
          <w:lang w:eastAsia="en-GB"/>
        </w:rPr>
        <w:t>, 598</w:t>
      </w:r>
      <w:r>
        <w:rPr>
          <w:rFonts w:eastAsia="Times New Roman" w:cs="Arial"/>
          <w:color w:val="222222"/>
          <w:lang w:eastAsia="en-GB"/>
        </w:rPr>
        <w:t xml:space="preserve">, </w:t>
      </w:r>
      <w:r w:rsidRPr="00E7621F">
        <w:rPr>
          <w:rFonts w:eastAsia="Times New Roman" w:cs="Arial"/>
          <w:color w:val="222222"/>
          <w:lang w:eastAsia="en-GB"/>
        </w:rPr>
        <w:t>1, 84-101.</w:t>
      </w:r>
    </w:p>
    <w:p w:rsidR="007607ED" w:rsidRDefault="007607ED" w:rsidP="00862343">
      <w:pPr>
        <w:rPr>
          <w:rFonts w:eastAsia="Times New Roman" w:cs="Arial"/>
          <w:color w:val="222222"/>
          <w:lang w:eastAsia="en-GB"/>
        </w:rPr>
      </w:pPr>
      <w:r>
        <w:rPr>
          <w:rFonts w:eastAsia="Times New Roman" w:cs="Arial"/>
          <w:color w:val="222222"/>
          <w:lang w:eastAsia="en-GB"/>
        </w:rPr>
        <w:lastRenderedPageBreak/>
        <w:t>Gingrich, J. 201</w:t>
      </w:r>
      <w:r w:rsidR="006C4C8A">
        <w:rPr>
          <w:rFonts w:eastAsia="Times New Roman" w:cs="Arial"/>
          <w:color w:val="222222"/>
          <w:lang w:eastAsia="en-GB"/>
        </w:rPr>
        <w:t>3</w:t>
      </w:r>
      <w:r>
        <w:rPr>
          <w:rFonts w:eastAsia="Times New Roman" w:cs="Arial"/>
          <w:color w:val="222222"/>
          <w:lang w:eastAsia="en-GB"/>
        </w:rPr>
        <w:t>. Making Markets in the Welfare State: The Politics of Varying Market Reforms. Cambridge: University Press.</w:t>
      </w:r>
    </w:p>
    <w:p w:rsidR="00520A59" w:rsidRDefault="00520A59" w:rsidP="00862343">
      <w:pPr>
        <w:rPr>
          <w:rFonts w:eastAsia="Times New Roman" w:cs="Arial"/>
          <w:color w:val="222222"/>
          <w:lang w:eastAsia="en-GB"/>
        </w:rPr>
      </w:pPr>
      <w:r w:rsidRPr="00520A59">
        <w:rPr>
          <w:rFonts w:eastAsia="Times New Roman" w:cs="Arial"/>
          <w:color w:val="222222"/>
          <w:lang w:eastAsia="en-GB"/>
        </w:rPr>
        <w:t xml:space="preserve">Gingrich, J. and </w:t>
      </w:r>
      <w:r>
        <w:rPr>
          <w:rFonts w:eastAsia="Times New Roman" w:cs="Arial"/>
          <w:color w:val="222222"/>
          <w:lang w:eastAsia="en-GB"/>
        </w:rPr>
        <w:t xml:space="preserve">S. </w:t>
      </w:r>
      <w:r w:rsidRPr="00520A59">
        <w:rPr>
          <w:rFonts w:eastAsia="Times New Roman" w:cs="Arial"/>
          <w:color w:val="222222"/>
          <w:lang w:eastAsia="en-GB"/>
        </w:rPr>
        <w:t>Watson</w:t>
      </w:r>
      <w:r>
        <w:rPr>
          <w:rFonts w:eastAsia="Times New Roman" w:cs="Arial"/>
          <w:color w:val="222222"/>
          <w:lang w:eastAsia="en-GB"/>
        </w:rPr>
        <w:t>.</w:t>
      </w:r>
      <w:r w:rsidRPr="00520A59">
        <w:rPr>
          <w:rFonts w:eastAsia="Times New Roman" w:cs="Arial"/>
          <w:color w:val="222222"/>
          <w:lang w:eastAsia="en-GB"/>
        </w:rPr>
        <w:t xml:space="preserve"> 2016. </w:t>
      </w:r>
      <w:r>
        <w:rPr>
          <w:rFonts w:eastAsia="Times New Roman" w:cs="Arial"/>
          <w:color w:val="222222"/>
          <w:lang w:eastAsia="en-GB"/>
        </w:rPr>
        <w:t>“</w:t>
      </w:r>
      <w:r w:rsidRPr="00520A59">
        <w:rPr>
          <w:rFonts w:eastAsia="Times New Roman" w:cs="Arial"/>
          <w:color w:val="222222"/>
          <w:lang w:eastAsia="en-GB"/>
        </w:rPr>
        <w:t>Privatizing Participation? The Impact of Private Welfare Provision on Democratic Accountability</w:t>
      </w:r>
      <w:r>
        <w:rPr>
          <w:rFonts w:eastAsia="Times New Roman" w:cs="Arial"/>
          <w:color w:val="222222"/>
          <w:lang w:eastAsia="en-GB"/>
        </w:rPr>
        <w:t>”,</w:t>
      </w:r>
      <w:r w:rsidRPr="00520A59">
        <w:rPr>
          <w:rFonts w:eastAsia="Times New Roman" w:cs="Arial"/>
          <w:color w:val="222222"/>
          <w:lang w:eastAsia="en-GB"/>
        </w:rPr>
        <w:t xml:space="preserve"> </w:t>
      </w:r>
      <w:r w:rsidRPr="00520A59">
        <w:rPr>
          <w:rFonts w:eastAsia="Times New Roman" w:cs="Arial"/>
          <w:i/>
          <w:color w:val="222222"/>
          <w:lang w:eastAsia="en-GB"/>
        </w:rPr>
        <w:t>Politics &amp; Society</w:t>
      </w:r>
      <w:r w:rsidRPr="00520A59">
        <w:rPr>
          <w:rFonts w:eastAsia="Times New Roman" w:cs="Arial"/>
          <w:color w:val="222222"/>
          <w:lang w:eastAsia="en-GB"/>
        </w:rPr>
        <w:t>, 44</w:t>
      </w:r>
      <w:r>
        <w:rPr>
          <w:rFonts w:eastAsia="Times New Roman" w:cs="Arial"/>
          <w:color w:val="222222"/>
          <w:lang w:eastAsia="en-GB"/>
        </w:rPr>
        <w:t xml:space="preserve">, </w:t>
      </w:r>
      <w:r w:rsidRPr="00520A59">
        <w:rPr>
          <w:rFonts w:eastAsia="Times New Roman" w:cs="Arial"/>
          <w:color w:val="222222"/>
          <w:lang w:eastAsia="en-GB"/>
        </w:rPr>
        <w:t>4, 573-613.</w:t>
      </w:r>
    </w:p>
    <w:p w:rsidR="00F32B05" w:rsidRDefault="00F32B05" w:rsidP="00862343">
      <w:pPr>
        <w:rPr>
          <w:rFonts w:eastAsia="Times New Roman" w:cs="Arial"/>
          <w:color w:val="222222"/>
          <w:lang w:eastAsia="en-GB"/>
        </w:rPr>
      </w:pPr>
      <w:r w:rsidRPr="00F32B05">
        <w:rPr>
          <w:rFonts w:eastAsia="Times New Roman" w:cs="Arial"/>
          <w:color w:val="222222"/>
          <w:lang w:eastAsia="en-GB"/>
        </w:rPr>
        <w:t>Grimsey, D. and Le</w:t>
      </w:r>
      <w:r>
        <w:rPr>
          <w:rFonts w:eastAsia="Times New Roman" w:cs="Arial"/>
          <w:color w:val="222222"/>
          <w:lang w:eastAsia="en-GB"/>
        </w:rPr>
        <w:t>wis, M. 2005</w:t>
      </w:r>
      <w:r w:rsidRPr="00F32B05">
        <w:rPr>
          <w:rFonts w:eastAsia="Times New Roman" w:cs="Arial"/>
          <w:color w:val="222222"/>
          <w:lang w:eastAsia="en-GB"/>
        </w:rPr>
        <w:t xml:space="preserve">. </w:t>
      </w:r>
      <w:r>
        <w:rPr>
          <w:rFonts w:eastAsia="Times New Roman" w:cs="Arial"/>
          <w:color w:val="222222"/>
          <w:lang w:eastAsia="en-GB"/>
        </w:rPr>
        <w:t>‘</w:t>
      </w:r>
      <w:r w:rsidRPr="00F32B05">
        <w:rPr>
          <w:rFonts w:eastAsia="Times New Roman" w:cs="Arial"/>
          <w:color w:val="222222"/>
          <w:lang w:eastAsia="en-GB"/>
        </w:rPr>
        <w:t>Are Public Private Partnerships value for money?: Evaluating alternative approaches and comparing academic and practitioner views</w:t>
      </w:r>
      <w:r>
        <w:rPr>
          <w:rFonts w:eastAsia="Times New Roman" w:cs="Arial"/>
          <w:color w:val="222222"/>
          <w:lang w:eastAsia="en-GB"/>
        </w:rPr>
        <w:t>’,</w:t>
      </w:r>
      <w:r w:rsidRPr="00F32B05">
        <w:rPr>
          <w:rFonts w:eastAsia="Times New Roman" w:cs="Arial"/>
          <w:color w:val="222222"/>
          <w:lang w:eastAsia="en-GB"/>
        </w:rPr>
        <w:t xml:space="preserve"> </w:t>
      </w:r>
      <w:r w:rsidRPr="00F32B05">
        <w:rPr>
          <w:rFonts w:eastAsia="Times New Roman" w:cs="Arial"/>
          <w:i/>
          <w:color w:val="222222"/>
          <w:lang w:eastAsia="en-GB"/>
        </w:rPr>
        <w:t>Accounting Forum</w:t>
      </w:r>
      <w:r>
        <w:rPr>
          <w:rFonts w:eastAsia="Times New Roman" w:cs="Arial"/>
          <w:color w:val="222222"/>
          <w:lang w:eastAsia="en-GB"/>
        </w:rPr>
        <w:t>,</w:t>
      </w:r>
      <w:r w:rsidRPr="00F32B05">
        <w:rPr>
          <w:rFonts w:eastAsia="Times New Roman" w:cs="Arial"/>
          <w:color w:val="222222"/>
          <w:lang w:eastAsia="en-GB"/>
        </w:rPr>
        <w:t xml:space="preserve"> 29, 4, 345-378.</w:t>
      </w:r>
    </w:p>
    <w:p w:rsidR="00980DD7" w:rsidRPr="00980DD7" w:rsidRDefault="00980DD7" w:rsidP="00862343">
      <w:pPr>
        <w:rPr>
          <w:rFonts w:eastAsia="Times New Roman" w:cs="Arial"/>
          <w:color w:val="222222"/>
          <w:lang w:eastAsia="en-GB"/>
        </w:rPr>
      </w:pPr>
      <w:r>
        <w:rPr>
          <w:rFonts w:eastAsia="Times New Roman" w:cs="Arial"/>
          <w:color w:val="222222"/>
          <w:lang w:eastAsia="en-GB"/>
        </w:rPr>
        <w:t xml:space="preserve">Haber, H. 2016. ‘Rise of the “regulatory welfare state”? Social regulation in utilities in Israel’, </w:t>
      </w:r>
      <w:r>
        <w:rPr>
          <w:rFonts w:eastAsia="Times New Roman" w:cs="Arial"/>
          <w:i/>
          <w:color w:val="222222"/>
          <w:lang w:eastAsia="en-GB"/>
        </w:rPr>
        <w:t>Social Policy and Administration</w:t>
      </w:r>
      <w:r>
        <w:rPr>
          <w:rFonts w:eastAsia="Times New Roman" w:cs="Arial"/>
          <w:color w:val="222222"/>
          <w:lang w:eastAsia="en-GB"/>
        </w:rPr>
        <w:t>, earlyview, 1-22.</w:t>
      </w:r>
    </w:p>
    <w:p w:rsidR="001A19F6" w:rsidRPr="001A19F6" w:rsidRDefault="001A19F6" w:rsidP="00862343">
      <w:pPr>
        <w:rPr>
          <w:rFonts w:eastAsia="Times New Roman" w:cs="Arial"/>
          <w:color w:val="222222"/>
          <w:lang w:eastAsia="en-GB"/>
        </w:rPr>
      </w:pPr>
      <w:r>
        <w:rPr>
          <w:rFonts w:eastAsia="Times New Roman" w:cs="Arial"/>
          <w:color w:val="222222"/>
          <w:lang w:eastAsia="en-GB"/>
        </w:rPr>
        <w:t xml:space="preserve">Haber, H. 2015. ‘Regulation as social policy: Home evictions and repossessions in the UK and Sweden’, </w:t>
      </w:r>
      <w:r>
        <w:rPr>
          <w:rFonts w:eastAsia="Times New Roman" w:cs="Arial"/>
          <w:i/>
          <w:color w:val="222222"/>
          <w:lang w:eastAsia="en-GB"/>
        </w:rPr>
        <w:t>Public Administration</w:t>
      </w:r>
      <w:r>
        <w:rPr>
          <w:rFonts w:eastAsia="Times New Roman" w:cs="Arial"/>
          <w:color w:val="222222"/>
          <w:lang w:eastAsia="en-GB"/>
        </w:rPr>
        <w:t>, 93, 3, 806-821.</w:t>
      </w:r>
    </w:p>
    <w:p w:rsidR="00E12F4A" w:rsidRPr="00E12F4A" w:rsidRDefault="00E12F4A" w:rsidP="00862343">
      <w:pPr>
        <w:rPr>
          <w:rFonts w:eastAsia="Times New Roman" w:cs="Arial"/>
          <w:color w:val="222222"/>
          <w:lang w:eastAsia="en-GB"/>
        </w:rPr>
      </w:pPr>
      <w:r>
        <w:rPr>
          <w:rFonts w:eastAsia="Times New Roman" w:cs="Arial"/>
          <w:color w:val="222222"/>
          <w:lang w:eastAsia="en-GB"/>
        </w:rPr>
        <w:t>Haber, H., N. Kosti, and D. Levi-Faur. 2018. ‘</w:t>
      </w:r>
      <w:r w:rsidRPr="00E12F4A">
        <w:rPr>
          <w:rFonts w:eastAsia="Times New Roman" w:cs="Arial"/>
          <w:color w:val="222222"/>
          <w:lang w:eastAsia="en-GB"/>
        </w:rPr>
        <w:t>Welfare through regulatory means: eviction and repossession policies in Singapore</w:t>
      </w:r>
      <w:r>
        <w:rPr>
          <w:rFonts w:eastAsia="Times New Roman" w:cs="Arial"/>
          <w:color w:val="222222"/>
          <w:lang w:eastAsia="en-GB"/>
        </w:rPr>
        <w:t xml:space="preserve">’, </w:t>
      </w:r>
      <w:r>
        <w:rPr>
          <w:rFonts w:eastAsia="Times New Roman" w:cs="Arial"/>
          <w:i/>
          <w:color w:val="222222"/>
          <w:lang w:eastAsia="en-GB"/>
        </w:rPr>
        <w:t>Housing Studies</w:t>
      </w:r>
      <w:r>
        <w:rPr>
          <w:rFonts w:eastAsia="Times New Roman" w:cs="Arial"/>
          <w:color w:val="222222"/>
          <w:lang w:eastAsia="en-GB"/>
        </w:rPr>
        <w:t>, iFirst, 1-18.</w:t>
      </w:r>
    </w:p>
    <w:p w:rsidR="00916E75" w:rsidRDefault="00916E75" w:rsidP="00063AEA">
      <w:pPr>
        <w:rPr>
          <w:rFonts w:eastAsia="Times New Roman" w:cs="Arial"/>
          <w:color w:val="222222"/>
          <w:lang w:eastAsia="en-GB"/>
        </w:rPr>
      </w:pPr>
      <w:r>
        <w:rPr>
          <w:rFonts w:eastAsia="Times New Roman" w:cs="Arial"/>
          <w:color w:val="222222"/>
          <w:lang w:eastAsia="en-GB"/>
        </w:rPr>
        <w:t>Hambleton, R.</w:t>
      </w:r>
      <w:r w:rsidRPr="00916E75">
        <w:rPr>
          <w:rFonts w:eastAsia="Times New Roman" w:cs="Arial"/>
          <w:color w:val="222222"/>
          <w:lang w:eastAsia="en-GB"/>
        </w:rPr>
        <w:t xml:space="preserve"> 2017. </w:t>
      </w:r>
      <w:r>
        <w:rPr>
          <w:rFonts w:eastAsia="Times New Roman" w:cs="Arial"/>
          <w:color w:val="222222"/>
          <w:lang w:eastAsia="en-GB"/>
        </w:rPr>
        <w:t>‘</w:t>
      </w:r>
      <w:r w:rsidRPr="00916E75">
        <w:rPr>
          <w:rFonts w:eastAsia="Times New Roman" w:cs="Arial"/>
          <w:color w:val="222222"/>
          <w:lang w:eastAsia="en-GB"/>
        </w:rPr>
        <w:t>The super-centralisation of the English state–Why we need to move beyond the devolution deception</w:t>
      </w:r>
      <w:r>
        <w:rPr>
          <w:rFonts w:eastAsia="Times New Roman" w:cs="Arial"/>
          <w:color w:val="222222"/>
          <w:lang w:eastAsia="en-GB"/>
        </w:rPr>
        <w:t>’,</w:t>
      </w:r>
      <w:r w:rsidRPr="00916E75">
        <w:rPr>
          <w:rFonts w:eastAsia="Times New Roman" w:cs="Arial"/>
          <w:color w:val="222222"/>
          <w:lang w:eastAsia="en-GB"/>
        </w:rPr>
        <w:t xml:space="preserve"> </w:t>
      </w:r>
      <w:r w:rsidRPr="00916E75">
        <w:rPr>
          <w:rFonts w:eastAsia="Times New Roman" w:cs="Arial"/>
          <w:i/>
          <w:color w:val="222222"/>
          <w:lang w:eastAsia="en-GB"/>
        </w:rPr>
        <w:t>Local Economy</w:t>
      </w:r>
      <w:r w:rsidRPr="00916E75">
        <w:rPr>
          <w:rFonts w:eastAsia="Times New Roman" w:cs="Arial"/>
          <w:color w:val="222222"/>
          <w:lang w:eastAsia="en-GB"/>
        </w:rPr>
        <w:t>, 32</w:t>
      </w:r>
      <w:r>
        <w:rPr>
          <w:rFonts w:eastAsia="Times New Roman" w:cs="Arial"/>
          <w:color w:val="222222"/>
          <w:lang w:eastAsia="en-GB"/>
        </w:rPr>
        <w:t xml:space="preserve">, </w:t>
      </w:r>
      <w:r w:rsidRPr="00916E75">
        <w:rPr>
          <w:rFonts w:eastAsia="Times New Roman" w:cs="Arial"/>
          <w:color w:val="222222"/>
          <w:lang w:eastAsia="en-GB"/>
        </w:rPr>
        <w:t>1</w:t>
      </w:r>
      <w:r>
        <w:rPr>
          <w:rFonts w:eastAsia="Times New Roman" w:cs="Arial"/>
          <w:color w:val="222222"/>
          <w:lang w:eastAsia="en-GB"/>
        </w:rPr>
        <w:t xml:space="preserve">, </w:t>
      </w:r>
      <w:r w:rsidRPr="00916E75">
        <w:rPr>
          <w:rFonts w:eastAsia="Times New Roman" w:cs="Arial"/>
          <w:color w:val="222222"/>
          <w:lang w:eastAsia="en-GB"/>
        </w:rPr>
        <w:t>3-13.</w:t>
      </w:r>
    </w:p>
    <w:p w:rsidR="00063AEA" w:rsidRDefault="00063AEA" w:rsidP="00063AEA">
      <w:pPr>
        <w:rPr>
          <w:rFonts w:eastAsia="Times New Roman" w:cs="Arial"/>
          <w:color w:val="222222"/>
          <w:lang w:eastAsia="en-GB"/>
        </w:rPr>
      </w:pPr>
      <w:r>
        <w:rPr>
          <w:rFonts w:eastAsia="Times New Roman" w:cs="Arial"/>
          <w:color w:val="222222"/>
          <w:lang w:eastAsia="en-GB"/>
        </w:rPr>
        <w:t>Hay, C. 2013. ‘</w:t>
      </w:r>
      <w:r w:rsidRPr="00063AEA">
        <w:rPr>
          <w:rFonts w:eastAsia="Times New Roman" w:cs="Arial"/>
          <w:color w:val="222222"/>
          <w:lang w:eastAsia="en-GB"/>
        </w:rPr>
        <w:t>Treating the symptom not the condition: Crisis definition, defic</w:t>
      </w:r>
      <w:r>
        <w:rPr>
          <w:rFonts w:eastAsia="Times New Roman" w:cs="Arial"/>
          <w:color w:val="222222"/>
          <w:lang w:eastAsia="en-GB"/>
        </w:rPr>
        <w:t xml:space="preserve">it reduction and the search for </w:t>
      </w:r>
      <w:r w:rsidRPr="00063AEA">
        <w:rPr>
          <w:rFonts w:eastAsia="Times New Roman" w:cs="Arial"/>
          <w:color w:val="222222"/>
          <w:lang w:eastAsia="en-GB"/>
        </w:rPr>
        <w:t>a new British growth model</w:t>
      </w:r>
      <w:r>
        <w:rPr>
          <w:rFonts w:eastAsia="Times New Roman" w:cs="Arial"/>
          <w:color w:val="222222"/>
          <w:lang w:eastAsia="en-GB"/>
        </w:rPr>
        <w:t>’,</w:t>
      </w:r>
      <w:r w:rsidRPr="00063AEA">
        <w:rPr>
          <w:rFonts w:eastAsia="Times New Roman" w:cs="Arial"/>
          <w:color w:val="222222"/>
          <w:lang w:eastAsia="en-GB"/>
        </w:rPr>
        <w:t xml:space="preserve"> </w:t>
      </w:r>
      <w:r w:rsidRPr="002A354C">
        <w:rPr>
          <w:rFonts w:eastAsia="Times New Roman" w:cs="Arial"/>
          <w:i/>
          <w:color w:val="222222"/>
          <w:lang w:eastAsia="en-GB"/>
        </w:rPr>
        <w:t>British Journal of Politics and International Relations</w:t>
      </w:r>
      <w:r w:rsidRPr="002A354C">
        <w:rPr>
          <w:rFonts w:eastAsia="Times New Roman" w:cs="Arial"/>
          <w:color w:val="222222"/>
          <w:lang w:eastAsia="en-GB"/>
        </w:rPr>
        <w:t>,</w:t>
      </w:r>
      <w:r w:rsidRPr="00063AEA">
        <w:rPr>
          <w:rFonts w:eastAsia="Times New Roman" w:cs="Arial"/>
          <w:color w:val="222222"/>
          <w:lang w:eastAsia="en-GB"/>
        </w:rPr>
        <w:t xml:space="preserve"> 15</w:t>
      </w:r>
      <w:r>
        <w:rPr>
          <w:rFonts w:eastAsia="Times New Roman" w:cs="Arial"/>
          <w:color w:val="222222"/>
          <w:lang w:eastAsia="en-GB"/>
        </w:rPr>
        <w:t xml:space="preserve">, </w:t>
      </w:r>
      <w:r w:rsidRPr="00063AEA">
        <w:rPr>
          <w:rFonts w:eastAsia="Times New Roman" w:cs="Arial"/>
          <w:color w:val="222222"/>
          <w:lang w:eastAsia="en-GB"/>
        </w:rPr>
        <w:t>1</w:t>
      </w:r>
      <w:r>
        <w:rPr>
          <w:rFonts w:eastAsia="Times New Roman" w:cs="Arial"/>
          <w:color w:val="222222"/>
          <w:lang w:eastAsia="en-GB"/>
        </w:rPr>
        <w:t>,</w:t>
      </w:r>
      <w:r w:rsidRPr="00063AEA">
        <w:rPr>
          <w:rFonts w:eastAsia="Times New Roman" w:cs="Arial"/>
          <w:color w:val="222222"/>
          <w:lang w:eastAsia="en-GB"/>
        </w:rPr>
        <w:t xml:space="preserve"> 23–37.</w:t>
      </w:r>
    </w:p>
    <w:p w:rsidR="00066917" w:rsidRPr="00066917" w:rsidRDefault="00066917" w:rsidP="00862343">
      <w:pPr>
        <w:rPr>
          <w:rFonts w:eastAsia="Times New Roman" w:cs="Arial"/>
          <w:color w:val="222222"/>
          <w:lang w:eastAsia="en-GB"/>
        </w:rPr>
      </w:pPr>
      <w:r>
        <w:rPr>
          <w:rFonts w:eastAsia="Times New Roman" w:cs="Arial"/>
          <w:color w:val="222222"/>
          <w:lang w:eastAsia="en-GB"/>
        </w:rPr>
        <w:t xml:space="preserve">HCA. 2011. </w:t>
      </w:r>
      <w:r>
        <w:rPr>
          <w:rFonts w:eastAsia="Times New Roman" w:cs="Arial"/>
          <w:i/>
          <w:color w:val="222222"/>
          <w:lang w:eastAsia="en-GB"/>
        </w:rPr>
        <w:t>Affordable Homes Programme Framework</w:t>
      </w:r>
      <w:r>
        <w:rPr>
          <w:rFonts w:eastAsia="Times New Roman" w:cs="Arial"/>
          <w:color w:val="222222"/>
          <w:lang w:eastAsia="en-GB"/>
        </w:rPr>
        <w:t>. London: Homes and Communities Agency.</w:t>
      </w:r>
    </w:p>
    <w:p w:rsidR="0097276C" w:rsidRPr="0097276C" w:rsidRDefault="0097276C" w:rsidP="00862343">
      <w:pPr>
        <w:rPr>
          <w:rFonts w:eastAsia="Times New Roman" w:cs="Arial"/>
          <w:color w:val="222222"/>
          <w:lang w:eastAsia="en-GB"/>
        </w:rPr>
      </w:pPr>
      <w:r>
        <w:rPr>
          <w:rFonts w:eastAsia="Times New Roman" w:cs="Arial"/>
          <w:color w:val="222222"/>
          <w:lang w:eastAsia="en-GB"/>
        </w:rPr>
        <w:t xml:space="preserve">HCA. 2014. </w:t>
      </w:r>
      <w:r>
        <w:rPr>
          <w:rFonts w:eastAsia="Times New Roman" w:cs="Arial"/>
          <w:i/>
          <w:color w:val="222222"/>
          <w:lang w:eastAsia="en-GB"/>
        </w:rPr>
        <w:t>Affordable Homes Programme Prospectus</w:t>
      </w:r>
      <w:r>
        <w:rPr>
          <w:rFonts w:eastAsia="Times New Roman" w:cs="Arial"/>
          <w:color w:val="222222"/>
          <w:lang w:eastAsia="en-GB"/>
        </w:rPr>
        <w:t>. London: Homes and Communities Agency.</w:t>
      </w:r>
    </w:p>
    <w:p w:rsidR="0097276C" w:rsidRPr="0097276C" w:rsidRDefault="0097276C" w:rsidP="00862343">
      <w:pPr>
        <w:rPr>
          <w:rFonts w:eastAsia="Times New Roman" w:cs="Arial"/>
          <w:color w:val="222222"/>
          <w:lang w:eastAsia="en-GB"/>
        </w:rPr>
      </w:pPr>
      <w:r>
        <w:rPr>
          <w:rFonts w:eastAsia="Times New Roman" w:cs="Arial"/>
          <w:color w:val="222222"/>
          <w:lang w:eastAsia="en-GB"/>
        </w:rPr>
        <w:t xml:space="preserve">HCA. 2017. </w:t>
      </w:r>
      <w:r>
        <w:rPr>
          <w:rFonts w:eastAsia="Times New Roman" w:cs="Arial"/>
          <w:i/>
          <w:color w:val="222222"/>
          <w:lang w:eastAsia="en-GB"/>
        </w:rPr>
        <w:t>Sector Risk Profile</w:t>
      </w:r>
      <w:r>
        <w:rPr>
          <w:rFonts w:eastAsia="Times New Roman" w:cs="Arial"/>
          <w:color w:val="222222"/>
          <w:lang w:eastAsia="en-GB"/>
        </w:rPr>
        <w:t>. London: Homes and Communities Agency.</w:t>
      </w:r>
    </w:p>
    <w:p w:rsidR="002A252B" w:rsidRPr="002A252B" w:rsidRDefault="002A252B" w:rsidP="00862343">
      <w:pPr>
        <w:rPr>
          <w:rFonts w:eastAsia="Times New Roman" w:cs="Arial"/>
          <w:color w:val="222222"/>
          <w:lang w:eastAsia="en-GB"/>
        </w:rPr>
      </w:pPr>
      <w:r>
        <w:rPr>
          <w:rFonts w:eastAsia="Times New Roman" w:cs="Arial"/>
          <w:color w:val="222222"/>
          <w:lang w:eastAsia="en-GB"/>
        </w:rPr>
        <w:t xml:space="preserve">HCA. 2018. </w:t>
      </w:r>
      <w:r>
        <w:rPr>
          <w:rFonts w:eastAsia="Times New Roman" w:cs="Arial"/>
          <w:i/>
          <w:color w:val="222222"/>
          <w:lang w:eastAsia="en-GB"/>
        </w:rPr>
        <w:t>Value for Money Metrics – Technical Note</w:t>
      </w:r>
      <w:r>
        <w:rPr>
          <w:rFonts w:eastAsia="Times New Roman" w:cs="Arial"/>
          <w:color w:val="222222"/>
          <w:lang w:eastAsia="en-GB"/>
        </w:rPr>
        <w:t>. London: Homes and Communities Agency.</w:t>
      </w:r>
    </w:p>
    <w:p w:rsidR="00601AC0" w:rsidRPr="00601AC0" w:rsidRDefault="00601AC0" w:rsidP="00862343">
      <w:pPr>
        <w:rPr>
          <w:rFonts w:eastAsia="Times New Roman" w:cs="Arial"/>
          <w:color w:val="222222"/>
          <w:lang w:eastAsia="en-GB"/>
        </w:rPr>
      </w:pPr>
      <w:r>
        <w:rPr>
          <w:rFonts w:eastAsia="Times New Roman" w:cs="Arial"/>
          <w:color w:val="222222"/>
          <w:lang w:eastAsia="en-GB"/>
        </w:rPr>
        <w:t xml:space="preserve">Heims, E. 2015. ‘Explaining coordination between national regulators in EU agencies: The role of formal and informal social organisation’, </w:t>
      </w:r>
      <w:r>
        <w:rPr>
          <w:rFonts w:eastAsia="Times New Roman" w:cs="Arial"/>
          <w:i/>
          <w:color w:val="222222"/>
          <w:lang w:eastAsia="en-GB"/>
        </w:rPr>
        <w:t>Public Administration</w:t>
      </w:r>
      <w:r>
        <w:rPr>
          <w:rFonts w:eastAsia="Times New Roman" w:cs="Arial"/>
          <w:color w:val="222222"/>
          <w:lang w:eastAsia="en-GB"/>
        </w:rPr>
        <w:t>, 94, 4, 881-896.</w:t>
      </w:r>
    </w:p>
    <w:p w:rsidR="00036153" w:rsidRDefault="00036153" w:rsidP="00862343">
      <w:pPr>
        <w:rPr>
          <w:rFonts w:eastAsia="Times New Roman" w:cs="Arial"/>
          <w:color w:val="222222"/>
          <w:lang w:eastAsia="en-GB"/>
        </w:rPr>
      </w:pPr>
      <w:r w:rsidRPr="00036153">
        <w:rPr>
          <w:rFonts w:eastAsia="Times New Roman" w:cs="Arial"/>
          <w:color w:val="222222"/>
          <w:lang w:eastAsia="en-GB"/>
        </w:rPr>
        <w:lastRenderedPageBreak/>
        <w:t xml:space="preserve">Hermann, C. and </w:t>
      </w:r>
      <w:r>
        <w:rPr>
          <w:rFonts w:eastAsia="Times New Roman" w:cs="Arial"/>
          <w:color w:val="222222"/>
          <w:lang w:eastAsia="en-GB"/>
        </w:rPr>
        <w:t xml:space="preserve">J. </w:t>
      </w:r>
      <w:r w:rsidRPr="00036153">
        <w:rPr>
          <w:rFonts w:eastAsia="Times New Roman" w:cs="Arial"/>
          <w:color w:val="222222"/>
          <w:lang w:eastAsia="en-GB"/>
        </w:rPr>
        <w:t>Flecker</w:t>
      </w:r>
      <w:r>
        <w:rPr>
          <w:rFonts w:eastAsia="Times New Roman" w:cs="Arial"/>
          <w:color w:val="222222"/>
          <w:lang w:eastAsia="en-GB"/>
        </w:rPr>
        <w:t xml:space="preserve"> (</w:t>
      </w:r>
      <w:r w:rsidRPr="00036153">
        <w:rPr>
          <w:rFonts w:eastAsia="Times New Roman" w:cs="Arial"/>
          <w:color w:val="222222"/>
          <w:lang w:eastAsia="en-GB"/>
        </w:rPr>
        <w:t>eds</w:t>
      </w:r>
      <w:r>
        <w:rPr>
          <w:rFonts w:eastAsia="Times New Roman" w:cs="Arial"/>
          <w:color w:val="222222"/>
          <w:lang w:eastAsia="en-GB"/>
        </w:rPr>
        <w:t>).</w:t>
      </w:r>
      <w:r w:rsidRPr="00036153">
        <w:rPr>
          <w:rFonts w:eastAsia="Times New Roman" w:cs="Arial"/>
          <w:color w:val="222222"/>
          <w:lang w:eastAsia="en-GB"/>
        </w:rPr>
        <w:t xml:space="preserve"> 2013. </w:t>
      </w:r>
      <w:r w:rsidRPr="00036153">
        <w:rPr>
          <w:rFonts w:eastAsia="Times New Roman" w:cs="Arial"/>
          <w:i/>
          <w:color w:val="222222"/>
          <w:lang w:eastAsia="en-GB"/>
        </w:rPr>
        <w:t xml:space="preserve">Privatization of </w:t>
      </w:r>
      <w:r>
        <w:rPr>
          <w:rFonts w:eastAsia="Times New Roman" w:cs="Arial"/>
          <w:i/>
          <w:color w:val="222222"/>
          <w:lang w:eastAsia="en-GB"/>
        </w:rPr>
        <w:t>P</w:t>
      </w:r>
      <w:r w:rsidRPr="00036153">
        <w:rPr>
          <w:rFonts w:eastAsia="Times New Roman" w:cs="Arial"/>
          <w:i/>
          <w:color w:val="222222"/>
          <w:lang w:eastAsia="en-GB"/>
        </w:rPr>
        <w:t xml:space="preserve">ublic </w:t>
      </w:r>
      <w:r>
        <w:rPr>
          <w:rFonts w:eastAsia="Times New Roman" w:cs="Arial"/>
          <w:i/>
          <w:color w:val="222222"/>
          <w:lang w:eastAsia="en-GB"/>
        </w:rPr>
        <w:t>S</w:t>
      </w:r>
      <w:r w:rsidRPr="00036153">
        <w:rPr>
          <w:rFonts w:eastAsia="Times New Roman" w:cs="Arial"/>
          <w:i/>
          <w:color w:val="222222"/>
          <w:lang w:eastAsia="en-GB"/>
        </w:rPr>
        <w:t xml:space="preserve">ervices: </w:t>
      </w:r>
      <w:r>
        <w:rPr>
          <w:rFonts w:eastAsia="Times New Roman" w:cs="Arial"/>
          <w:i/>
          <w:color w:val="222222"/>
          <w:lang w:eastAsia="en-GB"/>
        </w:rPr>
        <w:t>I</w:t>
      </w:r>
      <w:r w:rsidRPr="00036153">
        <w:rPr>
          <w:rFonts w:eastAsia="Times New Roman" w:cs="Arial"/>
          <w:i/>
          <w:color w:val="222222"/>
          <w:lang w:eastAsia="en-GB"/>
        </w:rPr>
        <w:t xml:space="preserve">mpacts for </w:t>
      </w:r>
      <w:r>
        <w:rPr>
          <w:rFonts w:eastAsia="Times New Roman" w:cs="Arial"/>
          <w:i/>
          <w:color w:val="222222"/>
          <w:lang w:eastAsia="en-GB"/>
        </w:rPr>
        <w:t>E</w:t>
      </w:r>
      <w:r w:rsidRPr="00036153">
        <w:rPr>
          <w:rFonts w:eastAsia="Times New Roman" w:cs="Arial"/>
          <w:i/>
          <w:color w:val="222222"/>
          <w:lang w:eastAsia="en-GB"/>
        </w:rPr>
        <w:t xml:space="preserve">mployment, </w:t>
      </w:r>
      <w:r>
        <w:rPr>
          <w:rFonts w:eastAsia="Times New Roman" w:cs="Arial"/>
          <w:i/>
          <w:color w:val="222222"/>
          <w:lang w:eastAsia="en-GB"/>
        </w:rPr>
        <w:t>W</w:t>
      </w:r>
      <w:r w:rsidRPr="00036153">
        <w:rPr>
          <w:rFonts w:eastAsia="Times New Roman" w:cs="Arial"/>
          <w:i/>
          <w:color w:val="222222"/>
          <w:lang w:eastAsia="en-GB"/>
        </w:rPr>
        <w:t xml:space="preserve">orking </w:t>
      </w:r>
      <w:r>
        <w:rPr>
          <w:rFonts w:eastAsia="Times New Roman" w:cs="Arial"/>
          <w:i/>
          <w:color w:val="222222"/>
          <w:lang w:eastAsia="en-GB"/>
        </w:rPr>
        <w:t>C</w:t>
      </w:r>
      <w:r w:rsidRPr="00036153">
        <w:rPr>
          <w:rFonts w:eastAsia="Times New Roman" w:cs="Arial"/>
          <w:i/>
          <w:color w:val="222222"/>
          <w:lang w:eastAsia="en-GB"/>
        </w:rPr>
        <w:t xml:space="preserve">onditions, and </w:t>
      </w:r>
      <w:r>
        <w:rPr>
          <w:rFonts w:eastAsia="Times New Roman" w:cs="Arial"/>
          <w:i/>
          <w:color w:val="222222"/>
          <w:lang w:eastAsia="en-GB"/>
        </w:rPr>
        <w:t>S</w:t>
      </w:r>
      <w:r w:rsidRPr="00036153">
        <w:rPr>
          <w:rFonts w:eastAsia="Times New Roman" w:cs="Arial"/>
          <w:i/>
          <w:color w:val="222222"/>
          <w:lang w:eastAsia="en-GB"/>
        </w:rPr>
        <w:t xml:space="preserve">ervice </w:t>
      </w:r>
      <w:r>
        <w:rPr>
          <w:rFonts w:eastAsia="Times New Roman" w:cs="Arial"/>
          <w:i/>
          <w:color w:val="222222"/>
          <w:lang w:eastAsia="en-GB"/>
        </w:rPr>
        <w:t>Q</w:t>
      </w:r>
      <w:r w:rsidRPr="00036153">
        <w:rPr>
          <w:rFonts w:eastAsia="Times New Roman" w:cs="Arial"/>
          <w:i/>
          <w:color w:val="222222"/>
          <w:lang w:eastAsia="en-GB"/>
        </w:rPr>
        <w:t>uality in Europe</w:t>
      </w:r>
      <w:r w:rsidRPr="00036153">
        <w:rPr>
          <w:rFonts w:eastAsia="Times New Roman" w:cs="Arial"/>
          <w:color w:val="222222"/>
          <w:lang w:eastAsia="en-GB"/>
        </w:rPr>
        <w:t>.</w:t>
      </w:r>
      <w:r>
        <w:rPr>
          <w:rFonts w:eastAsia="Times New Roman" w:cs="Arial"/>
          <w:color w:val="222222"/>
          <w:lang w:eastAsia="en-GB"/>
        </w:rPr>
        <w:t xml:space="preserve"> London:</w:t>
      </w:r>
      <w:r w:rsidRPr="00036153">
        <w:rPr>
          <w:rFonts w:eastAsia="Times New Roman" w:cs="Arial"/>
          <w:color w:val="222222"/>
          <w:lang w:eastAsia="en-GB"/>
        </w:rPr>
        <w:t xml:space="preserve"> Routledge.</w:t>
      </w:r>
    </w:p>
    <w:p w:rsidR="00632719" w:rsidRPr="00632719" w:rsidRDefault="00632719" w:rsidP="00862343">
      <w:pPr>
        <w:rPr>
          <w:rFonts w:eastAsia="Times New Roman" w:cs="Arial"/>
          <w:color w:val="222222"/>
          <w:lang w:eastAsia="en-GB"/>
        </w:rPr>
      </w:pPr>
      <w:r>
        <w:rPr>
          <w:rFonts w:eastAsia="Times New Roman" w:cs="Arial"/>
          <w:color w:val="222222"/>
          <w:lang w:eastAsia="en-GB"/>
        </w:rPr>
        <w:t xml:space="preserve">Hilditch, S. 2017. ‘Housing associations are critically important, but have lost their way’, </w:t>
      </w:r>
      <w:r>
        <w:rPr>
          <w:rFonts w:eastAsia="Times New Roman" w:cs="Arial"/>
          <w:i/>
          <w:color w:val="222222"/>
          <w:lang w:eastAsia="en-GB"/>
        </w:rPr>
        <w:t>The Guardian Online</w:t>
      </w:r>
      <w:r>
        <w:rPr>
          <w:rFonts w:eastAsia="Times New Roman" w:cs="Arial"/>
          <w:color w:val="222222"/>
          <w:lang w:eastAsia="en-GB"/>
        </w:rPr>
        <w:t>, 24</w:t>
      </w:r>
      <w:r w:rsidRPr="00632719">
        <w:rPr>
          <w:rFonts w:eastAsia="Times New Roman" w:cs="Arial"/>
          <w:color w:val="222222"/>
          <w:vertAlign w:val="superscript"/>
          <w:lang w:eastAsia="en-GB"/>
        </w:rPr>
        <w:t>th</w:t>
      </w:r>
      <w:r>
        <w:rPr>
          <w:rFonts w:eastAsia="Times New Roman" w:cs="Arial"/>
          <w:color w:val="222222"/>
          <w:lang w:eastAsia="en-GB"/>
        </w:rPr>
        <w:t xml:space="preserve"> April.</w:t>
      </w:r>
    </w:p>
    <w:p w:rsidR="00602E2C" w:rsidRPr="00602E2C" w:rsidRDefault="0099762B" w:rsidP="00862343">
      <w:pPr>
        <w:rPr>
          <w:rFonts w:eastAsia="Times New Roman" w:cs="Arial"/>
          <w:color w:val="222222"/>
          <w:lang w:eastAsia="en-GB"/>
        </w:rPr>
      </w:pPr>
      <w:r>
        <w:rPr>
          <w:rFonts w:eastAsia="Times New Roman" w:cs="Arial"/>
          <w:color w:val="222222"/>
          <w:lang w:eastAsia="en-GB"/>
        </w:rPr>
        <w:t>HM Treasu</w:t>
      </w:r>
      <w:r w:rsidR="00602E2C">
        <w:rPr>
          <w:rFonts w:eastAsia="Times New Roman" w:cs="Arial"/>
          <w:color w:val="222222"/>
          <w:lang w:eastAsia="en-GB"/>
        </w:rPr>
        <w:t xml:space="preserve">ry. 2010. </w:t>
      </w:r>
      <w:r w:rsidR="00602E2C">
        <w:rPr>
          <w:rFonts w:eastAsia="Times New Roman" w:cs="Arial"/>
          <w:i/>
          <w:color w:val="222222"/>
          <w:lang w:eastAsia="en-GB"/>
        </w:rPr>
        <w:t>Budget 2010</w:t>
      </w:r>
      <w:r w:rsidR="00602E2C">
        <w:rPr>
          <w:rFonts w:eastAsia="Times New Roman" w:cs="Arial"/>
          <w:color w:val="222222"/>
          <w:lang w:eastAsia="en-GB"/>
        </w:rPr>
        <w:t>. London: House of Commons Stationery Office.</w:t>
      </w:r>
    </w:p>
    <w:p w:rsidR="00ED47C4" w:rsidRDefault="00ED47C4" w:rsidP="00862343">
      <w:pPr>
        <w:rPr>
          <w:rFonts w:eastAsia="Times New Roman" w:cs="Arial"/>
          <w:color w:val="222222"/>
          <w:lang w:eastAsia="en-GB"/>
        </w:rPr>
      </w:pPr>
      <w:r w:rsidRPr="00ED47C4">
        <w:rPr>
          <w:rFonts w:eastAsia="Times New Roman" w:cs="Arial"/>
          <w:color w:val="222222"/>
          <w:lang w:eastAsia="en-GB"/>
        </w:rPr>
        <w:t xml:space="preserve">Hodge, G. and </w:t>
      </w:r>
      <w:r>
        <w:rPr>
          <w:rFonts w:eastAsia="Times New Roman" w:cs="Arial"/>
          <w:color w:val="222222"/>
          <w:lang w:eastAsia="en-GB"/>
        </w:rPr>
        <w:t xml:space="preserve">C. </w:t>
      </w:r>
      <w:r w:rsidRPr="00ED47C4">
        <w:rPr>
          <w:rFonts w:eastAsia="Times New Roman" w:cs="Arial"/>
          <w:color w:val="222222"/>
          <w:lang w:eastAsia="en-GB"/>
        </w:rPr>
        <w:t>Greve</w:t>
      </w:r>
      <w:r>
        <w:rPr>
          <w:rFonts w:eastAsia="Times New Roman" w:cs="Arial"/>
          <w:color w:val="222222"/>
          <w:lang w:eastAsia="en-GB"/>
        </w:rPr>
        <w:t>.</w:t>
      </w:r>
      <w:r w:rsidRPr="00ED47C4">
        <w:rPr>
          <w:rFonts w:eastAsia="Times New Roman" w:cs="Arial"/>
          <w:color w:val="222222"/>
          <w:lang w:eastAsia="en-GB"/>
        </w:rPr>
        <w:t xml:space="preserve"> 2009. </w:t>
      </w:r>
      <w:r>
        <w:rPr>
          <w:rFonts w:eastAsia="Times New Roman" w:cs="Arial"/>
          <w:color w:val="222222"/>
          <w:lang w:eastAsia="en-GB"/>
        </w:rPr>
        <w:t>‘</w:t>
      </w:r>
      <w:r w:rsidRPr="00ED47C4">
        <w:rPr>
          <w:rFonts w:eastAsia="Times New Roman" w:cs="Arial"/>
          <w:color w:val="222222"/>
          <w:lang w:eastAsia="en-GB"/>
        </w:rPr>
        <w:t>PPPs: The passage of time permits a sober reflection</w:t>
      </w:r>
      <w:r>
        <w:rPr>
          <w:rFonts w:eastAsia="Times New Roman" w:cs="Arial"/>
          <w:color w:val="222222"/>
          <w:lang w:eastAsia="en-GB"/>
        </w:rPr>
        <w:t>’,</w:t>
      </w:r>
      <w:r w:rsidRPr="00ED47C4">
        <w:rPr>
          <w:rFonts w:eastAsia="Times New Roman" w:cs="Arial"/>
          <w:color w:val="222222"/>
          <w:lang w:eastAsia="en-GB"/>
        </w:rPr>
        <w:t xml:space="preserve"> </w:t>
      </w:r>
      <w:r w:rsidRPr="00ED47C4">
        <w:rPr>
          <w:rFonts w:eastAsia="Times New Roman" w:cs="Arial"/>
          <w:i/>
          <w:color w:val="222222"/>
          <w:lang w:eastAsia="en-GB"/>
        </w:rPr>
        <w:t>Economic Affairs</w:t>
      </w:r>
      <w:r w:rsidRPr="00ED47C4">
        <w:rPr>
          <w:rFonts w:eastAsia="Times New Roman" w:cs="Arial"/>
          <w:color w:val="222222"/>
          <w:lang w:eastAsia="en-GB"/>
        </w:rPr>
        <w:t>, 29</w:t>
      </w:r>
      <w:r>
        <w:rPr>
          <w:rFonts w:eastAsia="Times New Roman" w:cs="Arial"/>
          <w:color w:val="222222"/>
          <w:lang w:eastAsia="en-GB"/>
        </w:rPr>
        <w:t xml:space="preserve">, </w:t>
      </w:r>
      <w:r w:rsidRPr="00ED47C4">
        <w:rPr>
          <w:rFonts w:eastAsia="Times New Roman" w:cs="Arial"/>
          <w:color w:val="222222"/>
          <w:lang w:eastAsia="en-GB"/>
        </w:rPr>
        <w:t>1, 33-39.</w:t>
      </w:r>
    </w:p>
    <w:p w:rsidR="0038724B" w:rsidRDefault="0038724B" w:rsidP="00862343">
      <w:pPr>
        <w:rPr>
          <w:rFonts w:eastAsia="Times New Roman" w:cs="Arial"/>
          <w:color w:val="222222"/>
          <w:lang w:eastAsia="en-GB"/>
        </w:rPr>
      </w:pPr>
      <w:r w:rsidRPr="0038724B">
        <w:rPr>
          <w:rFonts w:eastAsia="Times New Roman" w:cs="Arial"/>
          <w:color w:val="222222"/>
          <w:lang w:eastAsia="en-GB"/>
        </w:rPr>
        <w:t xml:space="preserve">Hodge, G. and </w:t>
      </w:r>
      <w:r>
        <w:rPr>
          <w:rFonts w:eastAsia="Times New Roman" w:cs="Arial"/>
          <w:color w:val="222222"/>
          <w:lang w:eastAsia="en-GB"/>
        </w:rPr>
        <w:t xml:space="preserve">C. </w:t>
      </w:r>
      <w:r w:rsidRPr="0038724B">
        <w:rPr>
          <w:rFonts w:eastAsia="Times New Roman" w:cs="Arial"/>
          <w:color w:val="222222"/>
          <w:lang w:eastAsia="en-GB"/>
        </w:rPr>
        <w:t>Greve</w:t>
      </w:r>
      <w:r>
        <w:rPr>
          <w:rFonts w:eastAsia="Times New Roman" w:cs="Arial"/>
          <w:color w:val="222222"/>
          <w:lang w:eastAsia="en-GB"/>
        </w:rPr>
        <w:t>.</w:t>
      </w:r>
      <w:r w:rsidRPr="0038724B">
        <w:rPr>
          <w:rFonts w:eastAsia="Times New Roman" w:cs="Arial"/>
          <w:color w:val="222222"/>
          <w:lang w:eastAsia="en-GB"/>
        </w:rPr>
        <w:t xml:space="preserve"> 2007. </w:t>
      </w:r>
      <w:r>
        <w:rPr>
          <w:rFonts w:eastAsia="Times New Roman" w:cs="Arial"/>
          <w:color w:val="222222"/>
          <w:lang w:eastAsia="en-GB"/>
        </w:rPr>
        <w:t>‘</w:t>
      </w:r>
      <w:r w:rsidRPr="0038724B">
        <w:rPr>
          <w:rFonts w:eastAsia="Times New Roman" w:cs="Arial"/>
          <w:color w:val="222222"/>
          <w:lang w:eastAsia="en-GB"/>
        </w:rPr>
        <w:t>Public–private partnerships: an international performance review</w:t>
      </w:r>
      <w:r>
        <w:rPr>
          <w:rFonts w:eastAsia="Times New Roman" w:cs="Arial"/>
          <w:color w:val="222222"/>
          <w:lang w:eastAsia="en-GB"/>
        </w:rPr>
        <w:t>’,</w:t>
      </w:r>
      <w:r w:rsidRPr="0038724B">
        <w:rPr>
          <w:rFonts w:eastAsia="Times New Roman" w:cs="Arial"/>
          <w:color w:val="222222"/>
          <w:lang w:eastAsia="en-GB"/>
        </w:rPr>
        <w:t xml:space="preserve"> </w:t>
      </w:r>
      <w:r w:rsidRPr="0038724B">
        <w:rPr>
          <w:rFonts w:eastAsia="Times New Roman" w:cs="Arial"/>
          <w:i/>
          <w:color w:val="222222"/>
          <w:lang w:eastAsia="en-GB"/>
        </w:rPr>
        <w:t>Public Administration Review</w:t>
      </w:r>
      <w:r w:rsidRPr="0038724B">
        <w:rPr>
          <w:rFonts w:eastAsia="Times New Roman" w:cs="Arial"/>
          <w:color w:val="222222"/>
          <w:lang w:eastAsia="en-GB"/>
        </w:rPr>
        <w:t>, 67</w:t>
      </w:r>
      <w:r>
        <w:rPr>
          <w:rFonts w:eastAsia="Times New Roman" w:cs="Arial"/>
          <w:color w:val="222222"/>
          <w:lang w:eastAsia="en-GB"/>
        </w:rPr>
        <w:t>, 3</w:t>
      </w:r>
      <w:r w:rsidRPr="0038724B">
        <w:rPr>
          <w:rFonts w:eastAsia="Times New Roman" w:cs="Arial"/>
          <w:color w:val="222222"/>
          <w:lang w:eastAsia="en-GB"/>
        </w:rPr>
        <w:t>, 545-558.</w:t>
      </w:r>
    </w:p>
    <w:p w:rsidR="008D31BC" w:rsidRPr="008D31BC" w:rsidRDefault="008D31BC" w:rsidP="00862343">
      <w:pPr>
        <w:rPr>
          <w:rFonts w:eastAsia="Times New Roman" w:cs="Arial"/>
          <w:color w:val="222222"/>
          <w:lang w:eastAsia="en-GB"/>
        </w:rPr>
      </w:pPr>
      <w:r w:rsidRPr="008D31BC">
        <w:rPr>
          <w:rFonts w:eastAsia="Times New Roman" w:cs="Arial"/>
          <w:i/>
          <w:color w:val="222222"/>
          <w:lang w:eastAsia="en-GB"/>
        </w:rPr>
        <w:t>Housing Associations Act 1985.</w:t>
      </w:r>
    </w:p>
    <w:p w:rsidR="006F52D3" w:rsidRPr="006F52D3" w:rsidRDefault="006F52D3" w:rsidP="00862343">
      <w:pPr>
        <w:rPr>
          <w:rFonts w:eastAsia="Times New Roman" w:cs="Arial"/>
          <w:color w:val="222222"/>
          <w:lang w:eastAsia="en-GB"/>
        </w:rPr>
      </w:pPr>
      <w:r>
        <w:rPr>
          <w:rFonts w:eastAsia="Times New Roman" w:cs="Arial"/>
          <w:color w:val="222222"/>
          <w:lang w:eastAsia="en-GB"/>
        </w:rPr>
        <w:t xml:space="preserve">Hollander, G. 2018. ‘Peabody plans to stop charging affordable rent’, </w:t>
      </w:r>
      <w:r>
        <w:rPr>
          <w:rFonts w:eastAsia="Times New Roman" w:cs="Arial"/>
          <w:i/>
          <w:color w:val="222222"/>
          <w:lang w:eastAsia="en-GB"/>
        </w:rPr>
        <w:t>Inside Housing</w:t>
      </w:r>
      <w:r>
        <w:rPr>
          <w:rFonts w:eastAsia="Times New Roman" w:cs="Arial"/>
          <w:color w:val="222222"/>
          <w:lang w:eastAsia="en-GB"/>
        </w:rPr>
        <w:t xml:space="preserve"> 2</w:t>
      </w:r>
      <w:r w:rsidRPr="006F52D3">
        <w:rPr>
          <w:rFonts w:eastAsia="Times New Roman" w:cs="Arial"/>
          <w:color w:val="222222"/>
          <w:vertAlign w:val="superscript"/>
          <w:lang w:eastAsia="en-GB"/>
        </w:rPr>
        <w:t>nd</w:t>
      </w:r>
      <w:r>
        <w:rPr>
          <w:rFonts w:eastAsia="Times New Roman" w:cs="Arial"/>
          <w:color w:val="222222"/>
          <w:lang w:eastAsia="en-GB"/>
        </w:rPr>
        <w:t xml:space="preserve"> May.</w:t>
      </w:r>
    </w:p>
    <w:p w:rsidR="005E7A1D" w:rsidRPr="005E7A1D" w:rsidRDefault="005E7A1D" w:rsidP="00862343">
      <w:pPr>
        <w:rPr>
          <w:rFonts w:eastAsia="Times New Roman" w:cs="Arial"/>
          <w:color w:val="222222"/>
          <w:lang w:eastAsia="en-GB"/>
        </w:rPr>
      </w:pPr>
      <w:r>
        <w:rPr>
          <w:rFonts w:eastAsia="Times New Roman" w:cs="Arial"/>
          <w:color w:val="222222"/>
          <w:lang w:eastAsia="en-GB"/>
        </w:rPr>
        <w:t xml:space="preserve">Hudson, C. J. Hudson, and B. Morley. 2018. ‘Differing house price linkage across UK regions’, </w:t>
      </w:r>
      <w:r>
        <w:rPr>
          <w:rFonts w:eastAsia="Times New Roman" w:cs="Arial"/>
          <w:i/>
          <w:color w:val="222222"/>
          <w:lang w:eastAsia="en-GB"/>
        </w:rPr>
        <w:t>Urban Studies</w:t>
      </w:r>
      <w:r>
        <w:rPr>
          <w:rFonts w:eastAsia="Times New Roman" w:cs="Arial"/>
          <w:color w:val="222222"/>
          <w:lang w:eastAsia="en-GB"/>
        </w:rPr>
        <w:t>, 55, 8, 1636-54.</w:t>
      </w:r>
    </w:p>
    <w:p w:rsidR="002B479E" w:rsidRPr="002B479E" w:rsidRDefault="002B479E" w:rsidP="00862343">
      <w:pPr>
        <w:rPr>
          <w:rFonts w:eastAsia="Times New Roman" w:cs="Arial"/>
          <w:color w:val="222222"/>
          <w:lang w:eastAsia="en-GB"/>
        </w:rPr>
      </w:pPr>
      <w:r>
        <w:rPr>
          <w:rFonts w:eastAsia="Times New Roman" w:cs="Arial"/>
          <w:color w:val="222222"/>
          <w:lang w:eastAsia="en-GB"/>
        </w:rPr>
        <w:t xml:space="preserve">Jonas, A. and R. Pincetl. 2006. ‘Rescaling regions in the state’, </w:t>
      </w:r>
      <w:r>
        <w:rPr>
          <w:rFonts w:eastAsia="Times New Roman" w:cs="Arial"/>
          <w:i/>
          <w:color w:val="222222"/>
          <w:lang w:eastAsia="en-GB"/>
        </w:rPr>
        <w:t>Political Geography</w:t>
      </w:r>
      <w:r>
        <w:rPr>
          <w:rFonts w:eastAsia="Times New Roman" w:cs="Arial"/>
          <w:color w:val="222222"/>
          <w:lang w:eastAsia="en-GB"/>
        </w:rPr>
        <w:t>, 25, 5, 482-505.</w:t>
      </w:r>
    </w:p>
    <w:p w:rsidR="00B3488C" w:rsidRDefault="00B3488C" w:rsidP="00862343">
      <w:pPr>
        <w:rPr>
          <w:rFonts w:eastAsia="Times New Roman" w:cs="Arial"/>
          <w:color w:val="222222"/>
          <w:lang w:eastAsia="en-GB"/>
        </w:rPr>
      </w:pPr>
      <w:r w:rsidRPr="00B3488C">
        <w:rPr>
          <w:rFonts w:eastAsia="Times New Roman" w:cs="Arial"/>
          <w:color w:val="222222"/>
          <w:lang w:eastAsia="en-GB"/>
        </w:rPr>
        <w:t>Jordana, J</w:t>
      </w:r>
      <w:r>
        <w:rPr>
          <w:rFonts w:eastAsia="Times New Roman" w:cs="Arial"/>
          <w:color w:val="222222"/>
          <w:lang w:eastAsia="en-GB"/>
        </w:rPr>
        <w:t>.,</w:t>
      </w:r>
      <w:r w:rsidRPr="00B3488C">
        <w:rPr>
          <w:rFonts w:eastAsia="Times New Roman" w:cs="Arial"/>
          <w:color w:val="222222"/>
          <w:lang w:eastAsia="en-GB"/>
        </w:rPr>
        <w:t xml:space="preserve"> D</w:t>
      </w:r>
      <w:r>
        <w:rPr>
          <w:rFonts w:eastAsia="Times New Roman" w:cs="Arial"/>
          <w:color w:val="222222"/>
          <w:lang w:eastAsia="en-GB"/>
        </w:rPr>
        <w:t>.</w:t>
      </w:r>
      <w:r w:rsidRPr="00B3488C">
        <w:rPr>
          <w:rFonts w:eastAsia="Times New Roman" w:cs="Arial"/>
          <w:color w:val="222222"/>
          <w:lang w:eastAsia="en-GB"/>
        </w:rPr>
        <w:t xml:space="preserve"> Levi-Faur, and X</w:t>
      </w:r>
      <w:r>
        <w:rPr>
          <w:rFonts w:eastAsia="Times New Roman" w:cs="Arial"/>
          <w:color w:val="222222"/>
          <w:lang w:eastAsia="en-GB"/>
        </w:rPr>
        <w:t>.</w:t>
      </w:r>
      <w:r w:rsidRPr="00B3488C">
        <w:rPr>
          <w:rFonts w:eastAsia="Times New Roman" w:cs="Arial"/>
          <w:color w:val="222222"/>
          <w:lang w:eastAsia="en-GB"/>
        </w:rPr>
        <w:t xml:space="preserve"> Fernández i Marín.</w:t>
      </w:r>
      <w:r>
        <w:rPr>
          <w:rFonts w:eastAsia="Times New Roman" w:cs="Arial"/>
          <w:color w:val="222222"/>
          <w:lang w:eastAsia="en-GB"/>
        </w:rPr>
        <w:t xml:space="preserve"> 2011.</w:t>
      </w:r>
      <w:r w:rsidRPr="00B3488C">
        <w:rPr>
          <w:rFonts w:eastAsia="Times New Roman" w:cs="Arial"/>
          <w:color w:val="222222"/>
          <w:lang w:eastAsia="en-GB"/>
        </w:rPr>
        <w:t xml:space="preserve"> </w:t>
      </w:r>
      <w:r>
        <w:rPr>
          <w:rFonts w:eastAsia="Times New Roman" w:cs="Arial"/>
          <w:color w:val="222222"/>
          <w:lang w:eastAsia="en-GB"/>
        </w:rPr>
        <w:t>‘</w:t>
      </w:r>
      <w:r w:rsidRPr="00B3488C">
        <w:rPr>
          <w:rFonts w:eastAsia="Times New Roman" w:cs="Arial"/>
          <w:color w:val="222222"/>
          <w:lang w:eastAsia="en-GB"/>
        </w:rPr>
        <w:t>The global diffusion of regulatory agencies: channels of transfer and stages of diffusion</w:t>
      </w:r>
      <w:r>
        <w:rPr>
          <w:rFonts w:eastAsia="Times New Roman" w:cs="Arial"/>
          <w:color w:val="222222"/>
          <w:lang w:eastAsia="en-GB"/>
        </w:rPr>
        <w:t>’,</w:t>
      </w:r>
      <w:r w:rsidRPr="00B3488C">
        <w:rPr>
          <w:rFonts w:eastAsia="Times New Roman" w:cs="Arial"/>
          <w:color w:val="222222"/>
          <w:lang w:eastAsia="en-GB"/>
        </w:rPr>
        <w:t xml:space="preserve"> </w:t>
      </w:r>
      <w:r w:rsidRPr="00B3488C">
        <w:rPr>
          <w:rFonts w:eastAsia="Times New Roman" w:cs="Arial"/>
          <w:i/>
          <w:color w:val="222222"/>
          <w:lang w:eastAsia="en-GB"/>
        </w:rPr>
        <w:t>Comparative Political Studies</w:t>
      </w:r>
      <w:r>
        <w:rPr>
          <w:rFonts w:eastAsia="Times New Roman" w:cs="Arial"/>
          <w:color w:val="222222"/>
          <w:lang w:eastAsia="en-GB"/>
        </w:rPr>
        <w:t>,</w:t>
      </w:r>
      <w:r w:rsidRPr="00B3488C">
        <w:rPr>
          <w:rFonts w:eastAsia="Times New Roman" w:cs="Arial"/>
          <w:color w:val="222222"/>
          <w:lang w:eastAsia="en-GB"/>
        </w:rPr>
        <w:t xml:space="preserve"> 44, 10</w:t>
      </w:r>
      <w:r>
        <w:rPr>
          <w:rFonts w:eastAsia="Times New Roman" w:cs="Arial"/>
          <w:color w:val="222222"/>
          <w:lang w:eastAsia="en-GB"/>
        </w:rPr>
        <w:t>,</w:t>
      </w:r>
      <w:r w:rsidRPr="00B3488C">
        <w:rPr>
          <w:rFonts w:eastAsia="Times New Roman" w:cs="Arial"/>
          <w:color w:val="222222"/>
          <w:lang w:eastAsia="en-GB"/>
        </w:rPr>
        <w:t xml:space="preserve"> 1343-1369.</w:t>
      </w:r>
    </w:p>
    <w:p w:rsidR="001E4EC6" w:rsidRDefault="001E4EC6" w:rsidP="00862343">
      <w:pPr>
        <w:rPr>
          <w:rFonts w:eastAsia="Times New Roman" w:cs="Arial"/>
          <w:color w:val="222222"/>
          <w:lang w:eastAsia="en-GB"/>
        </w:rPr>
      </w:pPr>
      <w:r>
        <w:rPr>
          <w:rFonts w:eastAsia="Times New Roman" w:cs="Arial"/>
          <w:color w:val="222222"/>
          <w:lang w:eastAsia="en-GB"/>
        </w:rPr>
        <w:t>Kaye, R.</w:t>
      </w:r>
      <w:r w:rsidRPr="001E4EC6">
        <w:rPr>
          <w:rFonts w:eastAsia="Times New Roman" w:cs="Arial"/>
          <w:color w:val="222222"/>
          <w:lang w:eastAsia="en-GB"/>
        </w:rPr>
        <w:t xml:space="preserve"> 2006. </w:t>
      </w:r>
      <w:r>
        <w:rPr>
          <w:rFonts w:eastAsia="Times New Roman" w:cs="Arial"/>
          <w:color w:val="222222"/>
          <w:lang w:eastAsia="en-GB"/>
        </w:rPr>
        <w:t>‘</w:t>
      </w:r>
      <w:r w:rsidRPr="001E4EC6">
        <w:rPr>
          <w:rFonts w:eastAsia="Times New Roman" w:cs="Arial"/>
          <w:color w:val="222222"/>
          <w:lang w:eastAsia="en-GB"/>
        </w:rPr>
        <w:t>Regulated (self-) regulation: A new paradigm for controlling the professions?</w:t>
      </w:r>
      <w:r>
        <w:rPr>
          <w:rFonts w:eastAsia="Times New Roman" w:cs="Arial"/>
          <w:color w:val="222222"/>
          <w:lang w:eastAsia="en-GB"/>
        </w:rPr>
        <w:t>’,</w:t>
      </w:r>
      <w:r w:rsidRPr="001E4EC6">
        <w:rPr>
          <w:rFonts w:eastAsia="Times New Roman" w:cs="Arial"/>
          <w:color w:val="222222"/>
          <w:lang w:eastAsia="en-GB"/>
        </w:rPr>
        <w:t xml:space="preserve"> </w:t>
      </w:r>
      <w:r w:rsidRPr="001E4EC6">
        <w:rPr>
          <w:rFonts w:eastAsia="Times New Roman" w:cs="Arial"/>
          <w:i/>
          <w:color w:val="222222"/>
          <w:lang w:eastAsia="en-GB"/>
        </w:rPr>
        <w:t>Public Policy and Administration</w:t>
      </w:r>
      <w:r w:rsidRPr="001E4EC6">
        <w:rPr>
          <w:rFonts w:eastAsia="Times New Roman" w:cs="Arial"/>
          <w:color w:val="222222"/>
          <w:lang w:eastAsia="en-GB"/>
        </w:rPr>
        <w:t>, 21</w:t>
      </w:r>
      <w:r>
        <w:rPr>
          <w:rFonts w:eastAsia="Times New Roman" w:cs="Arial"/>
          <w:color w:val="222222"/>
          <w:lang w:eastAsia="en-GB"/>
        </w:rPr>
        <w:t xml:space="preserve">, </w:t>
      </w:r>
      <w:r w:rsidRPr="001E4EC6">
        <w:rPr>
          <w:rFonts w:eastAsia="Times New Roman" w:cs="Arial"/>
          <w:color w:val="222222"/>
          <w:lang w:eastAsia="en-GB"/>
        </w:rPr>
        <w:t>3, 105-119.</w:t>
      </w:r>
    </w:p>
    <w:p w:rsidR="006212C4" w:rsidRDefault="006212C4" w:rsidP="00862343">
      <w:pPr>
        <w:rPr>
          <w:rFonts w:eastAsia="Times New Roman" w:cs="Arial"/>
          <w:color w:val="222222"/>
          <w:lang w:eastAsia="en-GB"/>
        </w:rPr>
      </w:pPr>
      <w:r w:rsidRPr="006212C4">
        <w:rPr>
          <w:rFonts w:eastAsia="Times New Roman" w:cs="Arial"/>
          <w:color w:val="222222"/>
          <w:lang w:eastAsia="en-GB"/>
        </w:rPr>
        <w:t>Karamessini, M. and</w:t>
      </w:r>
      <w:r>
        <w:rPr>
          <w:rFonts w:eastAsia="Times New Roman" w:cs="Arial"/>
          <w:color w:val="222222"/>
          <w:lang w:eastAsia="en-GB"/>
        </w:rPr>
        <w:t xml:space="preserve"> J.</w:t>
      </w:r>
      <w:r w:rsidRPr="006212C4">
        <w:rPr>
          <w:rFonts w:eastAsia="Times New Roman" w:cs="Arial"/>
          <w:color w:val="222222"/>
          <w:lang w:eastAsia="en-GB"/>
        </w:rPr>
        <w:t xml:space="preserve"> Rubery, J. </w:t>
      </w:r>
      <w:r>
        <w:rPr>
          <w:rFonts w:eastAsia="Times New Roman" w:cs="Arial"/>
          <w:color w:val="222222"/>
          <w:lang w:eastAsia="en-GB"/>
        </w:rPr>
        <w:t>(</w:t>
      </w:r>
      <w:r w:rsidRPr="006212C4">
        <w:rPr>
          <w:rFonts w:eastAsia="Times New Roman" w:cs="Arial"/>
          <w:color w:val="222222"/>
          <w:lang w:eastAsia="en-GB"/>
        </w:rPr>
        <w:t>eds.</w:t>
      </w:r>
      <w:r>
        <w:rPr>
          <w:rFonts w:eastAsia="Times New Roman" w:cs="Arial"/>
          <w:color w:val="222222"/>
          <w:lang w:eastAsia="en-GB"/>
        </w:rPr>
        <w:t>).</w:t>
      </w:r>
      <w:r w:rsidRPr="006212C4">
        <w:rPr>
          <w:rFonts w:eastAsia="Times New Roman" w:cs="Arial"/>
          <w:color w:val="222222"/>
          <w:lang w:eastAsia="en-GB"/>
        </w:rPr>
        <w:t xml:space="preserve"> 2013. </w:t>
      </w:r>
      <w:r w:rsidRPr="002A354C">
        <w:rPr>
          <w:rFonts w:eastAsia="Times New Roman" w:cs="Arial"/>
          <w:i/>
          <w:color w:val="222222"/>
          <w:lang w:eastAsia="en-GB"/>
        </w:rPr>
        <w:t>Women and austerity: The economic crisis and the future for gender equality</w:t>
      </w:r>
      <w:r>
        <w:rPr>
          <w:rFonts w:eastAsia="Times New Roman" w:cs="Arial"/>
          <w:color w:val="222222"/>
          <w:lang w:eastAsia="en-GB"/>
        </w:rPr>
        <w:t>.</w:t>
      </w:r>
      <w:r w:rsidRPr="006212C4">
        <w:rPr>
          <w:rFonts w:eastAsia="Times New Roman" w:cs="Arial"/>
          <w:color w:val="222222"/>
          <w:lang w:eastAsia="en-GB"/>
        </w:rPr>
        <w:t xml:space="preserve"> </w:t>
      </w:r>
      <w:r>
        <w:rPr>
          <w:rFonts w:eastAsia="Times New Roman" w:cs="Arial"/>
          <w:color w:val="222222"/>
          <w:lang w:eastAsia="en-GB"/>
        </w:rPr>
        <w:t xml:space="preserve">London: </w:t>
      </w:r>
      <w:r w:rsidRPr="006212C4">
        <w:rPr>
          <w:rFonts w:eastAsia="Times New Roman" w:cs="Arial"/>
          <w:color w:val="222222"/>
          <w:lang w:eastAsia="en-GB"/>
        </w:rPr>
        <w:t>Routledge.</w:t>
      </w:r>
    </w:p>
    <w:p w:rsidR="00871B8E" w:rsidRDefault="00871B8E" w:rsidP="00862343">
      <w:pPr>
        <w:rPr>
          <w:rFonts w:eastAsia="Times New Roman" w:cs="Arial"/>
          <w:color w:val="222222"/>
          <w:lang w:eastAsia="en-GB"/>
        </w:rPr>
      </w:pPr>
      <w:r>
        <w:rPr>
          <w:rFonts w:eastAsia="Times New Roman" w:cs="Arial"/>
          <w:color w:val="222222"/>
          <w:lang w:eastAsia="en-GB"/>
        </w:rPr>
        <w:t>Levi-Faur, D.</w:t>
      </w:r>
      <w:r w:rsidRPr="00871B8E">
        <w:rPr>
          <w:rFonts w:eastAsia="Times New Roman" w:cs="Arial"/>
          <w:color w:val="222222"/>
          <w:lang w:eastAsia="en-GB"/>
        </w:rPr>
        <w:t xml:space="preserve"> 2005. </w:t>
      </w:r>
      <w:r>
        <w:rPr>
          <w:rFonts w:eastAsia="Times New Roman" w:cs="Arial"/>
          <w:color w:val="222222"/>
          <w:lang w:eastAsia="en-GB"/>
        </w:rPr>
        <w:t>“</w:t>
      </w:r>
      <w:r w:rsidRPr="00871B8E">
        <w:rPr>
          <w:rFonts w:eastAsia="Times New Roman" w:cs="Arial"/>
          <w:color w:val="222222"/>
          <w:lang w:eastAsia="en-GB"/>
        </w:rPr>
        <w:t>The global diffusion of regulatory capitalism</w:t>
      </w:r>
      <w:r>
        <w:rPr>
          <w:rFonts w:eastAsia="Times New Roman" w:cs="Arial"/>
          <w:color w:val="222222"/>
          <w:lang w:eastAsia="en-GB"/>
        </w:rPr>
        <w:t>”,</w:t>
      </w:r>
      <w:r w:rsidRPr="00871B8E">
        <w:rPr>
          <w:rFonts w:eastAsia="Times New Roman" w:cs="Arial"/>
          <w:color w:val="222222"/>
          <w:lang w:eastAsia="en-GB"/>
        </w:rPr>
        <w:t xml:space="preserve"> </w:t>
      </w:r>
      <w:r w:rsidRPr="00871B8E">
        <w:rPr>
          <w:rFonts w:eastAsia="Times New Roman" w:cs="Arial"/>
          <w:i/>
          <w:color w:val="222222"/>
          <w:lang w:eastAsia="en-GB"/>
        </w:rPr>
        <w:t>Annals of the American Academy of Political and Social Science</w:t>
      </w:r>
      <w:r w:rsidRPr="00871B8E">
        <w:rPr>
          <w:rFonts w:eastAsia="Times New Roman" w:cs="Arial"/>
          <w:color w:val="222222"/>
          <w:lang w:eastAsia="en-GB"/>
        </w:rPr>
        <w:t>, 598</w:t>
      </w:r>
      <w:r>
        <w:rPr>
          <w:rFonts w:eastAsia="Times New Roman" w:cs="Arial"/>
          <w:color w:val="222222"/>
          <w:lang w:eastAsia="en-GB"/>
        </w:rPr>
        <w:t xml:space="preserve">, </w:t>
      </w:r>
      <w:r w:rsidRPr="00871B8E">
        <w:rPr>
          <w:rFonts w:eastAsia="Times New Roman" w:cs="Arial"/>
          <w:color w:val="222222"/>
          <w:lang w:eastAsia="en-GB"/>
        </w:rPr>
        <w:t>1</w:t>
      </w:r>
      <w:r>
        <w:rPr>
          <w:rFonts w:eastAsia="Times New Roman" w:cs="Arial"/>
          <w:color w:val="222222"/>
          <w:lang w:eastAsia="en-GB"/>
        </w:rPr>
        <w:t xml:space="preserve">, </w:t>
      </w:r>
      <w:r w:rsidRPr="00871B8E">
        <w:rPr>
          <w:rFonts w:eastAsia="Times New Roman" w:cs="Arial"/>
          <w:color w:val="222222"/>
          <w:lang w:eastAsia="en-GB"/>
        </w:rPr>
        <w:t>12-32.</w:t>
      </w:r>
    </w:p>
    <w:p w:rsidR="00871B8E" w:rsidRDefault="00871B8E" w:rsidP="00862343">
      <w:pPr>
        <w:rPr>
          <w:rFonts w:eastAsia="Times New Roman" w:cs="Arial"/>
          <w:color w:val="222222"/>
          <w:lang w:eastAsia="en-GB"/>
        </w:rPr>
      </w:pPr>
      <w:r>
        <w:rPr>
          <w:rFonts w:eastAsia="Times New Roman" w:cs="Arial"/>
          <w:color w:val="222222"/>
          <w:lang w:eastAsia="en-GB"/>
        </w:rPr>
        <w:t xml:space="preserve">Levi-Faur, D. 2013. ‘The odyssey of the regulatory state: From a “thin” monomorphic concept to a “thick” and polymorphic concept’, </w:t>
      </w:r>
      <w:r>
        <w:rPr>
          <w:rFonts w:eastAsia="Times New Roman" w:cs="Arial"/>
          <w:i/>
          <w:color w:val="222222"/>
          <w:lang w:eastAsia="en-GB"/>
        </w:rPr>
        <w:t>Law and Policy</w:t>
      </w:r>
      <w:r>
        <w:rPr>
          <w:rFonts w:eastAsia="Times New Roman" w:cs="Arial"/>
          <w:color w:val="222222"/>
          <w:lang w:eastAsia="en-GB"/>
        </w:rPr>
        <w:t>, 35, 1, 29-50.</w:t>
      </w:r>
    </w:p>
    <w:p w:rsidR="00E07421" w:rsidRPr="00E07421" w:rsidRDefault="001A19F6" w:rsidP="00862343">
      <w:pPr>
        <w:rPr>
          <w:rFonts w:eastAsia="Times New Roman" w:cs="Arial"/>
          <w:color w:val="222222"/>
          <w:lang w:eastAsia="en-GB"/>
        </w:rPr>
      </w:pPr>
      <w:r>
        <w:rPr>
          <w:rFonts w:eastAsia="Times New Roman" w:cs="Arial"/>
          <w:color w:val="222222"/>
          <w:lang w:eastAsia="en-GB"/>
        </w:rPr>
        <w:lastRenderedPageBreak/>
        <w:t xml:space="preserve">Levi-Faur, D. </w:t>
      </w:r>
      <w:r w:rsidR="00E07421">
        <w:rPr>
          <w:rFonts w:eastAsia="Times New Roman" w:cs="Arial"/>
          <w:color w:val="222222"/>
          <w:lang w:eastAsia="en-GB"/>
        </w:rPr>
        <w:t xml:space="preserve">2014. ‘The welfare state: A regulatory perspective’, </w:t>
      </w:r>
      <w:r w:rsidR="00E07421">
        <w:rPr>
          <w:rFonts w:eastAsia="Times New Roman" w:cs="Arial"/>
          <w:i/>
          <w:color w:val="222222"/>
          <w:lang w:eastAsia="en-GB"/>
        </w:rPr>
        <w:t>Public Administration</w:t>
      </w:r>
      <w:r w:rsidR="00E07421">
        <w:rPr>
          <w:rFonts w:eastAsia="Times New Roman" w:cs="Arial"/>
          <w:color w:val="222222"/>
          <w:lang w:eastAsia="en-GB"/>
        </w:rPr>
        <w:t xml:space="preserve">, 92, 3, 599-614. </w:t>
      </w:r>
    </w:p>
    <w:p w:rsidR="00EE6070" w:rsidRPr="00EE6070" w:rsidRDefault="00EE6070" w:rsidP="00862343">
      <w:pPr>
        <w:rPr>
          <w:rFonts w:eastAsia="Times New Roman" w:cs="Arial"/>
          <w:color w:val="222222"/>
          <w:lang w:eastAsia="en-GB"/>
        </w:rPr>
      </w:pPr>
      <w:r>
        <w:rPr>
          <w:rFonts w:eastAsia="Times New Roman" w:cs="Arial"/>
          <w:color w:val="222222"/>
          <w:lang w:eastAsia="en-GB"/>
        </w:rPr>
        <w:t>Li, L. 2015. ‘</w:t>
      </w:r>
      <w:r>
        <w:t xml:space="preserve">State rescaling and national new area development in China’, </w:t>
      </w:r>
      <w:r>
        <w:rPr>
          <w:i/>
        </w:rPr>
        <w:t>Habitat International</w:t>
      </w:r>
      <w:r>
        <w:t>, 50, 1, 80-9.</w:t>
      </w:r>
    </w:p>
    <w:p w:rsidR="00C97AED" w:rsidRDefault="00C97AED" w:rsidP="00862343">
      <w:pPr>
        <w:rPr>
          <w:rFonts w:eastAsia="Times New Roman" w:cs="Arial"/>
          <w:color w:val="222222"/>
          <w:lang w:eastAsia="en-GB"/>
        </w:rPr>
      </w:pPr>
      <w:r>
        <w:rPr>
          <w:rFonts w:eastAsia="Times New Roman" w:cs="Arial"/>
          <w:color w:val="222222"/>
          <w:lang w:eastAsia="en-GB"/>
        </w:rPr>
        <w:t>Lodge, M.</w:t>
      </w:r>
      <w:r w:rsidRPr="00C97AED">
        <w:rPr>
          <w:rFonts w:eastAsia="Times New Roman" w:cs="Arial"/>
          <w:color w:val="222222"/>
          <w:lang w:eastAsia="en-GB"/>
        </w:rPr>
        <w:t xml:space="preserve"> 2002. </w:t>
      </w:r>
      <w:r>
        <w:rPr>
          <w:rFonts w:eastAsia="Times New Roman" w:cs="Arial"/>
          <w:color w:val="222222"/>
          <w:lang w:eastAsia="en-GB"/>
        </w:rPr>
        <w:t>‘</w:t>
      </w:r>
      <w:r w:rsidRPr="00C97AED">
        <w:rPr>
          <w:rFonts w:eastAsia="Times New Roman" w:cs="Arial"/>
          <w:color w:val="222222"/>
          <w:lang w:eastAsia="en-GB"/>
        </w:rPr>
        <w:t>Varieties of Europeanisation and the national regulatory state</w:t>
      </w:r>
      <w:r>
        <w:rPr>
          <w:rFonts w:eastAsia="Times New Roman" w:cs="Arial"/>
          <w:color w:val="222222"/>
          <w:lang w:eastAsia="en-GB"/>
        </w:rPr>
        <w:t>’,</w:t>
      </w:r>
      <w:r w:rsidRPr="00C97AED">
        <w:rPr>
          <w:rFonts w:eastAsia="Times New Roman" w:cs="Arial"/>
          <w:color w:val="222222"/>
          <w:lang w:eastAsia="en-GB"/>
        </w:rPr>
        <w:t xml:space="preserve"> </w:t>
      </w:r>
      <w:r w:rsidRPr="00C97AED">
        <w:rPr>
          <w:rFonts w:eastAsia="Times New Roman" w:cs="Arial"/>
          <w:i/>
          <w:color w:val="222222"/>
          <w:lang w:eastAsia="en-GB"/>
        </w:rPr>
        <w:t>Public Policy and Administration</w:t>
      </w:r>
      <w:r w:rsidRPr="00C97AED">
        <w:rPr>
          <w:rFonts w:eastAsia="Times New Roman" w:cs="Arial"/>
          <w:color w:val="222222"/>
          <w:lang w:eastAsia="en-GB"/>
        </w:rPr>
        <w:t>, 17</w:t>
      </w:r>
      <w:r>
        <w:rPr>
          <w:rFonts w:eastAsia="Times New Roman" w:cs="Arial"/>
          <w:color w:val="222222"/>
          <w:lang w:eastAsia="en-GB"/>
        </w:rPr>
        <w:t xml:space="preserve">, </w:t>
      </w:r>
      <w:r w:rsidRPr="00C97AED">
        <w:rPr>
          <w:rFonts w:eastAsia="Times New Roman" w:cs="Arial"/>
          <w:color w:val="222222"/>
          <w:lang w:eastAsia="en-GB"/>
        </w:rPr>
        <w:t>2, 43-67.</w:t>
      </w:r>
    </w:p>
    <w:p w:rsidR="00555DAC" w:rsidRDefault="00555DAC" w:rsidP="00862343">
      <w:pPr>
        <w:rPr>
          <w:rFonts w:eastAsia="Times New Roman" w:cs="Arial"/>
          <w:color w:val="222222"/>
          <w:lang w:eastAsia="en-GB"/>
        </w:rPr>
      </w:pPr>
      <w:r w:rsidRPr="00555DAC">
        <w:rPr>
          <w:rFonts w:eastAsia="Times New Roman" w:cs="Arial"/>
          <w:color w:val="222222"/>
          <w:lang w:eastAsia="en-GB"/>
        </w:rPr>
        <w:t xml:space="preserve">Lodge, M. 2008. </w:t>
      </w:r>
      <w:r>
        <w:rPr>
          <w:rFonts w:eastAsia="Times New Roman" w:cs="Arial"/>
          <w:color w:val="222222"/>
          <w:lang w:eastAsia="en-GB"/>
        </w:rPr>
        <w:t>‘</w:t>
      </w:r>
      <w:r w:rsidRPr="00555DAC">
        <w:rPr>
          <w:rFonts w:eastAsia="Times New Roman" w:cs="Arial"/>
          <w:color w:val="222222"/>
          <w:lang w:eastAsia="en-GB"/>
        </w:rPr>
        <w:t>Regulation, the regulatory state and European politics</w:t>
      </w:r>
      <w:r>
        <w:rPr>
          <w:rFonts w:eastAsia="Times New Roman" w:cs="Arial"/>
          <w:color w:val="222222"/>
          <w:lang w:eastAsia="en-GB"/>
        </w:rPr>
        <w:t>’,</w:t>
      </w:r>
      <w:r w:rsidRPr="00555DAC">
        <w:rPr>
          <w:rFonts w:eastAsia="Times New Roman" w:cs="Arial"/>
          <w:color w:val="222222"/>
          <w:lang w:eastAsia="en-GB"/>
        </w:rPr>
        <w:t xml:space="preserve"> </w:t>
      </w:r>
      <w:r w:rsidRPr="00555DAC">
        <w:rPr>
          <w:rFonts w:eastAsia="Times New Roman" w:cs="Arial"/>
          <w:i/>
          <w:color w:val="222222"/>
          <w:lang w:eastAsia="en-GB"/>
        </w:rPr>
        <w:t>West European Politics</w:t>
      </w:r>
      <w:r w:rsidRPr="00555DAC">
        <w:rPr>
          <w:rFonts w:eastAsia="Times New Roman" w:cs="Arial"/>
          <w:color w:val="222222"/>
          <w:lang w:eastAsia="en-GB"/>
        </w:rPr>
        <w:t>, 31</w:t>
      </w:r>
      <w:r>
        <w:rPr>
          <w:rFonts w:eastAsia="Times New Roman" w:cs="Arial"/>
          <w:color w:val="222222"/>
          <w:lang w:eastAsia="en-GB"/>
        </w:rPr>
        <w:t xml:space="preserve">, </w:t>
      </w:r>
      <w:r w:rsidRPr="00555DAC">
        <w:rPr>
          <w:rFonts w:eastAsia="Times New Roman" w:cs="Arial"/>
          <w:color w:val="222222"/>
          <w:lang w:eastAsia="en-GB"/>
        </w:rPr>
        <w:t>1, 280-301.</w:t>
      </w:r>
    </w:p>
    <w:p w:rsidR="002A1141" w:rsidRPr="002A1141" w:rsidRDefault="002A1141" w:rsidP="00862343">
      <w:pPr>
        <w:rPr>
          <w:rFonts w:eastAsia="Times New Roman" w:cs="Arial"/>
          <w:color w:val="222222"/>
          <w:lang w:eastAsia="en-GB"/>
        </w:rPr>
      </w:pPr>
      <w:r>
        <w:rPr>
          <w:rFonts w:eastAsia="Times New Roman" w:cs="Arial"/>
          <w:color w:val="222222"/>
          <w:lang w:eastAsia="en-GB"/>
        </w:rPr>
        <w:t xml:space="preserve">Leisering, L. and D. Mabbett. 2011. ‘Towards a new regulatory state in old age security? Exploring the issues’, in L. Leisering (ed), </w:t>
      </w:r>
      <w:r>
        <w:rPr>
          <w:rFonts w:eastAsia="Times New Roman" w:cs="Arial"/>
          <w:i/>
          <w:color w:val="222222"/>
          <w:lang w:eastAsia="en-GB"/>
        </w:rPr>
        <w:t>The New Regulatory State: Regulating Pensions in Germany and the UK</w:t>
      </w:r>
      <w:r>
        <w:rPr>
          <w:rFonts w:eastAsia="Times New Roman" w:cs="Arial"/>
          <w:color w:val="222222"/>
          <w:lang w:eastAsia="en-GB"/>
        </w:rPr>
        <w:t>. Basingstoke: Palgrave, 1-30.</w:t>
      </w:r>
    </w:p>
    <w:p w:rsidR="00064264" w:rsidRPr="00064264" w:rsidRDefault="00064264" w:rsidP="00862343">
      <w:pPr>
        <w:rPr>
          <w:rFonts w:eastAsia="Times New Roman" w:cs="Arial"/>
          <w:color w:val="222222"/>
          <w:lang w:eastAsia="en-GB"/>
        </w:rPr>
      </w:pPr>
      <w:r>
        <w:rPr>
          <w:rFonts w:eastAsia="Times New Roman" w:cs="Arial"/>
          <w:color w:val="222222"/>
          <w:lang w:eastAsia="en-GB"/>
        </w:rPr>
        <w:t xml:space="preserve">Magnusson, W. 2010. ‘Scaling government to politics’. In R. Kiel and R. Mahon (eds) </w:t>
      </w:r>
      <w:r>
        <w:rPr>
          <w:rFonts w:eastAsia="Times New Roman" w:cs="Arial"/>
          <w:i/>
          <w:color w:val="222222"/>
          <w:lang w:eastAsia="en-GB"/>
        </w:rPr>
        <w:t>Leviathan Undone</w:t>
      </w:r>
      <w:r>
        <w:rPr>
          <w:rFonts w:eastAsia="Times New Roman" w:cs="Arial"/>
          <w:color w:val="222222"/>
          <w:lang w:eastAsia="en-GB"/>
        </w:rPr>
        <w:t>. Vancouver: UBC Press, 105-20.</w:t>
      </w:r>
    </w:p>
    <w:p w:rsidR="00E054C1" w:rsidRDefault="00E054C1" w:rsidP="00862343">
      <w:pPr>
        <w:rPr>
          <w:rFonts w:eastAsia="Times New Roman" w:cs="Arial"/>
          <w:color w:val="222222"/>
          <w:lang w:eastAsia="en-GB"/>
        </w:rPr>
      </w:pPr>
      <w:r>
        <w:rPr>
          <w:rFonts w:eastAsia="Times New Roman" w:cs="Arial"/>
          <w:color w:val="222222"/>
          <w:lang w:eastAsia="en-GB"/>
        </w:rPr>
        <w:t xml:space="preserve">Majone, G. 1994. ‘The rise of the regulatory state in Europe’, </w:t>
      </w:r>
      <w:r>
        <w:rPr>
          <w:rFonts w:eastAsia="Times New Roman" w:cs="Arial"/>
          <w:i/>
          <w:iCs/>
          <w:color w:val="222222"/>
          <w:lang w:eastAsia="en-GB"/>
        </w:rPr>
        <w:t>West European Politics</w:t>
      </w:r>
      <w:r>
        <w:rPr>
          <w:rFonts w:eastAsia="Times New Roman" w:cs="Arial"/>
          <w:color w:val="222222"/>
          <w:lang w:eastAsia="en-GB"/>
        </w:rPr>
        <w:t xml:space="preserve">, </w:t>
      </w:r>
      <w:r>
        <w:rPr>
          <w:rFonts w:eastAsia="Times New Roman" w:cs="Arial"/>
          <w:iCs/>
          <w:color w:val="222222"/>
          <w:lang w:eastAsia="en-GB"/>
        </w:rPr>
        <w:t>17</w:t>
      </w:r>
      <w:r>
        <w:rPr>
          <w:rFonts w:eastAsia="Times New Roman" w:cs="Arial"/>
          <w:color w:val="222222"/>
          <w:lang w:eastAsia="en-GB"/>
        </w:rPr>
        <w:t>, 3, 77-101.</w:t>
      </w:r>
    </w:p>
    <w:p w:rsidR="00E054C1" w:rsidRDefault="00E054C1" w:rsidP="00862343">
      <w:pPr>
        <w:rPr>
          <w:rFonts w:eastAsia="Times New Roman" w:cs="Arial"/>
          <w:color w:val="222222"/>
          <w:lang w:eastAsia="en-GB"/>
        </w:rPr>
      </w:pPr>
      <w:r>
        <w:rPr>
          <w:rFonts w:eastAsia="Times New Roman" w:cs="Arial"/>
          <w:color w:val="222222"/>
          <w:lang w:eastAsia="en-GB"/>
        </w:rPr>
        <w:t xml:space="preserve">Majone, G. 1997. ‘From the positive to the regulatory state: causes and consequences of changes in the mode of governance’, </w:t>
      </w:r>
      <w:r>
        <w:rPr>
          <w:rFonts w:eastAsia="Times New Roman" w:cs="Arial"/>
          <w:i/>
          <w:iCs/>
          <w:color w:val="222222"/>
          <w:lang w:eastAsia="en-GB"/>
        </w:rPr>
        <w:t xml:space="preserve">Journal of </w:t>
      </w:r>
      <w:r w:rsidR="006C4C8A">
        <w:rPr>
          <w:rFonts w:eastAsia="Times New Roman" w:cs="Arial"/>
          <w:i/>
          <w:iCs/>
          <w:color w:val="222222"/>
          <w:lang w:eastAsia="en-GB"/>
        </w:rPr>
        <w:t>P</w:t>
      </w:r>
      <w:r>
        <w:rPr>
          <w:rFonts w:eastAsia="Times New Roman" w:cs="Arial"/>
          <w:i/>
          <w:iCs/>
          <w:color w:val="222222"/>
          <w:lang w:eastAsia="en-GB"/>
        </w:rPr>
        <w:t xml:space="preserve">ublic </w:t>
      </w:r>
      <w:r w:rsidR="006C4C8A">
        <w:rPr>
          <w:rFonts w:eastAsia="Times New Roman" w:cs="Arial"/>
          <w:i/>
          <w:iCs/>
          <w:color w:val="222222"/>
          <w:lang w:eastAsia="en-GB"/>
        </w:rPr>
        <w:t>P</w:t>
      </w:r>
      <w:r>
        <w:rPr>
          <w:rFonts w:eastAsia="Times New Roman" w:cs="Arial"/>
          <w:i/>
          <w:iCs/>
          <w:color w:val="222222"/>
          <w:lang w:eastAsia="en-GB"/>
        </w:rPr>
        <w:t>olicy</w:t>
      </w:r>
      <w:r>
        <w:rPr>
          <w:rFonts w:eastAsia="Times New Roman" w:cs="Arial"/>
          <w:color w:val="222222"/>
          <w:lang w:eastAsia="en-GB"/>
        </w:rPr>
        <w:t xml:space="preserve">, </w:t>
      </w:r>
      <w:r>
        <w:rPr>
          <w:rFonts w:eastAsia="Times New Roman" w:cs="Arial"/>
          <w:iCs/>
          <w:color w:val="222222"/>
          <w:lang w:eastAsia="en-GB"/>
        </w:rPr>
        <w:t>17</w:t>
      </w:r>
      <w:r>
        <w:rPr>
          <w:rFonts w:eastAsia="Times New Roman" w:cs="Arial"/>
          <w:color w:val="222222"/>
          <w:lang w:eastAsia="en-GB"/>
        </w:rPr>
        <w:t>, 2, 139-167.</w:t>
      </w:r>
    </w:p>
    <w:p w:rsidR="001F4A53" w:rsidRPr="001F4A53" w:rsidRDefault="001F4A53" w:rsidP="00862343">
      <w:pPr>
        <w:rPr>
          <w:rFonts w:eastAsia="Times New Roman" w:cs="Arial"/>
          <w:color w:val="222222"/>
          <w:lang w:eastAsia="en-GB"/>
        </w:rPr>
      </w:pPr>
      <w:r>
        <w:rPr>
          <w:rFonts w:eastAsia="Times New Roman" w:cs="Arial"/>
          <w:color w:val="222222"/>
          <w:lang w:eastAsia="en-GB"/>
        </w:rPr>
        <w:t xml:space="preserve">Malpass, P. 2005. </w:t>
      </w:r>
      <w:r>
        <w:rPr>
          <w:rFonts w:eastAsia="Times New Roman" w:cs="Arial"/>
          <w:i/>
          <w:color w:val="222222"/>
          <w:lang w:eastAsia="en-GB"/>
        </w:rPr>
        <w:t>Housing and the Welfare State: The Development of Housing Policy in Britain</w:t>
      </w:r>
      <w:r>
        <w:rPr>
          <w:rFonts w:eastAsia="Times New Roman" w:cs="Arial"/>
          <w:color w:val="222222"/>
          <w:lang w:eastAsia="en-GB"/>
        </w:rPr>
        <w:t>. Basingstoke: Palgrave.</w:t>
      </w:r>
    </w:p>
    <w:p w:rsidR="00E41412" w:rsidRDefault="00E41412" w:rsidP="00862343">
      <w:pPr>
        <w:rPr>
          <w:rFonts w:eastAsia="Times New Roman" w:cs="Arial"/>
          <w:color w:val="222222"/>
          <w:lang w:eastAsia="en-GB"/>
        </w:rPr>
      </w:pPr>
      <w:r w:rsidRPr="00E41412">
        <w:rPr>
          <w:rFonts w:eastAsia="Times New Roman" w:cs="Arial"/>
          <w:color w:val="222222"/>
          <w:lang w:eastAsia="en-GB"/>
        </w:rPr>
        <w:t>Malpass, P</w:t>
      </w:r>
      <w:r>
        <w:rPr>
          <w:rFonts w:eastAsia="Times New Roman" w:cs="Arial"/>
          <w:color w:val="222222"/>
          <w:lang w:eastAsia="en-GB"/>
        </w:rPr>
        <w:t>. and D.</w:t>
      </w:r>
      <w:r w:rsidRPr="00E41412">
        <w:rPr>
          <w:rFonts w:eastAsia="Times New Roman" w:cs="Arial"/>
          <w:color w:val="222222"/>
          <w:lang w:eastAsia="en-GB"/>
        </w:rPr>
        <w:t xml:space="preserve"> Mullins. 2002. </w:t>
      </w:r>
      <w:r>
        <w:rPr>
          <w:rFonts w:eastAsia="Times New Roman" w:cs="Arial"/>
          <w:color w:val="222222"/>
          <w:lang w:eastAsia="en-GB"/>
        </w:rPr>
        <w:t>‘</w:t>
      </w:r>
      <w:r w:rsidRPr="00E41412">
        <w:rPr>
          <w:rFonts w:eastAsia="Times New Roman" w:cs="Arial"/>
          <w:color w:val="222222"/>
          <w:lang w:eastAsia="en-GB"/>
        </w:rPr>
        <w:t>Local Authority Housing Stock Transfer in the UK: From Local Initiative to National Policy</w:t>
      </w:r>
      <w:r>
        <w:rPr>
          <w:rFonts w:eastAsia="Times New Roman" w:cs="Arial"/>
          <w:color w:val="222222"/>
          <w:lang w:eastAsia="en-GB"/>
        </w:rPr>
        <w:t>’,</w:t>
      </w:r>
      <w:r w:rsidRPr="00E41412">
        <w:rPr>
          <w:rFonts w:eastAsia="Times New Roman" w:cs="Arial"/>
          <w:color w:val="222222"/>
          <w:lang w:eastAsia="en-GB"/>
        </w:rPr>
        <w:t xml:space="preserve"> </w:t>
      </w:r>
      <w:r w:rsidRPr="00E41412">
        <w:rPr>
          <w:rFonts w:eastAsia="Times New Roman" w:cs="Arial"/>
          <w:i/>
          <w:color w:val="222222"/>
          <w:lang w:eastAsia="en-GB"/>
        </w:rPr>
        <w:t>Housing Studies</w:t>
      </w:r>
      <w:r>
        <w:rPr>
          <w:rFonts w:eastAsia="Times New Roman" w:cs="Arial"/>
          <w:color w:val="222222"/>
          <w:lang w:eastAsia="en-GB"/>
        </w:rPr>
        <w:t>,</w:t>
      </w:r>
      <w:r w:rsidRPr="00E41412">
        <w:rPr>
          <w:rFonts w:eastAsia="Times New Roman" w:cs="Arial"/>
          <w:color w:val="222222"/>
          <w:lang w:eastAsia="en-GB"/>
        </w:rPr>
        <w:t xml:space="preserve"> 17</w:t>
      </w:r>
      <w:r>
        <w:rPr>
          <w:rFonts w:eastAsia="Times New Roman" w:cs="Arial"/>
          <w:color w:val="222222"/>
          <w:lang w:eastAsia="en-GB"/>
        </w:rPr>
        <w:t xml:space="preserve">, </w:t>
      </w:r>
      <w:r w:rsidRPr="00E41412">
        <w:rPr>
          <w:rFonts w:eastAsia="Times New Roman" w:cs="Arial"/>
          <w:color w:val="222222"/>
          <w:lang w:eastAsia="en-GB"/>
        </w:rPr>
        <w:t>4</w:t>
      </w:r>
      <w:r>
        <w:rPr>
          <w:rFonts w:eastAsia="Times New Roman" w:cs="Arial"/>
          <w:color w:val="222222"/>
          <w:lang w:eastAsia="en-GB"/>
        </w:rPr>
        <w:t>,</w:t>
      </w:r>
      <w:r w:rsidRPr="00E41412">
        <w:rPr>
          <w:rFonts w:eastAsia="Times New Roman" w:cs="Arial"/>
          <w:color w:val="222222"/>
          <w:lang w:eastAsia="en-GB"/>
        </w:rPr>
        <w:t xml:space="preserve"> 673-86.</w:t>
      </w:r>
    </w:p>
    <w:p w:rsidR="002C71E3" w:rsidRDefault="002C71E3" w:rsidP="00862343">
      <w:pPr>
        <w:rPr>
          <w:rFonts w:eastAsia="Times New Roman" w:cs="Arial"/>
          <w:color w:val="222222"/>
          <w:lang w:eastAsia="en-GB"/>
        </w:rPr>
      </w:pPr>
      <w:r>
        <w:rPr>
          <w:rFonts w:eastAsia="Times New Roman" w:cs="Arial"/>
          <w:color w:val="222222"/>
          <w:lang w:eastAsia="en-GB"/>
        </w:rPr>
        <w:t>Mansfield, B.</w:t>
      </w:r>
      <w:r w:rsidRPr="002C71E3">
        <w:rPr>
          <w:rFonts w:eastAsia="Times New Roman" w:cs="Arial"/>
          <w:color w:val="222222"/>
          <w:lang w:eastAsia="en-GB"/>
        </w:rPr>
        <w:t xml:space="preserve"> 2005. </w:t>
      </w:r>
      <w:r>
        <w:rPr>
          <w:rFonts w:eastAsia="Times New Roman" w:cs="Arial"/>
          <w:color w:val="222222"/>
          <w:lang w:eastAsia="en-GB"/>
        </w:rPr>
        <w:t>‘</w:t>
      </w:r>
      <w:r w:rsidRPr="002C71E3">
        <w:rPr>
          <w:rFonts w:eastAsia="Times New Roman" w:cs="Arial"/>
          <w:color w:val="222222"/>
          <w:lang w:eastAsia="en-GB"/>
        </w:rPr>
        <w:t>Beyond rescaling: reintegrating the</w:t>
      </w:r>
      <w:r>
        <w:rPr>
          <w:rFonts w:eastAsia="Times New Roman" w:cs="Arial"/>
          <w:color w:val="222222"/>
          <w:lang w:eastAsia="en-GB"/>
        </w:rPr>
        <w:t xml:space="preserve"> national </w:t>
      </w:r>
      <w:r w:rsidRPr="002C71E3">
        <w:rPr>
          <w:rFonts w:eastAsia="Times New Roman" w:cs="Arial"/>
          <w:color w:val="222222"/>
          <w:lang w:eastAsia="en-GB"/>
        </w:rPr>
        <w:t>as a dimension of scalar relations</w:t>
      </w:r>
      <w:r>
        <w:rPr>
          <w:rFonts w:eastAsia="Times New Roman" w:cs="Arial"/>
          <w:color w:val="222222"/>
          <w:lang w:eastAsia="en-GB"/>
        </w:rPr>
        <w:t>’,</w:t>
      </w:r>
      <w:r w:rsidRPr="002C71E3">
        <w:rPr>
          <w:rFonts w:eastAsia="Times New Roman" w:cs="Arial"/>
          <w:color w:val="222222"/>
          <w:lang w:eastAsia="en-GB"/>
        </w:rPr>
        <w:t xml:space="preserve"> </w:t>
      </w:r>
      <w:r w:rsidRPr="002C71E3">
        <w:rPr>
          <w:rFonts w:eastAsia="Times New Roman" w:cs="Arial"/>
          <w:i/>
          <w:color w:val="222222"/>
          <w:lang w:eastAsia="en-GB"/>
        </w:rPr>
        <w:t>Progress in Human Geography</w:t>
      </w:r>
      <w:r w:rsidRPr="002C71E3">
        <w:rPr>
          <w:rFonts w:eastAsia="Times New Roman" w:cs="Arial"/>
          <w:color w:val="222222"/>
          <w:lang w:eastAsia="en-GB"/>
        </w:rPr>
        <w:t>, 29</w:t>
      </w:r>
      <w:r>
        <w:rPr>
          <w:rFonts w:eastAsia="Times New Roman" w:cs="Arial"/>
          <w:color w:val="222222"/>
          <w:lang w:eastAsia="en-GB"/>
        </w:rPr>
        <w:t xml:space="preserve">, </w:t>
      </w:r>
      <w:r w:rsidRPr="002C71E3">
        <w:rPr>
          <w:rFonts w:eastAsia="Times New Roman" w:cs="Arial"/>
          <w:color w:val="222222"/>
          <w:lang w:eastAsia="en-GB"/>
        </w:rPr>
        <w:t>4</w:t>
      </w:r>
      <w:r>
        <w:rPr>
          <w:rFonts w:eastAsia="Times New Roman" w:cs="Arial"/>
          <w:color w:val="222222"/>
          <w:lang w:eastAsia="en-GB"/>
        </w:rPr>
        <w:t xml:space="preserve">, </w:t>
      </w:r>
      <w:r w:rsidRPr="002C71E3">
        <w:rPr>
          <w:rFonts w:eastAsia="Times New Roman" w:cs="Arial"/>
          <w:color w:val="222222"/>
          <w:lang w:eastAsia="en-GB"/>
        </w:rPr>
        <w:t>458-473.</w:t>
      </w:r>
    </w:p>
    <w:p w:rsidR="004B1AFD" w:rsidRDefault="004B1AFD" w:rsidP="00862343">
      <w:pPr>
        <w:rPr>
          <w:rFonts w:eastAsia="Times New Roman" w:cs="Arial"/>
          <w:color w:val="222222"/>
          <w:lang w:eastAsia="en-GB"/>
        </w:rPr>
      </w:pPr>
      <w:r w:rsidRPr="004B1AFD">
        <w:rPr>
          <w:rFonts w:eastAsia="Times New Roman" w:cs="Arial"/>
          <w:color w:val="222222"/>
          <w:lang w:eastAsia="en-GB"/>
        </w:rPr>
        <w:t xml:space="preserve">Manville, G., </w:t>
      </w:r>
      <w:r>
        <w:rPr>
          <w:rFonts w:eastAsia="Times New Roman" w:cs="Arial"/>
          <w:color w:val="222222"/>
          <w:lang w:eastAsia="en-GB"/>
        </w:rPr>
        <w:t xml:space="preserve">R. </w:t>
      </w:r>
      <w:r w:rsidRPr="004B1AFD">
        <w:rPr>
          <w:rFonts w:eastAsia="Times New Roman" w:cs="Arial"/>
          <w:color w:val="222222"/>
          <w:lang w:eastAsia="en-GB"/>
        </w:rPr>
        <w:t>Greatbanks</w:t>
      </w:r>
      <w:r>
        <w:rPr>
          <w:rFonts w:eastAsia="Times New Roman" w:cs="Arial"/>
          <w:color w:val="222222"/>
          <w:lang w:eastAsia="en-GB"/>
        </w:rPr>
        <w:t xml:space="preserve">, T. </w:t>
      </w:r>
      <w:r w:rsidRPr="004B1AFD">
        <w:rPr>
          <w:rFonts w:eastAsia="Times New Roman" w:cs="Arial"/>
          <w:color w:val="222222"/>
          <w:lang w:eastAsia="en-GB"/>
        </w:rPr>
        <w:t>Wainwright, and</w:t>
      </w:r>
      <w:r>
        <w:rPr>
          <w:rFonts w:eastAsia="Times New Roman" w:cs="Arial"/>
          <w:color w:val="222222"/>
          <w:lang w:eastAsia="en-GB"/>
        </w:rPr>
        <w:t xml:space="preserve"> M.</w:t>
      </w:r>
      <w:r w:rsidRPr="004B1AFD">
        <w:rPr>
          <w:rFonts w:eastAsia="Times New Roman" w:cs="Arial"/>
          <w:color w:val="222222"/>
          <w:lang w:eastAsia="en-GB"/>
        </w:rPr>
        <w:t xml:space="preserve"> Broad</w:t>
      </w:r>
      <w:r>
        <w:rPr>
          <w:rFonts w:eastAsia="Times New Roman" w:cs="Arial"/>
          <w:color w:val="222222"/>
          <w:lang w:eastAsia="en-GB"/>
        </w:rPr>
        <w:t>.</w:t>
      </w:r>
      <w:r w:rsidRPr="004B1AFD">
        <w:rPr>
          <w:rFonts w:eastAsia="Times New Roman" w:cs="Arial"/>
          <w:color w:val="222222"/>
          <w:lang w:eastAsia="en-GB"/>
        </w:rPr>
        <w:t xml:space="preserve"> 2016. </w:t>
      </w:r>
      <w:r>
        <w:rPr>
          <w:rFonts w:eastAsia="Times New Roman" w:cs="Arial"/>
          <w:color w:val="222222"/>
          <w:lang w:eastAsia="en-GB"/>
        </w:rPr>
        <w:t>‘</w:t>
      </w:r>
      <w:r w:rsidRPr="004B1AFD">
        <w:rPr>
          <w:rFonts w:eastAsia="Times New Roman" w:cs="Arial"/>
          <w:color w:val="222222"/>
          <w:lang w:eastAsia="en-GB"/>
        </w:rPr>
        <w:t>Visual performance management in housing associations: a crisis of legitimation or the shape of things to come</w:t>
      </w:r>
      <w:r>
        <w:rPr>
          <w:rFonts w:eastAsia="Times New Roman" w:cs="Arial"/>
          <w:color w:val="222222"/>
          <w:lang w:eastAsia="en-GB"/>
        </w:rPr>
        <w:t>’,</w:t>
      </w:r>
      <w:r w:rsidRPr="004B1AFD">
        <w:rPr>
          <w:rFonts w:eastAsia="Times New Roman" w:cs="Arial"/>
          <w:color w:val="222222"/>
          <w:lang w:eastAsia="en-GB"/>
        </w:rPr>
        <w:t xml:space="preserve"> </w:t>
      </w:r>
      <w:r w:rsidRPr="004B1AFD">
        <w:rPr>
          <w:rFonts w:eastAsia="Times New Roman" w:cs="Arial"/>
          <w:i/>
          <w:color w:val="222222"/>
          <w:lang w:eastAsia="en-GB"/>
        </w:rPr>
        <w:t>Public Money &amp; Management</w:t>
      </w:r>
      <w:r w:rsidRPr="004B1AFD">
        <w:rPr>
          <w:rFonts w:eastAsia="Times New Roman" w:cs="Arial"/>
          <w:color w:val="222222"/>
          <w:lang w:eastAsia="en-GB"/>
        </w:rPr>
        <w:t>, 36</w:t>
      </w:r>
      <w:r>
        <w:rPr>
          <w:rFonts w:eastAsia="Times New Roman" w:cs="Arial"/>
          <w:color w:val="222222"/>
          <w:lang w:eastAsia="en-GB"/>
        </w:rPr>
        <w:t xml:space="preserve">, </w:t>
      </w:r>
      <w:r w:rsidRPr="004B1AFD">
        <w:rPr>
          <w:rFonts w:eastAsia="Times New Roman" w:cs="Arial"/>
          <w:color w:val="222222"/>
          <w:lang w:eastAsia="en-GB"/>
        </w:rPr>
        <w:t>2, 105-112.</w:t>
      </w:r>
    </w:p>
    <w:p w:rsidR="00F22827" w:rsidRDefault="00F22827" w:rsidP="00862343">
      <w:pPr>
        <w:rPr>
          <w:rFonts w:eastAsia="Times New Roman" w:cs="Arial"/>
          <w:color w:val="222222"/>
          <w:lang w:eastAsia="en-GB"/>
        </w:rPr>
      </w:pPr>
      <w:r w:rsidRPr="00F22827">
        <w:rPr>
          <w:rFonts w:eastAsia="Times New Roman" w:cs="Arial"/>
          <w:color w:val="222222"/>
          <w:lang w:eastAsia="en-GB"/>
        </w:rPr>
        <w:lastRenderedPageBreak/>
        <w:t>Mennicken, Andrea.</w:t>
      </w:r>
      <w:r>
        <w:rPr>
          <w:rFonts w:eastAsia="Times New Roman" w:cs="Arial"/>
          <w:color w:val="222222"/>
          <w:lang w:eastAsia="en-GB"/>
        </w:rPr>
        <w:t xml:space="preserve"> 2013. </w:t>
      </w:r>
      <w:r w:rsidRPr="00F22827">
        <w:rPr>
          <w:rFonts w:eastAsia="Times New Roman" w:cs="Arial"/>
          <w:color w:val="222222"/>
          <w:lang w:eastAsia="en-GB"/>
        </w:rPr>
        <w:t>‘</w:t>
      </w:r>
      <w:r>
        <w:rPr>
          <w:rFonts w:eastAsia="Times New Roman" w:cs="Arial"/>
          <w:color w:val="222222"/>
          <w:lang w:eastAsia="en-GB"/>
        </w:rPr>
        <w:t>“</w:t>
      </w:r>
      <w:r w:rsidRPr="00F22827">
        <w:rPr>
          <w:rFonts w:eastAsia="Times New Roman" w:cs="Arial"/>
          <w:color w:val="222222"/>
          <w:lang w:eastAsia="en-GB"/>
        </w:rPr>
        <w:t>Too Big to Fail and Too Big to Succeed</w:t>
      </w:r>
      <w:r>
        <w:rPr>
          <w:rFonts w:eastAsia="Times New Roman" w:cs="Arial"/>
          <w:color w:val="222222"/>
          <w:lang w:eastAsia="en-GB"/>
        </w:rPr>
        <w:t>”</w:t>
      </w:r>
      <w:r w:rsidRPr="00F22827">
        <w:rPr>
          <w:rFonts w:eastAsia="Times New Roman" w:cs="Arial"/>
          <w:color w:val="222222"/>
          <w:lang w:eastAsia="en-GB"/>
        </w:rPr>
        <w:t>: Accounting and Privatisation in the Prison Service of England and Wales</w:t>
      </w:r>
      <w:r>
        <w:rPr>
          <w:rFonts w:eastAsia="Times New Roman" w:cs="Arial"/>
          <w:color w:val="222222"/>
          <w:lang w:eastAsia="en-GB"/>
        </w:rPr>
        <w:t>’,</w:t>
      </w:r>
      <w:r w:rsidRPr="00F22827">
        <w:rPr>
          <w:rFonts w:eastAsia="Times New Roman" w:cs="Arial"/>
          <w:color w:val="222222"/>
          <w:lang w:eastAsia="en-GB"/>
        </w:rPr>
        <w:t xml:space="preserve"> </w:t>
      </w:r>
      <w:r w:rsidRPr="00F22827">
        <w:rPr>
          <w:rFonts w:eastAsia="Times New Roman" w:cs="Arial"/>
          <w:i/>
          <w:color w:val="222222"/>
          <w:lang w:eastAsia="en-GB"/>
        </w:rPr>
        <w:t>Financial Accountability &amp; Management</w:t>
      </w:r>
      <w:r>
        <w:rPr>
          <w:rFonts w:eastAsia="Times New Roman" w:cs="Arial"/>
          <w:color w:val="222222"/>
          <w:lang w:eastAsia="en-GB"/>
        </w:rPr>
        <w:t>,</w:t>
      </w:r>
      <w:r w:rsidRPr="00F22827">
        <w:rPr>
          <w:rFonts w:eastAsia="Times New Roman" w:cs="Arial"/>
          <w:color w:val="222222"/>
          <w:lang w:eastAsia="en-GB"/>
        </w:rPr>
        <w:t xml:space="preserve"> 29, 2</w:t>
      </w:r>
      <w:r>
        <w:rPr>
          <w:rFonts w:eastAsia="Times New Roman" w:cs="Arial"/>
          <w:color w:val="222222"/>
          <w:lang w:eastAsia="en-GB"/>
        </w:rPr>
        <w:t>,</w:t>
      </w:r>
      <w:r w:rsidRPr="00F22827">
        <w:rPr>
          <w:rFonts w:eastAsia="Times New Roman" w:cs="Arial"/>
          <w:color w:val="222222"/>
          <w:lang w:eastAsia="en-GB"/>
        </w:rPr>
        <w:t xml:space="preserve"> 206-226.</w:t>
      </w:r>
    </w:p>
    <w:p w:rsidR="0059081C" w:rsidRDefault="0059081C" w:rsidP="00862343">
      <w:pPr>
        <w:rPr>
          <w:rFonts w:eastAsia="Times New Roman" w:cs="Arial"/>
          <w:color w:val="222222"/>
          <w:lang w:eastAsia="en-GB"/>
        </w:rPr>
      </w:pPr>
      <w:r>
        <w:rPr>
          <w:rFonts w:eastAsia="Times New Roman" w:cs="Arial"/>
          <w:color w:val="222222"/>
          <w:lang w:eastAsia="en-GB"/>
        </w:rPr>
        <w:t>Moran, M.</w:t>
      </w:r>
      <w:r w:rsidRPr="0059081C">
        <w:rPr>
          <w:rFonts w:eastAsia="Times New Roman" w:cs="Arial"/>
          <w:color w:val="222222"/>
          <w:lang w:eastAsia="en-GB"/>
        </w:rPr>
        <w:t xml:space="preserve"> 2001. </w:t>
      </w:r>
      <w:r>
        <w:rPr>
          <w:rFonts w:eastAsia="Times New Roman" w:cs="Arial"/>
          <w:color w:val="222222"/>
          <w:lang w:eastAsia="en-GB"/>
        </w:rPr>
        <w:t>“</w:t>
      </w:r>
      <w:r w:rsidRPr="0059081C">
        <w:rPr>
          <w:rFonts w:eastAsia="Times New Roman" w:cs="Arial"/>
          <w:color w:val="222222"/>
          <w:lang w:eastAsia="en-GB"/>
        </w:rPr>
        <w:t>The rise of the regulatory state in Britain</w:t>
      </w:r>
      <w:r>
        <w:rPr>
          <w:rFonts w:eastAsia="Times New Roman" w:cs="Arial"/>
          <w:color w:val="222222"/>
          <w:lang w:eastAsia="en-GB"/>
        </w:rPr>
        <w:t>”,</w:t>
      </w:r>
      <w:r w:rsidRPr="0059081C">
        <w:rPr>
          <w:rFonts w:eastAsia="Times New Roman" w:cs="Arial"/>
          <w:color w:val="222222"/>
          <w:lang w:eastAsia="en-GB"/>
        </w:rPr>
        <w:t xml:space="preserve"> </w:t>
      </w:r>
      <w:r w:rsidRPr="0059081C">
        <w:rPr>
          <w:rFonts w:eastAsia="Times New Roman" w:cs="Arial"/>
          <w:i/>
          <w:color w:val="222222"/>
          <w:lang w:eastAsia="en-GB"/>
        </w:rPr>
        <w:t>Parliamentary Affairs</w:t>
      </w:r>
      <w:r w:rsidRPr="0059081C">
        <w:rPr>
          <w:rFonts w:eastAsia="Times New Roman" w:cs="Arial"/>
          <w:color w:val="222222"/>
          <w:lang w:eastAsia="en-GB"/>
        </w:rPr>
        <w:t>, 54</w:t>
      </w:r>
      <w:r>
        <w:rPr>
          <w:rFonts w:eastAsia="Times New Roman" w:cs="Arial"/>
          <w:color w:val="222222"/>
          <w:lang w:eastAsia="en-GB"/>
        </w:rPr>
        <w:t xml:space="preserve">, </w:t>
      </w:r>
      <w:r w:rsidRPr="0059081C">
        <w:rPr>
          <w:rFonts w:eastAsia="Times New Roman" w:cs="Arial"/>
          <w:color w:val="222222"/>
          <w:lang w:eastAsia="en-GB"/>
        </w:rPr>
        <w:t>1, 19-34.</w:t>
      </w:r>
    </w:p>
    <w:p w:rsidR="00350DEA" w:rsidRPr="00350DEA" w:rsidRDefault="00350DEA" w:rsidP="00862343">
      <w:pPr>
        <w:rPr>
          <w:rFonts w:eastAsia="Times New Roman" w:cs="Arial"/>
          <w:color w:val="222222"/>
          <w:lang w:eastAsia="en-GB"/>
        </w:rPr>
      </w:pPr>
      <w:r>
        <w:rPr>
          <w:rFonts w:eastAsia="Times New Roman" w:cs="Arial"/>
          <w:color w:val="222222"/>
          <w:lang w:eastAsia="en-GB"/>
        </w:rPr>
        <w:t xml:space="preserve">Mullins, D. 2016. ‘The changing role of Housing Associations’, in J. Rees and D. Mullins (eds) </w:t>
      </w:r>
      <w:r>
        <w:rPr>
          <w:rFonts w:eastAsia="Times New Roman" w:cs="Arial"/>
          <w:i/>
          <w:color w:val="222222"/>
          <w:lang w:eastAsia="en-GB"/>
        </w:rPr>
        <w:t>The Third Sector Delivering Public Services</w:t>
      </w:r>
      <w:r w:rsidR="0073367C">
        <w:rPr>
          <w:rFonts w:eastAsia="Times New Roman" w:cs="Arial"/>
          <w:color w:val="222222"/>
          <w:lang w:eastAsia="en-GB"/>
        </w:rPr>
        <w:t>, Bristol: Policy Press.</w:t>
      </w:r>
    </w:p>
    <w:p w:rsidR="00B62CF1" w:rsidRPr="00B62CF1" w:rsidRDefault="00B62CF1" w:rsidP="00862343">
      <w:pPr>
        <w:rPr>
          <w:rFonts w:eastAsia="Times New Roman" w:cs="Arial"/>
          <w:color w:val="222222"/>
          <w:lang w:eastAsia="en-GB"/>
        </w:rPr>
      </w:pPr>
      <w:r>
        <w:rPr>
          <w:rFonts w:eastAsia="Times New Roman" w:cs="Arial"/>
          <w:color w:val="222222"/>
          <w:lang w:eastAsia="en-GB"/>
        </w:rPr>
        <w:t xml:space="preserve">Mullins, D., D. Czischke, and G. Bortel. 2014. ‘Exploring the meaning of hybridity and social enterprise in Housing Associations’, in D. Mullins, D. Czischke, and G. Bortel (eds) </w:t>
      </w:r>
      <w:r>
        <w:rPr>
          <w:rFonts w:eastAsia="Times New Roman" w:cs="Arial"/>
          <w:i/>
          <w:color w:val="222222"/>
          <w:lang w:eastAsia="en-GB"/>
        </w:rPr>
        <w:t>Hybridising Housing Associations</w:t>
      </w:r>
      <w:r>
        <w:rPr>
          <w:rFonts w:eastAsia="Times New Roman" w:cs="Arial"/>
          <w:color w:val="222222"/>
          <w:lang w:eastAsia="en-GB"/>
        </w:rPr>
        <w:t>, London: Routledge, 1-13.</w:t>
      </w:r>
    </w:p>
    <w:p w:rsidR="0050181E" w:rsidRPr="00FF6E84" w:rsidRDefault="0050181E" w:rsidP="0050181E">
      <w:pPr>
        <w:rPr>
          <w:rFonts w:eastAsia="Times New Roman" w:cs="Arial"/>
          <w:color w:val="222222"/>
          <w:lang w:eastAsia="en-GB"/>
        </w:rPr>
      </w:pPr>
      <w:r>
        <w:rPr>
          <w:rFonts w:eastAsia="Times New Roman" w:cs="Arial"/>
          <w:color w:val="222222"/>
          <w:lang w:eastAsia="en-GB"/>
        </w:rPr>
        <w:t xml:space="preserve">Network Homes. 2016a. </w:t>
      </w:r>
      <w:r>
        <w:rPr>
          <w:rFonts w:eastAsia="Times New Roman" w:cs="Arial"/>
          <w:i/>
          <w:color w:val="222222"/>
          <w:lang w:eastAsia="en-GB"/>
        </w:rPr>
        <w:t>Annual Report and Financial Statements</w:t>
      </w:r>
      <w:r>
        <w:rPr>
          <w:rFonts w:eastAsia="Times New Roman" w:cs="Arial"/>
          <w:color w:val="222222"/>
          <w:lang w:eastAsia="en-GB"/>
        </w:rPr>
        <w:t>. London: HA1.</w:t>
      </w:r>
    </w:p>
    <w:p w:rsidR="0050181E" w:rsidRDefault="0050181E" w:rsidP="00862343">
      <w:pPr>
        <w:rPr>
          <w:rFonts w:eastAsia="Times New Roman" w:cs="Arial"/>
          <w:color w:val="222222"/>
          <w:lang w:eastAsia="en-GB"/>
        </w:rPr>
      </w:pPr>
      <w:r>
        <w:rPr>
          <w:rFonts w:eastAsia="Times New Roman" w:cs="Arial"/>
          <w:color w:val="222222"/>
          <w:lang w:eastAsia="en-GB"/>
        </w:rPr>
        <w:t xml:space="preserve">Network Homes. 2016b. </w:t>
      </w:r>
      <w:r>
        <w:rPr>
          <w:rFonts w:eastAsia="Times New Roman" w:cs="Arial"/>
          <w:i/>
          <w:color w:val="222222"/>
          <w:lang w:eastAsia="en-GB"/>
        </w:rPr>
        <w:t>Development Yearbook</w:t>
      </w:r>
      <w:r>
        <w:rPr>
          <w:rFonts w:eastAsia="Times New Roman" w:cs="Arial"/>
          <w:color w:val="222222"/>
          <w:lang w:eastAsia="en-GB"/>
        </w:rPr>
        <w:t>. London: HA1.</w:t>
      </w:r>
    </w:p>
    <w:p w:rsidR="000E0758" w:rsidRPr="000E0758" w:rsidRDefault="000E0758" w:rsidP="00862343">
      <w:pPr>
        <w:rPr>
          <w:rFonts w:eastAsia="Times New Roman" w:cs="Arial"/>
          <w:color w:val="222222"/>
          <w:lang w:eastAsia="en-GB"/>
        </w:rPr>
      </w:pPr>
      <w:r>
        <w:rPr>
          <w:rFonts w:eastAsia="Times New Roman" w:cs="Arial"/>
          <w:color w:val="222222"/>
          <w:lang w:eastAsia="en-GB"/>
        </w:rPr>
        <w:t xml:space="preserve">Norris, N. and M. Byrne. 2017a. ‘A tale of two busts (and a boom): Irish social housing before and after the Global Financial Crisis’, </w:t>
      </w:r>
      <w:r>
        <w:rPr>
          <w:rFonts w:eastAsia="Times New Roman" w:cs="Arial"/>
          <w:i/>
          <w:color w:val="222222"/>
          <w:lang w:eastAsia="en-GB"/>
        </w:rPr>
        <w:t>Critical Housing Analysis</w:t>
      </w:r>
      <w:r>
        <w:rPr>
          <w:rFonts w:eastAsia="Times New Roman" w:cs="Arial"/>
          <w:color w:val="222222"/>
          <w:lang w:eastAsia="en-GB"/>
        </w:rPr>
        <w:t>, 4, 2, 19-28.</w:t>
      </w:r>
    </w:p>
    <w:p w:rsidR="001C400F" w:rsidRPr="0075307D" w:rsidRDefault="001C400F" w:rsidP="00862343">
      <w:pPr>
        <w:rPr>
          <w:rFonts w:eastAsia="Times New Roman" w:cs="Arial"/>
          <w:color w:val="222222"/>
          <w:lang w:eastAsia="en-GB"/>
        </w:rPr>
      </w:pPr>
      <w:r>
        <w:rPr>
          <w:rFonts w:eastAsia="Times New Roman" w:cs="Arial"/>
          <w:color w:val="222222"/>
          <w:lang w:eastAsia="en-GB"/>
        </w:rPr>
        <w:t>Norris, N. and M. By</w:t>
      </w:r>
      <w:r w:rsidR="000E0758">
        <w:rPr>
          <w:rFonts w:eastAsia="Times New Roman" w:cs="Arial"/>
          <w:color w:val="222222"/>
          <w:lang w:eastAsia="en-GB"/>
        </w:rPr>
        <w:t>r</w:t>
      </w:r>
      <w:r>
        <w:rPr>
          <w:rFonts w:eastAsia="Times New Roman" w:cs="Arial"/>
          <w:color w:val="222222"/>
          <w:lang w:eastAsia="en-GB"/>
        </w:rPr>
        <w:t>ne. 2017</w:t>
      </w:r>
      <w:r w:rsidR="000E0758">
        <w:rPr>
          <w:rFonts w:eastAsia="Times New Roman" w:cs="Arial"/>
          <w:color w:val="222222"/>
          <w:lang w:eastAsia="en-GB"/>
        </w:rPr>
        <w:t>b</w:t>
      </w:r>
      <w:r>
        <w:rPr>
          <w:rFonts w:eastAsia="Times New Roman" w:cs="Arial"/>
          <w:color w:val="222222"/>
          <w:lang w:eastAsia="en-GB"/>
        </w:rPr>
        <w:t xml:space="preserve">. ‘Housing market volatility, stability, and social rented housing’, </w:t>
      </w:r>
      <w:r w:rsidR="0075307D">
        <w:rPr>
          <w:rFonts w:eastAsia="Times New Roman" w:cs="Arial"/>
          <w:i/>
          <w:color w:val="222222"/>
          <w:lang w:eastAsia="en-GB"/>
        </w:rPr>
        <w:t>University College Dublin Geary Institute for Public Policy Discussion Paper Series</w:t>
      </w:r>
      <w:r w:rsidR="0075307D">
        <w:rPr>
          <w:rFonts w:eastAsia="Times New Roman" w:cs="Arial"/>
          <w:color w:val="222222"/>
          <w:lang w:eastAsia="en-GB"/>
        </w:rPr>
        <w:t>, No. 5, 1-35.</w:t>
      </w:r>
    </w:p>
    <w:p w:rsidR="00EB770D" w:rsidRPr="00EB770D" w:rsidRDefault="00EB770D" w:rsidP="00862343">
      <w:pPr>
        <w:rPr>
          <w:rFonts w:eastAsia="Times New Roman" w:cs="Arial"/>
          <w:color w:val="222222"/>
          <w:lang w:eastAsia="en-GB"/>
        </w:rPr>
      </w:pPr>
      <w:r>
        <w:rPr>
          <w:rFonts w:eastAsia="Times New Roman" w:cs="Arial"/>
          <w:color w:val="222222"/>
          <w:lang w:eastAsia="en-GB"/>
        </w:rPr>
        <w:t xml:space="preserve">OECD. 2016. </w:t>
      </w:r>
      <w:r>
        <w:rPr>
          <w:rFonts w:eastAsia="Times New Roman" w:cs="Arial"/>
          <w:i/>
          <w:color w:val="222222"/>
          <w:lang w:eastAsia="en-GB"/>
        </w:rPr>
        <w:t>House Prices</w:t>
      </w:r>
      <w:r>
        <w:rPr>
          <w:rFonts w:eastAsia="Times New Roman" w:cs="Arial"/>
          <w:color w:val="222222"/>
          <w:lang w:eastAsia="en-GB"/>
        </w:rPr>
        <w:t>. Paris: OECD.</w:t>
      </w:r>
    </w:p>
    <w:p w:rsidR="001B27F4" w:rsidRDefault="001B27F4" w:rsidP="00862343">
      <w:pPr>
        <w:rPr>
          <w:rFonts w:eastAsia="Times New Roman" w:cs="Arial"/>
          <w:color w:val="222222"/>
          <w:lang w:eastAsia="en-GB"/>
        </w:rPr>
      </w:pPr>
      <w:r>
        <w:rPr>
          <w:rFonts w:eastAsia="Times New Roman" w:cs="Arial"/>
          <w:color w:val="222222"/>
          <w:lang w:eastAsia="en-GB"/>
        </w:rPr>
        <w:t>O'Neill, P</w:t>
      </w:r>
      <w:r w:rsidRPr="001B27F4">
        <w:rPr>
          <w:rFonts w:eastAsia="Times New Roman" w:cs="Arial"/>
          <w:color w:val="222222"/>
          <w:lang w:eastAsia="en-GB"/>
        </w:rPr>
        <w:t>.</w:t>
      </w:r>
      <w:r>
        <w:rPr>
          <w:rFonts w:eastAsia="Times New Roman" w:cs="Arial"/>
          <w:color w:val="222222"/>
          <w:lang w:eastAsia="en-GB"/>
        </w:rPr>
        <w:t xml:space="preserve"> 2008.</w:t>
      </w:r>
      <w:r w:rsidRPr="001B27F4">
        <w:rPr>
          <w:rFonts w:eastAsia="Times New Roman" w:cs="Arial"/>
          <w:color w:val="222222"/>
          <w:lang w:eastAsia="en-GB"/>
        </w:rPr>
        <w:t xml:space="preserve"> </w:t>
      </w:r>
      <w:r>
        <w:rPr>
          <w:rFonts w:eastAsia="Times New Roman" w:cs="Arial"/>
          <w:color w:val="222222"/>
          <w:lang w:eastAsia="en-GB"/>
        </w:rPr>
        <w:t xml:space="preserve">“Bringing the qualitative state back in to economic geography”, in T. Barnes, J. Peck, E. Sheppard, and A. Tickell (eds) </w:t>
      </w:r>
      <w:r w:rsidRPr="001B27F4">
        <w:rPr>
          <w:rFonts w:eastAsia="Times New Roman" w:cs="Arial"/>
          <w:i/>
          <w:color w:val="222222"/>
          <w:lang w:eastAsia="en-GB"/>
        </w:rPr>
        <w:t>Reading Economic Geography</w:t>
      </w:r>
      <w:r>
        <w:rPr>
          <w:rFonts w:eastAsia="Times New Roman" w:cs="Arial"/>
          <w:color w:val="222222"/>
          <w:lang w:eastAsia="en-GB"/>
        </w:rPr>
        <w:t>, Oxford: Blackwell, 257-70.</w:t>
      </w:r>
    </w:p>
    <w:p w:rsidR="003C1A73" w:rsidRDefault="003C1A73" w:rsidP="00862343">
      <w:pPr>
        <w:rPr>
          <w:rFonts w:eastAsia="Times New Roman" w:cs="Arial"/>
          <w:color w:val="222222"/>
          <w:lang w:eastAsia="en-GB"/>
        </w:rPr>
      </w:pPr>
      <w:r w:rsidRPr="003C1A73">
        <w:rPr>
          <w:rFonts w:eastAsia="Times New Roman" w:cs="Arial"/>
          <w:color w:val="222222"/>
          <w:lang w:eastAsia="en-GB"/>
        </w:rPr>
        <w:t>Pares, M.,</w:t>
      </w:r>
      <w:r>
        <w:rPr>
          <w:rFonts w:eastAsia="Times New Roman" w:cs="Arial"/>
          <w:color w:val="222222"/>
          <w:lang w:eastAsia="en-GB"/>
        </w:rPr>
        <w:t xml:space="preserve"> M.</w:t>
      </w:r>
      <w:r w:rsidRPr="003C1A73">
        <w:rPr>
          <w:rFonts w:eastAsia="Times New Roman" w:cs="Arial"/>
          <w:color w:val="222222"/>
          <w:lang w:eastAsia="en-GB"/>
        </w:rPr>
        <w:t xml:space="preserve"> Martí-Costa, and</w:t>
      </w:r>
      <w:r>
        <w:rPr>
          <w:rFonts w:eastAsia="Times New Roman" w:cs="Arial"/>
          <w:color w:val="222222"/>
          <w:lang w:eastAsia="en-GB"/>
        </w:rPr>
        <w:t xml:space="preserve"> I.</w:t>
      </w:r>
      <w:r w:rsidRPr="003C1A73">
        <w:rPr>
          <w:rFonts w:eastAsia="Times New Roman" w:cs="Arial"/>
          <w:color w:val="222222"/>
          <w:lang w:eastAsia="en-GB"/>
        </w:rPr>
        <w:t xml:space="preserve"> Blanco</w:t>
      </w:r>
      <w:r>
        <w:rPr>
          <w:rFonts w:eastAsia="Times New Roman" w:cs="Arial"/>
          <w:color w:val="222222"/>
          <w:lang w:eastAsia="en-GB"/>
        </w:rPr>
        <w:t>.</w:t>
      </w:r>
      <w:r w:rsidRPr="003C1A73">
        <w:rPr>
          <w:rFonts w:eastAsia="Times New Roman" w:cs="Arial"/>
          <w:color w:val="222222"/>
          <w:lang w:eastAsia="en-GB"/>
        </w:rPr>
        <w:t xml:space="preserve"> 2014. </w:t>
      </w:r>
      <w:r>
        <w:rPr>
          <w:rFonts w:eastAsia="Times New Roman" w:cs="Arial"/>
          <w:color w:val="222222"/>
          <w:lang w:eastAsia="en-GB"/>
        </w:rPr>
        <w:t>‘</w:t>
      </w:r>
      <w:r w:rsidRPr="003C1A73">
        <w:rPr>
          <w:rFonts w:eastAsia="Times New Roman" w:cs="Arial"/>
          <w:color w:val="222222"/>
          <w:lang w:eastAsia="en-GB"/>
        </w:rPr>
        <w:t>Geographies of governance: How place matters in urban regeneration policies</w:t>
      </w:r>
      <w:r>
        <w:rPr>
          <w:rFonts w:eastAsia="Times New Roman" w:cs="Arial"/>
          <w:color w:val="222222"/>
          <w:lang w:eastAsia="en-GB"/>
        </w:rPr>
        <w:t>’,</w:t>
      </w:r>
      <w:r w:rsidRPr="003C1A73">
        <w:rPr>
          <w:rFonts w:eastAsia="Times New Roman" w:cs="Arial"/>
          <w:color w:val="222222"/>
          <w:lang w:eastAsia="en-GB"/>
        </w:rPr>
        <w:t xml:space="preserve"> </w:t>
      </w:r>
      <w:r w:rsidRPr="003C1A73">
        <w:rPr>
          <w:rFonts w:eastAsia="Times New Roman" w:cs="Arial"/>
          <w:i/>
          <w:color w:val="222222"/>
          <w:lang w:eastAsia="en-GB"/>
        </w:rPr>
        <w:t>Urban Studies</w:t>
      </w:r>
      <w:r w:rsidRPr="003C1A73">
        <w:rPr>
          <w:rFonts w:eastAsia="Times New Roman" w:cs="Arial"/>
          <w:color w:val="222222"/>
          <w:lang w:eastAsia="en-GB"/>
        </w:rPr>
        <w:t>, 51</w:t>
      </w:r>
      <w:r>
        <w:rPr>
          <w:rFonts w:eastAsia="Times New Roman" w:cs="Arial"/>
          <w:color w:val="222222"/>
          <w:lang w:eastAsia="en-GB"/>
        </w:rPr>
        <w:t>, 15</w:t>
      </w:r>
      <w:r w:rsidRPr="003C1A73">
        <w:rPr>
          <w:rFonts w:eastAsia="Times New Roman" w:cs="Arial"/>
          <w:color w:val="222222"/>
          <w:lang w:eastAsia="en-GB"/>
        </w:rPr>
        <w:t>,</w:t>
      </w:r>
      <w:r>
        <w:rPr>
          <w:rFonts w:eastAsia="Times New Roman" w:cs="Arial"/>
          <w:color w:val="222222"/>
          <w:lang w:eastAsia="en-GB"/>
        </w:rPr>
        <w:t xml:space="preserve"> </w:t>
      </w:r>
      <w:r w:rsidRPr="003C1A73">
        <w:rPr>
          <w:rFonts w:eastAsia="Times New Roman" w:cs="Arial"/>
          <w:color w:val="222222"/>
          <w:lang w:eastAsia="en-GB"/>
        </w:rPr>
        <w:t>3250-3267.</w:t>
      </w:r>
    </w:p>
    <w:p w:rsidR="00402906" w:rsidRPr="00402906" w:rsidRDefault="00402906" w:rsidP="00862343">
      <w:pPr>
        <w:rPr>
          <w:rFonts w:eastAsia="Times New Roman" w:cs="Arial"/>
          <w:color w:val="222222"/>
          <w:lang w:eastAsia="en-GB"/>
        </w:rPr>
      </w:pPr>
      <w:r>
        <w:rPr>
          <w:rFonts w:eastAsia="Times New Roman" w:cs="Arial"/>
          <w:color w:val="222222"/>
          <w:lang w:eastAsia="en-GB"/>
        </w:rPr>
        <w:t xml:space="preserve">Paul, D. 2005. </w:t>
      </w:r>
      <w:r>
        <w:rPr>
          <w:rFonts w:eastAsia="Times New Roman" w:cs="Arial"/>
          <w:i/>
          <w:color w:val="222222"/>
          <w:lang w:eastAsia="en-GB"/>
        </w:rPr>
        <w:t>Rescaling International Political Economy</w:t>
      </w:r>
      <w:r>
        <w:rPr>
          <w:rFonts w:eastAsia="Times New Roman" w:cs="Arial"/>
          <w:color w:val="222222"/>
          <w:lang w:eastAsia="en-GB"/>
        </w:rPr>
        <w:t>. London: Routledge.</w:t>
      </w:r>
    </w:p>
    <w:p w:rsidR="00715C45" w:rsidRDefault="00715C45" w:rsidP="00862343">
      <w:pPr>
        <w:rPr>
          <w:rFonts w:eastAsia="Times New Roman" w:cs="Arial"/>
          <w:color w:val="222222"/>
          <w:lang w:eastAsia="en-GB"/>
        </w:rPr>
      </w:pPr>
      <w:r w:rsidRPr="00715C45">
        <w:rPr>
          <w:rFonts w:eastAsia="Times New Roman" w:cs="Arial"/>
          <w:color w:val="222222"/>
          <w:lang w:eastAsia="en-GB"/>
        </w:rPr>
        <w:t>Pav</w:t>
      </w:r>
      <w:r w:rsidR="00127185">
        <w:rPr>
          <w:rFonts w:eastAsia="Times New Roman" w:cs="Arial"/>
          <w:color w:val="222222"/>
          <w:lang w:eastAsia="en-GB"/>
        </w:rPr>
        <w:t>olini, E.</w:t>
      </w:r>
      <w:r>
        <w:rPr>
          <w:rFonts w:eastAsia="Times New Roman" w:cs="Arial"/>
          <w:color w:val="222222"/>
          <w:lang w:eastAsia="en-GB"/>
        </w:rPr>
        <w:t>, and A</w:t>
      </w:r>
      <w:r w:rsidR="00127185">
        <w:rPr>
          <w:rFonts w:eastAsia="Times New Roman" w:cs="Arial"/>
          <w:color w:val="222222"/>
          <w:lang w:eastAsia="en-GB"/>
        </w:rPr>
        <w:t>.</w:t>
      </w:r>
      <w:r>
        <w:rPr>
          <w:rFonts w:eastAsia="Times New Roman" w:cs="Arial"/>
          <w:color w:val="222222"/>
          <w:lang w:eastAsia="en-GB"/>
        </w:rPr>
        <w:t xml:space="preserve"> Guille</w:t>
      </w:r>
      <w:r w:rsidRPr="00715C45">
        <w:rPr>
          <w:rFonts w:eastAsia="Times New Roman" w:cs="Arial"/>
          <w:color w:val="222222"/>
          <w:lang w:eastAsia="en-GB"/>
        </w:rPr>
        <w:t>n</w:t>
      </w:r>
      <w:r>
        <w:rPr>
          <w:rFonts w:eastAsia="Times New Roman" w:cs="Arial"/>
          <w:color w:val="222222"/>
          <w:lang w:eastAsia="en-GB"/>
        </w:rPr>
        <w:t xml:space="preserve"> (eds)</w:t>
      </w:r>
      <w:r w:rsidRPr="00715C45">
        <w:rPr>
          <w:rFonts w:eastAsia="Times New Roman" w:cs="Arial"/>
          <w:color w:val="222222"/>
          <w:lang w:eastAsia="en-GB"/>
        </w:rPr>
        <w:t>.</w:t>
      </w:r>
      <w:r>
        <w:rPr>
          <w:rFonts w:eastAsia="Times New Roman" w:cs="Arial"/>
          <w:color w:val="222222"/>
          <w:lang w:eastAsia="en-GB"/>
        </w:rPr>
        <w:t xml:space="preserve"> 2013.</w:t>
      </w:r>
      <w:r w:rsidRPr="00715C45">
        <w:rPr>
          <w:rFonts w:eastAsia="Times New Roman" w:cs="Arial"/>
          <w:color w:val="222222"/>
          <w:lang w:eastAsia="en-GB"/>
        </w:rPr>
        <w:t xml:space="preserve"> </w:t>
      </w:r>
      <w:r w:rsidRPr="00715C45">
        <w:rPr>
          <w:rFonts w:eastAsia="Times New Roman" w:cs="Arial"/>
          <w:i/>
          <w:color w:val="222222"/>
          <w:lang w:eastAsia="en-GB"/>
        </w:rPr>
        <w:t>Health Care Systems in Europe Under Austerity</w:t>
      </w:r>
      <w:r w:rsidRPr="00715C45">
        <w:rPr>
          <w:rFonts w:eastAsia="Times New Roman" w:cs="Arial"/>
          <w:color w:val="222222"/>
          <w:lang w:eastAsia="en-GB"/>
        </w:rPr>
        <w:t xml:space="preserve">. </w:t>
      </w:r>
      <w:r>
        <w:rPr>
          <w:rFonts w:eastAsia="Times New Roman" w:cs="Arial"/>
          <w:color w:val="222222"/>
          <w:lang w:eastAsia="en-GB"/>
        </w:rPr>
        <w:t>Basingstoke: Palgrave</w:t>
      </w:r>
      <w:r w:rsidRPr="00715C45">
        <w:rPr>
          <w:rFonts w:eastAsia="Times New Roman" w:cs="Arial"/>
          <w:color w:val="222222"/>
          <w:lang w:eastAsia="en-GB"/>
        </w:rPr>
        <w:t>.</w:t>
      </w:r>
    </w:p>
    <w:p w:rsidR="003E1E5E" w:rsidRPr="003E1E5E" w:rsidRDefault="003E1E5E" w:rsidP="00862343">
      <w:pPr>
        <w:rPr>
          <w:rFonts w:eastAsia="Times New Roman" w:cs="Arial"/>
          <w:color w:val="222222"/>
          <w:lang w:eastAsia="en-GB"/>
        </w:rPr>
      </w:pPr>
      <w:r>
        <w:rPr>
          <w:rFonts w:eastAsia="Times New Roman" w:cs="Arial"/>
          <w:color w:val="222222"/>
          <w:lang w:eastAsia="en-GB"/>
        </w:rPr>
        <w:t xml:space="preserve">Peck, J. 2002. ‘Political economies of scale’, </w:t>
      </w:r>
      <w:r>
        <w:rPr>
          <w:rFonts w:eastAsia="Times New Roman" w:cs="Arial"/>
          <w:i/>
          <w:color w:val="222222"/>
          <w:lang w:eastAsia="en-GB"/>
        </w:rPr>
        <w:t>Economic Geography</w:t>
      </w:r>
      <w:r>
        <w:rPr>
          <w:rFonts w:eastAsia="Times New Roman" w:cs="Arial"/>
          <w:color w:val="222222"/>
          <w:lang w:eastAsia="en-GB"/>
        </w:rPr>
        <w:t>, 78, 3, 331-60.</w:t>
      </w:r>
    </w:p>
    <w:p w:rsidR="007D7687" w:rsidRPr="007D7687" w:rsidRDefault="007D7687" w:rsidP="00862343">
      <w:pPr>
        <w:rPr>
          <w:rFonts w:eastAsia="Times New Roman" w:cs="Arial"/>
          <w:color w:val="222222"/>
          <w:lang w:eastAsia="en-GB"/>
        </w:rPr>
      </w:pPr>
      <w:r>
        <w:rPr>
          <w:rFonts w:eastAsia="Times New Roman" w:cs="Arial"/>
          <w:color w:val="222222"/>
          <w:lang w:eastAsia="en-GB"/>
        </w:rPr>
        <w:t xml:space="preserve">Peck, J. and A. Tickell. 2002. ‘Neoliberalizing Space’, </w:t>
      </w:r>
      <w:r>
        <w:rPr>
          <w:rFonts w:eastAsia="Times New Roman" w:cs="Arial"/>
          <w:i/>
          <w:color w:val="222222"/>
          <w:lang w:eastAsia="en-GB"/>
        </w:rPr>
        <w:t>Antipode</w:t>
      </w:r>
      <w:r>
        <w:rPr>
          <w:rFonts w:eastAsia="Times New Roman" w:cs="Arial"/>
          <w:color w:val="222222"/>
          <w:lang w:eastAsia="en-GB"/>
        </w:rPr>
        <w:t>, 34, 3, 380-404.</w:t>
      </w:r>
    </w:p>
    <w:p w:rsidR="00086852" w:rsidRDefault="00086852" w:rsidP="00862343">
      <w:pPr>
        <w:rPr>
          <w:rFonts w:eastAsia="Times New Roman" w:cs="Arial"/>
          <w:color w:val="222222"/>
          <w:lang w:eastAsia="en-GB"/>
        </w:rPr>
      </w:pPr>
      <w:r w:rsidRPr="00086852">
        <w:rPr>
          <w:rFonts w:eastAsia="Times New Roman" w:cs="Arial"/>
          <w:color w:val="222222"/>
          <w:lang w:eastAsia="en-GB"/>
        </w:rPr>
        <w:lastRenderedPageBreak/>
        <w:t>Pike, A</w:t>
      </w:r>
      <w:r>
        <w:rPr>
          <w:rFonts w:eastAsia="Times New Roman" w:cs="Arial"/>
          <w:color w:val="222222"/>
          <w:lang w:eastAsia="en-GB"/>
        </w:rPr>
        <w:t>.</w:t>
      </w:r>
      <w:r w:rsidRPr="00086852">
        <w:rPr>
          <w:rFonts w:eastAsia="Times New Roman" w:cs="Arial"/>
          <w:color w:val="222222"/>
          <w:lang w:eastAsia="en-GB"/>
        </w:rPr>
        <w:t>, and J</w:t>
      </w:r>
      <w:r>
        <w:rPr>
          <w:rFonts w:eastAsia="Times New Roman" w:cs="Arial"/>
          <w:color w:val="222222"/>
          <w:lang w:eastAsia="en-GB"/>
        </w:rPr>
        <w:t>.</w:t>
      </w:r>
      <w:r w:rsidRPr="00086852">
        <w:rPr>
          <w:rFonts w:eastAsia="Times New Roman" w:cs="Arial"/>
          <w:color w:val="222222"/>
          <w:lang w:eastAsia="en-GB"/>
        </w:rPr>
        <w:t xml:space="preserve"> Tomaney. </w:t>
      </w:r>
      <w:r>
        <w:rPr>
          <w:rFonts w:eastAsia="Times New Roman" w:cs="Arial"/>
          <w:color w:val="222222"/>
          <w:lang w:eastAsia="en-GB"/>
        </w:rPr>
        <w:t xml:space="preserve">2009. </w:t>
      </w:r>
      <w:r w:rsidRPr="00086852">
        <w:rPr>
          <w:rFonts w:eastAsia="Times New Roman" w:cs="Arial"/>
          <w:color w:val="222222"/>
          <w:lang w:eastAsia="en-GB"/>
        </w:rPr>
        <w:t>"The state and uneven development: the governance of economic development in En</w:t>
      </w:r>
      <w:r>
        <w:rPr>
          <w:rFonts w:eastAsia="Times New Roman" w:cs="Arial"/>
          <w:color w:val="222222"/>
          <w:lang w:eastAsia="en-GB"/>
        </w:rPr>
        <w:t>gland in the post-devolution UK</w:t>
      </w:r>
      <w:r w:rsidRPr="00086852">
        <w:rPr>
          <w:rFonts w:eastAsia="Times New Roman" w:cs="Arial"/>
          <w:color w:val="222222"/>
          <w:lang w:eastAsia="en-GB"/>
        </w:rPr>
        <w:t>"</w:t>
      </w:r>
      <w:r>
        <w:rPr>
          <w:rFonts w:eastAsia="Times New Roman" w:cs="Arial"/>
          <w:color w:val="222222"/>
          <w:lang w:eastAsia="en-GB"/>
        </w:rPr>
        <w:t>,</w:t>
      </w:r>
      <w:r w:rsidRPr="00086852">
        <w:rPr>
          <w:rFonts w:eastAsia="Times New Roman" w:cs="Arial"/>
          <w:color w:val="222222"/>
          <w:lang w:eastAsia="en-GB"/>
        </w:rPr>
        <w:t xml:space="preserve"> </w:t>
      </w:r>
      <w:r w:rsidRPr="00086852">
        <w:rPr>
          <w:rFonts w:eastAsia="Times New Roman" w:cs="Arial"/>
          <w:i/>
          <w:color w:val="222222"/>
          <w:lang w:eastAsia="en-GB"/>
        </w:rPr>
        <w:t>Cambridge Journal of Regions, Economy and Society</w:t>
      </w:r>
      <w:r>
        <w:rPr>
          <w:rFonts w:eastAsia="Times New Roman" w:cs="Arial"/>
          <w:color w:val="222222"/>
          <w:lang w:eastAsia="en-GB"/>
        </w:rPr>
        <w:t>,</w:t>
      </w:r>
      <w:r w:rsidRPr="00086852">
        <w:rPr>
          <w:rFonts w:eastAsia="Times New Roman" w:cs="Arial"/>
          <w:color w:val="222222"/>
          <w:lang w:eastAsia="en-GB"/>
        </w:rPr>
        <w:t xml:space="preserve"> 2, 1</w:t>
      </w:r>
      <w:r>
        <w:rPr>
          <w:rFonts w:eastAsia="Times New Roman" w:cs="Arial"/>
          <w:color w:val="222222"/>
          <w:lang w:eastAsia="en-GB"/>
        </w:rPr>
        <w:t>,</w:t>
      </w:r>
      <w:r w:rsidRPr="00086852">
        <w:rPr>
          <w:rFonts w:eastAsia="Times New Roman" w:cs="Arial"/>
          <w:color w:val="222222"/>
          <w:lang w:eastAsia="en-GB"/>
        </w:rPr>
        <w:t xml:space="preserve"> 13-34.</w:t>
      </w:r>
    </w:p>
    <w:p w:rsidR="00725945" w:rsidRDefault="00725945" w:rsidP="00862343">
      <w:pPr>
        <w:rPr>
          <w:rFonts w:eastAsia="Times New Roman" w:cs="Arial"/>
          <w:color w:val="222222"/>
          <w:lang w:eastAsia="en-GB"/>
        </w:rPr>
      </w:pPr>
      <w:r>
        <w:rPr>
          <w:rFonts w:eastAsia="Times New Roman" w:cs="Arial"/>
          <w:color w:val="222222"/>
          <w:lang w:eastAsia="en-GB"/>
        </w:rPr>
        <w:t>Reed, M. and Bruyneel, S.</w:t>
      </w:r>
      <w:r w:rsidRPr="00725945">
        <w:rPr>
          <w:rFonts w:eastAsia="Times New Roman" w:cs="Arial"/>
          <w:color w:val="222222"/>
          <w:lang w:eastAsia="en-GB"/>
        </w:rPr>
        <w:t xml:space="preserve"> 2010. </w:t>
      </w:r>
      <w:r>
        <w:rPr>
          <w:rFonts w:eastAsia="Times New Roman" w:cs="Arial"/>
          <w:color w:val="222222"/>
          <w:lang w:eastAsia="en-GB"/>
        </w:rPr>
        <w:t>‘</w:t>
      </w:r>
      <w:r w:rsidRPr="00725945">
        <w:rPr>
          <w:rFonts w:eastAsia="Times New Roman" w:cs="Arial"/>
          <w:color w:val="222222"/>
          <w:lang w:eastAsia="en-GB"/>
        </w:rPr>
        <w:t>Rescaling environmental governance, rethinking the state: A three-dimensional review</w:t>
      </w:r>
      <w:r>
        <w:rPr>
          <w:rFonts w:eastAsia="Times New Roman" w:cs="Arial"/>
          <w:color w:val="222222"/>
          <w:lang w:eastAsia="en-GB"/>
        </w:rPr>
        <w:t>’,</w:t>
      </w:r>
      <w:r w:rsidRPr="00725945">
        <w:rPr>
          <w:rFonts w:eastAsia="Times New Roman" w:cs="Arial"/>
          <w:color w:val="222222"/>
          <w:lang w:eastAsia="en-GB"/>
        </w:rPr>
        <w:t xml:space="preserve"> </w:t>
      </w:r>
      <w:r w:rsidRPr="00725945">
        <w:rPr>
          <w:rFonts w:eastAsia="Times New Roman" w:cs="Arial"/>
          <w:i/>
          <w:color w:val="222222"/>
          <w:lang w:eastAsia="en-GB"/>
        </w:rPr>
        <w:t xml:space="preserve">Progress in </w:t>
      </w:r>
      <w:r>
        <w:rPr>
          <w:rFonts w:eastAsia="Times New Roman" w:cs="Arial"/>
          <w:i/>
          <w:color w:val="222222"/>
          <w:lang w:eastAsia="en-GB"/>
        </w:rPr>
        <w:t>H</w:t>
      </w:r>
      <w:r w:rsidRPr="00725945">
        <w:rPr>
          <w:rFonts w:eastAsia="Times New Roman" w:cs="Arial"/>
          <w:i/>
          <w:color w:val="222222"/>
          <w:lang w:eastAsia="en-GB"/>
        </w:rPr>
        <w:t xml:space="preserve">uman </w:t>
      </w:r>
      <w:r>
        <w:rPr>
          <w:rFonts w:eastAsia="Times New Roman" w:cs="Arial"/>
          <w:i/>
          <w:color w:val="222222"/>
          <w:lang w:eastAsia="en-GB"/>
        </w:rPr>
        <w:t>G</w:t>
      </w:r>
      <w:r w:rsidRPr="00725945">
        <w:rPr>
          <w:rFonts w:eastAsia="Times New Roman" w:cs="Arial"/>
          <w:i/>
          <w:color w:val="222222"/>
          <w:lang w:eastAsia="en-GB"/>
        </w:rPr>
        <w:t>eography</w:t>
      </w:r>
      <w:r w:rsidRPr="00725945">
        <w:rPr>
          <w:rFonts w:eastAsia="Times New Roman" w:cs="Arial"/>
          <w:color w:val="222222"/>
          <w:lang w:eastAsia="en-GB"/>
        </w:rPr>
        <w:t>, 34</w:t>
      </w:r>
      <w:r>
        <w:rPr>
          <w:rFonts w:eastAsia="Times New Roman" w:cs="Arial"/>
          <w:color w:val="222222"/>
          <w:lang w:eastAsia="en-GB"/>
        </w:rPr>
        <w:t>, 5</w:t>
      </w:r>
      <w:r w:rsidRPr="00725945">
        <w:rPr>
          <w:rFonts w:eastAsia="Times New Roman" w:cs="Arial"/>
          <w:color w:val="222222"/>
          <w:lang w:eastAsia="en-GB"/>
        </w:rPr>
        <w:t>, 646-653.</w:t>
      </w:r>
    </w:p>
    <w:p w:rsidR="00A478ED" w:rsidRDefault="00A478ED" w:rsidP="00862343">
      <w:pPr>
        <w:rPr>
          <w:rFonts w:eastAsia="Times New Roman" w:cs="Arial"/>
          <w:color w:val="222222"/>
          <w:lang w:eastAsia="en-GB"/>
        </w:rPr>
      </w:pPr>
      <w:r w:rsidRPr="00A478ED">
        <w:rPr>
          <w:rFonts w:eastAsia="Times New Roman" w:cs="Arial"/>
          <w:color w:val="222222"/>
          <w:lang w:eastAsia="en-GB"/>
        </w:rPr>
        <w:t>Rodríguez-Pose, A</w:t>
      </w:r>
      <w:r>
        <w:rPr>
          <w:rFonts w:eastAsia="Times New Roman" w:cs="Arial"/>
          <w:color w:val="222222"/>
          <w:lang w:eastAsia="en-GB"/>
        </w:rPr>
        <w:t>.</w:t>
      </w:r>
      <w:r w:rsidRPr="00A478ED">
        <w:rPr>
          <w:rFonts w:eastAsia="Times New Roman" w:cs="Arial"/>
          <w:color w:val="222222"/>
          <w:lang w:eastAsia="en-GB"/>
        </w:rPr>
        <w:t>, and J</w:t>
      </w:r>
      <w:r>
        <w:rPr>
          <w:rFonts w:eastAsia="Times New Roman" w:cs="Arial"/>
          <w:color w:val="222222"/>
          <w:lang w:eastAsia="en-GB"/>
        </w:rPr>
        <w:t>.</w:t>
      </w:r>
      <w:r w:rsidRPr="00A478ED">
        <w:rPr>
          <w:rFonts w:eastAsia="Times New Roman" w:cs="Arial"/>
          <w:color w:val="222222"/>
          <w:lang w:eastAsia="en-GB"/>
        </w:rPr>
        <w:t xml:space="preserve"> Wilkie.</w:t>
      </w:r>
      <w:r>
        <w:rPr>
          <w:rFonts w:eastAsia="Times New Roman" w:cs="Arial"/>
          <w:color w:val="222222"/>
          <w:lang w:eastAsia="en-GB"/>
        </w:rPr>
        <w:t xml:space="preserve"> 2018.</w:t>
      </w:r>
      <w:r w:rsidRPr="00A478ED">
        <w:rPr>
          <w:rFonts w:eastAsia="Times New Roman" w:cs="Arial"/>
          <w:color w:val="222222"/>
          <w:lang w:eastAsia="en-GB"/>
        </w:rPr>
        <w:t xml:space="preserve"> "Pursuing Equitable Economic Growth in the Global South"</w:t>
      </w:r>
      <w:r>
        <w:rPr>
          <w:rFonts w:eastAsia="Times New Roman" w:cs="Arial"/>
          <w:color w:val="222222"/>
          <w:lang w:eastAsia="en-GB"/>
        </w:rPr>
        <w:t xml:space="preserve">, in </w:t>
      </w:r>
      <w:r>
        <w:rPr>
          <w:lang w:val="en"/>
        </w:rPr>
        <w:t xml:space="preserve">G. Clark, M. Feldman, M. Gertler, and D. Wójcik (eds) </w:t>
      </w:r>
      <w:r w:rsidRPr="00A478ED">
        <w:rPr>
          <w:rFonts w:eastAsia="Times New Roman" w:cs="Arial"/>
          <w:i/>
          <w:color w:val="222222"/>
          <w:lang w:eastAsia="en-GB"/>
        </w:rPr>
        <w:t>The New Oxford Handbook of Economic Geography</w:t>
      </w:r>
      <w:r>
        <w:rPr>
          <w:rFonts w:eastAsia="Times New Roman" w:cs="Arial"/>
          <w:color w:val="222222"/>
          <w:lang w:eastAsia="en-GB"/>
        </w:rPr>
        <w:t>. Oxford: University Press,</w:t>
      </w:r>
      <w:r w:rsidRPr="00A478ED">
        <w:rPr>
          <w:rFonts w:eastAsia="Times New Roman" w:cs="Arial"/>
          <w:color w:val="222222"/>
          <w:lang w:eastAsia="en-GB"/>
        </w:rPr>
        <w:t xml:space="preserve"> 770-791.</w:t>
      </w:r>
    </w:p>
    <w:p w:rsidR="007E644D" w:rsidRDefault="007E644D" w:rsidP="00862343">
      <w:pPr>
        <w:rPr>
          <w:rFonts w:eastAsia="Times New Roman" w:cs="Arial"/>
          <w:color w:val="222222"/>
          <w:lang w:eastAsia="en-GB"/>
        </w:rPr>
      </w:pPr>
      <w:r>
        <w:rPr>
          <w:rFonts w:eastAsia="Times New Roman" w:cs="Arial"/>
          <w:color w:val="222222"/>
          <w:lang w:eastAsia="en-GB"/>
        </w:rPr>
        <w:t>Scott, A</w:t>
      </w:r>
      <w:r w:rsidRPr="00D41B1F">
        <w:rPr>
          <w:rFonts w:eastAsia="Times New Roman" w:cs="Arial"/>
          <w:color w:val="222222"/>
          <w:lang w:eastAsia="en-GB"/>
        </w:rPr>
        <w:t>.</w:t>
      </w:r>
      <w:r>
        <w:rPr>
          <w:rFonts w:eastAsia="Times New Roman" w:cs="Arial"/>
          <w:color w:val="222222"/>
          <w:lang w:eastAsia="en-GB"/>
        </w:rPr>
        <w:t xml:space="preserve"> 2000.</w:t>
      </w:r>
      <w:r w:rsidRPr="00D41B1F">
        <w:rPr>
          <w:rFonts w:eastAsia="Times New Roman" w:cs="Arial"/>
          <w:color w:val="222222"/>
          <w:lang w:eastAsia="en-GB"/>
        </w:rPr>
        <w:t xml:space="preserve"> "Economic geography: the great half-century"</w:t>
      </w:r>
      <w:r>
        <w:rPr>
          <w:rFonts w:eastAsia="Times New Roman" w:cs="Arial"/>
          <w:color w:val="222222"/>
          <w:lang w:eastAsia="en-GB"/>
        </w:rPr>
        <w:t>,</w:t>
      </w:r>
      <w:r w:rsidRPr="00D41B1F">
        <w:rPr>
          <w:rFonts w:eastAsia="Times New Roman" w:cs="Arial"/>
          <w:color w:val="222222"/>
          <w:lang w:eastAsia="en-GB"/>
        </w:rPr>
        <w:t xml:space="preserve"> </w:t>
      </w:r>
      <w:r w:rsidRPr="00D41B1F">
        <w:rPr>
          <w:rFonts w:eastAsia="Times New Roman" w:cs="Arial"/>
          <w:i/>
          <w:color w:val="222222"/>
          <w:lang w:eastAsia="en-GB"/>
        </w:rPr>
        <w:t>Cambridge Journal of Economics</w:t>
      </w:r>
      <w:r>
        <w:rPr>
          <w:rFonts w:eastAsia="Times New Roman" w:cs="Arial"/>
          <w:color w:val="222222"/>
          <w:lang w:eastAsia="en-GB"/>
        </w:rPr>
        <w:t>,</w:t>
      </w:r>
      <w:r w:rsidRPr="00D41B1F">
        <w:rPr>
          <w:rFonts w:eastAsia="Times New Roman" w:cs="Arial"/>
          <w:color w:val="222222"/>
          <w:lang w:eastAsia="en-GB"/>
        </w:rPr>
        <w:t xml:space="preserve"> 24, 4</w:t>
      </w:r>
      <w:r>
        <w:rPr>
          <w:rFonts w:eastAsia="Times New Roman" w:cs="Arial"/>
          <w:color w:val="222222"/>
          <w:lang w:eastAsia="en-GB"/>
        </w:rPr>
        <w:t>,</w:t>
      </w:r>
      <w:r w:rsidRPr="00D41B1F">
        <w:rPr>
          <w:rFonts w:eastAsia="Times New Roman" w:cs="Arial"/>
          <w:color w:val="222222"/>
          <w:lang w:eastAsia="en-GB"/>
        </w:rPr>
        <w:t xml:space="preserve"> 483-504.</w:t>
      </w:r>
    </w:p>
    <w:p w:rsidR="00532633" w:rsidRDefault="00532633" w:rsidP="00862343">
      <w:pPr>
        <w:rPr>
          <w:rFonts w:eastAsia="Times New Roman" w:cs="Arial"/>
          <w:color w:val="222222"/>
          <w:lang w:eastAsia="en-GB"/>
        </w:rPr>
      </w:pPr>
      <w:r>
        <w:rPr>
          <w:rFonts w:eastAsia="Times New Roman" w:cs="Arial"/>
          <w:color w:val="222222"/>
          <w:lang w:eastAsia="en-GB"/>
        </w:rPr>
        <w:t>Shaw, K. and Tewdwr-Jones, M.</w:t>
      </w:r>
      <w:r w:rsidRPr="00532633">
        <w:rPr>
          <w:rFonts w:eastAsia="Times New Roman" w:cs="Arial"/>
          <w:color w:val="222222"/>
          <w:lang w:eastAsia="en-GB"/>
        </w:rPr>
        <w:t xml:space="preserve"> 2017. </w:t>
      </w:r>
      <w:r>
        <w:rPr>
          <w:rFonts w:eastAsia="Times New Roman" w:cs="Arial"/>
          <w:color w:val="222222"/>
          <w:lang w:eastAsia="en-GB"/>
        </w:rPr>
        <w:t>“’</w:t>
      </w:r>
      <w:r w:rsidRPr="00532633">
        <w:rPr>
          <w:rFonts w:eastAsia="Times New Roman" w:cs="Arial"/>
          <w:color w:val="222222"/>
          <w:lang w:eastAsia="en-GB"/>
        </w:rPr>
        <w:t>Disorganised Devolution</w:t>
      </w:r>
      <w:r>
        <w:rPr>
          <w:rFonts w:eastAsia="Times New Roman" w:cs="Arial"/>
          <w:color w:val="222222"/>
          <w:lang w:eastAsia="en-GB"/>
        </w:rPr>
        <w:t>’</w:t>
      </w:r>
      <w:r w:rsidRPr="00532633">
        <w:rPr>
          <w:rFonts w:eastAsia="Times New Roman" w:cs="Arial"/>
          <w:color w:val="222222"/>
          <w:lang w:eastAsia="en-GB"/>
        </w:rPr>
        <w:t>: Reshaping Metropolitan Governance in England in a Period of Austerity</w:t>
      </w:r>
      <w:r>
        <w:rPr>
          <w:rFonts w:eastAsia="Times New Roman" w:cs="Arial"/>
          <w:color w:val="222222"/>
          <w:lang w:eastAsia="en-GB"/>
        </w:rPr>
        <w:t>’,</w:t>
      </w:r>
      <w:r w:rsidRPr="00532633">
        <w:rPr>
          <w:rFonts w:eastAsia="Times New Roman" w:cs="Arial"/>
          <w:color w:val="222222"/>
          <w:lang w:eastAsia="en-GB"/>
        </w:rPr>
        <w:t xml:space="preserve"> </w:t>
      </w:r>
      <w:r w:rsidRPr="00532633">
        <w:rPr>
          <w:rFonts w:eastAsia="Times New Roman" w:cs="Arial"/>
          <w:i/>
          <w:color w:val="222222"/>
          <w:lang w:eastAsia="en-GB"/>
        </w:rPr>
        <w:t>Raumforschung und Raumordnung-Spatial Research and Planning</w:t>
      </w:r>
      <w:r w:rsidRPr="00532633">
        <w:rPr>
          <w:rFonts w:eastAsia="Times New Roman" w:cs="Arial"/>
          <w:color w:val="222222"/>
          <w:lang w:eastAsia="en-GB"/>
        </w:rPr>
        <w:t>, 75</w:t>
      </w:r>
      <w:r>
        <w:rPr>
          <w:rFonts w:eastAsia="Times New Roman" w:cs="Arial"/>
          <w:color w:val="222222"/>
          <w:lang w:eastAsia="en-GB"/>
        </w:rPr>
        <w:t xml:space="preserve">, </w:t>
      </w:r>
      <w:r w:rsidRPr="00532633">
        <w:rPr>
          <w:rFonts w:eastAsia="Times New Roman" w:cs="Arial"/>
          <w:color w:val="222222"/>
          <w:lang w:eastAsia="en-GB"/>
        </w:rPr>
        <w:t>3, 211-224.</w:t>
      </w:r>
    </w:p>
    <w:p w:rsidR="00E8596E" w:rsidRDefault="00E8596E" w:rsidP="00862343">
      <w:pPr>
        <w:rPr>
          <w:rFonts w:eastAsia="Times New Roman" w:cs="Arial"/>
          <w:color w:val="222222"/>
          <w:lang w:eastAsia="en-GB"/>
        </w:rPr>
      </w:pPr>
      <w:r w:rsidRPr="00E8596E">
        <w:rPr>
          <w:rFonts w:eastAsia="Times New Roman" w:cs="Arial"/>
          <w:color w:val="222222"/>
          <w:lang w:eastAsia="en-GB"/>
        </w:rPr>
        <w:t>Starke, Peter, Alexandra Kaasch</w:t>
      </w:r>
      <w:r>
        <w:rPr>
          <w:rFonts w:eastAsia="Times New Roman" w:cs="Arial"/>
          <w:color w:val="222222"/>
          <w:lang w:eastAsia="en-GB"/>
        </w:rPr>
        <w:t>, and</w:t>
      </w:r>
      <w:r w:rsidRPr="00E8596E">
        <w:rPr>
          <w:rFonts w:eastAsia="Times New Roman" w:cs="Arial"/>
          <w:color w:val="222222"/>
          <w:lang w:eastAsia="en-GB"/>
        </w:rPr>
        <w:t xml:space="preserve"> Franca Van Hooren</w:t>
      </w:r>
      <w:r>
        <w:rPr>
          <w:rFonts w:eastAsia="Times New Roman" w:cs="Arial"/>
          <w:color w:val="222222"/>
          <w:lang w:eastAsia="en-GB"/>
        </w:rPr>
        <w:t xml:space="preserve"> (eds)</w:t>
      </w:r>
      <w:r w:rsidRPr="00E8596E">
        <w:rPr>
          <w:rFonts w:eastAsia="Times New Roman" w:cs="Arial"/>
          <w:color w:val="222222"/>
          <w:lang w:eastAsia="en-GB"/>
        </w:rPr>
        <w:t>.</w:t>
      </w:r>
      <w:r>
        <w:rPr>
          <w:rFonts w:eastAsia="Times New Roman" w:cs="Arial"/>
          <w:color w:val="222222"/>
          <w:lang w:eastAsia="en-GB"/>
        </w:rPr>
        <w:t xml:space="preserve"> 2013.</w:t>
      </w:r>
      <w:r w:rsidRPr="00E8596E">
        <w:rPr>
          <w:rFonts w:eastAsia="Times New Roman" w:cs="Arial"/>
          <w:color w:val="222222"/>
          <w:lang w:eastAsia="en-GB"/>
        </w:rPr>
        <w:t xml:space="preserve"> </w:t>
      </w:r>
      <w:r w:rsidRPr="00DD378F">
        <w:rPr>
          <w:rFonts w:eastAsia="Times New Roman" w:cs="Arial"/>
          <w:i/>
          <w:color w:val="222222"/>
          <w:lang w:eastAsia="en-GB"/>
        </w:rPr>
        <w:t>The Welfare State as Crisis Manager: Explaining the Diversity of Policy Responses to Economic Crisis</w:t>
      </w:r>
      <w:r w:rsidRPr="00E8596E">
        <w:rPr>
          <w:rFonts w:eastAsia="Times New Roman" w:cs="Arial"/>
          <w:color w:val="222222"/>
          <w:lang w:eastAsia="en-GB"/>
        </w:rPr>
        <w:t xml:space="preserve">. </w:t>
      </w:r>
      <w:r>
        <w:rPr>
          <w:rFonts w:eastAsia="Times New Roman" w:cs="Arial"/>
          <w:color w:val="222222"/>
          <w:lang w:eastAsia="en-GB"/>
        </w:rPr>
        <w:t>Basingstoke: Palgrave</w:t>
      </w:r>
      <w:r w:rsidRPr="00E8596E">
        <w:rPr>
          <w:rFonts w:eastAsia="Times New Roman" w:cs="Arial"/>
          <w:color w:val="222222"/>
          <w:lang w:eastAsia="en-GB"/>
        </w:rPr>
        <w:t>.</w:t>
      </w:r>
    </w:p>
    <w:p w:rsidR="004F6399" w:rsidRDefault="004F6399" w:rsidP="00862343">
      <w:pPr>
        <w:rPr>
          <w:rFonts w:eastAsia="Times New Roman" w:cs="Arial"/>
          <w:color w:val="222222"/>
          <w:lang w:eastAsia="en-GB"/>
        </w:rPr>
      </w:pPr>
      <w:r>
        <w:rPr>
          <w:rFonts w:eastAsia="Times New Roman" w:cs="Arial"/>
          <w:color w:val="222222"/>
          <w:lang w:eastAsia="en-GB"/>
        </w:rPr>
        <w:t>Stephens, M</w:t>
      </w:r>
      <w:r w:rsidRPr="004F6399">
        <w:rPr>
          <w:rFonts w:eastAsia="Times New Roman" w:cs="Arial"/>
          <w:color w:val="222222"/>
          <w:lang w:eastAsia="en-GB"/>
        </w:rPr>
        <w:t xml:space="preserve">. 2013. </w:t>
      </w:r>
      <w:r>
        <w:rPr>
          <w:rFonts w:eastAsia="Times New Roman" w:cs="Arial"/>
          <w:color w:val="222222"/>
          <w:lang w:eastAsia="en-GB"/>
        </w:rPr>
        <w:t>‘</w:t>
      </w:r>
      <w:r w:rsidRPr="004F6399">
        <w:rPr>
          <w:rFonts w:eastAsia="Times New Roman" w:cs="Arial"/>
          <w:color w:val="222222"/>
          <w:lang w:eastAsia="en-GB"/>
        </w:rPr>
        <w:t>Social Housing in the UK</w:t>
      </w:r>
      <w:r>
        <w:rPr>
          <w:rFonts w:eastAsia="Times New Roman" w:cs="Arial"/>
          <w:color w:val="222222"/>
          <w:lang w:eastAsia="en-GB"/>
        </w:rPr>
        <w:t>’,</w:t>
      </w:r>
      <w:r w:rsidRPr="004F6399">
        <w:rPr>
          <w:rFonts w:eastAsia="Times New Roman" w:cs="Arial"/>
          <w:color w:val="222222"/>
          <w:lang w:eastAsia="en-GB"/>
        </w:rPr>
        <w:t xml:space="preserve"> </w:t>
      </w:r>
      <w:r>
        <w:rPr>
          <w:rFonts w:eastAsia="Times New Roman" w:cs="Arial"/>
          <w:color w:val="222222"/>
          <w:lang w:eastAsia="en-GB"/>
        </w:rPr>
        <w:t>i</w:t>
      </w:r>
      <w:r w:rsidRPr="004F6399">
        <w:rPr>
          <w:rFonts w:eastAsia="Times New Roman" w:cs="Arial"/>
          <w:color w:val="222222"/>
          <w:lang w:eastAsia="en-GB"/>
        </w:rPr>
        <w:t xml:space="preserve">n </w:t>
      </w:r>
      <w:r>
        <w:rPr>
          <w:rFonts w:eastAsia="Times New Roman" w:cs="Arial"/>
          <w:color w:val="222222"/>
          <w:lang w:eastAsia="en-GB"/>
        </w:rPr>
        <w:t xml:space="preserve">J. Chen and M. Stephens (eds), </w:t>
      </w:r>
      <w:r w:rsidRPr="004F6399">
        <w:rPr>
          <w:rFonts w:eastAsia="Times New Roman" w:cs="Arial"/>
          <w:i/>
          <w:color w:val="222222"/>
          <w:lang w:eastAsia="en-GB"/>
        </w:rPr>
        <w:t>The Future of Public Housing: Ongoing Trends in East and West</w:t>
      </w:r>
      <w:r>
        <w:rPr>
          <w:rFonts w:eastAsia="Times New Roman" w:cs="Arial"/>
          <w:color w:val="222222"/>
          <w:lang w:eastAsia="en-GB"/>
        </w:rPr>
        <w:t>.</w:t>
      </w:r>
      <w:r w:rsidRPr="004F6399">
        <w:rPr>
          <w:rFonts w:eastAsia="Times New Roman" w:cs="Arial"/>
          <w:color w:val="222222"/>
          <w:lang w:eastAsia="en-GB"/>
        </w:rPr>
        <w:t xml:space="preserve"> Cambridge, MA: Lincoln Institute of Land Policy, 199-214.</w:t>
      </w:r>
    </w:p>
    <w:p w:rsidR="00226792" w:rsidRDefault="00226792" w:rsidP="007E644D">
      <w:pPr>
        <w:rPr>
          <w:rFonts w:eastAsia="Times New Roman" w:cs="Arial"/>
          <w:color w:val="222222"/>
          <w:lang w:eastAsia="en-GB"/>
        </w:rPr>
      </w:pPr>
      <w:r>
        <w:rPr>
          <w:rFonts w:eastAsia="Times New Roman" w:cs="Arial"/>
          <w:color w:val="222222"/>
          <w:lang w:eastAsia="en-GB"/>
        </w:rPr>
        <w:t>Tang, C.</w:t>
      </w:r>
      <w:r w:rsidRPr="00226792">
        <w:rPr>
          <w:rFonts w:eastAsia="Times New Roman" w:cs="Arial"/>
          <w:color w:val="222222"/>
          <w:lang w:eastAsia="en-GB"/>
        </w:rPr>
        <w:t>,</w:t>
      </w:r>
      <w:r>
        <w:rPr>
          <w:rFonts w:eastAsia="Times New Roman" w:cs="Arial"/>
          <w:color w:val="222222"/>
          <w:lang w:eastAsia="en-GB"/>
        </w:rPr>
        <w:t xml:space="preserve"> M.</w:t>
      </w:r>
      <w:r w:rsidRPr="00226792">
        <w:rPr>
          <w:rFonts w:eastAsia="Times New Roman" w:cs="Arial"/>
          <w:color w:val="222222"/>
          <w:lang w:eastAsia="en-GB"/>
        </w:rPr>
        <w:t xml:space="preserve"> Oxley, and </w:t>
      </w:r>
      <w:r>
        <w:rPr>
          <w:rFonts w:eastAsia="Times New Roman" w:cs="Arial"/>
          <w:color w:val="222222"/>
          <w:lang w:eastAsia="en-GB"/>
        </w:rPr>
        <w:t xml:space="preserve">D. </w:t>
      </w:r>
      <w:r w:rsidRPr="00226792">
        <w:rPr>
          <w:rFonts w:eastAsia="Times New Roman" w:cs="Arial"/>
          <w:color w:val="222222"/>
          <w:lang w:eastAsia="en-GB"/>
        </w:rPr>
        <w:t>Mekic</w:t>
      </w:r>
      <w:r>
        <w:rPr>
          <w:rFonts w:eastAsia="Times New Roman" w:cs="Arial"/>
          <w:color w:val="222222"/>
          <w:lang w:eastAsia="en-GB"/>
        </w:rPr>
        <w:t>.</w:t>
      </w:r>
      <w:r w:rsidRPr="00226792">
        <w:rPr>
          <w:rFonts w:eastAsia="Times New Roman" w:cs="Arial"/>
          <w:color w:val="222222"/>
          <w:lang w:eastAsia="en-GB"/>
        </w:rPr>
        <w:t xml:space="preserve"> 2017. </w:t>
      </w:r>
      <w:r>
        <w:rPr>
          <w:rFonts w:eastAsia="Times New Roman" w:cs="Arial"/>
          <w:color w:val="222222"/>
          <w:lang w:eastAsia="en-GB"/>
        </w:rPr>
        <w:t>‘</w:t>
      </w:r>
      <w:r w:rsidRPr="00226792">
        <w:rPr>
          <w:rFonts w:eastAsia="Times New Roman" w:cs="Arial"/>
          <w:color w:val="222222"/>
          <w:lang w:eastAsia="en-GB"/>
        </w:rPr>
        <w:t>Meeting commercial and social goals: institutional investment in the housing association sector</w:t>
      </w:r>
      <w:r>
        <w:rPr>
          <w:rFonts w:eastAsia="Times New Roman" w:cs="Arial"/>
          <w:color w:val="222222"/>
          <w:lang w:eastAsia="en-GB"/>
        </w:rPr>
        <w:t>’,</w:t>
      </w:r>
      <w:r w:rsidRPr="00226792">
        <w:rPr>
          <w:rFonts w:eastAsia="Times New Roman" w:cs="Arial"/>
          <w:color w:val="222222"/>
          <w:lang w:eastAsia="en-GB"/>
        </w:rPr>
        <w:t xml:space="preserve"> </w:t>
      </w:r>
      <w:r w:rsidRPr="00226792">
        <w:rPr>
          <w:rFonts w:eastAsia="Times New Roman" w:cs="Arial"/>
          <w:i/>
          <w:color w:val="222222"/>
          <w:lang w:eastAsia="en-GB"/>
        </w:rPr>
        <w:t>Housing Studies</w:t>
      </w:r>
      <w:r w:rsidRPr="00226792">
        <w:rPr>
          <w:rFonts w:eastAsia="Times New Roman" w:cs="Arial"/>
          <w:color w:val="222222"/>
          <w:lang w:eastAsia="en-GB"/>
        </w:rPr>
        <w:t>, 32</w:t>
      </w:r>
      <w:r>
        <w:rPr>
          <w:rFonts w:eastAsia="Times New Roman" w:cs="Arial"/>
          <w:color w:val="222222"/>
          <w:lang w:eastAsia="en-GB"/>
        </w:rPr>
        <w:t xml:space="preserve">, </w:t>
      </w:r>
      <w:r w:rsidRPr="00226792">
        <w:rPr>
          <w:rFonts w:eastAsia="Times New Roman" w:cs="Arial"/>
          <w:color w:val="222222"/>
          <w:lang w:eastAsia="en-GB"/>
        </w:rPr>
        <w:t>4, 411-427.</w:t>
      </w:r>
    </w:p>
    <w:p w:rsidR="007E644D" w:rsidRDefault="007E644D" w:rsidP="007E644D">
      <w:pPr>
        <w:rPr>
          <w:rFonts w:eastAsia="Times New Roman" w:cs="Arial"/>
          <w:color w:val="222222"/>
          <w:lang w:eastAsia="en-GB"/>
        </w:rPr>
      </w:pPr>
      <w:r w:rsidRPr="007E644D">
        <w:rPr>
          <w:rFonts w:eastAsia="Times New Roman" w:cs="Arial"/>
          <w:color w:val="222222"/>
          <w:lang w:eastAsia="en-GB"/>
        </w:rPr>
        <w:t>Taylor-Gooby</w:t>
      </w:r>
      <w:r>
        <w:rPr>
          <w:rFonts w:eastAsia="Times New Roman" w:cs="Arial"/>
          <w:color w:val="222222"/>
          <w:lang w:eastAsia="en-GB"/>
        </w:rPr>
        <w:t>,</w:t>
      </w:r>
      <w:r w:rsidRPr="007E644D">
        <w:rPr>
          <w:rFonts w:eastAsia="Times New Roman" w:cs="Arial"/>
          <w:color w:val="222222"/>
          <w:lang w:eastAsia="en-GB"/>
        </w:rPr>
        <w:t xml:space="preserve"> P</w:t>
      </w:r>
      <w:r>
        <w:rPr>
          <w:rFonts w:eastAsia="Times New Roman" w:cs="Arial"/>
          <w:color w:val="222222"/>
          <w:lang w:eastAsia="en-GB"/>
        </w:rPr>
        <w:t>.</w:t>
      </w:r>
      <w:r w:rsidR="0099762B">
        <w:rPr>
          <w:rFonts w:eastAsia="Times New Roman" w:cs="Arial"/>
          <w:color w:val="222222"/>
          <w:lang w:eastAsia="en-GB"/>
        </w:rPr>
        <w:t xml:space="preserve"> 2012.</w:t>
      </w:r>
      <w:r w:rsidRPr="007E644D">
        <w:rPr>
          <w:rFonts w:eastAsia="Times New Roman" w:cs="Arial"/>
          <w:color w:val="222222"/>
          <w:lang w:eastAsia="en-GB"/>
        </w:rPr>
        <w:t xml:space="preserve"> </w:t>
      </w:r>
      <w:r>
        <w:rPr>
          <w:rFonts w:eastAsia="Times New Roman" w:cs="Arial"/>
          <w:color w:val="222222"/>
          <w:lang w:eastAsia="en-GB"/>
        </w:rPr>
        <w:t>‘</w:t>
      </w:r>
      <w:r w:rsidRPr="007E644D">
        <w:rPr>
          <w:rFonts w:eastAsia="Times New Roman" w:cs="Arial"/>
          <w:color w:val="222222"/>
          <w:lang w:eastAsia="en-GB"/>
        </w:rPr>
        <w:t xml:space="preserve">Root and branch restructuring to achieve major cuts: The social policy programme </w:t>
      </w:r>
      <w:r>
        <w:rPr>
          <w:rFonts w:eastAsia="Times New Roman" w:cs="Arial"/>
          <w:color w:val="222222"/>
          <w:lang w:eastAsia="en-GB"/>
        </w:rPr>
        <w:t xml:space="preserve">of </w:t>
      </w:r>
      <w:r w:rsidRPr="007E644D">
        <w:rPr>
          <w:rFonts w:eastAsia="Times New Roman" w:cs="Arial"/>
          <w:color w:val="222222"/>
          <w:lang w:eastAsia="en-GB"/>
        </w:rPr>
        <w:t>the 2010 UK coalition government</w:t>
      </w:r>
      <w:r>
        <w:rPr>
          <w:rFonts w:eastAsia="Times New Roman" w:cs="Arial"/>
          <w:color w:val="222222"/>
          <w:lang w:eastAsia="en-GB"/>
        </w:rPr>
        <w:t>’,</w:t>
      </w:r>
      <w:r w:rsidRPr="007E644D">
        <w:rPr>
          <w:rFonts w:eastAsia="Times New Roman" w:cs="Arial"/>
          <w:color w:val="222222"/>
          <w:lang w:eastAsia="en-GB"/>
        </w:rPr>
        <w:t xml:space="preserve"> </w:t>
      </w:r>
      <w:r w:rsidRPr="002A354C">
        <w:rPr>
          <w:rFonts w:eastAsia="Times New Roman" w:cs="Arial"/>
          <w:i/>
          <w:color w:val="222222"/>
          <w:lang w:eastAsia="en-GB"/>
        </w:rPr>
        <w:t>Social Policy &amp; Administration</w:t>
      </w:r>
      <w:r>
        <w:rPr>
          <w:rFonts w:eastAsia="Times New Roman" w:cs="Arial"/>
          <w:color w:val="222222"/>
          <w:lang w:eastAsia="en-GB"/>
        </w:rPr>
        <w:t>,</w:t>
      </w:r>
      <w:r w:rsidRPr="007E644D">
        <w:rPr>
          <w:rFonts w:eastAsia="Times New Roman" w:cs="Arial"/>
          <w:color w:val="222222"/>
          <w:lang w:eastAsia="en-GB"/>
        </w:rPr>
        <w:t xml:space="preserve"> 46</w:t>
      </w:r>
      <w:r>
        <w:rPr>
          <w:rFonts w:eastAsia="Times New Roman" w:cs="Arial"/>
          <w:color w:val="222222"/>
          <w:lang w:eastAsia="en-GB"/>
        </w:rPr>
        <w:t xml:space="preserve">, </w:t>
      </w:r>
      <w:r w:rsidRPr="007E644D">
        <w:rPr>
          <w:rFonts w:eastAsia="Times New Roman" w:cs="Arial"/>
          <w:color w:val="222222"/>
          <w:lang w:eastAsia="en-GB"/>
        </w:rPr>
        <w:t>1</w:t>
      </w:r>
      <w:r>
        <w:rPr>
          <w:rFonts w:eastAsia="Times New Roman" w:cs="Arial"/>
          <w:color w:val="222222"/>
          <w:lang w:eastAsia="en-GB"/>
        </w:rPr>
        <w:t>,</w:t>
      </w:r>
      <w:r w:rsidRPr="007E644D">
        <w:rPr>
          <w:rFonts w:eastAsia="Times New Roman" w:cs="Arial"/>
          <w:color w:val="222222"/>
          <w:lang w:eastAsia="en-GB"/>
        </w:rPr>
        <w:t xml:space="preserve"> 61–82.</w:t>
      </w:r>
    </w:p>
    <w:p w:rsidR="00DD378F" w:rsidRPr="00DD378F" w:rsidRDefault="00DD378F" w:rsidP="00862343">
      <w:pPr>
        <w:rPr>
          <w:rFonts w:eastAsia="Times New Roman" w:cs="Arial"/>
          <w:color w:val="222222"/>
          <w:lang w:eastAsia="en-GB"/>
        </w:rPr>
      </w:pPr>
      <w:r>
        <w:rPr>
          <w:rFonts w:eastAsia="Times New Roman" w:cs="Arial"/>
          <w:color w:val="222222"/>
          <w:lang w:eastAsia="en-GB"/>
        </w:rPr>
        <w:t xml:space="preserve">Taylor-Gooby, P. 2013. </w:t>
      </w:r>
      <w:r>
        <w:rPr>
          <w:rFonts w:eastAsia="Times New Roman" w:cs="Arial"/>
          <w:i/>
          <w:color w:val="222222"/>
          <w:lang w:eastAsia="en-GB"/>
        </w:rPr>
        <w:t>The Double Crisis of the Welfare State and What We Can Do About It</w:t>
      </w:r>
      <w:r>
        <w:rPr>
          <w:rFonts w:eastAsia="Times New Roman" w:cs="Arial"/>
          <w:color w:val="222222"/>
          <w:lang w:eastAsia="en-GB"/>
        </w:rPr>
        <w:t>. Basingstoke: Palgrave.</w:t>
      </w:r>
    </w:p>
    <w:p w:rsidR="00E636C4" w:rsidRDefault="00E636C4" w:rsidP="00862343">
      <w:pPr>
        <w:rPr>
          <w:rFonts w:eastAsia="Times New Roman" w:cs="Arial"/>
          <w:color w:val="222222"/>
          <w:lang w:eastAsia="en-GB"/>
        </w:rPr>
      </w:pPr>
      <w:r>
        <w:rPr>
          <w:rFonts w:eastAsia="Times New Roman" w:cs="Arial"/>
          <w:color w:val="222222"/>
          <w:lang w:eastAsia="en-GB"/>
        </w:rPr>
        <w:t>Teasdale, S.</w:t>
      </w:r>
      <w:r w:rsidRPr="00E636C4">
        <w:rPr>
          <w:rFonts w:eastAsia="Times New Roman" w:cs="Arial"/>
          <w:color w:val="222222"/>
          <w:lang w:eastAsia="en-GB"/>
        </w:rPr>
        <w:t xml:space="preserve"> 2012. </w:t>
      </w:r>
      <w:r>
        <w:rPr>
          <w:rFonts w:eastAsia="Times New Roman" w:cs="Arial"/>
          <w:color w:val="222222"/>
          <w:lang w:eastAsia="en-GB"/>
        </w:rPr>
        <w:t>‘</w:t>
      </w:r>
      <w:r w:rsidRPr="00E636C4">
        <w:rPr>
          <w:rFonts w:eastAsia="Times New Roman" w:cs="Arial"/>
          <w:color w:val="222222"/>
          <w:lang w:eastAsia="en-GB"/>
        </w:rPr>
        <w:t>Negotiating tensions: how do social enterprises in the homelessness field balance social and commercial considerations?</w:t>
      </w:r>
      <w:r>
        <w:rPr>
          <w:rFonts w:eastAsia="Times New Roman" w:cs="Arial"/>
          <w:color w:val="222222"/>
          <w:lang w:eastAsia="en-GB"/>
        </w:rPr>
        <w:t>’,</w:t>
      </w:r>
      <w:r w:rsidRPr="00E636C4">
        <w:rPr>
          <w:rFonts w:eastAsia="Times New Roman" w:cs="Arial"/>
          <w:color w:val="222222"/>
          <w:lang w:eastAsia="en-GB"/>
        </w:rPr>
        <w:t xml:space="preserve"> </w:t>
      </w:r>
      <w:r w:rsidRPr="00E636C4">
        <w:rPr>
          <w:rFonts w:eastAsia="Times New Roman" w:cs="Arial"/>
          <w:i/>
          <w:color w:val="222222"/>
          <w:lang w:eastAsia="en-GB"/>
        </w:rPr>
        <w:t>Housing Studies</w:t>
      </w:r>
      <w:r w:rsidRPr="00E636C4">
        <w:rPr>
          <w:rFonts w:eastAsia="Times New Roman" w:cs="Arial"/>
          <w:color w:val="222222"/>
          <w:lang w:eastAsia="en-GB"/>
        </w:rPr>
        <w:t>, 27</w:t>
      </w:r>
      <w:r>
        <w:rPr>
          <w:rFonts w:eastAsia="Times New Roman" w:cs="Arial"/>
          <w:color w:val="222222"/>
          <w:lang w:eastAsia="en-GB"/>
        </w:rPr>
        <w:t xml:space="preserve">, </w:t>
      </w:r>
      <w:r w:rsidRPr="00E636C4">
        <w:rPr>
          <w:rFonts w:eastAsia="Times New Roman" w:cs="Arial"/>
          <w:color w:val="222222"/>
          <w:lang w:eastAsia="en-GB"/>
        </w:rPr>
        <w:t>4, 514-532.</w:t>
      </w:r>
    </w:p>
    <w:p w:rsidR="000F5D32" w:rsidRDefault="000F5D32" w:rsidP="00862343">
      <w:pPr>
        <w:rPr>
          <w:rFonts w:eastAsia="Times New Roman" w:cs="Arial"/>
          <w:color w:val="222222"/>
          <w:lang w:eastAsia="en-GB"/>
        </w:rPr>
      </w:pPr>
      <w:r>
        <w:rPr>
          <w:rFonts w:eastAsia="Times New Roman" w:cs="Arial"/>
          <w:color w:val="222222"/>
          <w:lang w:eastAsia="en-GB"/>
        </w:rPr>
        <w:lastRenderedPageBreak/>
        <w:t>Thatcher, M.</w:t>
      </w:r>
      <w:r w:rsidRPr="000F5D32">
        <w:rPr>
          <w:rFonts w:eastAsia="Times New Roman" w:cs="Arial"/>
          <w:color w:val="222222"/>
          <w:lang w:eastAsia="en-GB"/>
        </w:rPr>
        <w:t xml:space="preserve"> 1998. </w:t>
      </w:r>
      <w:r>
        <w:rPr>
          <w:rFonts w:eastAsia="Times New Roman" w:cs="Arial"/>
          <w:color w:val="222222"/>
          <w:lang w:eastAsia="en-GB"/>
        </w:rPr>
        <w:t>‘</w:t>
      </w:r>
      <w:r w:rsidRPr="000F5D32">
        <w:rPr>
          <w:rFonts w:eastAsia="Times New Roman" w:cs="Arial"/>
          <w:color w:val="222222"/>
          <w:lang w:eastAsia="en-GB"/>
        </w:rPr>
        <w:t>Institutions, regulation, and change: new regulatory agencies in the British privatised utilities</w:t>
      </w:r>
      <w:r>
        <w:rPr>
          <w:rFonts w:eastAsia="Times New Roman" w:cs="Arial"/>
          <w:color w:val="222222"/>
          <w:lang w:eastAsia="en-GB"/>
        </w:rPr>
        <w:t>’,</w:t>
      </w:r>
      <w:r w:rsidRPr="000F5D32">
        <w:rPr>
          <w:rFonts w:eastAsia="Times New Roman" w:cs="Arial"/>
          <w:color w:val="222222"/>
          <w:lang w:eastAsia="en-GB"/>
        </w:rPr>
        <w:t xml:space="preserve"> </w:t>
      </w:r>
      <w:r w:rsidRPr="000F5D32">
        <w:rPr>
          <w:rFonts w:eastAsia="Times New Roman" w:cs="Arial"/>
          <w:i/>
          <w:color w:val="222222"/>
          <w:lang w:eastAsia="en-GB"/>
        </w:rPr>
        <w:t>West European Politics</w:t>
      </w:r>
      <w:r w:rsidRPr="000F5D32">
        <w:rPr>
          <w:rFonts w:eastAsia="Times New Roman" w:cs="Arial"/>
          <w:color w:val="222222"/>
          <w:lang w:eastAsia="en-GB"/>
        </w:rPr>
        <w:t>, 21</w:t>
      </w:r>
      <w:r>
        <w:rPr>
          <w:rFonts w:eastAsia="Times New Roman" w:cs="Arial"/>
          <w:color w:val="222222"/>
          <w:lang w:eastAsia="en-GB"/>
        </w:rPr>
        <w:t xml:space="preserve">, </w:t>
      </w:r>
      <w:r w:rsidRPr="000F5D32">
        <w:rPr>
          <w:rFonts w:eastAsia="Times New Roman" w:cs="Arial"/>
          <w:color w:val="222222"/>
          <w:lang w:eastAsia="en-GB"/>
        </w:rPr>
        <w:t>1, 120-147.</w:t>
      </w:r>
    </w:p>
    <w:p w:rsidR="00730822" w:rsidRPr="00730822" w:rsidRDefault="00730822" w:rsidP="00862343">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Turk, S. and W. K. Altes. 2010. ‘The planning system and land provision for social housing in Turkey’, </w:t>
      </w:r>
      <w:r>
        <w:rPr>
          <w:rFonts w:ascii="Arial" w:hAnsi="Arial" w:cs="Arial"/>
          <w:i/>
          <w:color w:val="222222"/>
          <w:sz w:val="20"/>
          <w:szCs w:val="20"/>
          <w:shd w:val="clear" w:color="auto" w:fill="FFFFFF"/>
        </w:rPr>
        <w:t>Housing Finance International</w:t>
      </w:r>
      <w:r>
        <w:rPr>
          <w:rFonts w:ascii="Arial" w:hAnsi="Arial" w:cs="Arial"/>
          <w:color w:val="222222"/>
          <w:sz w:val="20"/>
          <w:szCs w:val="20"/>
          <w:shd w:val="clear" w:color="auto" w:fill="FFFFFF"/>
        </w:rPr>
        <w:t xml:space="preserve">, 25, 1, </w:t>
      </w:r>
      <w:r w:rsidR="004538E0">
        <w:rPr>
          <w:rFonts w:ascii="Arial" w:hAnsi="Arial" w:cs="Arial"/>
          <w:color w:val="222222"/>
          <w:sz w:val="20"/>
          <w:szCs w:val="20"/>
          <w:shd w:val="clear" w:color="auto" w:fill="FFFFFF"/>
        </w:rPr>
        <w:t>26-34</w:t>
      </w:r>
      <w:r>
        <w:rPr>
          <w:rFonts w:ascii="Arial" w:hAnsi="Arial" w:cs="Arial"/>
          <w:color w:val="222222"/>
          <w:sz w:val="20"/>
          <w:szCs w:val="20"/>
          <w:shd w:val="clear" w:color="auto" w:fill="FFFFFF"/>
        </w:rPr>
        <w:t>.</w:t>
      </w:r>
    </w:p>
    <w:p w:rsidR="00656703" w:rsidRDefault="00656703" w:rsidP="00862343">
      <w:pPr>
        <w:rPr>
          <w:rFonts w:eastAsia="Times New Roman" w:cs="Arial"/>
          <w:color w:val="222222"/>
          <w:lang w:eastAsia="en-GB"/>
        </w:rPr>
      </w:pPr>
      <w:r>
        <w:rPr>
          <w:rFonts w:ascii="Arial" w:hAnsi="Arial" w:cs="Arial"/>
          <w:color w:val="222222"/>
          <w:sz w:val="20"/>
          <w:szCs w:val="20"/>
          <w:shd w:val="clear" w:color="auto" w:fill="FFFFFF"/>
        </w:rPr>
        <w:t>Van der Veer, J. and Schuiling, D., 2005. ‘The Amsterdam housing market and the role of housing associations’, </w:t>
      </w:r>
      <w:r>
        <w:rPr>
          <w:rFonts w:ascii="Arial" w:hAnsi="Arial" w:cs="Arial"/>
          <w:i/>
          <w:iCs/>
          <w:color w:val="222222"/>
          <w:sz w:val="20"/>
          <w:szCs w:val="20"/>
          <w:shd w:val="clear" w:color="auto" w:fill="FFFFFF"/>
        </w:rPr>
        <w:t>Journal of Housing and the Built Environment</w:t>
      </w:r>
      <w:r>
        <w:rPr>
          <w:rFonts w:ascii="Arial" w:hAnsi="Arial" w:cs="Arial"/>
          <w:color w:val="222222"/>
          <w:sz w:val="20"/>
          <w:szCs w:val="20"/>
          <w:shd w:val="clear" w:color="auto" w:fill="FFFFFF"/>
        </w:rPr>
        <w:t>, </w:t>
      </w:r>
      <w:r w:rsidRPr="00656703">
        <w:rPr>
          <w:rFonts w:ascii="Arial" w:hAnsi="Arial" w:cs="Arial"/>
          <w:iCs/>
          <w:color w:val="222222"/>
          <w:sz w:val="20"/>
          <w:szCs w:val="20"/>
          <w:shd w:val="clear" w:color="auto" w:fill="FFFFFF"/>
        </w:rPr>
        <w:t>20</w:t>
      </w:r>
      <w:r>
        <w:rPr>
          <w:rFonts w:ascii="Arial" w:hAnsi="Arial" w:cs="Arial"/>
          <w:color w:val="222222"/>
          <w:sz w:val="20"/>
          <w:szCs w:val="20"/>
          <w:shd w:val="clear" w:color="auto" w:fill="FFFFFF"/>
        </w:rPr>
        <w:t>, 2,167-181.</w:t>
      </w:r>
    </w:p>
    <w:p w:rsidR="008621C6" w:rsidRPr="008621C6" w:rsidRDefault="008621C6" w:rsidP="00862343">
      <w:pPr>
        <w:rPr>
          <w:rFonts w:eastAsia="Times New Roman" w:cs="Arial"/>
          <w:color w:val="222222"/>
          <w:lang w:eastAsia="en-GB"/>
        </w:rPr>
      </w:pPr>
      <w:r>
        <w:rPr>
          <w:rFonts w:eastAsia="Times New Roman" w:cs="Arial"/>
          <w:color w:val="222222"/>
          <w:lang w:eastAsia="en-GB"/>
        </w:rPr>
        <w:t xml:space="preserve">Verbruggen, P. 2013. ‘Gorillas in the closet? Public and private actors in the enforcement of transnational private regulation’, </w:t>
      </w:r>
      <w:r>
        <w:rPr>
          <w:rFonts w:eastAsia="Times New Roman" w:cs="Arial"/>
          <w:i/>
          <w:color w:val="222222"/>
          <w:lang w:eastAsia="en-GB"/>
        </w:rPr>
        <w:t>Regulation and Governance</w:t>
      </w:r>
      <w:r>
        <w:rPr>
          <w:rFonts w:eastAsia="Times New Roman" w:cs="Arial"/>
          <w:color w:val="222222"/>
          <w:lang w:eastAsia="en-GB"/>
        </w:rPr>
        <w:t xml:space="preserve">, 7, 4, 512-32. </w:t>
      </w:r>
    </w:p>
    <w:p w:rsidR="00C83C07" w:rsidRDefault="00C83C07" w:rsidP="00862343">
      <w:pPr>
        <w:rPr>
          <w:rFonts w:ascii="Arial" w:hAnsi="Arial" w:cs="Arial"/>
          <w:color w:val="222222"/>
          <w:sz w:val="20"/>
          <w:szCs w:val="20"/>
          <w:shd w:val="clear" w:color="auto" w:fill="FFFFFF"/>
        </w:rPr>
      </w:pPr>
      <w:r w:rsidRPr="00C83C07">
        <w:rPr>
          <w:rFonts w:ascii="Arial" w:hAnsi="Arial" w:cs="Arial"/>
          <w:color w:val="222222"/>
          <w:sz w:val="20"/>
          <w:szCs w:val="20"/>
          <w:shd w:val="clear" w:color="auto" w:fill="FFFFFF"/>
        </w:rPr>
        <w:t xml:space="preserve">Wainwright, T. and </w:t>
      </w:r>
      <w:r>
        <w:rPr>
          <w:rFonts w:ascii="Arial" w:hAnsi="Arial" w:cs="Arial"/>
          <w:color w:val="222222"/>
          <w:sz w:val="20"/>
          <w:szCs w:val="20"/>
          <w:shd w:val="clear" w:color="auto" w:fill="FFFFFF"/>
        </w:rPr>
        <w:t xml:space="preserve">G. </w:t>
      </w:r>
      <w:r w:rsidRPr="00C83C07">
        <w:rPr>
          <w:rFonts w:ascii="Arial" w:hAnsi="Arial" w:cs="Arial"/>
          <w:color w:val="222222"/>
          <w:sz w:val="20"/>
          <w:szCs w:val="20"/>
          <w:shd w:val="clear" w:color="auto" w:fill="FFFFFF"/>
        </w:rPr>
        <w:t>Manville</w:t>
      </w:r>
      <w:r>
        <w:rPr>
          <w:rFonts w:ascii="Arial" w:hAnsi="Arial" w:cs="Arial"/>
          <w:color w:val="222222"/>
          <w:sz w:val="20"/>
          <w:szCs w:val="20"/>
          <w:shd w:val="clear" w:color="auto" w:fill="FFFFFF"/>
        </w:rPr>
        <w:t>.</w:t>
      </w:r>
      <w:r w:rsidRPr="00C83C07">
        <w:rPr>
          <w:rFonts w:ascii="Arial" w:hAnsi="Arial" w:cs="Arial"/>
          <w:color w:val="222222"/>
          <w:sz w:val="20"/>
          <w:szCs w:val="20"/>
          <w:shd w:val="clear" w:color="auto" w:fill="FFFFFF"/>
        </w:rPr>
        <w:t xml:space="preserve"> 2017. </w:t>
      </w:r>
      <w:r>
        <w:rPr>
          <w:rFonts w:ascii="Arial" w:hAnsi="Arial" w:cs="Arial"/>
          <w:color w:val="222222"/>
          <w:sz w:val="20"/>
          <w:szCs w:val="20"/>
          <w:shd w:val="clear" w:color="auto" w:fill="FFFFFF"/>
        </w:rPr>
        <w:t>‘</w:t>
      </w:r>
      <w:r w:rsidRPr="00C83C07">
        <w:rPr>
          <w:rFonts w:ascii="Arial" w:hAnsi="Arial" w:cs="Arial"/>
          <w:color w:val="222222"/>
          <w:sz w:val="20"/>
          <w:szCs w:val="20"/>
          <w:shd w:val="clear" w:color="auto" w:fill="FFFFFF"/>
        </w:rPr>
        <w:t>Financialization and the third sector: Innovation in social housing bond markets</w:t>
      </w:r>
      <w:r>
        <w:rPr>
          <w:rFonts w:ascii="Arial" w:hAnsi="Arial" w:cs="Arial"/>
          <w:color w:val="222222"/>
          <w:sz w:val="20"/>
          <w:szCs w:val="20"/>
          <w:shd w:val="clear" w:color="auto" w:fill="FFFFFF"/>
        </w:rPr>
        <w:t>’,</w:t>
      </w:r>
      <w:r w:rsidRPr="00C83C07">
        <w:rPr>
          <w:rFonts w:ascii="Arial" w:hAnsi="Arial" w:cs="Arial"/>
          <w:color w:val="222222"/>
          <w:sz w:val="20"/>
          <w:szCs w:val="20"/>
          <w:shd w:val="clear" w:color="auto" w:fill="FFFFFF"/>
        </w:rPr>
        <w:t xml:space="preserve"> </w:t>
      </w:r>
      <w:r w:rsidRPr="00C83C07">
        <w:rPr>
          <w:rFonts w:ascii="Arial" w:hAnsi="Arial" w:cs="Arial"/>
          <w:i/>
          <w:color w:val="222222"/>
          <w:sz w:val="20"/>
          <w:szCs w:val="20"/>
          <w:shd w:val="clear" w:color="auto" w:fill="FFFFFF"/>
        </w:rPr>
        <w:t>Environment and Planning A</w:t>
      </w:r>
      <w:r w:rsidRPr="00C83C07">
        <w:rPr>
          <w:rFonts w:ascii="Arial" w:hAnsi="Arial" w:cs="Arial"/>
          <w:color w:val="222222"/>
          <w:sz w:val="20"/>
          <w:szCs w:val="20"/>
          <w:shd w:val="clear" w:color="auto" w:fill="FFFFFF"/>
        </w:rPr>
        <w:t>, 49</w:t>
      </w:r>
      <w:r>
        <w:rPr>
          <w:rFonts w:ascii="Arial" w:hAnsi="Arial" w:cs="Arial"/>
          <w:color w:val="222222"/>
          <w:sz w:val="20"/>
          <w:szCs w:val="20"/>
          <w:shd w:val="clear" w:color="auto" w:fill="FFFFFF"/>
        </w:rPr>
        <w:t xml:space="preserve">, </w:t>
      </w:r>
      <w:r w:rsidRPr="00C83C07">
        <w:rPr>
          <w:rFonts w:ascii="Arial" w:hAnsi="Arial" w:cs="Arial"/>
          <w:color w:val="222222"/>
          <w:sz w:val="20"/>
          <w:szCs w:val="20"/>
          <w:shd w:val="clear" w:color="auto" w:fill="FFFFFF"/>
        </w:rPr>
        <w:t>4, 819-838.</w:t>
      </w:r>
    </w:p>
    <w:p w:rsidR="00195A99" w:rsidRDefault="00195A99" w:rsidP="00862343">
      <w:pPr>
        <w:rPr>
          <w:rFonts w:eastAsia="Times New Roman" w:cs="Arial"/>
          <w:color w:val="222222"/>
          <w:lang w:eastAsia="en-GB"/>
        </w:rPr>
      </w:pPr>
      <w:r>
        <w:rPr>
          <w:rFonts w:ascii="Arial" w:hAnsi="Arial" w:cs="Arial"/>
          <w:color w:val="222222"/>
          <w:sz w:val="20"/>
          <w:szCs w:val="20"/>
          <w:shd w:val="clear" w:color="auto" w:fill="FFFFFF"/>
        </w:rPr>
        <w:t>Whitehead, C. 2015. ‘From social housing to subsidized housing? Accommodating low-income households in Europe’, </w:t>
      </w:r>
      <w:r>
        <w:rPr>
          <w:rFonts w:ascii="Arial" w:hAnsi="Arial" w:cs="Arial"/>
          <w:i/>
          <w:iCs/>
          <w:color w:val="222222"/>
          <w:sz w:val="20"/>
          <w:szCs w:val="20"/>
          <w:shd w:val="clear" w:color="auto" w:fill="FFFFFF"/>
        </w:rPr>
        <w:t>Built Environment</w:t>
      </w:r>
      <w:r>
        <w:rPr>
          <w:rFonts w:ascii="Arial" w:hAnsi="Arial" w:cs="Arial"/>
          <w:color w:val="222222"/>
          <w:sz w:val="20"/>
          <w:szCs w:val="20"/>
          <w:shd w:val="clear" w:color="auto" w:fill="FFFFFF"/>
        </w:rPr>
        <w:t>, </w:t>
      </w:r>
      <w:r w:rsidRPr="00195A99">
        <w:rPr>
          <w:rFonts w:ascii="Arial" w:hAnsi="Arial" w:cs="Arial"/>
          <w:iCs/>
          <w:color w:val="222222"/>
          <w:sz w:val="20"/>
          <w:szCs w:val="20"/>
          <w:shd w:val="clear" w:color="auto" w:fill="FFFFFF"/>
        </w:rPr>
        <w:t>41</w:t>
      </w:r>
      <w:r>
        <w:rPr>
          <w:rFonts w:ascii="Arial" w:hAnsi="Arial" w:cs="Arial"/>
          <w:color w:val="222222"/>
          <w:sz w:val="20"/>
          <w:szCs w:val="20"/>
          <w:shd w:val="clear" w:color="auto" w:fill="FFFFFF"/>
        </w:rPr>
        <w:t>(2): 244-257.</w:t>
      </w:r>
    </w:p>
    <w:p w:rsidR="00F271FC" w:rsidRDefault="00F271FC" w:rsidP="00862343">
      <w:pPr>
        <w:rPr>
          <w:rFonts w:eastAsia="Times New Roman" w:cs="Arial"/>
          <w:color w:val="222222"/>
          <w:lang w:eastAsia="en-GB"/>
        </w:rPr>
      </w:pPr>
      <w:r w:rsidRPr="00F271FC">
        <w:rPr>
          <w:rFonts w:eastAsia="Times New Roman" w:cs="Arial"/>
          <w:color w:val="222222"/>
          <w:lang w:eastAsia="en-GB"/>
        </w:rPr>
        <w:t>Wilcox, S</w:t>
      </w:r>
      <w:r>
        <w:rPr>
          <w:rFonts w:eastAsia="Times New Roman" w:cs="Arial"/>
          <w:color w:val="222222"/>
          <w:lang w:eastAsia="en-GB"/>
        </w:rPr>
        <w:t>.</w:t>
      </w:r>
      <w:r w:rsidRPr="00F271FC">
        <w:rPr>
          <w:rFonts w:eastAsia="Times New Roman" w:cs="Arial"/>
          <w:color w:val="222222"/>
          <w:lang w:eastAsia="en-GB"/>
        </w:rPr>
        <w:t>, J</w:t>
      </w:r>
      <w:r>
        <w:rPr>
          <w:rFonts w:eastAsia="Times New Roman" w:cs="Arial"/>
          <w:color w:val="222222"/>
          <w:lang w:eastAsia="en-GB"/>
        </w:rPr>
        <w:t>.</w:t>
      </w:r>
      <w:r w:rsidRPr="00F271FC">
        <w:rPr>
          <w:rFonts w:eastAsia="Times New Roman" w:cs="Arial"/>
          <w:color w:val="222222"/>
          <w:lang w:eastAsia="en-GB"/>
        </w:rPr>
        <w:t xml:space="preserve"> Perry, M</w:t>
      </w:r>
      <w:r>
        <w:rPr>
          <w:rFonts w:eastAsia="Times New Roman" w:cs="Arial"/>
          <w:color w:val="222222"/>
          <w:lang w:eastAsia="en-GB"/>
        </w:rPr>
        <w:t>.</w:t>
      </w:r>
      <w:r w:rsidRPr="00F271FC">
        <w:rPr>
          <w:rFonts w:eastAsia="Times New Roman" w:cs="Arial"/>
          <w:color w:val="222222"/>
          <w:lang w:eastAsia="en-GB"/>
        </w:rPr>
        <w:t xml:space="preserve"> Stephens, and P</w:t>
      </w:r>
      <w:r>
        <w:rPr>
          <w:rFonts w:eastAsia="Times New Roman" w:cs="Arial"/>
          <w:color w:val="222222"/>
          <w:lang w:eastAsia="en-GB"/>
        </w:rPr>
        <w:t>.</w:t>
      </w:r>
      <w:r w:rsidRPr="00F271FC">
        <w:rPr>
          <w:rFonts w:eastAsia="Times New Roman" w:cs="Arial"/>
          <w:color w:val="222222"/>
          <w:lang w:eastAsia="en-GB"/>
        </w:rPr>
        <w:t xml:space="preserve"> Williams. 2016. </w:t>
      </w:r>
      <w:r w:rsidRPr="00F271FC">
        <w:rPr>
          <w:rFonts w:eastAsia="Times New Roman" w:cs="Arial"/>
          <w:i/>
          <w:color w:val="222222"/>
          <w:lang w:eastAsia="en-GB"/>
        </w:rPr>
        <w:t>UK Housing Review 2016</w:t>
      </w:r>
      <w:r w:rsidRPr="00F271FC">
        <w:rPr>
          <w:rFonts w:eastAsia="Times New Roman" w:cs="Arial"/>
          <w:color w:val="222222"/>
          <w:lang w:eastAsia="en-GB"/>
        </w:rPr>
        <w:t>. Coventry: Chartered Institute of Housing.</w:t>
      </w:r>
    </w:p>
    <w:p w:rsidR="0072710A" w:rsidRDefault="0072710A" w:rsidP="00862343">
      <w:pPr>
        <w:rPr>
          <w:rFonts w:eastAsia="Times New Roman" w:cs="Arial"/>
          <w:color w:val="222222"/>
          <w:lang w:eastAsia="en-GB"/>
        </w:rPr>
      </w:pPr>
      <w:r>
        <w:rPr>
          <w:rFonts w:eastAsia="Times New Roman" w:cs="Arial"/>
          <w:color w:val="222222"/>
          <w:lang w:eastAsia="en-GB"/>
        </w:rPr>
        <w:t xml:space="preserve">Wilson, W. 2016. </w:t>
      </w:r>
      <w:r>
        <w:rPr>
          <w:rFonts w:eastAsia="Times New Roman" w:cs="Arial"/>
          <w:i/>
          <w:color w:val="222222"/>
          <w:lang w:eastAsia="en-GB"/>
        </w:rPr>
        <w:t>Rent Setting: Social Housing</w:t>
      </w:r>
      <w:r>
        <w:rPr>
          <w:rFonts w:eastAsia="Times New Roman" w:cs="Arial"/>
          <w:color w:val="222222"/>
          <w:lang w:eastAsia="en-GB"/>
        </w:rPr>
        <w:t>. London: House of Commons Library.</w:t>
      </w:r>
    </w:p>
    <w:p w:rsidR="00C74A6E" w:rsidRPr="00C74A6E" w:rsidRDefault="00C74A6E" w:rsidP="00862343">
      <w:pPr>
        <w:rPr>
          <w:rFonts w:eastAsia="Times New Roman" w:cs="Arial"/>
          <w:color w:val="222222"/>
          <w:lang w:eastAsia="en-GB"/>
        </w:rPr>
      </w:pPr>
      <w:r>
        <w:rPr>
          <w:rFonts w:eastAsia="Times New Roman" w:cs="Arial"/>
          <w:color w:val="222222"/>
          <w:lang w:eastAsia="en-GB"/>
        </w:rPr>
        <w:t>Wood, S. and A. Alexander. 2016. ‘</w:t>
      </w:r>
      <w:r>
        <w:t xml:space="preserve">Regulation in practice: Power, resources and context at the local scale in UK food retailing’, </w:t>
      </w:r>
      <w:r>
        <w:rPr>
          <w:i/>
        </w:rPr>
        <w:t>Environment and Planning A: Economy and Space</w:t>
      </w:r>
      <w:r>
        <w:t>, 48, 9, 1848-63.</w:t>
      </w:r>
    </w:p>
    <w:p w:rsidR="00956D24" w:rsidRPr="00956D24" w:rsidRDefault="00956D24" w:rsidP="00862343">
      <w:pPr>
        <w:rPr>
          <w:rFonts w:eastAsia="Times New Roman" w:cs="Arial"/>
          <w:color w:val="222222"/>
          <w:lang w:eastAsia="en-GB"/>
        </w:rPr>
      </w:pPr>
      <w:r>
        <w:rPr>
          <w:rFonts w:eastAsia="Times New Roman" w:cs="Arial"/>
          <w:color w:val="222222"/>
          <w:lang w:eastAsia="en-GB"/>
        </w:rPr>
        <w:t>Wright, J. 2009. ‘</w:t>
      </w:r>
      <w:r w:rsidRPr="00956D24">
        <w:rPr>
          <w:rFonts w:eastAsia="Times New Roman" w:cs="Arial"/>
          <w:color w:val="222222"/>
          <w:lang w:eastAsia="en-GB"/>
        </w:rPr>
        <w:t>The reg</w:t>
      </w:r>
      <w:r>
        <w:rPr>
          <w:rFonts w:eastAsia="Times New Roman" w:cs="Arial"/>
          <w:color w:val="222222"/>
          <w:lang w:eastAsia="en-GB"/>
        </w:rPr>
        <w:t xml:space="preserve">ulatory state and the UK Labour </w:t>
      </w:r>
      <w:r w:rsidRPr="00956D24">
        <w:rPr>
          <w:rFonts w:eastAsia="Times New Roman" w:cs="Arial"/>
          <w:color w:val="222222"/>
          <w:lang w:eastAsia="en-GB"/>
        </w:rPr>
        <w:t>Government’</w:t>
      </w:r>
      <w:r>
        <w:rPr>
          <w:rFonts w:eastAsia="Times New Roman" w:cs="Arial"/>
          <w:color w:val="222222"/>
          <w:lang w:eastAsia="en-GB"/>
        </w:rPr>
        <w:t xml:space="preserve">s re-regulation of provision in </w:t>
      </w:r>
      <w:r w:rsidRPr="00956D24">
        <w:rPr>
          <w:rFonts w:eastAsia="Times New Roman" w:cs="Arial"/>
          <w:color w:val="222222"/>
          <w:lang w:eastAsia="en-GB"/>
        </w:rPr>
        <w:t>the English National Health Service</w:t>
      </w:r>
      <w:r>
        <w:rPr>
          <w:rFonts w:eastAsia="Times New Roman" w:cs="Arial"/>
          <w:color w:val="222222"/>
          <w:lang w:eastAsia="en-GB"/>
        </w:rPr>
        <w:t xml:space="preserve">’, </w:t>
      </w:r>
      <w:r>
        <w:rPr>
          <w:rFonts w:eastAsia="Times New Roman" w:cs="Arial"/>
          <w:i/>
          <w:color w:val="222222"/>
          <w:lang w:eastAsia="en-GB"/>
        </w:rPr>
        <w:t>Regulation and Governance</w:t>
      </w:r>
      <w:r>
        <w:rPr>
          <w:rFonts w:eastAsia="Times New Roman" w:cs="Arial"/>
          <w:color w:val="222222"/>
          <w:lang w:eastAsia="en-GB"/>
        </w:rPr>
        <w:t>, 3, 4, 334-59.</w:t>
      </w:r>
    </w:p>
    <w:p w:rsidR="006171D6" w:rsidRDefault="006171D6" w:rsidP="00862343"/>
    <w:sectPr w:rsidR="006171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719" w:rsidRDefault="00632719" w:rsidP="00566EDD">
      <w:pPr>
        <w:spacing w:line="240" w:lineRule="auto"/>
      </w:pPr>
      <w:r>
        <w:separator/>
      </w:r>
    </w:p>
  </w:endnote>
  <w:endnote w:type="continuationSeparator" w:id="0">
    <w:p w:rsidR="00632719" w:rsidRDefault="00632719" w:rsidP="00566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719" w:rsidRDefault="00632719">
    <w:pPr>
      <w:pStyle w:val="Footer"/>
      <w:jc w:val="center"/>
    </w:pPr>
  </w:p>
  <w:p w:rsidR="00632719" w:rsidRDefault="00632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719" w:rsidRDefault="00632719" w:rsidP="00566EDD">
      <w:pPr>
        <w:spacing w:line="240" w:lineRule="auto"/>
      </w:pPr>
      <w:r>
        <w:separator/>
      </w:r>
    </w:p>
  </w:footnote>
  <w:footnote w:type="continuationSeparator" w:id="0">
    <w:p w:rsidR="00632719" w:rsidRDefault="00632719" w:rsidP="00566EDD">
      <w:pPr>
        <w:spacing w:line="240" w:lineRule="auto"/>
      </w:pPr>
      <w:r>
        <w:continuationSeparator/>
      </w:r>
    </w:p>
  </w:footnote>
  <w:footnote w:id="1">
    <w:p w:rsidR="00632719" w:rsidRPr="00A665D8" w:rsidRDefault="00632719" w:rsidP="00A665D8">
      <w:pPr>
        <w:pStyle w:val="FootnoteText"/>
      </w:pPr>
      <w:r>
        <w:rPr>
          <w:rStyle w:val="FootnoteReference"/>
        </w:rPr>
        <w:footnoteRef/>
      </w:r>
      <w:r>
        <w:t xml:space="preserve"> See, for example, Hambleton (2017).</w:t>
      </w:r>
      <w:r w:rsidR="00A665D8">
        <w:t xml:space="preserve"> </w:t>
      </w:r>
    </w:p>
  </w:footnote>
  <w:footnote w:id="2">
    <w:p w:rsidR="00E71A6A" w:rsidRPr="00E71A6A" w:rsidRDefault="00E71A6A" w:rsidP="00E71A6A">
      <w:pPr>
        <w:pStyle w:val="Header"/>
        <w:tabs>
          <w:tab w:val="clear" w:pos="4513"/>
          <w:tab w:val="left" w:pos="851"/>
        </w:tabs>
        <w:spacing w:line="480" w:lineRule="auto"/>
        <w:mirrorIndents/>
        <w:rPr>
          <w:color w:val="222222"/>
        </w:rPr>
      </w:pPr>
      <w:r>
        <w:rPr>
          <w:rStyle w:val="FootnoteReference"/>
        </w:rPr>
        <w:footnoteRef/>
      </w:r>
      <w:r>
        <w:t xml:space="preserve"> </w:t>
      </w:r>
      <w:r>
        <w:rPr>
          <w:color w:val="222222"/>
        </w:rPr>
        <w:t xml:space="preserve">See, for example, </w:t>
      </w:r>
      <w:r w:rsidR="008474E3">
        <w:rPr>
          <w:color w:val="222222"/>
        </w:rPr>
        <w:t xml:space="preserve">Clark et al (2016), </w:t>
      </w:r>
      <w:r w:rsidR="00AE2920">
        <w:rPr>
          <w:color w:val="222222"/>
        </w:rPr>
        <w:t xml:space="preserve">Bailey and Wood (2017), </w:t>
      </w:r>
      <w:r>
        <w:rPr>
          <w:color w:val="222222"/>
        </w:rPr>
        <w:t xml:space="preserve">Shaw and </w:t>
      </w:r>
      <w:r w:rsidRPr="00532633">
        <w:rPr>
          <w:color w:val="222222"/>
        </w:rPr>
        <w:t>Tewdwr-Jones</w:t>
      </w:r>
      <w:r>
        <w:rPr>
          <w:color w:val="222222"/>
        </w:rPr>
        <w:t xml:space="preserve"> (2017)</w:t>
      </w:r>
    </w:p>
  </w:footnote>
  <w:footnote w:id="3">
    <w:p w:rsidR="00632719" w:rsidRDefault="00632719">
      <w:pPr>
        <w:pStyle w:val="FootnoteText"/>
      </w:pPr>
      <w:r>
        <w:rPr>
          <w:rStyle w:val="FootnoteReference"/>
        </w:rPr>
        <w:footnoteRef/>
      </w:r>
      <w:r>
        <w:t xml:space="preserve"> DCLG Live Data Tables. DCLG Official Website, available at </w:t>
      </w:r>
      <w:hyperlink r:id="rId1" w:history="1">
        <w:r w:rsidRPr="00A134EA">
          <w:rPr>
            <w:rStyle w:val="Hyperlink"/>
          </w:rPr>
          <w:t>https://www.gov.uk/government/statistical-data-sets/live-tables-on-social-housing-sales</w:t>
        </w:r>
      </w:hyperlink>
      <w:r>
        <w:t>. Accessed 15</w:t>
      </w:r>
      <w:r w:rsidRPr="00475B5B">
        <w:rPr>
          <w:vertAlign w:val="superscript"/>
        </w:rPr>
        <w:t>th</w:t>
      </w:r>
      <w:r>
        <w:t xml:space="preserve"> March, 2017.</w:t>
      </w:r>
    </w:p>
  </w:footnote>
  <w:footnote w:id="4">
    <w:p w:rsidR="000F128E" w:rsidRDefault="000F128E">
      <w:pPr>
        <w:pStyle w:val="FootnoteText"/>
      </w:pPr>
      <w:r>
        <w:rPr>
          <w:rStyle w:val="FootnoteReference"/>
        </w:rPr>
        <w:footnoteRef/>
      </w:r>
      <w:r>
        <w:t xml:space="preserve"> The HCA’s Global Accounts dataset contains annual information on the financial status of Housing Associations with a housing stock of 1,000 units or higher. This information includes a breakdown of assets and liabilities and income and expenditure. </w:t>
      </w:r>
      <w:r w:rsidR="00C91470">
        <w:t>By adding data on Housing Association ‘Region of operation’</w:t>
      </w:r>
      <w:r>
        <w:t xml:space="preserve"> </w:t>
      </w:r>
      <w:r w:rsidR="00C91470">
        <w:t>as listed in the Global Accounts ‘Unit cost’ data table to the HCA Global Accounts ‘Entity-level financial statements’ data table, I was able to construct a dataset through which the relationship between location and financial performance could be explored. Additional information on data sources is provided below.</w:t>
      </w:r>
    </w:p>
  </w:footnote>
  <w:footnote w:id="5">
    <w:p w:rsidR="00632719" w:rsidRDefault="00632719" w:rsidP="00575EA4">
      <w:pPr>
        <w:pStyle w:val="FootnoteText"/>
      </w:pPr>
      <w:r>
        <w:rPr>
          <w:rStyle w:val="FootnoteReference"/>
        </w:rPr>
        <w:footnoteRef/>
      </w:r>
      <w:r>
        <w:t xml:space="preserve"> Additional commentary on this turn to cross-subsidy is provided in social housing trade journals and reports (e.g. Apps 2015, Buckle 2015, Blackman 2017).</w:t>
      </w:r>
    </w:p>
  </w:footnote>
  <w:footnote w:id="6">
    <w:p w:rsidR="00632719" w:rsidRDefault="00632719" w:rsidP="00004F92">
      <w:pPr>
        <w:pStyle w:val="FootnoteText"/>
      </w:pPr>
      <w:r>
        <w:rPr>
          <w:rStyle w:val="FootnoteReference"/>
        </w:rPr>
        <w:footnoteRef/>
      </w:r>
      <w:r>
        <w:t xml:space="preserve"> HCA Global Accounts present detailed annual breakdowns of Housing Associations’ income, expenditure, and investment flows. Prior to 2015, HCA Global Accounts did not collate information on Associations’ commercial activities.</w:t>
      </w:r>
    </w:p>
  </w:footnote>
  <w:footnote w:id="7">
    <w:p w:rsidR="00632719" w:rsidRDefault="00632719" w:rsidP="00004F92">
      <w:pPr>
        <w:pStyle w:val="FootnoteText"/>
      </w:pPr>
      <w:r>
        <w:rPr>
          <w:rStyle w:val="FootnoteReference"/>
        </w:rPr>
        <w:footnoteRef/>
      </w:r>
      <w:r>
        <w:t xml:space="preserve"> See DCLG official website, available at </w:t>
      </w:r>
      <w:hyperlink r:id="rId2" w:history="1">
        <w:r w:rsidRPr="00DE0006">
          <w:rPr>
            <w:rStyle w:val="Hyperlink"/>
          </w:rPr>
          <w:t>https://www.gov.uk/government/collections/rents-lettings-and-tenancies</w:t>
        </w:r>
      </w:hyperlink>
      <w:r>
        <w:t>. Accessed 7</w:t>
      </w:r>
      <w:r w:rsidRPr="00CD20D6">
        <w:rPr>
          <w:vertAlign w:val="superscript"/>
        </w:rPr>
        <w:t>th</w:t>
      </w:r>
      <w:r>
        <w:t xml:space="preserve"> August, 2018. A sub-national figure is provided only for the London region.</w:t>
      </w:r>
    </w:p>
  </w:footnote>
  <w:footnote w:id="8">
    <w:p w:rsidR="00632719" w:rsidRDefault="00632719" w:rsidP="00004F92">
      <w:pPr>
        <w:pStyle w:val="FootnoteText"/>
      </w:pPr>
      <w:r>
        <w:rPr>
          <w:rStyle w:val="FootnoteReference"/>
        </w:rPr>
        <w:footnoteRef/>
      </w:r>
      <w:r>
        <w:t xml:space="preserve"> See HCA official website, available at </w:t>
      </w:r>
      <w:hyperlink r:id="rId3" w:history="1">
        <w:r w:rsidRPr="00DE0006">
          <w:rPr>
            <w:rStyle w:val="Hyperlink"/>
          </w:rPr>
          <w:t>https://www.gov.uk/government/collections/global-accounts-of-housing-providers</w:t>
        </w:r>
      </w:hyperlink>
      <w:r>
        <w:t>. Accessed 7</w:t>
      </w:r>
      <w:r w:rsidRPr="0017339D">
        <w:rPr>
          <w:vertAlign w:val="superscript"/>
        </w:rPr>
        <w:t>th</w:t>
      </w:r>
      <w:r>
        <w:t xml:space="preserve"> August, 2018. The numerator is provided by the total number of conversions from social rent to affordable rent 2015-17, and the denominator is provided by the total social housing stock in 2015. Data on conversions from social to affordable rent is only available from 2015.</w:t>
      </w:r>
    </w:p>
  </w:footnote>
  <w:footnote w:id="9">
    <w:p w:rsidR="00632719" w:rsidRDefault="00632719" w:rsidP="00004F92">
      <w:pPr>
        <w:pStyle w:val="FootnoteText"/>
      </w:pPr>
      <w:r>
        <w:rPr>
          <w:rStyle w:val="FootnoteReference"/>
        </w:rPr>
        <w:footnoteRef/>
      </w:r>
      <w:r>
        <w:t xml:space="preserve"> See HCA official website, available at </w:t>
      </w:r>
      <w:hyperlink r:id="rId4" w:history="1">
        <w:r w:rsidRPr="00DE0006">
          <w:rPr>
            <w:rStyle w:val="Hyperlink"/>
          </w:rPr>
          <w:t>https://www.gov.uk/government/collections/global-accounts-of-housing-providers</w:t>
        </w:r>
      </w:hyperlink>
      <w:r>
        <w:t>. Accessed 7</w:t>
      </w:r>
      <w:r w:rsidRPr="0017339D">
        <w:rPr>
          <w:vertAlign w:val="superscript"/>
        </w:rPr>
        <w:t>th</w:t>
      </w:r>
      <w:r>
        <w:t xml:space="preserve"> August, 2018. In the Global Accounts, ‘Affordable housing’ refers to Affordable Rent, Social Rent, and Shared Ownership (figures for each mode individually are not available). For the ‘Proportion of existing stock’ figure, the numerator is provided by total affordable housing constructed 2015-17, and the denominator by total social housing stock in 2015. </w:t>
      </w:r>
    </w:p>
  </w:footnote>
  <w:footnote w:id="10">
    <w:p w:rsidR="00632719" w:rsidRDefault="00632719" w:rsidP="00D70AD7">
      <w:pPr>
        <w:pStyle w:val="FootnoteText"/>
      </w:pPr>
      <w:r>
        <w:rPr>
          <w:rStyle w:val="FootnoteReference"/>
        </w:rPr>
        <w:footnoteRef/>
      </w:r>
      <w:r>
        <w:t xml:space="preserve"> Data from HCA Global Accounts: ‘Global Accounts-Entity’ tab; ‘Income and Expenditure, Turnover’, ‘Income and Expenditure (Other), Non-social housing – Market rent – Operating surplus’, ‘Income and Expenditure (Other), Non-social housing – Property build for sale – Operating surplus’ columns. Available at </w:t>
      </w:r>
      <w:hyperlink r:id="rId5" w:history="1">
        <w:r w:rsidRPr="00D15936">
          <w:rPr>
            <w:rStyle w:val="Hyperlink"/>
          </w:rPr>
          <w:t>https://www.gov.uk/government/collections/global-accounts-of-housing-providers</w:t>
        </w:r>
      </w:hyperlink>
      <w:r>
        <w:t>. Accessed 8</w:t>
      </w:r>
      <w:r w:rsidRPr="00B73477">
        <w:rPr>
          <w:vertAlign w:val="superscript"/>
        </w:rPr>
        <w:t>th</w:t>
      </w:r>
      <w:r>
        <w:t xml:space="preserve"> August, 2018.</w:t>
      </w:r>
    </w:p>
  </w:footnote>
  <w:footnote w:id="11">
    <w:p w:rsidR="00632719" w:rsidRDefault="00632719" w:rsidP="00D70AD7">
      <w:pPr>
        <w:pStyle w:val="FootnoteText"/>
      </w:pPr>
      <w:r>
        <w:rPr>
          <w:rStyle w:val="FootnoteReference"/>
        </w:rPr>
        <w:footnoteRef/>
      </w:r>
      <w:r>
        <w:t xml:space="preserve"> Data from HCA Global Accounts: ‘Global Accounts-Entity unit costs’ tab; ‘Region of operation’ column. Available at </w:t>
      </w:r>
      <w:hyperlink r:id="rId6" w:history="1">
        <w:r w:rsidRPr="00D15936">
          <w:rPr>
            <w:rStyle w:val="Hyperlink"/>
          </w:rPr>
          <w:t>https://www.gov.uk/government/collections/global-accounts-of-housing-providers</w:t>
        </w:r>
      </w:hyperlink>
      <w:r>
        <w:t>. Accessed 8</w:t>
      </w:r>
      <w:r w:rsidRPr="00B73477">
        <w:rPr>
          <w:vertAlign w:val="superscript"/>
        </w:rPr>
        <w:t>th</w:t>
      </w:r>
      <w:r>
        <w:t xml:space="preserve"> August, 2018.</w:t>
      </w:r>
    </w:p>
  </w:footnote>
  <w:footnote w:id="12">
    <w:p w:rsidR="00632719" w:rsidRDefault="00632719" w:rsidP="00D70AD7">
      <w:pPr>
        <w:pStyle w:val="FootnoteText"/>
      </w:pPr>
      <w:r>
        <w:rPr>
          <w:rStyle w:val="FootnoteReference"/>
        </w:rPr>
        <w:footnoteRef/>
      </w:r>
      <w:r>
        <w:t xml:space="preserve"> Data from HCA Global Accounts: ‘Global Accounts-Entity unit costs’ tab; ‘Type’ column. Available at </w:t>
      </w:r>
      <w:hyperlink r:id="rId7" w:history="1">
        <w:r w:rsidRPr="00D15936">
          <w:rPr>
            <w:rStyle w:val="Hyperlink"/>
          </w:rPr>
          <w:t>https://www.gov.uk/government/collections/global-accounts-of-housing-providers</w:t>
        </w:r>
      </w:hyperlink>
      <w:r>
        <w:t>. Accessed 8</w:t>
      </w:r>
      <w:r w:rsidRPr="00B73477">
        <w:rPr>
          <w:vertAlign w:val="superscript"/>
        </w:rPr>
        <w:t>th</w:t>
      </w:r>
      <w:r>
        <w:t xml:space="preserve"> August, 2018.</w:t>
      </w:r>
    </w:p>
  </w:footnote>
  <w:footnote w:id="13">
    <w:p w:rsidR="00632719" w:rsidRDefault="00632719">
      <w:pPr>
        <w:pStyle w:val="FootnoteText"/>
      </w:pPr>
      <w:r>
        <w:rPr>
          <w:rStyle w:val="FootnoteReference"/>
        </w:rPr>
        <w:footnoteRef/>
      </w:r>
      <w:r>
        <w:t xml:space="preserve"> The full data table is available on request from the author. </w:t>
      </w:r>
      <w:r w:rsidRPr="00254331">
        <w:t>[Included in Annex for the purpose of review]</w:t>
      </w:r>
    </w:p>
  </w:footnote>
  <w:footnote w:id="14">
    <w:p w:rsidR="00632719" w:rsidRDefault="00632719">
      <w:pPr>
        <w:pStyle w:val="FootnoteText"/>
      </w:pPr>
      <w:r>
        <w:rPr>
          <w:rStyle w:val="FootnoteReference"/>
        </w:rPr>
        <w:footnoteRef/>
      </w:r>
      <w:r>
        <w:t xml:space="preserve"> Quoted in Barratt (2018). Barratt (2019) also notes that stock of HA ‘built for sale’ homes that remain unsold has risen significantly in recent years.</w:t>
      </w:r>
    </w:p>
  </w:footnote>
  <w:footnote w:id="15">
    <w:p w:rsidR="00632719" w:rsidRPr="00EC722E" w:rsidRDefault="00632719" w:rsidP="00EC722E">
      <w:pPr>
        <w:pStyle w:val="FootnoteText"/>
      </w:pPr>
      <w:r>
        <w:rPr>
          <w:rStyle w:val="FootnoteReference"/>
        </w:rPr>
        <w:footnoteRef/>
      </w:r>
      <w:r>
        <w:t xml:space="preserve"> </w:t>
      </w:r>
      <w:r w:rsidRPr="00EC722E">
        <w:t>In a similar vein, Aalbers et al (2017) and Wainwright and Manville (2017) have recently identified a ‘financialisation’ of social housing provision across Europe, as Associations turn increasingly to a range of instruments to generate funds for investment in increasingly challenging contexts.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90538"/>
      <w:docPartObj>
        <w:docPartGallery w:val="Page Numbers (Top of Page)"/>
        <w:docPartUnique/>
      </w:docPartObj>
    </w:sdtPr>
    <w:sdtEndPr>
      <w:rPr>
        <w:noProof/>
      </w:rPr>
    </w:sdtEndPr>
    <w:sdtContent>
      <w:p w:rsidR="00632719" w:rsidRDefault="00632719">
        <w:pPr>
          <w:pStyle w:val="Header"/>
          <w:jc w:val="right"/>
        </w:pPr>
        <w:r>
          <w:fldChar w:fldCharType="begin"/>
        </w:r>
        <w:r>
          <w:instrText xml:space="preserve"> PAGE   \* MERGEFORMAT </w:instrText>
        </w:r>
        <w:r>
          <w:fldChar w:fldCharType="separate"/>
        </w:r>
        <w:r w:rsidR="007B17F2">
          <w:rPr>
            <w:noProof/>
          </w:rPr>
          <w:t>33</w:t>
        </w:r>
        <w:r>
          <w:rPr>
            <w:noProof/>
          </w:rPr>
          <w:fldChar w:fldCharType="end"/>
        </w:r>
      </w:p>
    </w:sdtContent>
  </w:sdt>
  <w:p w:rsidR="007B17F2" w:rsidRDefault="007B17F2" w:rsidP="007B17F2">
    <w:pPr>
      <w:pStyle w:val="Header"/>
      <w:jc w:val="center"/>
    </w:pPr>
    <w:r>
      <w:t xml:space="preserve">Pre-print version. See </w:t>
    </w:r>
    <w:r>
      <w:rPr>
        <w:i/>
      </w:rPr>
      <w:t xml:space="preserve">Environment and Planning A </w:t>
    </w:r>
    <w:r>
      <w:t>for publication details</w:t>
    </w:r>
  </w:p>
  <w:p w:rsidR="007B17F2" w:rsidRPr="007B17F2" w:rsidRDefault="007B17F2" w:rsidP="007B17F2">
    <w:pPr>
      <w:pStyle w:val="Header"/>
      <w:jc w:val="center"/>
    </w:pPr>
    <w:r>
      <w:t>liam.clegg@york.ac.uk</w:t>
    </w:r>
  </w:p>
  <w:p w:rsidR="007B17F2" w:rsidRDefault="007B17F2" w:rsidP="001D7F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E0E9B"/>
    <w:multiLevelType w:val="hybridMultilevel"/>
    <w:tmpl w:val="936C06B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C1"/>
    <w:rsid w:val="0000124C"/>
    <w:rsid w:val="00004F92"/>
    <w:rsid w:val="00005AA7"/>
    <w:rsid w:val="0000763D"/>
    <w:rsid w:val="00010E63"/>
    <w:rsid w:val="000115D3"/>
    <w:rsid w:val="00013E76"/>
    <w:rsid w:val="0001452D"/>
    <w:rsid w:val="00017935"/>
    <w:rsid w:val="00021B73"/>
    <w:rsid w:val="00022F2D"/>
    <w:rsid w:val="0002319E"/>
    <w:rsid w:val="0002351F"/>
    <w:rsid w:val="00027462"/>
    <w:rsid w:val="00032052"/>
    <w:rsid w:val="00036153"/>
    <w:rsid w:val="0003640D"/>
    <w:rsid w:val="00040F79"/>
    <w:rsid w:val="0004176D"/>
    <w:rsid w:val="00041865"/>
    <w:rsid w:val="00047D74"/>
    <w:rsid w:val="00052EDE"/>
    <w:rsid w:val="000545FD"/>
    <w:rsid w:val="00054B48"/>
    <w:rsid w:val="00055B1B"/>
    <w:rsid w:val="00055E25"/>
    <w:rsid w:val="00056AF2"/>
    <w:rsid w:val="00061E9C"/>
    <w:rsid w:val="00063AEA"/>
    <w:rsid w:val="00064264"/>
    <w:rsid w:val="00064E0F"/>
    <w:rsid w:val="00066917"/>
    <w:rsid w:val="00072CEA"/>
    <w:rsid w:val="0007306D"/>
    <w:rsid w:val="00074ABE"/>
    <w:rsid w:val="00075FAD"/>
    <w:rsid w:val="0007691D"/>
    <w:rsid w:val="000803D5"/>
    <w:rsid w:val="000818E6"/>
    <w:rsid w:val="00083A60"/>
    <w:rsid w:val="0008440D"/>
    <w:rsid w:val="00084B3F"/>
    <w:rsid w:val="00086852"/>
    <w:rsid w:val="00091AB1"/>
    <w:rsid w:val="0009668C"/>
    <w:rsid w:val="000A00B7"/>
    <w:rsid w:val="000A31E3"/>
    <w:rsid w:val="000B35B2"/>
    <w:rsid w:val="000B7100"/>
    <w:rsid w:val="000B731E"/>
    <w:rsid w:val="000B7357"/>
    <w:rsid w:val="000B749E"/>
    <w:rsid w:val="000C04F0"/>
    <w:rsid w:val="000C0CF8"/>
    <w:rsid w:val="000C1418"/>
    <w:rsid w:val="000C2963"/>
    <w:rsid w:val="000C3317"/>
    <w:rsid w:val="000C37CB"/>
    <w:rsid w:val="000C3CF0"/>
    <w:rsid w:val="000C5680"/>
    <w:rsid w:val="000C5BEE"/>
    <w:rsid w:val="000D08BA"/>
    <w:rsid w:val="000D1928"/>
    <w:rsid w:val="000D5B15"/>
    <w:rsid w:val="000E0758"/>
    <w:rsid w:val="000E0D6C"/>
    <w:rsid w:val="000E1751"/>
    <w:rsid w:val="000E1A5E"/>
    <w:rsid w:val="000E43C1"/>
    <w:rsid w:val="000E43C4"/>
    <w:rsid w:val="000E4F56"/>
    <w:rsid w:val="000F06B4"/>
    <w:rsid w:val="000F128E"/>
    <w:rsid w:val="000F191D"/>
    <w:rsid w:val="000F5D32"/>
    <w:rsid w:val="000F6859"/>
    <w:rsid w:val="00103EDC"/>
    <w:rsid w:val="0010439D"/>
    <w:rsid w:val="001052AD"/>
    <w:rsid w:val="00106547"/>
    <w:rsid w:val="001067F8"/>
    <w:rsid w:val="0010700D"/>
    <w:rsid w:val="001103FD"/>
    <w:rsid w:val="00111A79"/>
    <w:rsid w:val="00111DBA"/>
    <w:rsid w:val="00112119"/>
    <w:rsid w:val="00112276"/>
    <w:rsid w:val="001147D3"/>
    <w:rsid w:val="00120814"/>
    <w:rsid w:val="00122A19"/>
    <w:rsid w:val="0012306F"/>
    <w:rsid w:val="00123B35"/>
    <w:rsid w:val="00123CD1"/>
    <w:rsid w:val="001261B1"/>
    <w:rsid w:val="00127185"/>
    <w:rsid w:val="0012762B"/>
    <w:rsid w:val="00130485"/>
    <w:rsid w:val="0013185D"/>
    <w:rsid w:val="0013265C"/>
    <w:rsid w:val="00140A1A"/>
    <w:rsid w:val="00142A9A"/>
    <w:rsid w:val="00143A69"/>
    <w:rsid w:val="00151FE7"/>
    <w:rsid w:val="00152B7B"/>
    <w:rsid w:val="00154859"/>
    <w:rsid w:val="001550FD"/>
    <w:rsid w:val="00157FF6"/>
    <w:rsid w:val="00162856"/>
    <w:rsid w:val="001629F7"/>
    <w:rsid w:val="00164085"/>
    <w:rsid w:val="001675F4"/>
    <w:rsid w:val="00167B7A"/>
    <w:rsid w:val="00171B30"/>
    <w:rsid w:val="0017339D"/>
    <w:rsid w:val="00173589"/>
    <w:rsid w:val="00180CFA"/>
    <w:rsid w:val="00180F29"/>
    <w:rsid w:val="00181992"/>
    <w:rsid w:val="00182D1B"/>
    <w:rsid w:val="00182E0F"/>
    <w:rsid w:val="001830F0"/>
    <w:rsid w:val="00183D6B"/>
    <w:rsid w:val="0018749B"/>
    <w:rsid w:val="00195A99"/>
    <w:rsid w:val="001979B4"/>
    <w:rsid w:val="001A04C5"/>
    <w:rsid w:val="001A19F6"/>
    <w:rsid w:val="001A496B"/>
    <w:rsid w:val="001A7E99"/>
    <w:rsid w:val="001B27F4"/>
    <w:rsid w:val="001B39C1"/>
    <w:rsid w:val="001B6FDB"/>
    <w:rsid w:val="001C122E"/>
    <w:rsid w:val="001C1481"/>
    <w:rsid w:val="001C400F"/>
    <w:rsid w:val="001C4A8D"/>
    <w:rsid w:val="001D1932"/>
    <w:rsid w:val="001D3C75"/>
    <w:rsid w:val="001D524B"/>
    <w:rsid w:val="001D706D"/>
    <w:rsid w:val="001D7F77"/>
    <w:rsid w:val="001E0410"/>
    <w:rsid w:val="001E1114"/>
    <w:rsid w:val="001E1CF6"/>
    <w:rsid w:val="001E44E4"/>
    <w:rsid w:val="001E4506"/>
    <w:rsid w:val="001E4A62"/>
    <w:rsid w:val="001E4EC6"/>
    <w:rsid w:val="001F3617"/>
    <w:rsid w:val="001F380A"/>
    <w:rsid w:val="001F4A53"/>
    <w:rsid w:val="001F4DDB"/>
    <w:rsid w:val="001F68D1"/>
    <w:rsid w:val="0020096F"/>
    <w:rsid w:val="00201DE4"/>
    <w:rsid w:val="00202F73"/>
    <w:rsid w:val="00206773"/>
    <w:rsid w:val="00207957"/>
    <w:rsid w:val="002104DB"/>
    <w:rsid w:val="0021058F"/>
    <w:rsid w:val="00210BF1"/>
    <w:rsid w:val="00211111"/>
    <w:rsid w:val="002127D9"/>
    <w:rsid w:val="00217E78"/>
    <w:rsid w:val="00217F9C"/>
    <w:rsid w:val="002213A5"/>
    <w:rsid w:val="002225A3"/>
    <w:rsid w:val="002239D9"/>
    <w:rsid w:val="002261B6"/>
    <w:rsid w:val="002263C3"/>
    <w:rsid w:val="00226792"/>
    <w:rsid w:val="00226DCB"/>
    <w:rsid w:val="00227816"/>
    <w:rsid w:val="00227F29"/>
    <w:rsid w:val="002315AE"/>
    <w:rsid w:val="002318FB"/>
    <w:rsid w:val="00232660"/>
    <w:rsid w:val="00233353"/>
    <w:rsid w:val="00233393"/>
    <w:rsid w:val="0023531A"/>
    <w:rsid w:val="00235941"/>
    <w:rsid w:val="0023606D"/>
    <w:rsid w:val="002446BD"/>
    <w:rsid w:val="002478F5"/>
    <w:rsid w:val="00247AF9"/>
    <w:rsid w:val="0025098F"/>
    <w:rsid w:val="00251BA1"/>
    <w:rsid w:val="002534B8"/>
    <w:rsid w:val="00254331"/>
    <w:rsid w:val="00257FF6"/>
    <w:rsid w:val="0026054B"/>
    <w:rsid w:val="002644E5"/>
    <w:rsid w:val="002645B8"/>
    <w:rsid w:val="002647B5"/>
    <w:rsid w:val="00264FEF"/>
    <w:rsid w:val="00266345"/>
    <w:rsid w:val="002663A3"/>
    <w:rsid w:val="0026720D"/>
    <w:rsid w:val="002721C3"/>
    <w:rsid w:val="00274540"/>
    <w:rsid w:val="00275C19"/>
    <w:rsid w:val="00277850"/>
    <w:rsid w:val="00280210"/>
    <w:rsid w:val="00285CB8"/>
    <w:rsid w:val="002865E3"/>
    <w:rsid w:val="002903A2"/>
    <w:rsid w:val="00294115"/>
    <w:rsid w:val="0029770A"/>
    <w:rsid w:val="002A1141"/>
    <w:rsid w:val="002A2402"/>
    <w:rsid w:val="002A252B"/>
    <w:rsid w:val="002A274D"/>
    <w:rsid w:val="002A277B"/>
    <w:rsid w:val="002A2EDE"/>
    <w:rsid w:val="002A354C"/>
    <w:rsid w:val="002A51BB"/>
    <w:rsid w:val="002A5700"/>
    <w:rsid w:val="002A5B1F"/>
    <w:rsid w:val="002A6759"/>
    <w:rsid w:val="002A7872"/>
    <w:rsid w:val="002B1FD6"/>
    <w:rsid w:val="002B29A0"/>
    <w:rsid w:val="002B473C"/>
    <w:rsid w:val="002B479E"/>
    <w:rsid w:val="002B4CFC"/>
    <w:rsid w:val="002B56F1"/>
    <w:rsid w:val="002B61CA"/>
    <w:rsid w:val="002B6AE3"/>
    <w:rsid w:val="002C064B"/>
    <w:rsid w:val="002C08A5"/>
    <w:rsid w:val="002C30A7"/>
    <w:rsid w:val="002C5A27"/>
    <w:rsid w:val="002C5EAA"/>
    <w:rsid w:val="002C6B7F"/>
    <w:rsid w:val="002C6CE4"/>
    <w:rsid w:val="002C71E3"/>
    <w:rsid w:val="002D13EF"/>
    <w:rsid w:val="002D609D"/>
    <w:rsid w:val="002E1498"/>
    <w:rsid w:val="002E1A82"/>
    <w:rsid w:val="002E29D5"/>
    <w:rsid w:val="002E533F"/>
    <w:rsid w:val="002E5E9A"/>
    <w:rsid w:val="002E61F8"/>
    <w:rsid w:val="002E62FD"/>
    <w:rsid w:val="002F0E3F"/>
    <w:rsid w:val="002F4C19"/>
    <w:rsid w:val="00300094"/>
    <w:rsid w:val="00301CE5"/>
    <w:rsid w:val="00304323"/>
    <w:rsid w:val="003045F2"/>
    <w:rsid w:val="00305355"/>
    <w:rsid w:val="00305DA4"/>
    <w:rsid w:val="00306776"/>
    <w:rsid w:val="0030713C"/>
    <w:rsid w:val="003075FF"/>
    <w:rsid w:val="00311FD4"/>
    <w:rsid w:val="00314A39"/>
    <w:rsid w:val="003156F4"/>
    <w:rsid w:val="00316E0C"/>
    <w:rsid w:val="003179B6"/>
    <w:rsid w:val="003205B8"/>
    <w:rsid w:val="00320A2D"/>
    <w:rsid w:val="00320CC2"/>
    <w:rsid w:val="00322994"/>
    <w:rsid w:val="00322F3B"/>
    <w:rsid w:val="00324B4A"/>
    <w:rsid w:val="003265AB"/>
    <w:rsid w:val="0032690C"/>
    <w:rsid w:val="00326CBC"/>
    <w:rsid w:val="0033051C"/>
    <w:rsid w:val="0033497A"/>
    <w:rsid w:val="003417D5"/>
    <w:rsid w:val="00343E8B"/>
    <w:rsid w:val="003452A3"/>
    <w:rsid w:val="0034651C"/>
    <w:rsid w:val="00350DEA"/>
    <w:rsid w:val="003552A9"/>
    <w:rsid w:val="00355BD1"/>
    <w:rsid w:val="00355F32"/>
    <w:rsid w:val="0036013E"/>
    <w:rsid w:val="0036041E"/>
    <w:rsid w:val="003614E7"/>
    <w:rsid w:val="00362820"/>
    <w:rsid w:val="00363ED0"/>
    <w:rsid w:val="00367AA8"/>
    <w:rsid w:val="0037051D"/>
    <w:rsid w:val="00370CFC"/>
    <w:rsid w:val="003712E2"/>
    <w:rsid w:val="003727D1"/>
    <w:rsid w:val="0037434C"/>
    <w:rsid w:val="003749C8"/>
    <w:rsid w:val="003759B5"/>
    <w:rsid w:val="003771AE"/>
    <w:rsid w:val="003779B7"/>
    <w:rsid w:val="00382919"/>
    <w:rsid w:val="003832D1"/>
    <w:rsid w:val="00383641"/>
    <w:rsid w:val="00383ABC"/>
    <w:rsid w:val="00383E4B"/>
    <w:rsid w:val="00387121"/>
    <w:rsid w:val="0038724B"/>
    <w:rsid w:val="00387590"/>
    <w:rsid w:val="00391338"/>
    <w:rsid w:val="00392BED"/>
    <w:rsid w:val="003936C2"/>
    <w:rsid w:val="00394336"/>
    <w:rsid w:val="00394B1C"/>
    <w:rsid w:val="0039578F"/>
    <w:rsid w:val="00395EEC"/>
    <w:rsid w:val="003970A3"/>
    <w:rsid w:val="00397641"/>
    <w:rsid w:val="003A024F"/>
    <w:rsid w:val="003A0DED"/>
    <w:rsid w:val="003A1D4D"/>
    <w:rsid w:val="003A3888"/>
    <w:rsid w:val="003A43B3"/>
    <w:rsid w:val="003A5255"/>
    <w:rsid w:val="003B08BE"/>
    <w:rsid w:val="003B3914"/>
    <w:rsid w:val="003B6644"/>
    <w:rsid w:val="003B67B6"/>
    <w:rsid w:val="003B6997"/>
    <w:rsid w:val="003B6F4D"/>
    <w:rsid w:val="003C1A0F"/>
    <w:rsid w:val="003C1A73"/>
    <w:rsid w:val="003C3969"/>
    <w:rsid w:val="003C3CE0"/>
    <w:rsid w:val="003C60BA"/>
    <w:rsid w:val="003C6DE0"/>
    <w:rsid w:val="003C7ECE"/>
    <w:rsid w:val="003D13FA"/>
    <w:rsid w:val="003D1A22"/>
    <w:rsid w:val="003D1B33"/>
    <w:rsid w:val="003D2FDB"/>
    <w:rsid w:val="003D4982"/>
    <w:rsid w:val="003D4F3D"/>
    <w:rsid w:val="003D76D9"/>
    <w:rsid w:val="003E1DFB"/>
    <w:rsid w:val="003E1E5E"/>
    <w:rsid w:val="003E2214"/>
    <w:rsid w:val="003E3E05"/>
    <w:rsid w:val="003E4252"/>
    <w:rsid w:val="003E47C1"/>
    <w:rsid w:val="003E512D"/>
    <w:rsid w:val="003E6492"/>
    <w:rsid w:val="003E6E27"/>
    <w:rsid w:val="003E7AD3"/>
    <w:rsid w:val="003F0F2E"/>
    <w:rsid w:val="003F21E0"/>
    <w:rsid w:val="003F2E77"/>
    <w:rsid w:val="003F7DC3"/>
    <w:rsid w:val="004005D0"/>
    <w:rsid w:val="00402906"/>
    <w:rsid w:val="0040509D"/>
    <w:rsid w:val="0041536A"/>
    <w:rsid w:val="00415CAA"/>
    <w:rsid w:val="00416734"/>
    <w:rsid w:val="00416F35"/>
    <w:rsid w:val="0042029A"/>
    <w:rsid w:val="00424B77"/>
    <w:rsid w:val="00425014"/>
    <w:rsid w:val="00426AFA"/>
    <w:rsid w:val="00427267"/>
    <w:rsid w:val="00430948"/>
    <w:rsid w:val="00430FD6"/>
    <w:rsid w:val="00434AC1"/>
    <w:rsid w:val="004377B2"/>
    <w:rsid w:val="0044114D"/>
    <w:rsid w:val="0044252D"/>
    <w:rsid w:val="004426C5"/>
    <w:rsid w:val="00443F8F"/>
    <w:rsid w:val="0044617B"/>
    <w:rsid w:val="00446A19"/>
    <w:rsid w:val="004538E0"/>
    <w:rsid w:val="00454ADF"/>
    <w:rsid w:val="00457087"/>
    <w:rsid w:val="00457430"/>
    <w:rsid w:val="00457DE6"/>
    <w:rsid w:val="00460356"/>
    <w:rsid w:val="0046107C"/>
    <w:rsid w:val="00461DA2"/>
    <w:rsid w:val="00462D7D"/>
    <w:rsid w:val="00464020"/>
    <w:rsid w:val="00466B65"/>
    <w:rsid w:val="004673D2"/>
    <w:rsid w:val="00467D62"/>
    <w:rsid w:val="00467EAF"/>
    <w:rsid w:val="00473922"/>
    <w:rsid w:val="0047483E"/>
    <w:rsid w:val="004764F6"/>
    <w:rsid w:val="0048108B"/>
    <w:rsid w:val="0048373D"/>
    <w:rsid w:val="004860AA"/>
    <w:rsid w:val="00486769"/>
    <w:rsid w:val="00487A06"/>
    <w:rsid w:val="00491EDE"/>
    <w:rsid w:val="00492DBF"/>
    <w:rsid w:val="00493A8E"/>
    <w:rsid w:val="00493C0F"/>
    <w:rsid w:val="00497193"/>
    <w:rsid w:val="00497C8E"/>
    <w:rsid w:val="004A1F7D"/>
    <w:rsid w:val="004A274C"/>
    <w:rsid w:val="004A481A"/>
    <w:rsid w:val="004A63FC"/>
    <w:rsid w:val="004A7EE1"/>
    <w:rsid w:val="004B0F31"/>
    <w:rsid w:val="004B1AFD"/>
    <w:rsid w:val="004B1EDA"/>
    <w:rsid w:val="004B1FB5"/>
    <w:rsid w:val="004B5EE7"/>
    <w:rsid w:val="004B6051"/>
    <w:rsid w:val="004B73B5"/>
    <w:rsid w:val="004B795C"/>
    <w:rsid w:val="004B7C23"/>
    <w:rsid w:val="004C285E"/>
    <w:rsid w:val="004C2BEA"/>
    <w:rsid w:val="004C50DE"/>
    <w:rsid w:val="004D0B8C"/>
    <w:rsid w:val="004D15BB"/>
    <w:rsid w:val="004D1F9D"/>
    <w:rsid w:val="004D3734"/>
    <w:rsid w:val="004D4173"/>
    <w:rsid w:val="004D582E"/>
    <w:rsid w:val="004F3E3D"/>
    <w:rsid w:val="004F4E42"/>
    <w:rsid w:val="004F6399"/>
    <w:rsid w:val="004F6905"/>
    <w:rsid w:val="004F7FAC"/>
    <w:rsid w:val="0050045E"/>
    <w:rsid w:val="00500D75"/>
    <w:rsid w:val="0050181E"/>
    <w:rsid w:val="0050246F"/>
    <w:rsid w:val="00503997"/>
    <w:rsid w:val="00505916"/>
    <w:rsid w:val="00514545"/>
    <w:rsid w:val="0051609A"/>
    <w:rsid w:val="00516553"/>
    <w:rsid w:val="0051664D"/>
    <w:rsid w:val="00517752"/>
    <w:rsid w:val="005206B2"/>
    <w:rsid w:val="00520A59"/>
    <w:rsid w:val="00520BD0"/>
    <w:rsid w:val="005215DF"/>
    <w:rsid w:val="005269A7"/>
    <w:rsid w:val="00527DA1"/>
    <w:rsid w:val="00532633"/>
    <w:rsid w:val="00532765"/>
    <w:rsid w:val="00532FA7"/>
    <w:rsid w:val="00535565"/>
    <w:rsid w:val="00545D44"/>
    <w:rsid w:val="0054718C"/>
    <w:rsid w:val="005471A2"/>
    <w:rsid w:val="00550298"/>
    <w:rsid w:val="00555DAC"/>
    <w:rsid w:val="00560139"/>
    <w:rsid w:val="00560201"/>
    <w:rsid w:val="00560408"/>
    <w:rsid w:val="005629F7"/>
    <w:rsid w:val="00563CF1"/>
    <w:rsid w:val="00563FB7"/>
    <w:rsid w:val="00566EDD"/>
    <w:rsid w:val="00567D7F"/>
    <w:rsid w:val="005702AD"/>
    <w:rsid w:val="005737D7"/>
    <w:rsid w:val="005752CB"/>
    <w:rsid w:val="00575EA4"/>
    <w:rsid w:val="00575F34"/>
    <w:rsid w:val="005769E2"/>
    <w:rsid w:val="00576CA2"/>
    <w:rsid w:val="00577939"/>
    <w:rsid w:val="00580588"/>
    <w:rsid w:val="0058390E"/>
    <w:rsid w:val="00583BD9"/>
    <w:rsid w:val="0058563F"/>
    <w:rsid w:val="0059081C"/>
    <w:rsid w:val="005935F1"/>
    <w:rsid w:val="005A037D"/>
    <w:rsid w:val="005A1753"/>
    <w:rsid w:val="005A3ED1"/>
    <w:rsid w:val="005A6D87"/>
    <w:rsid w:val="005A76AD"/>
    <w:rsid w:val="005A7BEA"/>
    <w:rsid w:val="005B45EF"/>
    <w:rsid w:val="005B5809"/>
    <w:rsid w:val="005B5957"/>
    <w:rsid w:val="005C35B2"/>
    <w:rsid w:val="005C4475"/>
    <w:rsid w:val="005C45F7"/>
    <w:rsid w:val="005C4D4E"/>
    <w:rsid w:val="005D0D8C"/>
    <w:rsid w:val="005D33C6"/>
    <w:rsid w:val="005D482F"/>
    <w:rsid w:val="005D4D2B"/>
    <w:rsid w:val="005D4D94"/>
    <w:rsid w:val="005D6128"/>
    <w:rsid w:val="005D7521"/>
    <w:rsid w:val="005E0172"/>
    <w:rsid w:val="005E0AF7"/>
    <w:rsid w:val="005E3719"/>
    <w:rsid w:val="005E7A1D"/>
    <w:rsid w:val="005E7DDC"/>
    <w:rsid w:val="005F2AFE"/>
    <w:rsid w:val="005F321D"/>
    <w:rsid w:val="005F32BB"/>
    <w:rsid w:val="00600812"/>
    <w:rsid w:val="00600877"/>
    <w:rsid w:val="0060196C"/>
    <w:rsid w:val="00601AC0"/>
    <w:rsid w:val="006028FE"/>
    <w:rsid w:val="00602E2C"/>
    <w:rsid w:val="0061058C"/>
    <w:rsid w:val="00611CF2"/>
    <w:rsid w:val="006144D3"/>
    <w:rsid w:val="00614DAD"/>
    <w:rsid w:val="00616236"/>
    <w:rsid w:val="00616CC2"/>
    <w:rsid w:val="006171D6"/>
    <w:rsid w:val="006212C4"/>
    <w:rsid w:val="006224AD"/>
    <w:rsid w:val="00622638"/>
    <w:rsid w:val="00627144"/>
    <w:rsid w:val="00627FE8"/>
    <w:rsid w:val="006310F2"/>
    <w:rsid w:val="00632719"/>
    <w:rsid w:val="00633AF8"/>
    <w:rsid w:val="0063495E"/>
    <w:rsid w:val="00635F2B"/>
    <w:rsid w:val="00636D66"/>
    <w:rsid w:val="006370E1"/>
    <w:rsid w:val="0064479E"/>
    <w:rsid w:val="00644CDF"/>
    <w:rsid w:val="00646777"/>
    <w:rsid w:val="006475B9"/>
    <w:rsid w:val="006479CA"/>
    <w:rsid w:val="006536D6"/>
    <w:rsid w:val="00654940"/>
    <w:rsid w:val="00656642"/>
    <w:rsid w:val="00656703"/>
    <w:rsid w:val="00657852"/>
    <w:rsid w:val="0066202A"/>
    <w:rsid w:val="00662835"/>
    <w:rsid w:val="006640BD"/>
    <w:rsid w:val="00664D48"/>
    <w:rsid w:val="00665E93"/>
    <w:rsid w:val="00666737"/>
    <w:rsid w:val="00666E54"/>
    <w:rsid w:val="00666EE9"/>
    <w:rsid w:val="006676F6"/>
    <w:rsid w:val="00667AD6"/>
    <w:rsid w:val="00667FFB"/>
    <w:rsid w:val="00670E08"/>
    <w:rsid w:val="00670E1B"/>
    <w:rsid w:val="00673C10"/>
    <w:rsid w:val="00674D08"/>
    <w:rsid w:val="00675C69"/>
    <w:rsid w:val="006767BD"/>
    <w:rsid w:val="006825FA"/>
    <w:rsid w:val="00682817"/>
    <w:rsid w:val="00683473"/>
    <w:rsid w:val="00686A6D"/>
    <w:rsid w:val="006914EC"/>
    <w:rsid w:val="0069186A"/>
    <w:rsid w:val="00691F03"/>
    <w:rsid w:val="00692AC6"/>
    <w:rsid w:val="006946D7"/>
    <w:rsid w:val="006953B2"/>
    <w:rsid w:val="006955AF"/>
    <w:rsid w:val="00696969"/>
    <w:rsid w:val="006A184E"/>
    <w:rsid w:val="006A1EA1"/>
    <w:rsid w:val="006A2222"/>
    <w:rsid w:val="006A5CB1"/>
    <w:rsid w:val="006A65C5"/>
    <w:rsid w:val="006A6ACF"/>
    <w:rsid w:val="006B063F"/>
    <w:rsid w:val="006B137C"/>
    <w:rsid w:val="006B21CA"/>
    <w:rsid w:val="006B4A70"/>
    <w:rsid w:val="006B5137"/>
    <w:rsid w:val="006B5221"/>
    <w:rsid w:val="006B6135"/>
    <w:rsid w:val="006B6FF3"/>
    <w:rsid w:val="006C186B"/>
    <w:rsid w:val="006C2DFF"/>
    <w:rsid w:val="006C4961"/>
    <w:rsid w:val="006C4C8A"/>
    <w:rsid w:val="006C730F"/>
    <w:rsid w:val="006D0676"/>
    <w:rsid w:val="006D0E6F"/>
    <w:rsid w:val="006D128A"/>
    <w:rsid w:val="006D186C"/>
    <w:rsid w:val="006D3C9F"/>
    <w:rsid w:val="006D5304"/>
    <w:rsid w:val="006E29AC"/>
    <w:rsid w:val="006E3F64"/>
    <w:rsid w:val="006E49A0"/>
    <w:rsid w:val="006E595B"/>
    <w:rsid w:val="006E739B"/>
    <w:rsid w:val="006F0D1D"/>
    <w:rsid w:val="006F396F"/>
    <w:rsid w:val="006F43C8"/>
    <w:rsid w:val="006F4FCB"/>
    <w:rsid w:val="006F52D3"/>
    <w:rsid w:val="006F65DC"/>
    <w:rsid w:val="006F670F"/>
    <w:rsid w:val="006F6D6C"/>
    <w:rsid w:val="006F7B39"/>
    <w:rsid w:val="006F7D99"/>
    <w:rsid w:val="007004F0"/>
    <w:rsid w:val="00700AD8"/>
    <w:rsid w:val="00700D1D"/>
    <w:rsid w:val="00703D67"/>
    <w:rsid w:val="00707777"/>
    <w:rsid w:val="0070796C"/>
    <w:rsid w:val="00710318"/>
    <w:rsid w:val="00711AB3"/>
    <w:rsid w:val="00714548"/>
    <w:rsid w:val="00715C45"/>
    <w:rsid w:val="00716B6C"/>
    <w:rsid w:val="0072201B"/>
    <w:rsid w:val="00722A3F"/>
    <w:rsid w:val="0072498B"/>
    <w:rsid w:val="00725945"/>
    <w:rsid w:val="007265F2"/>
    <w:rsid w:val="0072710A"/>
    <w:rsid w:val="00727E33"/>
    <w:rsid w:val="00727F18"/>
    <w:rsid w:val="00730822"/>
    <w:rsid w:val="00732194"/>
    <w:rsid w:val="0073367C"/>
    <w:rsid w:val="007449A4"/>
    <w:rsid w:val="00745579"/>
    <w:rsid w:val="007458E8"/>
    <w:rsid w:val="00745AA9"/>
    <w:rsid w:val="00746780"/>
    <w:rsid w:val="007475B0"/>
    <w:rsid w:val="00747A9F"/>
    <w:rsid w:val="007507B9"/>
    <w:rsid w:val="00752D12"/>
    <w:rsid w:val="0075307D"/>
    <w:rsid w:val="00754E38"/>
    <w:rsid w:val="007553B9"/>
    <w:rsid w:val="0075542B"/>
    <w:rsid w:val="00756AC3"/>
    <w:rsid w:val="00760072"/>
    <w:rsid w:val="007606F4"/>
    <w:rsid w:val="007607ED"/>
    <w:rsid w:val="0076210D"/>
    <w:rsid w:val="007633FA"/>
    <w:rsid w:val="00766E08"/>
    <w:rsid w:val="00770351"/>
    <w:rsid w:val="00775594"/>
    <w:rsid w:val="007759D6"/>
    <w:rsid w:val="00780C52"/>
    <w:rsid w:val="007833B2"/>
    <w:rsid w:val="00784B8C"/>
    <w:rsid w:val="00784EC7"/>
    <w:rsid w:val="00790FBD"/>
    <w:rsid w:val="00791368"/>
    <w:rsid w:val="0079480A"/>
    <w:rsid w:val="00794E6D"/>
    <w:rsid w:val="007A1FD5"/>
    <w:rsid w:val="007A30FB"/>
    <w:rsid w:val="007A3441"/>
    <w:rsid w:val="007A484E"/>
    <w:rsid w:val="007A723C"/>
    <w:rsid w:val="007B0936"/>
    <w:rsid w:val="007B1315"/>
    <w:rsid w:val="007B17F2"/>
    <w:rsid w:val="007B1833"/>
    <w:rsid w:val="007B193F"/>
    <w:rsid w:val="007B2FF6"/>
    <w:rsid w:val="007B354A"/>
    <w:rsid w:val="007B5C37"/>
    <w:rsid w:val="007C02FA"/>
    <w:rsid w:val="007C2491"/>
    <w:rsid w:val="007C2E58"/>
    <w:rsid w:val="007C353C"/>
    <w:rsid w:val="007C557C"/>
    <w:rsid w:val="007C5892"/>
    <w:rsid w:val="007C5B6A"/>
    <w:rsid w:val="007C7A14"/>
    <w:rsid w:val="007D7687"/>
    <w:rsid w:val="007E0D5A"/>
    <w:rsid w:val="007E0FFC"/>
    <w:rsid w:val="007E16FC"/>
    <w:rsid w:val="007E1D0D"/>
    <w:rsid w:val="007E3497"/>
    <w:rsid w:val="007E38C4"/>
    <w:rsid w:val="007E644D"/>
    <w:rsid w:val="007F06F1"/>
    <w:rsid w:val="007F0725"/>
    <w:rsid w:val="007F0A12"/>
    <w:rsid w:val="007F15CC"/>
    <w:rsid w:val="007F4532"/>
    <w:rsid w:val="007F74A6"/>
    <w:rsid w:val="00800877"/>
    <w:rsid w:val="008023E5"/>
    <w:rsid w:val="008028D0"/>
    <w:rsid w:val="0080299A"/>
    <w:rsid w:val="008037A9"/>
    <w:rsid w:val="008052D7"/>
    <w:rsid w:val="00805301"/>
    <w:rsid w:val="00807D5B"/>
    <w:rsid w:val="0081183D"/>
    <w:rsid w:val="00813F62"/>
    <w:rsid w:val="0081559C"/>
    <w:rsid w:val="0081759F"/>
    <w:rsid w:val="00820FC5"/>
    <w:rsid w:val="00821ADD"/>
    <w:rsid w:val="00825B4A"/>
    <w:rsid w:val="00826DFB"/>
    <w:rsid w:val="00833BB0"/>
    <w:rsid w:val="008355F8"/>
    <w:rsid w:val="00835696"/>
    <w:rsid w:val="00837BF8"/>
    <w:rsid w:val="008418AC"/>
    <w:rsid w:val="008420DD"/>
    <w:rsid w:val="008424DA"/>
    <w:rsid w:val="008451B0"/>
    <w:rsid w:val="008470C0"/>
    <w:rsid w:val="008474E3"/>
    <w:rsid w:val="0085272A"/>
    <w:rsid w:val="008556FE"/>
    <w:rsid w:val="008560B8"/>
    <w:rsid w:val="00857EB3"/>
    <w:rsid w:val="008614AC"/>
    <w:rsid w:val="00862036"/>
    <w:rsid w:val="008621C6"/>
    <w:rsid w:val="00862343"/>
    <w:rsid w:val="00863CA3"/>
    <w:rsid w:val="00863E26"/>
    <w:rsid w:val="00871B8E"/>
    <w:rsid w:val="00877D51"/>
    <w:rsid w:val="0088028B"/>
    <w:rsid w:val="008836CE"/>
    <w:rsid w:val="00884262"/>
    <w:rsid w:val="008845B8"/>
    <w:rsid w:val="0088467E"/>
    <w:rsid w:val="00885BFA"/>
    <w:rsid w:val="00886959"/>
    <w:rsid w:val="00886CF1"/>
    <w:rsid w:val="00890B9A"/>
    <w:rsid w:val="00893549"/>
    <w:rsid w:val="00895FC7"/>
    <w:rsid w:val="008972EA"/>
    <w:rsid w:val="00897654"/>
    <w:rsid w:val="008A21D7"/>
    <w:rsid w:val="008A3B15"/>
    <w:rsid w:val="008A703A"/>
    <w:rsid w:val="008B1E64"/>
    <w:rsid w:val="008B3940"/>
    <w:rsid w:val="008B3AFF"/>
    <w:rsid w:val="008B7860"/>
    <w:rsid w:val="008C62DA"/>
    <w:rsid w:val="008C632B"/>
    <w:rsid w:val="008C67AF"/>
    <w:rsid w:val="008C6FDE"/>
    <w:rsid w:val="008C7961"/>
    <w:rsid w:val="008D0553"/>
    <w:rsid w:val="008D0AA9"/>
    <w:rsid w:val="008D23E0"/>
    <w:rsid w:val="008D31BC"/>
    <w:rsid w:val="008D4755"/>
    <w:rsid w:val="008D6D24"/>
    <w:rsid w:val="008E0A1B"/>
    <w:rsid w:val="008E289B"/>
    <w:rsid w:val="008E4CCC"/>
    <w:rsid w:val="008E647B"/>
    <w:rsid w:val="008E669A"/>
    <w:rsid w:val="008F091A"/>
    <w:rsid w:val="008F11DB"/>
    <w:rsid w:val="008F1523"/>
    <w:rsid w:val="008F1F16"/>
    <w:rsid w:val="008F3B7F"/>
    <w:rsid w:val="008F64CF"/>
    <w:rsid w:val="00901029"/>
    <w:rsid w:val="00903B87"/>
    <w:rsid w:val="0090581D"/>
    <w:rsid w:val="00910CC9"/>
    <w:rsid w:val="0091576E"/>
    <w:rsid w:val="009165DF"/>
    <w:rsid w:val="00916E75"/>
    <w:rsid w:val="00920391"/>
    <w:rsid w:val="00921153"/>
    <w:rsid w:val="0092132E"/>
    <w:rsid w:val="009216B1"/>
    <w:rsid w:val="00922FC2"/>
    <w:rsid w:val="00923655"/>
    <w:rsid w:val="0093049F"/>
    <w:rsid w:val="009308D4"/>
    <w:rsid w:val="009338EA"/>
    <w:rsid w:val="00934668"/>
    <w:rsid w:val="009346CD"/>
    <w:rsid w:val="00934EB8"/>
    <w:rsid w:val="009359EB"/>
    <w:rsid w:val="0093763C"/>
    <w:rsid w:val="009407EA"/>
    <w:rsid w:val="00942469"/>
    <w:rsid w:val="00944378"/>
    <w:rsid w:val="009455F9"/>
    <w:rsid w:val="00945FA5"/>
    <w:rsid w:val="00947B93"/>
    <w:rsid w:val="00950BEE"/>
    <w:rsid w:val="00951372"/>
    <w:rsid w:val="00952046"/>
    <w:rsid w:val="00952340"/>
    <w:rsid w:val="00955BC8"/>
    <w:rsid w:val="00956D24"/>
    <w:rsid w:val="0096060F"/>
    <w:rsid w:val="00961617"/>
    <w:rsid w:val="00964E55"/>
    <w:rsid w:val="00966D82"/>
    <w:rsid w:val="00971B2F"/>
    <w:rsid w:val="0097276C"/>
    <w:rsid w:val="009739BA"/>
    <w:rsid w:val="0097523B"/>
    <w:rsid w:val="00980DD7"/>
    <w:rsid w:val="0098101F"/>
    <w:rsid w:val="00981278"/>
    <w:rsid w:val="00981518"/>
    <w:rsid w:val="00983EFC"/>
    <w:rsid w:val="00984715"/>
    <w:rsid w:val="009847F3"/>
    <w:rsid w:val="00984FBD"/>
    <w:rsid w:val="009851AA"/>
    <w:rsid w:val="00985CA1"/>
    <w:rsid w:val="009912DD"/>
    <w:rsid w:val="009915FA"/>
    <w:rsid w:val="00991718"/>
    <w:rsid w:val="009929F0"/>
    <w:rsid w:val="0099388C"/>
    <w:rsid w:val="00994CCC"/>
    <w:rsid w:val="00995CB9"/>
    <w:rsid w:val="009965AC"/>
    <w:rsid w:val="009971E8"/>
    <w:rsid w:val="0099762B"/>
    <w:rsid w:val="009A1683"/>
    <w:rsid w:val="009A51D9"/>
    <w:rsid w:val="009B2B1B"/>
    <w:rsid w:val="009B2B85"/>
    <w:rsid w:val="009B68F1"/>
    <w:rsid w:val="009B76AF"/>
    <w:rsid w:val="009C0E6E"/>
    <w:rsid w:val="009C3855"/>
    <w:rsid w:val="009C4E32"/>
    <w:rsid w:val="009C5D0F"/>
    <w:rsid w:val="009C6F0B"/>
    <w:rsid w:val="009C740D"/>
    <w:rsid w:val="009C7661"/>
    <w:rsid w:val="009C7674"/>
    <w:rsid w:val="009D10DB"/>
    <w:rsid w:val="009D1208"/>
    <w:rsid w:val="009D1B7E"/>
    <w:rsid w:val="009D29B1"/>
    <w:rsid w:val="009D2F43"/>
    <w:rsid w:val="009D3282"/>
    <w:rsid w:val="009D4D39"/>
    <w:rsid w:val="009D5E2A"/>
    <w:rsid w:val="009D5FBE"/>
    <w:rsid w:val="009E0E0E"/>
    <w:rsid w:val="009E10F8"/>
    <w:rsid w:val="009E35C4"/>
    <w:rsid w:val="009E3C14"/>
    <w:rsid w:val="009E4026"/>
    <w:rsid w:val="009E420A"/>
    <w:rsid w:val="009E47F3"/>
    <w:rsid w:val="009E4994"/>
    <w:rsid w:val="009E6C6E"/>
    <w:rsid w:val="009E7445"/>
    <w:rsid w:val="009F0203"/>
    <w:rsid w:val="009F0305"/>
    <w:rsid w:val="009F1AD4"/>
    <w:rsid w:val="009F1E09"/>
    <w:rsid w:val="009F315F"/>
    <w:rsid w:val="009F3ED8"/>
    <w:rsid w:val="009F5335"/>
    <w:rsid w:val="009F5973"/>
    <w:rsid w:val="00A05CC2"/>
    <w:rsid w:val="00A07975"/>
    <w:rsid w:val="00A1000C"/>
    <w:rsid w:val="00A11C01"/>
    <w:rsid w:val="00A12B74"/>
    <w:rsid w:val="00A137E9"/>
    <w:rsid w:val="00A15DD0"/>
    <w:rsid w:val="00A2262C"/>
    <w:rsid w:val="00A2352B"/>
    <w:rsid w:val="00A241A5"/>
    <w:rsid w:val="00A24E3C"/>
    <w:rsid w:val="00A264A7"/>
    <w:rsid w:val="00A303BA"/>
    <w:rsid w:val="00A311F4"/>
    <w:rsid w:val="00A31968"/>
    <w:rsid w:val="00A3277C"/>
    <w:rsid w:val="00A341CF"/>
    <w:rsid w:val="00A350E2"/>
    <w:rsid w:val="00A35288"/>
    <w:rsid w:val="00A44638"/>
    <w:rsid w:val="00A478ED"/>
    <w:rsid w:val="00A47C21"/>
    <w:rsid w:val="00A50A71"/>
    <w:rsid w:val="00A53FCA"/>
    <w:rsid w:val="00A635BA"/>
    <w:rsid w:val="00A648D6"/>
    <w:rsid w:val="00A665D8"/>
    <w:rsid w:val="00A6753E"/>
    <w:rsid w:val="00A70BC2"/>
    <w:rsid w:val="00A71004"/>
    <w:rsid w:val="00A710BE"/>
    <w:rsid w:val="00A7192C"/>
    <w:rsid w:val="00A72689"/>
    <w:rsid w:val="00A733DD"/>
    <w:rsid w:val="00A7443A"/>
    <w:rsid w:val="00A7781E"/>
    <w:rsid w:val="00A7791A"/>
    <w:rsid w:val="00A77C15"/>
    <w:rsid w:val="00A8093C"/>
    <w:rsid w:val="00A82408"/>
    <w:rsid w:val="00A84F85"/>
    <w:rsid w:val="00A91CCA"/>
    <w:rsid w:val="00A92C98"/>
    <w:rsid w:val="00A93C5F"/>
    <w:rsid w:val="00A93F84"/>
    <w:rsid w:val="00A94D71"/>
    <w:rsid w:val="00A964A2"/>
    <w:rsid w:val="00AA65DD"/>
    <w:rsid w:val="00AA7677"/>
    <w:rsid w:val="00AB2E2B"/>
    <w:rsid w:val="00AB31B8"/>
    <w:rsid w:val="00AB34EB"/>
    <w:rsid w:val="00AB489F"/>
    <w:rsid w:val="00AB6DDD"/>
    <w:rsid w:val="00AB712A"/>
    <w:rsid w:val="00AC1453"/>
    <w:rsid w:val="00AC2C91"/>
    <w:rsid w:val="00AC635C"/>
    <w:rsid w:val="00AC723A"/>
    <w:rsid w:val="00AC7517"/>
    <w:rsid w:val="00AD05CE"/>
    <w:rsid w:val="00AD22DA"/>
    <w:rsid w:val="00AD4C4E"/>
    <w:rsid w:val="00AD4E9D"/>
    <w:rsid w:val="00AD62A6"/>
    <w:rsid w:val="00AD6854"/>
    <w:rsid w:val="00AD7D72"/>
    <w:rsid w:val="00AE11CB"/>
    <w:rsid w:val="00AE2920"/>
    <w:rsid w:val="00AE377C"/>
    <w:rsid w:val="00AE3F3C"/>
    <w:rsid w:val="00AE5AD2"/>
    <w:rsid w:val="00AF1C16"/>
    <w:rsid w:val="00AF21BD"/>
    <w:rsid w:val="00AF2EC7"/>
    <w:rsid w:val="00AF48E0"/>
    <w:rsid w:val="00B01936"/>
    <w:rsid w:val="00B01BFD"/>
    <w:rsid w:val="00B054AB"/>
    <w:rsid w:val="00B05AAD"/>
    <w:rsid w:val="00B05ACF"/>
    <w:rsid w:val="00B07CA2"/>
    <w:rsid w:val="00B12B2C"/>
    <w:rsid w:val="00B13803"/>
    <w:rsid w:val="00B14541"/>
    <w:rsid w:val="00B170A2"/>
    <w:rsid w:val="00B1720E"/>
    <w:rsid w:val="00B20800"/>
    <w:rsid w:val="00B2433C"/>
    <w:rsid w:val="00B24460"/>
    <w:rsid w:val="00B26125"/>
    <w:rsid w:val="00B27266"/>
    <w:rsid w:val="00B27AC0"/>
    <w:rsid w:val="00B302CD"/>
    <w:rsid w:val="00B304A8"/>
    <w:rsid w:val="00B34426"/>
    <w:rsid w:val="00B3488C"/>
    <w:rsid w:val="00B43D32"/>
    <w:rsid w:val="00B43D92"/>
    <w:rsid w:val="00B43E62"/>
    <w:rsid w:val="00B475D3"/>
    <w:rsid w:val="00B477C3"/>
    <w:rsid w:val="00B51AF9"/>
    <w:rsid w:val="00B5304D"/>
    <w:rsid w:val="00B5755C"/>
    <w:rsid w:val="00B57C94"/>
    <w:rsid w:val="00B60206"/>
    <w:rsid w:val="00B6056C"/>
    <w:rsid w:val="00B62CF1"/>
    <w:rsid w:val="00B66304"/>
    <w:rsid w:val="00B67A6D"/>
    <w:rsid w:val="00B70791"/>
    <w:rsid w:val="00B70EE8"/>
    <w:rsid w:val="00B73477"/>
    <w:rsid w:val="00B74C37"/>
    <w:rsid w:val="00B76382"/>
    <w:rsid w:val="00B765DA"/>
    <w:rsid w:val="00B81341"/>
    <w:rsid w:val="00B82957"/>
    <w:rsid w:val="00B87426"/>
    <w:rsid w:val="00B908B5"/>
    <w:rsid w:val="00B90EA0"/>
    <w:rsid w:val="00B91062"/>
    <w:rsid w:val="00B96697"/>
    <w:rsid w:val="00BA1FC4"/>
    <w:rsid w:val="00BA43A1"/>
    <w:rsid w:val="00BA4B04"/>
    <w:rsid w:val="00BA6932"/>
    <w:rsid w:val="00BA7DC2"/>
    <w:rsid w:val="00BB0466"/>
    <w:rsid w:val="00BB14DC"/>
    <w:rsid w:val="00BB34B5"/>
    <w:rsid w:val="00BB541F"/>
    <w:rsid w:val="00BC0DD2"/>
    <w:rsid w:val="00BC11ED"/>
    <w:rsid w:val="00BC3915"/>
    <w:rsid w:val="00BD14E7"/>
    <w:rsid w:val="00BD1738"/>
    <w:rsid w:val="00BD187B"/>
    <w:rsid w:val="00BD3B87"/>
    <w:rsid w:val="00BD3BB3"/>
    <w:rsid w:val="00BD4854"/>
    <w:rsid w:val="00BD7025"/>
    <w:rsid w:val="00BD78B0"/>
    <w:rsid w:val="00BE0D6A"/>
    <w:rsid w:val="00BE12B2"/>
    <w:rsid w:val="00BE408E"/>
    <w:rsid w:val="00BE4E12"/>
    <w:rsid w:val="00BE660E"/>
    <w:rsid w:val="00BF1DF4"/>
    <w:rsid w:val="00BF2583"/>
    <w:rsid w:val="00BF36FC"/>
    <w:rsid w:val="00BF4313"/>
    <w:rsid w:val="00BF5C98"/>
    <w:rsid w:val="00BF6452"/>
    <w:rsid w:val="00BF67D3"/>
    <w:rsid w:val="00BF7223"/>
    <w:rsid w:val="00C01F32"/>
    <w:rsid w:val="00C03185"/>
    <w:rsid w:val="00C04C94"/>
    <w:rsid w:val="00C0777D"/>
    <w:rsid w:val="00C07BF8"/>
    <w:rsid w:val="00C1052F"/>
    <w:rsid w:val="00C13681"/>
    <w:rsid w:val="00C13ADC"/>
    <w:rsid w:val="00C169F6"/>
    <w:rsid w:val="00C16A33"/>
    <w:rsid w:val="00C16F81"/>
    <w:rsid w:val="00C22C53"/>
    <w:rsid w:val="00C236EA"/>
    <w:rsid w:val="00C2416F"/>
    <w:rsid w:val="00C24815"/>
    <w:rsid w:val="00C3475D"/>
    <w:rsid w:val="00C34ABD"/>
    <w:rsid w:val="00C35136"/>
    <w:rsid w:val="00C37B88"/>
    <w:rsid w:val="00C40EEF"/>
    <w:rsid w:val="00C4178B"/>
    <w:rsid w:val="00C42547"/>
    <w:rsid w:val="00C44D66"/>
    <w:rsid w:val="00C44F7C"/>
    <w:rsid w:val="00C47DAF"/>
    <w:rsid w:val="00C542E1"/>
    <w:rsid w:val="00C54D8D"/>
    <w:rsid w:val="00C61330"/>
    <w:rsid w:val="00C633A8"/>
    <w:rsid w:val="00C64309"/>
    <w:rsid w:val="00C6534A"/>
    <w:rsid w:val="00C67138"/>
    <w:rsid w:val="00C74A6E"/>
    <w:rsid w:val="00C74F02"/>
    <w:rsid w:val="00C76A36"/>
    <w:rsid w:val="00C76ABD"/>
    <w:rsid w:val="00C816E1"/>
    <w:rsid w:val="00C83A9C"/>
    <w:rsid w:val="00C83C07"/>
    <w:rsid w:val="00C85626"/>
    <w:rsid w:val="00C86154"/>
    <w:rsid w:val="00C86258"/>
    <w:rsid w:val="00C9017D"/>
    <w:rsid w:val="00C91470"/>
    <w:rsid w:val="00C938D8"/>
    <w:rsid w:val="00C954B4"/>
    <w:rsid w:val="00C95856"/>
    <w:rsid w:val="00C95DA6"/>
    <w:rsid w:val="00C9665B"/>
    <w:rsid w:val="00C973AC"/>
    <w:rsid w:val="00C97518"/>
    <w:rsid w:val="00C97AED"/>
    <w:rsid w:val="00CA0200"/>
    <w:rsid w:val="00CA107B"/>
    <w:rsid w:val="00CA12BC"/>
    <w:rsid w:val="00CB1E6C"/>
    <w:rsid w:val="00CB4221"/>
    <w:rsid w:val="00CB5A73"/>
    <w:rsid w:val="00CC0CC1"/>
    <w:rsid w:val="00CC1592"/>
    <w:rsid w:val="00CC2A6F"/>
    <w:rsid w:val="00CC2B6E"/>
    <w:rsid w:val="00CC2C01"/>
    <w:rsid w:val="00CC3221"/>
    <w:rsid w:val="00CC3912"/>
    <w:rsid w:val="00CC3BFB"/>
    <w:rsid w:val="00CD20D6"/>
    <w:rsid w:val="00CD3056"/>
    <w:rsid w:val="00CD3B64"/>
    <w:rsid w:val="00CD3D90"/>
    <w:rsid w:val="00CD4398"/>
    <w:rsid w:val="00CD5669"/>
    <w:rsid w:val="00CD7D35"/>
    <w:rsid w:val="00CF1693"/>
    <w:rsid w:val="00CF2B42"/>
    <w:rsid w:val="00CF2D15"/>
    <w:rsid w:val="00CF398E"/>
    <w:rsid w:val="00D016E8"/>
    <w:rsid w:val="00D02393"/>
    <w:rsid w:val="00D041F0"/>
    <w:rsid w:val="00D04EE2"/>
    <w:rsid w:val="00D05CE0"/>
    <w:rsid w:val="00D06603"/>
    <w:rsid w:val="00D071FD"/>
    <w:rsid w:val="00D07321"/>
    <w:rsid w:val="00D075EC"/>
    <w:rsid w:val="00D10B93"/>
    <w:rsid w:val="00D11465"/>
    <w:rsid w:val="00D12327"/>
    <w:rsid w:val="00D12D32"/>
    <w:rsid w:val="00D13424"/>
    <w:rsid w:val="00D14B52"/>
    <w:rsid w:val="00D15325"/>
    <w:rsid w:val="00D15568"/>
    <w:rsid w:val="00D30378"/>
    <w:rsid w:val="00D31374"/>
    <w:rsid w:val="00D31558"/>
    <w:rsid w:val="00D315B0"/>
    <w:rsid w:val="00D32750"/>
    <w:rsid w:val="00D3392C"/>
    <w:rsid w:val="00D3485E"/>
    <w:rsid w:val="00D36666"/>
    <w:rsid w:val="00D37852"/>
    <w:rsid w:val="00D415BF"/>
    <w:rsid w:val="00D41B1F"/>
    <w:rsid w:val="00D41E5C"/>
    <w:rsid w:val="00D46318"/>
    <w:rsid w:val="00D46A59"/>
    <w:rsid w:val="00D506EC"/>
    <w:rsid w:val="00D52AAB"/>
    <w:rsid w:val="00D52AD7"/>
    <w:rsid w:val="00D603FC"/>
    <w:rsid w:val="00D636CB"/>
    <w:rsid w:val="00D6614B"/>
    <w:rsid w:val="00D665E0"/>
    <w:rsid w:val="00D70AD7"/>
    <w:rsid w:val="00D71653"/>
    <w:rsid w:val="00D71ACC"/>
    <w:rsid w:val="00D74D44"/>
    <w:rsid w:val="00D766DE"/>
    <w:rsid w:val="00D76B7E"/>
    <w:rsid w:val="00D81F03"/>
    <w:rsid w:val="00D84640"/>
    <w:rsid w:val="00D870D9"/>
    <w:rsid w:val="00D87B51"/>
    <w:rsid w:val="00D87E6C"/>
    <w:rsid w:val="00D902F3"/>
    <w:rsid w:val="00D91618"/>
    <w:rsid w:val="00D94280"/>
    <w:rsid w:val="00D94A7F"/>
    <w:rsid w:val="00D95181"/>
    <w:rsid w:val="00D95EF7"/>
    <w:rsid w:val="00D96062"/>
    <w:rsid w:val="00D96AC7"/>
    <w:rsid w:val="00D97493"/>
    <w:rsid w:val="00DA0532"/>
    <w:rsid w:val="00DA153D"/>
    <w:rsid w:val="00DA1784"/>
    <w:rsid w:val="00DA2544"/>
    <w:rsid w:val="00DA2B91"/>
    <w:rsid w:val="00DA2F8D"/>
    <w:rsid w:val="00DA7EF5"/>
    <w:rsid w:val="00DB0E62"/>
    <w:rsid w:val="00DB160B"/>
    <w:rsid w:val="00DB195B"/>
    <w:rsid w:val="00DB20B4"/>
    <w:rsid w:val="00DB388E"/>
    <w:rsid w:val="00DB4C69"/>
    <w:rsid w:val="00DB6F3F"/>
    <w:rsid w:val="00DC061B"/>
    <w:rsid w:val="00DC18D0"/>
    <w:rsid w:val="00DC5AAB"/>
    <w:rsid w:val="00DC642B"/>
    <w:rsid w:val="00DD0332"/>
    <w:rsid w:val="00DD378F"/>
    <w:rsid w:val="00DD421F"/>
    <w:rsid w:val="00DD538F"/>
    <w:rsid w:val="00DD6C95"/>
    <w:rsid w:val="00DE1703"/>
    <w:rsid w:val="00DE189C"/>
    <w:rsid w:val="00DE260B"/>
    <w:rsid w:val="00DE421C"/>
    <w:rsid w:val="00DE5EC9"/>
    <w:rsid w:val="00DE751D"/>
    <w:rsid w:val="00DE7DD6"/>
    <w:rsid w:val="00DF07BB"/>
    <w:rsid w:val="00DF0F98"/>
    <w:rsid w:val="00DF4EF3"/>
    <w:rsid w:val="00DF6929"/>
    <w:rsid w:val="00DF6E27"/>
    <w:rsid w:val="00E0288C"/>
    <w:rsid w:val="00E051CF"/>
    <w:rsid w:val="00E054C1"/>
    <w:rsid w:val="00E0735B"/>
    <w:rsid w:val="00E07421"/>
    <w:rsid w:val="00E078E8"/>
    <w:rsid w:val="00E11B54"/>
    <w:rsid w:val="00E11DFE"/>
    <w:rsid w:val="00E12288"/>
    <w:rsid w:val="00E127A9"/>
    <w:rsid w:val="00E12F4A"/>
    <w:rsid w:val="00E21203"/>
    <w:rsid w:val="00E2159B"/>
    <w:rsid w:val="00E2239D"/>
    <w:rsid w:val="00E23171"/>
    <w:rsid w:val="00E23210"/>
    <w:rsid w:val="00E25985"/>
    <w:rsid w:val="00E30C41"/>
    <w:rsid w:val="00E31703"/>
    <w:rsid w:val="00E3292D"/>
    <w:rsid w:val="00E33BA8"/>
    <w:rsid w:val="00E41412"/>
    <w:rsid w:val="00E418AF"/>
    <w:rsid w:val="00E41D4E"/>
    <w:rsid w:val="00E4406B"/>
    <w:rsid w:val="00E44AEA"/>
    <w:rsid w:val="00E4553F"/>
    <w:rsid w:val="00E47767"/>
    <w:rsid w:val="00E47F0E"/>
    <w:rsid w:val="00E50D1C"/>
    <w:rsid w:val="00E53C2D"/>
    <w:rsid w:val="00E54A1F"/>
    <w:rsid w:val="00E576AC"/>
    <w:rsid w:val="00E632B6"/>
    <w:rsid w:val="00E636C4"/>
    <w:rsid w:val="00E651A2"/>
    <w:rsid w:val="00E710BE"/>
    <w:rsid w:val="00E71A6A"/>
    <w:rsid w:val="00E73C95"/>
    <w:rsid w:val="00E7444F"/>
    <w:rsid w:val="00E757C4"/>
    <w:rsid w:val="00E75C65"/>
    <w:rsid w:val="00E7621F"/>
    <w:rsid w:val="00E76AC6"/>
    <w:rsid w:val="00E85629"/>
    <w:rsid w:val="00E856B7"/>
    <w:rsid w:val="00E8596E"/>
    <w:rsid w:val="00E93C53"/>
    <w:rsid w:val="00E94F44"/>
    <w:rsid w:val="00E962BB"/>
    <w:rsid w:val="00E97875"/>
    <w:rsid w:val="00EA0323"/>
    <w:rsid w:val="00EA0742"/>
    <w:rsid w:val="00EA3919"/>
    <w:rsid w:val="00EA6980"/>
    <w:rsid w:val="00EA7557"/>
    <w:rsid w:val="00EA76A9"/>
    <w:rsid w:val="00EA796C"/>
    <w:rsid w:val="00EA7DB4"/>
    <w:rsid w:val="00EB0499"/>
    <w:rsid w:val="00EB33EB"/>
    <w:rsid w:val="00EB5726"/>
    <w:rsid w:val="00EB69AA"/>
    <w:rsid w:val="00EB770D"/>
    <w:rsid w:val="00EC36AF"/>
    <w:rsid w:val="00EC722E"/>
    <w:rsid w:val="00EC779D"/>
    <w:rsid w:val="00EC77A5"/>
    <w:rsid w:val="00ED2425"/>
    <w:rsid w:val="00ED3629"/>
    <w:rsid w:val="00ED47C4"/>
    <w:rsid w:val="00ED4C45"/>
    <w:rsid w:val="00ED5437"/>
    <w:rsid w:val="00ED680E"/>
    <w:rsid w:val="00EE2FD9"/>
    <w:rsid w:val="00EE6070"/>
    <w:rsid w:val="00EE7812"/>
    <w:rsid w:val="00EF19E1"/>
    <w:rsid w:val="00EF1F49"/>
    <w:rsid w:val="00EF1FD0"/>
    <w:rsid w:val="00EF2A2B"/>
    <w:rsid w:val="00EF540C"/>
    <w:rsid w:val="00EF6C5F"/>
    <w:rsid w:val="00F00F0C"/>
    <w:rsid w:val="00F0515E"/>
    <w:rsid w:val="00F116CE"/>
    <w:rsid w:val="00F12E56"/>
    <w:rsid w:val="00F13B0C"/>
    <w:rsid w:val="00F14748"/>
    <w:rsid w:val="00F20D73"/>
    <w:rsid w:val="00F21443"/>
    <w:rsid w:val="00F21FAE"/>
    <w:rsid w:val="00F22827"/>
    <w:rsid w:val="00F24786"/>
    <w:rsid w:val="00F26E1F"/>
    <w:rsid w:val="00F26FED"/>
    <w:rsid w:val="00F271FC"/>
    <w:rsid w:val="00F27CB0"/>
    <w:rsid w:val="00F329AB"/>
    <w:rsid w:val="00F32B05"/>
    <w:rsid w:val="00F32D99"/>
    <w:rsid w:val="00F33BEB"/>
    <w:rsid w:val="00F33FEB"/>
    <w:rsid w:val="00F349CA"/>
    <w:rsid w:val="00F359B3"/>
    <w:rsid w:val="00F369C2"/>
    <w:rsid w:val="00F4120E"/>
    <w:rsid w:val="00F4326E"/>
    <w:rsid w:val="00F453D8"/>
    <w:rsid w:val="00F45F72"/>
    <w:rsid w:val="00F519C1"/>
    <w:rsid w:val="00F5399D"/>
    <w:rsid w:val="00F549A3"/>
    <w:rsid w:val="00F56112"/>
    <w:rsid w:val="00F56AFC"/>
    <w:rsid w:val="00F61B0E"/>
    <w:rsid w:val="00F61ED4"/>
    <w:rsid w:val="00F624EF"/>
    <w:rsid w:val="00F65E61"/>
    <w:rsid w:val="00F65FDD"/>
    <w:rsid w:val="00F70724"/>
    <w:rsid w:val="00F70C73"/>
    <w:rsid w:val="00F740D2"/>
    <w:rsid w:val="00F75323"/>
    <w:rsid w:val="00F75C12"/>
    <w:rsid w:val="00F76631"/>
    <w:rsid w:val="00F77E8F"/>
    <w:rsid w:val="00F81481"/>
    <w:rsid w:val="00F81E8F"/>
    <w:rsid w:val="00F842B1"/>
    <w:rsid w:val="00F933F9"/>
    <w:rsid w:val="00F94C8F"/>
    <w:rsid w:val="00F94D6A"/>
    <w:rsid w:val="00FA1009"/>
    <w:rsid w:val="00FA59FD"/>
    <w:rsid w:val="00FB03FB"/>
    <w:rsid w:val="00FB41A6"/>
    <w:rsid w:val="00FB5730"/>
    <w:rsid w:val="00FB5BBA"/>
    <w:rsid w:val="00FC460B"/>
    <w:rsid w:val="00FC54EF"/>
    <w:rsid w:val="00FC77CC"/>
    <w:rsid w:val="00FD2917"/>
    <w:rsid w:val="00FD37C1"/>
    <w:rsid w:val="00FD5E39"/>
    <w:rsid w:val="00FD65EA"/>
    <w:rsid w:val="00FD719E"/>
    <w:rsid w:val="00FD74CB"/>
    <w:rsid w:val="00FE1487"/>
    <w:rsid w:val="00FE35D7"/>
    <w:rsid w:val="00FE5BF9"/>
    <w:rsid w:val="00FE6D4C"/>
    <w:rsid w:val="00FE73A2"/>
    <w:rsid w:val="00FF1D54"/>
    <w:rsid w:val="00FF4095"/>
    <w:rsid w:val="00FF59FF"/>
    <w:rsid w:val="00FF60AA"/>
    <w:rsid w:val="00FF6E84"/>
    <w:rsid w:val="00FF7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C1235"/>
  <w15:docId w15:val="{B443AE77-392D-49BA-939F-F4F6657B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4C1"/>
    <w:rPr>
      <w:color w:val="5F5F5F" w:themeColor="hyperlink"/>
      <w:u w:val="single"/>
    </w:rPr>
  </w:style>
  <w:style w:type="paragraph" w:styleId="Header">
    <w:name w:val="header"/>
    <w:basedOn w:val="Normal"/>
    <w:link w:val="HeaderChar"/>
    <w:uiPriority w:val="99"/>
    <w:unhideWhenUsed/>
    <w:rsid w:val="00E054C1"/>
    <w:pPr>
      <w:tabs>
        <w:tab w:val="center" w:pos="4513"/>
        <w:tab w:val="right" w:pos="9026"/>
      </w:tabs>
      <w:spacing w:line="240" w:lineRule="auto"/>
    </w:pPr>
  </w:style>
  <w:style w:type="character" w:customStyle="1" w:styleId="HeaderChar">
    <w:name w:val="Header Char"/>
    <w:basedOn w:val="DefaultParagraphFont"/>
    <w:link w:val="Header"/>
    <w:uiPriority w:val="99"/>
    <w:rsid w:val="00E054C1"/>
  </w:style>
  <w:style w:type="paragraph" w:styleId="Footer">
    <w:name w:val="footer"/>
    <w:basedOn w:val="Normal"/>
    <w:link w:val="FooterChar"/>
    <w:uiPriority w:val="99"/>
    <w:unhideWhenUsed/>
    <w:rsid w:val="00566EDD"/>
    <w:pPr>
      <w:tabs>
        <w:tab w:val="center" w:pos="4513"/>
        <w:tab w:val="right" w:pos="9026"/>
      </w:tabs>
      <w:spacing w:line="240" w:lineRule="auto"/>
    </w:pPr>
  </w:style>
  <w:style w:type="character" w:customStyle="1" w:styleId="FooterChar">
    <w:name w:val="Footer Char"/>
    <w:basedOn w:val="DefaultParagraphFont"/>
    <w:link w:val="Footer"/>
    <w:uiPriority w:val="99"/>
    <w:rsid w:val="00566EDD"/>
  </w:style>
  <w:style w:type="paragraph" w:styleId="FootnoteText">
    <w:name w:val="footnote text"/>
    <w:basedOn w:val="Normal"/>
    <w:link w:val="FootnoteTextChar"/>
    <w:uiPriority w:val="99"/>
    <w:semiHidden/>
    <w:unhideWhenUsed/>
    <w:rsid w:val="00D41E5C"/>
    <w:pPr>
      <w:spacing w:line="240" w:lineRule="auto"/>
    </w:pPr>
    <w:rPr>
      <w:sz w:val="20"/>
      <w:szCs w:val="20"/>
    </w:rPr>
  </w:style>
  <w:style w:type="character" w:customStyle="1" w:styleId="FootnoteTextChar">
    <w:name w:val="Footnote Text Char"/>
    <w:basedOn w:val="DefaultParagraphFont"/>
    <w:link w:val="FootnoteText"/>
    <w:uiPriority w:val="99"/>
    <w:semiHidden/>
    <w:rsid w:val="00D41E5C"/>
    <w:rPr>
      <w:sz w:val="20"/>
      <w:szCs w:val="20"/>
    </w:rPr>
  </w:style>
  <w:style w:type="character" w:styleId="FootnoteReference">
    <w:name w:val="footnote reference"/>
    <w:basedOn w:val="DefaultParagraphFont"/>
    <w:uiPriority w:val="99"/>
    <w:semiHidden/>
    <w:unhideWhenUsed/>
    <w:rsid w:val="00D41E5C"/>
    <w:rPr>
      <w:vertAlign w:val="superscript"/>
    </w:rPr>
  </w:style>
  <w:style w:type="paragraph" w:styleId="BalloonText">
    <w:name w:val="Balloon Text"/>
    <w:basedOn w:val="Normal"/>
    <w:link w:val="BalloonTextChar"/>
    <w:uiPriority w:val="99"/>
    <w:semiHidden/>
    <w:unhideWhenUsed/>
    <w:rsid w:val="00D366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66"/>
    <w:rPr>
      <w:rFonts w:ascii="Tahoma" w:hAnsi="Tahoma" w:cs="Tahoma"/>
      <w:sz w:val="16"/>
      <w:szCs w:val="16"/>
    </w:rPr>
  </w:style>
  <w:style w:type="character" w:styleId="CommentReference">
    <w:name w:val="annotation reference"/>
    <w:basedOn w:val="DefaultParagraphFont"/>
    <w:uiPriority w:val="99"/>
    <w:semiHidden/>
    <w:unhideWhenUsed/>
    <w:rsid w:val="003D4F3D"/>
    <w:rPr>
      <w:sz w:val="16"/>
      <w:szCs w:val="16"/>
    </w:rPr>
  </w:style>
  <w:style w:type="paragraph" w:styleId="CommentText">
    <w:name w:val="annotation text"/>
    <w:basedOn w:val="Normal"/>
    <w:link w:val="CommentTextChar"/>
    <w:uiPriority w:val="99"/>
    <w:semiHidden/>
    <w:unhideWhenUsed/>
    <w:rsid w:val="003D4F3D"/>
    <w:pPr>
      <w:spacing w:line="240" w:lineRule="auto"/>
    </w:pPr>
    <w:rPr>
      <w:sz w:val="20"/>
      <w:szCs w:val="20"/>
    </w:rPr>
  </w:style>
  <w:style w:type="character" w:customStyle="1" w:styleId="CommentTextChar">
    <w:name w:val="Comment Text Char"/>
    <w:basedOn w:val="DefaultParagraphFont"/>
    <w:link w:val="CommentText"/>
    <w:uiPriority w:val="99"/>
    <w:semiHidden/>
    <w:rsid w:val="003D4F3D"/>
    <w:rPr>
      <w:sz w:val="20"/>
      <w:szCs w:val="20"/>
    </w:rPr>
  </w:style>
  <w:style w:type="paragraph" w:styleId="CommentSubject">
    <w:name w:val="annotation subject"/>
    <w:basedOn w:val="CommentText"/>
    <w:next w:val="CommentText"/>
    <w:link w:val="CommentSubjectChar"/>
    <w:uiPriority w:val="99"/>
    <w:semiHidden/>
    <w:unhideWhenUsed/>
    <w:rsid w:val="003D4F3D"/>
    <w:rPr>
      <w:b/>
      <w:bCs/>
    </w:rPr>
  </w:style>
  <w:style w:type="character" w:customStyle="1" w:styleId="CommentSubjectChar">
    <w:name w:val="Comment Subject Char"/>
    <w:basedOn w:val="CommentTextChar"/>
    <w:link w:val="CommentSubject"/>
    <w:uiPriority w:val="99"/>
    <w:semiHidden/>
    <w:rsid w:val="003D4F3D"/>
    <w:rPr>
      <w:b/>
      <w:bCs/>
      <w:sz w:val="20"/>
      <w:szCs w:val="20"/>
    </w:rPr>
  </w:style>
  <w:style w:type="character" w:styleId="FollowedHyperlink">
    <w:name w:val="FollowedHyperlink"/>
    <w:basedOn w:val="DefaultParagraphFont"/>
    <w:uiPriority w:val="99"/>
    <w:semiHidden/>
    <w:unhideWhenUsed/>
    <w:rsid w:val="00EF540C"/>
    <w:rPr>
      <w:color w:val="919191" w:themeColor="followedHyperlink"/>
      <w:u w:val="single"/>
    </w:rPr>
  </w:style>
  <w:style w:type="table" w:styleId="TableGrid">
    <w:name w:val="Table Grid"/>
    <w:basedOn w:val="TableNormal"/>
    <w:uiPriority w:val="39"/>
    <w:rsid w:val="002C08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C938D8"/>
    <w:pPr>
      <w:spacing w:before="100" w:beforeAutospacing="1" w:after="100" w:afterAutospacing="1" w:line="240" w:lineRule="auto"/>
    </w:pPr>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345">
      <w:bodyDiv w:val="1"/>
      <w:marLeft w:val="0"/>
      <w:marRight w:val="0"/>
      <w:marTop w:val="0"/>
      <w:marBottom w:val="0"/>
      <w:divBdr>
        <w:top w:val="none" w:sz="0" w:space="0" w:color="auto"/>
        <w:left w:val="none" w:sz="0" w:space="0" w:color="auto"/>
        <w:bottom w:val="none" w:sz="0" w:space="0" w:color="auto"/>
        <w:right w:val="none" w:sz="0" w:space="0" w:color="auto"/>
      </w:divBdr>
      <w:divsChild>
        <w:div w:id="1414208010">
          <w:marLeft w:val="0"/>
          <w:marRight w:val="0"/>
          <w:marTop w:val="0"/>
          <w:marBottom w:val="0"/>
          <w:divBdr>
            <w:top w:val="none" w:sz="0" w:space="0" w:color="auto"/>
            <w:left w:val="none" w:sz="0" w:space="0" w:color="auto"/>
            <w:bottom w:val="none" w:sz="0" w:space="0" w:color="auto"/>
            <w:right w:val="none" w:sz="0" w:space="0" w:color="auto"/>
          </w:divBdr>
          <w:divsChild>
            <w:div w:id="144208372">
              <w:marLeft w:val="0"/>
              <w:marRight w:val="0"/>
              <w:marTop w:val="0"/>
              <w:marBottom w:val="0"/>
              <w:divBdr>
                <w:top w:val="none" w:sz="0" w:space="0" w:color="auto"/>
                <w:left w:val="none" w:sz="0" w:space="0" w:color="auto"/>
                <w:bottom w:val="none" w:sz="0" w:space="0" w:color="auto"/>
                <w:right w:val="none" w:sz="0" w:space="0" w:color="auto"/>
              </w:divBdr>
              <w:divsChild>
                <w:div w:id="1886792937">
                  <w:marLeft w:val="0"/>
                  <w:marRight w:val="0"/>
                  <w:marTop w:val="0"/>
                  <w:marBottom w:val="0"/>
                  <w:divBdr>
                    <w:top w:val="single" w:sz="6" w:space="0" w:color="CCCCCC"/>
                    <w:left w:val="single" w:sz="6" w:space="0" w:color="CCCCCC"/>
                    <w:bottom w:val="single" w:sz="6" w:space="0" w:color="CCCCCC"/>
                    <w:right w:val="single" w:sz="6" w:space="0" w:color="CCCCCC"/>
                  </w:divBdr>
                  <w:divsChild>
                    <w:div w:id="991560717">
                      <w:marLeft w:val="0"/>
                      <w:marRight w:val="0"/>
                      <w:marTop w:val="0"/>
                      <w:marBottom w:val="0"/>
                      <w:divBdr>
                        <w:top w:val="none" w:sz="0" w:space="0" w:color="auto"/>
                        <w:left w:val="none" w:sz="0" w:space="0" w:color="auto"/>
                        <w:bottom w:val="none" w:sz="0" w:space="0" w:color="auto"/>
                        <w:right w:val="none" w:sz="0" w:space="0" w:color="auto"/>
                      </w:divBdr>
                      <w:divsChild>
                        <w:div w:id="1321035681">
                          <w:marLeft w:val="0"/>
                          <w:marRight w:val="0"/>
                          <w:marTop w:val="0"/>
                          <w:marBottom w:val="0"/>
                          <w:divBdr>
                            <w:top w:val="none" w:sz="0" w:space="0" w:color="auto"/>
                            <w:left w:val="none" w:sz="0" w:space="0" w:color="auto"/>
                            <w:bottom w:val="none" w:sz="0" w:space="0" w:color="auto"/>
                            <w:right w:val="none" w:sz="0" w:space="0" w:color="auto"/>
                          </w:divBdr>
                          <w:divsChild>
                            <w:div w:id="146409228">
                              <w:marLeft w:val="0"/>
                              <w:marRight w:val="0"/>
                              <w:marTop w:val="0"/>
                              <w:marBottom w:val="0"/>
                              <w:divBdr>
                                <w:top w:val="none" w:sz="0" w:space="0" w:color="auto"/>
                                <w:left w:val="none" w:sz="0" w:space="0" w:color="auto"/>
                                <w:bottom w:val="none" w:sz="0" w:space="0" w:color="auto"/>
                                <w:right w:val="none" w:sz="0" w:space="0" w:color="auto"/>
                              </w:divBdr>
                              <w:divsChild>
                                <w:div w:id="11876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678">
      <w:bodyDiv w:val="1"/>
      <w:marLeft w:val="0"/>
      <w:marRight w:val="0"/>
      <w:marTop w:val="0"/>
      <w:marBottom w:val="0"/>
      <w:divBdr>
        <w:top w:val="none" w:sz="0" w:space="0" w:color="auto"/>
        <w:left w:val="none" w:sz="0" w:space="0" w:color="auto"/>
        <w:bottom w:val="none" w:sz="0" w:space="0" w:color="auto"/>
        <w:right w:val="none" w:sz="0" w:space="0" w:color="auto"/>
      </w:divBdr>
      <w:divsChild>
        <w:div w:id="1858806920">
          <w:marLeft w:val="0"/>
          <w:marRight w:val="0"/>
          <w:marTop w:val="0"/>
          <w:marBottom w:val="0"/>
          <w:divBdr>
            <w:top w:val="none" w:sz="0" w:space="0" w:color="auto"/>
            <w:left w:val="none" w:sz="0" w:space="0" w:color="auto"/>
            <w:bottom w:val="none" w:sz="0" w:space="0" w:color="auto"/>
            <w:right w:val="none" w:sz="0" w:space="0" w:color="auto"/>
          </w:divBdr>
          <w:divsChild>
            <w:div w:id="686716452">
              <w:marLeft w:val="0"/>
              <w:marRight w:val="0"/>
              <w:marTop w:val="0"/>
              <w:marBottom w:val="0"/>
              <w:divBdr>
                <w:top w:val="none" w:sz="0" w:space="0" w:color="auto"/>
                <w:left w:val="none" w:sz="0" w:space="0" w:color="auto"/>
                <w:bottom w:val="none" w:sz="0" w:space="0" w:color="auto"/>
                <w:right w:val="none" w:sz="0" w:space="0" w:color="auto"/>
              </w:divBdr>
              <w:divsChild>
                <w:div w:id="810514191">
                  <w:marLeft w:val="0"/>
                  <w:marRight w:val="0"/>
                  <w:marTop w:val="0"/>
                  <w:marBottom w:val="0"/>
                  <w:divBdr>
                    <w:top w:val="single" w:sz="6" w:space="0" w:color="CCCCCC"/>
                    <w:left w:val="single" w:sz="6" w:space="0" w:color="CCCCCC"/>
                    <w:bottom w:val="single" w:sz="6" w:space="0" w:color="CCCCCC"/>
                    <w:right w:val="single" w:sz="6" w:space="0" w:color="CCCCCC"/>
                  </w:divBdr>
                  <w:divsChild>
                    <w:div w:id="342829130">
                      <w:marLeft w:val="0"/>
                      <w:marRight w:val="0"/>
                      <w:marTop w:val="0"/>
                      <w:marBottom w:val="0"/>
                      <w:divBdr>
                        <w:top w:val="none" w:sz="0" w:space="0" w:color="auto"/>
                        <w:left w:val="none" w:sz="0" w:space="0" w:color="auto"/>
                        <w:bottom w:val="none" w:sz="0" w:space="0" w:color="auto"/>
                        <w:right w:val="none" w:sz="0" w:space="0" w:color="auto"/>
                      </w:divBdr>
                      <w:divsChild>
                        <w:div w:id="1925453976">
                          <w:marLeft w:val="0"/>
                          <w:marRight w:val="0"/>
                          <w:marTop w:val="0"/>
                          <w:marBottom w:val="0"/>
                          <w:divBdr>
                            <w:top w:val="none" w:sz="0" w:space="0" w:color="auto"/>
                            <w:left w:val="none" w:sz="0" w:space="0" w:color="auto"/>
                            <w:bottom w:val="none" w:sz="0" w:space="0" w:color="auto"/>
                            <w:right w:val="none" w:sz="0" w:space="0" w:color="auto"/>
                          </w:divBdr>
                          <w:divsChild>
                            <w:div w:id="1696807379">
                              <w:marLeft w:val="0"/>
                              <w:marRight w:val="0"/>
                              <w:marTop w:val="0"/>
                              <w:marBottom w:val="0"/>
                              <w:divBdr>
                                <w:top w:val="none" w:sz="0" w:space="0" w:color="auto"/>
                                <w:left w:val="none" w:sz="0" w:space="0" w:color="auto"/>
                                <w:bottom w:val="none" w:sz="0" w:space="0" w:color="auto"/>
                                <w:right w:val="none" w:sz="0" w:space="0" w:color="auto"/>
                              </w:divBdr>
                              <w:divsChild>
                                <w:div w:id="19390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36086">
      <w:bodyDiv w:val="1"/>
      <w:marLeft w:val="0"/>
      <w:marRight w:val="0"/>
      <w:marTop w:val="0"/>
      <w:marBottom w:val="0"/>
      <w:divBdr>
        <w:top w:val="none" w:sz="0" w:space="0" w:color="auto"/>
        <w:left w:val="none" w:sz="0" w:space="0" w:color="auto"/>
        <w:bottom w:val="none" w:sz="0" w:space="0" w:color="auto"/>
        <w:right w:val="none" w:sz="0" w:space="0" w:color="auto"/>
      </w:divBdr>
      <w:divsChild>
        <w:div w:id="450562839">
          <w:marLeft w:val="0"/>
          <w:marRight w:val="0"/>
          <w:marTop w:val="0"/>
          <w:marBottom w:val="0"/>
          <w:divBdr>
            <w:top w:val="none" w:sz="0" w:space="0" w:color="auto"/>
            <w:left w:val="none" w:sz="0" w:space="0" w:color="auto"/>
            <w:bottom w:val="none" w:sz="0" w:space="0" w:color="auto"/>
            <w:right w:val="none" w:sz="0" w:space="0" w:color="auto"/>
          </w:divBdr>
          <w:divsChild>
            <w:div w:id="1857573844">
              <w:marLeft w:val="0"/>
              <w:marRight w:val="0"/>
              <w:marTop w:val="0"/>
              <w:marBottom w:val="0"/>
              <w:divBdr>
                <w:top w:val="none" w:sz="0" w:space="0" w:color="auto"/>
                <w:left w:val="none" w:sz="0" w:space="0" w:color="auto"/>
                <w:bottom w:val="none" w:sz="0" w:space="0" w:color="auto"/>
                <w:right w:val="none" w:sz="0" w:space="0" w:color="auto"/>
              </w:divBdr>
              <w:divsChild>
                <w:div w:id="184368292">
                  <w:marLeft w:val="0"/>
                  <w:marRight w:val="0"/>
                  <w:marTop w:val="0"/>
                  <w:marBottom w:val="0"/>
                  <w:divBdr>
                    <w:top w:val="none" w:sz="0" w:space="0" w:color="auto"/>
                    <w:left w:val="none" w:sz="0" w:space="0" w:color="auto"/>
                    <w:bottom w:val="none" w:sz="0" w:space="0" w:color="auto"/>
                    <w:right w:val="none" w:sz="0" w:space="0" w:color="auto"/>
                  </w:divBdr>
                  <w:divsChild>
                    <w:div w:id="1959216089">
                      <w:marLeft w:val="0"/>
                      <w:marRight w:val="0"/>
                      <w:marTop w:val="0"/>
                      <w:marBottom w:val="0"/>
                      <w:divBdr>
                        <w:top w:val="none" w:sz="0" w:space="0" w:color="auto"/>
                        <w:left w:val="none" w:sz="0" w:space="0" w:color="auto"/>
                        <w:bottom w:val="none" w:sz="0" w:space="0" w:color="auto"/>
                        <w:right w:val="none" w:sz="0" w:space="0" w:color="auto"/>
                      </w:divBdr>
                      <w:divsChild>
                        <w:div w:id="1519156803">
                          <w:marLeft w:val="0"/>
                          <w:marRight w:val="0"/>
                          <w:marTop w:val="0"/>
                          <w:marBottom w:val="0"/>
                          <w:divBdr>
                            <w:top w:val="none" w:sz="0" w:space="0" w:color="auto"/>
                            <w:left w:val="none" w:sz="0" w:space="0" w:color="auto"/>
                            <w:bottom w:val="none" w:sz="0" w:space="0" w:color="auto"/>
                            <w:right w:val="none" w:sz="0" w:space="0" w:color="auto"/>
                          </w:divBdr>
                          <w:divsChild>
                            <w:div w:id="11439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75230">
      <w:bodyDiv w:val="1"/>
      <w:marLeft w:val="0"/>
      <w:marRight w:val="0"/>
      <w:marTop w:val="0"/>
      <w:marBottom w:val="0"/>
      <w:divBdr>
        <w:top w:val="none" w:sz="0" w:space="0" w:color="auto"/>
        <w:left w:val="none" w:sz="0" w:space="0" w:color="auto"/>
        <w:bottom w:val="none" w:sz="0" w:space="0" w:color="auto"/>
        <w:right w:val="none" w:sz="0" w:space="0" w:color="auto"/>
      </w:divBdr>
      <w:divsChild>
        <w:div w:id="1569534739">
          <w:marLeft w:val="0"/>
          <w:marRight w:val="0"/>
          <w:marTop w:val="0"/>
          <w:marBottom w:val="0"/>
          <w:divBdr>
            <w:top w:val="none" w:sz="0" w:space="0" w:color="auto"/>
            <w:left w:val="none" w:sz="0" w:space="0" w:color="auto"/>
            <w:bottom w:val="none" w:sz="0" w:space="0" w:color="auto"/>
            <w:right w:val="none" w:sz="0" w:space="0" w:color="auto"/>
          </w:divBdr>
          <w:divsChild>
            <w:div w:id="1576813825">
              <w:marLeft w:val="0"/>
              <w:marRight w:val="0"/>
              <w:marTop w:val="0"/>
              <w:marBottom w:val="0"/>
              <w:divBdr>
                <w:top w:val="none" w:sz="0" w:space="0" w:color="auto"/>
                <w:left w:val="none" w:sz="0" w:space="0" w:color="auto"/>
                <w:bottom w:val="none" w:sz="0" w:space="0" w:color="auto"/>
                <w:right w:val="none" w:sz="0" w:space="0" w:color="auto"/>
              </w:divBdr>
              <w:divsChild>
                <w:div w:id="1878810550">
                  <w:marLeft w:val="0"/>
                  <w:marRight w:val="0"/>
                  <w:marTop w:val="0"/>
                  <w:marBottom w:val="0"/>
                  <w:divBdr>
                    <w:top w:val="single" w:sz="6" w:space="0" w:color="CCCCCC"/>
                    <w:left w:val="single" w:sz="6" w:space="0" w:color="CCCCCC"/>
                    <w:bottom w:val="single" w:sz="6" w:space="0" w:color="CCCCCC"/>
                    <w:right w:val="single" w:sz="6" w:space="0" w:color="CCCCCC"/>
                  </w:divBdr>
                  <w:divsChild>
                    <w:div w:id="790637821">
                      <w:marLeft w:val="0"/>
                      <w:marRight w:val="0"/>
                      <w:marTop w:val="0"/>
                      <w:marBottom w:val="0"/>
                      <w:divBdr>
                        <w:top w:val="none" w:sz="0" w:space="0" w:color="auto"/>
                        <w:left w:val="none" w:sz="0" w:space="0" w:color="auto"/>
                        <w:bottom w:val="none" w:sz="0" w:space="0" w:color="auto"/>
                        <w:right w:val="none" w:sz="0" w:space="0" w:color="auto"/>
                      </w:divBdr>
                      <w:divsChild>
                        <w:div w:id="854804209">
                          <w:marLeft w:val="0"/>
                          <w:marRight w:val="0"/>
                          <w:marTop w:val="0"/>
                          <w:marBottom w:val="0"/>
                          <w:divBdr>
                            <w:top w:val="none" w:sz="0" w:space="0" w:color="auto"/>
                            <w:left w:val="none" w:sz="0" w:space="0" w:color="auto"/>
                            <w:bottom w:val="none" w:sz="0" w:space="0" w:color="auto"/>
                            <w:right w:val="none" w:sz="0" w:space="0" w:color="auto"/>
                          </w:divBdr>
                          <w:divsChild>
                            <w:div w:id="3171963">
                              <w:marLeft w:val="0"/>
                              <w:marRight w:val="0"/>
                              <w:marTop w:val="0"/>
                              <w:marBottom w:val="0"/>
                              <w:divBdr>
                                <w:top w:val="none" w:sz="0" w:space="0" w:color="auto"/>
                                <w:left w:val="none" w:sz="0" w:space="0" w:color="auto"/>
                                <w:bottom w:val="none" w:sz="0" w:space="0" w:color="auto"/>
                                <w:right w:val="none" w:sz="0" w:space="0" w:color="auto"/>
                              </w:divBdr>
                              <w:divsChild>
                                <w:div w:id="7629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9025">
      <w:bodyDiv w:val="1"/>
      <w:marLeft w:val="0"/>
      <w:marRight w:val="0"/>
      <w:marTop w:val="0"/>
      <w:marBottom w:val="0"/>
      <w:divBdr>
        <w:top w:val="none" w:sz="0" w:space="0" w:color="auto"/>
        <w:left w:val="none" w:sz="0" w:space="0" w:color="auto"/>
        <w:bottom w:val="none" w:sz="0" w:space="0" w:color="auto"/>
        <w:right w:val="none" w:sz="0" w:space="0" w:color="auto"/>
      </w:divBdr>
    </w:div>
    <w:div w:id="235021733">
      <w:bodyDiv w:val="1"/>
      <w:marLeft w:val="0"/>
      <w:marRight w:val="0"/>
      <w:marTop w:val="0"/>
      <w:marBottom w:val="0"/>
      <w:divBdr>
        <w:top w:val="none" w:sz="0" w:space="0" w:color="auto"/>
        <w:left w:val="none" w:sz="0" w:space="0" w:color="auto"/>
        <w:bottom w:val="none" w:sz="0" w:space="0" w:color="auto"/>
        <w:right w:val="none" w:sz="0" w:space="0" w:color="auto"/>
      </w:divBdr>
      <w:divsChild>
        <w:div w:id="1174757046">
          <w:marLeft w:val="0"/>
          <w:marRight w:val="0"/>
          <w:marTop w:val="0"/>
          <w:marBottom w:val="0"/>
          <w:divBdr>
            <w:top w:val="none" w:sz="0" w:space="0" w:color="auto"/>
            <w:left w:val="none" w:sz="0" w:space="0" w:color="auto"/>
            <w:bottom w:val="none" w:sz="0" w:space="0" w:color="auto"/>
            <w:right w:val="none" w:sz="0" w:space="0" w:color="auto"/>
          </w:divBdr>
          <w:divsChild>
            <w:div w:id="3555107">
              <w:marLeft w:val="0"/>
              <w:marRight w:val="0"/>
              <w:marTop w:val="0"/>
              <w:marBottom w:val="0"/>
              <w:divBdr>
                <w:top w:val="none" w:sz="0" w:space="0" w:color="auto"/>
                <w:left w:val="none" w:sz="0" w:space="0" w:color="auto"/>
                <w:bottom w:val="none" w:sz="0" w:space="0" w:color="auto"/>
                <w:right w:val="none" w:sz="0" w:space="0" w:color="auto"/>
              </w:divBdr>
              <w:divsChild>
                <w:div w:id="1605990505">
                  <w:marLeft w:val="0"/>
                  <w:marRight w:val="0"/>
                  <w:marTop w:val="209"/>
                  <w:marBottom w:val="209"/>
                  <w:divBdr>
                    <w:top w:val="none" w:sz="0" w:space="0" w:color="auto"/>
                    <w:left w:val="none" w:sz="0" w:space="0" w:color="auto"/>
                    <w:bottom w:val="none" w:sz="0" w:space="0" w:color="auto"/>
                    <w:right w:val="none" w:sz="0" w:space="0" w:color="auto"/>
                  </w:divBdr>
                  <w:divsChild>
                    <w:div w:id="1353678569">
                      <w:marLeft w:val="0"/>
                      <w:marRight w:val="0"/>
                      <w:marTop w:val="0"/>
                      <w:marBottom w:val="0"/>
                      <w:divBdr>
                        <w:top w:val="none" w:sz="0" w:space="0" w:color="auto"/>
                        <w:left w:val="none" w:sz="0" w:space="0" w:color="auto"/>
                        <w:bottom w:val="none" w:sz="0" w:space="0" w:color="auto"/>
                        <w:right w:val="none" w:sz="0" w:space="0" w:color="auto"/>
                      </w:divBdr>
                      <w:divsChild>
                        <w:div w:id="1991327570">
                          <w:marLeft w:val="0"/>
                          <w:marRight w:val="0"/>
                          <w:marTop w:val="0"/>
                          <w:marBottom w:val="0"/>
                          <w:divBdr>
                            <w:top w:val="none" w:sz="0" w:space="0" w:color="auto"/>
                            <w:left w:val="none" w:sz="0" w:space="0" w:color="auto"/>
                            <w:bottom w:val="none" w:sz="0" w:space="0" w:color="auto"/>
                            <w:right w:val="none" w:sz="0" w:space="0" w:color="auto"/>
                          </w:divBdr>
                        </w:div>
                        <w:div w:id="889733429">
                          <w:marLeft w:val="0"/>
                          <w:marRight w:val="0"/>
                          <w:marTop w:val="0"/>
                          <w:marBottom w:val="0"/>
                          <w:divBdr>
                            <w:top w:val="none" w:sz="0" w:space="0" w:color="auto"/>
                            <w:left w:val="none" w:sz="0" w:space="0" w:color="auto"/>
                            <w:bottom w:val="none" w:sz="0" w:space="0" w:color="auto"/>
                            <w:right w:val="none" w:sz="0" w:space="0" w:color="auto"/>
                          </w:divBdr>
                        </w:div>
                        <w:div w:id="8664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176904">
      <w:bodyDiv w:val="1"/>
      <w:marLeft w:val="0"/>
      <w:marRight w:val="0"/>
      <w:marTop w:val="0"/>
      <w:marBottom w:val="0"/>
      <w:divBdr>
        <w:top w:val="none" w:sz="0" w:space="0" w:color="auto"/>
        <w:left w:val="none" w:sz="0" w:space="0" w:color="auto"/>
        <w:bottom w:val="none" w:sz="0" w:space="0" w:color="auto"/>
        <w:right w:val="none" w:sz="0" w:space="0" w:color="auto"/>
      </w:divBdr>
      <w:divsChild>
        <w:div w:id="752239998">
          <w:marLeft w:val="0"/>
          <w:marRight w:val="0"/>
          <w:marTop w:val="0"/>
          <w:marBottom w:val="0"/>
          <w:divBdr>
            <w:top w:val="none" w:sz="0" w:space="0" w:color="auto"/>
            <w:left w:val="none" w:sz="0" w:space="0" w:color="auto"/>
            <w:bottom w:val="none" w:sz="0" w:space="0" w:color="auto"/>
            <w:right w:val="none" w:sz="0" w:space="0" w:color="auto"/>
          </w:divBdr>
          <w:divsChild>
            <w:div w:id="1442535675">
              <w:marLeft w:val="0"/>
              <w:marRight w:val="0"/>
              <w:marTop w:val="0"/>
              <w:marBottom w:val="0"/>
              <w:divBdr>
                <w:top w:val="none" w:sz="0" w:space="0" w:color="auto"/>
                <w:left w:val="none" w:sz="0" w:space="0" w:color="auto"/>
                <w:bottom w:val="none" w:sz="0" w:space="0" w:color="auto"/>
                <w:right w:val="none" w:sz="0" w:space="0" w:color="auto"/>
              </w:divBdr>
              <w:divsChild>
                <w:div w:id="951060880">
                  <w:marLeft w:val="0"/>
                  <w:marRight w:val="0"/>
                  <w:marTop w:val="0"/>
                  <w:marBottom w:val="0"/>
                  <w:divBdr>
                    <w:top w:val="single" w:sz="6" w:space="0" w:color="CCCCCC"/>
                    <w:left w:val="single" w:sz="6" w:space="0" w:color="CCCCCC"/>
                    <w:bottom w:val="single" w:sz="6" w:space="0" w:color="CCCCCC"/>
                    <w:right w:val="single" w:sz="6" w:space="0" w:color="CCCCCC"/>
                  </w:divBdr>
                  <w:divsChild>
                    <w:div w:id="17436344">
                      <w:marLeft w:val="0"/>
                      <w:marRight w:val="0"/>
                      <w:marTop w:val="0"/>
                      <w:marBottom w:val="0"/>
                      <w:divBdr>
                        <w:top w:val="none" w:sz="0" w:space="0" w:color="auto"/>
                        <w:left w:val="none" w:sz="0" w:space="0" w:color="auto"/>
                        <w:bottom w:val="none" w:sz="0" w:space="0" w:color="auto"/>
                        <w:right w:val="none" w:sz="0" w:space="0" w:color="auto"/>
                      </w:divBdr>
                      <w:divsChild>
                        <w:div w:id="1972206804">
                          <w:marLeft w:val="0"/>
                          <w:marRight w:val="0"/>
                          <w:marTop w:val="0"/>
                          <w:marBottom w:val="0"/>
                          <w:divBdr>
                            <w:top w:val="none" w:sz="0" w:space="0" w:color="auto"/>
                            <w:left w:val="none" w:sz="0" w:space="0" w:color="auto"/>
                            <w:bottom w:val="none" w:sz="0" w:space="0" w:color="auto"/>
                            <w:right w:val="none" w:sz="0" w:space="0" w:color="auto"/>
                          </w:divBdr>
                          <w:divsChild>
                            <w:div w:id="1124612376">
                              <w:marLeft w:val="0"/>
                              <w:marRight w:val="0"/>
                              <w:marTop w:val="0"/>
                              <w:marBottom w:val="0"/>
                              <w:divBdr>
                                <w:top w:val="none" w:sz="0" w:space="0" w:color="auto"/>
                                <w:left w:val="none" w:sz="0" w:space="0" w:color="auto"/>
                                <w:bottom w:val="none" w:sz="0" w:space="0" w:color="auto"/>
                                <w:right w:val="none" w:sz="0" w:space="0" w:color="auto"/>
                              </w:divBdr>
                              <w:divsChild>
                                <w:div w:id="7828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293746">
      <w:bodyDiv w:val="1"/>
      <w:marLeft w:val="0"/>
      <w:marRight w:val="0"/>
      <w:marTop w:val="0"/>
      <w:marBottom w:val="0"/>
      <w:divBdr>
        <w:top w:val="none" w:sz="0" w:space="0" w:color="auto"/>
        <w:left w:val="none" w:sz="0" w:space="0" w:color="auto"/>
        <w:bottom w:val="none" w:sz="0" w:space="0" w:color="auto"/>
        <w:right w:val="none" w:sz="0" w:space="0" w:color="auto"/>
      </w:divBdr>
    </w:div>
    <w:div w:id="355887634">
      <w:bodyDiv w:val="1"/>
      <w:marLeft w:val="0"/>
      <w:marRight w:val="0"/>
      <w:marTop w:val="0"/>
      <w:marBottom w:val="0"/>
      <w:divBdr>
        <w:top w:val="none" w:sz="0" w:space="0" w:color="auto"/>
        <w:left w:val="none" w:sz="0" w:space="0" w:color="auto"/>
        <w:bottom w:val="none" w:sz="0" w:space="0" w:color="auto"/>
        <w:right w:val="none" w:sz="0" w:space="0" w:color="auto"/>
      </w:divBdr>
      <w:divsChild>
        <w:div w:id="868184709">
          <w:marLeft w:val="0"/>
          <w:marRight w:val="0"/>
          <w:marTop w:val="0"/>
          <w:marBottom w:val="0"/>
          <w:divBdr>
            <w:top w:val="none" w:sz="0" w:space="0" w:color="auto"/>
            <w:left w:val="none" w:sz="0" w:space="0" w:color="auto"/>
            <w:bottom w:val="none" w:sz="0" w:space="0" w:color="auto"/>
            <w:right w:val="none" w:sz="0" w:space="0" w:color="auto"/>
          </w:divBdr>
          <w:divsChild>
            <w:div w:id="1101031176">
              <w:marLeft w:val="0"/>
              <w:marRight w:val="0"/>
              <w:marTop w:val="0"/>
              <w:marBottom w:val="0"/>
              <w:divBdr>
                <w:top w:val="none" w:sz="0" w:space="0" w:color="auto"/>
                <w:left w:val="none" w:sz="0" w:space="0" w:color="auto"/>
                <w:bottom w:val="none" w:sz="0" w:space="0" w:color="auto"/>
                <w:right w:val="none" w:sz="0" w:space="0" w:color="auto"/>
              </w:divBdr>
              <w:divsChild>
                <w:div w:id="1292786579">
                  <w:marLeft w:val="0"/>
                  <w:marRight w:val="0"/>
                  <w:marTop w:val="0"/>
                  <w:marBottom w:val="0"/>
                  <w:divBdr>
                    <w:top w:val="single" w:sz="6" w:space="0" w:color="CCCCCC"/>
                    <w:left w:val="single" w:sz="6" w:space="0" w:color="CCCCCC"/>
                    <w:bottom w:val="single" w:sz="6" w:space="0" w:color="CCCCCC"/>
                    <w:right w:val="single" w:sz="6" w:space="0" w:color="CCCCCC"/>
                  </w:divBdr>
                  <w:divsChild>
                    <w:div w:id="669986234">
                      <w:marLeft w:val="0"/>
                      <w:marRight w:val="0"/>
                      <w:marTop w:val="0"/>
                      <w:marBottom w:val="0"/>
                      <w:divBdr>
                        <w:top w:val="none" w:sz="0" w:space="0" w:color="auto"/>
                        <w:left w:val="none" w:sz="0" w:space="0" w:color="auto"/>
                        <w:bottom w:val="none" w:sz="0" w:space="0" w:color="auto"/>
                        <w:right w:val="none" w:sz="0" w:space="0" w:color="auto"/>
                      </w:divBdr>
                      <w:divsChild>
                        <w:div w:id="383792276">
                          <w:marLeft w:val="0"/>
                          <w:marRight w:val="0"/>
                          <w:marTop w:val="0"/>
                          <w:marBottom w:val="0"/>
                          <w:divBdr>
                            <w:top w:val="none" w:sz="0" w:space="0" w:color="auto"/>
                            <w:left w:val="none" w:sz="0" w:space="0" w:color="auto"/>
                            <w:bottom w:val="none" w:sz="0" w:space="0" w:color="auto"/>
                            <w:right w:val="none" w:sz="0" w:space="0" w:color="auto"/>
                          </w:divBdr>
                          <w:divsChild>
                            <w:div w:id="301738951">
                              <w:marLeft w:val="0"/>
                              <w:marRight w:val="0"/>
                              <w:marTop w:val="0"/>
                              <w:marBottom w:val="0"/>
                              <w:divBdr>
                                <w:top w:val="none" w:sz="0" w:space="0" w:color="auto"/>
                                <w:left w:val="none" w:sz="0" w:space="0" w:color="auto"/>
                                <w:bottom w:val="none" w:sz="0" w:space="0" w:color="auto"/>
                                <w:right w:val="none" w:sz="0" w:space="0" w:color="auto"/>
                              </w:divBdr>
                              <w:divsChild>
                                <w:div w:id="16653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700357">
      <w:bodyDiv w:val="1"/>
      <w:marLeft w:val="0"/>
      <w:marRight w:val="0"/>
      <w:marTop w:val="0"/>
      <w:marBottom w:val="0"/>
      <w:divBdr>
        <w:top w:val="none" w:sz="0" w:space="0" w:color="auto"/>
        <w:left w:val="none" w:sz="0" w:space="0" w:color="auto"/>
        <w:bottom w:val="none" w:sz="0" w:space="0" w:color="auto"/>
        <w:right w:val="none" w:sz="0" w:space="0" w:color="auto"/>
      </w:divBdr>
      <w:divsChild>
        <w:div w:id="258343086">
          <w:marLeft w:val="0"/>
          <w:marRight w:val="0"/>
          <w:marTop w:val="0"/>
          <w:marBottom w:val="0"/>
          <w:divBdr>
            <w:top w:val="none" w:sz="0" w:space="0" w:color="auto"/>
            <w:left w:val="none" w:sz="0" w:space="0" w:color="auto"/>
            <w:bottom w:val="none" w:sz="0" w:space="0" w:color="auto"/>
            <w:right w:val="none" w:sz="0" w:space="0" w:color="auto"/>
          </w:divBdr>
          <w:divsChild>
            <w:div w:id="66731109">
              <w:marLeft w:val="0"/>
              <w:marRight w:val="0"/>
              <w:marTop w:val="0"/>
              <w:marBottom w:val="0"/>
              <w:divBdr>
                <w:top w:val="none" w:sz="0" w:space="0" w:color="auto"/>
                <w:left w:val="none" w:sz="0" w:space="0" w:color="auto"/>
                <w:bottom w:val="none" w:sz="0" w:space="0" w:color="auto"/>
                <w:right w:val="none" w:sz="0" w:space="0" w:color="auto"/>
              </w:divBdr>
              <w:divsChild>
                <w:div w:id="462312444">
                  <w:marLeft w:val="0"/>
                  <w:marRight w:val="0"/>
                  <w:marTop w:val="0"/>
                  <w:marBottom w:val="0"/>
                  <w:divBdr>
                    <w:top w:val="none" w:sz="0" w:space="0" w:color="auto"/>
                    <w:left w:val="none" w:sz="0" w:space="0" w:color="auto"/>
                    <w:bottom w:val="none" w:sz="0" w:space="0" w:color="auto"/>
                    <w:right w:val="none" w:sz="0" w:space="0" w:color="auto"/>
                  </w:divBdr>
                  <w:divsChild>
                    <w:div w:id="1252199852">
                      <w:marLeft w:val="0"/>
                      <w:marRight w:val="0"/>
                      <w:marTop w:val="0"/>
                      <w:marBottom w:val="0"/>
                      <w:divBdr>
                        <w:top w:val="none" w:sz="0" w:space="0" w:color="auto"/>
                        <w:left w:val="none" w:sz="0" w:space="0" w:color="auto"/>
                        <w:bottom w:val="none" w:sz="0" w:space="0" w:color="auto"/>
                        <w:right w:val="none" w:sz="0" w:space="0" w:color="auto"/>
                      </w:divBdr>
                      <w:divsChild>
                        <w:div w:id="1342853815">
                          <w:marLeft w:val="0"/>
                          <w:marRight w:val="0"/>
                          <w:marTop w:val="0"/>
                          <w:marBottom w:val="0"/>
                          <w:divBdr>
                            <w:top w:val="none" w:sz="0" w:space="0" w:color="auto"/>
                            <w:left w:val="none" w:sz="0" w:space="0" w:color="auto"/>
                            <w:bottom w:val="none" w:sz="0" w:space="0" w:color="auto"/>
                            <w:right w:val="none" w:sz="0" w:space="0" w:color="auto"/>
                          </w:divBdr>
                          <w:divsChild>
                            <w:div w:id="14265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14367">
      <w:bodyDiv w:val="1"/>
      <w:marLeft w:val="0"/>
      <w:marRight w:val="0"/>
      <w:marTop w:val="0"/>
      <w:marBottom w:val="0"/>
      <w:divBdr>
        <w:top w:val="none" w:sz="0" w:space="0" w:color="auto"/>
        <w:left w:val="none" w:sz="0" w:space="0" w:color="auto"/>
        <w:bottom w:val="none" w:sz="0" w:space="0" w:color="auto"/>
        <w:right w:val="none" w:sz="0" w:space="0" w:color="auto"/>
      </w:divBdr>
      <w:divsChild>
        <w:div w:id="1212578642">
          <w:marLeft w:val="0"/>
          <w:marRight w:val="0"/>
          <w:marTop w:val="0"/>
          <w:marBottom w:val="0"/>
          <w:divBdr>
            <w:top w:val="none" w:sz="0" w:space="0" w:color="auto"/>
            <w:left w:val="none" w:sz="0" w:space="0" w:color="auto"/>
            <w:bottom w:val="none" w:sz="0" w:space="0" w:color="auto"/>
            <w:right w:val="none" w:sz="0" w:space="0" w:color="auto"/>
          </w:divBdr>
          <w:divsChild>
            <w:div w:id="649679362">
              <w:marLeft w:val="0"/>
              <w:marRight w:val="0"/>
              <w:marTop w:val="0"/>
              <w:marBottom w:val="0"/>
              <w:divBdr>
                <w:top w:val="none" w:sz="0" w:space="0" w:color="auto"/>
                <w:left w:val="none" w:sz="0" w:space="0" w:color="auto"/>
                <w:bottom w:val="none" w:sz="0" w:space="0" w:color="auto"/>
                <w:right w:val="none" w:sz="0" w:space="0" w:color="auto"/>
              </w:divBdr>
              <w:divsChild>
                <w:div w:id="1719432835">
                  <w:marLeft w:val="0"/>
                  <w:marRight w:val="0"/>
                  <w:marTop w:val="0"/>
                  <w:marBottom w:val="0"/>
                  <w:divBdr>
                    <w:top w:val="none" w:sz="0" w:space="0" w:color="auto"/>
                    <w:left w:val="none" w:sz="0" w:space="0" w:color="auto"/>
                    <w:bottom w:val="none" w:sz="0" w:space="0" w:color="auto"/>
                    <w:right w:val="none" w:sz="0" w:space="0" w:color="auto"/>
                  </w:divBdr>
                  <w:divsChild>
                    <w:div w:id="1567179820">
                      <w:marLeft w:val="0"/>
                      <w:marRight w:val="0"/>
                      <w:marTop w:val="0"/>
                      <w:marBottom w:val="0"/>
                      <w:divBdr>
                        <w:top w:val="none" w:sz="0" w:space="0" w:color="auto"/>
                        <w:left w:val="none" w:sz="0" w:space="0" w:color="auto"/>
                        <w:bottom w:val="none" w:sz="0" w:space="0" w:color="auto"/>
                        <w:right w:val="none" w:sz="0" w:space="0" w:color="auto"/>
                      </w:divBdr>
                      <w:divsChild>
                        <w:div w:id="1585533159">
                          <w:marLeft w:val="0"/>
                          <w:marRight w:val="0"/>
                          <w:marTop w:val="0"/>
                          <w:marBottom w:val="0"/>
                          <w:divBdr>
                            <w:top w:val="none" w:sz="0" w:space="0" w:color="auto"/>
                            <w:left w:val="none" w:sz="0" w:space="0" w:color="auto"/>
                            <w:bottom w:val="none" w:sz="0" w:space="0" w:color="auto"/>
                            <w:right w:val="none" w:sz="0" w:space="0" w:color="auto"/>
                          </w:divBdr>
                          <w:divsChild>
                            <w:div w:id="19488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40946">
      <w:bodyDiv w:val="1"/>
      <w:marLeft w:val="0"/>
      <w:marRight w:val="0"/>
      <w:marTop w:val="0"/>
      <w:marBottom w:val="0"/>
      <w:divBdr>
        <w:top w:val="none" w:sz="0" w:space="0" w:color="auto"/>
        <w:left w:val="none" w:sz="0" w:space="0" w:color="auto"/>
        <w:bottom w:val="none" w:sz="0" w:space="0" w:color="auto"/>
        <w:right w:val="none" w:sz="0" w:space="0" w:color="auto"/>
      </w:divBdr>
      <w:divsChild>
        <w:div w:id="1336229749">
          <w:marLeft w:val="0"/>
          <w:marRight w:val="0"/>
          <w:marTop w:val="0"/>
          <w:marBottom w:val="0"/>
          <w:divBdr>
            <w:top w:val="none" w:sz="0" w:space="0" w:color="auto"/>
            <w:left w:val="none" w:sz="0" w:space="0" w:color="auto"/>
            <w:bottom w:val="none" w:sz="0" w:space="0" w:color="auto"/>
            <w:right w:val="none" w:sz="0" w:space="0" w:color="auto"/>
          </w:divBdr>
          <w:divsChild>
            <w:div w:id="888692061">
              <w:marLeft w:val="0"/>
              <w:marRight w:val="0"/>
              <w:marTop w:val="0"/>
              <w:marBottom w:val="0"/>
              <w:divBdr>
                <w:top w:val="none" w:sz="0" w:space="0" w:color="auto"/>
                <w:left w:val="none" w:sz="0" w:space="0" w:color="auto"/>
                <w:bottom w:val="none" w:sz="0" w:space="0" w:color="auto"/>
                <w:right w:val="none" w:sz="0" w:space="0" w:color="auto"/>
              </w:divBdr>
              <w:divsChild>
                <w:div w:id="888230232">
                  <w:marLeft w:val="0"/>
                  <w:marRight w:val="0"/>
                  <w:marTop w:val="0"/>
                  <w:marBottom w:val="0"/>
                  <w:divBdr>
                    <w:top w:val="single" w:sz="6" w:space="0" w:color="CCCCCC"/>
                    <w:left w:val="single" w:sz="6" w:space="0" w:color="CCCCCC"/>
                    <w:bottom w:val="single" w:sz="6" w:space="0" w:color="CCCCCC"/>
                    <w:right w:val="single" w:sz="6" w:space="0" w:color="CCCCCC"/>
                  </w:divBdr>
                  <w:divsChild>
                    <w:div w:id="1789354202">
                      <w:marLeft w:val="0"/>
                      <w:marRight w:val="0"/>
                      <w:marTop w:val="0"/>
                      <w:marBottom w:val="0"/>
                      <w:divBdr>
                        <w:top w:val="none" w:sz="0" w:space="0" w:color="auto"/>
                        <w:left w:val="none" w:sz="0" w:space="0" w:color="auto"/>
                        <w:bottom w:val="none" w:sz="0" w:space="0" w:color="auto"/>
                        <w:right w:val="none" w:sz="0" w:space="0" w:color="auto"/>
                      </w:divBdr>
                      <w:divsChild>
                        <w:div w:id="1807577072">
                          <w:marLeft w:val="0"/>
                          <w:marRight w:val="0"/>
                          <w:marTop w:val="0"/>
                          <w:marBottom w:val="0"/>
                          <w:divBdr>
                            <w:top w:val="none" w:sz="0" w:space="0" w:color="auto"/>
                            <w:left w:val="none" w:sz="0" w:space="0" w:color="auto"/>
                            <w:bottom w:val="none" w:sz="0" w:space="0" w:color="auto"/>
                            <w:right w:val="none" w:sz="0" w:space="0" w:color="auto"/>
                          </w:divBdr>
                          <w:divsChild>
                            <w:div w:id="1749185083">
                              <w:marLeft w:val="0"/>
                              <w:marRight w:val="0"/>
                              <w:marTop w:val="0"/>
                              <w:marBottom w:val="0"/>
                              <w:divBdr>
                                <w:top w:val="none" w:sz="0" w:space="0" w:color="auto"/>
                                <w:left w:val="none" w:sz="0" w:space="0" w:color="auto"/>
                                <w:bottom w:val="none" w:sz="0" w:space="0" w:color="auto"/>
                                <w:right w:val="none" w:sz="0" w:space="0" w:color="auto"/>
                              </w:divBdr>
                              <w:divsChild>
                                <w:div w:id="1953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214455">
      <w:bodyDiv w:val="1"/>
      <w:marLeft w:val="0"/>
      <w:marRight w:val="0"/>
      <w:marTop w:val="0"/>
      <w:marBottom w:val="0"/>
      <w:divBdr>
        <w:top w:val="none" w:sz="0" w:space="0" w:color="auto"/>
        <w:left w:val="none" w:sz="0" w:space="0" w:color="auto"/>
        <w:bottom w:val="none" w:sz="0" w:space="0" w:color="auto"/>
        <w:right w:val="none" w:sz="0" w:space="0" w:color="auto"/>
      </w:divBdr>
    </w:div>
    <w:div w:id="480848229">
      <w:bodyDiv w:val="1"/>
      <w:marLeft w:val="0"/>
      <w:marRight w:val="0"/>
      <w:marTop w:val="0"/>
      <w:marBottom w:val="0"/>
      <w:divBdr>
        <w:top w:val="none" w:sz="0" w:space="0" w:color="auto"/>
        <w:left w:val="none" w:sz="0" w:space="0" w:color="auto"/>
        <w:bottom w:val="none" w:sz="0" w:space="0" w:color="auto"/>
        <w:right w:val="none" w:sz="0" w:space="0" w:color="auto"/>
      </w:divBdr>
      <w:divsChild>
        <w:div w:id="2097434597">
          <w:marLeft w:val="0"/>
          <w:marRight w:val="0"/>
          <w:marTop w:val="0"/>
          <w:marBottom w:val="0"/>
          <w:divBdr>
            <w:top w:val="none" w:sz="0" w:space="0" w:color="auto"/>
            <w:left w:val="none" w:sz="0" w:space="0" w:color="auto"/>
            <w:bottom w:val="none" w:sz="0" w:space="0" w:color="auto"/>
            <w:right w:val="none" w:sz="0" w:space="0" w:color="auto"/>
          </w:divBdr>
          <w:divsChild>
            <w:div w:id="796946176">
              <w:marLeft w:val="0"/>
              <w:marRight w:val="0"/>
              <w:marTop w:val="0"/>
              <w:marBottom w:val="0"/>
              <w:divBdr>
                <w:top w:val="none" w:sz="0" w:space="0" w:color="auto"/>
                <w:left w:val="none" w:sz="0" w:space="0" w:color="auto"/>
                <w:bottom w:val="none" w:sz="0" w:space="0" w:color="auto"/>
                <w:right w:val="none" w:sz="0" w:space="0" w:color="auto"/>
              </w:divBdr>
              <w:divsChild>
                <w:div w:id="2100982399">
                  <w:marLeft w:val="0"/>
                  <w:marRight w:val="0"/>
                  <w:marTop w:val="0"/>
                  <w:marBottom w:val="0"/>
                  <w:divBdr>
                    <w:top w:val="none" w:sz="0" w:space="0" w:color="auto"/>
                    <w:left w:val="none" w:sz="0" w:space="0" w:color="auto"/>
                    <w:bottom w:val="none" w:sz="0" w:space="0" w:color="auto"/>
                    <w:right w:val="none" w:sz="0" w:space="0" w:color="auto"/>
                  </w:divBdr>
                  <w:divsChild>
                    <w:div w:id="564217727">
                      <w:marLeft w:val="0"/>
                      <w:marRight w:val="0"/>
                      <w:marTop w:val="0"/>
                      <w:marBottom w:val="0"/>
                      <w:divBdr>
                        <w:top w:val="none" w:sz="0" w:space="0" w:color="auto"/>
                        <w:left w:val="none" w:sz="0" w:space="0" w:color="auto"/>
                        <w:bottom w:val="none" w:sz="0" w:space="0" w:color="auto"/>
                        <w:right w:val="none" w:sz="0" w:space="0" w:color="auto"/>
                      </w:divBdr>
                      <w:divsChild>
                        <w:div w:id="241182303">
                          <w:marLeft w:val="0"/>
                          <w:marRight w:val="0"/>
                          <w:marTop w:val="0"/>
                          <w:marBottom w:val="0"/>
                          <w:divBdr>
                            <w:top w:val="none" w:sz="0" w:space="0" w:color="auto"/>
                            <w:left w:val="none" w:sz="0" w:space="0" w:color="auto"/>
                            <w:bottom w:val="none" w:sz="0" w:space="0" w:color="auto"/>
                            <w:right w:val="none" w:sz="0" w:space="0" w:color="auto"/>
                          </w:divBdr>
                          <w:divsChild>
                            <w:div w:id="18800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508427">
      <w:bodyDiv w:val="1"/>
      <w:marLeft w:val="0"/>
      <w:marRight w:val="0"/>
      <w:marTop w:val="0"/>
      <w:marBottom w:val="0"/>
      <w:divBdr>
        <w:top w:val="none" w:sz="0" w:space="0" w:color="auto"/>
        <w:left w:val="none" w:sz="0" w:space="0" w:color="auto"/>
        <w:bottom w:val="none" w:sz="0" w:space="0" w:color="auto"/>
        <w:right w:val="none" w:sz="0" w:space="0" w:color="auto"/>
      </w:divBdr>
      <w:divsChild>
        <w:div w:id="1399130574">
          <w:marLeft w:val="0"/>
          <w:marRight w:val="0"/>
          <w:marTop w:val="0"/>
          <w:marBottom w:val="0"/>
          <w:divBdr>
            <w:top w:val="none" w:sz="0" w:space="0" w:color="auto"/>
            <w:left w:val="none" w:sz="0" w:space="0" w:color="auto"/>
            <w:bottom w:val="none" w:sz="0" w:space="0" w:color="auto"/>
            <w:right w:val="none" w:sz="0" w:space="0" w:color="auto"/>
          </w:divBdr>
          <w:divsChild>
            <w:div w:id="112021545">
              <w:marLeft w:val="0"/>
              <w:marRight w:val="0"/>
              <w:marTop w:val="0"/>
              <w:marBottom w:val="0"/>
              <w:divBdr>
                <w:top w:val="none" w:sz="0" w:space="0" w:color="auto"/>
                <w:left w:val="none" w:sz="0" w:space="0" w:color="auto"/>
                <w:bottom w:val="none" w:sz="0" w:space="0" w:color="auto"/>
                <w:right w:val="none" w:sz="0" w:space="0" w:color="auto"/>
              </w:divBdr>
              <w:divsChild>
                <w:div w:id="1052389056">
                  <w:marLeft w:val="0"/>
                  <w:marRight w:val="0"/>
                  <w:marTop w:val="0"/>
                  <w:marBottom w:val="0"/>
                  <w:divBdr>
                    <w:top w:val="single" w:sz="6" w:space="0" w:color="CCCCCC"/>
                    <w:left w:val="single" w:sz="6" w:space="0" w:color="CCCCCC"/>
                    <w:bottom w:val="single" w:sz="6" w:space="0" w:color="CCCCCC"/>
                    <w:right w:val="single" w:sz="6" w:space="0" w:color="CCCCCC"/>
                  </w:divBdr>
                  <w:divsChild>
                    <w:div w:id="824976325">
                      <w:marLeft w:val="0"/>
                      <w:marRight w:val="0"/>
                      <w:marTop w:val="0"/>
                      <w:marBottom w:val="0"/>
                      <w:divBdr>
                        <w:top w:val="none" w:sz="0" w:space="0" w:color="auto"/>
                        <w:left w:val="none" w:sz="0" w:space="0" w:color="auto"/>
                        <w:bottom w:val="none" w:sz="0" w:space="0" w:color="auto"/>
                        <w:right w:val="none" w:sz="0" w:space="0" w:color="auto"/>
                      </w:divBdr>
                      <w:divsChild>
                        <w:div w:id="222520642">
                          <w:marLeft w:val="0"/>
                          <w:marRight w:val="0"/>
                          <w:marTop w:val="0"/>
                          <w:marBottom w:val="0"/>
                          <w:divBdr>
                            <w:top w:val="none" w:sz="0" w:space="0" w:color="auto"/>
                            <w:left w:val="none" w:sz="0" w:space="0" w:color="auto"/>
                            <w:bottom w:val="none" w:sz="0" w:space="0" w:color="auto"/>
                            <w:right w:val="none" w:sz="0" w:space="0" w:color="auto"/>
                          </w:divBdr>
                          <w:divsChild>
                            <w:div w:id="1872494922">
                              <w:marLeft w:val="0"/>
                              <w:marRight w:val="0"/>
                              <w:marTop w:val="0"/>
                              <w:marBottom w:val="0"/>
                              <w:divBdr>
                                <w:top w:val="none" w:sz="0" w:space="0" w:color="auto"/>
                                <w:left w:val="none" w:sz="0" w:space="0" w:color="auto"/>
                                <w:bottom w:val="none" w:sz="0" w:space="0" w:color="auto"/>
                                <w:right w:val="none" w:sz="0" w:space="0" w:color="auto"/>
                              </w:divBdr>
                              <w:divsChild>
                                <w:div w:id="21228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71857">
      <w:bodyDiv w:val="1"/>
      <w:marLeft w:val="0"/>
      <w:marRight w:val="0"/>
      <w:marTop w:val="0"/>
      <w:marBottom w:val="0"/>
      <w:divBdr>
        <w:top w:val="none" w:sz="0" w:space="0" w:color="auto"/>
        <w:left w:val="none" w:sz="0" w:space="0" w:color="auto"/>
        <w:bottom w:val="none" w:sz="0" w:space="0" w:color="auto"/>
        <w:right w:val="none" w:sz="0" w:space="0" w:color="auto"/>
      </w:divBdr>
      <w:divsChild>
        <w:div w:id="1728411757">
          <w:marLeft w:val="0"/>
          <w:marRight w:val="0"/>
          <w:marTop w:val="0"/>
          <w:marBottom w:val="0"/>
          <w:divBdr>
            <w:top w:val="none" w:sz="0" w:space="0" w:color="auto"/>
            <w:left w:val="none" w:sz="0" w:space="0" w:color="auto"/>
            <w:bottom w:val="none" w:sz="0" w:space="0" w:color="auto"/>
            <w:right w:val="none" w:sz="0" w:space="0" w:color="auto"/>
          </w:divBdr>
          <w:divsChild>
            <w:div w:id="2009363617">
              <w:marLeft w:val="0"/>
              <w:marRight w:val="0"/>
              <w:marTop w:val="0"/>
              <w:marBottom w:val="0"/>
              <w:divBdr>
                <w:top w:val="none" w:sz="0" w:space="0" w:color="auto"/>
                <w:left w:val="none" w:sz="0" w:space="0" w:color="auto"/>
                <w:bottom w:val="none" w:sz="0" w:space="0" w:color="auto"/>
                <w:right w:val="none" w:sz="0" w:space="0" w:color="auto"/>
              </w:divBdr>
              <w:divsChild>
                <w:div w:id="981008994">
                  <w:marLeft w:val="0"/>
                  <w:marRight w:val="0"/>
                  <w:marTop w:val="0"/>
                  <w:marBottom w:val="0"/>
                  <w:divBdr>
                    <w:top w:val="none" w:sz="0" w:space="0" w:color="auto"/>
                    <w:left w:val="none" w:sz="0" w:space="0" w:color="auto"/>
                    <w:bottom w:val="none" w:sz="0" w:space="0" w:color="auto"/>
                    <w:right w:val="none" w:sz="0" w:space="0" w:color="auto"/>
                  </w:divBdr>
                  <w:divsChild>
                    <w:div w:id="1139691987">
                      <w:marLeft w:val="0"/>
                      <w:marRight w:val="0"/>
                      <w:marTop w:val="0"/>
                      <w:marBottom w:val="0"/>
                      <w:divBdr>
                        <w:top w:val="none" w:sz="0" w:space="0" w:color="auto"/>
                        <w:left w:val="none" w:sz="0" w:space="0" w:color="auto"/>
                        <w:bottom w:val="none" w:sz="0" w:space="0" w:color="auto"/>
                        <w:right w:val="none" w:sz="0" w:space="0" w:color="auto"/>
                      </w:divBdr>
                      <w:divsChild>
                        <w:div w:id="1896509276">
                          <w:marLeft w:val="0"/>
                          <w:marRight w:val="0"/>
                          <w:marTop w:val="0"/>
                          <w:marBottom w:val="0"/>
                          <w:divBdr>
                            <w:top w:val="none" w:sz="0" w:space="0" w:color="auto"/>
                            <w:left w:val="none" w:sz="0" w:space="0" w:color="auto"/>
                            <w:bottom w:val="none" w:sz="0" w:space="0" w:color="auto"/>
                            <w:right w:val="none" w:sz="0" w:space="0" w:color="auto"/>
                          </w:divBdr>
                          <w:divsChild>
                            <w:div w:id="7520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85646">
      <w:bodyDiv w:val="1"/>
      <w:marLeft w:val="0"/>
      <w:marRight w:val="0"/>
      <w:marTop w:val="0"/>
      <w:marBottom w:val="0"/>
      <w:divBdr>
        <w:top w:val="none" w:sz="0" w:space="0" w:color="auto"/>
        <w:left w:val="none" w:sz="0" w:space="0" w:color="auto"/>
        <w:bottom w:val="none" w:sz="0" w:space="0" w:color="auto"/>
        <w:right w:val="none" w:sz="0" w:space="0" w:color="auto"/>
      </w:divBdr>
      <w:divsChild>
        <w:div w:id="314191266">
          <w:marLeft w:val="0"/>
          <w:marRight w:val="0"/>
          <w:marTop w:val="0"/>
          <w:marBottom w:val="0"/>
          <w:divBdr>
            <w:top w:val="none" w:sz="0" w:space="0" w:color="auto"/>
            <w:left w:val="none" w:sz="0" w:space="0" w:color="auto"/>
            <w:bottom w:val="none" w:sz="0" w:space="0" w:color="auto"/>
            <w:right w:val="none" w:sz="0" w:space="0" w:color="auto"/>
          </w:divBdr>
          <w:divsChild>
            <w:div w:id="1746564568">
              <w:marLeft w:val="0"/>
              <w:marRight w:val="0"/>
              <w:marTop w:val="0"/>
              <w:marBottom w:val="0"/>
              <w:divBdr>
                <w:top w:val="none" w:sz="0" w:space="0" w:color="auto"/>
                <w:left w:val="none" w:sz="0" w:space="0" w:color="auto"/>
                <w:bottom w:val="none" w:sz="0" w:space="0" w:color="auto"/>
                <w:right w:val="none" w:sz="0" w:space="0" w:color="auto"/>
              </w:divBdr>
              <w:divsChild>
                <w:div w:id="885263113">
                  <w:marLeft w:val="0"/>
                  <w:marRight w:val="0"/>
                  <w:marTop w:val="0"/>
                  <w:marBottom w:val="0"/>
                  <w:divBdr>
                    <w:top w:val="none" w:sz="0" w:space="0" w:color="auto"/>
                    <w:left w:val="none" w:sz="0" w:space="0" w:color="auto"/>
                    <w:bottom w:val="none" w:sz="0" w:space="0" w:color="auto"/>
                    <w:right w:val="none" w:sz="0" w:space="0" w:color="auto"/>
                  </w:divBdr>
                  <w:divsChild>
                    <w:div w:id="2122601733">
                      <w:marLeft w:val="0"/>
                      <w:marRight w:val="0"/>
                      <w:marTop w:val="0"/>
                      <w:marBottom w:val="0"/>
                      <w:divBdr>
                        <w:top w:val="none" w:sz="0" w:space="0" w:color="auto"/>
                        <w:left w:val="none" w:sz="0" w:space="0" w:color="auto"/>
                        <w:bottom w:val="none" w:sz="0" w:space="0" w:color="auto"/>
                        <w:right w:val="none" w:sz="0" w:space="0" w:color="auto"/>
                      </w:divBdr>
                      <w:divsChild>
                        <w:div w:id="652951997">
                          <w:marLeft w:val="0"/>
                          <w:marRight w:val="0"/>
                          <w:marTop w:val="0"/>
                          <w:marBottom w:val="0"/>
                          <w:divBdr>
                            <w:top w:val="none" w:sz="0" w:space="0" w:color="auto"/>
                            <w:left w:val="none" w:sz="0" w:space="0" w:color="auto"/>
                            <w:bottom w:val="none" w:sz="0" w:space="0" w:color="auto"/>
                            <w:right w:val="none" w:sz="0" w:space="0" w:color="auto"/>
                          </w:divBdr>
                          <w:divsChild>
                            <w:div w:id="19119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9708">
      <w:bodyDiv w:val="1"/>
      <w:marLeft w:val="0"/>
      <w:marRight w:val="0"/>
      <w:marTop w:val="0"/>
      <w:marBottom w:val="0"/>
      <w:divBdr>
        <w:top w:val="none" w:sz="0" w:space="0" w:color="auto"/>
        <w:left w:val="none" w:sz="0" w:space="0" w:color="auto"/>
        <w:bottom w:val="none" w:sz="0" w:space="0" w:color="auto"/>
        <w:right w:val="none" w:sz="0" w:space="0" w:color="auto"/>
      </w:divBdr>
      <w:divsChild>
        <w:div w:id="1384984670">
          <w:marLeft w:val="0"/>
          <w:marRight w:val="0"/>
          <w:marTop w:val="0"/>
          <w:marBottom w:val="0"/>
          <w:divBdr>
            <w:top w:val="none" w:sz="0" w:space="0" w:color="auto"/>
            <w:left w:val="none" w:sz="0" w:space="0" w:color="auto"/>
            <w:bottom w:val="none" w:sz="0" w:space="0" w:color="auto"/>
            <w:right w:val="none" w:sz="0" w:space="0" w:color="auto"/>
          </w:divBdr>
          <w:divsChild>
            <w:div w:id="1155612188">
              <w:marLeft w:val="0"/>
              <w:marRight w:val="0"/>
              <w:marTop w:val="0"/>
              <w:marBottom w:val="0"/>
              <w:divBdr>
                <w:top w:val="none" w:sz="0" w:space="0" w:color="auto"/>
                <w:left w:val="none" w:sz="0" w:space="0" w:color="auto"/>
                <w:bottom w:val="none" w:sz="0" w:space="0" w:color="auto"/>
                <w:right w:val="none" w:sz="0" w:space="0" w:color="auto"/>
              </w:divBdr>
              <w:divsChild>
                <w:div w:id="1790201750">
                  <w:marLeft w:val="0"/>
                  <w:marRight w:val="0"/>
                  <w:marTop w:val="0"/>
                  <w:marBottom w:val="0"/>
                  <w:divBdr>
                    <w:top w:val="none" w:sz="0" w:space="0" w:color="auto"/>
                    <w:left w:val="none" w:sz="0" w:space="0" w:color="auto"/>
                    <w:bottom w:val="none" w:sz="0" w:space="0" w:color="auto"/>
                    <w:right w:val="none" w:sz="0" w:space="0" w:color="auto"/>
                  </w:divBdr>
                  <w:divsChild>
                    <w:div w:id="1985968182">
                      <w:marLeft w:val="0"/>
                      <w:marRight w:val="0"/>
                      <w:marTop w:val="0"/>
                      <w:marBottom w:val="0"/>
                      <w:divBdr>
                        <w:top w:val="none" w:sz="0" w:space="0" w:color="auto"/>
                        <w:left w:val="none" w:sz="0" w:space="0" w:color="auto"/>
                        <w:bottom w:val="none" w:sz="0" w:space="0" w:color="auto"/>
                        <w:right w:val="none" w:sz="0" w:space="0" w:color="auto"/>
                      </w:divBdr>
                      <w:divsChild>
                        <w:div w:id="789325556">
                          <w:marLeft w:val="0"/>
                          <w:marRight w:val="0"/>
                          <w:marTop w:val="0"/>
                          <w:marBottom w:val="0"/>
                          <w:divBdr>
                            <w:top w:val="none" w:sz="0" w:space="0" w:color="auto"/>
                            <w:left w:val="none" w:sz="0" w:space="0" w:color="auto"/>
                            <w:bottom w:val="none" w:sz="0" w:space="0" w:color="auto"/>
                            <w:right w:val="none" w:sz="0" w:space="0" w:color="auto"/>
                          </w:divBdr>
                          <w:divsChild>
                            <w:div w:id="11424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48052">
      <w:bodyDiv w:val="1"/>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292397054">
              <w:marLeft w:val="0"/>
              <w:marRight w:val="0"/>
              <w:marTop w:val="0"/>
              <w:marBottom w:val="0"/>
              <w:divBdr>
                <w:top w:val="none" w:sz="0" w:space="0" w:color="auto"/>
                <w:left w:val="none" w:sz="0" w:space="0" w:color="auto"/>
                <w:bottom w:val="none" w:sz="0" w:space="0" w:color="auto"/>
                <w:right w:val="none" w:sz="0" w:space="0" w:color="auto"/>
              </w:divBdr>
              <w:divsChild>
                <w:div w:id="1614020887">
                  <w:marLeft w:val="0"/>
                  <w:marRight w:val="0"/>
                  <w:marTop w:val="0"/>
                  <w:marBottom w:val="0"/>
                  <w:divBdr>
                    <w:top w:val="single" w:sz="6" w:space="0" w:color="CCCCCC"/>
                    <w:left w:val="single" w:sz="6" w:space="0" w:color="CCCCCC"/>
                    <w:bottom w:val="single" w:sz="6" w:space="0" w:color="CCCCCC"/>
                    <w:right w:val="single" w:sz="6" w:space="0" w:color="CCCCCC"/>
                  </w:divBdr>
                  <w:divsChild>
                    <w:div w:id="676812218">
                      <w:marLeft w:val="0"/>
                      <w:marRight w:val="0"/>
                      <w:marTop w:val="0"/>
                      <w:marBottom w:val="0"/>
                      <w:divBdr>
                        <w:top w:val="none" w:sz="0" w:space="0" w:color="auto"/>
                        <w:left w:val="none" w:sz="0" w:space="0" w:color="auto"/>
                        <w:bottom w:val="none" w:sz="0" w:space="0" w:color="auto"/>
                        <w:right w:val="none" w:sz="0" w:space="0" w:color="auto"/>
                      </w:divBdr>
                      <w:divsChild>
                        <w:div w:id="1662274116">
                          <w:marLeft w:val="0"/>
                          <w:marRight w:val="0"/>
                          <w:marTop w:val="0"/>
                          <w:marBottom w:val="0"/>
                          <w:divBdr>
                            <w:top w:val="none" w:sz="0" w:space="0" w:color="auto"/>
                            <w:left w:val="none" w:sz="0" w:space="0" w:color="auto"/>
                            <w:bottom w:val="none" w:sz="0" w:space="0" w:color="auto"/>
                            <w:right w:val="none" w:sz="0" w:space="0" w:color="auto"/>
                          </w:divBdr>
                          <w:divsChild>
                            <w:div w:id="1790657580">
                              <w:marLeft w:val="0"/>
                              <w:marRight w:val="0"/>
                              <w:marTop w:val="0"/>
                              <w:marBottom w:val="0"/>
                              <w:divBdr>
                                <w:top w:val="none" w:sz="0" w:space="0" w:color="auto"/>
                                <w:left w:val="none" w:sz="0" w:space="0" w:color="auto"/>
                                <w:bottom w:val="none" w:sz="0" w:space="0" w:color="auto"/>
                                <w:right w:val="none" w:sz="0" w:space="0" w:color="auto"/>
                              </w:divBdr>
                              <w:divsChild>
                                <w:div w:id="6594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501413">
      <w:bodyDiv w:val="1"/>
      <w:marLeft w:val="0"/>
      <w:marRight w:val="0"/>
      <w:marTop w:val="0"/>
      <w:marBottom w:val="0"/>
      <w:divBdr>
        <w:top w:val="none" w:sz="0" w:space="0" w:color="auto"/>
        <w:left w:val="none" w:sz="0" w:space="0" w:color="auto"/>
        <w:bottom w:val="none" w:sz="0" w:space="0" w:color="auto"/>
        <w:right w:val="none" w:sz="0" w:space="0" w:color="auto"/>
      </w:divBdr>
      <w:divsChild>
        <w:div w:id="1232548005">
          <w:marLeft w:val="0"/>
          <w:marRight w:val="0"/>
          <w:marTop w:val="0"/>
          <w:marBottom w:val="0"/>
          <w:divBdr>
            <w:top w:val="none" w:sz="0" w:space="0" w:color="auto"/>
            <w:left w:val="none" w:sz="0" w:space="0" w:color="auto"/>
            <w:bottom w:val="none" w:sz="0" w:space="0" w:color="auto"/>
            <w:right w:val="none" w:sz="0" w:space="0" w:color="auto"/>
          </w:divBdr>
          <w:divsChild>
            <w:div w:id="1877817603">
              <w:marLeft w:val="0"/>
              <w:marRight w:val="0"/>
              <w:marTop w:val="0"/>
              <w:marBottom w:val="0"/>
              <w:divBdr>
                <w:top w:val="none" w:sz="0" w:space="0" w:color="auto"/>
                <w:left w:val="none" w:sz="0" w:space="0" w:color="auto"/>
                <w:bottom w:val="none" w:sz="0" w:space="0" w:color="auto"/>
                <w:right w:val="none" w:sz="0" w:space="0" w:color="auto"/>
              </w:divBdr>
              <w:divsChild>
                <w:div w:id="1634408329">
                  <w:marLeft w:val="0"/>
                  <w:marRight w:val="0"/>
                  <w:marTop w:val="0"/>
                  <w:marBottom w:val="0"/>
                  <w:divBdr>
                    <w:top w:val="single" w:sz="6" w:space="0" w:color="CCCCCC"/>
                    <w:left w:val="single" w:sz="6" w:space="0" w:color="CCCCCC"/>
                    <w:bottom w:val="single" w:sz="6" w:space="0" w:color="CCCCCC"/>
                    <w:right w:val="single" w:sz="6" w:space="0" w:color="CCCCCC"/>
                  </w:divBdr>
                  <w:divsChild>
                    <w:div w:id="579945452">
                      <w:marLeft w:val="0"/>
                      <w:marRight w:val="0"/>
                      <w:marTop w:val="0"/>
                      <w:marBottom w:val="0"/>
                      <w:divBdr>
                        <w:top w:val="none" w:sz="0" w:space="0" w:color="auto"/>
                        <w:left w:val="none" w:sz="0" w:space="0" w:color="auto"/>
                        <w:bottom w:val="none" w:sz="0" w:space="0" w:color="auto"/>
                        <w:right w:val="none" w:sz="0" w:space="0" w:color="auto"/>
                      </w:divBdr>
                      <w:divsChild>
                        <w:div w:id="1099566939">
                          <w:marLeft w:val="0"/>
                          <w:marRight w:val="0"/>
                          <w:marTop w:val="0"/>
                          <w:marBottom w:val="0"/>
                          <w:divBdr>
                            <w:top w:val="none" w:sz="0" w:space="0" w:color="auto"/>
                            <w:left w:val="none" w:sz="0" w:space="0" w:color="auto"/>
                            <w:bottom w:val="none" w:sz="0" w:space="0" w:color="auto"/>
                            <w:right w:val="none" w:sz="0" w:space="0" w:color="auto"/>
                          </w:divBdr>
                          <w:divsChild>
                            <w:div w:id="1783183739">
                              <w:marLeft w:val="0"/>
                              <w:marRight w:val="0"/>
                              <w:marTop w:val="0"/>
                              <w:marBottom w:val="0"/>
                              <w:divBdr>
                                <w:top w:val="none" w:sz="0" w:space="0" w:color="auto"/>
                                <w:left w:val="none" w:sz="0" w:space="0" w:color="auto"/>
                                <w:bottom w:val="none" w:sz="0" w:space="0" w:color="auto"/>
                                <w:right w:val="none" w:sz="0" w:space="0" w:color="auto"/>
                              </w:divBdr>
                              <w:divsChild>
                                <w:div w:id="18488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284109">
      <w:bodyDiv w:val="1"/>
      <w:marLeft w:val="0"/>
      <w:marRight w:val="0"/>
      <w:marTop w:val="0"/>
      <w:marBottom w:val="0"/>
      <w:divBdr>
        <w:top w:val="none" w:sz="0" w:space="0" w:color="auto"/>
        <w:left w:val="none" w:sz="0" w:space="0" w:color="auto"/>
        <w:bottom w:val="none" w:sz="0" w:space="0" w:color="auto"/>
        <w:right w:val="none" w:sz="0" w:space="0" w:color="auto"/>
      </w:divBdr>
      <w:divsChild>
        <w:div w:id="1222404438">
          <w:marLeft w:val="0"/>
          <w:marRight w:val="0"/>
          <w:marTop w:val="0"/>
          <w:marBottom w:val="0"/>
          <w:divBdr>
            <w:top w:val="none" w:sz="0" w:space="0" w:color="auto"/>
            <w:left w:val="none" w:sz="0" w:space="0" w:color="auto"/>
            <w:bottom w:val="none" w:sz="0" w:space="0" w:color="auto"/>
            <w:right w:val="none" w:sz="0" w:space="0" w:color="auto"/>
          </w:divBdr>
          <w:divsChild>
            <w:div w:id="616063652">
              <w:marLeft w:val="0"/>
              <w:marRight w:val="0"/>
              <w:marTop w:val="0"/>
              <w:marBottom w:val="0"/>
              <w:divBdr>
                <w:top w:val="none" w:sz="0" w:space="0" w:color="auto"/>
                <w:left w:val="none" w:sz="0" w:space="0" w:color="auto"/>
                <w:bottom w:val="none" w:sz="0" w:space="0" w:color="auto"/>
                <w:right w:val="none" w:sz="0" w:space="0" w:color="auto"/>
              </w:divBdr>
              <w:divsChild>
                <w:div w:id="436491060">
                  <w:marLeft w:val="0"/>
                  <w:marRight w:val="0"/>
                  <w:marTop w:val="0"/>
                  <w:marBottom w:val="0"/>
                  <w:divBdr>
                    <w:top w:val="single" w:sz="6" w:space="0" w:color="CCCCCC"/>
                    <w:left w:val="single" w:sz="6" w:space="0" w:color="CCCCCC"/>
                    <w:bottom w:val="single" w:sz="6" w:space="0" w:color="CCCCCC"/>
                    <w:right w:val="single" w:sz="6" w:space="0" w:color="CCCCCC"/>
                  </w:divBdr>
                  <w:divsChild>
                    <w:div w:id="2072069916">
                      <w:marLeft w:val="0"/>
                      <w:marRight w:val="0"/>
                      <w:marTop w:val="0"/>
                      <w:marBottom w:val="0"/>
                      <w:divBdr>
                        <w:top w:val="none" w:sz="0" w:space="0" w:color="auto"/>
                        <w:left w:val="none" w:sz="0" w:space="0" w:color="auto"/>
                        <w:bottom w:val="none" w:sz="0" w:space="0" w:color="auto"/>
                        <w:right w:val="none" w:sz="0" w:space="0" w:color="auto"/>
                      </w:divBdr>
                      <w:divsChild>
                        <w:div w:id="1864783264">
                          <w:marLeft w:val="0"/>
                          <w:marRight w:val="0"/>
                          <w:marTop w:val="0"/>
                          <w:marBottom w:val="0"/>
                          <w:divBdr>
                            <w:top w:val="none" w:sz="0" w:space="0" w:color="auto"/>
                            <w:left w:val="none" w:sz="0" w:space="0" w:color="auto"/>
                            <w:bottom w:val="none" w:sz="0" w:space="0" w:color="auto"/>
                            <w:right w:val="none" w:sz="0" w:space="0" w:color="auto"/>
                          </w:divBdr>
                          <w:divsChild>
                            <w:div w:id="1672949556">
                              <w:marLeft w:val="0"/>
                              <w:marRight w:val="0"/>
                              <w:marTop w:val="0"/>
                              <w:marBottom w:val="0"/>
                              <w:divBdr>
                                <w:top w:val="none" w:sz="0" w:space="0" w:color="auto"/>
                                <w:left w:val="none" w:sz="0" w:space="0" w:color="auto"/>
                                <w:bottom w:val="none" w:sz="0" w:space="0" w:color="auto"/>
                                <w:right w:val="none" w:sz="0" w:space="0" w:color="auto"/>
                              </w:divBdr>
                              <w:divsChild>
                                <w:div w:id="186890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77286">
      <w:bodyDiv w:val="1"/>
      <w:marLeft w:val="0"/>
      <w:marRight w:val="0"/>
      <w:marTop w:val="0"/>
      <w:marBottom w:val="0"/>
      <w:divBdr>
        <w:top w:val="none" w:sz="0" w:space="0" w:color="auto"/>
        <w:left w:val="none" w:sz="0" w:space="0" w:color="auto"/>
        <w:bottom w:val="none" w:sz="0" w:space="0" w:color="auto"/>
        <w:right w:val="none" w:sz="0" w:space="0" w:color="auto"/>
      </w:divBdr>
      <w:divsChild>
        <w:div w:id="1550024597">
          <w:marLeft w:val="0"/>
          <w:marRight w:val="0"/>
          <w:marTop w:val="0"/>
          <w:marBottom w:val="0"/>
          <w:divBdr>
            <w:top w:val="none" w:sz="0" w:space="0" w:color="auto"/>
            <w:left w:val="none" w:sz="0" w:space="0" w:color="auto"/>
            <w:bottom w:val="none" w:sz="0" w:space="0" w:color="auto"/>
            <w:right w:val="none" w:sz="0" w:space="0" w:color="auto"/>
          </w:divBdr>
          <w:divsChild>
            <w:div w:id="1475413902">
              <w:marLeft w:val="0"/>
              <w:marRight w:val="0"/>
              <w:marTop w:val="0"/>
              <w:marBottom w:val="0"/>
              <w:divBdr>
                <w:top w:val="none" w:sz="0" w:space="0" w:color="auto"/>
                <w:left w:val="none" w:sz="0" w:space="0" w:color="auto"/>
                <w:bottom w:val="none" w:sz="0" w:space="0" w:color="auto"/>
                <w:right w:val="none" w:sz="0" w:space="0" w:color="auto"/>
              </w:divBdr>
              <w:divsChild>
                <w:div w:id="545485280">
                  <w:marLeft w:val="0"/>
                  <w:marRight w:val="0"/>
                  <w:marTop w:val="0"/>
                  <w:marBottom w:val="0"/>
                  <w:divBdr>
                    <w:top w:val="none" w:sz="0" w:space="0" w:color="auto"/>
                    <w:left w:val="none" w:sz="0" w:space="0" w:color="auto"/>
                    <w:bottom w:val="none" w:sz="0" w:space="0" w:color="auto"/>
                    <w:right w:val="none" w:sz="0" w:space="0" w:color="auto"/>
                  </w:divBdr>
                  <w:divsChild>
                    <w:div w:id="819813520">
                      <w:marLeft w:val="0"/>
                      <w:marRight w:val="0"/>
                      <w:marTop w:val="0"/>
                      <w:marBottom w:val="0"/>
                      <w:divBdr>
                        <w:top w:val="none" w:sz="0" w:space="0" w:color="auto"/>
                        <w:left w:val="none" w:sz="0" w:space="0" w:color="auto"/>
                        <w:bottom w:val="none" w:sz="0" w:space="0" w:color="auto"/>
                        <w:right w:val="none" w:sz="0" w:space="0" w:color="auto"/>
                      </w:divBdr>
                      <w:divsChild>
                        <w:div w:id="157884696">
                          <w:marLeft w:val="0"/>
                          <w:marRight w:val="0"/>
                          <w:marTop w:val="0"/>
                          <w:marBottom w:val="0"/>
                          <w:divBdr>
                            <w:top w:val="none" w:sz="0" w:space="0" w:color="auto"/>
                            <w:left w:val="none" w:sz="0" w:space="0" w:color="auto"/>
                            <w:bottom w:val="none" w:sz="0" w:space="0" w:color="auto"/>
                            <w:right w:val="none" w:sz="0" w:space="0" w:color="auto"/>
                          </w:divBdr>
                          <w:divsChild>
                            <w:div w:id="10331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409883">
      <w:bodyDiv w:val="1"/>
      <w:marLeft w:val="0"/>
      <w:marRight w:val="0"/>
      <w:marTop w:val="0"/>
      <w:marBottom w:val="0"/>
      <w:divBdr>
        <w:top w:val="none" w:sz="0" w:space="0" w:color="auto"/>
        <w:left w:val="none" w:sz="0" w:space="0" w:color="auto"/>
        <w:bottom w:val="none" w:sz="0" w:space="0" w:color="auto"/>
        <w:right w:val="none" w:sz="0" w:space="0" w:color="auto"/>
      </w:divBdr>
      <w:divsChild>
        <w:div w:id="35667887">
          <w:marLeft w:val="0"/>
          <w:marRight w:val="0"/>
          <w:marTop w:val="0"/>
          <w:marBottom w:val="0"/>
          <w:divBdr>
            <w:top w:val="none" w:sz="0" w:space="0" w:color="auto"/>
            <w:left w:val="none" w:sz="0" w:space="0" w:color="auto"/>
            <w:bottom w:val="none" w:sz="0" w:space="0" w:color="auto"/>
            <w:right w:val="none" w:sz="0" w:space="0" w:color="auto"/>
          </w:divBdr>
          <w:divsChild>
            <w:div w:id="948514629">
              <w:marLeft w:val="0"/>
              <w:marRight w:val="0"/>
              <w:marTop w:val="0"/>
              <w:marBottom w:val="0"/>
              <w:divBdr>
                <w:top w:val="none" w:sz="0" w:space="0" w:color="auto"/>
                <w:left w:val="none" w:sz="0" w:space="0" w:color="auto"/>
                <w:bottom w:val="none" w:sz="0" w:space="0" w:color="auto"/>
                <w:right w:val="none" w:sz="0" w:space="0" w:color="auto"/>
              </w:divBdr>
              <w:divsChild>
                <w:div w:id="1322153607">
                  <w:marLeft w:val="0"/>
                  <w:marRight w:val="0"/>
                  <w:marTop w:val="0"/>
                  <w:marBottom w:val="0"/>
                  <w:divBdr>
                    <w:top w:val="none" w:sz="0" w:space="0" w:color="auto"/>
                    <w:left w:val="none" w:sz="0" w:space="0" w:color="auto"/>
                    <w:bottom w:val="none" w:sz="0" w:space="0" w:color="auto"/>
                    <w:right w:val="none" w:sz="0" w:space="0" w:color="auto"/>
                  </w:divBdr>
                  <w:divsChild>
                    <w:div w:id="1258976536">
                      <w:marLeft w:val="0"/>
                      <w:marRight w:val="0"/>
                      <w:marTop w:val="0"/>
                      <w:marBottom w:val="0"/>
                      <w:divBdr>
                        <w:top w:val="none" w:sz="0" w:space="0" w:color="auto"/>
                        <w:left w:val="none" w:sz="0" w:space="0" w:color="auto"/>
                        <w:bottom w:val="none" w:sz="0" w:space="0" w:color="auto"/>
                        <w:right w:val="none" w:sz="0" w:space="0" w:color="auto"/>
                      </w:divBdr>
                      <w:divsChild>
                        <w:div w:id="1418746101">
                          <w:marLeft w:val="0"/>
                          <w:marRight w:val="0"/>
                          <w:marTop w:val="0"/>
                          <w:marBottom w:val="0"/>
                          <w:divBdr>
                            <w:top w:val="none" w:sz="0" w:space="0" w:color="auto"/>
                            <w:left w:val="none" w:sz="0" w:space="0" w:color="auto"/>
                            <w:bottom w:val="none" w:sz="0" w:space="0" w:color="auto"/>
                            <w:right w:val="none" w:sz="0" w:space="0" w:color="auto"/>
                          </w:divBdr>
                          <w:divsChild>
                            <w:div w:id="163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230554">
      <w:bodyDiv w:val="1"/>
      <w:marLeft w:val="0"/>
      <w:marRight w:val="0"/>
      <w:marTop w:val="0"/>
      <w:marBottom w:val="0"/>
      <w:divBdr>
        <w:top w:val="none" w:sz="0" w:space="0" w:color="auto"/>
        <w:left w:val="none" w:sz="0" w:space="0" w:color="auto"/>
        <w:bottom w:val="none" w:sz="0" w:space="0" w:color="auto"/>
        <w:right w:val="none" w:sz="0" w:space="0" w:color="auto"/>
      </w:divBdr>
      <w:divsChild>
        <w:div w:id="1886595630">
          <w:marLeft w:val="0"/>
          <w:marRight w:val="0"/>
          <w:marTop w:val="0"/>
          <w:marBottom w:val="0"/>
          <w:divBdr>
            <w:top w:val="none" w:sz="0" w:space="0" w:color="auto"/>
            <w:left w:val="none" w:sz="0" w:space="0" w:color="auto"/>
            <w:bottom w:val="none" w:sz="0" w:space="0" w:color="auto"/>
            <w:right w:val="none" w:sz="0" w:space="0" w:color="auto"/>
          </w:divBdr>
          <w:divsChild>
            <w:div w:id="777875680">
              <w:marLeft w:val="0"/>
              <w:marRight w:val="0"/>
              <w:marTop w:val="0"/>
              <w:marBottom w:val="0"/>
              <w:divBdr>
                <w:top w:val="none" w:sz="0" w:space="0" w:color="auto"/>
                <w:left w:val="none" w:sz="0" w:space="0" w:color="auto"/>
                <w:bottom w:val="none" w:sz="0" w:space="0" w:color="auto"/>
                <w:right w:val="none" w:sz="0" w:space="0" w:color="auto"/>
              </w:divBdr>
              <w:divsChild>
                <w:div w:id="491457081">
                  <w:marLeft w:val="0"/>
                  <w:marRight w:val="0"/>
                  <w:marTop w:val="0"/>
                  <w:marBottom w:val="0"/>
                  <w:divBdr>
                    <w:top w:val="single" w:sz="6" w:space="0" w:color="CCCCCC"/>
                    <w:left w:val="single" w:sz="6" w:space="0" w:color="CCCCCC"/>
                    <w:bottom w:val="single" w:sz="6" w:space="0" w:color="CCCCCC"/>
                    <w:right w:val="single" w:sz="6" w:space="0" w:color="CCCCCC"/>
                  </w:divBdr>
                  <w:divsChild>
                    <w:div w:id="1687292829">
                      <w:marLeft w:val="0"/>
                      <w:marRight w:val="0"/>
                      <w:marTop w:val="0"/>
                      <w:marBottom w:val="0"/>
                      <w:divBdr>
                        <w:top w:val="none" w:sz="0" w:space="0" w:color="auto"/>
                        <w:left w:val="none" w:sz="0" w:space="0" w:color="auto"/>
                        <w:bottom w:val="none" w:sz="0" w:space="0" w:color="auto"/>
                        <w:right w:val="none" w:sz="0" w:space="0" w:color="auto"/>
                      </w:divBdr>
                      <w:divsChild>
                        <w:div w:id="9331441">
                          <w:marLeft w:val="0"/>
                          <w:marRight w:val="0"/>
                          <w:marTop w:val="0"/>
                          <w:marBottom w:val="0"/>
                          <w:divBdr>
                            <w:top w:val="none" w:sz="0" w:space="0" w:color="auto"/>
                            <w:left w:val="none" w:sz="0" w:space="0" w:color="auto"/>
                            <w:bottom w:val="none" w:sz="0" w:space="0" w:color="auto"/>
                            <w:right w:val="none" w:sz="0" w:space="0" w:color="auto"/>
                          </w:divBdr>
                          <w:divsChild>
                            <w:div w:id="1001467313">
                              <w:marLeft w:val="0"/>
                              <w:marRight w:val="0"/>
                              <w:marTop w:val="0"/>
                              <w:marBottom w:val="0"/>
                              <w:divBdr>
                                <w:top w:val="none" w:sz="0" w:space="0" w:color="auto"/>
                                <w:left w:val="none" w:sz="0" w:space="0" w:color="auto"/>
                                <w:bottom w:val="none" w:sz="0" w:space="0" w:color="auto"/>
                                <w:right w:val="none" w:sz="0" w:space="0" w:color="auto"/>
                              </w:divBdr>
                              <w:divsChild>
                                <w:div w:id="2143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355284">
      <w:bodyDiv w:val="1"/>
      <w:marLeft w:val="0"/>
      <w:marRight w:val="0"/>
      <w:marTop w:val="0"/>
      <w:marBottom w:val="0"/>
      <w:divBdr>
        <w:top w:val="none" w:sz="0" w:space="0" w:color="auto"/>
        <w:left w:val="none" w:sz="0" w:space="0" w:color="auto"/>
        <w:bottom w:val="none" w:sz="0" w:space="0" w:color="auto"/>
        <w:right w:val="none" w:sz="0" w:space="0" w:color="auto"/>
      </w:divBdr>
      <w:divsChild>
        <w:div w:id="1061293562">
          <w:marLeft w:val="0"/>
          <w:marRight w:val="0"/>
          <w:marTop w:val="0"/>
          <w:marBottom w:val="0"/>
          <w:divBdr>
            <w:top w:val="none" w:sz="0" w:space="0" w:color="auto"/>
            <w:left w:val="none" w:sz="0" w:space="0" w:color="auto"/>
            <w:bottom w:val="none" w:sz="0" w:space="0" w:color="auto"/>
            <w:right w:val="none" w:sz="0" w:space="0" w:color="auto"/>
          </w:divBdr>
          <w:divsChild>
            <w:div w:id="1135639145">
              <w:marLeft w:val="0"/>
              <w:marRight w:val="0"/>
              <w:marTop w:val="0"/>
              <w:marBottom w:val="0"/>
              <w:divBdr>
                <w:top w:val="none" w:sz="0" w:space="0" w:color="auto"/>
                <w:left w:val="none" w:sz="0" w:space="0" w:color="auto"/>
                <w:bottom w:val="none" w:sz="0" w:space="0" w:color="auto"/>
                <w:right w:val="none" w:sz="0" w:space="0" w:color="auto"/>
              </w:divBdr>
              <w:divsChild>
                <w:div w:id="1200314082">
                  <w:marLeft w:val="0"/>
                  <w:marRight w:val="0"/>
                  <w:marTop w:val="0"/>
                  <w:marBottom w:val="0"/>
                  <w:divBdr>
                    <w:top w:val="single" w:sz="6" w:space="0" w:color="CCCCCC"/>
                    <w:left w:val="single" w:sz="6" w:space="0" w:color="CCCCCC"/>
                    <w:bottom w:val="single" w:sz="6" w:space="0" w:color="CCCCCC"/>
                    <w:right w:val="single" w:sz="6" w:space="0" w:color="CCCCCC"/>
                  </w:divBdr>
                  <w:divsChild>
                    <w:div w:id="759449937">
                      <w:marLeft w:val="0"/>
                      <w:marRight w:val="0"/>
                      <w:marTop w:val="0"/>
                      <w:marBottom w:val="0"/>
                      <w:divBdr>
                        <w:top w:val="none" w:sz="0" w:space="0" w:color="auto"/>
                        <w:left w:val="none" w:sz="0" w:space="0" w:color="auto"/>
                        <w:bottom w:val="none" w:sz="0" w:space="0" w:color="auto"/>
                        <w:right w:val="none" w:sz="0" w:space="0" w:color="auto"/>
                      </w:divBdr>
                      <w:divsChild>
                        <w:div w:id="1969699175">
                          <w:marLeft w:val="0"/>
                          <w:marRight w:val="0"/>
                          <w:marTop w:val="0"/>
                          <w:marBottom w:val="0"/>
                          <w:divBdr>
                            <w:top w:val="none" w:sz="0" w:space="0" w:color="auto"/>
                            <w:left w:val="none" w:sz="0" w:space="0" w:color="auto"/>
                            <w:bottom w:val="none" w:sz="0" w:space="0" w:color="auto"/>
                            <w:right w:val="none" w:sz="0" w:space="0" w:color="auto"/>
                          </w:divBdr>
                          <w:divsChild>
                            <w:div w:id="353921408">
                              <w:marLeft w:val="0"/>
                              <w:marRight w:val="0"/>
                              <w:marTop w:val="0"/>
                              <w:marBottom w:val="0"/>
                              <w:divBdr>
                                <w:top w:val="none" w:sz="0" w:space="0" w:color="auto"/>
                                <w:left w:val="none" w:sz="0" w:space="0" w:color="auto"/>
                                <w:bottom w:val="none" w:sz="0" w:space="0" w:color="auto"/>
                                <w:right w:val="none" w:sz="0" w:space="0" w:color="auto"/>
                              </w:divBdr>
                              <w:divsChild>
                                <w:div w:id="19269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809012">
      <w:bodyDiv w:val="1"/>
      <w:marLeft w:val="0"/>
      <w:marRight w:val="0"/>
      <w:marTop w:val="0"/>
      <w:marBottom w:val="0"/>
      <w:divBdr>
        <w:top w:val="none" w:sz="0" w:space="0" w:color="auto"/>
        <w:left w:val="none" w:sz="0" w:space="0" w:color="auto"/>
        <w:bottom w:val="none" w:sz="0" w:space="0" w:color="auto"/>
        <w:right w:val="none" w:sz="0" w:space="0" w:color="auto"/>
      </w:divBdr>
      <w:divsChild>
        <w:div w:id="1866096998">
          <w:marLeft w:val="0"/>
          <w:marRight w:val="0"/>
          <w:marTop w:val="0"/>
          <w:marBottom w:val="0"/>
          <w:divBdr>
            <w:top w:val="none" w:sz="0" w:space="0" w:color="auto"/>
            <w:left w:val="none" w:sz="0" w:space="0" w:color="auto"/>
            <w:bottom w:val="none" w:sz="0" w:space="0" w:color="auto"/>
            <w:right w:val="none" w:sz="0" w:space="0" w:color="auto"/>
          </w:divBdr>
          <w:divsChild>
            <w:div w:id="1061636664">
              <w:marLeft w:val="0"/>
              <w:marRight w:val="0"/>
              <w:marTop w:val="0"/>
              <w:marBottom w:val="0"/>
              <w:divBdr>
                <w:top w:val="none" w:sz="0" w:space="0" w:color="auto"/>
                <w:left w:val="none" w:sz="0" w:space="0" w:color="auto"/>
                <w:bottom w:val="none" w:sz="0" w:space="0" w:color="auto"/>
                <w:right w:val="none" w:sz="0" w:space="0" w:color="auto"/>
              </w:divBdr>
              <w:divsChild>
                <w:div w:id="558446677">
                  <w:marLeft w:val="0"/>
                  <w:marRight w:val="0"/>
                  <w:marTop w:val="0"/>
                  <w:marBottom w:val="0"/>
                  <w:divBdr>
                    <w:top w:val="single" w:sz="6" w:space="0" w:color="CCCCCC"/>
                    <w:left w:val="single" w:sz="6" w:space="0" w:color="CCCCCC"/>
                    <w:bottom w:val="single" w:sz="6" w:space="0" w:color="CCCCCC"/>
                    <w:right w:val="single" w:sz="6" w:space="0" w:color="CCCCCC"/>
                  </w:divBdr>
                  <w:divsChild>
                    <w:div w:id="1953515155">
                      <w:marLeft w:val="0"/>
                      <w:marRight w:val="0"/>
                      <w:marTop w:val="0"/>
                      <w:marBottom w:val="0"/>
                      <w:divBdr>
                        <w:top w:val="none" w:sz="0" w:space="0" w:color="auto"/>
                        <w:left w:val="none" w:sz="0" w:space="0" w:color="auto"/>
                        <w:bottom w:val="none" w:sz="0" w:space="0" w:color="auto"/>
                        <w:right w:val="none" w:sz="0" w:space="0" w:color="auto"/>
                      </w:divBdr>
                      <w:divsChild>
                        <w:div w:id="328291293">
                          <w:marLeft w:val="0"/>
                          <w:marRight w:val="0"/>
                          <w:marTop w:val="0"/>
                          <w:marBottom w:val="0"/>
                          <w:divBdr>
                            <w:top w:val="none" w:sz="0" w:space="0" w:color="auto"/>
                            <w:left w:val="none" w:sz="0" w:space="0" w:color="auto"/>
                            <w:bottom w:val="none" w:sz="0" w:space="0" w:color="auto"/>
                            <w:right w:val="none" w:sz="0" w:space="0" w:color="auto"/>
                          </w:divBdr>
                          <w:divsChild>
                            <w:div w:id="1353725065">
                              <w:marLeft w:val="0"/>
                              <w:marRight w:val="0"/>
                              <w:marTop w:val="0"/>
                              <w:marBottom w:val="0"/>
                              <w:divBdr>
                                <w:top w:val="none" w:sz="0" w:space="0" w:color="auto"/>
                                <w:left w:val="none" w:sz="0" w:space="0" w:color="auto"/>
                                <w:bottom w:val="none" w:sz="0" w:space="0" w:color="auto"/>
                                <w:right w:val="none" w:sz="0" w:space="0" w:color="auto"/>
                              </w:divBdr>
                              <w:divsChild>
                                <w:div w:id="9702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118465">
      <w:bodyDiv w:val="1"/>
      <w:marLeft w:val="0"/>
      <w:marRight w:val="0"/>
      <w:marTop w:val="0"/>
      <w:marBottom w:val="0"/>
      <w:divBdr>
        <w:top w:val="none" w:sz="0" w:space="0" w:color="auto"/>
        <w:left w:val="none" w:sz="0" w:space="0" w:color="auto"/>
        <w:bottom w:val="none" w:sz="0" w:space="0" w:color="auto"/>
        <w:right w:val="none" w:sz="0" w:space="0" w:color="auto"/>
      </w:divBdr>
      <w:divsChild>
        <w:div w:id="1027365996">
          <w:marLeft w:val="0"/>
          <w:marRight w:val="0"/>
          <w:marTop w:val="0"/>
          <w:marBottom w:val="0"/>
          <w:divBdr>
            <w:top w:val="none" w:sz="0" w:space="0" w:color="auto"/>
            <w:left w:val="none" w:sz="0" w:space="0" w:color="auto"/>
            <w:bottom w:val="none" w:sz="0" w:space="0" w:color="auto"/>
            <w:right w:val="none" w:sz="0" w:space="0" w:color="auto"/>
          </w:divBdr>
          <w:divsChild>
            <w:div w:id="1174997174">
              <w:marLeft w:val="0"/>
              <w:marRight w:val="0"/>
              <w:marTop w:val="0"/>
              <w:marBottom w:val="0"/>
              <w:divBdr>
                <w:top w:val="none" w:sz="0" w:space="0" w:color="auto"/>
                <w:left w:val="none" w:sz="0" w:space="0" w:color="auto"/>
                <w:bottom w:val="none" w:sz="0" w:space="0" w:color="auto"/>
                <w:right w:val="none" w:sz="0" w:space="0" w:color="auto"/>
              </w:divBdr>
              <w:divsChild>
                <w:div w:id="1782651067">
                  <w:marLeft w:val="0"/>
                  <w:marRight w:val="0"/>
                  <w:marTop w:val="0"/>
                  <w:marBottom w:val="0"/>
                  <w:divBdr>
                    <w:top w:val="single" w:sz="6" w:space="0" w:color="CCCCCC"/>
                    <w:left w:val="single" w:sz="6" w:space="0" w:color="CCCCCC"/>
                    <w:bottom w:val="single" w:sz="6" w:space="0" w:color="CCCCCC"/>
                    <w:right w:val="single" w:sz="6" w:space="0" w:color="CCCCCC"/>
                  </w:divBdr>
                  <w:divsChild>
                    <w:div w:id="308098545">
                      <w:marLeft w:val="0"/>
                      <w:marRight w:val="0"/>
                      <w:marTop w:val="0"/>
                      <w:marBottom w:val="0"/>
                      <w:divBdr>
                        <w:top w:val="none" w:sz="0" w:space="0" w:color="auto"/>
                        <w:left w:val="none" w:sz="0" w:space="0" w:color="auto"/>
                        <w:bottom w:val="none" w:sz="0" w:space="0" w:color="auto"/>
                        <w:right w:val="none" w:sz="0" w:space="0" w:color="auto"/>
                      </w:divBdr>
                      <w:divsChild>
                        <w:div w:id="138689764">
                          <w:marLeft w:val="0"/>
                          <w:marRight w:val="0"/>
                          <w:marTop w:val="0"/>
                          <w:marBottom w:val="0"/>
                          <w:divBdr>
                            <w:top w:val="none" w:sz="0" w:space="0" w:color="auto"/>
                            <w:left w:val="none" w:sz="0" w:space="0" w:color="auto"/>
                            <w:bottom w:val="none" w:sz="0" w:space="0" w:color="auto"/>
                            <w:right w:val="none" w:sz="0" w:space="0" w:color="auto"/>
                          </w:divBdr>
                          <w:divsChild>
                            <w:div w:id="1580677548">
                              <w:marLeft w:val="0"/>
                              <w:marRight w:val="0"/>
                              <w:marTop w:val="0"/>
                              <w:marBottom w:val="0"/>
                              <w:divBdr>
                                <w:top w:val="none" w:sz="0" w:space="0" w:color="auto"/>
                                <w:left w:val="none" w:sz="0" w:space="0" w:color="auto"/>
                                <w:bottom w:val="none" w:sz="0" w:space="0" w:color="auto"/>
                                <w:right w:val="none" w:sz="0" w:space="0" w:color="auto"/>
                              </w:divBdr>
                              <w:divsChild>
                                <w:div w:id="21174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6713198">
      <w:bodyDiv w:val="1"/>
      <w:marLeft w:val="0"/>
      <w:marRight w:val="0"/>
      <w:marTop w:val="0"/>
      <w:marBottom w:val="0"/>
      <w:divBdr>
        <w:top w:val="none" w:sz="0" w:space="0" w:color="auto"/>
        <w:left w:val="none" w:sz="0" w:space="0" w:color="auto"/>
        <w:bottom w:val="none" w:sz="0" w:space="0" w:color="auto"/>
        <w:right w:val="none" w:sz="0" w:space="0" w:color="auto"/>
      </w:divBdr>
      <w:divsChild>
        <w:div w:id="1626161241">
          <w:marLeft w:val="0"/>
          <w:marRight w:val="0"/>
          <w:marTop w:val="0"/>
          <w:marBottom w:val="0"/>
          <w:divBdr>
            <w:top w:val="none" w:sz="0" w:space="0" w:color="auto"/>
            <w:left w:val="none" w:sz="0" w:space="0" w:color="auto"/>
            <w:bottom w:val="none" w:sz="0" w:space="0" w:color="auto"/>
            <w:right w:val="none" w:sz="0" w:space="0" w:color="auto"/>
          </w:divBdr>
          <w:divsChild>
            <w:div w:id="141847952">
              <w:marLeft w:val="0"/>
              <w:marRight w:val="0"/>
              <w:marTop w:val="0"/>
              <w:marBottom w:val="0"/>
              <w:divBdr>
                <w:top w:val="none" w:sz="0" w:space="0" w:color="auto"/>
                <w:left w:val="none" w:sz="0" w:space="0" w:color="auto"/>
                <w:bottom w:val="none" w:sz="0" w:space="0" w:color="auto"/>
                <w:right w:val="none" w:sz="0" w:space="0" w:color="auto"/>
              </w:divBdr>
              <w:divsChild>
                <w:div w:id="1104226527">
                  <w:marLeft w:val="0"/>
                  <w:marRight w:val="0"/>
                  <w:marTop w:val="0"/>
                  <w:marBottom w:val="0"/>
                  <w:divBdr>
                    <w:top w:val="none" w:sz="0" w:space="0" w:color="auto"/>
                    <w:left w:val="none" w:sz="0" w:space="0" w:color="auto"/>
                    <w:bottom w:val="none" w:sz="0" w:space="0" w:color="auto"/>
                    <w:right w:val="none" w:sz="0" w:space="0" w:color="auto"/>
                  </w:divBdr>
                  <w:divsChild>
                    <w:div w:id="1969389555">
                      <w:marLeft w:val="0"/>
                      <w:marRight w:val="0"/>
                      <w:marTop w:val="0"/>
                      <w:marBottom w:val="0"/>
                      <w:divBdr>
                        <w:top w:val="none" w:sz="0" w:space="0" w:color="auto"/>
                        <w:left w:val="none" w:sz="0" w:space="0" w:color="auto"/>
                        <w:bottom w:val="none" w:sz="0" w:space="0" w:color="auto"/>
                        <w:right w:val="none" w:sz="0" w:space="0" w:color="auto"/>
                      </w:divBdr>
                      <w:divsChild>
                        <w:div w:id="1953628623">
                          <w:marLeft w:val="0"/>
                          <w:marRight w:val="0"/>
                          <w:marTop w:val="0"/>
                          <w:marBottom w:val="0"/>
                          <w:divBdr>
                            <w:top w:val="none" w:sz="0" w:space="0" w:color="auto"/>
                            <w:left w:val="none" w:sz="0" w:space="0" w:color="auto"/>
                            <w:bottom w:val="none" w:sz="0" w:space="0" w:color="auto"/>
                            <w:right w:val="none" w:sz="0" w:space="0" w:color="auto"/>
                          </w:divBdr>
                          <w:divsChild>
                            <w:div w:id="1332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04589">
      <w:bodyDiv w:val="1"/>
      <w:marLeft w:val="0"/>
      <w:marRight w:val="0"/>
      <w:marTop w:val="0"/>
      <w:marBottom w:val="0"/>
      <w:divBdr>
        <w:top w:val="none" w:sz="0" w:space="0" w:color="auto"/>
        <w:left w:val="none" w:sz="0" w:space="0" w:color="auto"/>
        <w:bottom w:val="none" w:sz="0" w:space="0" w:color="auto"/>
        <w:right w:val="none" w:sz="0" w:space="0" w:color="auto"/>
      </w:divBdr>
      <w:divsChild>
        <w:div w:id="234362650">
          <w:marLeft w:val="0"/>
          <w:marRight w:val="0"/>
          <w:marTop w:val="0"/>
          <w:marBottom w:val="0"/>
          <w:divBdr>
            <w:top w:val="none" w:sz="0" w:space="0" w:color="auto"/>
            <w:left w:val="none" w:sz="0" w:space="0" w:color="auto"/>
            <w:bottom w:val="none" w:sz="0" w:space="0" w:color="auto"/>
            <w:right w:val="none" w:sz="0" w:space="0" w:color="auto"/>
          </w:divBdr>
          <w:divsChild>
            <w:div w:id="245303697">
              <w:marLeft w:val="0"/>
              <w:marRight w:val="0"/>
              <w:marTop w:val="0"/>
              <w:marBottom w:val="0"/>
              <w:divBdr>
                <w:top w:val="none" w:sz="0" w:space="0" w:color="auto"/>
                <w:left w:val="none" w:sz="0" w:space="0" w:color="auto"/>
                <w:bottom w:val="none" w:sz="0" w:space="0" w:color="auto"/>
                <w:right w:val="none" w:sz="0" w:space="0" w:color="auto"/>
              </w:divBdr>
              <w:divsChild>
                <w:div w:id="15886687">
                  <w:marLeft w:val="0"/>
                  <w:marRight w:val="0"/>
                  <w:marTop w:val="0"/>
                  <w:marBottom w:val="0"/>
                  <w:divBdr>
                    <w:top w:val="single" w:sz="6" w:space="0" w:color="CCCCCC"/>
                    <w:left w:val="single" w:sz="6" w:space="0" w:color="CCCCCC"/>
                    <w:bottom w:val="single" w:sz="6" w:space="0" w:color="CCCCCC"/>
                    <w:right w:val="single" w:sz="6" w:space="0" w:color="CCCCCC"/>
                  </w:divBdr>
                  <w:divsChild>
                    <w:div w:id="812864895">
                      <w:marLeft w:val="0"/>
                      <w:marRight w:val="0"/>
                      <w:marTop w:val="0"/>
                      <w:marBottom w:val="0"/>
                      <w:divBdr>
                        <w:top w:val="none" w:sz="0" w:space="0" w:color="auto"/>
                        <w:left w:val="none" w:sz="0" w:space="0" w:color="auto"/>
                        <w:bottom w:val="none" w:sz="0" w:space="0" w:color="auto"/>
                        <w:right w:val="none" w:sz="0" w:space="0" w:color="auto"/>
                      </w:divBdr>
                      <w:divsChild>
                        <w:div w:id="1192573951">
                          <w:marLeft w:val="0"/>
                          <w:marRight w:val="0"/>
                          <w:marTop w:val="0"/>
                          <w:marBottom w:val="0"/>
                          <w:divBdr>
                            <w:top w:val="none" w:sz="0" w:space="0" w:color="auto"/>
                            <w:left w:val="none" w:sz="0" w:space="0" w:color="auto"/>
                            <w:bottom w:val="none" w:sz="0" w:space="0" w:color="auto"/>
                            <w:right w:val="none" w:sz="0" w:space="0" w:color="auto"/>
                          </w:divBdr>
                          <w:divsChild>
                            <w:div w:id="2040936060">
                              <w:marLeft w:val="0"/>
                              <w:marRight w:val="0"/>
                              <w:marTop w:val="0"/>
                              <w:marBottom w:val="0"/>
                              <w:divBdr>
                                <w:top w:val="none" w:sz="0" w:space="0" w:color="auto"/>
                                <w:left w:val="none" w:sz="0" w:space="0" w:color="auto"/>
                                <w:bottom w:val="none" w:sz="0" w:space="0" w:color="auto"/>
                                <w:right w:val="none" w:sz="0" w:space="0" w:color="auto"/>
                              </w:divBdr>
                              <w:divsChild>
                                <w:div w:id="3841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666748">
      <w:bodyDiv w:val="1"/>
      <w:marLeft w:val="0"/>
      <w:marRight w:val="0"/>
      <w:marTop w:val="0"/>
      <w:marBottom w:val="0"/>
      <w:divBdr>
        <w:top w:val="none" w:sz="0" w:space="0" w:color="auto"/>
        <w:left w:val="none" w:sz="0" w:space="0" w:color="auto"/>
        <w:bottom w:val="none" w:sz="0" w:space="0" w:color="auto"/>
        <w:right w:val="none" w:sz="0" w:space="0" w:color="auto"/>
      </w:divBdr>
      <w:divsChild>
        <w:div w:id="936444930">
          <w:marLeft w:val="0"/>
          <w:marRight w:val="0"/>
          <w:marTop w:val="0"/>
          <w:marBottom w:val="0"/>
          <w:divBdr>
            <w:top w:val="none" w:sz="0" w:space="0" w:color="auto"/>
            <w:left w:val="none" w:sz="0" w:space="0" w:color="auto"/>
            <w:bottom w:val="none" w:sz="0" w:space="0" w:color="auto"/>
            <w:right w:val="none" w:sz="0" w:space="0" w:color="auto"/>
          </w:divBdr>
          <w:divsChild>
            <w:div w:id="1242252781">
              <w:marLeft w:val="0"/>
              <w:marRight w:val="0"/>
              <w:marTop w:val="0"/>
              <w:marBottom w:val="0"/>
              <w:divBdr>
                <w:top w:val="none" w:sz="0" w:space="0" w:color="auto"/>
                <w:left w:val="none" w:sz="0" w:space="0" w:color="auto"/>
                <w:bottom w:val="none" w:sz="0" w:space="0" w:color="auto"/>
                <w:right w:val="none" w:sz="0" w:space="0" w:color="auto"/>
              </w:divBdr>
              <w:divsChild>
                <w:div w:id="1346593003">
                  <w:marLeft w:val="0"/>
                  <w:marRight w:val="0"/>
                  <w:marTop w:val="0"/>
                  <w:marBottom w:val="0"/>
                  <w:divBdr>
                    <w:top w:val="none" w:sz="0" w:space="0" w:color="auto"/>
                    <w:left w:val="none" w:sz="0" w:space="0" w:color="auto"/>
                    <w:bottom w:val="none" w:sz="0" w:space="0" w:color="auto"/>
                    <w:right w:val="none" w:sz="0" w:space="0" w:color="auto"/>
                  </w:divBdr>
                  <w:divsChild>
                    <w:div w:id="2120562424">
                      <w:marLeft w:val="0"/>
                      <w:marRight w:val="0"/>
                      <w:marTop w:val="0"/>
                      <w:marBottom w:val="0"/>
                      <w:divBdr>
                        <w:top w:val="none" w:sz="0" w:space="0" w:color="auto"/>
                        <w:left w:val="none" w:sz="0" w:space="0" w:color="auto"/>
                        <w:bottom w:val="none" w:sz="0" w:space="0" w:color="auto"/>
                        <w:right w:val="none" w:sz="0" w:space="0" w:color="auto"/>
                      </w:divBdr>
                      <w:divsChild>
                        <w:div w:id="780028326">
                          <w:marLeft w:val="0"/>
                          <w:marRight w:val="0"/>
                          <w:marTop w:val="0"/>
                          <w:marBottom w:val="0"/>
                          <w:divBdr>
                            <w:top w:val="none" w:sz="0" w:space="0" w:color="auto"/>
                            <w:left w:val="none" w:sz="0" w:space="0" w:color="auto"/>
                            <w:bottom w:val="none" w:sz="0" w:space="0" w:color="auto"/>
                            <w:right w:val="none" w:sz="0" w:space="0" w:color="auto"/>
                          </w:divBdr>
                          <w:divsChild>
                            <w:div w:id="15580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879828">
      <w:bodyDiv w:val="1"/>
      <w:marLeft w:val="0"/>
      <w:marRight w:val="0"/>
      <w:marTop w:val="0"/>
      <w:marBottom w:val="0"/>
      <w:divBdr>
        <w:top w:val="none" w:sz="0" w:space="0" w:color="auto"/>
        <w:left w:val="none" w:sz="0" w:space="0" w:color="auto"/>
        <w:bottom w:val="none" w:sz="0" w:space="0" w:color="auto"/>
        <w:right w:val="none" w:sz="0" w:space="0" w:color="auto"/>
      </w:divBdr>
      <w:divsChild>
        <w:div w:id="654838413">
          <w:marLeft w:val="0"/>
          <w:marRight w:val="0"/>
          <w:marTop w:val="0"/>
          <w:marBottom w:val="0"/>
          <w:divBdr>
            <w:top w:val="none" w:sz="0" w:space="0" w:color="auto"/>
            <w:left w:val="none" w:sz="0" w:space="0" w:color="auto"/>
            <w:bottom w:val="none" w:sz="0" w:space="0" w:color="auto"/>
            <w:right w:val="none" w:sz="0" w:space="0" w:color="auto"/>
          </w:divBdr>
          <w:divsChild>
            <w:div w:id="1708750924">
              <w:marLeft w:val="0"/>
              <w:marRight w:val="0"/>
              <w:marTop w:val="0"/>
              <w:marBottom w:val="0"/>
              <w:divBdr>
                <w:top w:val="none" w:sz="0" w:space="0" w:color="auto"/>
                <w:left w:val="none" w:sz="0" w:space="0" w:color="auto"/>
                <w:bottom w:val="none" w:sz="0" w:space="0" w:color="auto"/>
                <w:right w:val="none" w:sz="0" w:space="0" w:color="auto"/>
              </w:divBdr>
              <w:divsChild>
                <w:div w:id="1594583143">
                  <w:marLeft w:val="0"/>
                  <w:marRight w:val="0"/>
                  <w:marTop w:val="0"/>
                  <w:marBottom w:val="0"/>
                  <w:divBdr>
                    <w:top w:val="single" w:sz="6" w:space="0" w:color="CCCCCC"/>
                    <w:left w:val="single" w:sz="6" w:space="0" w:color="CCCCCC"/>
                    <w:bottom w:val="single" w:sz="6" w:space="0" w:color="CCCCCC"/>
                    <w:right w:val="single" w:sz="6" w:space="0" w:color="CCCCCC"/>
                  </w:divBdr>
                  <w:divsChild>
                    <w:div w:id="875042947">
                      <w:marLeft w:val="0"/>
                      <w:marRight w:val="0"/>
                      <w:marTop w:val="0"/>
                      <w:marBottom w:val="0"/>
                      <w:divBdr>
                        <w:top w:val="none" w:sz="0" w:space="0" w:color="auto"/>
                        <w:left w:val="none" w:sz="0" w:space="0" w:color="auto"/>
                        <w:bottom w:val="none" w:sz="0" w:space="0" w:color="auto"/>
                        <w:right w:val="none" w:sz="0" w:space="0" w:color="auto"/>
                      </w:divBdr>
                      <w:divsChild>
                        <w:div w:id="2004698201">
                          <w:marLeft w:val="0"/>
                          <w:marRight w:val="0"/>
                          <w:marTop w:val="0"/>
                          <w:marBottom w:val="0"/>
                          <w:divBdr>
                            <w:top w:val="none" w:sz="0" w:space="0" w:color="auto"/>
                            <w:left w:val="none" w:sz="0" w:space="0" w:color="auto"/>
                            <w:bottom w:val="none" w:sz="0" w:space="0" w:color="auto"/>
                            <w:right w:val="none" w:sz="0" w:space="0" w:color="auto"/>
                          </w:divBdr>
                          <w:divsChild>
                            <w:div w:id="1759248734">
                              <w:marLeft w:val="0"/>
                              <w:marRight w:val="0"/>
                              <w:marTop w:val="0"/>
                              <w:marBottom w:val="0"/>
                              <w:divBdr>
                                <w:top w:val="none" w:sz="0" w:space="0" w:color="auto"/>
                                <w:left w:val="none" w:sz="0" w:space="0" w:color="auto"/>
                                <w:bottom w:val="none" w:sz="0" w:space="0" w:color="auto"/>
                                <w:right w:val="none" w:sz="0" w:space="0" w:color="auto"/>
                              </w:divBdr>
                              <w:divsChild>
                                <w:div w:id="12322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693065">
      <w:bodyDiv w:val="1"/>
      <w:marLeft w:val="0"/>
      <w:marRight w:val="0"/>
      <w:marTop w:val="0"/>
      <w:marBottom w:val="0"/>
      <w:divBdr>
        <w:top w:val="none" w:sz="0" w:space="0" w:color="auto"/>
        <w:left w:val="none" w:sz="0" w:space="0" w:color="auto"/>
        <w:bottom w:val="none" w:sz="0" w:space="0" w:color="auto"/>
        <w:right w:val="none" w:sz="0" w:space="0" w:color="auto"/>
      </w:divBdr>
      <w:divsChild>
        <w:div w:id="412776368">
          <w:marLeft w:val="0"/>
          <w:marRight w:val="0"/>
          <w:marTop w:val="0"/>
          <w:marBottom w:val="0"/>
          <w:divBdr>
            <w:top w:val="none" w:sz="0" w:space="0" w:color="auto"/>
            <w:left w:val="none" w:sz="0" w:space="0" w:color="auto"/>
            <w:bottom w:val="none" w:sz="0" w:space="0" w:color="auto"/>
            <w:right w:val="none" w:sz="0" w:space="0" w:color="auto"/>
          </w:divBdr>
          <w:divsChild>
            <w:div w:id="1506700813">
              <w:marLeft w:val="0"/>
              <w:marRight w:val="0"/>
              <w:marTop w:val="0"/>
              <w:marBottom w:val="0"/>
              <w:divBdr>
                <w:top w:val="none" w:sz="0" w:space="0" w:color="auto"/>
                <w:left w:val="none" w:sz="0" w:space="0" w:color="auto"/>
                <w:bottom w:val="none" w:sz="0" w:space="0" w:color="auto"/>
                <w:right w:val="none" w:sz="0" w:space="0" w:color="auto"/>
              </w:divBdr>
              <w:divsChild>
                <w:div w:id="2090760863">
                  <w:marLeft w:val="0"/>
                  <w:marRight w:val="0"/>
                  <w:marTop w:val="0"/>
                  <w:marBottom w:val="0"/>
                  <w:divBdr>
                    <w:top w:val="none" w:sz="0" w:space="0" w:color="auto"/>
                    <w:left w:val="none" w:sz="0" w:space="0" w:color="auto"/>
                    <w:bottom w:val="none" w:sz="0" w:space="0" w:color="auto"/>
                    <w:right w:val="none" w:sz="0" w:space="0" w:color="auto"/>
                  </w:divBdr>
                  <w:divsChild>
                    <w:div w:id="365913108">
                      <w:marLeft w:val="0"/>
                      <w:marRight w:val="0"/>
                      <w:marTop w:val="0"/>
                      <w:marBottom w:val="0"/>
                      <w:divBdr>
                        <w:top w:val="none" w:sz="0" w:space="0" w:color="auto"/>
                        <w:left w:val="none" w:sz="0" w:space="0" w:color="auto"/>
                        <w:bottom w:val="none" w:sz="0" w:space="0" w:color="auto"/>
                        <w:right w:val="none" w:sz="0" w:space="0" w:color="auto"/>
                      </w:divBdr>
                      <w:divsChild>
                        <w:div w:id="626743433">
                          <w:marLeft w:val="0"/>
                          <w:marRight w:val="0"/>
                          <w:marTop w:val="0"/>
                          <w:marBottom w:val="0"/>
                          <w:divBdr>
                            <w:top w:val="none" w:sz="0" w:space="0" w:color="auto"/>
                            <w:left w:val="none" w:sz="0" w:space="0" w:color="auto"/>
                            <w:bottom w:val="none" w:sz="0" w:space="0" w:color="auto"/>
                            <w:right w:val="none" w:sz="0" w:space="0" w:color="auto"/>
                          </w:divBdr>
                          <w:divsChild>
                            <w:div w:id="1878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210776">
      <w:bodyDiv w:val="1"/>
      <w:marLeft w:val="0"/>
      <w:marRight w:val="0"/>
      <w:marTop w:val="0"/>
      <w:marBottom w:val="0"/>
      <w:divBdr>
        <w:top w:val="none" w:sz="0" w:space="0" w:color="auto"/>
        <w:left w:val="none" w:sz="0" w:space="0" w:color="auto"/>
        <w:bottom w:val="none" w:sz="0" w:space="0" w:color="auto"/>
        <w:right w:val="none" w:sz="0" w:space="0" w:color="auto"/>
      </w:divBdr>
      <w:divsChild>
        <w:div w:id="626858234">
          <w:marLeft w:val="0"/>
          <w:marRight w:val="0"/>
          <w:marTop w:val="0"/>
          <w:marBottom w:val="0"/>
          <w:divBdr>
            <w:top w:val="none" w:sz="0" w:space="0" w:color="auto"/>
            <w:left w:val="none" w:sz="0" w:space="0" w:color="auto"/>
            <w:bottom w:val="none" w:sz="0" w:space="0" w:color="auto"/>
            <w:right w:val="none" w:sz="0" w:space="0" w:color="auto"/>
          </w:divBdr>
          <w:divsChild>
            <w:div w:id="1663586757">
              <w:marLeft w:val="0"/>
              <w:marRight w:val="0"/>
              <w:marTop w:val="0"/>
              <w:marBottom w:val="0"/>
              <w:divBdr>
                <w:top w:val="none" w:sz="0" w:space="0" w:color="auto"/>
                <w:left w:val="none" w:sz="0" w:space="0" w:color="auto"/>
                <w:bottom w:val="none" w:sz="0" w:space="0" w:color="auto"/>
                <w:right w:val="none" w:sz="0" w:space="0" w:color="auto"/>
              </w:divBdr>
              <w:divsChild>
                <w:div w:id="1881748386">
                  <w:marLeft w:val="0"/>
                  <w:marRight w:val="0"/>
                  <w:marTop w:val="0"/>
                  <w:marBottom w:val="0"/>
                  <w:divBdr>
                    <w:top w:val="single" w:sz="6" w:space="0" w:color="CCCCCC"/>
                    <w:left w:val="single" w:sz="6" w:space="0" w:color="CCCCCC"/>
                    <w:bottom w:val="single" w:sz="6" w:space="0" w:color="CCCCCC"/>
                    <w:right w:val="single" w:sz="6" w:space="0" w:color="CCCCCC"/>
                  </w:divBdr>
                  <w:divsChild>
                    <w:div w:id="1826238123">
                      <w:marLeft w:val="0"/>
                      <w:marRight w:val="0"/>
                      <w:marTop w:val="0"/>
                      <w:marBottom w:val="0"/>
                      <w:divBdr>
                        <w:top w:val="none" w:sz="0" w:space="0" w:color="auto"/>
                        <w:left w:val="none" w:sz="0" w:space="0" w:color="auto"/>
                        <w:bottom w:val="none" w:sz="0" w:space="0" w:color="auto"/>
                        <w:right w:val="none" w:sz="0" w:space="0" w:color="auto"/>
                      </w:divBdr>
                      <w:divsChild>
                        <w:div w:id="1659915772">
                          <w:marLeft w:val="0"/>
                          <w:marRight w:val="0"/>
                          <w:marTop w:val="0"/>
                          <w:marBottom w:val="0"/>
                          <w:divBdr>
                            <w:top w:val="none" w:sz="0" w:space="0" w:color="auto"/>
                            <w:left w:val="none" w:sz="0" w:space="0" w:color="auto"/>
                            <w:bottom w:val="none" w:sz="0" w:space="0" w:color="auto"/>
                            <w:right w:val="none" w:sz="0" w:space="0" w:color="auto"/>
                          </w:divBdr>
                          <w:divsChild>
                            <w:div w:id="234629038">
                              <w:marLeft w:val="0"/>
                              <w:marRight w:val="0"/>
                              <w:marTop w:val="0"/>
                              <w:marBottom w:val="0"/>
                              <w:divBdr>
                                <w:top w:val="none" w:sz="0" w:space="0" w:color="auto"/>
                                <w:left w:val="none" w:sz="0" w:space="0" w:color="auto"/>
                                <w:bottom w:val="none" w:sz="0" w:space="0" w:color="auto"/>
                                <w:right w:val="none" w:sz="0" w:space="0" w:color="auto"/>
                              </w:divBdr>
                              <w:divsChild>
                                <w:div w:id="15149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95502">
      <w:bodyDiv w:val="1"/>
      <w:marLeft w:val="0"/>
      <w:marRight w:val="0"/>
      <w:marTop w:val="0"/>
      <w:marBottom w:val="0"/>
      <w:divBdr>
        <w:top w:val="none" w:sz="0" w:space="0" w:color="auto"/>
        <w:left w:val="none" w:sz="0" w:space="0" w:color="auto"/>
        <w:bottom w:val="none" w:sz="0" w:space="0" w:color="auto"/>
        <w:right w:val="none" w:sz="0" w:space="0" w:color="auto"/>
      </w:divBdr>
      <w:divsChild>
        <w:div w:id="207844121">
          <w:marLeft w:val="0"/>
          <w:marRight w:val="0"/>
          <w:marTop w:val="0"/>
          <w:marBottom w:val="0"/>
          <w:divBdr>
            <w:top w:val="none" w:sz="0" w:space="0" w:color="auto"/>
            <w:left w:val="none" w:sz="0" w:space="0" w:color="auto"/>
            <w:bottom w:val="none" w:sz="0" w:space="0" w:color="auto"/>
            <w:right w:val="none" w:sz="0" w:space="0" w:color="auto"/>
          </w:divBdr>
          <w:divsChild>
            <w:div w:id="1808088776">
              <w:marLeft w:val="0"/>
              <w:marRight w:val="0"/>
              <w:marTop w:val="0"/>
              <w:marBottom w:val="0"/>
              <w:divBdr>
                <w:top w:val="none" w:sz="0" w:space="0" w:color="auto"/>
                <w:left w:val="none" w:sz="0" w:space="0" w:color="auto"/>
                <w:bottom w:val="none" w:sz="0" w:space="0" w:color="auto"/>
                <w:right w:val="none" w:sz="0" w:space="0" w:color="auto"/>
              </w:divBdr>
              <w:divsChild>
                <w:div w:id="806239052">
                  <w:marLeft w:val="0"/>
                  <w:marRight w:val="0"/>
                  <w:marTop w:val="0"/>
                  <w:marBottom w:val="0"/>
                  <w:divBdr>
                    <w:top w:val="single" w:sz="6" w:space="0" w:color="CCCCCC"/>
                    <w:left w:val="single" w:sz="6" w:space="0" w:color="CCCCCC"/>
                    <w:bottom w:val="single" w:sz="6" w:space="0" w:color="CCCCCC"/>
                    <w:right w:val="single" w:sz="6" w:space="0" w:color="CCCCCC"/>
                  </w:divBdr>
                  <w:divsChild>
                    <w:div w:id="1710302665">
                      <w:marLeft w:val="0"/>
                      <w:marRight w:val="0"/>
                      <w:marTop w:val="0"/>
                      <w:marBottom w:val="0"/>
                      <w:divBdr>
                        <w:top w:val="none" w:sz="0" w:space="0" w:color="auto"/>
                        <w:left w:val="none" w:sz="0" w:space="0" w:color="auto"/>
                        <w:bottom w:val="none" w:sz="0" w:space="0" w:color="auto"/>
                        <w:right w:val="none" w:sz="0" w:space="0" w:color="auto"/>
                      </w:divBdr>
                      <w:divsChild>
                        <w:div w:id="566116559">
                          <w:marLeft w:val="0"/>
                          <w:marRight w:val="0"/>
                          <w:marTop w:val="0"/>
                          <w:marBottom w:val="0"/>
                          <w:divBdr>
                            <w:top w:val="none" w:sz="0" w:space="0" w:color="auto"/>
                            <w:left w:val="none" w:sz="0" w:space="0" w:color="auto"/>
                            <w:bottom w:val="none" w:sz="0" w:space="0" w:color="auto"/>
                            <w:right w:val="none" w:sz="0" w:space="0" w:color="auto"/>
                          </w:divBdr>
                          <w:divsChild>
                            <w:div w:id="1209336943">
                              <w:marLeft w:val="0"/>
                              <w:marRight w:val="0"/>
                              <w:marTop w:val="0"/>
                              <w:marBottom w:val="0"/>
                              <w:divBdr>
                                <w:top w:val="none" w:sz="0" w:space="0" w:color="auto"/>
                                <w:left w:val="none" w:sz="0" w:space="0" w:color="auto"/>
                                <w:bottom w:val="none" w:sz="0" w:space="0" w:color="auto"/>
                                <w:right w:val="none" w:sz="0" w:space="0" w:color="auto"/>
                              </w:divBdr>
                              <w:divsChild>
                                <w:div w:id="231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813771">
      <w:bodyDiv w:val="1"/>
      <w:marLeft w:val="0"/>
      <w:marRight w:val="0"/>
      <w:marTop w:val="0"/>
      <w:marBottom w:val="0"/>
      <w:divBdr>
        <w:top w:val="none" w:sz="0" w:space="0" w:color="auto"/>
        <w:left w:val="none" w:sz="0" w:space="0" w:color="auto"/>
        <w:bottom w:val="none" w:sz="0" w:space="0" w:color="auto"/>
        <w:right w:val="none" w:sz="0" w:space="0" w:color="auto"/>
      </w:divBdr>
      <w:divsChild>
        <w:div w:id="297686297">
          <w:marLeft w:val="0"/>
          <w:marRight w:val="0"/>
          <w:marTop w:val="0"/>
          <w:marBottom w:val="0"/>
          <w:divBdr>
            <w:top w:val="none" w:sz="0" w:space="0" w:color="auto"/>
            <w:left w:val="none" w:sz="0" w:space="0" w:color="auto"/>
            <w:bottom w:val="none" w:sz="0" w:space="0" w:color="auto"/>
            <w:right w:val="none" w:sz="0" w:space="0" w:color="auto"/>
          </w:divBdr>
          <w:divsChild>
            <w:div w:id="632172034">
              <w:marLeft w:val="0"/>
              <w:marRight w:val="0"/>
              <w:marTop w:val="0"/>
              <w:marBottom w:val="0"/>
              <w:divBdr>
                <w:top w:val="none" w:sz="0" w:space="0" w:color="auto"/>
                <w:left w:val="none" w:sz="0" w:space="0" w:color="auto"/>
                <w:bottom w:val="none" w:sz="0" w:space="0" w:color="auto"/>
                <w:right w:val="none" w:sz="0" w:space="0" w:color="auto"/>
              </w:divBdr>
              <w:divsChild>
                <w:div w:id="1748913712">
                  <w:marLeft w:val="0"/>
                  <w:marRight w:val="0"/>
                  <w:marTop w:val="0"/>
                  <w:marBottom w:val="0"/>
                  <w:divBdr>
                    <w:top w:val="single" w:sz="6" w:space="0" w:color="CCCCCC"/>
                    <w:left w:val="single" w:sz="6" w:space="0" w:color="CCCCCC"/>
                    <w:bottom w:val="single" w:sz="6" w:space="0" w:color="CCCCCC"/>
                    <w:right w:val="single" w:sz="6" w:space="0" w:color="CCCCCC"/>
                  </w:divBdr>
                  <w:divsChild>
                    <w:div w:id="1159077142">
                      <w:marLeft w:val="0"/>
                      <w:marRight w:val="0"/>
                      <w:marTop w:val="0"/>
                      <w:marBottom w:val="0"/>
                      <w:divBdr>
                        <w:top w:val="none" w:sz="0" w:space="0" w:color="auto"/>
                        <w:left w:val="none" w:sz="0" w:space="0" w:color="auto"/>
                        <w:bottom w:val="none" w:sz="0" w:space="0" w:color="auto"/>
                        <w:right w:val="none" w:sz="0" w:space="0" w:color="auto"/>
                      </w:divBdr>
                      <w:divsChild>
                        <w:div w:id="1314522764">
                          <w:marLeft w:val="0"/>
                          <w:marRight w:val="0"/>
                          <w:marTop w:val="0"/>
                          <w:marBottom w:val="0"/>
                          <w:divBdr>
                            <w:top w:val="none" w:sz="0" w:space="0" w:color="auto"/>
                            <w:left w:val="none" w:sz="0" w:space="0" w:color="auto"/>
                            <w:bottom w:val="none" w:sz="0" w:space="0" w:color="auto"/>
                            <w:right w:val="none" w:sz="0" w:space="0" w:color="auto"/>
                          </w:divBdr>
                          <w:divsChild>
                            <w:div w:id="906767218">
                              <w:marLeft w:val="0"/>
                              <w:marRight w:val="0"/>
                              <w:marTop w:val="0"/>
                              <w:marBottom w:val="0"/>
                              <w:divBdr>
                                <w:top w:val="none" w:sz="0" w:space="0" w:color="auto"/>
                                <w:left w:val="none" w:sz="0" w:space="0" w:color="auto"/>
                                <w:bottom w:val="none" w:sz="0" w:space="0" w:color="auto"/>
                                <w:right w:val="none" w:sz="0" w:space="0" w:color="auto"/>
                              </w:divBdr>
                              <w:divsChild>
                                <w:div w:id="8047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91875">
      <w:bodyDiv w:val="1"/>
      <w:marLeft w:val="0"/>
      <w:marRight w:val="0"/>
      <w:marTop w:val="0"/>
      <w:marBottom w:val="0"/>
      <w:divBdr>
        <w:top w:val="none" w:sz="0" w:space="0" w:color="auto"/>
        <w:left w:val="none" w:sz="0" w:space="0" w:color="auto"/>
        <w:bottom w:val="none" w:sz="0" w:space="0" w:color="auto"/>
        <w:right w:val="none" w:sz="0" w:space="0" w:color="auto"/>
      </w:divBdr>
      <w:divsChild>
        <w:div w:id="88887940">
          <w:marLeft w:val="0"/>
          <w:marRight w:val="0"/>
          <w:marTop w:val="0"/>
          <w:marBottom w:val="0"/>
          <w:divBdr>
            <w:top w:val="none" w:sz="0" w:space="0" w:color="auto"/>
            <w:left w:val="none" w:sz="0" w:space="0" w:color="auto"/>
            <w:bottom w:val="none" w:sz="0" w:space="0" w:color="auto"/>
            <w:right w:val="none" w:sz="0" w:space="0" w:color="auto"/>
          </w:divBdr>
          <w:divsChild>
            <w:div w:id="346686331">
              <w:marLeft w:val="0"/>
              <w:marRight w:val="0"/>
              <w:marTop w:val="0"/>
              <w:marBottom w:val="0"/>
              <w:divBdr>
                <w:top w:val="none" w:sz="0" w:space="0" w:color="auto"/>
                <w:left w:val="none" w:sz="0" w:space="0" w:color="auto"/>
                <w:bottom w:val="none" w:sz="0" w:space="0" w:color="auto"/>
                <w:right w:val="none" w:sz="0" w:space="0" w:color="auto"/>
              </w:divBdr>
              <w:divsChild>
                <w:div w:id="52001454">
                  <w:marLeft w:val="0"/>
                  <w:marRight w:val="0"/>
                  <w:marTop w:val="0"/>
                  <w:marBottom w:val="0"/>
                  <w:divBdr>
                    <w:top w:val="none" w:sz="0" w:space="0" w:color="auto"/>
                    <w:left w:val="none" w:sz="0" w:space="0" w:color="auto"/>
                    <w:bottom w:val="none" w:sz="0" w:space="0" w:color="auto"/>
                    <w:right w:val="none" w:sz="0" w:space="0" w:color="auto"/>
                  </w:divBdr>
                  <w:divsChild>
                    <w:div w:id="1707364341">
                      <w:marLeft w:val="0"/>
                      <w:marRight w:val="0"/>
                      <w:marTop w:val="0"/>
                      <w:marBottom w:val="0"/>
                      <w:divBdr>
                        <w:top w:val="none" w:sz="0" w:space="0" w:color="auto"/>
                        <w:left w:val="none" w:sz="0" w:space="0" w:color="auto"/>
                        <w:bottom w:val="none" w:sz="0" w:space="0" w:color="auto"/>
                        <w:right w:val="none" w:sz="0" w:space="0" w:color="auto"/>
                      </w:divBdr>
                      <w:divsChild>
                        <w:div w:id="190800385">
                          <w:marLeft w:val="0"/>
                          <w:marRight w:val="0"/>
                          <w:marTop w:val="0"/>
                          <w:marBottom w:val="0"/>
                          <w:divBdr>
                            <w:top w:val="none" w:sz="0" w:space="0" w:color="auto"/>
                            <w:left w:val="none" w:sz="0" w:space="0" w:color="auto"/>
                            <w:bottom w:val="none" w:sz="0" w:space="0" w:color="auto"/>
                            <w:right w:val="none" w:sz="0" w:space="0" w:color="auto"/>
                          </w:divBdr>
                          <w:divsChild>
                            <w:div w:id="20514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260391">
      <w:bodyDiv w:val="1"/>
      <w:marLeft w:val="0"/>
      <w:marRight w:val="0"/>
      <w:marTop w:val="0"/>
      <w:marBottom w:val="0"/>
      <w:divBdr>
        <w:top w:val="none" w:sz="0" w:space="0" w:color="auto"/>
        <w:left w:val="none" w:sz="0" w:space="0" w:color="auto"/>
        <w:bottom w:val="none" w:sz="0" w:space="0" w:color="auto"/>
        <w:right w:val="none" w:sz="0" w:space="0" w:color="auto"/>
      </w:divBdr>
      <w:divsChild>
        <w:div w:id="771895361">
          <w:marLeft w:val="0"/>
          <w:marRight w:val="0"/>
          <w:marTop w:val="0"/>
          <w:marBottom w:val="0"/>
          <w:divBdr>
            <w:top w:val="none" w:sz="0" w:space="0" w:color="auto"/>
            <w:left w:val="none" w:sz="0" w:space="0" w:color="auto"/>
            <w:bottom w:val="none" w:sz="0" w:space="0" w:color="auto"/>
            <w:right w:val="none" w:sz="0" w:space="0" w:color="auto"/>
          </w:divBdr>
          <w:divsChild>
            <w:div w:id="1090080484">
              <w:marLeft w:val="0"/>
              <w:marRight w:val="0"/>
              <w:marTop w:val="0"/>
              <w:marBottom w:val="0"/>
              <w:divBdr>
                <w:top w:val="none" w:sz="0" w:space="0" w:color="auto"/>
                <w:left w:val="none" w:sz="0" w:space="0" w:color="auto"/>
                <w:bottom w:val="none" w:sz="0" w:space="0" w:color="auto"/>
                <w:right w:val="none" w:sz="0" w:space="0" w:color="auto"/>
              </w:divBdr>
              <w:divsChild>
                <w:div w:id="861555746">
                  <w:marLeft w:val="0"/>
                  <w:marRight w:val="0"/>
                  <w:marTop w:val="0"/>
                  <w:marBottom w:val="0"/>
                  <w:divBdr>
                    <w:top w:val="single" w:sz="6" w:space="0" w:color="CCCCCC"/>
                    <w:left w:val="single" w:sz="6" w:space="0" w:color="CCCCCC"/>
                    <w:bottom w:val="single" w:sz="6" w:space="0" w:color="CCCCCC"/>
                    <w:right w:val="single" w:sz="6" w:space="0" w:color="CCCCCC"/>
                  </w:divBdr>
                  <w:divsChild>
                    <w:div w:id="1782917131">
                      <w:marLeft w:val="0"/>
                      <w:marRight w:val="0"/>
                      <w:marTop w:val="0"/>
                      <w:marBottom w:val="0"/>
                      <w:divBdr>
                        <w:top w:val="none" w:sz="0" w:space="0" w:color="auto"/>
                        <w:left w:val="none" w:sz="0" w:space="0" w:color="auto"/>
                        <w:bottom w:val="none" w:sz="0" w:space="0" w:color="auto"/>
                        <w:right w:val="none" w:sz="0" w:space="0" w:color="auto"/>
                      </w:divBdr>
                      <w:divsChild>
                        <w:div w:id="607661142">
                          <w:marLeft w:val="0"/>
                          <w:marRight w:val="0"/>
                          <w:marTop w:val="0"/>
                          <w:marBottom w:val="0"/>
                          <w:divBdr>
                            <w:top w:val="none" w:sz="0" w:space="0" w:color="auto"/>
                            <w:left w:val="none" w:sz="0" w:space="0" w:color="auto"/>
                            <w:bottom w:val="none" w:sz="0" w:space="0" w:color="auto"/>
                            <w:right w:val="none" w:sz="0" w:space="0" w:color="auto"/>
                          </w:divBdr>
                          <w:divsChild>
                            <w:div w:id="1733847295">
                              <w:marLeft w:val="0"/>
                              <w:marRight w:val="0"/>
                              <w:marTop w:val="0"/>
                              <w:marBottom w:val="0"/>
                              <w:divBdr>
                                <w:top w:val="none" w:sz="0" w:space="0" w:color="auto"/>
                                <w:left w:val="none" w:sz="0" w:space="0" w:color="auto"/>
                                <w:bottom w:val="none" w:sz="0" w:space="0" w:color="auto"/>
                                <w:right w:val="none" w:sz="0" w:space="0" w:color="auto"/>
                              </w:divBdr>
                              <w:divsChild>
                                <w:div w:id="68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6339">
      <w:bodyDiv w:val="1"/>
      <w:marLeft w:val="0"/>
      <w:marRight w:val="0"/>
      <w:marTop w:val="0"/>
      <w:marBottom w:val="0"/>
      <w:divBdr>
        <w:top w:val="none" w:sz="0" w:space="0" w:color="auto"/>
        <w:left w:val="none" w:sz="0" w:space="0" w:color="auto"/>
        <w:bottom w:val="none" w:sz="0" w:space="0" w:color="auto"/>
        <w:right w:val="none" w:sz="0" w:space="0" w:color="auto"/>
      </w:divBdr>
      <w:divsChild>
        <w:div w:id="2045207070">
          <w:marLeft w:val="0"/>
          <w:marRight w:val="0"/>
          <w:marTop w:val="0"/>
          <w:marBottom w:val="0"/>
          <w:divBdr>
            <w:top w:val="none" w:sz="0" w:space="0" w:color="auto"/>
            <w:left w:val="none" w:sz="0" w:space="0" w:color="auto"/>
            <w:bottom w:val="none" w:sz="0" w:space="0" w:color="auto"/>
            <w:right w:val="none" w:sz="0" w:space="0" w:color="auto"/>
          </w:divBdr>
          <w:divsChild>
            <w:div w:id="442577283">
              <w:marLeft w:val="0"/>
              <w:marRight w:val="0"/>
              <w:marTop w:val="0"/>
              <w:marBottom w:val="0"/>
              <w:divBdr>
                <w:top w:val="none" w:sz="0" w:space="0" w:color="auto"/>
                <w:left w:val="none" w:sz="0" w:space="0" w:color="auto"/>
                <w:bottom w:val="none" w:sz="0" w:space="0" w:color="auto"/>
                <w:right w:val="none" w:sz="0" w:space="0" w:color="auto"/>
              </w:divBdr>
              <w:divsChild>
                <w:div w:id="1264221620">
                  <w:marLeft w:val="0"/>
                  <w:marRight w:val="0"/>
                  <w:marTop w:val="0"/>
                  <w:marBottom w:val="0"/>
                  <w:divBdr>
                    <w:top w:val="single" w:sz="6" w:space="0" w:color="CCCCCC"/>
                    <w:left w:val="single" w:sz="6" w:space="0" w:color="CCCCCC"/>
                    <w:bottom w:val="single" w:sz="6" w:space="0" w:color="CCCCCC"/>
                    <w:right w:val="single" w:sz="6" w:space="0" w:color="CCCCCC"/>
                  </w:divBdr>
                  <w:divsChild>
                    <w:div w:id="1435898219">
                      <w:marLeft w:val="0"/>
                      <w:marRight w:val="0"/>
                      <w:marTop w:val="0"/>
                      <w:marBottom w:val="0"/>
                      <w:divBdr>
                        <w:top w:val="none" w:sz="0" w:space="0" w:color="auto"/>
                        <w:left w:val="none" w:sz="0" w:space="0" w:color="auto"/>
                        <w:bottom w:val="none" w:sz="0" w:space="0" w:color="auto"/>
                        <w:right w:val="none" w:sz="0" w:space="0" w:color="auto"/>
                      </w:divBdr>
                      <w:divsChild>
                        <w:div w:id="2133160910">
                          <w:marLeft w:val="0"/>
                          <w:marRight w:val="0"/>
                          <w:marTop w:val="0"/>
                          <w:marBottom w:val="0"/>
                          <w:divBdr>
                            <w:top w:val="none" w:sz="0" w:space="0" w:color="auto"/>
                            <w:left w:val="none" w:sz="0" w:space="0" w:color="auto"/>
                            <w:bottom w:val="none" w:sz="0" w:space="0" w:color="auto"/>
                            <w:right w:val="none" w:sz="0" w:space="0" w:color="auto"/>
                          </w:divBdr>
                          <w:divsChild>
                            <w:div w:id="1534995762">
                              <w:marLeft w:val="0"/>
                              <w:marRight w:val="0"/>
                              <w:marTop w:val="0"/>
                              <w:marBottom w:val="0"/>
                              <w:divBdr>
                                <w:top w:val="none" w:sz="0" w:space="0" w:color="auto"/>
                                <w:left w:val="none" w:sz="0" w:space="0" w:color="auto"/>
                                <w:bottom w:val="none" w:sz="0" w:space="0" w:color="auto"/>
                                <w:right w:val="none" w:sz="0" w:space="0" w:color="auto"/>
                              </w:divBdr>
                              <w:divsChild>
                                <w:div w:id="11451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87849">
      <w:bodyDiv w:val="1"/>
      <w:marLeft w:val="0"/>
      <w:marRight w:val="0"/>
      <w:marTop w:val="0"/>
      <w:marBottom w:val="0"/>
      <w:divBdr>
        <w:top w:val="none" w:sz="0" w:space="0" w:color="auto"/>
        <w:left w:val="none" w:sz="0" w:space="0" w:color="auto"/>
        <w:bottom w:val="none" w:sz="0" w:space="0" w:color="auto"/>
        <w:right w:val="none" w:sz="0" w:space="0" w:color="auto"/>
      </w:divBdr>
      <w:divsChild>
        <w:div w:id="2117556062">
          <w:marLeft w:val="0"/>
          <w:marRight w:val="0"/>
          <w:marTop w:val="0"/>
          <w:marBottom w:val="0"/>
          <w:divBdr>
            <w:top w:val="none" w:sz="0" w:space="0" w:color="auto"/>
            <w:left w:val="none" w:sz="0" w:space="0" w:color="auto"/>
            <w:bottom w:val="none" w:sz="0" w:space="0" w:color="auto"/>
            <w:right w:val="none" w:sz="0" w:space="0" w:color="auto"/>
          </w:divBdr>
          <w:divsChild>
            <w:div w:id="1925605623">
              <w:marLeft w:val="0"/>
              <w:marRight w:val="0"/>
              <w:marTop w:val="0"/>
              <w:marBottom w:val="0"/>
              <w:divBdr>
                <w:top w:val="none" w:sz="0" w:space="0" w:color="auto"/>
                <w:left w:val="none" w:sz="0" w:space="0" w:color="auto"/>
                <w:bottom w:val="none" w:sz="0" w:space="0" w:color="auto"/>
                <w:right w:val="none" w:sz="0" w:space="0" w:color="auto"/>
              </w:divBdr>
              <w:divsChild>
                <w:div w:id="525946131">
                  <w:marLeft w:val="0"/>
                  <w:marRight w:val="0"/>
                  <w:marTop w:val="0"/>
                  <w:marBottom w:val="0"/>
                  <w:divBdr>
                    <w:top w:val="single" w:sz="6" w:space="0" w:color="CCCCCC"/>
                    <w:left w:val="single" w:sz="6" w:space="0" w:color="CCCCCC"/>
                    <w:bottom w:val="single" w:sz="6" w:space="0" w:color="CCCCCC"/>
                    <w:right w:val="single" w:sz="6" w:space="0" w:color="CCCCCC"/>
                  </w:divBdr>
                  <w:divsChild>
                    <w:div w:id="1987396677">
                      <w:marLeft w:val="0"/>
                      <w:marRight w:val="0"/>
                      <w:marTop w:val="0"/>
                      <w:marBottom w:val="0"/>
                      <w:divBdr>
                        <w:top w:val="none" w:sz="0" w:space="0" w:color="auto"/>
                        <w:left w:val="none" w:sz="0" w:space="0" w:color="auto"/>
                        <w:bottom w:val="none" w:sz="0" w:space="0" w:color="auto"/>
                        <w:right w:val="none" w:sz="0" w:space="0" w:color="auto"/>
                      </w:divBdr>
                      <w:divsChild>
                        <w:div w:id="742528391">
                          <w:marLeft w:val="0"/>
                          <w:marRight w:val="0"/>
                          <w:marTop w:val="0"/>
                          <w:marBottom w:val="0"/>
                          <w:divBdr>
                            <w:top w:val="none" w:sz="0" w:space="0" w:color="auto"/>
                            <w:left w:val="none" w:sz="0" w:space="0" w:color="auto"/>
                            <w:bottom w:val="none" w:sz="0" w:space="0" w:color="auto"/>
                            <w:right w:val="none" w:sz="0" w:space="0" w:color="auto"/>
                          </w:divBdr>
                          <w:divsChild>
                            <w:div w:id="1733000292">
                              <w:marLeft w:val="0"/>
                              <w:marRight w:val="0"/>
                              <w:marTop w:val="0"/>
                              <w:marBottom w:val="0"/>
                              <w:divBdr>
                                <w:top w:val="none" w:sz="0" w:space="0" w:color="auto"/>
                                <w:left w:val="none" w:sz="0" w:space="0" w:color="auto"/>
                                <w:bottom w:val="none" w:sz="0" w:space="0" w:color="auto"/>
                                <w:right w:val="none" w:sz="0" w:space="0" w:color="auto"/>
                              </w:divBdr>
                              <w:divsChild>
                                <w:div w:id="8543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9696">
      <w:bodyDiv w:val="1"/>
      <w:marLeft w:val="0"/>
      <w:marRight w:val="0"/>
      <w:marTop w:val="0"/>
      <w:marBottom w:val="0"/>
      <w:divBdr>
        <w:top w:val="none" w:sz="0" w:space="0" w:color="auto"/>
        <w:left w:val="none" w:sz="0" w:space="0" w:color="auto"/>
        <w:bottom w:val="none" w:sz="0" w:space="0" w:color="auto"/>
        <w:right w:val="none" w:sz="0" w:space="0" w:color="auto"/>
      </w:divBdr>
      <w:divsChild>
        <w:div w:id="749817279">
          <w:marLeft w:val="0"/>
          <w:marRight w:val="0"/>
          <w:marTop w:val="0"/>
          <w:marBottom w:val="0"/>
          <w:divBdr>
            <w:top w:val="none" w:sz="0" w:space="0" w:color="auto"/>
            <w:left w:val="none" w:sz="0" w:space="0" w:color="auto"/>
            <w:bottom w:val="none" w:sz="0" w:space="0" w:color="auto"/>
            <w:right w:val="none" w:sz="0" w:space="0" w:color="auto"/>
          </w:divBdr>
          <w:divsChild>
            <w:div w:id="121198866">
              <w:marLeft w:val="0"/>
              <w:marRight w:val="0"/>
              <w:marTop w:val="0"/>
              <w:marBottom w:val="0"/>
              <w:divBdr>
                <w:top w:val="none" w:sz="0" w:space="0" w:color="auto"/>
                <w:left w:val="none" w:sz="0" w:space="0" w:color="auto"/>
                <w:bottom w:val="none" w:sz="0" w:space="0" w:color="auto"/>
                <w:right w:val="none" w:sz="0" w:space="0" w:color="auto"/>
              </w:divBdr>
              <w:divsChild>
                <w:div w:id="526452857">
                  <w:marLeft w:val="0"/>
                  <w:marRight w:val="0"/>
                  <w:marTop w:val="0"/>
                  <w:marBottom w:val="0"/>
                  <w:divBdr>
                    <w:top w:val="none" w:sz="0" w:space="0" w:color="auto"/>
                    <w:left w:val="none" w:sz="0" w:space="0" w:color="auto"/>
                    <w:bottom w:val="none" w:sz="0" w:space="0" w:color="auto"/>
                    <w:right w:val="none" w:sz="0" w:space="0" w:color="auto"/>
                  </w:divBdr>
                  <w:divsChild>
                    <w:div w:id="1204944907">
                      <w:marLeft w:val="0"/>
                      <w:marRight w:val="0"/>
                      <w:marTop w:val="0"/>
                      <w:marBottom w:val="0"/>
                      <w:divBdr>
                        <w:top w:val="none" w:sz="0" w:space="0" w:color="auto"/>
                        <w:left w:val="none" w:sz="0" w:space="0" w:color="auto"/>
                        <w:bottom w:val="none" w:sz="0" w:space="0" w:color="auto"/>
                        <w:right w:val="none" w:sz="0" w:space="0" w:color="auto"/>
                      </w:divBdr>
                      <w:divsChild>
                        <w:div w:id="2088116568">
                          <w:marLeft w:val="0"/>
                          <w:marRight w:val="0"/>
                          <w:marTop w:val="0"/>
                          <w:marBottom w:val="0"/>
                          <w:divBdr>
                            <w:top w:val="none" w:sz="0" w:space="0" w:color="auto"/>
                            <w:left w:val="none" w:sz="0" w:space="0" w:color="auto"/>
                            <w:bottom w:val="none" w:sz="0" w:space="0" w:color="auto"/>
                            <w:right w:val="none" w:sz="0" w:space="0" w:color="auto"/>
                          </w:divBdr>
                          <w:divsChild>
                            <w:div w:id="18470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573092">
      <w:bodyDiv w:val="1"/>
      <w:marLeft w:val="0"/>
      <w:marRight w:val="0"/>
      <w:marTop w:val="0"/>
      <w:marBottom w:val="0"/>
      <w:divBdr>
        <w:top w:val="none" w:sz="0" w:space="0" w:color="auto"/>
        <w:left w:val="none" w:sz="0" w:space="0" w:color="auto"/>
        <w:bottom w:val="none" w:sz="0" w:space="0" w:color="auto"/>
        <w:right w:val="none" w:sz="0" w:space="0" w:color="auto"/>
      </w:divBdr>
    </w:div>
    <w:div w:id="1236623728">
      <w:bodyDiv w:val="1"/>
      <w:marLeft w:val="0"/>
      <w:marRight w:val="0"/>
      <w:marTop w:val="0"/>
      <w:marBottom w:val="0"/>
      <w:divBdr>
        <w:top w:val="none" w:sz="0" w:space="0" w:color="auto"/>
        <w:left w:val="none" w:sz="0" w:space="0" w:color="auto"/>
        <w:bottom w:val="none" w:sz="0" w:space="0" w:color="auto"/>
        <w:right w:val="none" w:sz="0" w:space="0" w:color="auto"/>
      </w:divBdr>
      <w:divsChild>
        <w:div w:id="391777786">
          <w:marLeft w:val="0"/>
          <w:marRight w:val="0"/>
          <w:marTop w:val="0"/>
          <w:marBottom w:val="0"/>
          <w:divBdr>
            <w:top w:val="none" w:sz="0" w:space="0" w:color="auto"/>
            <w:left w:val="none" w:sz="0" w:space="0" w:color="auto"/>
            <w:bottom w:val="none" w:sz="0" w:space="0" w:color="auto"/>
            <w:right w:val="none" w:sz="0" w:space="0" w:color="auto"/>
          </w:divBdr>
          <w:divsChild>
            <w:div w:id="184707617">
              <w:marLeft w:val="0"/>
              <w:marRight w:val="0"/>
              <w:marTop w:val="0"/>
              <w:marBottom w:val="0"/>
              <w:divBdr>
                <w:top w:val="none" w:sz="0" w:space="0" w:color="auto"/>
                <w:left w:val="none" w:sz="0" w:space="0" w:color="auto"/>
                <w:bottom w:val="none" w:sz="0" w:space="0" w:color="auto"/>
                <w:right w:val="none" w:sz="0" w:space="0" w:color="auto"/>
              </w:divBdr>
              <w:divsChild>
                <w:div w:id="1070926639">
                  <w:marLeft w:val="0"/>
                  <w:marRight w:val="0"/>
                  <w:marTop w:val="0"/>
                  <w:marBottom w:val="0"/>
                  <w:divBdr>
                    <w:top w:val="single" w:sz="6" w:space="0" w:color="CCCCCC"/>
                    <w:left w:val="single" w:sz="6" w:space="0" w:color="CCCCCC"/>
                    <w:bottom w:val="single" w:sz="6" w:space="0" w:color="CCCCCC"/>
                    <w:right w:val="single" w:sz="6" w:space="0" w:color="CCCCCC"/>
                  </w:divBdr>
                  <w:divsChild>
                    <w:div w:id="2006273561">
                      <w:marLeft w:val="0"/>
                      <w:marRight w:val="0"/>
                      <w:marTop w:val="0"/>
                      <w:marBottom w:val="0"/>
                      <w:divBdr>
                        <w:top w:val="none" w:sz="0" w:space="0" w:color="auto"/>
                        <w:left w:val="none" w:sz="0" w:space="0" w:color="auto"/>
                        <w:bottom w:val="none" w:sz="0" w:space="0" w:color="auto"/>
                        <w:right w:val="none" w:sz="0" w:space="0" w:color="auto"/>
                      </w:divBdr>
                      <w:divsChild>
                        <w:div w:id="913316819">
                          <w:marLeft w:val="0"/>
                          <w:marRight w:val="0"/>
                          <w:marTop w:val="0"/>
                          <w:marBottom w:val="0"/>
                          <w:divBdr>
                            <w:top w:val="none" w:sz="0" w:space="0" w:color="auto"/>
                            <w:left w:val="none" w:sz="0" w:space="0" w:color="auto"/>
                            <w:bottom w:val="none" w:sz="0" w:space="0" w:color="auto"/>
                            <w:right w:val="none" w:sz="0" w:space="0" w:color="auto"/>
                          </w:divBdr>
                          <w:divsChild>
                            <w:div w:id="952244597">
                              <w:marLeft w:val="0"/>
                              <w:marRight w:val="0"/>
                              <w:marTop w:val="0"/>
                              <w:marBottom w:val="0"/>
                              <w:divBdr>
                                <w:top w:val="none" w:sz="0" w:space="0" w:color="auto"/>
                                <w:left w:val="none" w:sz="0" w:space="0" w:color="auto"/>
                                <w:bottom w:val="none" w:sz="0" w:space="0" w:color="auto"/>
                                <w:right w:val="none" w:sz="0" w:space="0" w:color="auto"/>
                              </w:divBdr>
                              <w:divsChild>
                                <w:div w:id="68066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160050">
      <w:bodyDiv w:val="1"/>
      <w:marLeft w:val="0"/>
      <w:marRight w:val="0"/>
      <w:marTop w:val="0"/>
      <w:marBottom w:val="0"/>
      <w:divBdr>
        <w:top w:val="none" w:sz="0" w:space="0" w:color="auto"/>
        <w:left w:val="none" w:sz="0" w:space="0" w:color="auto"/>
        <w:bottom w:val="none" w:sz="0" w:space="0" w:color="auto"/>
        <w:right w:val="none" w:sz="0" w:space="0" w:color="auto"/>
      </w:divBdr>
      <w:divsChild>
        <w:div w:id="298190296">
          <w:marLeft w:val="0"/>
          <w:marRight w:val="0"/>
          <w:marTop w:val="0"/>
          <w:marBottom w:val="0"/>
          <w:divBdr>
            <w:top w:val="none" w:sz="0" w:space="0" w:color="auto"/>
            <w:left w:val="none" w:sz="0" w:space="0" w:color="auto"/>
            <w:bottom w:val="none" w:sz="0" w:space="0" w:color="auto"/>
            <w:right w:val="none" w:sz="0" w:space="0" w:color="auto"/>
          </w:divBdr>
          <w:divsChild>
            <w:div w:id="1069035140">
              <w:marLeft w:val="0"/>
              <w:marRight w:val="0"/>
              <w:marTop w:val="0"/>
              <w:marBottom w:val="0"/>
              <w:divBdr>
                <w:top w:val="none" w:sz="0" w:space="0" w:color="auto"/>
                <w:left w:val="none" w:sz="0" w:space="0" w:color="auto"/>
                <w:bottom w:val="none" w:sz="0" w:space="0" w:color="auto"/>
                <w:right w:val="none" w:sz="0" w:space="0" w:color="auto"/>
              </w:divBdr>
              <w:divsChild>
                <w:div w:id="65567200">
                  <w:marLeft w:val="0"/>
                  <w:marRight w:val="0"/>
                  <w:marTop w:val="0"/>
                  <w:marBottom w:val="0"/>
                  <w:divBdr>
                    <w:top w:val="single" w:sz="6" w:space="0" w:color="CCCCCC"/>
                    <w:left w:val="single" w:sz="6" w:space="0" w:color="CCCCCC"/>
                    <w:bottom w:val="single" w:sz="6" w:space="0" w:color="CCCCCC"/>
                    <w:right w:val="single" w:sz="6" w:space="0" w:color="CCCCCC"/>
                  </w:divBdr>
                  <w:divsChild>
                    <w:div w:id="1024746186">
                      <w:marLeft w:val="0"/>
                      <w:marRight w:val="0"/>
                      <w:marTop w:val="0"/>
                      <w:marBottom w:val="0"/>
                      <w:divBdr>
                        <w:top w:val="none" w:sz="0" w:space="0" w:color="auto"/>
                        <w:left w:val="none" w:sz="0" w:space="0" w:color="auto"/>
                        <w:bottom w:val="none" w:sz="0" w:space="0" w:color="auto"/>
                        <w:right w:val="none" w:sz="0" w:space="0" w:color="auto"/>
                      </w:divBdr>
                      <w:divsChild>
                        <w:div w:id="89935966">
                          <w:marLeft w:val="0"/>
                          <w:marRight w:val="0"/>
                          <w:marTop w:val="0"/>
                          <w:marBottom w:val="0"/>
                          <w:divBdr>
                            <w:top w:val="none" w:sz="0" w:space="0" w:color="auto"/>
                            <w:left w:val="none" w:sz="0" w:space="0" w:color="auto"/>
                            <w:bottom w:val="none" w:sz="0" w:space="0" w:color="auto"/>
                            <w:right w:val="none" w:sz="0" w:space="0" w:color="auto"/>
                          </w:divBdr>
                          <w:divsChild>
                            <w:div w:id="480539993">
                              <w:marLeft w:val="0"/>
                              <w:marRight w:val="0"/>
                              <w:marTop w:val="0"/>
                              <w:marBottom w:val="0"/>
                              <w:divBdr>
                                <w:top w:val="none" w:sz="0" w:space="0" w:color="auto"/>
                                <w:left w:val="none" w:sz="0" w:space="0" w:color="auto"/>
                                <w:bottom w:val="none" w:sz="0" w:space="0" w:color="auto"/>
                                <w:right w:val="none" w:sz="0" w:space="0" w:color="auto"/>
                              </w:divBdr>
                              <w:divsChild>
                                <w:div w:id="7001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102287">
      <w:bodyDiv w:val="1"/>
      <w:marLeft w:val="0"/>
      <w:marRight w:val="0"/>
      <w:marTop w:val="0"/>
      <w:marBottom w:val="0"/>
      <w:divBdr>
        <w:top w:val="none" w:sz="0" w:space="0" w:color="auto"/>
        <w:left w:val="none" w:sz="0" w:space="0" w:color="auto"/>
        <w:bottom w:val="none" w:sz="0" w:space="0" w:color="auto"/>
        <w:right w:val="none" w:sz="0" w:space="0" w:color="auto"/>
      </w:divBdr>
      <w:divsChild>
        <w:div w:id="925069242">
          <w:marLeft w:val="0"/>
          <w:marRight w:val="0"/>
          <w:marTop w:val="0"/>
          <w:marBottom w:val="0"/>
          <w:divBdr>
            <w:top w:val="none" w:sz="0" w:space="0" w:color="auto"/>
            <w:left w:val="none" w:sz="0" w:space="0" w:color="auto"/>
            <w:bottom w:val="none" w:sz="0" w:space="0" w:color="auto"/>
            <w:right w:val="none" w:sz="0" w:space="0" w:color="auto"/>
          </w:divBdr>
          <w:divsChild>
            <w:div w:id="1198082478">
              <w:marLeft w:val="0"/>
              <w:marRight w:val="0"/>
              <w:marTop w:val="0"/>
              <w:marBottom w:val="0"/>
              <w:divBdr>
                <w:top w:val="none" w:sz="0" w:space="0" w:color="auto"/>
                <w:left w:val="none" w:sz="0" w:space="0" w:color="auto"/>
                <w:bottom w:val="none" w:sz="0" w:space="0" w:color="auto"/>
                <w:right w:val="none" w:sz="0" w:space="0" w:color="auto"/>
              </w:divBdr>
              <w:divsChild>
                <w:div w:id="651829866">
                  <w:marLeft w:val="0"/>
                  <w:marRight w:val="0"/>
                  <w:marTop w:val="0"/>
                  <w:marBottom w:val="0"/>
                  <w:divBdr>
                    <w:top w:val="single" w:sz="6" w:space="0" w:color="CCCCCC"/>
                    <w:left w:val="single" w:sz="6" w:space="0" w:color="CCCCCC"/>
                    <w:bottom w:val="single" w:sz="6" w:space="0" w:color="CCCCCC"/>
                    <w:right w:val="single" w:sz="6" w:space="0" w:color="CCCCCC"/>
                  </w:divBdr>
                  <w:divsChild>
                    <w:div w:id="825244987">
                      <w:marLeft w:val="0"/>
                      <w:marRight w:val="0"/>
                      <w:marTop w:val="0"/>
                      <w:marBottom w:val="0"/>
                      <w:divBdr>
                        <w:top w:val="none" w:sz="0" w:space="0" w:color="auto"/>
                        <w:left w:val="none" w:sz="0" w:space="0" w:color="auto"/>
                        <w:bottom w:val="none" w:sz="0" w:space="0" w:color="auto"/>
                        <w:right w:val="none" w:sz="0" w:space="0" w:color="auto"/>
                      </w:divBdr>
                      <w:divsChild>
                        <w:div w:id="970983719">
                          <w:marLeft w:val="0"/>
                          <w:marRight w:val="0"/>
                          <w:marTop w:val="0"/>
                          <w:marBottom w:val="0"/>
                          <w:divBdr>
                            <w:top w:val="none" w:sz="0" w:space="0" w:color="auto"/>
                            <w:left w:val="none" w:sz="0" w:space="0" w:color="auto"/>
                            <w:bottom w:val="none" w:sz="0" w:space="0" w:color="auto"/>
                            <w:right w:val="none" w:sz="0" w:space="0" w:color="auto"/>
                          </w:divBdr>
                          <w:divsChild>
                            <w:div w:id="855382199">
                              <w:marLeft w:val="0"/>
                              <w:marRight w:val="0"/>
                              <w:marTop w:val="0"/>
                              <w:marBottom w:val="0"/>
                              <w:divBdr>
                                <w:top w:val="none" w:sz="0" w:space="0" w:color="auto"/>
                                <w:left w:val="none" w:sz="0" w:space="0" w:color="auto"/>
                                <w:bottom w:val="none" w:sz="0" w:space="0" w:color="auto"/>
                                <w:right w:val="none" w:sz="0" w:space="0" w:color="auto"/>
                              </w:divBdr>
                              <w:divsChild>
                                <w:div w:id="174459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318976">
      <w:bodyDiv w:val="1"/>
      <w:marLeft w:val="0"/>
      <w:marRight w:val="0"/>
      <w:marTop w:val="0"/>
      <w:marBottom w:val="0"/>
      <w:divBdr>
        <w:top w:val="none" w:sz="0" w:space="0" w:color="auto"/>
        <w:left w:val="none" w:sz="0" w:space="0" w:color="auto"/>
        <w:bottom w:val="none" w:sz="0" w:space="0" w:color="auto"/>
        <w:right w:val="none" w:sz="0" w:space="0" w:color="auto"/>
      </w:divBdr>
      <w:divsChild>
        <w:div w:id="448161568">
          <w:marLeft w:val="0"/>
          <w:marRight w:val="0"/>
          <w:marTop w:val="0"/>
          <w:marBottom w:val="0"/>
          <w:divBdr>
            <w:top w:val="none" w:sz="0" w:space="0" w:color="auto"/>
            <w:left w:val="none" w:sz="0" w:space="0" w:color="auto"/>
            <w:bottom w:val="none" w:sz="0" w:space="0" w:color="auto"/>
            <w:right w:val="none" w:sz="0" w:space="0" w:color="auto"/>
          </w:divBdr>
          <w:divsChild>
            <w:div w:id="711998749">
              <w:marLeft w:val="0"/>
              <w:marRight w:val="0"/>
              <w:marTop w:val="0"/>
              <w:marBottom w:val="0"/>
              <w:divBdr>
                <w:top w:val="none" w:sz="0" w:space="0" w:color="auto"/>
                <w:left w:val="none" w:sz="0" w:space="0" w:color="auto"/>
                <w:bottom w:val="none" w:sz="0" w:space="0" w:color="auto"/>
                <w:right w:val="none" w:sz="0" w:space="0" w:color="auto"/>
              </w:divBdr>
              <w:divsChild>
                <w:div w:id="2042626052">
                  <w:marLeft w:val="0"/>
                  <w:marRight w:val="0"/>
                  <w:marTop w:val="0"/>
                  <w:marBottom w:val="0"/>
                  <w:divBdr>
                    <w:top w:val="single" w:sz="6" w:space="0" w:color="CCCCCC"/>
                    <w:left w:val="single" w:sz="6" w:space="0" w:color="CCCCCC"/>
                    <w:bottom w:val="single" w:sz="6" w:space="0" w:color="CCCCCC"/>
                    <w:right w:val="single" w:sz="6" w:space="0" w:color="CCCCCC"/>
                  </w:divBdr>
                  <w:divsChild>
                    <w:div w:id="31804308">
                      <w:marLeft w:val="0"/>
                      <w:marRight w:val="0"/>
                      <w:marTop w:val="0"/>
                      <w:marBottom w:val="0"/>
                      <w:divBdr>
                        <w:top w:val="none" w:sz="0" w:space="0" w:color="auto"/>
                        <w:left w:val="none" w:sz="0" w:space="0" w:color="auto"/>
                        <w:bottom w:val="none" w:sz="0" w:space="0" w:color="auto"/>
                        <w:right w:val="none" w:sz="0" w:space="0" w:color="auto"/>
                      </w:divBdr>
                      <w:divsChild>
                        <w:div w:id="1345131721">
                          <w:marLeft w:val="0"/>
                          <w:marRight w:val="0"/>
                          <w:marTop w:val="0"/>
                          <w:marBottom w:val="0"/>
                          <w:divBdr>
                            <w:top w:val="none" w:sz="0" w:space="0" w:color="auto"/>
                            <w:left w:val="none" w:sz="0" w:space="0" w:color="auto"/>
                            <w:bottom w:val="none" w:sz="0" w:space="0" w:color="auto"/>
                            <w:right w:val="none" w:sz="0" w:space="0" w:color="auto"/>
                          </w:divBdr>
                          <w:divsChild>
                            <w:div w:id="1330061566">
                              <w:marLeft w:val="0"/>
                              <w:marRight w:val="0"/>
                              <w:marTop w:val="0"/>
                              <w:marBottom w:val="0"/>
                              <w:divBdr>
                                <w:top w:val="none" w:sz="0" w:space="0" w:color="auto"/>
                                <w:left w:val="none" w:sz="0" w:space="0" w:color="auto"/>
                                <w:bottom w:val="none" w:sz="0" w:space="0" w:color="auto"/>
                                <w:right w:val="none" w:sz="0" w:space="0" w:color="auto"/>
                              </w:divBdr>
                              <w:divsChild>
                                <w:div w:id="9867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251593">
      <w:bodyDiv w:val="1"/>
      <w:marLeft w:val="0"/>
      <w:marRight w:val="0"/>
      <w:marTop w:val="0"/>
      <w:marBottom w:val="0"/>
      <w:divBdr>
        <w:top w:val="none" w:sz="0" w:space="0" w:color="auto"/>
        <w:left w:val="none" w:sz="0" w:space="0" w:color="auto"/>
        <w:bottom w:val="none" w:sz="0" w:space="0" w:color="auto"/>
        <w:right w:val="none" w:sz="0" w:space="0" w:color="auto"/>
      </w:divBdr>
      <w:divsChild>
        <w:div w:id="1895506638">
          <w:marLeft w:val="0"/>
          <w:marRight w:val="0"/>
          <w:marTop w:val="0"/>
          <w:marBottom w:val="0"/>
          <w:divBdr>
            <w:top w:val="none" w:sz="0" w:space="0" w:color="auto"/>
            <w:left w:val="none" w:sz="0" w:space="0" w:color="auto"/>
            <w:bottom w:val="none" w:sz="0" w:space="0" w:color="auto"/>
            <w:right w:val="none" w:sz="0" w:space="0" w:color="auto"/>
          </w:divBdr>
          <w:divsChild>
            <w:div w:id="920260635">
              <w:marLeft w:val="0"/>
              <w:marRight w:val="0"/>
              <w:marTop w:val="0"/>
              <w:marBottom w:val="0"/>
              <w:divBdr>
                <w:top w:val="none" w:sz="0" w:space="0" w:color="auto"/>
                <w:left w:val="none" w:sz="0" w:space="0" w:color="auto"/>
                <w:bottom w:val="none" w:sz="0" w:space="0" w:color="auto"/>
                <w:right w:val="none" w:sz="0" w:space="0" w:color="auto"/>
              </w:divBdr>
              <w:divsChild>
                <w:div w:id="409887969">
                  <w:marLeft w:val="0"/>
                  <w:marRight w:val="0"/>
                  <w:marTop w:val="0"/>
                  <w:marBottom w:val="0"/>
                  <w:divBdr>
                    <w:top w:val="single" w:sz="6" w:space="0" w:color="CCCCCC"/>
                    <w:left w:val="single" w:sz="6" w:space="0" w:color="CCCCCC"/>
                    <w:bottom w:val="single" w:sz="6" w:space="0" w:color="CCCCCC"/>
                    <w:right w:val="single" w:sz="6" w:space="0" w:color="CCCCCC"/>
                  </w:divBdr>
                  <w:divsChild>
                    <w:div w:id="1170293288">
                      <w:marLeft w:val="0"/>
                      <w:marRight w:val="0"/>
                      <w:marTop w:val="0"/>
                      <w:marBottom w:val="0"/>
                      <w:divBdr>
                        <w:top w:val="none" w:sz="0" w:space="0" w:color="auto"/>
                        <w:left w:val="none" w:sz="0" w:space="0" w:color="auto"/>
                        <w:bottom w:val="none" w:sz="0" w:space="0" w:color="auto"/>
                        <w:right w:val="none" w:sz="0" w:space="0" w:color="auto"/>
                      </w:divBdr>
                      <w:divsChild>
                        <w:div w:id="1508010664">
                          <w:marLeft w:val="0"/>
                          <w:marRight w:val="0"/>
                          <w:marTop w:val="0"/>
                          <w:marBottom w:val="0"/>
                          <w:divBdr>
                            <w:top w:val="none" w:sz="0" w:space="0" w:color="auto"/>
                            <w:left w:val="none" w:sz="0" w:space="0" w:color="auto"/>
                            <w:bottom w:val="none" w:sz="0" w:space="0" w:color="auto"/>
                            <w:right w:val="none" w:sz="0" w:space="0" w:color="auto"/>
                          </w:divBdr>
                          <w:divsChild>
                            <w:div w:id="1338969295">
                              <w:marLeft w:val="0"/>
                              <w:marRight w:val="0"/>
                              <w:marTop w:val="0"/>
                              <w:marBottom w:val="0"/>
                              <w:divBdr>
                                <w:top w:val="none" w:sz="0" w:space="0" w:color="auto"/>
                                <w:left w:val="none" w:sz="0" w:space="0" w:color="auto"/>
                                <w:bottom w:val="none" w:sz="0" w:space="0" w:color="auto"/>
                                <w:right w:val="none" w:sz="0" w:space="0" w:color="auto"/>
                              </w:divBdr>
                              <w:divsChild>
                                <w:div w:id="15127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348392">
      <w:bodyDiv w:val="1"/>
      <w:marLeft w:val="0"/>
      <w:marRight w:val="0"/>
      <w:marTop w:val="0"/>
      <w:marBottom w:val="0"/>
      <w:divBdr>
        <w:top w:val="none" w:sz="0" w:space="0" w:color="auto"/>
        <w:left w:val="none" w:sz="0" w:space="0" w:color="auto"/>
        <w:bottom w:val="none" w:sz="0" w:space="0" w:color="auto"/>
        <w:right w:val="none" w:sz="0" w:space="0" w:color="auto"/>
      </w:divBdr>
      <w:divsChild>
        <w:div w:id="2145191228">
          <w:marLeft w:val="0"/>
          <w:marRight w:val="0"/>
          <w:marTop w:val="0"/>
          <w:marBottom w:val="0"/>
          <w:divBdr>
            <w:top w:val="none" w:sz="0" w:space="0" w:color="auto"/>
            <w:left w:val="none" w:sz="0" w:space="0" w:color="auto"/>
            <w:bottom w:val="none" w:sz="0" w:space="0" w:color="auto"/>
            <w:right w:val="none" w:sz="0" w:space="0" w:color="auto"/>
          </w:divBdr>
          <w:divsChild>
            <w:div w:id="912935731">
              <w:marLeft w:val="0"/>
              <w:marRight w:val="0"/>
              <w:marTop w:val="0"/>
              <w:marBottom w:val="0"/>
              <w:divBdr>
                <w:top w:val="none" w:sz="0" w:space="0" w:color="auto"/>
                <w:left w:val="none" w:sz="0" w:space="0" w:color="auto"/>
                <w:bottom w:val="none" w:sz="0" w:space="0" w:color="auto"/>
                <w:right w:val="none" w:sz="0" w:space="0" w:color="auto"/>
              </w:divBdr>
              <w:divsChild>
                <w:div w:id="1298409910">
                  <w:marLeft w:val="0"/>
                  <w:marRight w:val="0"/>
                  <w:marTop w:val="0"/>
                  <w:marBottom w:val="0"/>
                  <w:divBdr>
                    <w:top w:val="single" w:sz="6" w:space="0" w:color="CCCCCC"/>
                    <w:left w:val="single" w:sz="6" w:space="0" w:color="CCCCCC"/>
                    <w:bottom w:val="single" w:sz="6" w:space="0" w:color="CCCCCC"/>
                    <w:right w:val="single" w:sz="6" w:space="0" w:color="CCCCCC"/>
                  </w:divBdr>
                  <w:divsChild>
                    <w:div w:id="1447695126">
                      <w:marLeft w:val="0"/>
                      <w:marRight w:val="0"/>
                      <w:marTop w:val="0"/>
                      <w:marBottom w:val="0"/>
                      <w:divBdr>
                        <w:top w:val="none" w:sz="0" w:space="0" w:color="auto"/>
                        <w:left w:val="none" w:sz="0" w:space="0" w:color="auto"/>
                        <w:bottom w:val="none" w:sz="0" w:space="0" w:color="auto"/>
                        <w:right w:val="none" w:sz="0" w:space="0" w:color="auto"/>
                      </w:divBdr>
                      <w:divsChild>
                        <w:div w:id="1384984665">
                          <w:marLeft w:val="0"/>
                          <w:marRight w:val="0"/>
                          <w:marTop w:val="0"/>
                          <w:marBottom w:val="0"/>
                          <w:divBdr>
                            <w:top w:val="none" w:sz="0" w:space="0" w:color="auto"/>
                            <w:left w:val="none" w:sz="0" w:space="0" w:color="auto"/>
                            <w:bottom w:val="none" w:sz="0" w:space="0" w:color="auto"/>
                            <w:right w:val="none" w:sz="0" w:space="0" w:color="auto"/>
                          </w:divBdr>
                          <w:divsChild>
                            <w:div w:id="598217491">
                              <w:marLeft w:val="0"/>
                              <w:marRight w:val="0"/>
                              <w:marTop w:val="0"/>
                              <w:marBottom w:val="0"/>
                              <w:divBdr>
                                <w:top w:val="none" w:sz="0" w:space="0" w:color="auto"/>
                                <w:left w:val="none" w:sz="0" w:space="0" w:color="auto"/>
                                <w:bottom w:val="none" w:sz="0" w:space="0" w:color="auto"/>
                                <w:right w:val="none" w:sz="0" w:space="0" w:color="auto"/>
                              </w:divBdr>
                              <w:divsChild>
                                <w:div w:id="162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48178">
      <w:bodyDiv w:val="1"/>
      <w:marLeft w:val="0"/>
      <w:marRight w:val="0"/>
      <w:marTop w:val="0"/>
      <w:marBottom w:val="0"/>
      <w:divBdr>
        <w:top w:val="none" w:sz="0" w:space="0" w:color="auto"/>
        <w:left w:val="none" w:sz="0" w:space="0" w:color="auto"/>
        <w:bottom w:val="none" w:sz="0" w:space="0" w:color="auto"/>
        <w:right w:val="none" w:sz="0" w:space="0" w:color="auto"/>
      </w:divBdr>
      <w:divsChild>
        <w:div w:id="278420869">
          <w:marLeft w:val="0"/>
          <w:marRight w:val="0"/>
          <w:marTop w:val="0"/>
          <w:marBottom w:val="0"/>
          <w:divBdr>
            <w:top w:val="none" w:sz="0" w:space="0" w:color="auto"/>
            <w:left w:val="none" w:sz="0" w:space="0" w:color="auto"/>
            <w:bottom w:val="none" w:sz="0" w:space="0" w:color="auto"/>
            <w:right w:val="none" w:sz="0" w:space="0" w:color="auto"/>
          </w:divBdr>
          <w:divsChild>
            <w:div w:id="1845048291">
              <w:marLeft w:val="0"/>
              <w:marRight w:val="0"/>
              <w:marTop w:val="0"/>
              <w:marBottom w:val="0"/>
              <w:divBdr>
                <w:top w:val="none" w:sz="0" w:space="0" w:color="auto"/>
                <w:left w:val="none" w:sz="0" w:space="0" w:color="auto"/>
                <w:bottom w:val="none" w:sz="0" w:space="0" w:color="auto"/>
                <w:right w:val="none" w:sz="0" w:space="0" w:color="auto"/>
              </w:divBdr>
              <w:divsChild>
                <w:div w:id="1031687596">
                  <w:marLeft w:val="0"/>
                  <w:marRight w:val="0"/>
                  <w:marTop w:val="0"/>
                  <w:marBottom w:val="0"/>
                  <w:divBdr>
                    <w:top w:val="none" w:sz="0" w:space="0" w:color="auto"/>
                    <w:left w:val="none" w:sz="0" w:space="0" w:color="auto"/>
                    <w:bottom w:val="none" w:sz="0" w:space="0" w:color="auto"/>
                    <w:right w:val="none" w:sz="0" w:space="0" w:color="auto"/>
                  </w:divBdr>
                  <w:divsChild>
                    <w:div w:id="154079081">
                      <w:marLeft w:val="0"/>
                      <w:marRight w:val="0"/>
                      <w:marTop w:val="0"/>
                      <w:marBottom w:val="0"/>
                      <w:divBdr>
                        <w:top w:val="none" w:sz="0" w:space="0" w:color="auto"/>
                        <w:left w:val="none" w:sz="0" w:space="0" w:color="auto"/>
                        <w:bottom w:val="none" w:sz="0" w:space="0" w:color="auto"/>
                        <w:right w:val="none" w:sz="0" w:space="0" w:color="auto"/>
                      </w:divBdr>
                      <w:divsChild>
                        <w:div w:id="748037466">
                          <w:marLeft w:val="0"/>
                          <w:marRight w:val="0"/>
                          <w:marTop w:val="0"/>
                          <w:marBottom w:val="0"/>
                          <w:divBdr>
                            <w:top w:val="none" w:sz="0" w:space="0" w:color="auto"/>
                            <w:left w:val="none" w:sz="0" w:space="0" w:color="auto"/>
                            <w:bottom w:val="none" w:sz="0" w:space="0" w:color="auto"/>
                            <w:right w:val="none" w:sz="0" w:space="0" w:color="auto"/>
                          </w:divBdr>
                          <w:divsChild>
                            <w:div w:id="5542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15907">
      <w:bodyDiv w:val="1"/>
      <w:marLeft w:val="0"/>
      <w:marRight w:val="0"/>
      <w:marTop w:val="0"/>
      <w:marBottom w:val="0"/>
      <w:divBdr>
        <w:top w:val="none" w:sz="0" w:space="0" w:color="auto"/>
        <w:left w:val="none" w:sz="0" w:space="0" w:color="auto"/>
        <w:bottom w:val="none" w:sz="0" w:space="0" w:color="auto"/>
        <w:right w:val="none" w:sz="0" w:space="0" w:color="auto"/>
      </w:divBdr>
      <w:divsChild>
        <w:div w:id="1497918433">
          <w:marLeft w:val="0"/>
          <w:marRight w:val="0"/>
          <w:marTop w:val="0"/>
          <w:marBottom w:val="0"/>
          <w:divBdr>
            <w:top w:val="none" w:sz="0" w:space="0" w:color="auto"/>
            <w:left w:val="none" w:sz="0" w:space="0" w:color="auto"/>
            <w:bottom w:val="none" w:sz="0" w:space="0" w:color="auto"/>
            <w:right w:val="none" w:sz="0" w:space="0" w:color="auto"/>
          </w:divBdr>
          <w:divsChild>
            <w:div w:id="2025546945">
              <w:marLeft w:val="0"/>
              <w:marRight w:val="0"/>
              <w:marTop w:val="0"/>
              <w:marBottom w:val="0"/>
              <w:divBdr>
                <w:top w:val="none" w:sz="0" w:space="0" w:color="auto"/>
                <w:left w:val="none" w:sz="0" w:space="0" w:color="auto"/>
                <w:bottom w:val="none" w:sz="0" w:space="0" w:color="auto"/>
                <w:right w:val="none" w:sz="0" w:space="0" w:color="auto"/>
              </w:divBdr>
              <w:divsChild>
                <w:div w:id="594946110">
                  <w:marLeft w:val="0"/>
                  <w:marRight w:val="0"/>
                  <w:marTop w:val="0"/>
                  <w:marBottom w:val="0"/>
                  <w:divBdr>
                    <w:top w:val="single" w:sz="6" w:space="0" w:color="CCCCCC"/>
                    <w:left w:val="single" w:sz="6" w:space="0" w:color="CCCCCC"/>
                    <w:bottom w:val="single" w:sz="6" w:space="0" w:color="CCCCCC"/>
                    <w:right w:val="single" w:sz="6" w:space="0" w:color="CCCCCC"/>
                  </w:divBdr>
                  <w:divsChild>
                    <w:div w:id="1944338521">
                      <w:marLeft w:val="0"/>
                      <w:marRight w:val="0"/>
                      <w:marTop w:val="0"/>
                      <w:marBottom w:val="0"/>
                      <w:divBdr>
                        <w:top w:val="none" w:sz="0" w:space="0" w:color="auto"/>
                        <w:left w:val="none" w:sz="0" w:space="0" w:color="auto"/>
                        <w:bottom w:val="none" w:sz="0" w:space="0" w:color="auto"/>
                        <w:right w:val="none" w:sz="0" w:space="0" w:color="auto"/>
                      </w:divBdr>
                      <w:divsChild>
                        <w:div w:id="652485914">
                          <w:marLeft w:val="0"/>
                          <w:marRight w:val="0"/>
                          <w:marTop w:val="0"/>
                          <w:marBottom w:val="0"/>
                          <w:divBdr>
                            <w:top w:val="none" w:sz="0" w:space="0" w:color="auto"/>
                            <w:left w:val="none" w:sz="0" w:space="0" w:color="auto"/>
                            <w:bottom w:val="none" w:sz="0" w:space="0" w:color="auto"/>
                            <w:right w:val="none" w:sz="0" w:space="0" w:color="auto"/>
                          </w:divBdr>
                          <w:divsChild>
                            <w:div w:id="1531526986">
                              <w:marLeft w:val="0"/>
                              <w:marRight w:val="0"/>
                              <w:marTop w:val="0"/>
                              <w:marBottom w:val="0"/>
                              <w:divBdr>
                                <w:top w:val="none" w:sz="0" w:space="0" w:color="auto"/>
                                <w:left w:val="none" w:sz="0" w:space="0" w:color="auto"/>
                                <w:bottom w:val="none" w:sz="0" w:space="0" w:color="auto"/>
                                <w:right w:val="none" w:sz="0" w:space="0" w:color="auto"/>
                              </w:divBdr>
                              <w:divsChild>
                                <w:div w:id="98855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4802">
      <w:bodyDiv w:val="1"/>
      <w:marLeft w:val="0"/>
      <w:marRight w:val="0"/>
      <w:marTop w:val="0"/>
      <w:marBottom w:val="0"/>
      <w:divBdr>
        <w:top w:val="none" w:sz="0" w:space="0" w:color="auto"/>
        <w:left w:val="none" w:sz="0" w:space="0" w:color="auto"/>
        <w:bottom w:val="none" w:sz="0" w:space="0" w:color="auto"/>
        <w:right w:val="none" w:sz="0" w:space="0" w:color="auto"/>
      </w:divBdr>
      <w:divsChild>
        <w:div w:id="1480726762">
          <w:marLeft w:val="0"/>
          <w:marRight w:val="0"/>
          <w:marTop w:val="0"/>
          <w:marBottom w:val="0"/>
          <w:divBdr>
            <w:top w:val="none" w:sz="0" w:space="0" w:color="auto"/>
            <w:left w:val="none" w:sz="0" w:space="0" w:color="auto"/>
            <w:bottom w:val="none" w:sz="0" w:space="0" w:color="auto"/>
            <w:right w:val="none" w:sz="0" w:space="0" w:color="auto"/>
          </w:divBdr>
          <w:divsChild>
            <w:div w:id="1286616964">
              <w:marLeft w:val="0"/>
              <w:marRight w:val="0"/>
              <w:marTop w:val="0"/>
              <w:marBottom w:val="0"/>
              <w:divBdr>
                <w:top w:val="none" w:sz="0" w:space="0" w:color="auto"/>
                <w:left w:val="none" w:sz="0" w:space="0" w:color="auto"/>
                <w:bottom w:val="none" w:sz="0" w:space="0" w:color="auto"/>
                <w:right w:val="none" w:sz="0" w:space="0" w:color="auto"/>
              </w:divBdr>
              <w:divsChild>
                <w:div w:id="460734540">
                  <w:marLeft w:val="0"/>
                  <w:marRight w:val="0"/>
                  <w:marTop w:val="0"/>
                  <w:marBottom w:val="0"/>
                  <w:divBdr>
                    <w:top w:val="none" w:sz="0" w:space="0" w:color="auto"/>
                    <w:left w:val="none" w:sz="0" w:space="0" w:color="auto"/>
                    <w:bottom w:val="none" w:sz="0" w:space="0" w:color="auto"/>
                    <w:right w:val="none" w:sz="0" w:space="0" w:color="auto"/>
                  </w:divBdr>
                  <w:divsChild>
                    <w:div w:id="459499194">
                      <w:marLeft w:val="0"/>
                      <w:marRight w:val="0"/>
                      <w:marTop w:val="0"/>
                      <w:marBottom w:val="0"/>
                      <w:divBdr>
                        <w:top w:val="none" w:sz="0" w:space="0" w:color="auto"/>
                        <w:left w:val="none" w:sz="0" w:space="0" w:color="auto"/>
                        <w:bottom w:val="none" w:sz="0" w:space="0" w:color="auto"/>
                        <w:right w:val="none" w:sz="0" w:space="0" w:color="auto"/>
                      </w:divBdr>
                      <w:divsChild>
                        <w:div w:id="133564527">
                          <w:marLeft w:val="0"/>
                          <w:marRight w:val="0"/>
                          <w:marTop w:val="0"/>
                          <w:marBottom w:val="0"/>
                          <w:divBdr>
                            <w:top w:val="none" w:sz="0" w:space="0" w:color="auto"/>
                            <w:left w:val="none" w:sz="0" w:space="0" w:color="auto"/>
                            <w:bottom w:val="none" w:sz="0" w:space="0" w:color="auto"/>
                            <w:right w:val="none" w:sz="0" w:space="0" w:color="auto"/>
                          </w:divBdr>
                          <w:divsChild>
                            <w:div w:id="3309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74890">
      <w:bodyDiv w:val="1"/>
      <w:marLeft w:val="0"/>
      <w:marRight w:val="0"/>
      <w:marTop w:val="0"/>
      <w:marBottom w:val="0"/>
      <w:divBdr>
        <w:top w:val="none" w:sz="0" w:space="0" w:color="auto"/>
        <w:left w:val="none" w:sz="0" w:space="0" w:color="auto"/>
        <w:bottom w:val="none" w:sz="0" w:space="0" w:color="auto"/>
        <w:right w:val="none" w:sz="0" w:space="0" w:color="auto"/>
      </w:divBdr>
      <w:divsChild>
        <w:div w:id="7876293">
          <w:marLeft w:val="0"/>
          <w:marRight w:val="0"/>
          <w:marTop w:val="0"/>
          <w:marBottom w:val="0"/>
          <w:divBdr>
            <w:top w:val="none" w:sz="0" w:space="0" w:color="auto"/>
            <w:left w:val="none" w:sz="0" w:space="0" w:color="auto"/>
            <w:bottom w:val="none" w:sz="0" w:space="0" w:color="auto"/>
            <w:right w:val="none" w:sz="0" w:space="0" w:color="auto"/>
          </w:divBdr>
          <w:divsChild>
            <w:div w:id="1986885677">
              <w:marLeft w:val="0"/>
              <w:marRight w:val="0"/>
              <w:marTop w:val="0"/>
              <w:marBottom w:val="0"/>
              <w:divBdr>
                <w:top w:val="none" w:sz="0" w:space="0" w:color="auto"/>
                <w:left w:val="none" w:sz="0" w:space="0" w:color="auto"/>
                <w:bottom w:val="none" w:sz="0" w:space="0" w:color="auto"/>
                <w:right w:val="none" w:sz="0" w:space="0" w:color="auto"/>
              </w:divBdr>
              <w:divsChild>
                <w:div w:id="424041244">
                  <w:marLeft w:val="0"/>
                  <w:marRight w:val="0"/>
                  <w:marTop w:val="0"/>
                  <w:marBottom w:val="0"/>
                  <w:divBdr>
                    <w:top w:val="none" w:sz="0" w:space="0" w:color="auto"/>
                    <w:left w:val="none" w:sz="0" w:space="0" w:color="auto"/>
                    <w:bottom w:val="none" w:sz="0" w:space="0" w:color="auto"/>
                    <w:right w:val="none" w:sz="0" w:space="0" w:color="auto"/>
                  </w:divBdr>
                  <w:divsChild>
                    <w:div w:id="765925455">
                      <w:marLeft w:val="0"/>
                      <w:marRight w:val="0"/>
                      <w:marTop w:val="0"/>
                      <w:marBottom w:val="0"/>
                      <w:divBdr>
                        <w:top w:val="none" w:sz="0" w:space="0" w:color="auto"/>
                        <w:left w:val="none" w:sz="0" w:space="0" w:color="auto"/>
                        <w:bottom w:val="none" w:sz="0" w:space="0" w:color="auto"/>
                        <w:right w:val="none" w:sz="0" w:space="0" w:color="auto"/>
                      </w:divBdr>
                      <w:divsChild>
                        <w:div w:id="1755515325">
                          <w:marLeft w:val="0"/>
                          <w:marRight w:val="0"/>
                          <w:marTop w:val="0"/>
                          <w:marBottom w:val="0"/>
                          <w:divBdr>
                            <w:top w:val="none" w:sz="0" w:space="0" w:color="auto"/>
                            <w:left w:val="none" w:sz="0" w:space="0" w:color="auto"/>
                            <w:bottom w:val="none" w:sz="0" w:space="0" w:color="auto"/>
                            <w:right w:val="none" w:sz="0" w:space="0" w:color="auto"/>
                          </w:divBdr>
                          <w:divsChild>
                            <w:div w:id="722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490957">
      <w:bodyDiv w:val="1"/>
      <w:marLeft w:val="0"/>
      <w:marRight w:val="0"/>
      <w:marTop w:val="0"/>
      <w:marBottom w:val="0"/>
      <w:divBdr>
        <w:top w:val="none" w:sz="0" w:space="0" w:color="auto"/>
        <w:left w:val="none" w:sz="0" w:space="0" w:color="auto"/>
        <w:bottom w:val="none" w:sz="0" w:space="0" w:color="auto"/>
        <w:right w:val="none" w:sz="0" w:space="0" w:color="auto"/>
      </w:divBdr>
      <w:divsChild>
        <w:div w:id="1157965222">
          <w:marLeft w:val="0"/>
          <w:marRight w:val="0"/>
          <w:marTop w:val="0"/>
          <w:marBottom w:val="0"/>
          <w:divBdr>
            <w:top w:val="none" w:sz="0" w:space="0" w:color="auto"/>
            <w:left w:val="none" w:sz="0" w:space="0" w:color="auto"/>
            <w:bottom w:val="none" w:sz="0" w:space="0" w:color="auto"/>
            <w:right w:val="none" w:sz="0" w:space="0" w:color="auto"/>
          </w:divBdr>
          <w:divsChild>
            <w:div w:id="1110078547">
              <w:marLeft w:val="0"/>
              <w:marRight w:val="0"/>
              <w:marTop w:val="0"/>
              <w:marBottom w:val="0"/>
              <w:divBdr>
                <w:top w:val="none" w:sz="0" w:space="0" w:color="auto"/>
                <w:left w:val="none" w:sz="0" w:space="0" w:color="auto"/>
                <w:bottom w:val="none" w:sz="0" w:space="0" w:color="auto"/>
                <w:right w:val="none" w:sz="0" w:space="0" w:color="auto"/>
              </w:divBdr>
              <w:divsChild>
                <w:div w:id="1751467341">
                  <w:marLeft w:val="0"/>
                  <w:marRight w:val="0"/>
                  <w:marTop w:val="0"/>
                  <w:marBottom w:val="0"/>
                  <w:divBdr>
                    <w:top w:val="single" w:sz="6" w:space="0" w:color="CCCCCC"/>
                    <w:left w:val="single" w:sz="6" w:space="0" w:color="CCCCCC"/>
                    <w:bottom w:val="single" w:sz="6" w:space="0" w:color="CCCCCC"/>
                    <w:right w:val="single" w:sz="6" w:space="0" w:color="CCCCCC"/>
                  </w:divBdr>
                  <w:divsChild>
                    <w:div w:id="970939057">
                      <w:marLeft w:val="0"/>
                      <w:marRight w:val="0"/>
                      <w:marTop w:val="0"/>
                      <w:marBottom w:val="0"/>
                      <w:divBdr>
                        <w:top w:val="none" w:sz="0" w:space="0" w:color="auto"/>
                        <w:left w:val="none" w:sz="0" w:space="0" w:color="auto"/>
                        <w:bottom w:val="none" w:sz="0" w:space="0" w:color="auto"/>
                        <w:right w:val="none" w:sz="0" w:space="0" w:color="auto"/>
                      </w:divBdr>
                      <w:divsChild>
                        <w:div w:id="935598483">
                          <w:marLeft w:val="0"/>
                          <w:marRight w:val="0"/>
                          <w:marTop w:val="0"/>
                          <w:marBottom w:val="0"/>
                          <w:divBdr>
                            <w:top w:val="none" w:sz="0" w:space="0" w:color="auto"/>
                            <w:left w:val="none" w:sz="0" w:space="0" w:color="auto"/>
                            <w:bottom w:val="none" w:sz="0" w:space="0" w:color="auto"/>
                            <w:right w:val="none" w:sz="0" w:space="0" w:color="auto"/>
                          </w:divBdr>
                          <w:divsChild>
                            <w:div w:id="1315571027">
                              <w:marLeft w:val="0"/>
                              <w:marRight w:val="0"/>
                              <w:marTop w:val="0"/>
                              <w:marBottom w:val="0"/>
                              <w:divBdr>
                                <w:top w:val="none" w:sz="0" w:space="0" w:color="auto"/>
                                <w:left w:val="none" w:sz="0" w:space="0" w:color="auto"/>
                                <w:bottom w:val="none" w:sz="0" w:space="0" w:color="auto"/>
                                <w:right w:val="none" w:sz="0" w:space="0" w:color="auto"/>
                              </w:divBdr>
                              <w:divsChild>
                                <w:div w:id="19944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669358">
      <w:bodyDiv w:val="1"/>
      <w:marLeft w:val="0"/>
      <w:marRight w:val="0"/>
      <w:marTop w:val="0"/>
      <w:marBottom w:val="0"/>
      <w:divBdr>
        <w:top w:val="none" w:sz="0" w:space="0" w:color="auto"/>
        <w:left w:val="none" w:sz="0" w:space="0" w:color="auto"/>
        <w:bottom w:val="none" w:sz="0" w:space="0" w:color="auto"/>
        <w:right w:val="none" w:sz="0" w:space="0" w:color="auto"/>
      </w:divBdr>
    </w:div>
    <w:div w:id="1400861342">
      <w:bodyDiv w:val="1"/>
      <w:marLeft w:val="0"/>
      <w:marRight w:val="0"/>
      <w:marTop w:val="0"/>
      <w:marBottom w:val="0"/>
      <w:divBdr>
        <w:top w:val="none" w:sz="0" w:space="0" w:color="auto"/>
        <w:left w:val="none" w:sz="0" w:space="0" w:color="auto"/>
        <w:bottom w:val="none" w:sz="0" w:space="0" w:color="auto"/>
        <w:right w:val="none" w:sz="0" w:space="0" w:color="auto"/>
      </w:divBdr>
      <w:divsChild>
        <w:div w:id="2077243935">
          <w:marLeft w:val="0"/>
          <w:marRight w:val="0"/>
          <w:marTop w:val="0"/>
          <w:marBottom w:val="0"/>
          <w:divBdr>
            <w:top w:val="none" w:sz="0" w:space="0" w:color="auto"/>
            <w:left w:val="none" w:sz="0" w:space="0" w:color="auto"/>
            <w:bottom w:val="none" w:sz="0" w:space="0" w:color="auto"/>
            <w:right w:val="none" w:sz="0" w:space="0" w:color="auto"/>
          </w:divBdr>
          <w:divsChild>
            <w:div w:id="1622881837">
              <w:marLeft w:val="0"/>
              <w:marRight w:val="0"/>
              <w:marTop w:val="0"/>
              <w:marBottom w:val="0"/>
              <w:divBdr>
                <w:top w:val="none" w:sz="0" w:space="0" w:color="auto"/>
                <w:left w:val="none" w:sz="0" w:space="0" w:color="auto"/>
                <w:bottom w:val="none" w:sz="0" w:space="0" w:color="auto"/>
                <w:right w:val="none" w:sz="0" w:space="0" w:color="auto"/>
              </w:divBdr>
              <w:divsChild>
                <w:div w:id="29184545">
                  <w:marLeft w:val="0"/>
                  <w:marRight w:val="0"/>
                  <w:marTop w:val="0"/>
                  <w:marBottom w:val="0"/>
                  <w:divBdr>
                    <w:top w:val="none" w:sz="0" w:space="0" w:color="auto"/>
                    <w:left w:val="none" w:sz="0" w:space="0" w:color="auto"/>
                    <w:bottom w:val="none" w:sz="0" w:space="0" w:color="auto"/>
                    <w:right w:val="none" w:sz="0" w:space="0" w:color="auto"/>
                  </w:divBdr>
                  <w:divsChild>
                    <w:div w:id="444737435">
                      <w:marLeft w:val="0"/>
                      <w:marRight w:val="0"/>
                      <w:marTop w:val="0"/>
                      <w:marBottom w:val="0"/>
                      <w:divBdr>
                        <w:top w:val="none" w:sz="0" w:space="0" w:color="auto"/>
                        <w:left w:val="none" w:sz="0" w:space="0" w:color="auto"/>
                        <w:bottom w:val="none" w:sz="0" w:space="0" w:color="auto"/>
                        <w:right w:val="none" w:sz="0" w:space="0" w:color="auto"/>
                      </w:divBdr>
                      <w:divsChild>
                        <w:div w:id="242226889">
                          <w:marLeft w:val="0"/>
                          <w:marRight w:val="0"/>
                          <w:marTop w:val="0"/>
                          <w:marBottom w:val="0"/>
                          <w:divBdr>
                            <w:top w:val="none" w:sz="0" w:space="0" w:color="auto"/>
                            <w:left w:val="none" w:sz="0" w:space="0" w:color="auto"/>
                            <w:bottom w:val="none" w:sz="0" w:space="0" w:color="auto"/>
                            <w:right w:val="none" w:sz="0" w:space="0" w:color="auto"/>
                          </w:divBdr>
                          <w:divsChild>
                            <w:div w:id="3812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58486">
      <w:bodyDiv w:val="1"/>
      <w:marLeft w:val="0"/>
      <w:marRight w:val="0"/>
      <w:marTop w:val="0"/>
      <w:marBottom w:val="0"/>
      <w:divBdr>
        <w:top w:val="none" w:sz="0" w:space="0" w:color="auto"/>
        <w:left w:val="none" w:sz="0" w:space="0" w:color="auto"/>
        <w:bottom w:val="none" w:sz="0" w:space="0" w:color="auto"/>
        <w:right w:val="none" w:sz="0" w:space="0" w:color="auto"/>
      </w:divBdr>
      <w:divsChild>
        <w:div w:id="1090738581">
          <w:marLeft w:val="0"/>
          <w:marRight w:val="0"/>
          <w:marTop w:val="0"/>
          <w:marBottom w:val="0"/>
          <w:divBdr>
            <w:top w:val="none" w:sz="0" w:space="0" w:color="auto"/>
            <w:left w:val="none" w:sz="0" w:space="0" w:color="auto"/>
            <w:bottom w:val="none" w:sz="0" w:space="0" w:color="auto"/>
            <w:right w:val="none" w:sz="0" w:space="0" w:color="auto"/>
          </w:divBdr>
          <w:divsChild>
            <w:div w:id="1464692141">
              <w:marLeft w:val="0"/>
              <w:marRight w:val="0"/>
              <w:marTop w:val="0"/>
              <w:marBottom w:val="0"/>
              <w:divBdr>
                <w:top w:val="none" w:sz="0" w:space="0" w:color="auto"/>
                <w:left w:val="none" w:sz="0" w:space="0" w:color="auto"/>
                <w:bottom w:val="none" w:sz="0" w:space="0" w:color="auto"/>
                <w:right w:val="none" w:sz="0" w:space="0" w:color="auto"/>
              </w:divBdr>
              <w:divsChild>
                <w:div w:id="327097024">
                  <w:marLeft w:val="0"/>
                  <w:marRight w:val="0"/>
                  <w:marTop w:val="0"/>
                  <w:marBottom w:val="0"/>
                  <w:divBdr>
                    <w:top w:val="single" w:sz="6" w:space="0" w:color="CCCCCC"/>
                    <w:left w:val="single" w:sz="6" w:space="0" w:color="CCCCCC"/>
                    <w:bottom w:val="single" w:sz="6" w:space="0" w:color="CCCCCC"/>
                    <w:right w:val="single" w:sz="6" w:space="0" w:color="CCCCCC"/>
                  </w:divBdr>
                  <w:divsChild>
                    <w:div w:id="2033217110">
                      <w:marLeft w:val="0"/>
                      <w:marRight w:val="0"/>
                      <w:marTop w:val="0"/>
                      <w:marBottom w:val="0"/>
                      <w:divBdr>
                        <w:top w:val="none" w:sz="0" w:space="0" w:color="auto"/>
                        <w:left w:val="none" w:sz="0" w:space="0" w:color="auto"/>
                        <w:bottom w:val="none" w:sz="0" w:space="0" w:color="auto"/>
                        <w:right w:val="none" w:sz="0" w:space="0" w:color="auto"/>
                      </w:divBdr>
                      <w:divsChild>
                        <w:div w:id="1621954321">
                          <w:marLeft w:val="0"/>
                          <w:marRight w:val="0"/>
                          <w:marTop w:val="0"/>
                          <w:marBottom w:val="0"/>
                          <w:divBdr>
                            <w:top w:val="none" w:sz="0" w:space="0" w:color="auto"/>
                            <w:left w:val="none" w:sz="0" w:space="0" w:color="auto"/>
                            <w:bottom w:val="none" w:sz="0" w:space="0" w:color="auto"/>
                            <w:right w:val="none" w:sz="0" w:space="0" w:color="auto"/>
                          </w:divBdr>
                          <w:divsChild>
                            <w:div w:id="1709649439">
                              <w:marLeft w:val="0"/>
                              <w:marRight w:val="0"/>
                              <w:marTop w:val="0"/>
                              <w:marBottom w:val="0"/>
                              <w:divBdr>
                                <w:top w:val="none" w:sz="0" w:space="0" w:color="auto"/>
                                <w:left w:val="none" w:sz="0" w:space="0" w:color="auto"/>
                                <w:bottom w:val="none" w:sz="0" w:space="0" w:color="auto"/>
                                <w:right w:val="none" w:sz="0" w:space="0" w:color="auto"/>
                              </w:divBdr>
                              <w:divsChild>
                                <w:div w:id="11176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546771">
      <w:bodyDiv w:val="1"/>
      <w:marLeft w:val="0"/>
      <w:marRight w:val="0"/>
      <w:marTop w:val="0"/>
      <w:marBottom w:val="0"/>
      <w:divBdr>
        <w:top w:val="none" w:sz="0" w:space="0" w:color="auto"/>
        <w:left w:val="none" w:sz="0" w:space="0" w:color="auto"/>
        <w:bottom w:val="none" w:sz="0" w:space="0" w:color="auto"/>
        <w:right w:val="none" w:sz="0" w:space="0" w:color="auto"/>
      </w:divBdr>
      <w:divsChild>
        <w:div w:id="1239365802">
          <w:marLeft w:val="0"/>
          <w:marRight w:val="0"/>
          <w:marTop w:val="0"/>
          <w:marBottom w:val="0"/>
          <w:divBdr>
            <w:top w:val="none" w:sz="0" w:space="0" w:color="auto"/>
            <w:left w:val="none" w:sz="0" w:space="0" w:color="auto"/>
            <w:bottom w:val="none" w:sz="0" w:space="0" w:color="auto"/>
            <w:right w:val="none" w:sz="0" w:space="0" w:color="auto"/>
          </w:divBdr>
          <w:divsChild>
            <w:div w:id="1609004556">
              <w:marLeft w:val="0"/>
              <w:marRight w:val="0"/>
              <w:marTop w:val="0"/>
              <w:marBottom w:val="0"/>
              <w:divBdr>
                <w:top w:val="none" w:sz="0" w:space="0" w:color="auto"/>
                <w:left w:val="none" w:sz="0" w:space="0" w:color="auto"/>
                <w:bottom w:val="none" w:sz="0" w:space="0" w:color="auto"/>
                <w:right w:val="none" w:sz="0" w:space="0" w:color="auto"/>
              </w:divBdr>
              <w:divsChild>
                <w:div w:id="2109036569">
                  <w:marLeft w:val="0"/>
                  <w:marRight w:val="0"/>
                  <w:marTop w:val="0"/>
                  <w:marBottom w:val="0"/>
                  <w:divBdr>
                    <w:top w:val="single" w:sz="6" w:space="0" w:color="CCCCCC"/>
                    <w:left w:val="single" w:sz="6" w:space="0" w:color="CCCCCC"/>
                    <w:bottom w:val="single" w:sz="6" w:space="0" w:color="CCCCCC"/>
                    <w:right w:val="single" w:sz="6" w:space="0" w:color="CCCCCC"/>
                  </w:divBdr>
                  <w:divsChild>
                    <w:div w:id="611516813">
                      <w:marLeft w:val="0"/>
                      <w:marRight w:val="0"/>
                      <w:marTop w:val="0"/>
                      <w:marBottom w:val="0"/>
                      <w:divBdr>
                        <w:top w:val="none" w:sz="0" w:space="0" w:color="auto"/>
                        <w:left w:val="none" w:sz="0" w:space="0" w:color="auto"/>
                        <w:bottom w:val="none" w:sz="0" w:space="0" w:color="auto"/>
                        <w:right w:val="none" w:sz="0" w:space="0" w:color="auto"/>
                      </w:divBdr>
                      <w:divsChild>
                        <w:div w:id="351079102">
                          <w:marLeft w:val="0"/>
                          <w:marRight w:val="0"/>
                          <w:marTop w:val="0"/>
                          <w:marBottom w:val="0"/>
                          <w:divBdr>
                            <w:top w:val="none" w:sz="0" w:space="0" w:color="auto"/>
                            <w:left w:val="none" w:sz="0" w:space="0" w:color="auto"/>
                            <w:bottom w:val="none" w:sz="0" w:space="0" w:color="auto"/>
                            <w:right w:val="none" w:sz="0" w:space="0" w:color="auto"/>
                          </w:divBdr>
                          <w:divsChild>
                            <w:div w:id="1937516300">
                              <w:marLeft w:val="0"/>
                              <w:marRight w:val="0"/>
                              <w:marTop w:val="0"/>
                              <w:marBottom w:val="0"/>
                              <w:divBdr>
                                <w:top w:val="none" w:sz="0" w:space="0" w:color="auto"/>
                                <w:left w:val="none" w:sz="0" w:space="0" w:color="auto"/>
                                <w:bottom w:val="none" w:sz="0" w:space="0" w:color="auto"/>
                                <w:right w:val="none" w:sz="0" w:space="0" w:color="auto"/>
                              </w:divBdr>
                              <w:divsChild>
                                <w:div w:id="3714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07489">
      <w:bodyDiv w:val="1"/>
      <w:marLeft w:val="0"/>
      <w:marRight w:val="0"/>
      <w:marTop w:val="0"/>
      <w:marBottom w:val="0"/>
      <w:divBdr>
        <w:top w:val="none" w:sz="0" w:space="0" w:color="auto"/>
        <w:left w:val="none" w:sz="0" w:space="0" w:color="auto"/>
        <w:bottom w:val="none" w:sz="0" w:space="0" w:color="auto"/>
        <w:right w:val="none" w:sz="0" w:space="0" w:color="auto"/>
      </w:divBdr>
      <w:divsChild>
        <w:div w:id="8920829">
          <w:marLeft w:val="0"/>
          <w:marRight w:val="0"/>
          <w:marTop w:val="0"/>
          <w:marBottom w:val="0"/>
          <w:divBdr>
            <w:top w:val="none" w:sz="0" w:space="0" w:color="auto"/>
            <w:left w:val="none" w:sz="0" w:space="0" w:color="auto"/>
            <w:bottom w:val="none" w:sz="0" w:space="0" w:color="auto"/>
            <w:right w:val="none" w:sz="0" w:space="0" w:color="auto"/>
          </w:divBdr>
          <w:divsChild>
            <w:div w:id="753285067">
              <w:marLeft w:val="0"/>
              <w:marRight w:val="0"/>
              <w:marTop w:val="0"/>
              <w:marBottom w:val="0"/>
              <w:divBdr>
                <w:top w:val="none" w:sz="0" w:space="0" w:color="auto"/>
                <w:left w:val="none" w:sz="0" w:space="0" w:color="auto"/>
                <w:bottom w:val="none" w:sz="0" w:space="0" w:color="auto"/>
                <w:right w:val="none" w:sz="0" w:space="0" w:color="auto"/>
              </w:divBdr>
              <w:divsChild>
                <w:div w:id="2081097800">
                  <w:marLeft w:val="0"/>
                  <w:marRight w:val="0"/>
                  <w:marTop w:val="0"/>
                  <w:marBottom w:val="0"/>
                  <w:divBdr>
                    <w:top w:val="single" w:sz="6" w:space="0" w:color="CCCCCC"/>
                    <w:left w:val="single" w:sz="6" w:space="0" w:color="CCCCCC"/>
                    <w:bottom w:val="single" w:sz="6" w:space="0" w:color="CCCCCC"/>
                    <w:right w:val="single" w:sz="6" w:space="0" w:color="CCCCCC"/>
                  </w:divBdr>
                  <w:divsChild>
                    <w:div w:id="225266997">
                      <w:marLeft w:val="0"/>
                      <w:marRight w:val="0"/>
                      <w:marTop w:val="0"/>
                      <w:marBottom w:val="0"/>
                      <w:divBdr>
                        <w:top w:val="none" w:sz="0" w:space="0" w:color="auto"/>
                        <w:left w:val="none" w:sz="0" w:space="0" w:color="auto"/>
                        <w:bottom w:val="none" w:sz="0" w:space="0" w:color="auto"/>
                        <w:right w:val="none" w:sz="0" w:space="0" w:color="auto"/>
                      </w:divBdr>
                      <w:divsChild>
                        <w:div w:id="638153002">
                          <w:marLeft w:val="0"/>
                          <w:marRight w:val="0"/>
                          <w:marTop w:val="0"/>
                          <w:marBottom w:val="0"/>
                          <w:divBdr>
                            <w:top w:val="none" w:sz="0" w:space="0" w:color="auto"/>
                            <w:left w:val="none" w:sz="0" w:space="0" w:color="auto"/>
                            <w:bottom w:val="none" w:sz="0" w:space="0" w:color="auto"/>
                            <w:right w:val="none" w:sz="0" w:space="0" w:color="auto"/>
                          </w:divBdr>
                          <w:divsChild>
                            <w:div w:id="357783572">
                              <w:marLeft w:val="0"/>
                              <w:marRight w:val="0"/>
                              <w:marTop w:val="0"/>
                              <w:marBottom w:val="0"/>
                              <w:divBdr>
                                <w:top w:val="none" w:sz="0" w:space="0" w:color="auto"/>
                                <w:left w:val="none" w:sz="0" w:space="0" w:color="auto"/>
                                <w:bottom w:val="none" w:sz="0" w:space="0" w:color="auto"/>
                                <w:right w:val="none" w:sz="0" w:space="0" w:color="auto"/>
                              </w:divBdr>
                              <w:divsChild>
                                <w:div w:id="5343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199517">
      <w:bodyDiv w:val="1"/>
      <w:marLeft w:val="0"/>
      <w:marRight w:val="0"/>
      <w:marTop w:val="0"/>
      <w:marBottom w:val="0"/>
      <w:divBdr>
        <w:top w:val="none" w:sz="0" w:space="0" w:color="auto"/>
        <w:left w:val="none" w:sz="0" w:space="0" w:color="auto"/>
        <w:bottom w:val="none" w:sz="0" w:space="0" w:color="auto"/>
        <w:right w:val="none" w:sz="0" w:space="0" w:color="auto"/>
      </w:divBdr>
      <w:divsChild>
        <w:div w:id="1551258659">
          <w:marLeft w:val="0"/>
          <w:marRight w:val="0"/>
          <w:marTop w:val="0"/>
          <w:marBottom w:val="0"/>
          <w:divBdr>
            <w:top w:val="none" w:sz="0" w:space="0" w:color="auto"/>
            <w:left w:val="none" w:sz="0" w:space="0" w:color="auto"/>
            <w:bottom w:val="none" w:sz="0" w:space="0" w:color="auto"/>
            <w:right w:val="none" w:sz="0" w:space="0" w:color="auto"/>
          </w:divBdr>
          <w:divsChild>
            <w:div w:id="797382430">
              <w:marLeft w:val="0"/>
              <w:marRight w:val="0"/>
              <w:marTop w:val="0"/>
              <w:marBottom w:val="0"/>
              <w:divBdr>
                <w:top w:val="none" w:sz="0" w:space="0" w:color="auto"/>
                <w:left w:val="none" w:sz="0" w:space="0" w:color="auto"/>
                <w:bottom w:val="none" w:sz="0" w:space="0" w:color="auto"/>
                <w:right w:val="none" w:sz="0" w:space="0" w:color="auto"/>
              </w:divBdr>
              <w:divsChild>
                <w:div w:id="590621356">
                  <w:marLeft w:val="0"/>
                  <w:marRight w:val="0"/>
                  <w:marTop w:val="0"/>
                  <w:marBottom w:val="0"/>
                  <w:divBdr>
                    <w:top w:val="single" w:sz="6" w:space="0" w:color="CCCCCC"/>
                    <w:left w:val="single" w:sz="6" w:space="0" w:color="CCCCCC"/>
                    <w:bottom w:val="single" w:sz="6" w:space="0" w:color="CCCCCC"/>
                    <w:right w:val="single" w:sz="6" w:space="0" w:color="CCCCCC"/>
                  </w:divBdr>
                  <w:divsChild>
                    <w:div w:id="517741801">
                      <w:marLeft w:val="0"/>
                      <w:marRight w:val="0"/>
                      <w:marTop w:val="0"/>
                      <w:marBottom w:val="0"/>
                      <w:divBdr>
                        <w:top w:val="none" w:sz="0" w:space="0" w:color="auto"/>
                        <w:left w:val="none" w:sz="0" w:space="0" w:color="auto"/>
                        <w:bottom w:val="none" w:sz="0" w:space="0" w:color="auto"/>
                        <w:right w:val="none" w:sz="0" w:space="0" w:color="auto"/>
                      </w:divBdr>
                      <w:divsChild>
                        <w:div w:id="142549499">
                          <w:marLeft w:val="0"/>
                          <w:marRight w:val="0"/>
                          <w:marTop w:val="0"/>
                          <w:marBottom w:val="0"/>
                          <w:divBdr>
                            <w:top w:val="none" w:sz="0" w:space="0" w:color="auto"/>
                            <w:left w:val="none" w:sz="0" w:space="0" w:color="auto"/>
                            <w:bottom w:val="none" w:sz="0" w:space="0" w:color="auto"/>
                            <w:right w:val="none" w:sz="0" w:space="0" w:color="auto"/>
                          </w:divBdr>
                          <w:divsChild>
                            <w:div w:id="1708263541">
                              <w:marLeft w:val="0"/>
                              <w:marRight w:val="0"/>
                              <w:marTop w:val="0"/>
                              <w:marBottom w:val="0"/>
                              <w:divBdr>
                                <w:top w:val="none" w:sz="0" w:space="0" w:color="auto"/>
                                <w:left w:val="none" w:sz="0" w:space="0" w:color="auto"/>
                                <w:bottom w:val="none" w:sz="0" w:space="0" w:color="auto"/>
                                <w:right w:val="none" w:sz="0" w:space="0" w:color="auto"/>
                              </w:divBdr>
                              <w:divsChild>
                                <w:div w:id="15258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587607">
      <w:bodyDiv w:val="1"/>
      <w:marLeft w:val="0"/>
      <w:marRight w:val="0"/>
      <w:marTop w:val="0"/>
      <w:marBottom w:val="0"/>
      <w:divBdr>
        <w:top w:val="none" w:sz="0" w:space="0" w:color="auto"/>
        <w:left w:val="none" w:sz="0" w:space="0" w:color="auto"/>
        <w:bottom w:val="none" w:sz="0" w:space="0" w:color="auto"/>
        <w:right w:val="none" w:sz="0" w:space="0" w:color="auto"/>
      </w:divBdr>
      <w:divsChild>
        <w:div w:id="1600141538">
          <w:marLeft w:val="0"/>
          <w:marRight w:val="0"/>
          <w:marTop w:val="0"/>
          <w:marBottom w:val="0"/>
          <w:divBdr>
            <w:top w:val="none" w:sz="0" w:space="0" w:color="auto"/>
            <w:left w:val="none" w:sz="0" w:space="0" w:color="auto"/>
            <w:bottom w:val="none" w:sz="0" w:space="0" w:color="auto"/>
            <w:right w:val="none" w:sz="0" w:space="0" w:color="auto"/>
          </w:divBdr>
          <w:divsChild>
            <w:div w:id="732315428">
              <w:marLeft w:val="0"/>
              <w:marRight w:val="0"/>
              <w:marTop w:val="0"/>
              <w:marBottom w:val="0"/>
              <w:divBdr>
                <w:top w:val="none" w:sz="0" w:space="0" w:color="auto"/>
                <w:left w:val="none" w:sz="0" w:space="0" w:color="auto"/>
                <w:bottom w:val="none" w:sz="0" w:space="0" w:color="auto"/>
                <w:right w:val="none" w:sz="0" w:space="0" w:color="auto"/>
              </w:divBdr>
              <w:divsChild>
                <w:div w:id="579288296">
                  <w:marLeft w:val="0"/>
                  <w:marRight w:val="0"/>
                  <w:marTop w:val="0"/>
                  <w:marBottom w:val="0"/>
                  <w:divBdr>
                    <w:top w:val="single" w:sz="6" w:space="0" w:color="CCCCCC"/>
                    <w:left w:val="single" w:sz="6" w:space="0" w:color="CCCCCC"/>
                    <w:bottom w:val="single" w:sz="6" w:space="0" w:color="CCCCCC"/>
                    <w:right w:val="single" w:sz="6" w:space="0" w:color="CCCCCC"/>
                  </w:divBdr>
                  <w:divsChild>
                    <w:div w:id="515002264">
                      <w:marLeft w:val="0"/>
                      <w:marRight w:val="0"/>
                      <w:marTop w:val="0"/>
                      <w:marBottom w:val="0"/>
                      <w:divBdr>
                        <w:top w:val="none" w:sz="0" w:space="0" w:color="auto"/>
                        <w:left w:val="none" w:sz="0" w:space="0" w:color="auto"/>
                        <w:bottom w:val="none" w:sz="0" w:space="0" w:color="auto"/>
                        <w:right w:val="none" w:sz="0" w:space="0" w:color="auto"/>
                      </w:divBdr>
                      <w:divsChild>
                        <w:div w:id="626469158">
                          <w:marLeft w:val="0"/>
                          <w:marRight w:val="0"/>
                          <w:marTop w:val="0"/>
                          <w:marBottom w:val="0"/>
                          <w:divBdr>
                            <w:top w:val="none" w:sz="0" w:space="0" w:color="auto"/>
                            <w:left w:val="none" w:sz="0" w:space="0" w:color="auto"/>
                            <w:bottom w:val="none" w:sz="0" w:space="0" w:color="auto"/>
                            <w:right w:val="none" w:sz="0" w:space="0" w:color="auto"/>
                          </w:divBdr>
                          <w:divsChild>
                            <w:div w:id="334040546">
                              <w:marLeft w:val="0"/>
                              <w:marRight w:val="0"/>
                              <w:marTop w:val="0"/>
                              <w:marBottom w:val="0"/>
                              <w:divBdr>
                                <w:top w:val="none" w:sz="0" w:space="0" w:color="auto"/>
                                <w:left w:val="none" w:sz="0" w:space="0" w:color="auto"/>
                                <w:bottom w:val="none" w:sz="0" w:space="0" w:color="auto"/>
                                <w:right w:val="none" w:sz="0" w:space="0" w:color="auto"/>
                              </w:divBdr>
                              <w:divsChild>
                                <w:div w:id="9767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2216">
      <w:bodyDiv w:val="1"/>
      <w:marLeft w:val="0"/>
      <w:marRight w:val="0"/>
      <w:marTop w:val="0"/>
      <w:marBottom w:val="0"/>
      <w:divBdr>
        <w:top w:val="none" w:sz="0" w:space="0" w:color="auto"/>
        <w:left w:val="none" w:sz="0" w:space="0" w:color="auto"/>
        <w:bottom w:val="none" w:sz="0" w:space="0" w:color="auto"/>
        <w:right w:val="none" w:sz="0" w:space="0" w:color="auto"/>
      </w:divBdr>
      <w:divsChild>
        <w:div w:id="65228397">
          <w:marLeft w:val="0"/>
          <w:marRight w:val="0"/>
          <w:marTop w:val="0"/>
          <w:marBottom w:val="0"/>
          <w:divBdr>
            <w:top w:val="none" w:sz="0" w:space="0" w:color="auto"/>
            <w:left w:val="none" w:sz="0" w:space="0" w:color="auto"/>
            <w:bottom w:val="none" w:sz="0" w:space="0" w:color="auto"/>
            <w:right w:val="none" w:sz="0" w:space="0" w:color="auto"/>
          </w:divBdr>
          <w:divsChild>
            <w:div w:id="1499423924">
              <w:marLeft w:val="0"/>
              <w:marRight w:val="0"/>
              <w:marTop w:val="0"/>
              <w:marBottom w:val="0"/>
              <w:divBdr>
                <w:top w:val="none" w:sz="0" w:space="0" w:color="auto"/>
                <w:left w:val="none" w:sz="0" w:space="0" w:color="auto"/>
                <w:bottom w:val="none" w:sz="0" w:space="0" w:color="auto"/>
                <w:right w:val="none" w:sz="0" w:space="0" w:color="auto"/>
              </w:divBdr>
              <w:divsChild>
                <w:div w:id="100997634">
                  <w:marLeft w:val="0"/>
                  <w:marRight w:val="0"/>
                  <w:marTop w:val="0"/>
                  <w:marBottom w:val="0"/>
                  <w:divBdr>
                    <w:top w:val="none" w:sz="0" w:space="0" w:color="auto"/>
                    <w:left w:val="none" w:sz="0" w:space="0" w:color="auto"/>
                    <w:bottom w:val="none" w:sz="0" w:space="0" w:color="auto"/>
                    <w:right w:val="none" w:sz="0" w:space="0" w:color="auto"/>
                  </w:divBdr>
                  <w:divsChild>
                    <w:div w:id="1589146349">
                      <w:marLeft w:val="0"/>
                      <w:marRight w:val="0"/>
                      <w:marTop w:val="0"/>
                      <w:marBottom w:val="0"/>
                      <w:divBdr>
                        <w:top w:val="none" w:sz="0" w:space="0" w:color="auto"/>
                        <w:left w:val="none" w:sz="0" w:space="0" w:color="auto"/>
                        <w:bottom w:val="none" w:sz="0" w:space="0" w:color="auto"/>
                        <w:right w:val="none" w:sz="0" w:space="0" w:color="auto"/>
                      </w:divBdr>
                      <w:divsChild>
                        <w:div w:id="526258346">
                          <w:marLeft w:val="0"/>
                          <w:marRight w:val="0"/>
                          <w:marTop w:val="0"/>
                          <w:marBottom w:val="0"/>
                          <w:divBdr>
                            <w:top w:val="none" w:sz="0" w:space="0" w:color="auto"/>
                            <w:left w:val="none" w:sz="0" w:space="0" w:color="auto"/>
                            <w:bottom w:val="none" w:sz="0" w:space="0" w:color="auto"/>
                            <w:right w:val="none" w:sz="0" w:space="0" w:color="auto"/>
                          </w:divBdr>
                          <w:divsChild>
                            <w:div w:id="18145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3405">
      <w:bodyDiv w:val="1"/>
      <w:marLeft w:val="0"/>
      <w:marRight w:val="0"/>
      <w:marTop w:val="0"/>
      <w:marBottom w:val="0"/>
      <w:divBdr>
        <w:top w:val="none" w:sz="0" w:space="0" w:color="auto"/>
        <w:left w:val="none" w:sz="0" w:space="0" w:color="auto"/>
        <w:bottom w:val="none" w:sz="0" w:space="0" w:color="auto"/>
        <w:right w:val="none" w:sz="0" w:space="0" w:color="auto"/>
      </w:divBdr>
      <w:divsChild>
        <w:div w:id="546573492">
          <w:marLeft w:val="0"/>
          <w:marRight w:val="0"/>
          <w:marTop w:val="0"/>
          <w:marBottom w:val="0"/>
          <w:divBdr>
            <w:top w:val="none" w:sz="0" w:space="0" w:color="auto"/>
            <w:left w:val="none" w:sz="0" w:space="0" w:color="auto"/>
            <w:bottom w:val="none" w:sz="0" w:space="0" w:color="auto"/>
            <w:right w:val="none" w:sz="0" w:space="0" w:color="auto"/>
          </w:divBdr>
          <w:divsChild>
            <w:div w:id="346520912">
              <w:marLeft w:val="0"/>
              <w:marRight w:val="0"/>
              <w:marTop w:val="0"/>
              <w:marBottom w:val="0"/>
              <w:divBdr>
                <w:top w:val="none" w:sz="0" w:space="0" w:color="auto"/>
                <w:left w:val="none" w:sz="0" w:space="0" w:color="auto"/>
                <w:bottom w:val="none" w:sz="0" w:space="0" w:color="auto"/>
                <w:right w:val="none" w:sz="0" w:space="0" w:color="auto"/>
              </w:divBdr>
              <w:divsChild>
                <w:div w:id="272059177">
                  <w:marLeft w:val="0"/>
                  <w:marRight w:val="0"/>
                  <w:marTop w:val="0"/>
                  <w:marBottom w:val="0"/>
                  <w:divBdr>
                    <w:top w:val="single" w:sz="6" w:space="0" w:color="CCCCCC"/>
                    <w:left w:val="single" w:sz="6" w:space="0" w:color="CCCCCC"/>
                    <w:bottom w:val="single" w:sz="6" w:space="0" w:color="CCCCCC"/>
                    <w:right w:val="single" w:sz="6" w:space="0" w:color="CCCCCC"/>
                  </w:divBdr>
                  <w:divsChild>
                    <w:div w:id="1588997827">
                      <w:marLeft w:val="0"/>
                      <w:marRight w:val="0"/>
                      <w:marTop w:val="0"/>
                      <w:marBottom w:val="0"/>
                      <w:divBdr>
                        <w:top w:val="none" w:sz="0" w:space="0" w:color="auto"/>
                        <w:left w:val="none" w:sz="0" w:space="0" w:color="auto"/>
                        <w:bottom w:val="none" w:sz="0" w:space="0" w:color="auto"/>
                        <w:right w:val="none" w:sz="0" w:space="0" w:color="auto"/>
                      </w:divBdr>
                      <w:divsChild>
                        <w:div w:id="1425491421">
                          <w:marLeft w:val="0"/>
                          <w:marRight w:val="0"/>
                          <w:marTop w:val="0"/>
                          <w:marBottom w:val="0"/>
                          <w:divBdr>
                            <w:top w:val="none" w:sz="0" w:space="0" w:color="auto"/>
                            <w:left w:val="none" w:sz="0" w:space="0" w:color="auto"/>
                            <w:bottom w:val="none" w:sz="0" w:space="0" w:color="auto"/>
                            <w:right w:val="none" w:sz="0" w:space="0" w:color="auto"/>
                          </w:divBdr>
                          <w:divsChild>
                            <w:div w:id="1871870737">
                              <w:marLeft w:val="0"/>
                              <w:marRight w:val="0"/>
                              <w:marTop w:val="0"/>
                              <w:marBottom w:val="0"/>
                              <w:divBdr>
                                <w:top w:val="none" w:sz="0" w:space="0" w:color="auto"/>
                                <w:left w:val="none" w:sz="0" w:space="0" w:color="auto"/>
                                <w:bottom w:val="none" w:sz="0" w:space="0" w:color="auto"/>
                                <w:right w:val="none" w:sz="0" w:space="0" w:color="auto"/>
                              </w:divBdr>
                              <w:divsChild>
                                <w:div w:id="561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0576">
      <w:bodyDiv w:val="1"/>
      <w:marLeft w:val="0"/>
      <w:marRight w:val="0"/>
      <w:marTop w:val="0"/>
      <w:marBottom w:val="0"/>
      <w:divBdr>
        <w:top w:val="none" w:sz="0" w:space="0" w:color="auto"/>
        <w:left w:val="none" w:sz="0" w:space="0" w:color="auto"/>
        <w:bottom w:val="none" w:sz="0" w:space="0" w:color="auto"/>
        <w:right w:val="none" w:sz="0" w:space="0" w:color="auto"/>
      </w:divBdr>
      <w:divsChild>
        <w:div w:id="1857576418">
          <w:marLeft w:val="0"/>
          <w:marRight w:val="0"/>
          <w:marTop w:val="0"/>
          <w:marBottom w:val="0"/>
          <w:divBdr>
            <w:top w:val="none" w:sz="0" w:space="0" w:color="auto"/>
            <w:left w:val="none" w:sz="0" w:space="0" w:color="auto"/>
            <w:bottom w:val="none" w:sz="0" w:space="0" w:color="auto"/>
            <w:right w:val="none" w:sz="0" w:space="0" w:color="auto"/>
          </w:divBdr>
          <w:divsChild>
            <w:div w:id="591007774">
              <w:marLeft w:val="0"/>
              <w:marRight w:val="0"/>
              <w:marTop w:val="0"/>
              <w:marBottom w:val="0"/>
              <w:divBdr>
                <w:top w:val="none" w:sz="0" w:space="0" w:color="auto"/>
                <w:left w:val="none" w:sz="0" w:space="0" w:color="auto"/>
                <w:bottom w:val="none" w:sz="0" w:space="0" w:color="auto"/>
                <w:right w:val="none" w:sz="0" w:space="0" w:color="auto"/>
              </w:divBdr>
              <w:divsChild>
                <w:div w:id="395975216">
                  <w:marLeft w:val="0"/>
                  <w:marRight w:val="0"/>
                  <w:marTop w:val="0"/>
                  <w:marBottom w:val="0"/>
                  <w:divBdr>
                    <w:top w:val="single" w:sz="6" w:space="0" w:color="CCCCCC"/>
                    <w:left w:val="single" w:sz="6" w:space="0" w:color="CCCCCC"/>
                    <w:bottom w:val="single" w:sz="6" w:space="0" w:color="CCCCCC"/>
                    <w:right w:val="single" w:sz="6" w:space="0" w:color="CCCCCC"/>
                  </w:divBdr>
                  <w:divsChild>
                    <w:div w:id="1033190545">
                      <w:marLeft w:val="0"/>
                      <w:marRight w:val="0"/>
                      <w:marTop w:val="0"/>
                      <w:marBottom w:val="0"/>
                      <w:divBdr>
                        <w:top w:val="none" w:sz="0" w:space="0" w:color="auto"/>
                        <w:left w:val="none" w:sz="0" w:space="0" w:color="auto"/>
                        <w:bottom w:val="none" w:sz="0" w:space="0" w:color="auto"/>
                        <w:right w:val="none" w:sz="0" w:space="0" w:color="auto"/>
                      </w:divBdr>
                      <w:divsChild>
                        <w:div w:id="983050001">
                          <w:marLeft w:val="0"/>
                          <w:marRight w:val="0"/>
                          <w:marTop w:val="0"/>
                          <w:marBottom w:val="0"/>
                          <w:divBdr>
                            <w:top w:val="none" w:sz="0" w:space="0" w:color="auto"/>
                            <w:left w:val="none" w:sz="0" w:space="0" w:color="auto"/>
                            <w:bottom w:val="none" w:sz="0" w:space="0" w:color="auto"/>
                            <w:right w:val="none" w:sz="0" w:space="0" w:color="auto"/>
                          </w:divBdr>
                          <w:divsChild>
                            <w:div w:id="458842671">
                              <w:marLeft w:val="0"/>
                              <w:marRight w:val="0"/>
                              <w:marTop w:val="0"/>
                              <w:marBottom w:val="0"/>
                              <w:divBdr>
                                <w:top w:val="none" w:sz="0" w:space="0" w:color="auto"/>
                                <w:left w:val="none" w:sz="0" w:space="0" w:color="auto"/>
                                <w:bottom w:val="none" w:sz="0" w:space="0" w:color="auto"/>
                                <w:right w:val="none" w:sz="0" w:space="0" w:color="auto"/>
                              </w:divBdr>
                              <w:divsChild>
                                <w:div w:id="10185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803164">
      <w:bodyDiv w:val="1"/>
      <w:marLeft w:val="0"/>
      <w:marRight w:val="0"/>
      <w:marTop w:val="0"/>
      <w:marBottom w:val="0"/>
      <w:divBdr>
        <w:top w:val="none" w:sz="0" w:space="0" w:color="auto"/>
        <w:left w:val="none" w:sz="0" w:space="0" w:color="auto"/>
        <w:bottom w:val="none" w:sz="0" w:space="0" w:color="auto"/>
        <w:right w:val="none" w:sz="0" w:space="0" w:color="auto"/>
      </w:divBdr>
    </w:div>
    <w:div w:id="1627613974">
      <w:bodyDiv w:val="1"/>
      <w:marLeft w:val="0"/>
      <w:marRight w:val="0"/>
      <w:marTop w:val="0"/>
      <w:marBottom w:val="0"/>
      <w:divBdr>
        <w:top w:val="none" w:sz="0" w:space="0" w:color="auto"/>
        <w:left w:val="none" w:sz="0" w:space="0" w:color="auto"/>
        <w:bottom w:val="none" w:sz="0" w:space="0" w:color="auto"/>
        <w:right w:val="none" w:sz="0" w:space="0" w:color="auto"/>
      </w:divBdr>
      <w:divsChild>
        <w:div w:id="1118600874">
          <w:marLeft w:val="0"/>
          <w:marRight w:val="0"/>
          <w:marTop w:val="0"/>
          <w:marBottom w:val="0"/>
          <w:divBdr>
            <w:top w:val="none" w:sz="0" w:space="0" w:color="auto"/>
            <w:left w:val="none" w:sz="0" w:space="0" w:color="auto"/>
            <w:bottom w:val="none" w:sz="0" w:space="0" w:color="auto"/>
            <w:right w:val="none" w:sz="0" w:space="0" w:color="auto"/>
          </w:divBdr>
          <w:divsChild>
            <w:div w:id="1934825132">
              <w:marLeft w:val="0"/>
              <w:marRight w:val="0"/>
              <w:marTop w:val="0"/>
              <w:marBottom w:val="0"/>
              <w:divBdr>
                <w:top w:val="none" w:sz="0" w:space="0" w:color="auto"/>
                <w:left w:val="none" w:sz="0" w:space="0" w:color="auto"/>
                <w:bottom w:val="none" w:sz="0" w:space="0" w:color="auto"/>
                <w:right w:val="none" w:sz="0" w:space="0" w:color="auto"/>
              </w:divBdr>
              <w:divsChild>
                <w:div w:id="983702433">
                  <w:marLeft w:val="0"/>
                  <w:marRight w:val="0"/>
                  <w:marTop w:val="0"/>
                  <w:marBottom w:val="0"/>
                  <w:divBdr>
                    <w:top w:val="single" w:sz="6" w:space="0" w:color="CCCCCC"/>
                    <w:left w:val="single" w:sz="6" w:space="0" w:color="CCCCCC"/>
                    <w:bottom w:val="single" w:sz="6" w:space="0" w:color="CCCCCC"/>
                    <w:right w:val="single" w:sz="6" w:space="0" w:color="CCCCCC"/>
                  </w:divBdr>
                  <w:divsChild>
                    <w:div w:id="508452171">
                      <w:marLeft w:val="0"/>
                      <w:marRight w:val="0"/>
                      <w:marTop w:val="0"/>
                      <w:marBottom w:val="0"/>
                      <w:divBdr>
                        <w:top w:val="none" w:sz="0" w:space="0" w:color="auto"/>
                        <w:left w:val="none" w:sz="0" w:space="0" w:color="auto"/>
                        <w:bottom w:val="none" w:sz="0" w:space="0" w:color="auto"/>
                        <w:right w:val="none" w:sz="0" w:space="0" w:color="auto"/>
                      </w:divBdr>
                      <w:divsChild>
                        <w:div w:id="921335890">
                          <w:marLeft w:val="0"/>
                          <w:marRight w:val="0"/>
                          <w:marTop w:val="0"/>
                          <w:marBottom w:val="0"/>
                          <w:divBdr>
                            <w:top w:val="none" w:sz="0" w:space="0" w:color="auto"/>
                            <w:left w:val="none" w:sz="0" w:space="0" w:color="auto"/>
                            <w:bottom w:val="none" w:sz="0" w:space="0" w:color="auto"/>
                            <w:right w:val="none" w:sz="0" w:space="0" w:color="auto"/>
                          </w:divBdr>
                          <w:divsChild>
                            <w:div w:id="1662153677">
                              <w:marLeft w:val="0"/>
                              <w:marRight w:val="0"/>
                              <w:marTop w:val="0"/>
                              <w:marBottom w:val="0"/>
                              <w:divBdr>
                                <w:top w:val="none" w:sz="0" w:space="0" w:color="auto"/>
                                <w:left w:val="none" w:sz="0" w:space="0" w:color="auto"/>
                                <w:bottom w:val="none" w:sz="0" w:space="0" w:color="auto"/>
                                <w:right w:val="none" w:sz="0" w:space="0" w:color="auto"/>
                              </w:divBdr>
                              <w:divsChild>
                                <w:div w:id="298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519191">
      <w:bodyDiv w:val="1"/>
      <w:marLeft w:val="0"/>
      <w:marRight w:val="0"/>
      <w:marTop w:val="0"/>
      <w:marBottom w:val="0"/>
      <w:divBdr>
        <w:top w:val="none" w:sz="0" w:space="0" w:color="auto"/>
        <w:left w:val="none" w:sz="0" w:space="0" w:color="auto"/>
        <w:bottom w:val="none" w:sz="0" w:space="0" w:color="auto"/>
        <w:right w:val="none" w:sz="0" w:space="0" w:color="auto"/>
      </w:divBdr>
      <w:divsChild>
        <w:div w:id="2055884521">
          <w:marLeft w:val="0"/>
          <w:marRight w:val="0"/>
          <w:marTop w:val="0"/>
          <w:marBottom w:val="0"/>
          <w:divBdr>
            <w:top w:val="none" w:sz="0" w:space="0" w:color="auto"/>
            <w:left w:val="none" w:sz="0" w:space="0" w:color="auto"/>
            <w:bottom w:val="none" w:sz="0" w:space="0" w:color="auto"/>
            <w:right w:val="none" w:sz="0" w:space="0" w:color="auto"/>
          </w:divBdr>
          <w:divsChild>
            <w:div w:id="1341085095">
              <w:marLeft w:val="0"/>
              <w:marRight w:val="0"/>
              <w:marTop w:val="0"/>
              <w:marBottom w:val="0"/>
              <w:divBdr>
                <w:top w:val="none" w:sz="0" w:space="0" w:color="auto"/>
                <w:left w:val="none" w:sz="0" w:space="0" w:color="auto"/>
                <w:bottom w:val="none" w:sz="0" w:space="0" w:color="auto"/>
                <w:right w:val="none" w:sz="0" w:space="0" w:color="auto"/>
              </w:divBdr>
              <w:divsChild>
                <w:div w:id="1604220705">
                  <w:marLeft w:val="0"/>
                  <w:marRight w:val="0"/>
                  <w:marTop w:val="0"/>
                  <w:marBottom w:val="0"/>
                  <w:divBdr>
                    <w:top w:val="single" w:sz="6" w:space="0" w:color="CCCCCC"/>
                    <w:left w:val="single" w:sz="6" w:space="0" w:color="CCCCCC"/>
                    <w:bottom w:val="single" w:sz="6" w:space="0" w:color="CCCCCC"/>
                    <w:right w:val="single" w:sz="6" w:space="0" w:color="CCCCCC"/>
                  </w:divBdr>
                  <w:divsChild>
                    <w:div w:id="347491813">
                      <w:marLeft w:val="0"/>
                      <w:marRight w:val="0"/>
                      <w:marTop w:val="0"/>
                      <w:marBottom w:val="0"/>
                      <w:divBdr>
                        <w:top w:val="none" w:sz="0" w:space="0" w:color="auto"/>
                        <w:left w:val="none" w:sz="0" w:space="0" w:color="auto"/>
                        <w:bottom w:val="none" w:sz="0" w:space="0" w:color="auto"/>
                        <w:right w:val="none" w:sz="0" w:space="0" w:color="auto"/>
                      </w:divBdr>
                      <w:divsChild>
                        <w:div w:id="1715617583">
                          <w:marLeft w:val="0"/>
                          <w:marRight w:val="0"/>
                          <w:marTop w:val="0"/>
                          <w:marBottom w:val="0"/>
                          <w:divBdr>
                            <w:top w:val="none" w:sz="0" w:space="0" w:color="auto"/>
                            <w:left w:val="none" w:sz="0" w:space="0" w:color="auto"/>
                            <w:bottom w:val="none" w:sz="0" w:space="0" w:color="auto"/>
                            <w:right w:val="none" w:sz="0" w:space="0" w:color="auto"/>
                          </w:divBdr>
                          <w:divsChild>
                            <w:div w:id="172427537">
                              <w:marLeft w:val="0"/>
                              <w:marRight w:val="0"/>
                              <w:marTop w:val="0"/>
                              <w:marBottom w:val="0"/>
                              <w:divBdr>
                                <w:top w:val="none" w:sz="0" w:space="0" w:color="auto"/>
                                <w:left w:val="none" w:sz="0" w:space="0" w:color="auto"/>
                                <w:bottom w:val="none" w:sz="0" w:space="0" w:color="auto"/>
                                <w:right w:val="none" w:sz="0" w:space="0" w:color="auto"/>
                              </w:divBdr>
                              <w:divsChild>
                                <w:div w:id="14507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652155">
      <w:bodyDiv w:val="1"/>
      <w:marLeft w:val="0"/>
      <w:marRight w:val="0"/>
      <w:marTop w:val="0"/>
      <w:marBottom w:val="0"/>
      <w:divBdr>
        <w:top w:val="none" w:sz="0" w:space="0" w:color="auto"/>
        <w:left w:val="none" w:sz="0" w:space="0" w:color="auto"/>
        <w:bottom w:val="none" w:sz="0" w:space="0" w:color="auto"/>
        <w:right w:val="none" w:sz="0" w:space="0" w:color="auto"/>
      </w:divBdr>
      <w:divsChild>
        <w:div w:id="300228279">
          <w:marLeft w:val="0"/>
          <w:marRight w:val="0"/>
          <w:marTop w:val="0"/>
          <w:marBottom w:val="0"/>
          <w:divBdr>
            <w:top w:val="none" w:sz="0" w:space="0" w:color="auto"/>
            <w:left w:val="none" w:sz="0" w:space="0" w:color="auto"/>
            <w:bottom w:val="none" w:sz="0" w:space="0" w:color="auto"/>
            <w:right w:val="none" w:sz="0" w:space="0" w:color="auto"/>
          </w:divBdr>
          <w:divsChild>
            <w:div w:id="2084326396">
              <w:marLeft w:val="0"/>
              <w:marRight w:val="0"/>
              <w:marTop w:val="0"/>
              <w:marBottom w:val="0"/>
              <w:divBdr>
                <w:top w:val="none" w:sz="0" w:space="0" w:color="auto"/>
                <w:left w:val="none" w:sz="0" w:space="0" w:color="auto"/>
                <w:bottom w:val="none" w:sz="0" w:space="0" w:color="auto"/>
                <w:right w:val="none" w:sz="0" w:space="0" w:color="auto"/>
              </w:divBdr>
              <w:divsChild>
                <w:div w:id="1177423673">
                  <w:marLeft w:val="0"/>
                  <w:marRight w:val="0"/>
                  <w:marTop w:val="0"/>
                  <w:marBottom w:val="0"/>
                  <w:divBdr>
                    <w:top w:val="single" w:sz="6" w:space="0" w:color="CCCCCC"/>
                    <w:left w:val="single" w:sz="6" w:space="0" w:color="CCCCCC"/>
                    <w:bottom w:val="single" w:sz="6" w:space="0" w:color="CCCCCC"/>
                    <w:right w:val="single" w:sz="6" w:space="0" w:color="CCCCCC"/>
                  </w:divBdr>
                  <w:divsChild>
                    <w:div w:id="196891886">
                      <w:marLeft w:val="0"/>
                      <w:marRight w:val="0"/>
                      <w:marTop w:val="0"/>
                      <w:marBottom w:val="0"/>
                      <w:divBdr>
                        <w:top w:val="none" w:sz="0" w:space="0" w:color="auto"/>
                        <w:left w:val="none" w:sz="0" w:space="0" w:color="auto"/>
                        <w:bottom w:val="none" w:sz="0" w:space="0" w:color="auto"/>
                        <w:right w:val="none" w:sz="0" w:space="0" w:color="auto"/>
                      </w:divBdr>
                      <w:divsChild>
                        <w:div w:id="260338449">
                          <w:marLeft w:val="0"/>
                          <w:marRight w:val="0"/>
                          <w:marTop w:val="0"/>
                          <w:marBottom w:val="0"/>
                          <w:divBdr>
                            <w:top w:val="none" w:sz="0" w:space="0" w:color="auto"/>
                            <w:left w:val="none" w:sz="0" w:space="0" w:color="auto"/>
                            <w:bottom w:val="none" w:sz="0" w:space="0" w:color="auto"/>
                            <w:right w:val="none" w:sz="0" w:space="0" w:color="auto"/>
                          </w:divBdr>
                          <w:divsChild>
                            <w:div w:id="141000146">
                              <w:marLeft w:val="0"/>
                              <w:marRight w:val="0"/>
                              <w:marTop w:val="0"/>
                              <w:marBottom w:val="0"/>
                              <w:divBdr>
                                <w:top w:val="none" w:sz="0" w:space="0" w:color="auto"/>
                                <w:left w:val="none" w:sz="0" w:space="0" w:color="auto"/>
                                <w:bottom w:val="none" w:sz="0" w:space="0" w:color="auto"/>
                                <w:right w:val="none" w:sz="0" w:space="0" w:color="auto"/>
                              </w:divBdr>
                              <w:divsChild>
                                <w:div w:id="21307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854062">
      <w:bodyDiv w:val="1"/>
      <w:marLeft w:val="0"/>
      <w:marRight w:val="0"/>
      <w:marTop w:val="0"/>
      <w:marBottom w:val="0"/>
      <w:divBdr>
        <w:top w:val="none" w:sz="0" w:space="0" w:color="auto"/>
        <w:left w:val="none" w:sz="0" w:space="0" w:color="auto"/>
        <w:bottom w:val="none" w:sz="0" w:space="0" w:color="auto"/>
        <w:right w:val="none" w:sz="0" w:space="0" w:color="auto"/>
      </w:divBdr>
    </w:div>
    <w:div w:id="1704550587">
      <w:bodyDiv w:val="1"/>
      <w:marLeft w:val="0"/>
      <w:marRight w:val="0"/>
      <w:marTop w:val="0"/>
      <w:marBottom w:val="0"/>
      <w:divBdr>
        <w:top w:val="none" w:sz="0" w:space="0" w:color="auto"/>
        <w:left w:val="none" w:sz="0" w:space="0" w:color="auto"/>
        <w:bottom w:val="none" w:sz="0" w:space="0" w:color="auto"/>
        <w:right w:val="none" w:sz="0" w:space="0" w:color="auto"/>
      </w:divBdr>
      <w:divsChild>
        <w:div w:id="444152879">
          <w:marLeft w:val="0"/>
          <w:marRight w:val="0"/>
          <w:marTop w:val="0"/>
          <w:marBottom w:val="0"/>
          <w:divBdr>
            <w:top w:val="none" w:sz="0" w:space="0" w:color="auto"/>
            <w:left w:val="none" w:sz="0" w:space="0" w:color="auto"/>
            <w:bottom w:val="none" w:sz="0" w:space="0" w:color="auto"/>
            <w:right w:val="none" w:sz="0" w:space="0" w:color="auto"/>
          </w:divBdr>
          <w:divsChild>
            <w:div w:id="1937131929">
              <w:marLeft w:val="0"/>
              <w:marRight w:val="0"/>
              <w:marTop w:val="0"/>
              <w:marBottom w:val="0"/>
              <w:divBdr>
                <w:top w:val="none" w:sz="0" w:space="0" w:color="auto"/>
                <w:left w:val="none" w:sz="0" w:space="0" w:color="auto"/>
                <w:bottom w:val="none" w:sz="0" w:space="0" w:color="auto"/>
                <w:right w:val="none" w:sz="0" w:space="0" w:color="auto"/>
              </w:divBdr>
              <w:divsChild>
                <w:div w:id="79068238">
                  <w:marLeft w:val="0"/>
                  <w:marRight w:val="0"/>
                  <w:marTop w:val="0"/>
                  <w:marBottom w:val="0"/>
                  <w:divBdr>
                    <w:top w:val="single" w:sz="6" w:space="0" w:color="CCCCCC"/>
                    <w:left w:val="single" w:sz="6" w:space="0" w:color="CCCCCC"/>
                    <w:bottom w:val="single" w:sz="6" w:space="0" w:color="CCCCCC"/>
                    <w:right w:val="single" w:sz="6" w:space="0" w:color="CCCCCC"/>
                  </w:divBdr>
                  <w:divsChild>
                    <w:div w:id="1235429232">
                      <w:marLeft w:val="0"/>
                      <w:marRight w:val="0"/>
                      <w:marTop w:val="0"/>
                      <w:marBottom w:val="0"/>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sChild>
                            <w:div w:id="1600792678">
                              <w:marLeft w:val="0"/>
                              <w:marRight w:val="0"/>
                              <w:marTop w:val="0"/>
                              <w:marBottom w:val="0"/>
                              <w:divBdr>
                                <w:top w:val="none" w:sz="0" w:space="0" w:color="auto"/>
                                <w:left w:val="none" w:sz="0" w:space="0" w:color="auto"/>
                                <w:bottom w:val="none" w:sz="0" w:space="0" w:color="auto"/>
                                <w:right w:val="none" w:sz="0" w:space="0" w:color="auto"/>
                              </w:divBdr>
                              <w:divsChild>
                                <w:div w:id="4765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454184">
      <w:bodyDiv w:val="1"/>
      <w:marLeft w:val="0"/>
      <w:marRight w:val="0"/>
      <w:marTop w:val="0"/>
      <w:marBottom w:val="0"/>
      <w:divBdr>
        <w:top w:val="none" w:sz="0" w:space="0" w:color="auto"/>
        <w:left w:val="none" w:sz="0" w:space="0" w:color="auto"/>
        <w:bottom w:val="none" w:sz="0" w:space="0" w:color="auto"/>
        <w:right w:val="none" w:sz="0" w:space="0" w:color="auto"/>
      </w:divBdr>
      <w:divsChild>
        <w:div w:id="1796873491">
          <w:marLeft w:val="0"/>
          <w:marRight w:val="0"/>
          <w:marTop w:val="0"/>
          <w:marBottom w:val="0"/>
          <w:divBdr>
            <w:top w:val="none" w:sz="0" w:space="0" w:color="auto"/>
            <w:left w:val="none" w:sz="0" w:space="0" w:color="auto"/>
            <w:bottom w:val="none" w:sz="0" w:space="0" w:color="auto"/>
            <w:right w:val="none" w:sz="0" w:space="0" w:color="auto"/>
          </w:divBdr>
        </w:div>
      </w:divsChild>
    </w:div>
    <w:div w:id="1805729500">
      <w:bodyDiv w:val="1"/>
      <w:marLeft w:val="0"/>
      <w:marRight w:val="0"/>
      <w:marTop w:val="0"/>
      <w:marBottom w:val="0"/>
      <w:divBdr>
        <w:top w:val="none" w:sz="0" w:space="0" w:color="auto"/>
        <w:left w:val="none" w:sz="0" w:space="0" w:color="auto"/>
        <w:bottom w:val="none" w:sz="0" w:space="0" w:color="auto"/>
        <w:right w:val="none" w:sz="0" w:space="0" w:color="auto"/>
      </w:divBdr>
      <w:divsChild>
        <w:div w:id="341667840">
          <w:marLeft w:val="0"/>
          <w:marRight w:val="0"/>
          <w:marTop w:val="0"/>
          <w:marBottom w:val="0"/>
          <w:divBdr>
            <w:top w:val="none" w:sz="0" w:space="0" w:color="auto"/>
            <w:left w:val="none" w:sz="0" w:space="0" w:color="auto"/>
            <w:bottom w:val="none" w:sz="0" w:space="0" w:color="auto"/>
            <w:right w:val="none" w:sz="0" w:space="0" w:color="auto"/>
          </w:divBdr>
          <w:divsChild>
            <w:div w:id="126969186">
              <w:marLeft w:val="0"/>
              <w:marRight w:val="0"/>
              <w:marTop w:val="0"/>
              <w:marBottom w:val="0"/>
              <w:divBdr>
                <w:top w:val="none" w:sz="0" w:space="0" w:color="auto"/>
                <w:left w:val="none" w:sz="0" w:space="0" w:color="auto"/>
                <w:bottom w:val="none" w:sz="0" w:space="0" w:color="auto"/>
                <w:right w:val="none" w:sz="0" w:space="0" w:color="auto"/>
              </w:divBdr>
              <w:divsChild>
                <w:div w:id="1485731325">
                  <w:marLeft w:val="0"/>
                  <w:marRight w:val="0"/>
                  <w:marTop w:val="0"/>
                  <w:marBottom w:val="0"/>
                  <w:divBdr>
                    <w:top w:val="single" w:sz="6" w:space="0" w:color="CCCCCC"/>
                    <w:left w:val="single" w:sz="6" w:space="0" w:color="CCCCCC"/>
                    <w:bottom w:val="single" w:sz="6" w:space="0" w:color="CCCCCC"/>
                    <w:right w:val="single" w:sz="6" w:space="0" w:color="CCCCCC"/>
                  </w:divBdr>
                  <w:divsChild>
                    <w:div w:id="674191495">
                      <w:marLeft w:val="0"/>
                      <w:marRight w:val="0"/>
                      <w:marTop w:val="0"/>
                      <w:marBottom w:val="0"/>
                      <w:divBdr>
                        <w:top w:val="none" w:sz="0" w:space="0" w:color="auto"/>
                        <w:left w:val="none" w:sz="0" w:space="0" w:color="auto"/>
                        <w:bottom w:val="none" w:sz="0" w:space="0" w:color="auto"/>
                        <w:right w:val="none" w:sz="0" w:space="0" w:color="auto"/>
                      </w:divBdr>
                      <w:divsChild>
                        <w:div w:id="89275557">
                          <w:marLeft w:val="0"/>
                          <w:marRight w:val="0"/>
                          <w:marTop w:val="0"/>
                          <w:marBottom w:val="0"/>
                          <w:divBdr>
                            <w:top w:val="none" w:sz="0" w:space="0" w:color="auto"/>
                            <w:left w:val="none" w:sz="0" w:space="0" w:color="auto"/>
                            <w:bottom w:val="none" w:sz="0" w:space="0" w:color="auto"/>
                            <w:right w:val="none" w:sz="0" w:space="0" w:color="auto"/>
                          </w:divBdr>
                          <w:divsChild>
                            <w:div w:id="85658081">
                              <w:marLeft w:val="0"/>
                              <w:marRight w:val="0"/>
                              <w:marTop w:val="0"/>
                              <w:marBottom w:val="0"/>
                              <w:divBdr>
                                <w:top w:val="none" w:sz="0" w:space="0" w:color="auto"/>
                                <w:left w:val="none" w:sz="0" w:space="0" w:color="auto"/>
                                <w:bottom w:val="none" w:sz="0" w:space="0" w:color="auto"/>
                                <w:right w:val="none" w:sz="0" w:space="0" w:color="auto"/>
                              </w:divBdr>
                              <w:divsChild>
                                <w:div w:id="12669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11397">
      <w:bodyDiv w:val="1"/>
      <w:marLeft w:val="0"/>
      <w:marRight w:val="0"/>
      <w:marTop w:val="0"/>
      <w:marBottom w:val="0"/>
      <w:divBdr>
        <w:top w:val="none" w:sz="0" w:space="0" w:color="auto"/>
        <w:left w:val="none" w:sz="0" w:space="0" w:color="auto"/>
        <w:bottom w:val="none" w:sz="0" w:space="0" w:color="auto"/>
        <w:right w:val="none" w:sz="0" w:space="0" w:color="auto"/>
      </w:divBdr>
      <w:divsChild>
        <w:div w:id="1973628617">
          <w:marLeft w:val="0"/>
          <w:marRight w:val="0"/>
          <w:marTop w:val="0"/>
          <w:marBottom w:val="0"/>
          <w:divBdr>
            <w:top w:val="none" w:sz="0" w:space="0" w:color="auto"/>
            <w:left w:val="none" w:sz="0" w:space="0" w:color="auto"/>
            <w:bottom w:val="none" w:sz="0" w:space="0" w:color="auto"/>
            <w:right w:val="none" w:sz="0" w:space="0" w:color="auto"/>
          </w:divBdr>
          <w:divsChild>
            <w:div w:id="258949057">
              <w:marLeft w:val="0"/>
              <w:marRight w:val="0"/>
              <w:marTop w:val="0"/>
              <w:marBottom w:val="0"/>
              <w:divBdr>
                <w:top w:val="none" w:sz="0" w:space="0" w:color="auto"/>
                <w:left w:val="none" w:sz="0" w:space="0" w:color="auto"/>
                <w:bottom w:val="none" w:sz="0" w:space="0" w:color="auto"/>
                <w:right w:val="none" w:sz="0" w:space="0" w:color="auto"/>
              </w:divBdr>
              <w:divsChild>
                <w:div w:id="773016705">
                  <w:marLeft w:val="0"/>
                  <w:marRight w:val="0"/>
                  <w:marTop w:val="0"/>
                  <w:marBottom w:val="0"/>
                  <w:divBdr>
                    <w:top w:val="none" w:sz="0" w:space="0" w:color="auto"/>
                    <w:left w:val="none" w:sz="0" w:space="0" w:color="auto"/>
                    <w:bottom w:val="none" w:sz="0" w:space="0" w:color="auto"/>
                    <w:right w:val="none" w:sz="0" w:space="0" w:color="auto"/>
                  </w:divBdr>
                  <w:divsChild>
                    <w:div w:id="1871450364">
                      <w:marLeft w:val="0"/>
                      <w:marRight w:val="0"/>
                      <w:marTop w:val="0"/>
                      <w:marBottom w:val="0"/>
                      <w:divBdr>
                        <w:top w:val="none" w:sz="0" w:space="0" w:color="auto"/>
                        <w:left w:val="none" w:sz="0" w:space="0" w:color="auto"/>
                        <w:bottom w:val="none" w:sz="0" w:space="0" w:color="auto"/>
                        <w:right w:val="none" w:sz="0" w:space="0" w:color="auto"/>
                      </w:divBdr>
                      <w:divsChild>
                        <w:div w:id="58211859">
                          <w:marLeft w:val="0"/>
                          <w:marRight w:val="0"/>
                          <w:marTop w:val="0"/>
                          <w:marBottom w:val="0"/>
                          <w:divBdr>
                            <w:top w:val="none" w:sz="0" w:space="0" w:color="auto"/>
                            <w:left w:val="none" w:sz="0" w:space="0" w:color="auto"/>
                            <w:bottom w:val="none" w:sz="0" w:space="0" w:color="auto"/>
                            <w:right w:val="none" w:sz="0" w:space="0" w:color="auto"/>
                          </w:divBdr>
                          <w:divsChild>
                            <w:div w:id="18948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85415">
      <w:bodyDiv w:val="1"/>
      <w:marLeft w:val="0"/>
      <w:marRight w:val="0"/>
      <w:marTop w:val="0"/>
      <w:marBottom w:val="0"/>
      <w:divBdr>
        <w:top w:val="none" w:sz="0" w:space="0" w:color="auto"/>
        <w:left w:val="none" w:sz="0" w:space="0" w:color="auto"/>
        <w:bottom w:val="none" w:sz="0" w:space="0" w:color="auto"/>
        <w:right w:val="none" w:sz="0" w:space="0" w:color="auto"/>
      </w:divBdr>
      <w:divsChild>
        <w:div w:id="1992098475">
          <w:marLeft w:val="0"/>
          <w:marRight w:val="0"/>
          <w:marTop w:val="0"/>
          <w:marBottom w:val="0"/>
          <w:divBdr>
            <w:top w:val="none" w:sz="0" w:space="0" w:color="auto"/>
            <w:left w:val="none" w:sz="0" w:space="0" w:color="auto"/>
            <w:bottom w:val="none" w:sz="0" w:space="0" w:color="auto"/>
            <w:right w:val="none" w:sz="0" w:space="0" w:color="auto"/>
          </w:divBdr>
          <w:divsChild>
            <w:div w:id="1605840365">
              <w:marLeft w:val="0"/>
              <w:marRight w:val="0"/>
              <w:marTop w:val="0"/>
              <w:marBottom w:val="0"/>
              <w:divBdr>
                <w:top w:val="none" w:sz="0" w:space="0" w:color="auto"/>
                <w:left w:val="none" w:sz="0" w:space="0" w:color="auto"/>
                <w:bottom w:val="none" w:sz="0" w:space="0" w:color="auto"/>
                <w:right w:val="none" w:sz="0" w:space="0" w:color="auto"/>
              </w:divBdr>
              <w:divsChild>
                <w:div w:id="545335855">
                  <w:marLeft w:val="0"/>
                  <w:marRight w:val="0"/>
                  <w:marTop w:val="0"/>
                  <w:marBottom w:val="0"/>
                  <w:divBdr>
                    <w:top w:val="none" w:sz="0" w:space="0" w:color="auto"/>
                    <w:left w:val="none" w:sz="0" w:space="0" w:color="auto"/>
                    <w:bottom w:val="none" w:sz="0" w:space="0" w:color="auto"/>
                    <w:right w:val="none" w:sz="0" w:space="0" w:color="auto"/>
                  </w:divBdr>
                  <w:divsChild>
                    <w:div w:id="51856590">
                      <w:marLeft w:val="0"/>
                      <w:marRight w:val="0"/>
                      <w:marTop w:val="0"/>
                      <w:marBottom w:val="0"/>
                      <w:divBdr>
                        <w:top w:val="none" w:sz="0" w:space="0" w:color="auto"/>
                        <w:left w:val="none" w:sz="0" w:space="0" w:color="auto"/>
                        <w:bottom w:val="none" w:sz="0" w:space="0" w:color="auto"/>
                        <w:right w:val="none" w:sz="0" w:space="0" w:color="auto"/>
                      </w:divBdr>
                      <w:divsChild>
                        <w:div w:id="1969776811">
                          <w:marLeft w:val="0"/>
                          <w:marRight w:val="0"/>
                          <w:marTop w:val="0"/>
                          <w:marBottom w:val="0"/>
                          <w:divBdr>
                            <w:top w:val="none" w:sz="0" w:space="0" w:color="auto"/>
                            <w:left w:val="none" w:sz="0" w:space="0" w:color="auto"/>
                            <w:bottom w:val="none" w:sz="0" w:space="0" w:color="auto"/>
                            <w:right w:val="none" w:sz="0" w:space="0" w:color="auto"/>
                          </w:divBdr>
                          <w:divsChild>
                            <w:div w:id="11362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441018">
      <w:bodyDiv w:val="1"/>
      <w:marLeft w:val="0"/>
      <w:marRight w:val="0"/>
      <w:marTop w:val="0"/>
      <w:marBottom w:val="0"/>
      <w:divBdr>
        <w:top w:val="none" w:sz="0" w:space="0" w:color="auto"/>
        <w:left w:val="none" w:sz="0" w:space="0" w:color="auto"/>
        <w:bottom w:val="none" w:sz="0" w:space="0" w:color="auto"/>
        <w:right w:val="none" w:sz="0" w:space="0" w:color="auto"/>
      </w:divBdr>
      <w:divsChild>
        <w:div w:id="1305819410">
          <w:marLeft w:val="0"/>
          <w:marRight w:val="0"/>
          <w:marTop w:val="0"/>
          <w:marBottom w:val="0"/>
          <w:divBdr>
            <w:top w:val="none" w:sz="0" w:space="0" w:color="auto"/>
            <w:left w:val="none" w:sz="0" w:space="0" w:color="auto"/>
            <w:bottom w:val="none" w:sz="0" w:space="0" w:color="auto"/>
            <w:right w:val="none" w:sz="0" w:space="0" w:color="auto"/>
          </w:divBdr>
          <w:divsChild>
            <w:div w:id="817452787">
              <w:marLeft w:val="0"/>
              <w:marRight w:val="0"/>
              <w:marTop w:val="0"/>
              <w:marBottom w:val="0"/>
              <w:divBdr>
                <w:top w:val="none" w:sz="0" w:space="0" w:color="auto"/>
                <w:left w:val="none" w:sz="0" w:space="0" w:color="auto"/>
                <w:bottom w:val="none" w:sz="0" w:space="0" w:color="auto"/>
                <w:right w:val="none" w:sz="0" w:space="0" w:color="auto"/>
              </w:divBdr>
              <w:divsChild>
                <w:div w:id="1171488171">
                  <w:marLeft w:val="0"/>
                  <w:marRight w:val="0"/>
                  <w:marTop w:val="0"/>
                  <w:marBottom w:val="0"/>
                  <w:divBdr>
                    <w:top w:val="none" w:sz="0" w:space="0" w:color="auto"/>
                    <w:left w:val="none" w:sz="0" w:space="0" w:color="auto"/>
                    <w:bottom w:val="none" w:sz="0" w:space="0" w:color="auto"/>
                    <w:right w:val="none" w:sz="0" w:space="0" w:color="auto"/>
                  </w:divBdr>
                  <w:divsChild>
                    <w:div w:id="1195770942">
                      <w:marLeft w:val="0"/>
                      <w:marRight w:val="0"/>
                      <w:marTop w:val="0"/>
                      <w:marBottom w:val="0"/>
                      <w:divBdr>
                        <w:top w:val="none" w:sz="0" w:space="0" w:color="auto"/>
                        <w:left w:val="none" w:sz="0" w:space="0" w:color="auto"/>
                        <w:bottom w:val="none" w:sz="0" w:space="0" w:color="auto"/>
                        <w:right w:val="none" w:sz="0" w:space="0" w:color="auto"/>
                      </w:divBdr>
                      <w:divsChild>
                        <w:div w:id="1303921557">
                          <w:marLeft w:val="0"/>
                          <w:marRight w:val="0"/>
                          <w:marTop w:val="0"/>
                          <w:marBottom w:val="0"/>
                          <w:divBdr>
                            <w:top w:val="none" w:sz="0" w:space="0" w:color="auto"/>
                            <w:left w:val="none" w:sz="0" w:space="0" w:color="auto"/>
                            <w:bottom w:val="none" w:sz="0" w:space="0" w:color="auto"/>
                            <w:right w:val="none" w:sz="0" w:space="0" w:color="auto"/>
                          </w:divBdr>
                          <w:divsChild>
                            <w:div w:id="943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700519">
      <w:bodyDiv w:val="1"/>
      <w:marLeft w:val="0"/>
      <w:marRight w:val="0"/>
      <w:marTop w:val="0"/>
      <w:marBottom w:val="0"/>
      <w:divBdr>
        <w:top w:val="none" w:sz="0" w:space="0" w:color="auto"/>
        <w:left w:val="none" w:sz="0" w:space="0" w:color="auto"/>
        <w:bottom w:val="none" w:sz="0" w:space="0" w:color="auto"/>
        <w:right w:val="none" w:sz="0" w:space="0" w:color="auto"/>
      </w:divBdr>
      <w:divsChild>
        <w:div w:id="777337643">
          <w:marLeft w:val="0"/>
          <w:marRight w:val="0"/>
          <w:marTop w:val="0"/>
          <w:marBottom w:val="0"/>
          <w:divBdr>
            <w:top w:val="none" w:sz="0" w:space="0" w:color="auto"/>
            <w:left w:val="none" w:sz="0" w:space="0" w:color="auto"/>
            <w:bottom w:val="none" w:sz="0" w:space="0" w:color="auto"/>
            <w:right w:val="none" w:sz="0" w:space="0" w:color="auto"/>
          </w:divBdr>
          <w:divsChild>
            <w:div w:id="395785164">
              <w:marLeft w:val="0"/>
              <w:marRight w:val="0"/>
              <w:marTop w:val="0"/>
              <w:marBottom w:val="0"/>
              <w:divBdr>
                <w:top w:val="none" w:sz="0" w:space="0" w:color="auto"/>
                <w:left w:val="none" w:sz="0" w:space="0" w:color="auto"/>
                <w:bottom w:val="none" w:sz="0" w:space="0" w:color="auto"/>
                <w:right w:val="none" w:sz="0" w:space="0" w:color="auto"/>
              </w:divBdr>
              <w:divsChild>
                <w:div w:id="38210605">
                  <w:marLeft w:val="0"/>
                  <w:marRight w:val="0"/>
                  <w:marTop w:val="0"/>
                  <w:marBottom w:val="0"/>
                  <w:divBdr>
                    <w:top w:val="single" w:sz="6" w:space="0" w:color="CCCCCC"/>
                    <w:left w:val="single" w:sz="6" w:space="0" w:color="CCCCCC"/>
                    <w:bottom w:val="single" w:sz="6" w:space="0" w:color="CCCCCC"/>
                    <w:right w:val="single" w:sz="6" w:space="0" w:color="CCCCCC"/>
                  </w:divBdr>
                  <w:divsChild>
                    <w:div w:id="241180524">
                      <w:marLeft w:val="0"/>
                      <w:marRight w:val="0"/>
                      <w:marTop w:val="0"/>
                      <w:marBottom w:val="0"/>
                      <w:divBdr>
                        <w:top w:val="none" w:sz="0" w:space="0" w:color="auto"/>
                        <w:left w:val="none" w:sz="0" w:space="0" w:color="auto"/>
                        <w:bottom w:val="none" w:sz="0" w:space="0" w:color="auto"/>
                        <w:right w:val="none" w:sz="0" w:space="0" w:color="auto"/>
                      </w:divBdr>
                      <w:divsChild>
                        <w:div w:id="1290354966">
                          <w:marLeft w:val="0"/>
                          <w:marRight w:val="0"/>
                          <w:marTop w:val="0"/>
                          <w:marBottom w:val="0"/>
                          <w:divBdr>
                            <w:top w:val="none" w:sz="0" w:space="0" w:color="auto"/>
                            <w:left w:val="none" w:sz="0" w:space="0" w:color="auto"/>
                            <w:bottom w:val="none" w:sz="0" w:space="0" w:color="auto"/>
                            <w:right w:val="none" w:sz="0" w:space="0" w:color="auto"/>
                          </w:divBdr>
                          <w:divsChild>
                            <w:div w:id="621309655">
                              <w:marLeft w:val="0"/>
                              <w:marRight w:val="0"/>
                              <w:marTop w:val="0"/>
                              <w:marBottom w:val="0"/>
                              <w:divBdr>
                                <w:top w:val="none" w:sz="0" w:space="0" w:color="auto"/>
                                <w:left w:val="none" w:sz="0" w:space="0" w:color="auto"/>
                                <w:bottom w:val="none" w:sz="0" w:space="0" w:color="auto"/>
                                <w:right w:val="none" w:sz="0" w:space="0" w:color="auto"/>
                              </w:divBdr>
                              <w:divsChild>
                                <w:div w:id="556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399490">
      <w:bodyDiv w:val="1"/>
      <w:marLeft w:val="0"/>
      <w:marRight w:val="0"/>
      <w:marTop w:val="0"/>
      <w:marBottom w:val="0"/>
      <w:divBdr>
        <w:top w:val="none" w:sz="0" w:space="0" w:color="auto"/>
        <w:left w:val="none" w:sz="0" w:space="0" w:color="auto"/>
        <w:bottom w:val="none" w:sz="0" w:space="0" w:color="auto"/>
        <w:right w:val="none" w:sz="0" w:space="0" w:color="auto"/>
      </w:divBdr>
    </w:div>
    <w:div w:id="2133550142">
      <w:bodyDiv w:val="1"/>
      <w:marLeft w:val="0"/>
      <w:marRight w:val="0"/>
      <w:marTop w:val="0"/>
      <w:marBottom w:val="0"/>
      <w:divBdr>
        <w:top w:val="none" w:sz="0" w:space="0" w:color="auto"/>
        <w:left w:val="none" w:sz="0" w:space="0" w:color="auto"/>
        <w:bottom w:val="none" w:sz="0" w:space="0" w:color="auto"/>
        <w:right w:val="none" w:sz="0" w:space="0" w:color="auto"/>
      </w:divBdr>
      <w:divsChild>
        <w:div w:id="1962178428">
          <w:marLeft w:val="0"/>
          <w:marRight w:val="0"/>
          <w:marTop w:val="0"/>
          <w:marBottom w:val="0"/>
          <w:divBdr>
            <w:top w:val="none" w:sz="0" w:space="0" w:color="auto"/>
            <w:left w:val="none" w:sz="0" w:space="0" w:color="auto"/>
            <w:bottom w:val="none" w:sz="0" w:space="0" w:color="auto"/>
            <w:right w:val="none" w:sz="0" w:space="0" w:color="auto"/>
          </w:divBdr>
          <w:divsChild>
            <w:div w:id="1962151443">
              <w:marLeft w:val="0"/>
              <w:marRight w:val="0"/>
              <w:marTop w:val="0"/>
              <w:marBottom w:val="0"/>
              <w:divBdr>
                <w:top w:val="none" w:sz="0" w:space="0" w:color="auto"/>
                <w:left w:val="none" w:sz="0" w:space="0" w:color="auto"/>
                <w:bottom w:val="none" w:sz="0" w:space="0" w:color="auto"/>
                <w:right w:val="none" w:sz="0" w:space="0" w:color="auto"/>
              </w:divBdr>
              <w:divsChild>
                <w:div w:id="1906716191">
                  <w:marLeft w:val="0"/>
                  <w:marRight w:val="0"/>
                  <w:marTop w:val="0"/>
                  <w:marBottom w:val="0"/>
                  <w:divBdr>
                    <w:top w:val="single" w:sz="6" w:space="0" w:color="CCCCCC"/>
                    <w:left w:val="single" w:sz="6" w:space="0" w:color="CCCCCC"/>
                    <w:bottom w:val="single" w:sz="6" w:space="0" w:color="CCCCCC"/>
                    <w:right w:val="single" w:sz="6" w:space="0" w:color="CCCCCC"/>
                  </w:divBdr>
                  <w:divsChild>
                    <w:div w:id="464472893">
                      <w:marLeft w:val="0"/>
                      <w:marRight w:val="0"/>
                      <w:marTop w:val="0"/>
                      <w:marBottom w:val="0"/>
                      <w:divBdr>
                        <w:top w:val="none" w:sz="0" w:space="0" w:color="auto"/>
                        <w:left w:val="none" w:sz="0" w:space="0" w:color="auto"/>
                        <w:bottom w:val="none" w:sz="0" w:space="0" w:color="auto"/>
                        <w:right w:val="none" w:sz="0" w:space="0" w:color="auto"/>
                      </w:divBdr>
                      <w:divsChild>
                        <w:div w:id="1874922331">
                          <w:marLeft w:val="0"/>
                          <w:marRight w:val="0"/>
                          <w:marTop w:val="0"/>
                          <w:marBottom w:val="0"/>
                          <w:divBdr>
                            <w:top w:val="none" w:sz="0" w:space="0" w:color="auto"/>
                            <w:left w:val="none" w:sz="0" w:space="0" w:color="auto"/>
                            <w:bottom w:val="none" w:sz="0" w:space="0" w:color="auto"/>
                            <w:right w:val="none" w:sz="0" w:space="0" w:color="auto"/>
                          </w:divBdr>
                          <w:divsChild>
                            <w:div w:id="515969145">
                              <w:marLeft w:val="0"/>
                              <w:marRight w:val="0"/>
                              <w:marTop w:val="0"/>
                              <w:marBottom w:val="0"/>
                              <w:divBdr>
                                <w:top w:val="none" w:sz="0" w:space="0" w:color="auto"/>
                                <w:left w:val="none" w:sz="0" w:space="0" w:color="auto"/>
                                <w:bottom w:val="none" w:sz="0" w:space="0" w:color="auto"/>
                                <w:right w:val="none" w:sz="0" w:space="0" w:color="auto"/>
                              </w:divBdr>
                              <w:divsChild>
                                <w:div w:id="150257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1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global-accounts-of-housing-providers" TargetMode="External"/><Relationship Id="rId7" Type="http://schemas.openxmlformats.org/officeDocument/2006/relationships/hyperlink" Target="https://www.gov.uk/government/collections/global-accounts-of-housing-providers" TargetMode="External"/><Relationship Id="rId2" Type="http://schemas.openxmlformats.org/officeDocument/2006/relationships/hyperlink" Target="https://www.gov.uk/government/collections/rents-lettings-and-tenancies" TargetMode="External"/><Relationship Id="rId1" Type="http://schemas.openxmlformats.org/officeDocument/2006/relationships/hyperlink" Target="https://www.gov.uk/government/statistical-data-sets/live-tables-on-social-housing-sales" TargetMode="External"/><Relationship Id="rId6" Type="http://schemas.openxmlformats.org/officeDocument/2006/relationships/hyperlink" Target="https://www.gov.uk/government/collections/global-accounts-of-housing-providers" TargetMode="External"/><Relationship Id="rId5" Type="http://schemas.openxmlformats.org/officeDocument/2006/relationships/hyperlink" Target="https://www.gov.uk/government/collections/global-accounts-of-housing-providers" TargetMode="External"/><Relationship Id="rId4" Type="http://schemas.openxmlformats.org/officeDocument/2006/relationships/hyperlink" Target="https://www.gov.uk/government/collections/global-accounts-of-housing-provider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fs\lc794\w2k\Desktop\Draft%20Outputs\Austerity%20and%20the%20regulatory%20welfare%20state\Revised\Resources\HA%20total%20investment_Figure%202.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userfs\lc794\w2k\Desktop\Draft%20Outputs\Economic%20Geography%20and%20Regulatory%20State\Austerity%20politics%20meets%20economic%20geographY\Private%20rental%20affordability.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userfs\lc794\w2k\Desktop\Draft%20Outputs\Economic%20Geography%20and%20Regulatory%20State\Austerity%20politics%20meets%20economic%20geographY\Regional_breakdown_surplus_build_conv.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userfs\lc794\w2k\Desktop\Draft%20Outputs\Economic%20Geography%20and%20Regulatory%20State\AR%20as%20proportion%20of%20market%20rate.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userfs\lc794\w2k\Desktop\Draft%20Outputs\Economic%20Geography%20and%20Regulatory%20State\Austerity%20politics%20meets%20economic%20geographY\Conversions_by%20region.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userfs\lc794\w2k\Desktop\Draft%20Outputs\Economic%20Geography%20and%20Regulatory%20State\Austerity%20politics%20meets%20economic%20geographY\Affordable%20completions_by%20reg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Sheet1!$A$11</c:f>
              <c:strCache>
                <c:ptCount val="1"/>
                <c:pt idx="0">
                  <c:v>HCA</c:v>
                </c:pt>
              </c:strCache>
            </c:strRef>
          </c:tx>
          <c:marker>
            <c:symbol val="none"/>
          </c:marker>
          <c:cat>
            <c:numRef>
              <c:f>Sheet1!$B$10:$X$10</c:f>
              <c:numCache>
                <c:formatCode>General</c:formatCode>
                <c:ptCount val="23"/>
                <c:pt idx="0">
                  <c:v>1987</c:v>
                </c:pt>
                <c:pt idx="1">
                  <c:v>1991</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Sheet1!$B$11:$X$11</c:f>
              <c:numCache>
                <c:formatCode>General</c:formatCode>
                <c:ptCount val="23"/>
                <c:pt idx="0">
                  <c:v>0.80900000000000005</c:v>
                </c:pt>
                <c:pt idx="1">
                  <c:v>1.234</c:v>
                </c:pt>
                <c:pt idx="2">
                  <c:v>1.1830000000000001</c:v>
                </c:pt>
                <c:pt idx="3">
                  <c:v>1.0780000000000001</c:v>
                </c:pt>
                <c:pt idx="4">
                  <c:v>0.68400000000000005</c:v>
                </c:pt>
                <c:pt idx="5">
                  <c:v>0.60699999999999998</c:v>
                </c:pt>
                <c:pt idx="6">
                  <c:v>0.63800000000000001</c:v>
                </c:pt>
                <c:pt idx="7">
                  <c:v>0.71699999999999997</c:v>
                </c:pt>
                <c:pt idx="8">
                  <c:v>0.77500000000000002</c:v>
                </c:pt>
                <c:pt idx="9">
                  <c:v>0.92100000000000004</c:v>
                </c:pt>
                <c:pt idx="10">
                  <c:v>1.8169999999999999</c:v>
                </c:pt>
                <c:pt idx="11">
                  <c:v>1.6779999999999999</c:v>
                </c:pt>
                <c:pt idx="12">
                  <c:v>1.6</c:v>
                </c:pt>
                <c:pt idx="13">
                  <c:v>1.9510000000000001</c:v>
                </c:pt>
                <c:pt idx="14">
                  <c:v>2.0630000000000002</c:v>
                </c:pt>
                <c:pt idx="15">
                  <c:v>2.6120000000000001</c:v>
                </c:pt>
                <c:pt idx="16">
                  <c:v>3.7639999999999998</c:v>
                </c:pt>
                <c:pt idx="17">
                  <c:v>2.5089999999999999</c:v>
                </c:pt>
                <c:pt idx="18">
                  <c:v>1.47</c:v>
                </c:pt>
                <c:pt idx="19">
                  <c:v>0.51300000000000001</c:v>
                </c:pt>
                <c:pt idx="20">
                  <c:v>0.45900000000000002</c:v>
                </c:pt>
                <c:pt idx="21">
                  <c:v>0.61199999999999999</c:v>
                </c:pt>
                <c:pt idx="22">
                  <c:v>0.28499999999999998</c:v>
                </c:pt>
              </c:numCache>
            </c:numRef>
          </c:val>
          <c:smooth val="0"/>
          <c:extLst>
            <c:ext xmlns:c16="http://schemas.microsoft.com/office/drawing/2014/chart" uri="{C3380CC4-5D6E-409C-BE32-E72D297353CC}">
              <c16:uniqueId val="{00000000-E44F-45E1-9DA8-64417767B6FD}"/>
            </c:ext>
          </c:extLst>
        </c:ser>
        <c:ser>
          <c:idx val="1"/>
          <c:order val="1"/>
          <c:tx>
            <c:strRef>
              <c:f>Sheet1!$A$12</c:f>
              <c:strCache>
                <c:ptCount val="1"/>
                <c:pt idx="0">
                  <c:v>Private finance</c:v>
                </c:pt>
              </c:strCache>
            </c:strRef>
          </c:tx>
          <c:marker>
            <c:symbol val="none"/>
          </c:marker>
          <c:cat>
            <c:numRef>
              <c:f>Sheet1!$B$10:$X$10</c:f>
              <c:numCache>
                <c:formatCode>General</c:formatCode>
                <c:ptCount val="23"/>
                <c:pt idx="0">
                  <c:v>1987</c:v>
                </c:pt>
                <c:pt idx="1">
                  <c:v>1991</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numCache>
            </c:numRef>
          </c:cat>
          <c:val>
            <c:numRef>
              <c:f>Sheet1!$B$12:$X$12</c:f>
              <c:numCache>
                <c:formatCode>General</c:formatCode>
                <c:ptCount val="23"/>
                <c:pt idx="0">
                  <c:v>0</c:v>
                </c:pt>
                <c:pt idx="1">
                  <c:v>0.25</c:v>
                </c:pt>
                <c:pt idx="2">
                  <c:v>1.4750000000000001</c:v>
                </c:pt>
                <c:pt idx="3">
                  <c:v>1.4750000000000001</c:v>
                </c:pt>
                <c:pt idx="4">
                  <c:v>1.175</c:v>
                </c:pt>
                <c:pt idx="5">
                  <c:v>1.0249999999999999</c:v>
                </c:pt>
                <c:pt idx="6">
                  <c:v>0.875</c:v>
                </c:pt>
                <c:pt idx="7">
                  <c:v>1.05</c:v>
                </c:pt>
                <c:pt idx="8">
                  <c:v>0.6</c:v>
                </c:pt>
                <c:pt idx="9">
                  <c:v>0.8</c:v>
                </c:pt>
                <c:pt idx="10">
                  <c:v>1.6</c:v>
                </c:pt>
                <c:pt idx="11">
                  <c:v>1.4</c:v>
                </c:pt>
                <c:pt idx="12">
                  <c:v>1.2</c:v>
                </c:pt>
                <c:pt idx="13">
                  <c:v>1.7</c:v>
                </c:pt>
                <c:pt idx="14">
                  <c:v>1.8</c:v>
                </c:pt>
                <c:pt idx="15">
                  <c:v>4.0999999999999996</c:v>
                </c:pt>
                <c:pt idx="16">
                  <c:v>5.9</c:v>
                </c:pt>
                <c:pt idx="17">
                  <c:v>3.9</c:v>
                </c:pt>
                <c:pt idx="18">
                  <c:v>2.2999999999999998</c:v>
                </c:pt>
                <c:pt idx="19">
                  <c:v>2.2999999999999998</c:v>
                </c:pt>
                <c:pt idx="20">
                  <c:v>2</c:v>
                </c:pt>
                <c:pt idx="21">
                  <c:v>3.5</c:v>
                </c:pt>
                <c:pt idx="22">
                  <c:v>1.7</c:v>
                </c:pt>
              </c:numCache>
            </c:numRef>
          </c:val>
          <c:smooth val="0"/>
          <c:extLst>
            <c:ext xmlns:c16="http://schemas.microsoft.com/office/drawing/2014/chart" uri="{C3380CC4-5D6E-409C-BE32-E72D297353CC}">
              <c16:uniqueId val="{00000001-E44F-45E1-9DA8-64417767B6FD}"/>
            </c:ext>
          </c:extLst>
        </c:ser>
        <c:dLbls>
          <c:showLegendKey val="0"/>
          <c:showVal val="0"/>
          <c:showCatName val="0"/>
          <c:showSerName val="0"/>
          <c:showPercent val="0"/>
          <c:showBubbleSize val="0"/>
        </c:dLbls>
        <c:smooth val="0"/>
        <c:axId val="90040576"/>
        <c:axId val="35266560"/>
      </c:lineChart>
      <c:catAx>
        <c:axId val="90040576"/>
        <c:scaling>
          <c:orientation val="minMax"/>
        </c:scaling>
        <c:delete val="0"/>
        <c:axPos val="b"/>
        <c:numFmt formatCode="General" sourceLinked="1"/>
        <c:majorTickMark val="out"/>
        <c:minorTickMark val="none"/>
        <c:tickLblPos val="nextTo"/>
        <c:crossAx val="35266560"/>
        <c:crosses val="autoZero"/>
        <c:auto val="1"/>
        <c:lblAlgn val="ctr"/>
        <c:lblOffset val="100"/>
        <c:noMultiLvlLbl val="0"/>
      </c:catAx>
      <c:valAx>
        <c:axId val="35266560"/>
        <c:scaling>
          <c:orientation val="minMax"/>
        </c:scaling>
        <c:delete val="0"/>
        <c:axPos val="l"/>
        <c:majorGridlines/>
        <c:numFmt formatCode="General" sourceLinked="1"/>
        <c:majorTickMark val="out"/>
        <c:minorTickMark val="none"/>
        <c:tickLblPos val="nextTo"/>
        <c:crossAx val="90040576"/>
        <c:crosses val="autoZero"/>
        <c:crossBetween val="between"/>
      </c:valAx>
    </c:plotArea>
    <c:legend>
      <c:legendPos val="b"/>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2: Private</a:t>
            </a:r>
            <a:r>
              <a:rPr lang="en-GB" baseline="0"/>
              <a:t> rental affordability, by region (2016)</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Median private rent as proportion of median income</c:v>
          </c:tx>
          <c:spPr>
            <a:solidFill>
              <a:schemeClr val="accent1"/>
            </a:solidFill>
            <a:ln>
              <a:noFill/>
            </a:ln>
            <a:effectLst/>
          </c:spPr>
          <c:invertIfNegative val="0"/>
          <c:cat>
            <c:strRef>
              <c:f>Sheet1!$A$2:$A$10</c:f>
              <c:strCache>
                <c:ptCount val="9"/>
                <c:pt idx="0">
                  <c:v>East Midlands</c:v>
                </c:pt>
                <c:pt idx="1">
                  <c:v>East of England</c:v>
                </c:pt>
                <c:pt idx="2">
                  <c:v>London</c:v>
                </c:pt>
                <c:pt idx="3">
                  <c:v>North East</c:v>
                </c:pt>
                <c:pt idx="4">
                  <c:v>North West</c:v>
                </c:pt>
                <c:pt idx="5">
                  <c:v>South East</c:v>
                </c:pt>
                <c:pt idx="6">
                  <c:v>South West</c:v>
                </c:pt>
                <c:pt idx="7">
                  <c:v>West Midlands</c:v>
                </c:pt>
                <c:pt idx="8">
                  <c:v>Yorkshire and The Humber</c:v>
                </c:pt>
              </c:strCache>
            </c:strRef>
          </c:cat>
          <c:val>
            <c:numRef>
              <c:f>Sheet1!$B$2:$B$10</c:f>
              <c:numCache>
                <c:formatCode>General</c:formatCode>
                <c:ptCount val="9"/>
                <c:pt idx="0">
                  <c:v>25.91</c:v>
                </c:pt>
                <c:pt idx="1">
                  <c:v>31.19</c:v>
                </c:pt>
                <c:pt idx="2">
                  <c:v>48.87</c:v>
                </c:pt>
                <c:pt idx="3">
                  <c:v>22.53</c:v>
                </c:pt>
                <c:pt idx="4">
                  <c:v>24.03</c:v>
                </c:pt>
                <c:pt idx="5">
                  <c:v>34.340000000000003</c:v>
                </c:pt>
                <c:pt idx="6">
                  <c:v>30.71</c:v>
                </c:pt>
                <c:pt idx="7">
                  <c:v>26.18</c:v>
                </c:pt>
                <c:pt idx="8">
                  <c:v>23.12</c:v>
                </c:pt>
              </c:numCache>
            </c:numRef>
          </c:val>
          <c:extLst>
            <c:ext xmlns:c16="http://schemas.microsoft.com/office/drawing/2014/chart" uri="{C3380CC4-5D6E-409C-BE32-E72D297353CC}">
              <c16:uniqueId val="{00000000-411A-4EAC-885B-D4276FFF6E56}"/>
            </c:ext>
          </c:extLst>
        </c:ser>
        <c:dLbls>
          <c:showLegendKey val="0"/>
          <c:showVal val="0"/>
          <c:showCatName val="0"/>
          <c:showSerName val="0"/>
          <c:showPercent val="0"/>
          <c:showBubbleSize val="0"/>
        </c:dLbls>
        <c:gapWidth val="75"/>
        <c:overlap val="-25"/>
        <c:axId val="537717384"/>
        <c:axId val="537716400"/>
      </c:barChart>
      <c:catAx>
        <c:axId val="537717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716400"/>
        <c:crosses val="autoZero"/>
        <c:auto val="1"/>
        <c:lblAlgn val="ctr"/>
        <c:lblOffset val="100"/>
        <c:noMultiLvlLbl val="0"/>
      </c:catAx>
      <c:valAx>
        <c:axId val="53771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717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3: HA commerical surplus 2015-17 (£m), by region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Market sales</c:v>
          </c:tx>
          <c:spPr>
            <a:solidFill>
              <a:schemeClr val="accent1"/>
            </a:solidFill>
            <a:ln>
              <a:noFill/>
            </a:ln>
            <a:effectLst/>
          </c:spPr>
          <c:invertIfNegative val="0"/>
          <c:cat>
            <c:strRef>
              <c:f>Regional!$A$2:$A$10</c:f>
              <c:strCache>
                <c:ptCount val="9"/>
                <c:pt idx="0">
                  <c:v>East Midlands</c:v>
                </c:pt>
                <c:pt idx="1">
                  <c:v>East of England</c:v>
                </c:pt>
                <c:pt idx="2">
                  <c:v>London</c:v>
                </c:pt>
                <c:pt idx="3">
                  <c:v>North East</c:v>
                </c:pt>
                <c:pt idx="4">
                  <c:v>North West</c:v>
                </c:pt>
                <c:pt idx="5">
                  <c:v>South East</c:v>
                </c:pt>
                <c:pt idx="6">
                  <c:v>South West</c:v>
                </c:pt>
                <c:pt idx="7">
                  <c:v>West Midlands</c:v>
                </c:pt>
                <c:pt idx="8">
                  <c:v>Yorkshire</c:v>
                </c:pt>
              </c:strCache>
            </c:strRef>
          </c:cat>
          <c:val>
            <c:numRef>
              <c:f>Regional!$W$2:$W$10</c:f>
              <c:numCache>
                <c:formatCode>General</c:formatCode>
                <c:ptCount val="9"/>
                <c:pt idx="0">
                  <c:v>6.0000000000000001E-3</c:v>
                </c:pt>
                <c:pt idx="1">
                  <c:v>2.73</c:v>
                </c:pt>
                <c:pt idx="2">
                  <c:v>56.918999999999997</c:v>
                </c:pt>
                <c:pt idx="3">
                  <c:v>0.84499999999999997</c:v>
                </c:pt>
                <c:pt idx="4">
                  <c:v>2.9460000000000002</c:v>
                </c:pt>
                <c:pt idx="5">
                  <c:v>-1.3049999999999999</c:v>
                </c:pt>
                <c:pt idx="6">
                  <c:v>1.9359999999999999</c:v>
                </c:pt>
                <c:pt idx="7">
                  <c:v>2.8159999999999998</c:v>
                </c:pt>
                <c:pt idx="8">
                  <c:v>0.34300000000000003</c:v>
                </c:pt>
              </c:numCache>
            </c:numRef>
          </c:val>
          <c:extLst>
            <c:ext xmlns:c16="http://schemas.microsoft.com/office/drawing/2014/chart" uri="{C3380CC4-5D6E-409C-BE32-E72D297353CC}">
              <c16:uniqueId val="{00000000-E10D-4B76-B8A0-F9862CB424B1}"/>
            </c:ext>
          </c:extLst>
        </c:ser>
        <c:ser>
          <c:idx val="1"/>
          <c:order val="1"/>
          <c:tx>
            <c:v>Market rent</c:v>
          </c:tx>
          <c:spPr>
            <a:solidFill>
              <a:schemeClr val="accent2"/>
            </a:solidFill>
            <a:ln>
              <a:noFill/>
            </a:ln>
            <a:effectLst/>
          </c:spPr>
          <c:invertIfNegative val="0"/>
          <c:cat>
            <c:strRef>
              <c:f>Regional!$A$2:$A$10</c:f>
              <c:strCache>
                <c:ptCount val="9"/>
                <c:pt idx="0">
                  <c:v>East Midlands</c:v>
                </c:pt>
                <c:pt idx="1">
                  <c:v>East of England</c:v>
                </c:pt>
                <c:pt idx="2">
                  <c:v>London</c:v>
                </c:pt>
                <c:pt idx="3">
                  <c:v>North East</c:v>
                </c:pt>
                <c:pt idx="4">
                  <c:v>North West</c:v>
                </c:pt>
                <c:pt idx="5">
                  <c:v>South East</c:v>
                </c:pt>
                <c:pt idx="6">
                  <c:v>South West</c:v>
                </c:pt>
                <c:pt idx="7">
                  <c:v>West Midlands</c:v>
                </c:pt>
                <c:pt idx="8">
                  <c:v>Yorkshire</c:v>
                </c:pt>
              </c:strCache>
            </c:strRef>
          </c:cat>
          <c:val>
            <c:numRef>
              <c:f>Regional!$X$2:$X$10</c:f>
              <c:numCache>
                <c:formatCode>General</c:formatCode>
                <c:ptCount val="9"/>
                <c:pt idx="0">
                  <c:v>6.1820000000000004</c:v>
                </c:pt>
                <c:pt idx="1">
                  <c:v>28.024000000000001</c:v>
                </c:pt>
                <c:pt idx="2">
                  <c:v>68.504999999999995</c:v>
                </c:pt>
                <c:pt idx="3">
                  <c:v>8.1000000000000003E-2</c:v>
                </c:pt>
                <c:pt idx="4">
                  <c:v>15.196999999999999</c:v>
                </c:pt>
                <c:pt idx="5">
                  <c:v>23.199000000000002</c:v>
                </c:pt>
                <c:pt idx="6">
                  <c:v>5.5640000000000001</c:v>
                </c:pt>
                <c:pt idx="7">
                  <c:v>5.8079999999999998</c:v>
                </c:pt>
                <c:pt idx="8">
                  <c:v>0.70199999999999996</c:v>
                </c:pt>
              </c:numCache>
            </c:numRef>
          </c:val>
          <c:extLst>
            <c:ext xmlns:c16="http://schemas.microsoft.com/office/drawing/2014/chart" uri="{C3380CC4-5D6E-409C-BE32-E72D297353CC}">
              <c16:uniqueId val="{00000001-E10D-4B76-B8A0-F9862CB424B1}"/>
            </c:ext>
          </c:extLst>
        </c:ser>
        <c:dLbls>
          <c:showLegendKey val="0"/>
          <c:showVal val="0"/>
          <c:showCatName val="0"/>
          <c:showSerName val="0"/>
          <c:showPercent val="0"/>
          <c:showBubbleSize val="0"/>
        </c:dLbls>
        <c:gapWidth val="150"/>
        <c:overlap val="100"/>
        <c:axId val="546255960"/>
        <c:axId val="546256616"/>
      </c:barChart>
      <c:catAx>
        <c:axId val="546255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256616"/>
        <c:crosses val="autoZero"/>
        <c:auto val="1"/>
        <c:lblAlgn val="ctr"/>
        <c:lblOffset val="100"/>
        <c:noMultiLvlLbl val="0"/>
      </c:catAx>
      <c:valAx>
        <c:axId val="546256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255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4: Average 'affordable rent' as proportion</a:t>
            </a:r>
            <a:r>
              <a:rPr lang="en-GB" baseline="0"/>
              <a:t> of average market rate</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London</c:v>
                </c:pt>
              </c:strCache>
            </c:strRef>
          </c:tx>
          <c:spPr>
            <a:solidFill>
              <a:schemeClr val="accent1"/>
            </a:solidFill>
            <a:ln>
              <a:noFill/>
            </a:ln>
            <a:effectLst/>
          </c:spPr>
          <c:invertIfNegative val="0"/>
          <c:cat>
            <c:numRef>
              <c:f>Sheet1!$B$1:$E$1</c:f>
              <c:numCache>
                <c:formatCode>General</c:formatCode>
                <c:ptCount val="4"/>
                <c:pt idx="0">
                  <c:v>2013</c:v>
                </c:pt>
                <c:pt idx="1">
                  <c:v>2014</c:v>
                </c:pt>
                <c:pt idx="2">
                  <c:v>2015</c:v>
                </c:pt>
                <c:pt idx="3">
                  <c:v>2016</c:v>
                </c:pt>
              </c:numCache>
            </c:numRef>
          </c:cat>
          <c:val>
            <c:numRef>
              <c:f>Sheet1!$B$2:$E$2</c:f>
              <c:numCache>
                <c:formatCode>General</c:formatCode>
                <c:ptCount val="4"/>
                <c:pt idx="0">
                  <c:v>49</c:v>
                </c:pt>
                <c:pt idx="1">
                  <c:v>50</c:v>
                </c:pt>
                <c:pt idx="2">
                  <c:v>48</c:v>
                </c:pt>
                <c:pt idx="3">
                  <c:v>47</c:v>
                </c:pt>
              </c:numCache>
            </c:numRef>
          </c:val>
          <c:extLst>
            <c:ext xmlns:c16="http://schemas.microsoft.com/office/drawing/2014/chart" uri="{C3380CC4-5D6E-409C-BE32-E72D297353CC}">
              <c16:uniqueId val="{00000000-7402-48DC-BEC2-4187D0876EE7}"/>
            </c:ext>
          </c:extLst>
        </c:ser>
        <c:ser>
          <c:idx val="1"/>
          <c:order val="1"/>
          <c:tx>
            <c:strRef>
              <c:f>Sheet1!$A$3</c:f>
              <c:strCache>
                <c:ptCount val="1"/>
                <c:pt idx="0">
                  <c:v>England</c:v>
                </c:pt>
              </c:strCache>
            </c:strRef>
          </c:tx>
          <c:spPr>
            <a:solidFill>
              <a:schemeClr val="accent2"/>
            </a:solidFill>
            <a:ln>
              <a:noFill/>
            </a:ln>
            <a:effectLst/>
          </c:spPr>
          <c:invertIfNegative val="0"/>
          <c:cat>
            <c:numRef>
              <c:f>Sheet1!$B$1:$E$1</c:f>
              <c:numCache>
                <c:formatCode>General</c:formatCode>
                <c:ptCount val="4"/>
                <c:pt idx="0">
                  <c:v>2013</c:v>
                </c:pt>
                <c:pt idx="1">
                  <c:v>2014</c:v>
                </c:pt>
                <c:pt idx="2">
                  <c:v>2015</c:v>
                </c:pt>
                <c:pt idx="3">
                  <c:v>2016</c:v>
                </c:pt>
              </c:numCache>
            </c:numRef>
          </c:cat>
          <c:val>
            <c:numRef>
              <c:f>Sheet1!$B$3:$E$3</c:f>
              <c:numCache>
                <c:formatCode>General</c:formatCode>
                <c:ptCount val="4"/>
                <c:pt idx="0">
                  <c:v>68</c:v>
                </c:pt>
                <c:pt idx="1">
                  <c:v>71</c:v>
                </c:pt>
                <c:pt idx="2">
                  <c:v>70</c:v>
                </c:pt>
                <c:pt idx="3">
                  <c:v>67</c:v>
                </c:pt>
              </c:numCache>
            </c:numRef>
          </c:val>
          <c:extLst>
            <c:ext xmlns:c16="http://schemas.microsoft.com/office/drawing/2014/chart" uri="{C3380CC4-5D6E-409C-BE32-E72D297353CC}">
              <c16:uniqueId val="{00000001-7402-48DC-BEC2-4187D0876EE7}"/>
            </c:ext>
          </c:extLst>
        </c:ser>
        <c:dLbls>
          <c:showLegendKey val="0"/>
          <c:showVal val="0"/>
          <c:showCatName val="0"/>
          <c:showSerName val="0"/>
          <c:showPercent val="0"/>
          <c:showBubbleSize val="0"/>
        </c:dLbls>
        <c:gapWidth val="219"/>
        <c:overlap val="-27"/>
        <c:axId val="323252968"/>
        <c:axId val="323254280"/>
      </c:barChart>
      <c:catAx>
        <c:axId val="323252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254280"/>
        <c:crosses val="autoZero"/>
        <c:auto val="1"/>
        <c:lblAlgn val="ctr"/>
        <c:lblOffset val="100"/>
        <c:noMultiLvlLbl val="0"/>
      </c:catAx>
      <c:valAx>
        <c:axId val="323254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252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5: Conversions to 'affordable rent' as proportion of total social stock, 2015-17</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Sheet1!$R$14:$R$15</c:f>
              <c:strCache>
                <c:ptCount val="2"/>
                <c:pt idx="0">
                  <c:v>London</c:v>
                </c:pt>
                <c:pt idx="1">
                  <c:v>England</c:v>
                </c:pt>
              </c:strCache>
            </c:strRef>
          </c:cat>
          <c:val>
            <c:numRef>
              <c:f>Sheet1!$V$14:$V$15</c:f>
              <c:numCache>
                <c:formatCode>General</c:formatCode>
                <c:ptCount val="2"/>
                <c:pt idx="0">
                  <c:v>29.624619546838009</c:v>
                </c:pt>
                <c:pt idx="1">
                  <c:v>36.866419842075949</c:v>
                </c:pt>
              </c:numCache>
            </c:numRef>
          </c:val>
          <c:extLst>
            <c:ext xmlns:c16="http://schemas.microsoft.com/office/drawing/2014/chart" uri="{C3380CC4-5D6E-409C-BE32-E72D297353CC}">
              <c16:uniqueId val="{00000000-1ECF-4A3C-90DD-72102CD242D1}"/>
            </c:ext>
          </c:extLst>
        </c:ser>
        <c:dLbls>
          <c:showLegendKey val="0"/>
          <c:showVal val="0"/>
          <c:showCatName val="0"/>
          <c:showSerName val="0"/>
          <c:showPercent val="0"/>
          <c:showBubbleSize val="0"/>
        </c:dLbls>
        <c:gapWidth val="219"/>
        <c:overlap val="-27"/>
        <c:axId val="445579600"/>
        <c:axId val="445581568"/>
      </c:barChart>
      <c:catAx>
        <c:axId val="44557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81568"/>
        <c:crosses val="autoZero"/>
        <c:auto val="1"/>
        <c:lblAlgn val="ctr"/>
        <c:lblOffset val="100"/>
        <c:noMultiLvlLbl val="0"/>
      </c:catAx>
      <c:valAx>
        <c:axId val="44558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557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Figure 6: Completions of affordable housing,</a:t>
            </a:r>
            <a:r>
              <a:rPr lang="en-GB" baseline="0"/>
              <a:t> by region (2015-17)</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Number (left axis)</c:v>
          </c:tx>
          <c:spPr>
            <a:solidFill>
              <a:schemeClr val="accent1"/>
            </a:solidFill>
            <a:ln>
              <a:noFill/>
            </a:ln>
            <a:effectLst/>
          </c:spPr>
          <c:invertIfNegative val="0"/>
          <c:cat>
            <c:strRef>
              <c:f>Sheet1!$O$3:$O$11</c:f>
              <c:strCache>
                <c:ptCount val="9"/>
                <c:pt idx="0">
                  <c:v>East Midlands</c:v>
                </c:pt>
                <c:pt idx="1">
                  <c:v>East of England</c:v>
                </c:pt>
                <c:pt idx="2">
                  <c:v>London</c:v>
                </c:pt>
                <c:pt idx="3">
                  <c:v>North East</c:v>
                </c:pt>
                <c:pt idx="4">
                  <c:v>North West</c:v>
                </c:pt>
                <c:pt idx="5">
                  <c:v>South East</c:v>
                </c:pt>
                <c:pt idx="6">
                  <c:v>South West</c:v>
                </c:pt>
                <c:pt idx="7">
                  <c:v>West Midlands</c:v>
                </c:pt>
                <c:pt idx="8">
                  <c:v>Yorkshire</c:v>
                </c:pt>
              </c:strCache>
            </c:strRef>
          </c:cat>
          <c:val>
            <c:numRef>
              <c:f>Sheet1!$P$3:$P$11</c:f>
              <c:numCache>
                <c:formatCode>General</c:formatCode>
                <c:ptCount val="9"/>
                <c:pt idx="0">
                  <c:v>6084</c:v>
                </c:pt>
                <c:pt idx="1">
                  <c:v>9623</c:v>
                </c:pt>
                <c:pt idx="2">
                  <c:v>20699</c:v>
                </c:pt>
                <c:pt idx="3">
                  <c:v>2948</c:v>
                </c:pt>
                <c:pt idx="4">
                  <c:v>12449</c:v>
                </c:pt>
                <c:pt idx="5">
                  <c:v>15301</c:v>
                </c:pt>
                <c:pt idx="6">
                  <c:v>8700</c:v>
                </c:pt>
                <c:pt idx="7">
                  <c:v>10867</c:v>
                </c:pt>
                <c:pt idx="8">
                  <c:v>4892</c:v>
                </c:pt>
              </c:numCache>
            </c:numRef>
          </c:val>
          <c:extLst>
            <c:ext xmlns:c16="http://schemas.microsoft.com/office/drawing/2014/chart" uri="{C3380CC4-5D6E-409C-BE32-E72D297353CC}">
              <c16:uniqueId val="{00000000-AE91-4081-817B-D5A8A1026877}"/>
            </c:ext>
          </c:extLst>
        </c:ser>
        <c:dLbls>
          <c:showLegendKey val="0"/>
          <c:showVal val="0"/>
          <c:showCatName val="0"/>
          <c:showSerName val="0"/>
          <c:showPercent val="0"/>
          <c:showBubbleSize val="0"/>
        </c:dLbls>
        <c:gapWidth val="219"/>
        <c:overlap val="-27"/>
        <c:axId val="589652560"/>
        <c:axId val="589650264"/>
      </c:barChart>
      <c:lineChart>
        <c:grouping val="standard"/>
        <c:varyColors val="0"/>
        <c:ser>
          <c:idx val="1"/>
          <c:order val="1"/>
          <c:tx>
            <c:v>Proportion of existing affordable stock (right axis)</c:v>
          </c:tx>
          <c:spPr>
            <a:ln w="28575" cap="rnd">
              <a:solidFill>
                <a:schemeClr val="accent2"/>
              </a:solidFill>
              <a:round/>
            </a:ln>
            <a:effectLst/>
          </c:spPr>
          <c:marker>
            <c:symbol val="none"/>
          </c:marker>
          <c:cat>
            <c:strRef>
              <c:f>Sheet1!$O$3:$O$11</c:f>
              <c:strCache>
                <c:ptCount val="9"/>
                <c:pt idx="0">
                  <c:v>East Midlands</c:v>
                </c:pt>
                <c:pt idx="1">
                  <c:v>East of England</c:v>
                </c:pt>
                <c:pt idx="2">
                  <c:v>London</c:v>
                </c:pt>
                <c:pt idx="3">
                  <c:v>North East</c:v>
                </c:pt>
                <c:pt idx="4">
                  <c:v>North West</c:v>
                </c:pt>
                <c:pt idx="5">
                  <c:v>South East</c:v>
                </c:pt>
                <c:pt idx="6">
                  <c:v>South West</c:v>
                </c:pt>
                <c:pt idx="7">
                  <c:v>West Midlands</c:v>
                </c:pt>
                <c:pt idx="8">
                  <c:v>Yorkshire</c:v>
                </c:pt>
              </c:strCache>
            </c:strRef>
          </c:cat>
          <c:val>
            <c:numRef>
              <c:f>Sheet1!$Q$3:$Q$11</c:f>
              <c:numCache>
                <c:formatCode>General</c:formatCode>
                <c:ptCount val="9"/>
                <c:pt idx="0">
                  <c:v>5.5629411764705878</c:v>
                </c:pt>
                <c:pt idx="1">
                  <c:v>5.5789285714285715</c:v>
                </c:pt>
                <c:pt idx="2">
                  <c:v>5.8260975609756107</c:v>
                </c:pt>
                <c:pt idx="3">
                  <c:v>3.1811764705882357</c:v>
                </c:pt>
                <c:pt idx="4">
                  <c:v>2.7647457627118648</c:v>
                </c:pt>
                <c:pt idx="5">
                  <c:v>5.5535483870967743</c:v>
                </c:pt>
                <c:pt idx="6">
                  <c:v>4.6783333333333337</c:v>
                </c:pt>
                <c:pt idx="7">
                  <c:v>4.2132258064516144</c:v>
                </c:pt>
                <c:pt idx="8">
                  <c:v>4.4747368421052629</c:v>
                </c:pt>
              </c:numCache>
            </c:numRef>
          </c:val>
          <c:smooth val="0"/>
          <c:extLst>
            <c:ext xmlns:c16="http://schemas.microsoft.com/office/drawing/2014/chart" uri="{C3380CC4-5D6E-409C-BE32-E72D297353CC}">
              <c16:uniqueId val="{00000001-AE91-4081-817B-D5A8A1026877}"/>
            </c:ext>
          </c:extLst>
        </c:ser>
        <c:dLbls>
          <c:showLegendKey val="0"/>
          <c:showVal val="0"/>
          <c:showCatName val="0"/>
          <c:showSerName val="0"/>
          <c:showPercent val="0"/>
          <c:showBubbleSize val="0"/>
        </c:dLbls>
        <c:marker val="1"/>
        <c:smooth val="0"/>
        <c:axId val="589641736"/>
        <c:axId val="589643704"/>
      </c:lineChart>
      <c:catAx>
        <c:axId val="58965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650264"/>
        <c:crosses val="autoZero"/>
        <c:auto val="1"/>
        <c:lblAlgn val="ctr"/>
        <c:lblOffset val="100"/>
        <c:noMultiLvlLbl val="0"/>
      </c:catAx>
      <c:valAx>
        <c:axId val="58965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652560"/>
        <c:crosses val="autoZero"/>
        <c:crossBetween val="between"/>
      </c:valAx>
      <c:valAx>
        <c:axId val="5896437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641736"/>
        <c:crosses val="max"/>
        <c:crossBetween val="between"/>
      </c:valAx>
      <c:catAx>
        <c:axId val="589641736"/>
        <c:scaling>
          <c:orientation val="minMax"/>
        </c:scaling>
        <c:delete val="1"/>
        <c:axPos val="b"/>
        <c:numFmt formatCode="General" sourceLinked="1"/>
        <c:majorTickMark val="out"/>
        <c:minorTickMark val="none"/>
        <c:tickLblPos val="nextTo"/>
        <c:crossAx val="58964370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97FB-0AEC-4218-8446-5EC9CB01F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4533</TotalTime>
  <Pages>35</Pages>
  <Words>9211</Words>
  <Characters>52505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Clegg</dc:creator>
  <cp:lastModifiedBy>Liam Clegg</cp:lastModifiedBy>
  <cp:revision>276</cp:revision>
  <cp:lastPrinted>2019-05-17T13:29:00Z</cp:lastPrinted>
  <dcterms:created xsi:type="dcterms:W3CDTF">2018-07-31T14:27:00Z</dcterms:created>
  <dcterms:modified xsi:type="dcterms:W3CDTF">2019-05-28T08:25:00Z</dcterms:modified>
</cp:coreProperties>
</file>