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BE178E" w14:textId="7CFA625B" w:rsidR="00CA0419" w:rsidRPr="00331611" w:rsidRDefault="00BC563A" w:rsidP="00396960">
      <w:pPr>
        <w:jc w:val="center"/>
        <w:rPr>
          <w:rFonts w:ascii="Times New Roman" w:hAnsi="Times New Roman" w:cs="Times New Roman"/>
          <w:b/>
        </w:rPr>
      </w:pPr>
      <w:r>
        <w:rPr>
          <w:rFonts w:ascii="Times New Roman" w:hAnsi="Times New Roman" w:cs="Times New Roman"/>
          <w:b/>
        </w:rPr>
        <w:t>The impact</w:t>
      </w:r>
      <w:r w:rsidR="00C32C1A">
        <w:rPr>
          <w:rFonts w:ascii="Times New Roman" w:hAnsi="Times New Roman" w:cs="Times New Roman"/>
          <w:b/>
        </w:rPr>
        <w:t xml:space="preserve"> of</w:t>
      </w:r>
      <w:r>
        <w:rPr>
          <w:rFonts w:ascii="Times New Roman" w:hAnsi="Times New Roman" w:cs="Times New Roman"/>
          <w:b/>
        </w:rPr>
        <w:t xml:space="preserve"> frailty on</w:t>
      </w:r>
      <w:r w:rsidR="00C32C1A">
        <w:rPr>
          <w:rFonts w:ascii="Times New Roman" w:hAnsi="Times New Roman" w:cs="Times New Roman"/>
          <w:b/>
        </w:rPr>
        <w:t xml:space="preserve"> healthcare resource use</w:t>
      </w:r>
      <w:r w:rsidR="00396960" w:rsidRPr="00331611">
        <w:rPr>
          <w:rFonts w:ascii="Times New Roman" w:hAnsi="Times New Roman" w:cs="Times New Roman"/>
          <w:b/>
        </w:rPr>
        <w:t>: a longitudinal analysis using</w:t>
      </w:r>
      <w:r w:rsidR="00C32C1A">
        <w:rPr>
          <w:rFonts w:ascii="Times New Roman" w:hAnsi="Times New Roman" w:cs="Times New Roman"/>
          <w:b/>
        </w:rPr>
        <w:t xml:space="preserve"> the</w:t>
      </w:r>
      <w:r w:rsidR="00396960" w:rsidRPr="00331611">
        <w:rPr>
          <w:rFonts w:ascii="Times New Roman" w:hAnsi="Times New Roman" w:cs="Times New Roman"/>
          <w:b/>
        </w:rPr>
        <w:t xml:space="preserve"> Clinical Practice Research Data</w:t>
      </w:r>
      <w:r w:rsidR="00C057D0">
        <w:rPr>
          <w:rFonts w:ascii="Times New Roman" w:hAnsi="Times New Roman" w:cs="Times New Roman"/>
          <w:b/>
        </w:rPr>
        <w:t>link</w:t>
      </w:r>
      <w:r w:rsidR="00DF3F1B">
        <w:rPr>
          <w:rFonts w:ascii="Times New Roman" w:hAnsi="Times New Roman" w:cs="Times New Roman"/>
          <w:b/>
        </w:rPr>
        <w:t xml:space="preserve"> in England</w:t>
      </w:r>
    </w:p>
    <w:p w14:paraId="289A6C2B" w14:textId="3245CDE2" w:rsidR="00396960" w:rsidRDefault="00396960" w:rsidP="00396960">
      <w:pPr>
        <w:jc w:val="both"/>
        <w:rPr>
          <w:rFonts w:ascii="Times New Roman" w:hAnsi="Times New Roman" w:cs="Times New Roman"/>
        </w:rPr>
      </w:pPr>
    </w:p>
    <w:p w14:paraId="3AF81D16" w14:textId="77777777" w:rsidR="00931144" w:rsidRPr="00331611" w:rsidRDefault="00931144" w:rsidP="00396960">
      <w:pPr>
        <w:jc w:val="both"/>
        <w:rPr>
          <w:rFonts w:ascii="Times New Roman" w:hAnsi="Times New Roman" w:cs="Times New Roman"/>
        </w:rPr>
      </w:pPr>
    </w:p>
    <w:p w14:paraId="47346F55" w14:textId="5D38E3AC" w:rsidR="00396960" w:rsidRDefault="00396960" w:rsidP="00396960">
      <w:pPr>
        <w:jc w:val="both"/>
        <w:rPr>
          <w:rFonts w:ascii="Times New Roman" w:hAnsi="Times New Roman" w:cs="Times New Roman"/>
          <w:b/>
        </w:rPr>
      </w:pPr>
      <w:r w:rsidRPr="00331611">
        <w:rPr>
          <w:rFonts w:ascii="Times New Roman" w:hAnsi="Times New Roman" w:cs="Times New Roman"/>
          <w:b/>
        </w:rPr>
        <w:t>Abstract</w:t>
      </w:r>
    </w:p>
    <w:p w14:paraId="6A831692" w14:textId="26FB2937" w:rsidR="00BF3FEE" w:rsidRDefault="00BF3FEE" w:rsidP="00396960">
      <w:pPr>
        <w:jc w:val="both"/>
        <w:rPr>
          <w:rFonts w:ascii="Times New Roman" w:hAnsi="Times New Roman" w:cs="Times New Roman"/>
          <w:i/>
        </w:rPr>
      </w:pPr>
      <w:r w:rsidRPr="00BD0D33">
        <w:rPr>
          <w:rFonts w:ascii="Times New Roman" w:hAnsi="Times New Roman" w:cs="Times New Roman"/>
          <w:i/>
        </w:rPr>
        <w:t>Background</w:t>
      </w:r>
    </w:p>
    <w:p w14:paraId="0C68EC44" w14:textId="3D66CDB8" w:rsidR="00CE5812" w:rsidRDefault="009278DC" w:rsidP="00396960">
      <w:pPr>
        <w:jc w:val="both"/>
        <w:rPr>
          <w:rFonts w:ascii="Times New Roman" w:hAnsi="Times New Roman" w:cs="Times New Roman"/>
        </w:rPr>
      </w:pPr>
      <w:r>
        <w:rPr>
          <w:rFonts w:ascii="Times New Roman" w:hAnsi="Times New Roman" w:cs="Times New Roman"/>
        </w:rPr>
        <w:t xml:space="preserve">Routine frailty identification and </w:t>
      </w:r>
      <w:r w:rsidR="002C5A3F">
        <w:rPr>
          <w:rFonts w:ascii="Times New Roman" w:hAnsi="Times New Roman" w:cs="Times New Roman"/>
        </w:rPr>
        <w:t>management is</w:t>
      </w:r>
      <w:r>
        <w:rPr>
          <w:rFonts w:ascii="Times New Roman" w:hAnsi="Times New Roman" w:cs="Times New Roman"/>
        </w:rPr>
        <w:t xml:space="preserve"> national policy in England</w:t>
      </w:r>
      <w:r w:rsidR="00C74783">
        <w:rPr>
          <w:rFonts w:ascii="Times New Roman" w:hAnsi="Times New Roman" w:cs="Times New Roman"/>
        </w:rPr>
        <w:t xml:space="preserve">, but </w:t>
      </w:r>
      <w:r w:rsidR="00F95A31">
        <w:rPr>
          <w:rFonts w:ascii="Times New Roman" w:hAnsi="Times New Roman" w:cs="Times New Roman"/>
        </w:rPr>
        <w:t xml:space="preserve">there </w:t>
      </w:r>
      <w:r>
        <w:rPr>
          <w:rFonts w:ascii="Times New Roman" w:hAnsi="Times New Roman" w:cs="Times New Roman"/>
        </w:rPr>
        <w:t>remains</w:t>
      </w:r>
      <w:r w:rsidR="00F95A31">
        <w:rPr>
          <w:rFonts w:ascii="Times New Roman" w:hAnsi="Times New Roman" w:cs="Times New Roman"/>
        </w:rPr>
        <w:t xml:space="preserve"> a lack of evidence </w:t>
      </w:r>
      <w:r w:rsidR="00F36531">
        <w:rPr>
          <w:rFonts w:ascii="Times New Roman" w:hAnsi="Times New Roman" w:cs="Times New Roman"/>
        </w:rPr>
        <w:t xml:space="preserve">on </w:t>
      </w:r>
      <w:r w:rsidR="00F95A31">
        <w:rPr>
          <w:rFonts w:ascii="Times New Roman" w:hAnsi="Times New Roman" w:cs="Times New Roman"/>
        </w:rPr>
        <w:t xml:space="preserve">the impact of frailty on </w:t>
      </w:r>
      <w:r w:rsidR="0085222A">
        <w:rPr>
          <w:rFonts w:ascii="Times New Roman" w:hAnsi="Times New Roman" w:cs="Times New Roman"/>
        </w:rPr>
        <w:t>healthcare resource use</w:t>
      </w:r>
      <w:r w:rsidR="00F95A31">
        <w:rPr>
          <w:rFonts w:ascii="Times New Roman" w:hAnsi="Times New Roman" w:cs="Times New Roman"/>
        </w:rPr>
        <w:t xml:space="preserve">. </w:t>
      </w:r>
      <w:r w:rsidR="00C74783">
        <w:rPr>
          <w:rFonts w:ascii="Times New Roman" w:hAnsi="Times New Roman" w:cs="Times New Roman"/>
        </w:rPr>
        <w:t xml:space="preserve">We evaluated the impact of frailty on the use and costs of general practice and hospital care.  </w:t>
      </w:r>
    </w:p>
    <w:p w14:paraId="5F30DE4B" w14:textId="77777777" w:rsidR="00830997" w:rsidRPr="00F133D8" w:rsidRDefault="00830997" w:rsidP="00396960">
      <w:pPr>
        <w:jc w:val="both"/>
        <w:rPr>
          <w:rFonts w:ascii="Times New Roman" w:hAnsi="Times New Roman" w:cs="Times New Roman"/>
        </w:rPr>
      </w:pPr>
    </w:p>
    <w:p w14:paraId="4C40FADD" w14:textId="5C536513" w:rsidR="00C74783" w:rsidRDefault="00BF3FEE" w:rsidP="00C74783">
      <w:pPr>
        <w:jc w:val="both"/>
        <w:rPr>
          <w:rFonts w:ascii="Times New Roman" w:hAnsi="Times New Roman" w:cs="Times New Roman"/>
          <w:i/>
        </w:rPr>
      </w:pPr>
      <w:r w:rsidRPr="00BD0D33">
        <w:rPr>
          <w:rFonts w:ascii="Times New Roman" w:hAnsi="Times New Roman" w:cs="Times New Roman"/>
          <w:i/>
        </w:rPr>
        <w:t>Methods</w:t>
      </w:r>
    </w:p>
    <w:p w14:paraId="085C2671" w14:textId="5CA5AB14" w:rsidR="00A22C7F" w:rsidRDefault="00C74783" w:rsidP="00396960">
      <w:pPr>
        <w:jc w:val="both"/>
        <w:rPr>
          <w:rFonts w:ascii="Times New Roman" w:hAnsi="Times New Roman" w:cs="Times New Roman"/>
        </w:rPr>
      </w:pPr>
      <w:r>
        <w:rPr>
          <w:rFonts w:ascii="Times New Roman" w:hAnsi="Times New Roman" w:cs="Times New Roman"/>
        </w:rPr>
        <w:t>Retrospective longitudinal analysis using linked routine primary care records for</w:t>
      </w:r>
      <w:r w:rsidRPr="00C74783">
        <w:rPr>
          <w:rFonts w:ascii="Times New Roman" w:hAnsi="Times New Roman" w:cs="Times New Roman"/>
        </w:rPr>
        <w:t xml:space="preserve"> </w:t>
      </w:r>
      <w:r>
        <w:rPr>
          <w:rFonts w:ascii="Times New Roman" w:hAnsi="Times New Roman" w:cs="Times New Roman"/>
        </w:rPr>
        <w:t xml:space="preserve">95,863 patients aged 65-95 years registered with 125 UK general practices between 2003 and 2014. </w:t>
      </w:r>
      <w:r w:rsidR="00D95A75">
        <w:rPr>
          <w:rFonts w:ascii="Times New Roman" w:hAnsi="Times New Roman" w:cs="Times New Roman"/>
        </w:rPr>
        <w:t>Baseline frailty was measured using the electronic Frailty Index (eFI) and classified in four categories</w:t>
      </w:r>
      <w:r w:rsidR="00D95A75" w:rsidRPr="00D95A75">
        <w:rPr>
          <w:rFonts w:ascii="Times New Roman" w:hAnsi="Times New Roman" w:cs="Times New Roman"/>
        </w:rPr>
        <w:t xml:space="preserve"> </w:t>
      </w:r>
      <w:r w:rsidR="00D95A75">
        <w:rPr>
          <w:rFonts w:ascii="Times New Roman" w:hAnsi="Times New Roman" w:cs="Times New Roman"/>
        </w:rPr>
        <w:t>(non, mild, moderate, severe)</w:t>
      </w:r>
      <w:r w:rsidR="00A22C7F">
        <w:rPr>
          <w:rFonts w:ascii="Times New Roman" w:hAnsi="Times New Roman" w:cs="Times New Roman"/>
        </w:rPr>
        <w:t xml:space="preserve">. Negative binomial regressions and </w:t>
      </w:r>
      <w:r w:rsidR="0085222A">
        <w:rPr>
          <w:rFonts w:ascii="Times New Roman" w:hAnsi="Times New Roman" w:cs="Times New Roman"/>
        </w:rPr>
        <w:t>ordin</w:t>
      </w:r>
      <w:r w:rsidR="00E84F59">
        <w:rPr>
          <w:rFonts w:ascii="Times New Roman" w:hAnsi="Times New Roman" w:cs="Times New Roman"/>
        </w:rPr>
        <w:t xml:space="preserve">ary </w:t>
      </w:r>
      <w:r w:rsidR="0085222A">
        <w:rPr>
          <w:rFonts w:ascii="Times New Roman" w:hAnsi="Times New Roman" w:cs="Times New Roman"/>
        </w:rPr>
        <w:t>least square</w:t>
      </w:r>
      <w:r w:rsidR="00E84F59">
        <w:rPr>
          <w:rFonts w:ascii="Times New Roman" w:hAnsi="Times New Roman" w:cs="Times New Roman"/>
        </w:rPr>
        <w:t>s</w:t>
      </w:r>
      <w:r w:rsidR="00A22C7F">
        <w:rPr>
          <w:rFonts w:ascii="Times New Roman" w:hAnsi="Times New Roman" w:cs="Times New Roman"/>
        </w:rPr>
        <w:t xml:space="preserve"> regressions with multilevel mixed effects were applied </w:t>
      </w:r>
      <w:r w:rsidR="0019796C">
        <w:rPr>
          <w:rFonts w:ascii="Times New Roman" w:hAnsi="Times New Roman" w:cs="Times New Roman"/>
        </w:rPr>
        <w:t>on</w:t>
      </w:r>
      <w:r w:rsidR="00A22C7F">
        <w:rPr>
          <w:rFonts w:ascii="Times New Roman" w:hAnsi="Times New Roman" w:cs="Times New Roman"/>
        </w:rPr>
        <w:t xml:space="preserve"> </w:t>
      </w:r>
      <w:r w:rsidR="00891D20">
        <w:rPr>
          <w:rFonts w:ascii="Times New Roman" w:hAnsi="Times New Roman" w:cs="Times New Roman"/>
        </w:rPr>
        <w:t xml:space="preserve">the </w:t>
      </w:r>
      <w:r w:rsidR="00A22C7F">
        <w:rPr>
          <w:rFonts w:ascii="Times New Roman" w:hAnsi="Times New Roman" w:cs="Times New Roman"/>
        </w:rPr>
        <w:t>us</w:t>
      </w:r>
      <w:r w:rsidR="0085222A">
        <w:rPr>
          <w:rFonts w:ascii="Times New Roman" w:hAnsi="Times New Roman" w:cs="Times New Roman"/>
        </w:rPr>
        <w:t>e</w:t>
      </w:r>
      <w:r w:rsidR="00A22C7F">
        <w:rPr>
          <w:rFonts w:ascii="Times New Roman" w:hAnsi="Times New Roman" w:cs="Times New Roman"/>
        </w:rPr>
        <w:t xml:space="preserve"> and costs of general practice and hospital care.</w:t>
      </w:r>
    </w:p>
    <w:p w14:paraId="374E4C89" w14:textId="77777777" w:rsidR="00C74783" w:rsidRPr="00214F8B" w:rsidRDefault="00C74783" w:rsidP="00396960">
      <w:pPr>
        <w:jc w:val="both"/>
        <w:rPr>
          <w:rFonts w:ascii="Times New Roman" w:hAnsi="Times New Roman" w:cs="Times New Roman"/>
        </w:rPr>
      </w:pPr>
    </w:p>
    <w:p w14:paraId="4CB5E0BD" w14:textId="3D11EA55" w:rsidR="00BF3FEE" w:rsidRDefault="00BF3FEE" w:rsidP="00396960">
      <w:pPr>
        <w:jc w:val="both"/>
        <w:rPr>
          <w:rFonts w:ascii="Times New Roman" w:hAnsi="Times New Roman" w:cs="Times New Roman"/>
          <w:i/>
        </w:rPr>
      </w:pPr>
      <w:r w:rsidRPr="00214F8B">
        <w:rPr>
          <w:rFonts w:ascii="Times New Roman" w:hAnsi="Times New Roman" w:cs="Times New Roman"/>
          <w:i/>
        </w:rPr>
        <w:t xml:space="preserve">Results </w:t>
      </w:r>
    </w:p>
    <w:p w14:paraId="735796D8" w14:textId="1EA574E3" w:rsidR="00445095" w:rsidRDefault="00A0304F" w:rsidP="00396960">
      <w:pPr>
        <w:jc w:val="both"/>
        <w:rPr>
          <w:rFonts w:ascii="Times New Roman" w:hAnsi="Times New Roman" w:cs="Times New Roman"/>
        </w:rPr>
      </w:pPr>
      <w:r>
        <w:rPr>
          <w:rFonts w:ascii="Times New Roman" w:hAnsi="Times New Roman" w:cs="Times New Roman"/>
        </w:rPr>
        <w:t xml:space="preserve">Compared with non-frail </w:t>
      </w:r>
      <w:r w:rsidR="003418FA">
        <w:rPr>
          <w:rFonts w:ascii="Times New Roman" w:hAnsi="Times New Roman" w:cs="Times New Roman"/>
        </w:rPr>
        <w:t>status</w:t>
      </w:r>
      <w:r>
        <w:rPr>
          <w:rFonts w:ascii="Times New Roman" w:hAnsi="Times New Roman" w:cs="Times New Roman"/>
        </w:rPr>
        <w:t xml:space="preserve">, </w:t>
      </w:r>
      <w:r w:rsidR="003418FA">
        <w:rPr>
          <w:rFonts w:ascii="Times New Roman" w:hAnsi="Times New Roman" w:cs="Times New Roman"/>
        </w:rPr>
        <w:t xml:space="preserve">annual general practitioner </w:t>
      </w:r>
      <w:r w:rsidR="00FA5196">
        <w:rPr>
          <w:rFonts w:ascii="Times New Roman" w:hAnsi="Times New Roman" w:cs="Times New Roman"/>
        </w:rPr>
        <w:t>consultation</w:t>
      </w:r>
      <w:r w:rsidR="003418FA">
        <w:rPr>
          <w:rFonts w:ascii="Times New Roman" w:hAnsi="Times New Roman" w:cs="Times New Roman"/>
        </w:rPr>
        <w:t xml:space="preserve"> incidence rate ratio</w:t>
      </w:r>
      <w:r w:rsidR="00FA5196">
        <w:rPr>
          <w:rFonts w:ascii="Times New Roman" w:hAnsi="Times New Roman" w:cs="Times New Roman"/>
        </w:rPr>
        <w:t>s</w:t>
      </w:r>
      <w:r w:rsidR="009278DC">
        <w:rPr>
          <w:rFonts w:ascii="Times New Roman" w:hAnsi="Times New Roman" w:cs="Times New Roman"/>
        </w:rPr>
        <w:t xml:space="preserve"> </w:t>
      </w:r>
      <w:r w:rsidR="003418FA">
        <w:rPr>
          <w:rFonts w:ascii="Times New Roman" w:hAnsi="Times New Roman" w:cs="Times New Roman"/>
        </w:rPr>
        <w:t xml:space="preserve">(IRRs) </w:t>
      </w:r>
      <w:r w:rsidR="009278DC">
        <w:rPr>
          <w:rFonts w:ascii="Times New Roman" w:hAnsi="Times New Roman" w:cs="Times New Roman"/>
        </w:rPr>
        <w:t>were 1.24 (95% CI: 1.21-1.2</w:t>
      </w:r>
      <w:r w:rsidR="007A4B74">
        <w:rPr>
          <w:rFonts w:ascii="Times New Roman" w:hAnsi="Times New Roman" w:cs="Times New Roman"/>
        </w:rPr>
        <w:t>7</w:t>
      </w:r>
      <w:r w:rsidR="009278DC">
        <w:rPr>
          <w:rFonts w:ascii="Times New Roman" w:hAnsi="Times New Roman" w:cs="Times New Roman"/>
        </w:rPr>
        <w:t>) for mild, 1.41 (95% CI: 1.35-1.47) for moderate</w:t>
      </w:r>
      <w:r w:rsidR="003418FA">
        <w:rPr>
          <w:rFonts w:ascii="Times New Roman" w:hAnsi="Times New Roman" w:cs="Times New Roman"/>
        </w:rPr>
        <w:t>,</w:t>
      </w:r>
      <w:r w:rsidR="009278DC">
        <w:rPr>
          <w:rFonts w:ascii="Times New Roman" w:hAnsi="Times New Roman" w:cs="Times New Roman"/>
        </w:rPr>
        <w:t xml:space="preserve"> and 1.52 (95% CI: 1.42-1.62) for severe frailty.</w:t>
      </w:r>
      <w:r>
        <w:rPr>
          <w:rFonts w:ascii="Times New Roman" w:hAnsi="Times New Roman" w:cs="Times New Roman"/>
        </w:rPr>
        <w:t xml:space="preserve"> </w:t>
      </w:r>
      <w:r w:rsidR="003418FA">
        <w:rPr>
          <w:rFonts w:ascii="Times New Roman" w:hAnsi="Times New Roman" w:cs="Times New Roman"/>
        </w:rPr>
        <w:t>For emergency hospital admissions, the respective IRRs were 1</w:t>
      </w:r>
      <w:r>
        <w:rPr>
          <w:rFonts w:ascii="Times New Roman" w:hAnsi="Times New Roman" w:cs="Times New Roman"/>
        </w:rPr>
        <w:t>.64</w:t>
      </w:r>
      <w:r w:rsidR="003418FA">
        <w:rPr>
          <w:rFonts w:ascii="Times New Roman" w:hAnsi="Times New Roman" w:cs="Times New Roman"/>
        </w:rPr>
        <w:t xml:space="preserve"> (</w:t>
      </w:r>
      <w:r>
        <w:rPr>
          <w:rFonts w:ascii="Times New Roman" w:hAnsi="Times New Roman" w:cs="Times New Roman"/>
        </w:rPr>
        <w:t>95% CI 1.60-1.68), 2.45</w:t>
      </w:r>
      <w:r w:rsidR="003418FA">
        <w:rPr>
          <w:rFonts w:ascii="Times New Roman" w:hAnsi="Times New Roman" w:cs="Times New Roman"/>
        </w:rPr>
        <w:t xml:space="preserve"> (</w:t>
      </w:r>
      <w:r>
        <w:rPr>
          <w:rFonts w:ascii="Times New Roman" w:hAnsi="Times New Roman" w:cs="Times New Roman"/>
        </w:rPr>
        <w:t>95% CI 2.37-2.53) and 3.16</w:t>
      </w:r>
      <w:r w:rsidR="003418FA">
        <w:rPr>
          <w:rFonts w:ascii="Times New Roman" w:hAnsi="Times New Roman" w:cs="Times New Roman"/>
        </w:rPr>
        <w:t xml:space="preserve"> (</w:t>
      </w:r>
      <w:r>
        <w:rPr>
          <w:rFonts w:ascii="Times New Roman" w:hAnsi="Times New Roman" w:cs="Times New Roman"/>
        </w:rPr>
        <w:t>95% CI: 3.00-3.33).</w:t>
      </w:r>
      <w:r w:rsidR="003418FA">
        <w:rPr>
          <w:rFonts w:ascii="Times New Roman" w:hAnsi="Times New Roman" w:cs="Times New Roman"/>
        </w:rPr>
        <w:t xml:space="preserve"> </w:t>
      </w:r>
      <w:r w:rsidR="002C5A3F">
        <w:rPr>
          <w:rFonts w:ascii="Times New Roman" w:hAnsi="Times New Roman" w:cs="Times New Roman"/>
        </w:rPr>
        <w:t>C</w:t>
      </w:r>
      <w:r w:rsidR="003418FA">
        <w:rPr>
          <w:rFonts w:ascii="Times New Roman" w:hAnsi="Times New Roman" w:cs="Times New Roman"/>
        </w:rPr>
        <w:t xml:space="preserve">ompared with non-frail people the </w:t>
      </w:r>
      <w:r w:rsidR="00916A76">
        <w:rPr>
          <w:rFonts w:ascii="Times New Roman" w:hAnsi="Times New Roman" w:cs="Times New Roman"/>
        </w:rPr>
        <w:t xml:space="preserve">IRR for </w:t>
      </w:r>
      <w:r w:rsidR="00E9111C">
        <w:rPr>
          <w:rFonts w:ascii="Times New Roman" w:hAnsi="Times New Roman" w:cs="Times New Roman"/>
        </w:rPr>
        <w:t>inpatient days</w:t>
      </w:r>
      <w:r w:rsidR="003418FA">
        <w:rPr>
          <w:rFonts w:ascii="Times New Roman" w:hAnsi="Times New Roman" w:cs="Times New Roman"/>
        </w:rPr>
        <w:t xml:space="preserve"> </w:t>
      </w:r>
      <w:r w:rsidR="00916A76">
        <w:rPr>
          <w:rFonts w:ascii="Times New Roman" w:hAnsi="Times New Roman" w:cs="Times New Roman"/>
        </w:rPr>
        <w:t xml:space="preserve">was </w:t>
      </w:r>
      <w:r w:rsidR="00111F60">
        <w:rPr>
          <w:rFonts w:ascii="Times New Roman" w:hAnsi="Times New Roman" w:cs="Times New Roman"/>
        </w:rPr>
        <w:t>7.</w:t>
      </w:r>
      <w:r w:rsidR="007A4B74">
        <w:rPr>
          <w:rFonts w:ascii="Times New Roman" w:hAnsi="Times New Roman" w:cs="Times New Roman"/>
        </w:rPr>
        <w:t xml:space="preserve">26 </w:t>
      </w:r>
      <w:r w:rsidR="00916A76">
        <w:rPr>
          <w:rFonts w:ascii="Times New Roman" w:hAnsi="Times New Roman" w:cs="Times New Roman"/>
        </w:rPr>
        <w:t>(</w:t>
      </w:r>
      <w:r w:rsidR="00111F60">
        <w:rPr>
          <w:rFonts w:ascii="Times New Roman" w:hAnsi="Times New Roman" w:cs="Times New Roman"/>
        </w:rPr>
        <w:t>95% CI</w:t>
      </w:r>
      <w:r w:rsidR="0071146A">
        <w:rPr>
          <w:rFonts w:ascii="Times New Roman" w:hAnsi="Times New Roman" w:cs="Times New Roman"/>
        </w:rPr>
        <w:t xml:space="preserve"> </w:t>
      </w:r>
      <w:r w:rsidR="00111F60">
        <w:rPr>
          <w:rFonts w:ascii="Times New Roman" w:hAnsi="Times New Roman" w:cs="Times New Roman"/>
        </w:rPr>
        <w:t>6.6</w:t>
      </w:r>
      <w:r w:rsidR="007A4B74">
        <w:rPr>
          <w:rFonts w:ascii="Times New Roman" w:hAnsi="Times New Roman" w:cs="Times New Roman"/>
        </w:rPr>
        <w:t>1</w:t>
      </w:r>
      <w:r w:rsidR="00111F60">
        <w:rPr>
          <w:rFonts w:ascii="Times New Roman" w:hAnsi="Times New Roman" w:cs="Times New Roman"/>
        </w:rPr>
        <w:t>-</w:t>
      </w:r>
      <w:r w:rsidR="007A4B74">
        <w:rPr>
          <w:rFonts w:ascii="Times New Roman" w:hAnsi="Times New Roman" w:cs="Times New Roman"/>
        </w:rPr>
        <w:t>7.97</w:t>
      </w:r>
      <w:r w:rsidR="00111F60">
        <w:rPr>
          <w:rFonts w:ascii="Times New Roman" w:hAnsi="Times New Roman" w:cs="Times New Roman"/>
        </w:rPr>
        <w:t>)</w:t>
      </w:r>
      <w:r w:rsidR="00916A76">
        <w:rPr>
          <w:rFonts w:ascii="Times New Roman" w:hAnsi="Times New Roman" w:cs="Times New Roman"/>
        </w:rPr>
        <w:t xml:space="preserve"> for severe frailty</w:t>
      </w:r>
      <w:r w:rsidR="00111F60">
        <w:rPr>
          <w:rFonts w:ascii="Times New Roman" w:hAnsi="Times New Roman" w:cs="Times New Roman"/>
        </w:rPr>
        <w:t xml:space="preserve">. </w:t>
      </w:r>
      <w:bookmarkStart w:id="0" w:name="OLE_LINK17"/>
      <w:bookmarkStart w:id="1" w:name="OLE_LINK18"/>
      <w:r w:rsidR="00215882">
        <w:rPr>
          <w:rFonts w:ascii="Times New Roman" w:hAnsi="Times New Roman" w:cs="Times New Roman"/>
        </w:rPr>
        <w:t>Using</w:t>
      </w:r>
      <w:r w:rsidR="002C5A3F">
        <w:rPr>
          <w:rFonts w:ascii="Times New Roman" w:hAnsi="Times New Roman" w:cs="Times New Roman"/>
        </w:rPr>
        <w:t xml:space="preserve"> 2013/14</w:t>
      </w:r>
      <w:r w:rsidR="00215882">
        <w:rPr>
          <w:rFonts w:ascii="Times New Roman" w:hAnsi="Times New Roman" w:cs="Times New Roman"/>
        </w:rPr>
        <w:t xml:space="preserve"> reference costs, </w:t>
      </w:r>
      <w:r w:rsidR="00916A76">
        <w:rPr>
          <w:rFonts w:ascii="Times New Roman" w:hAnsi="Times New Roman" w:cs="Times New Roman"/>
        </w:rPr>
        <w:t xml:space="preserve">extra annual cost to the healthcare system </w:t>
      </w:r>
      <w:r w:rsidR="00E9111C">
        <w:rPr>
          <w:rFonts w:ascii="Times New Roman" w:hAnsi="Times New Roman" w:cs="Times New Roman"/>
        </w:rPr>
        <w:t xml:space="preserve">per person </w:t>
      </w:r>
      <w:r w:rsidR="00916A76">
        <w:rPr>
          <w:rFonts w:ascii="Times New Roman" w:hAnsi="Times New Roman" w:cs="Times New Roman"/>
        </w:rPr>
        <w:t>was £</w:t>
      </w:r>
      <w:r w:rsidR="007A4B74">
        <w:rPr>
          <w:rFonts w:ascii="Times New Roman" w:hAnsi="Times New Roman" w:cs="Times New Roman"/>
        </w:rPr>
        <w:t>561.05</w:t>
      </w:r>
      <w:r w:rsidR="00916A76">
        <w:rPr>
          <w:rFonts w:ascii="Times New Roman" w:hAnsi="Times New Roman" w:cs="Times New Roman"/>
        </w:rPr>
        <w:t xml:space="preserve"> </w:t>
      </w:r>
      <w:r w:rsidR="002C5A3F">
        <w:rPr>
          <w:rFonts w:ascii="Times New Roman" w:hAnsi="Times New Roman" w:cs="Times New Roman"/>
        </w:rPr>
        <w:t>for mild</w:t>
      </w:r>
      <w:r w:rsidR="007163D3">
        <w:rPr>
          <w:rFonts w:ascii="Times New Roman" w:hAnsi="Times New Roman" w:cs="Times New Roman"/>
        </w:rPr>
        <w:t xml:space="preserve">, </w:t>
      </w:r>
      <w:r w:rsidR="00916A76">
        <w:rPr>
          <w:rFonts w:ascii="Times New Roman" w:hAnsi="Times New Roman" w:cs="Times New Roman"/>
        </w:rPr>
        <w:t>£</w:t>
      </w:r>
      <w:r w:rsidR="007A4B74">
        <w:rPr>
          <w:rFonts w:ascii="Times New Roman" w:hAnsi="Times New Roman" w:cs="Times New Roman"/>
        </w:rPr>
        <w:t>1208.60</w:t>
      </w:r>
      <w:r w:rsidR="00916A76">
        <w:rPr>
          <w:rFonts w:ascii="Times New Roman" w:hAnsi="Times New Roman" w:cs="Times New Roman"/>
        </w:rPr>
        <w:t xml:space="preserve"> for moderate and </w:t>
      </w:r>
      <w:r w:rsidR="00240D96">
        <w:rPr>
          <w:rFonts w:ascii="Times New Roman" w:hAnsi="Times New Roman" w:cs="Times New Roman"/>
        </w:rPr>
        <w:t>£</w:t>
      </w:r>
      <w:r w:rsidR="007A4B74">
        <w:rPr>
          <w:rFonts w:ascii="Times New Roman" w:hAnsi="Times New Roman" w:cs="Times New Roman"/>
        </w:rPr>
        <w:t>2108.20</w:t>
      </w:r>
      <w:r w:rsidR="009057B1">
        <w:rPr>
          <w:rFonts w:ascii="Times New Roman" w:hAnsi="Times New Roman" w:cs="Times New Roman"/>
        </w:rPr>
        <w:t xml:space="preserve"> </w:t>
      </w:r>
      <w:r w:rsidR="00916A76">
        <w:rPr>
          <w:rFonts w:ascii="Times New Roman" w:hAnsi="Times New Roman" w:cs="Times New Roman"/>
        </w:rPr>
        <w:t>for severe frailty</w:t>
      </w:r>
      <w:r w:rsidR="00AA1F37">
        <w:rPr>
          <w:rFonts w:ascii="Times New Roman" w:hAnsi="Times New Roman" w:cs="Times New Roman"/>
        </w:rPr>
        <w:t>.</w:t>
      </w:r>
      <w:bookmarkEnd w:id="0"/>
      <w:bookmarkEnd w:id="1"/>
      <w:r w:rsidR="00E15F08">
        <w:rPr>
          <w:rFonts w:ascii="Times New Roman" w:hAnsi="Times New Roman" w:cs="Times New Roman"/>
        </w:rPr>
        <w:t xml:space="preserve"> This equates to</w:t>
      </w:r>
      <w:r w:rsidR="00AD320B">
        <w:rPr>
          <w:rFonts w:ascii="Times New Roman" w:hAnsi="Times New Roman" w:cs="Times New Roman"/>
        </w:rPr>
        <w:t xml:space="preserve"> a total additional cost of</w:t>
      </w:r>
      <w:r w:rsidR="00E15F08">
        <w:rPr>
          <w:rFonts w:ascii="Times New Roman" w:hAnsi="Times New Roman" w:cs="Times New Roman"/>
        </w:rPr>
        <w:t xml:space="preserve"> £5.8</w:t>
      </w:r>
      <w:r w:rsidR="00DD2DD9">
        <w:rPr>
          <w:rFonts w:ascii="Times New Roman" w:hAnsi="Times New Roman" w:cs="Times New Roman"/>
        </w:rPr>
        <w:t xml:space="preserve"> </w:t>
      </w:r>
      <w:r w:rsidR="00E15F08">
        <w:rPr>
          <w:rFonts w:ascii="Times New Roman" w:hAnsi="Times New Roman" w:cs="Times New Roman"/>
        </w:rPr>
        <w:t>billion per year across the UK.</w:t>
      </w:r>
      <w:r w:rsidR="008965A8">
        <w:rPr>
          <w:rFonts w:ascii="Times New Roman" w:hAnsi="Times New Roman" w:cs="Times New Roman"/>
        </w:rPr>
        <w:t xml:space="preserve"> </w:t>
      </w:r>
      <w:r w:rsidR="00AA1F37">
        <w:rPr>
          <w:rFonts w:ascii="Times New Roman" w:hAnsi="Times New Roman" w:cs="Times New Roman"/>
        </w:rPr>
        <w:t xml:space="preserve"> </w:t>
      </w:r>
      <w:r w:rsidR="00215882">
        <w:rPr>
          <w:rFonts w:ascii="Times New Roman" w:hAnsi="Times New Roman" w:cs="Times New Roman"/>
        </w:rPr>
        <w:t xml:space="preserve">  </w:t>
      </w:r>
    </w:p>
    <w:p w14:paraId="01A74721" w14:textId="77777777" w:rsidR="00830997" w:rsidRPr="00214F8B" w:rsidRDefault="00830997" w:rsidP="00396960">
      <w:pPr>
        <w:jc w:val="both"/>
        <w:rPr>
          <w:rFonts w:ascii="Times New Roman" w:hAnsi="Times New Roman" w:cs="Times New Roman"/>
        </w:rPr>
      </w:pPr>
    </w:p>
    <w:p w14:paraId="36A20F4A" w14:textId="3BC85D9F" w:rsidR="00BF3FEE" w:rsidRPr="00214F8B" w:rsidRDefault="00BF3FEE" w:rsidP="00396960">
      <w:pPr>
        <w:jc w:val="both"/>
        <w:rPr>
          <w:rFonts w:ascii="Times New Roman" w:hAnsi="Times New Roman" w:cs="Times New Roman"/>
          <w:i/>
        </w:rPr>
      </w:pPr>
      <w:r w:rsidRPr="00214F8B">
        <w:rPr>
          <w:rFonts w:ascii="Times New Roman" w:hAnsi="Times New Roman" w:cs="Times New Roman"/>
          <w:i/>
        </w:rPr>
        <w:t>Conclusions</w:t>
      </w:r>
    </w:p>
    <w:p w14:paraId="0E39D931" w14:textId="218EEB6F" w:rsidR="00BF3FEE" w:rsidRPr="001E6A03" w:rsidRDefault="00AD320B" w:rsidP="00396960">
      <w:pPr>
        <w:jc w:val="both"/>
        <w:rPr>
          <w:rFonts w:ascii="Times New Roman" w:hAnsi="Times New Roman" w:cs="Times New Roman"/>
        </w:rPr>
      </w:pPr>
      <w:r>
        <w:rPr>
          <w:rFonts w:ascii="Times New Roman" w:hAnsi="Times New Roman" w:cs="Times New Roman"/>
        </w:rPr>
        <w:t>Increasing frailty is associated with substantial increases in healthcare costs</w:t>
      </w:r>
      <w:r w:rsidR="002C5A3F">
        <w:rPr>
          <w:rFonts w:ascii="Times New Roman" w:hAnsi="Times New Roman" w:cs="Times New Roman"/>
        </w:rPr>
        <w:t>, driven by increased hospital admissions, longer inpatient stay, and increased general practice consultations</w:t>
      </w:r>
      <w:r>
        <w:rPr>
          <w:rFonts w:ascii="Times New Roman" w:hAnsi="Times New Roman" w:cs="Times New Roman"/>
        </w:rPr>
        <w:t>.</w:t>
      </w:r>
      <w:r w:rsidR="00214F8B">
        <w:rPr>
          <w:rFonts w:ascii="Times New Roman" w:hAnsi="Times New Roman" w:cs="Times New Roman"/>
        </w:rPr>
        <w:t xml:space="preserve"> </w:t>
      </w:r>
    </w:p>
    <w:p w14:paraId="0CC7A9A4" w14:textId="77777777" w:rsidR="00650D1D" w:rsidRPr="00331611" w:rsidRDefault="00650D1D" w:rsidP="00396960">
      <w:pPr>
        <w:jc w:val="both"/>
        <w:rPr>
          <w:rFonts w:ascii="Times New Roman" w:hAnsi="Times New Roman" w:cs="Times New Roman"/>
          <w:b/>
        </w:rPr>
      </w:pPr>
    </w:p>
    <w:p w14:paraId="0090B0AB" w14:textId="2817D872" w:rsidR="00BC5EBA" w:rsidRDefault="00C74783" w:rsidP="00830997">
      <w:pPr>
        <w:rPr>
          <w:rFonts w:ascii="Times New Roman" w:hAnsi="Times New Roman" w:cs="Times New Roman"/>
          <w:b/>
        </w:rPr>
      </w:pPr>
      <w:r>
        <w:rPr>
          <w:rFonts w:ascii="Times New Roman" w:hAnsi="Times New Roman" w:cs="Times New Roman"/>
          <w:b/>
        </w:rPr>
        <w:br w:type="page"/>
      </w:r>
    </w:p>
    <w:p w14:paraId="419FF52F" w14:textId="73D1377C" w:rsidR="00396960" w:rsidRDefault="00396960" w:rsidP="00396960">
      <w:pPr>
        <w:jc w:val="both"/>
        <w:rPr>
          <w:rFonts w:ascii="Times New Roman" w:hAnsi="Times New Roman" w:cs="Times New Roman"/>
          <w:b/>
        </w:rPr>
      </w:pPr>
      <w:r w:rsidRPr="00331611">
        <w:rPr>
          <w:rFonts w:ascii="Times New Roman" w:hAnsi="Times New Roman" w:cs="Times New Roman"/>
          <w:b/>
        </w:rPr>
        <w:lastRenderedPageBreak/>
        <w:t>Introduction</w:t>
      </w:r>
    </w:p>
    <w:p w14:paraId="308DD5BB" w14:textId="13C050B7" w:rsidR="00EE757F" w:rsidRDefault="00EE757F" w:rsidP="00396960">
      <w:pPr>
        <w:jc w:val="both"/>
        <w:rPr>
          <w:rFonts w:ascii="Times New Roman" w:hAnsi="Times New Roman" w:cs="Times New Roman"/>
        </w:rPr>
      </w:pPr>
      <w:r>
        <w:rPr>
          <w:rFonts w:ascii="Times New Roman" w:hAnsi="Times New Roman" w:cs="Times New Roman"/>
        </w:rPr>
        <w:t>Frailty is a</w:t>
      </w:r>
      <w:r w:rsidR="004D5863">
        <w:rPr>
          <w:rFonts w:ascii="Times New Roman" w:hAnsi="Times New Roman" w:cs="Times New Roman"/>
        </w:rPr>
        <w:t xml:space="preserve"> common</w:t>
      </w:r>
      <w:r>
        <w:rPr>
          <w:rFonts w:ascii="Times New Roman" w:hAnsi="Times New Roman" w:cs="Times New Roman"/>
        </w:rPr>
        <w:t xml:space="preserve"> condition characterised by loss of biological reserves and vulnerability to adverse outcomes. </w:t>
      </w:r>
      <w:r w:rsidR="002336B6">
        <w:rPr>
          <w:rFonts w:ascii="Times New Roman" w:hAnsi="Times New Roman" w:cs="Times New Roman"/>
        </w:rPr>
        <w:t>It is</w:t>
      </w:r>
      <w:r>
        <w:rPr>
          <w:rFonts w:ascii="Times New Roman" w:hAnsi="Times New Roman" w:cs="Times New Roman"/>
        </w:rPr>
        <w:t xml:space="preserve"> independently associated with increased risk of falls, disability, hospitalisation and mortality </w:t>
      </w:r>
      <w:r w:rsidR="00435F62">
        <w:rPr>
          <w:rFonts w:ascii="Times New Roman" w:hAnsi="Times New Roman" w:cs="Times New Roman"/>
        </w:rPr>
        <w:t>[</w:t>
      </w:r>
      <w:r w:rsidR="00B834D9">
        <w:rPr>
          <w:rFonts w:ascii="Times New Roman" w:hAnsi="Times New Roman" w:cs="Times New Roman"/>
        </w:rPr>
        <w:t>1</w:t>
      </w:r>
      <w:r w:rsidR="00435F62">
        <w:rPr>
          <w:rFonts w:ascii="Times New Roman" w:hAnsi="Times New Roman" w:cs="Times New Roman"/>
        </w:rPr>
        <w:t>]</w:t>
      </w:r>
      <w:r>
        <w:rPr>
          <w:rFonts w:ascii="Times New Roman" w:hAnsi="Times New Roman" w:cs="Times New Roman"/>
        </w:rPr>
        <w:t>. These outcomes are</w:t>
      </w:r>
      <w:r w:rsidR="006C5C40">
        <w:rPr>
          <w:rFonts w:ascii="Times New Roman" w:hAnsi="Times New Roman" w:cs="Times New Roman"/>
        </w:rPr>
        <w:t xml:space="preserve"> </w:t>
      </w:r>
      <w:r>
        <w:rPr>
          <w:rFonts w:ascii="Times New Roman" w:hAnsi="Times New Roman" w:cs="Times New Roman"/>
        </w:rPr>
        <w:t xml:space="preserve">important </w:t>
      </w:r>
      <w:r w:rsidR="00D078EC">
        <w:rPr>
          <w:rFonts w:ascii="Times New Roman" w:hAnsi="Times New Roman" w:cs="Times New Roman"/>
        </w:rPr>
        <w:t>f</w:t>
      </w:r>
      <w:r w:rsidR="004D5863">
        <w:rPr>
          <w:rFonts w:ascii="Times New Roman" w:hAnsi="Times New Roman" w:cs="Times New Roman"/>
        </w:rPr>
        <w:t>rom the perspective</w:t>
      </w:r>
      <w:r w:rsidR="007A12FF">
        <w:rPr>
          <w:rFonts w:ascii="Times New Roman" w:hAnsi="Times New Roman" w:cs="Times New Roman"/>
        </w:rPr>
        <w:t xml:space="preserve"> of</w:t>
      </w:r>
      <w:r>
        <w:rPr>
          <w:rFonts w:ascii="Times New Roman" w:hAnsi="Times New Roman" w:cs="Times New Roman"/>
        </w:rPr>
        <w:t xml:space="preserve"> older people</w:t>
      </w:r>
      <w:r w:rsidR="004D5863">
        <w:rPr>
          <w:rFonts w:ascii="Times New Roman" w:hAnsi="Times New Roman" w:cs="Times New Roman"/>
        </w:rPr>
        <w:t>,</w:t>
      </w:r>
      <w:r>
        <w:rPr>
          <w:rFonts w:ascii="Times New Roman" w:hAnsi="Times New Roman" w:cs="Times New Roman"/>
        </w:rPr>
        <w:t xml:space="preserve"> their families,</w:t>
      </w:r>
      <w:r w:rsidR="004D5863">
        <w:rPr>
          <w:rFonts w:ascii="Times New Roman" w:hAnsi="Times New Roman" w:cs="Times New Roman"/>
        </w:rPr>
        <w:t xml:space="preserve"> and </w:t>
      </w:r>
      <w:r>
        <w:rPr>
          <w:rFonts w:ascii="Times New Roman" w:hAnsi="Times New Roman" w:cs="Times New Roman"/>
        </w:rPr>
        <w:t>health and social care</w:t>
      </w:r>
      <w:r w:rsidR="004D5863">
        <w:rPr>
          <w:rFonts w:ascii="Times New Roman" w:hAnsi="Times New Roman" w:cs="Times New Roman"/>
        </w:rPr>
        <w:t xml:space="preserve"> systems internationally</w:t>
      </w:r>
      <w:r>
        <w:rPr>
          <w:rFonts w:ascii="Times New Roman" w:hAnsi="Times New Roman" w:cs="Times New Roman"/>
        </w:rPr>
        <w:t>. In light of this, frailty is</w:t>
      </w:r>
      <w:r w:rsidR="00B65F10">
        <w:rPr>
          <w:rFonts w:ascii="Times New Roman" w:hAnsi="Times New Roman" w:cs="Times New Roman"/>
        </w:rPr>
        <w:t xml:space="preserve"> gaining </w:t>
      </w:r>
      <w:r>
        <w:rPr>
          <w:rFonts w:ascii="Times New Roman" w:hAnsi="Times New Roman" w:cs="Times New Roman"/>
        </w:rPr>
        <w:t>increasing</w:t>
      </w:r>
      <w:r w:rsidR="00B65F10">
        <w:rPr>
          <w:rFonts w:ascii="Times New Roman" w:hAnsi="Times New Roman" w:cs="Times New Roman"/>
        </w:rPr>
        <w:t xml:space="preserve"> prominence as a key </w:t>
      </w:r>
      <w:r>
        <w:rPr>
          <w:rFonts w:ascii="Times New Roman" w:hAnsi="Times New Roman" w:cs="Times New Roman"/>
        </w:rPr>
        <w:t>health policy</w:t>
      </w:r>
      <w:r w:rsidR="00B65F10">
        <w:rPr>
          <w:rFonts w:ascii="Times New Roman" w:hAnsi="Times New Roman" w:cs="Times New Roman"/>
        </w:rPr>
        <w:t xml:space="preserve"> issue</w:t>
      </w:r>
      <w:r w:rsidR="00F74B47">
        <w:rPr>
          <w:rFonts w:ascii="Times New Roman" w:hAnsi="Times New Roman" w:cs="Times New Roman"/>
        </w:rPr>
        <w:t xml:space="preserve"> </w:t>
      </w:r>
      <w:r w:rsidR="00F74B47" w:rsidRPr="00F74B47">
        <w:rPr>
          <w:rFonts w:ascii="Times New Roman" w:hAnsi="Times New Roman" w:cs="Times New Roman"/>
        </w:rPr>
        <w:t xml:space="preserve">and there is growing recognition that healthcare systems need to adapt to more closely meet the needs of older people living with frailty </w:t>
      </w:r>
      <w:r w:rsidR="00F74B47">
        <w:rPr>
          <w:rFonts w:ascii="Times New Roman" w:hAnsi="Times New Roman" w:cs="Times New Roman"/>
        </w:rPr>
        <w:t>[2]</w:t>
      </w:r>
      <w:r w:rsidR="00F74B47" w:rsidRPr="00F74B47">
        <w:rPr>
          <w:rFonts w:ascii="Times New Roman" w:hAnsi="Times New Roman" w:cs="Times New Roman"/>
        </w:rPr>
        <w:t>. A notable recent development has been the inclusion of the identification and management of frailty in the 2017/18 General Medical Services contract, which is the national contractual agreement between general practitioners</w:t>
      </w:r>
      <w:r w:rsidR="00F74B47">
        <w:rPr>
          <w:rFonts w:ascii="Times New Roman" w:hAnsi="Times New Roman" w:cs="Times New Roman"/>
        </w:rPr>
        <w:t xml:space="preserve"> (GPs) and the NHS in England [3]</w:t>
      </w:r>
      <w:r w:rsidR="00413C09">
        <w:rPr>
          <w:rFonts w:ascii="Times New Roman" w:hAnsi="Times New Roman" w:cs="Times New Roman"/>
        </w:rPr>
        <w:t>.</w:t>
      </w:r>
    </w:p>
    <w:p w14:paraId="540BDD5F" w14:textId="76D51FF4" w:rsidR="00396960" w:rsidRDefault="0039041A" w:rsidP="00396960">
      <w:pPr>
        <w:jc w:val="both"/>
        <w:rPr>
          <w:rFonts w:ascii="Times New Roman" w:hAnsi="Times New Roman" w:cs="Times New Roman"/>
        </w:rPr>
      </w:pPr>
      <w:r>
        <w:rPr>
          <w:rFonts w:ascii="Times New Roman" w:hAnsi="Times New Roman" w:cs="Times New Roman"/>
        </w:rPr>
        <w:t>Available evidence indicates that frailty is associated with increased risk of contact with healthcare services. However, studies that have investigated healthcare resource use and costs have typically been relatively small, single site studies</w:t>
      </w:r>
      <w:r w:rsidR="00693B20">
        <w:rPr>
          <w:rFonts w:ascii="Times New Roman" w:hAnsi="Times New Roman" w:cs="Times New Roman"/>
        </w:rPr>
        <w:t xml:space="preserve"> [4] </w:t>
      </w:r>
      <w:r>
        <w:rPr>
          <w:rFonts w:ascii="Times New Roman" w:hAnsi="Times New Roman" w:cs="Times New Roman"/>
        </w:rPr>
        <w:t xml:space="preserve">or </w:t>
      </w:r>
      <w:r w:rsidR="00685C80">
        <w:rPr>
          <w:rFonts w:ascii="Times New Roman" w:hAnsi="Times New Roman" w:cs="Times New Roman"/>
        </w:rPr>
        <w:t xml:space="preserve">based on cohorts that are not generalisable to the wider community-dwelling older population </w:t>
      </w:r>
      <w:r w:rsidR="00D00D6F">
        <w:rPr>
          <w:rFonts w:ascii="Times New Roman" w:hAnsi="Times New Roman" w:cs="Times New Roman"/>
        </w:rPr>
        <w:t>[</w:t>
      </w:r>
      <w:r w:rsidR="00F74B47">
        <w:rPr>
          <w:rFonts w:ascii="Times New Roman" w:hAnsi="Times New Roman" w:cs="Times New Roman"/>
        </w:rPr>
        <w:t>5</w:t>
      </w:r>
      <w:r w:rsidR="00D00D6F">
        <w:rPr>
          <w:rFonts w:ascii="Times New Roman" w:hAnsi="Times New Roman" w:cs="Times New Roman"/>
        </w:rPr>
        <w:t>]</w:t>
      </w:r>
      <w:r w:rsidR="00685C80">
        <w:rPr>
          <w:rFonts w:ascii="Times New Roman" w:hAnsi="Times New Roman" w:cs="Times New Roman"/>
        </w:rPr>
        <w:t>. T</w:t>
      </w:r>
      <w:r w:rsidR="00EE757F">
        <w:rPr>
          <w:rFonts w:ascii="Times New Roman" w:hAnsi="Times New Roman" w:cs="Times New Roman"/>
        </w:rPr>
        <w:t>here has been a notable absence of research to investigate</w:t>
      </w:r>
      <w:r w:rsidR="008300D6">
        <w:rPr>
          <w:rFonts w:ascii="Times New Roman" w:hAnsi="Times New Roman" w:cs="Times New Roman"/>
        </w:rPr>
        <w:t xml:space="preserve"> resource</w:t>
      </w:r>
      <w:r w:rsidR="00546A71">
        <w:rPr>
          <w:rFonts w:ascii="Times New Roman" w:hAnsi="Times New Roman" w:cs="Times New Roman"/>
        </w:rPr>
        <w:t xml:space="preserve"> impact</w:t>
      </w:r>
      <w:r w:rsidR="00685C80">
        <w:rPr>
          <w:rFonts w:ascii="Times New Roman" w:hAnsi="Times New Roman" w:cs="Times New Roman"/>
        </w:rPr>
        <w:t xml:space="preserve"> of frailty</w:t>
      </w:r>
      <w:r w:rsidR="00546A71">
        <w:rPr>
          <w:rFonts w:ascii="Times New Roman" w:hAnsi="Times New Roman" w:cs="Times New Roman"/>
        </w:rPr>
        <w:t xml:space="preserve"> at the population level</w:t>
      </w:r>
      <w:r w:rsidR="00EE757F">
        <w:rPr>
          <w:rFonts w:ascii="Times New Roman" w:hAnsi="Times New Roman" w:cs="Times New Roman"/>
        </w:rPr>
        <w:t>.</w:t>
      </w:r>
      <w:r w:rsidR="008300D6">
        <w:rPr>
          <w:rFonts w:ascii="Times New Roman" w:hAnsi="Times New Roman" w:cs="Times New Roman"/>
        </w:rPr>
        <w:t xml:space="preserve"> This is problematic because the absence of </w:t>
      </w:r>
      <w:r w:rsidR="00685C80">
        <w:rPr>
          <w:rFonts w:ascii="Times New Roman" w:hAnsi="Times New Roman" w:cs="Times New Roman"/>
        </w:rPr>
        <w:t>this key</w:t>
      </w:r>
      <w:r w:rsidR="008300D6">
        <w:rPr>
          <w:rFonts w:ascii="Times New Roman" w:hAnsi="Times New Roman" w:cs="Times New Roman"/>
        </w:rPr>
        <w:t xml:space="preserve"> information is a major impediment to population-level planning, delivery and evaluation of services.</w:t>
      </w:r>
      <w:r w:rsidR="00EE757F">
        <w:rPr>
          <w:rFonts w:ascii="Times New Roman" w:hAnsi="Times New Roman" w:cs="Times New Roman"/>
        </w:rPr>
        <w:t xml:space="preserve"> </w:t>
      </w:r>
      <w:r>
        <w:rPr>
          <w:rFonts w:ascii="Times New Roman" w:hAnsi="Times New Roman" w:cs="Times New Roman"/>
        </w:rPr>
        <w:t>Furthermore</w:t>
      </w:r>
      <w:r w:rsidR="00546A71">
        <w:rPr>
          <w:rFonts w:ascii="Times New Roman" w:hAnsi="Times New Roman" w:cs="Times New Roman"/>
        </w:rPr>
        <w:t>, d</w:t>
      </w:r>
      <w:r w:rsidR="00A21365">
        <w:rPr>
          <w:rFonts w:ascii="Times New Roman" w:hAnsi="Times New Roman" w:cs="Times New Roman"/>
        </w:rPr>
        <w:t xml:space="preserve">etailed understanding of the impact of frailty on </w:t>
      </w:r>
      <w:r w:rsidR="004D5863">
        <w:rPr>
          <w:rFonts w:ascii="Times New Roman" w:hAnsi="Times New Roman" w:cs="Times New Roman"/>
        </w:rPr>
        <w:t>healthcare resource use</w:t>
      </w:r>
      <w:r w:rsidR="00A21365">
        <w:rPr>
          <w:rFonts w:ascii="Times New Roman" w:hAnsi="Times New Roman" w:cs="Times New Roman"/>
        </w:rPr>
        <w:t xml:space="preserve"> is important for informing robust </w:t>
      </w:r>
      <w:r w:rsidR="00685C80">
        <w:rPr>
          <w:rFonts w:ascii="Times New Roman" w:hAnsi="Times New Roman" w:cs="Times New Roman"/>
        </w:rPr>
        <w:t xml:space="preserve">national </w:t>
      </w:r>
      <w:r w:rsidR="00A21365">
        <w:rPr>
          <w:rFonts w:ascii="Times New Roman" w:hAnsi="Times New Roman" w:cs="Times New Roman"/>
        </w:rPr>
        <w:t>health policy</w:t>
      </w:r>
      <w:r>
        <w:rPr>
          <w:rFonts w:ascii="Times New Roman" w:hAnsi="Times New Roman" w:cs="Times New Roman"/>
        </w:rPr>
        <w:t xml:space="preserve"> and appropriate</w:t>
      </w:r>
      <w:r w:rsidR="00C74108">
        <w:rPr>
          <w:rFonts w:ascii="Times New Roman" w:hAnsi="Times New Roman" w:cs="Times New Roman"/>
        </w:rPr>
        <w:t xml:space="preserve"> resource allocation</w:t>
      </w:r>
      <w:r w:rsidR="00A21365">
        <w:rPr>
          <w:rFonts w:ascii="Times New Roman" w:hAnsi="Times New Roman" w:cs="Times New Roman"/>
        </w:rPr>
        <w:t>.</w:t>
      </w:r>
      <w:r w:rsidR="001E15BF">
        <w:rPr>
          <w:rFonts w:ascii="Times New Roman" w:hAnsi="Times New Roman" w:cs="Times New Roman"/>
        </w:rPr>
        <w:t xml:space="preserve"> In this study, we aimed to </w:t>
      </w:r>
      <w:r w:rsidR="004273F3">
        <w:rPr>
          <w:rFonts w:ascii="Times New Roman" w:hAnsi="Times New Roman" w:cs="Times New Roman"/>
        </w:rPr>
        <w:t>evaluate the association between frailty an</w:t>
      </w:r>
      <w:r w:rsidR="004D5863">
        <w:rPr>
          <w:rFonts w:ascii="Times New Roman" w:hAnsi="Times New Roman" w:cs="Times New Roman"/>
        </w:rPr>
        <w:t>d</w:t>
      </w:r>
      <w:r w:rsidR="00C74108">
        <w:rPr>
          <w:rFonts w:ascii="Times New Roman" w:hAnsi="Times New Roman" w:cs="Times New Roman"/>
        </w:rPr>
        <w:t xml:space="preserve"> healthcare resource use</w:t>
      </w:r>
      <w:r w:rsidR="00685C80">
        <w:rPr>
          <w:rFonts w:ascii="Times New Roman" w:hAnsi="Times New Roman" w:cs="Times New Roman"/>
        </w:rPr>
        <w:t xml:space="preserve"> at population-level</w:t>
      </w:r>
      <w:r w:rsidR="00C74108">
        <w:rPr>
          <w:rFonts w:ascii="Times New Roman" w:hAnsi="Times New Roman" w:cs="Times New Roman"/>
        </w:rPr>
        <w:t xml:space="preserve"> by analysing </w:t>
      </w:r>
      <w:r w:rsidR="004D5863">
        <w:rPr>
          <w:rFonts w:ascii="Times New Roman" w:hAnsi="Times New Roman" w:cs="Times New Roman"/>
        </w:rPr>
        <w:t>linked</w:t>
      </w:r>
      <w:r w:rsidR="00C74108">
        <w:rPr>
          <w:rFonts w:ascii="Times New Roman" w:hAnsi="Times New Roman" w:cs="Times New Roman"/>
        </w:rPr>
        <w:t xml:space="preserve"> primary care electronic patient</w:t>
      </w:r>
      <w:r w:rsidR="004D5863">
        <w:rPr>
          <w:rFonts w:ascii="Times New Roman" w:hAnsi="Times New Roman" w:cs="Times New Roman"/>
        </w:rPr>
        <w:t xml:space="preserve"> recor</w:t>
      </w:r>
      <w:r w:rsidR="002336B6">
        <w:rPr>
          <w:rFonts w:ascii="Times New Roman" w:hAnsi="Times New Roman" w:cs="Times New Roman"/>
        </w:rPr>
        <w:t>ds</w:t>
      </w:r>
      <w:r w:rsidR="00092D52">
        <w:rPr>
          <w:rFonts w:ascii="Times New Roman" w:hAnsi="Times New Roman" w:cs="Times New Roman"/>
        </w:rPr>
        <w:t xml:space="preserve"> (EPRs)</w:t>
      </w:r>
      <w:r w:rsidR="004273F3">
        <w:rPr>
          <w:rFonts w:ascii="Times New Roman" w:hAnsi="Times New Roman" w:cs="Times New Roman"/>
        </w:rPr>
        <w:t>.</w:t>
      </w:r>
      <w:r w:rsidR="00C221B3">
        <w:rPr>
          <w:rFonts w:ascii="Times New Roman" w:hAnsi="Times New Roman" w:cs="Times New Roman"/>
        </w:rPr>
        <w:t xml:space="preserve"> </w:t>
      </w:r>
    </w:p>
    <w:p w14:paraId="209B5B61" w14:textId="77777777" w:rsidR="00235218" w:rsidRPr="001E15BF" w:rsidRDefault="00235218" w:rsidP="005F7ED0">
      <w:pPr>
        <w:rPr>
          <w:rFonts w:ascii="Times New Roman" w:hAnsi="Times New Roman" w:cs="Times New Roman"/>
        </w:rPr>
      </w:pPr>
    </w:p>
    <w:p w14:paraId="1E5532D9" w14:textId="042BC9D6" w:rsidR="00396960" w:rsidRDefault="00D75B12" w:rsidP="00396960">
      <w:pPr>
        <w:jc w:val="both"/>
        <w:rPr>
          <w:rFonts w:ascii="Times New Roman" w:hAnsi="Times New Roman" w:cs="Times New Roman"/>
          <w:b/>
        </w:rPr>
      </w:pPr>
      <w:r w:rsidRPr="004F48A3">
        <w:rPr>
          <w:rFonts w:ascii="Times New Roman" w:hAnsi="Times New Roman" w:cs="Times New Roman"/>
          <w:b/>
        </w:rPr>
        <w:t>Study design</w:t>
      </w:r>
    </w:p>
    <w:p w14:paraId="1EEACBB8" w14:textId="1CC4D868" w:rsidR="000A40E9" w:rsidRPr="000A40E9" w:rsidRDefault="000A40E9" w:rsidP="00396960">
      <w:pPr>
        <w:jc w:val="both"/>
        <w:rPr>
          <w:rFonts w:ascii="Times New Roman" w:hAnsi="Times New Roman" w:cs="Times New Roman"/>
          <w:i/>
        </w:rPr>
      </w:pPr>
      <w:r w:rsidRPr="004F48A3">
        <w:rPr>
          <w:rFonts w:ascii="Times New Roman" w:hAnsi="Times New Roman" w:cs="Times New Roman"/>
          <w:i/>
        </w:rPr>
        <w:t>Data sources</w:t>
      </w:r>
    </w:p>
    <w:p w14:paraId="7E024986" w14:textId="14B0B899" w:rsidR="008E0FAA" w:rsidRDefault="00A2192B" w:rsidP="00331611">
      <w:pPr>
        <w:jc w:val="both"/>
        <w:rPr>
          <w:rFonts w:ascii="Times New Roman" w:hAnsi="Times New Roman" w:cs="Times New Roman"/>
        </w:rPr>
      </w:pPr>
      <w:r>
        <w:rPr>
          <w:rFonts w:ascii="Times New Roman" w:hAnsi="Times New Roman" w:cs="Times New Roman"/>
          <w:color w:val="000000"/>
        </w:rPr>
        <w:t>R</w:t>
      </w:r>
      <w:r w:rsidR="00D75B12">
        <w:rPr>
          <w:rFonts w:ascii="Times New Roman" w:hAnsi="Times New Roman" w:cs="Times New Roman"/>
          <w:color w:val="000000"/>
        </w:rPr>
        <w:t xml:space="preserve">etrospective </w:t>
      </w:r>
      <w:r w:rsidR="007E2762">
        <w:rPr>
          <w:rFonts w:ascii="Times New Roman" w:hAnsi="Times New Roman" w:cs="Times New Roman"/>
          <w:color w:val="000000"/>
        </w:rPr>
        <w:t xml:space="preserve">longitudinal </w:t>
      </w:r>
      <w:r w:rsidR="00D75B12">
        <w:rPr>
          <w:rFonts w:ascii="Times New Roman" w:hAnsi="Times New Roman" w:cs="Times New Roman"/>
          <w:color w:val="000000"/>
        </w:rPr>
        <w:t xml:space="preserve">analysis of </w:t>
      </w:r>
      <w:r>
        <w:rPr>
          <w:rFonts w:ascii="Times New Roman" w:hAnsi="Times New Roman" w:cs="Times New Roman"/>
          <w:color w:val="000000"/>
        </w:rPr>
        <w:t>EPRs</w:t>
      </w:r>
      <w:r w:rsidR="009E7DD2">
        <w:rPr>
          <w:rFonts w:ascii="Times New Roman" w:hAnsi="Times New Roman" w:cs="Times New Roman"/>
          <w:color w:val="000000"/>
        </w:rPr>
        <w:t xml:space="preserve"> </w:t>
      </w:r>
      <w:r w:rsidR="00C74108">
        <w:rPr>
          <w:rFonts w:ascii="Times New Roman" w:hAnsi="Times New Roman" w:cs="Times New Roman"/>
          <w:color w:val="000000"/>
        </w:rPr>
        <w:t>in</w:t>
      </w:r>
      <w:r w:rsidR="009E7DD2">
        <w:rPr>
          <w:rFonts w:ascii="Times New Roman" w:hAnsi="Times New Roman" w:cs="Times New Roman"/>
          <w:color w:val="000000"/>
        </w:rPr>
        <w:t xml:space="preserve"> </w:t>
      </w:r>
      <w:r w:rsidR="00067D6D">
        <w:rPr>
          <w:rFonts w:ascii="Times New Roman" w:hAnsi="Times New Roman" w:cs="Times New Roman"/>
          <w:color w:val="000000"/>
        </w:rPr>
        <w:t xml:space="preserve">the </w:t>
      </w:r>
      <w:r w:rsidR="00A25B58">
        <w:rPr>
          <w:rFonts w:ascii="Times New Roman" w:hAnsi="Times New Roman" w:cs="Times New Roman"/>
          <w:color w:val="000000"/>
        </w:rPr>
        <w:t>Clinical Practice Research Data</w:t>
      </w:r>
      <w:r w:rsidR="00C74108">
        <w:rPr>
          <w:rFonts w:ascii="Times New Roman" w:hAnsi="Times New Roman" w:cs="Times New Roman"/>
          <w:color w:val="000000"/>
        </w:rPr>
        <w:t>link</w:t>
      </w:r>
      <w:r w:rsidR="00A25B58">
        <w:rPr>
          <w:rFonts w:ascii="Times New Roman" w:hAnsi="Times New Roman" w:cs="Times New Roman"/>
          <w:color w:val="000000"/>
        </w:rPr>
        <w:t xml:space="preserve"> (</w:t>
      </w:r>
      <w:r w:rsidR="009E7DD2">
        <w:rPr>
          <w:rFonts w:ascii="Times New Roman" w:hAnsi="Times New Roman" w:cs="Times New Roman"/>
          <w:color w:val="000000"/>
        </w:rPr>
        <w:t>CPRD</w:t>
      </w:r>
      <w:r w:rsidR="00A25B58">
        <w:rPr>
          <w:rFonts w:ascii="Times New Roman" w:hAnsi="Times New Roman" w:cs="Times New Roman"/>
          <w:color w:val="000000"/>
        </w:rPr>
        <w:t>)</w:t>
      </w:r>
      <w:r w:rsidR="00194FFF">
        <w:rPr>
          <w:rFonts w:ascii="Times New Roman" w:hAnsi="Times New Roman" w:cs="Times New Roman"/>
          <w:color w:val="000000"/>
        </w:rPr>
        <w:t xml:space="preserve">, a </w:t>
      </w:r>
      <w:r w:rsidR="009E7DD2">
        <w:rPr>
          <w:rFonts w:ascii="Times New Roman" w:hAnsi="Times New Roman" w:cs="Times New Roman"/>
          <w:color w:val="000000"/>
        </w:rPr>
        <w:t xml:space="preserve">database </w:t>
      </w:r>
      <w:r w:rsidR="00212FF2" w:rsidRPr="00331611">
        <w:rPr>
          <w:rFonts w:ascii="Times New Roman" w:hAnsi="Times New Roman" w:cs="Times New Roman"/>
          <w:color w:val="000000"/>
        </w:rPr>
        <w:t>contain</w:t>
      </w:r>
      <w:r w:rsidR="00194FFF">
        <w:rPr>
          <w:rFonts w:ascii="Times New Roman" w:hAnsi="Times New Roman" w:cs="Times New Roman"/>
          <w:color w:val="000000"/>
        </w:rPr>
        <w:t>ing</w:t>
      </w:r>
      <w:r w:rsidR="00212FF2" w:rsidRPr="00331611">
        <w:rPr>
          <w:rFonts w:ascii="Times New Roman" w:hAnsi="Times New Roman" w:cs="Times New Roman"/>
          <w:color w:val="000000"/>
        </w:rPr>
        <w:t xml:space="preserve"> </w:t>
      </w:r>
      <w:r w:rsidR="009E7DD2">
        <w:rPr>
          <w:rFonts w:ascii="Times New Roman" w:hAnsi="Times New Roman" w:cs="Times New Roman"/>
          <w:color w:val="000000"/>
        </w:rPr>
        <w:t xml:space="preserve">routinely collected </w:t>
      </w:r>
      <w:r w:rsidR="00212FF2" w:rsidRPr="00331611">
        <w:rPr>
          <w:rFonts w:ascii="Times New Roman" w:hAnsi="Times New Roman" w:cs="Times New Roman"/>
          <w:color w:val="000000"/>
        </w:rPr>
        <w:t xml:space="preserve">primary care </w:t>
      </w:r>
      <w:r w:rsidR="00092D52">
        <w:rPr>
          <w:rFonts w:ascii="Times New Roman" w:hAnsi="Times New Roman" w:cs="Times New Roman"/>
          <w:color w:val="000000"/>
        </w:rPr>
        <w:t>EPRs</w:t>
      </w:r>
      <w:r w:rsidR="00212FF2" w:rsidRPr="00331611">
        <w:rPr>
          <w:rFonts w:ascii="Times New Roman" w:hAnsi="Times New Roman" w:cs="Times New Roman"/>
          <w:color w:val="000000"/>
        </w:rPr>
        <w:t xml:space="preserve"> </w:t>
      </w:r>
      <w:r w:rsidR="00092D52">
        <w:rPr>
          <w:rFonts w:ascii="Times New Roman" w:hAnsi="Times New Roman" w:cs="Times New Roman"/>
          <w:color w:val="000000"/>
        </w:rPr>
        <w:t>from</w:t>
      </w:r>
      <w:r w:rsidR="00212FF2">
        <w:rPr>
          <w:rFonts w:ascii="Times New Roman" w:hAnsi="Times New Roman" w:cs="Times New Roman"/>
          <w:color w:val="000000"/>
        </w:rPr>
        <w:t xml:space="preserve"> </w:t>
      </w:r>
      <w:r w:rsidR="007A12FF">
        <w:rPr>
          <w:rFonts w:ascii="Times New Roman" w:hAnsi="Times New Roman" w:cs="Times New Roman"/>
          <w:color w:val="000000"/>
        </w:rPr>
        <w:t>approximately</w:t>
      </w:r>
      <w:r w:rsidR="007163D3">
        <w:rPr>
          <w:rFonts w:ascii="Times New Roman" w:hAnsi="Times New Roman" w:cs="Times New Roman"/>
          <w:color w:val="000000"/>
        </w:rPr>
        <w:t xml:space="preserve"> </w:t>
      </w:r>
      <w:r w:rsidR="00212FF2">
        <w:rPr>
          <w:rFonts w:ascii="Times New Roman" w:hAnsi="Times New Roman" w:cs="Times New Roman"/>
          <w:color w:val="000000"/>
        </w:rPr>
        <w:t xml:space="preserve">6.9% of the UK population registered with </w:t>
      </w:r>
      <w:r w:rsidR="00212FF2" w:rsidRPr="00331611">
        <w:rPr>
          <w:rFonts w:ascii="Times New Roman" w:hAnsi="Times New Roman" w:cs="Times New Roman"/>
          <w:color w:val="000000"/>
        </w:rPr>
        <w:t>674 practices</w:t>
      </w:r>
      <w:r w:rsidR="00194FFF">
        <w:rPr>
          <w:rFonts w:ascii="Times New Roman" w:hAnsi="Times New Roman" w:cs="Times New Roman"/>
          <w:color w:val="000000"/>
        </w:rPr>
        <w:t xml:space="preserve"> [</w:t>
      </w:r>
      <w:r w:rsidR="00F74B47">
        <w:rPr>
          <w:rFonts w:ascii="Times New Roman" w:hAnsi="Times New Roman" w:cs="Times New Roman"/>
          <w:color w:val="000000"/>
        </w:rPr>
        <w:t>6</w:t>
      </w:r>
      <w:r w:rsidR="00194FFF">
        <w:rPr>
          <w:rFonts w:ascii="Times New Roman" w:hAnsi="Times New Roman" w:cs="Times New Roman"/>
          <w:color w:val="000000"/>
        </w:rPr>
        <w:t>].</w:t>
      </w:r>
      <w:r w:rsidR="00212FF2" w:rsidRPr="00331611">
        <w:rPr>
          <w:rFonts w:ascii="Times New Roman" w:hAnsi="Times New Roman" w:cs="Times New Roman"/>
          <w:color w:val="000000"/>
        </w:rPr>
        <w:t xml:space="preserve"> </w:t>
      </w:r>
      <w:r w:rsidR="00C74108">
        <w:rPr>
          <w:rFonts w:ascii="Times New Roman" w:hAnsi="Times New Roman" w:cs="Times New Roman"/>
        </w:rPr>
        <w:t>Individual patient data is</w:t>
      </w:r>
      <w:r w:rsidR="008E0FAA">
        <w:rPr>
          <w:rFonts w:ascii="Times New Roman" w:hAnsi="Times New Roman" w:cs="Times New Roman"/>
        </w:rPr>
        <w:t xml:space="preserve"> linked to </w:t>
      </w:r>
      <w:r w:rsidR="008E0FAA" w:rsidRPr="00F12669">
        <w:rPr>
          <w:rFonts w:ascii="Times New Roman" w:hAnsi="Times New Roman" w:cs="Times New Roman"/>
        </w:rPr>
        <w:t xml:space="preserve">external data sources </w:t>
      </w:r>
      <w:r w:rsidR="00C74108">
        <w:rPr>
          <w:rFonts w:ascii="Times New Roman" w:hAnsi="Times New Roman" w:cs="Times New Roman"/>
        </w:rPr>
        <w:t>including NHS</w:t>
      </w:r>
      <w:r w:rsidR="00203AC0">
        <w:rPr>
          <w:rFonts w:ascii="Times New Roman" w:hAnsi="Times New Roman" w:cs="Times New Roman"/>
        </w:rPr>
        <w:t xml:space="preserve"> </w:t>
      </w:r>
      <w:r w:rsidR="008E0FAA" w:rsidRPr="00F12669">
        <w:rPr>
          <w:rFonts w:ascii="Times New Roman" w:hAnsi="Times New Roman" w:cs="Times New Roman"/>
        </w:rPr>
        <w:t>Hospital Episode Statistics (HES)</w:t>
      </w:r>
      <w:r w:rsidR="008E0FAA">
        <w:rPr>
          <w:rFonts w:ascii="Times New Roman" w:hAnsi="Times New Roman" w:cs="Times New Roman"/>
        </w:rPr>
        <w:t xml:space="preserve"> for </w:t>
      </w:r>
      <w:r w:rsidR="008E0FAA" w:rsidRPr="00F12669">
        <w:rPr>
          <w:rFonts w:ascii="Times New Roman" w:hAnsi="Times New Roman" w:cs="Times New Roman"/>
        </w:rPr>
        <w:t>hospital admissions</w:t>
      </w:r>
      <w:r w:rsidR="008E0FAA">
        <w:rPr>
          <w:rFonts w:ascii="Times New Roman" w:hAnsi="Times New Roman" w:cs="Times New Roman"/>
        </w:rPr>
        <w:t xml:space="preserve"> [</w:t>
      </w:r>
      <w:r w:rsidR="00F74B47">
        <w:rPr>
          <w:rFonts w:ascii="Times New Roman" w:hAnsi="Times New Roman" w:cs="Times New Roman"/>
        </w:rPr>
        <w:t>7</w:t>
      </w:r>
      <w:r w:rsidR="008E0FAA">
        <w:rPr>
          <w:rFonts w:ascii="Times New Roman" w:hAnsi="Times New Roman" w:cs="Times New Roman"/>
        </w:rPr>
        <w:t xml:space="preserve">], the </w:t>
      </w:r>
      <w:r w:rsidR="008E0FAA" w:rsidRPr="00F12669">
        <w:rPr>
          <w:rFonts w:ascii="Times New Roman" w:hAnsi="Times New Roman" w:cs="Times New Roman"/>
        </w:rPr>
        <w:t xml:space="preserve">Index of Multiple Deprivation (IMD) </w:t>
      </w:r>
      <w:r w:rsidR="008E0FAA">
        <w:rPr>
          <w:rFonts w:ascii="Times New Roman" w:hAnsi="Times New Roman" w:cs="Times New Roman"/>
        </w:rPr>
        <w:t>score [</w:t>
      </w:r>
      <w:r w:rsidR="00F74B47">
        <w:rPr>
          <w:rFonts w:ascii="Times New Roman" w:hAnsi="Times New Roman" w:cs="Times New Roman"/>
        </w:rPr>
        <w:t>8</w:t>
      </w:r>
      <w:r w:rsidR="008E0FAA">
        <w:rPr>
          <w:rFonts w:ascii="Times New Roman" w:hAnsi="Times New Roman" w:cs="Times New Roman"/>
        </w:rPr>
        <w:t xml:space="preserve">], and </w:t>
      </w:r>
      <w:r w:rsidR="008E0FAA" w:rsidRPr="00F12669">
        <w:rPr>
          <w:rFonts w:ascii="Times New Roman" w:hAnsi="Times New Roman" w:cs="Times New Roman"/>
        </w:rPr>
        <w:t>the Office of National Statistics (ONS)</w:t>
      </w:r>
      <w:r w:rsidR="008E0FAA">
        <w:rPr>
          <w:rFonts w:ascii="Times New Roman" w:hAnsi="Times New Roman" w:cs="Times New Roman"/>
        </w:rPr>
        <w:t xml:space="preserve"> </w:t>
      </w:r>
      <w:r>
        <w:rPr>
          <w:rFonts w:ascii="Times New Roman" w:hAnsi="Times New Roman" w:cs="Times New Roman"/>
        </w:rPr>
        <w:t>mortality</w:t>
      </w:r>
      <w:r w:rsidR="008E0FAA">
        <w:rPr>
          <w:rFonts w:ascii="Times New Roman" w:hAnsi="Times New Roman" w:cs="Times New Roman"/>
        </w:rPr>
        <w:t xml:space="preserve"> records [</w:t>
      </w:r>
      <w:r w:rsidR="00F74B47">
        <w:rPr>
          <w:rFonts w:ascii="Times New Roman" w:hAnsi="Times New Roman" w:cs="Times New Roman"/>
        </w:rPr>
        <w:t>9</w:t>
      </w:r>
      <w:r w:rsidR="008E0FAA">
        <w:rPr>
          <w:rFonts w:ascii="Times New Roman" w:hAnsi="Times New Roman" w:cs="Times New Roman"/>
        </w:rPr>
        <w:t>]</w:t>
      </w:r>
      <w:r w:rsidR="008E0FAA" w:rsidRPr="00F12669">
        <w:rPr>
          <w:rFonts w:ascii="Times New Roman" w:hAnsi="Times New Roman" w:cs="Times New Roman"/>
        </w:rPr>
        <w:t xml:space="preserve">. </w:t>
      </w:r>
    </w:p>
    <w:p w14:paraId="458C7ABC" w14:textId="437E5815" w:rsidR="00B9591F" w:rsidRDefault="00442D60" w:rsidP="00331611">
      <w:pPr>
        <w:jc w:val="both"/>
        <w:rPr>
          <w:rFonts w:ascii="Times New Roman" w:hAnsi="Times New Roman" w:cs="Times New Roman"/>
          <w:color w:val="000000"/>
        </w:rPr>
      </w:pPr>
      <w:r>
        <w:rPr>
          <w:rFonts w:ascii="Times New Roman" w:hAnsi="Times New Roman" w:cs="Times New Roman"/>
        </w:rPr>
        <w:t xml:space="preserve">Our sampling frame was </w:t>
      </w:r>
      <w:r w:rsidR="00572928">
        <w:rPr>
          <w:rFonts w:ascii="Times New Roman" w:hAnsi="Times New Roman" w:cs="Times New Roman"/>
        </w:rPr>
        <w:t xml:space="preserve">125 general practices in England, </w:t>
      </w:r>
      <w:r w:rsidR="00E15E2B">
        <w:rPr>
          <w:rFonts w:ascii="Times New Roman" w:hAnsi="Times New Roman" w:cs="Times New Roman"/>
        </w:rPr>
        <w:t xml:space="preserve">broadly nationally representative </w:t>
      </w:r>
      <w:r w:rsidR="00A2192B">
        <w:rPr>
          <w:rFonts w:ascii="Times New Roman" w:hAnsi="Times New Roman" w:cs="Times New Roman"/>
        </w:rPr>
        <w:t xml:space="preserve">for </w:t>
      </w:r>
      <w:r w:rsidR="00E15E2B">
        <w:rPr>
          <w:rFonts w:ascii="Times New Roman" w:hAnsi="Times New Roman" w:cs="Times New Roman"/>
        </w:rPr>
        <w:t>social</w:t>
      </w:r>
      <w:r w:rsidR="00572928">
        <w:rPr>
          <w:rFonts w:ascii="Times New Roman" w:hAnsi="Times New Roman" w:cs="Times New Roman"/>
        </w:rPr>
        <w:t xml:space="preserve"> deprivation </w:t>
      </w:r>
      <w:r w:rsidR="00E15E2B">
        <w:rPr>
          <w:rFonts w:ascii="Times New Roman" w:hAnsi="Times New Roman" w:cs="Times New Roman"/>
        </w:rPr>
        <w:t>and list size</w:t>
      </w:r>
      <w:r w:rsidR="00572928">
        <w:rPr>
          <w:rFonts w:ascii="Times New Roman" w:hAnsi="Times New Roman" w:cs="Times New Roman"/>
        </w:rPr>
        <w:t xml:space="preserve">. </w:t>
      </w:r>
      <w:r w:rsidR="00E15E2B">
        <w:rPr>
          <w:rFonts w:ascii="Times New Roman" w:hAnsi="Times New Roman" w:cs="Times New Roman"/>
        </w:rPr>
        <w:t>P</w:t>
      </w:r>
      <w:r w:rsidR="009F0ADC">
        <w:rPr>
          <w:rFonts w:ascii="Times New Roman" w:hAnsi="Times New Roman" w:cs="Times New Roman"/>
        </w:rPr>
        <w:t xml:space="preserve">atients </w:t>
      </w:r>
      <w:r w:rsidR="00E15E2B">
        <w:rPr>
          <w:rFonts w:ascii="Times New Roman" w:hAnsi="Times New Roman" w:cs="Times New Roman"/>
        </w:rPr>
        <w:t xml:space="preserve">with </w:t>
      </w:r>
      <w:r w:rsidR="009F0ADC">
        <w:rPr>
          <w:rFonts w:ascii="Times New Roman" w:hAnsi="Times New Roman" w:cs="Times New Roman"/>
        </w:rPr>
        <w:t xml:space="preserve">at least one </w:t>
      </w:r>
      <w:r w:rsidR="003A7578">
        <w:rPr>
          <w:rFonts w:ascii="Times New Roman" w:hAnsi="Times New Roman" w:cs="Times New Roman"/>
        </w:rPr>
        <w:t>of eighteen</w:t>
      </w:r>
      <w:r w:rsidR="009F0ADC">
        <w:rPr>
          <w:rFonts w:ascii="Times New Roman" w:hAnsi="Times New Roman" w:cs="Times New Roman"/>
        </w:rPr>
        <w:t xml:space="preserve"> </w:t>
      </w:r>
      <w:r w:rsidR="00E15E2B">
        <w:rPr>
          <w:rFonts w:ascii="Times New Roman" w:hAnsi="Times New Roman" w:cs="Times New Roman"/>
        </w:rPr>
        <w:t xml:space="preserve">long-term </w:t>
      </w:r>
      <w:r w:rsidR="009F0ADC">
        <w:rPr>
          <w:rFonts w:ascii="Times New Roman" w:hAnsi="Times New Roman" w:cs="Times New Roman"/>
        </w:rPr>
        <w:t xml:space="preserve">conditions </w:t>
      </w:r>
      <w:r w:rsidR="00503C8E">
        <w:rPr>
          <w:rFonts w:ascii="Times New Roman" w:hAnsi="Times New Roman" w:cs="Times New Roman"/>
        </w:rPr>
        <w:t xml:space="preserve">(LTCs) </w:t>
      </w:r>
      <w:r w:rsidR="003A7578">
        <w:rPr>
          <w:rFonts w:ascii="Times New Roman" w:hAnsi="Times New Roman" w:cs="Times New Roman"/>
        </w:rPr>
        <w:t>included in</w:t>
      </w:r>
      <w:r w:rsidR="009F0ADC">
        <w:rPr>
          <w:rFonts w:ascii="Times New Roman" w:hAnsi="Times New Roman" w:cs="Times New Roman"/>
        </w:rPr>
        <w:t xml:space="preserve"> the </w:t>
      </w:r>
      <w:r w:rsidR="009F0ADC">
        <w:rPr>
          <w:rFonts w:ascii="Times New Roman" w:hAnsi="Times New Roman" w:cs="Times New Roman"/>
          <w:color w:val="000000"/>
        </w:rPr>
        <w:t>Quality and Outcomes Framework (QOF</w:t>
      </w:r>
      <w:r>
        <w:rPr>
          <w:rFonts w:ascii="Times New Roman" w:hAnsi="Times New Roman" w:cs="Times New Roman"/>
          <w:color w:val="000000"/>
        </w:rPr>
        <w:t xml:space="preserve">; </w:t>
      </w:r>
      <w:r w:rsidR="009F0ADC">
        <w:rPr>
          <w:rFonts w:ascii="Times New Roman" w:hAnsi="Times New Roman" w:cs="Times New Roman"/>
          <w:color w:val="000000"/>
        </w:rPr>
        <w:t xml:space="preserve">a national primary care </w:t>
      </w:r>
      <w:r w:rsidR="003A7578">
        <w:rPr>
          <w:rFonts w:ascii="Times New Roman" w:hAnsi="Times New Roman" w:cs="Times New Roman"/>
          <w:color w:val="000000"/>
        </w:rPr>
        <w:t xml:space="preserve">pay-for-performance scheme </w:t>
      </w:r>
      <w:r w:rsidR="009F0ADC">
        <w:rPr>
          <w:rFonts w:ascii="Times New Roman" w:hAnsi="Times New Roman" w:cs="Times New Roman"/>
          <w:color w:val="000000"/>
        </w:rPr>
        <w:t>[</w:t>
      </w:r>
      <w:r w:rsidR="00F74B47">
        <w:rPr>
          <w:rFonts w:ascii="Times New Roman" w:hAnsi="Times New Roman" w:cs="Times New Roman"/>
          <w:color w:val="000000"/>
        </w:rPr>
        <w:t>10</w:t>
      </w:r>
      <w:r w:rsidR="009F0ADC">
        <w:rPr>
          <w:rFonts w:ascii="Times New Roman" w:hAnsi="Times New Roman" w:cs="Times New Roman"/>
          <w:color w:val="000000"/>
        </w:rPr>
        <w:t>]</w:t>
      </w:r>
      <w:r>
        <w:rPr>
          <w:rFonts w:ascii="Times New Roman" w:hAnsi="Times New Roman" w:cs="Times New Roman"/>
          <w:color w:val="000000"/>
        </w:rPr>
        <w:t xml:space="preserve">) </w:t>
      </w:r>
      <w:r w:rsidR="00D346E2">
        <w:rPr>
          <w:rFonts w:ascii="Times New Roman" w:hAnsi="Times New Roman" w:cs="Times New Roman"/>
          <w:color w:val="000000"/>
        </w:rPr>
        <w:t>were</w:t>
      </w:r>
      <w:r>
        <w:rPr>
          <w:rFonts w:ascii="Times New Roman" w:hAnsi="Times New Roman" w:cs="Times New Roman"/>
          <w:color w:val="000000"/>
        </w:rPr>
        <w:t xml:space="preserve"> </w:t>
      </w:r>
      <w:r w:rsidR="00203AC0">
        <w:rPr>
          <w:rFonts w:ascii="Times New Roman" w:hAnsi="Times New Roman" w:cs="Times New Roman"/>
          <w:color w:val="000000"/>
        </w:rPr>
        <w:t xml:space="preserve">eligible, and up to 2,500 eligible patients were </w:t>
      </w:r>
      <w:r>
        <w:rPr>
          <w:rFonts w:ascii="Times New Roman" w:hAnsi="Times New Roman" w:cs="Times New Roman"/>
          <w:color w:val="000000"/>
        </w:rPr>
        <w:t>randomly sampled from study practices</w:t>
      </w:r>
      <w:r w:rsidR="009F0ADC">
        <w:rPr>
          <w:rFonts w:ascii="Times New Roman" w:hAnsi="Times New Roman" w:cs="Times New Roman"/>
          <w:color w:val="000000"/>
        </w:rPr>
        <w:t xml:space="preserve">. </w:t>
      </w:r>
    </w:p>
    <w:p w14:paraId="0CA7E697" w14:textId="6105EDBA" w:rsidR="000A40E9" w:rsidRDefault="000A40E9" w:rsidP="00F12669">
      <w:pPr>
        <w:jc w:val="both"/>
        <w:rPr>
          <w:rFonts w:ascii="Times New Roman" w:hAnsi="Times New Roman" w:cs="Times New Roman"/>
        </w:rPr>
      </w:pPr>
      <w:r>
        <w:rPr>
          <w:rFonts w:ascii="Times New Roman" w:hAnsi="Times New Roman" w:cs="Times New Roman"/>
        </w:rPr>
        <w:t>For healthcare costs, we extracted information from Unit Costs of Health and Social Care [</w:t>
      </w:r>
      <w:r w:rsidR="002419C0">
        <w:rPr>
          <w:rFonts w:ascii="Times New Roman" w:hAnsi="Times New Roman" w:cs="Times New Roman"/>
        </w:rPr>
        <w:t>1</w:t>
      </w:r>
      <w:r w:rsidR="00F74B47">
        <w:rPr>
          <w:rFonts w:ascii="Times New Roman" w:hAnsi="Times New Roman" w:cs="Times New Roman"/>
        </w:rPr>
        <w:t>1</w:t>
      </w:r>
      <w:r>
        <w:rPr>
          <w:rFonts w:ascii="Times New Roman" w:hAnsi="Times New Roman" w:cs="Times New Roman"/>
        </w:rPr>
        <w:t>], the NHS national tariffs [</w:t>
      </w:r>
      <w:r w:rsidR="002419C0">
        <w:rPr>
          <w:rFonts w:ascii="Times New Roman" w:hAnsi="Times New Roman" w:cs="Times New Roman"/>
        </w:rPr>
        <w:t>1</w:t>
      </w:r>
      <w:r w:rsidR="00F74B47">
        <w:rPr>
          <w:rFonts w:ascii="Times New Roman" w:hAnsi="Times New Roman" w:cs="Times New Roman"/>
        </w:rPr>
        <w:t>2</w:t>
      </w:r>
      <w:r>
        <w:rPr>
          <w:rFonts w:ascii="Times New Roman" w:hAnsi="Times New Roman" w:cs="Times New Roman"/>
        </w:rPr>
        <w:t xml:space="preserve">] and </w:t>
      </w:r>
      <w:r w:rsidR="00E95E95">
        <w:rPr>
          <w:rFonts w:ascii="Times New Roman" w:hAnsi="Times New Roman" w:cs="Times New Roman"/>
        </w:rPr>
        <w:t>Department of Health</w:t>
      </w:r>
      <w:r w:rsidR="00F97B35">
        <w:rPr>
          <w:rFonts w:ascii="Times New Roman" w:hAnsi="Times New Roman" w:cs="Times New Roman"/>
        </w:rPr>
        <w:t xml:space="preserve"> Reference C</w:t>
      </w:r>
      <w:r>
        <w:rPr>
          <w:rFonts w:ascii="Times New Roman" w:hAnsi="Times New Roman" w:cs="Times New Roman"/>
        </w:rPr>
        <w:t>osts [</w:t>
      </w:r>
      <w:r w:rsidR="002419C0">
        <w:rPr>
          <w:rFonts w:ascii="Times New Roman" w:hAnsi="Times New Roman" w:cs="Times New Roman"/>
        </w:rPr>
        <w:t>1</w:t>
      </w:r>
      <w:r w:rsidR="00F74B47">
        <w:rPr>
          <w:rFonts w:ascii="Times New Roman" w:hAnsi="Times New Roman" w:cs="Times New Roman"/>
        </w:rPr>
        <w:t>3</w:t>
      </w:r>
      <w:r>
        <w:rPr>
          <w:rFonts w:ascii="Times New Roman" w:hAnsi="Times New Roman" w:cs="Times New Roman"/>
        </w:rPr>
        <w:t>].</w:t>
      </w:r>
    </w:p>
    <w:p w14:paraId="1214754B" w14:textId="77777777" w:rsidR="00235218" w:rsidRDefault="00235218" w:rsidP="00F12669">
      <w:pPr>
        <w:jc w:val="both"/>
        <w:rPr>
          <w:rFonts w:ascii="Times New Roman" w:hAnsi="Times New Roman" w:cs="Times New Roman"/>
        </w:rPr>
      </w:pPr>
    </w:p>
    <w:p w14:paraId="4540D3E5" w14:textId="5CF06036" w:rsidR="00F01B5B" w:rsidRDefault="00F01B5B" w:rsidP="00F12669">
      <w:pPr>
        <w:jc w:val="both"/>
        <w:rPr>
          <w:rFonts w:ascii="Times New Roman" w:hAnsi="Times New Roman" w:cs="Times New Roman"/>
          <w:i/>
        </w:rPr>
      </w:pPr>
      <w:r w:rsidRPr="00F01B5B">
        <w:rPr>
          <w:rFonts w:ascii="Times New Roman" w:hAnsi="Times New Roman" w:cs="Times New Roman"/>
          <w:i/>
        </w:rPr>
        <w:t>Variables and method</w:t>
      </w:r>
    </w:p>
    <w:p w14:paraId="5EE4129E" w14:textId="247B9034" w:rsidR="00C60CD0" w:rsidRDefault="009628E9" w:rsidP="00F12669">
      <w:pPr>
        <w:jc w:val="both"/>
        <w:rPr>
          <w:rFonts w:ascii="Times New Roman" w:hAnsi="Times New Roman" w:cs="Times New Roman"/>
          <w:color w:val="000000"/>
        </w:rPr>
      </w:pPr>
      <w:r>
        <w:rPr>
          <w:rFonts w:ascii="Times New Roman" w:hAnsi="Times New Roman" w:cs="Times New Roman"/>
          <w:color w:val="000000"/>
        </w:rPr>
        <w:t>W</w:t>
      </w:r>
      <w:r w:rsidR="000A40E9">
        <w:rPr>
          <w:rFonts w:ascii="Times New Roman" w:hAnsi="Times New Roman" w:cs="Times New Roman"/>
          <w:color w:val="000000"/>
        </w:rPr>
        <w:t xml:space="preserve">e identified 11 </w:t>
      </w:r>
      <w:r w:rsidR="00852DE0">
        <w:rPr>
          <w:rFonts w:ascii="Times New Roman" w:hAnsi="Times New Roman" w:cs="Times New Roman"/>
          <w:color w:val="000000"/>
        </w:rPr>
        <w:t xml:space="preserve">annual </w:t>
      </w:r>
      <w:r w:rsidR="000A40E9">
        <w:rPr>
          <w:rFonts w:ascii="Times New Roman" w:hAnsi="Times New Roman" w:cs="Times New Roman"/>
          <w:color w:val="000000"/>
        </w:rPr>
        <w:t xml:space="preserve">cohorts </w:t>
      </w:r>
      <w:r w:rsidR="007C4F65">
        <w:rPr>
          <w:rFonts w:ascii="Times New Roman" w:hAnsi="Times New Roman" w:cs="Times New Roman"/>
          <w:color w:val="000000"/>
        </w:rPr>
        <w:t xml:space="preserve">from our sample patients </w:t>
      </w:r>
      <w:r w:rsidR="000A40E9">
        <w:rPr>
          <w:rFonts w:ascii="Times New Roman" w:hAnsi="Times New Roman" w:cs="Times New Roman"/>
          <w:color w:val="000000"/>
        </w:rPr>
        <w:t>from 1</w:t>
      </w:r>
      <w:r w:rsidR="000A40E9" w:rsidRPr="00334669">
        <w:rPr>
          <w:rFonts w:ascii="Times New Roman" w:hAnsi="Times New Roman" w:cs="Times New Roman"/>
          <w:color w:val="000000"/>
          <w:vertAlign w:val="superscript"/>
        </w:rPr>
        <w:t>st</w:t>
      </w:r>
      <w:r w:rsidR="000A40E9">
        <w:rPr>
          <w:rFonts w:ascii="Times New Roman" w:hAnsi="Times New Roman" w:cs="Times New Roman"/>
          <w:color w:val="000000"/>
        </w:rPr>
        <w:t xml:space="preserve"> April 2003 to 31</w:t>
      </w:r>
      <w:r w:rsidR="000A40E9" w:rsidRPr="00334669">
        <w:rPr>
          <w:rFonts w:ascii="Times New Roman" w:hAnsi="Times New Roman" w:cs="Times New Roman"/>
          <w:color w:val="000000"/>
          <w:vertAlign w:val="superscript"/>
        </w:rPr>
        <w:t>st</w:t>
      </w:r>
      <w:r w:rsidR="000A40E9">
        <w:rPr>
          <w:rFonts w:ascii="Times New Roman" w:hAnsi="Times New Roman" w:cs="Times New Roman"/>
          <w:color w:val="000000"/>
        </w:rPr>
        <w:t xml:space="preserve"> March 2014. Patients were included in the index cohort if they</w:t>
      </w:r>
      <w:r w:rsidR="002C5A3F">
        <w:rPr>
          <w:rFonts w:ascii="Times New Roman" w:hAnsi="Times New Roman" w:cs="Times New Roman"/>
          <w:color w:val="000000"/>
        </w:rPr>
        <w:t xml:space="preserve"> were</w:t>
      </w:r>
      <w:r w:rsidR="00235218">
        <w:rPr>
          <w:rFonts w:ascii="Times New Roman" w:hAnsi="Times New Roman" w:cs="Times New Roman"/>
          <w:color w:val="000000"/>
        </w:rPr>
        <w:t>:</w:t>
      </w:r>
      <w:r w:rsidR="000A40E9">
        <w:rPr>
          <w:rFonts w:ascii="Times New Roman" w:hAnsi="Times New Roman" w:cs="Times New Roman"/>
          <w:color w:val="000000"/>
        </w:rPr>
        <w:t xml:space="preserve"> </w:t>
      </w:r>
      <w:r w:rsidR="00235218">
        <w:rPr>
          <w:rFonts w:ascii="Times New Roman" w:hAnsi="Times New Roman" w:cs="Times New Roman"/>
          <w:color w:val="000000"/>
        </w:rPr>
        <w:t>i</w:t>
      </w:r>
      <w:r w:rsidR="000A40E9">
        <w:rPr>
          <w:rFonts w:ascii="Times New Roman" w:hAnsi="Times New Roman" w:cs="Times New Roman"/>
          <w:color w:val="000000"/>
        </w:rPr>
        <w:t xml:space="preserve">) aged </w:t>
      </w:r>
      <w:r w:rsidR="00A2192B">
        <w:rPr>
          <w:rFonts w:ascii="Times New Roman" w:hAnsi="Times New Roman" w:cs="Times New Roman"/>
          <w:color w:val="000000"/>
        </w:rPr>
        <w:t>65-</w:t>
      </w:r>
      <w:r w:rsidR="000A40E9">
        <w:rPr>
          <w:rFonts w:ascii="Times New Roman" w:hAnsi="Times New Roman" w:cs="Times New Roman"/>
          <w:color w:val="000000"/>
        </w:rPr>
        <w:t xml:space="preserve">95 at baseline; </w:t>
      </w:r>
      <w:r w:rsidR="00235218">
        <w:rPr>
          <w:rFonts w:ascii="Times New Roman" w:hAnsi="Times New Roman" w:cs="Times New Roman"/>
          <w:color w:val="000000"/>
        </w:rPr>
        <w:t>ii</w:t>
      </w:r>
      <w:r w:rsidR="000A40E9">
        <w:rPr>
          <w:rFonts w:ascii="Times New Roman" w:hAnsi="Times New Roman" w:cs="Times New Roman"/>
          <w:color w:val="000000"/>
        </w:rPr>
        <w:t xml:space="preserve">) registered with </w:t>
      </w:r>
      <w:r w:rsidR="00A2192B">
        <w:rPr>
          <w:rFonts w:ascii="Times New Roman" w:hAnsi="Times New Roman" w:cs="Times New Roman"/>
          <w:color w:val="000000"/>
        </w:rPr>
        <w:t xml:space="preserve">a </w:t>
      </w:r>
      <w:r w:rsidR="00C324BE">
        <w:rPr>
          <w:rFonts w:ascii="Times New Roman" w:hAnsi="Times New Roman" w:cs="Times New Roman"/>
          <w:color w:val="000000"/>
        </w:rPr>
        <w:t>sample</w:t>
      </w:r>
      <w:r w:rsidR="000A40E9">
        <w:rPr>
          <w:rFonts w:ascii="Times New Roman" w:hAnsi="Times New Roman" w:cs="Times New Roman"/>
          <w:color w:val="000000"/>
        </w:rPr>
        <w:t xml:space="preserve"> practice</w:t>
      </w:r>
      <w:r w:rsidR="00235218">
        <w:rPr>
          <w:rFonts w:ascii="Times New Roman" w:hAnsi="Times New Roman" w:cs="Times New Roman"/>
          <w:color w:val="000000"/>
        </w:rPr>
        <w:t>s</w:t>
      </w:r>
      <w:r w:rsidR="000A40E9">
        <w:rPr>
          <w:rFonts w:ascii="Times New Roman" w:hAnsi="Times New Roman" w:cs="Times New Roman"/>
          <w:color w:val="000000"/>
        </w:rPr>
        <w:t xml:space="preserve">; and </w:t>
      </w:r>
      <w:r w:rsidR="00235218">
        <w:rPr>
          <w:rFonts w:ascii="Times New Roman" w:hAnsi="Times New Roman" w:cs="Times New Roman"/>
          <w:color w:val="000000"/>
        </w:rPr>
        <w:t>iii</w:t>
      </w:r>
      <w:r w:rsidR="000A40E9">
        <w:rPr>
          <w:rFonts w:ascii="Times New Roman" w:hAnsi="Times New Roman" w:cs="Times New Roman"/>
          <w:color w:val="000000"/>
        </w:rPr>
        <w:t xml:space="preserve">) had continuous medical records </w:t>
      </w:r>
      <w:r w:rsidR="00783C38">
        <w:rPr>
          <w:rFonts w:ascii="Times New Roman" w:hAnsi="Times New Roman" w:cs="Times New Roman"/>
          <w:color w:val="000000"/>
        </w:rPr>
        <w:t xml:space="preserve">up to research standard </w:t>
      </w:r>
      <w:r w:rsidR="000A40E9">
        <w:rPr>
          <w:rFonts w:ascii="Times New Roman" w:hAnsi="Times New Roman" w:cs="Times New Roman"/>
          <w:color w:val="000000"/>
        </w:rPr>
        <w:t>for at least 180 days</w:t>
      </w:r>
      <w:r w:rsidR="00783C38">
        <w:rPr>
          <w:rFonts w:ascii="Times New Roman" w:hAnsi="Times New Roman" w:cs="Times New Roman"/>
          <w:color w:val="000000"/>
        </w:rPr>
        <w:t xml:space="preserve"> [</w:t>
      </w:r>
      <w:r w:rsidR="00F74B47">
        <w:rPr>
          <w:rFonts w:ascii="Times New Roman" w:hAnsi="Times New Roman" w:cs="Times New Roman"/>
          <w:color w:val="000000"/>
        </w:rPr>
        <w:t>6</w:t>
      </w:r>
      <w:r w:rsidR="00783C38">
        <w:rPr>
          <w:rFonts w:ascii="Times New Roman" w:hAnsi="Times New Roman" w:cs="Times New Roman"/>
          <w:color w:val="000000"/>
        </w:rPr>
        <w:t>]</w:t>
      </w:r>
      <w:r w:rsidR="000A40E9">
        <w:rPr>
          <w:rFonts w:ascii="Times New Roman" w:hAnsi="Times New Roman" w:cs="Times New Roman"/>
          <w:color w:val="000000"/>
        </w:rPr>
        <w:t xml:space="preserve">. </w:t>
      </w:r>
    </w:p>
    <w:p w14:paraId="21DB0A20" w14:textId="7D74F2D0" w:rsidR="00EA5B09" w:rsidRDefault="00DC1904" w:rsidP="00F12669">
      <w:pPr>
        <w:jc w:val="both"/>
        <w:rPr>
          <w:rFonts w:ascii="Times New Roman" w:hAnsi="Times New Roman" w:cs="Times New Roman"/>
        </w:rPr>
      </w:pPr>
      <w:r>
        <w:rPr>
          <w:rFonts w:ascii="Times New Roman" w:hAnsi="Times New Roman" w:cs="Times New Roman"/>
        </w:rPr>
        <w:lastRenderedPageBreak/>
        <w:t>General practice</w:t>
      </w:r>
      <w:r w:rsidR="00005486">
        <w:rPr>
          <w:rFonts w:ascii="Times New Roman" w:hAnsi="Times New Roman" w:cs="Times New Roman"/>
        </w:rPr>
        <w:t xml:space="preserve"> </w:t>
      </w:r>
      <w:r w:rsidR="007B0EE4">
        <w:rPr>
          <w:rFonts w:ascii="Times New Roman" w:hAnsi="Times New Roman" w:cs="Times New Roman"/>
        </w:rPr>
        <w:t>service use</w:t>
      </w:r>
      <w:r w:rsidR="00A2192B">
        <w:rPr>
          <w:rFonts w:ascii="Times New Roman" w:hAnsi="Times New Roman" w:cs="Times New Roman"/>
        </w:rPr>
        <w:t xml:space="preserve"> in the index year</w:t>
      </w:r>
      <w:r w:rsidR="007B0EE4">
        <w:rPr>
          <w:rFonts w:ascii="Times New Roman" w:hAnsi="Times New Roman" w:cs="Times New Roman"/>
        </w:rPr>
        <w:t xml:space="preserve"> </w:t>
      </w:r>
      <w:r w:rsidR="006E23BC">
        <w:rPr>
          <w:rFonts w:ascii="Times New Roman" w:hAnsi="Times New Roman" w:cs="Times New Roman"/>
        </w:rPr>
        <w:t>was</w:t>
      </w:r>
      <w:r w:rsidR="00005486">
        <w:rPr>
          <w:rFonts w:ascii="Times New Roman" w:hAnsi="Times New Roman" w:cs="Times New Roman"/>
        </w:rPr>
        <w:t xml:space="preserve"> measured by </w:t>
      </w:r>
      <w:r w:rsidR="00092D52">
        <w:rPr>
          <w:rFonts w:ascii="Times New Roman" w:hAnsi="Times New Roman" w:cs="Times New Roman"/>
        </w:rPr>
        <w:t>consultations</w:t>
      </w:r>
      <w:r w:rsidR="00456C2E">
        <w:rPr>
          <w:rFonts w:ascii="Times New Roman" w:hAnsi="Times New Roman" w:cs="Times New Roman"/>
        </w:rPr>
        <w:t xml:space="preserve"> </w:t>
      </w:r>
      <w:r w:rsidR="007B0EE4">
        <w:rPr>
          <w:rFonts w:ascii="Times New Roman" w:hAnsi="Times New Roman" w:cs="Times New Roman"/>
        </w:rPr>
        <w:t>with general practi</w:t>
      </w:r>
      <w:r w:rsidR="007B16D9">
        <w:rPr>
          <w:rFonts w:ascii="Times New Roman" w:hAnsi="Times New Roman" w:cs="Times New Roman"/>
        </w:rPr>
        <w:t>ti</w:t>
      </w:r>
      <w:r w:rsidR="007B0EE4">
        <w:rPr>
          <w:rFonts w:ascii="Times New Roman" w:hAnsi="Times New Roman" w:cs="Times New Roman"/>
        </w:rPr>
        <w:t>oners (GPs)</w:t>
      </w:r>
      <w:r w:rsidR="00742D1B">
        <w:rPr>
          <w:rFonts w:ascii="Times New Roman" w:hAnsi="Times New Roman" w:cs="Times New Roman"/>
        </w:rPr>
        <w:t xml:space="preserve"> </w:t>
      </w:r>
      <w:r w:rsidR="007B0EE4">
        <w:rPr>
          <w:rFonts w:ascii="Times New Roman" w:hAnsi="Times New Roman" w:cs="Times New Roman"/>
        </w:rPr>
        <w:t xml:space="preserve">and </w:t>
      </w:r>
      <w:r>
        <w:rPr>
          <w:rFonts w:ascii="Times New Roman" w:hAnsi="Times New Roman" w:cs="Times New Roman"/>
        </w:rPr>
        <w:t xml:space="preserve">nurses </w:t>
      </w:r>
      <w:r w:rsidR="005434B9">
        <w:rPr>
          <w:rFonts w:ascii="Times New Roman" w:hAnsi="Times New Roman" w:cs="Times New Roman"/>
        </w:rPr>
        <w:t>(practice nurses, community nurses, health visitors</w:t>
      </w:r>
      <w:r>
        <w:rPr>
          <w:rFonts w:ascii="Times New Roman" w:hAnsi="Times New Roman" w:cs="Times New Roman"/>
        </w:rPr>
        <w:t>)</w:t>
      </w:r>
      <w:r w:rsidR="007B0EE4">
        <w:rPr>
          <w:rFonts w:ascii="Times New Roman" w:hAnsi="Times New Roman" w:cs="Times New Roman"/>
        </w:rPr>
        <w:t xml:space="preserve">. </w:t>
      </w:r>
      <w:r>
        <w:rPr>
          <w:rFonts w:ascii="Times New Roman" w:hAnsi="Times New Roman" w:cs="Times New Roman"/>
        </w:rPr>
        <w:t>H</w:t>
      </w:r>
      <w:r w:rsidR="00005486">
        <w:rPr>
          <w:rFonts w:ascii="Times New Roman" w:hAnsi="Times New Roman" w:cs="Times New Roman"/>
        </w:rPr>
        <w:t xml:space="preserve">ospital care </w:t>
      </w:r>
      <w:r>
        <w:rPr>
          <w:rFonts w:ascii="Times New Roman" w:hAnsi="Times New Roman" w:cs="Times New Roman"/>
        </w:rPr>
        <w:t>was</w:t>
      </w:r>
      <w:r w:rsidR="00005486">
        <w:rPr>
          <w:rFonts w:ascii="Times New Roman" w:hAnsi="Times New Roman" w:cs="Times New Roman"/>
        </w:rPr>
        <w:t xml:space="preserve"> measured by </w:t>
      </w:r>
      <w:r w:rsidR="000A32A8">
        <w:rPr>
          <w:rFonts w:ascii="Times New Roman" w:hAnsi="Times New Roman" w:cs="Times New Roman"/>
        </w:rPr>
        <w:t>hospital admissions and inpatient days</w:t>
      </w:r>
      <w:r>
        <w:rPr>
          <w:rFonts w:ascii="Times New Roman" w:hAnsi="Times New Roman" w:cs="Times New Roman"/>
        </w:rPr>
        <w:t xml:space="preserve">, </w:t>
      </w:r>
      <w:r w:rsidR="00C441B3">
        <w:rPr>
          <w:rFonts w:ascii="Times New Roman" w:hAnsi="Times New Roman" w:cs="Times New Roman"/>
        </w:rPr>
        <w:t>by</w:t>
      </w:r>
      <w:r w:rsidR="000A32A8">
        <w:rPr>
          <w:rFonts w:ascii="Times New Roman" w:hAnsi="Times New Roman" w:cs="Times New Roman"/>
        </w:rPr>
        <w:t xml:space="preserve"> emergenc</w:t>
      </w:r>
      <w:r w:rsidR="00005486">
        <w:rPr>
          <w:rFonts w:ascii="Times New Roman" w:hAnsi="Times New Roman" w:cs="Times New Roman"/>
        </w:rPr>
        <w:t xml:space="preserve">y and elective admissions. </w:t>
      </w:r>
      <w:r w:rsidR="00527166">
        <w:rPr>
          <w:rFonts w:ascii="Times New Roman" w:hAnsi="Times New Roman" w:cs="Times New Roman"/>
        </w:rPr>
        <w:t>W</w:t>
      </w:r>
      <w:r w:rsidR="00005486">
        <w:rPr>
          <w:rFonts w:ascii="Times New Roman" w:hAnsi="Times New Roman" w:cs="Times New Roman"/>
        </w:rPr>
        <w:t xml:space="preserve">e </w:t>
      </w:r>
      <w:r w:rsidR="00B053B8">
        <w:rPr>
          <w:rFonts w:ascii="Times New Roman" w:hAnsi="Times New Roman" w:cs="Times New Roman"/>
        </w:rPr>
        <w:t xml:space="preserve">analysed </w:t>
      </w:r>
      <w:r w:rsidR="00A2192B">
        <w:rPr>
          <w:rFonts w:ascii="Times New Roman" w:hAnsi="Times New Roman" w:cs="Times New Roman"/>
        </w:rPr>
        <w:t xml:space="preserve">costs </w:t>
      </w:r>
      <w:r w:rsidR="00527166">
        <w:rPr>
          <w:rFonts w:ascii="Times New Roman" w:hAnsi="Times New Roman" w:cs="Times New Roman"/>
        </w:rPr>
        <w:t>in 2013/14</w:t>
      </w:r>
      <w:r>
        <w:rPr>
          <w:rFonts w:ascii="Times New Roman" w:hAnsi="Times New Roman" w:cs="Times New Roman"/>
        </w:rPr>
        <w:t xml:space="preserve">, </w:t>
      </w:r>
      <w:r w:rsidR="00B053B8">
        <w:rPr>
          <w:rFonts w:ascii="Times New Roman" w:hAnsi="Times New Roman" w:cs="Times New Roman"/>
        </w:rPr>
        <w:t xml:space="preserve">the most recent year in our study. </w:t>
      </w:r>
      <w:r w:rsidR="00527166">
        <w:rPr>
          <w:rFonts w:ascii="Times New Roman" w:hAnsi="Times New Roman" w:cs="Times New Roman"/>
        </w:rPr>
        <w:t xml:space="preserve"> </w:t>
      </w:r>
    </w:p>
    <w:p w14:paraId="4FA1DA91" w14:textId="6546D385" w:rsidR="00F01B5B" w:rsidRDefault="00B47084" w:rsidP="00F12669">
      <w:pPr>
        <w:jc w:val="both"/>
        <w:rPr>
          <w:rFonts w:ascii="Times New Roman" w:hAnsi="Times New Roman" w:cs="Times New Roman"/>
        </w:rPr>
      </w:pPr>
      <w:r>
        <w:rPr>
          <w:rFonts w:ascii="Times New Roman" w:hAnsi="Times New Roman" w:cs="Times New Roman"/>
        </w:rPr>
        <w:t>Our exposure variable was</w:t>
      </w:r>
      <w:r w:rsidR="000A32A8">
        <w:rPr>
          <w:rFonts w:ascii="Times New Roman" w:hAnsi="Times New Roman" w:cs="Times New Roman"/>
        </w:rPr>
        <w:t xml:space="preserve"> the baseline frailty</w:t>
      </w:r>
      <w:r w:rsidR="00456C2E" w:rsidRPr="00456C2E">
        <w:rPr>
          <w:rFonts w:ascii="Times New Roman" w:hAnsi="Times New Roman" w:cs="Times New Roman"/>
        </w:rPr>
        <w:t xml:space="preserve"> </w:t>
      </w:r>
      <w:r w:rsidR="000428C6">
        <w:rPr>
          <w:rFonts w:ascii="Times New Roman" w:hAnsi="Times New Roman" w:cs="Times New Roman"/>
        </w:rPr>
        <w:t>level</w:t>
      </w:r>
      <w:r w:rsidR="00C441B3">
        <w:rPr>
          <w:rFonts w:ascii="Times New Roman" w:hAnsi="Times New Roman" w:cs="Times New Roman"/>
        </w:rPr>
        <w:t>,</w:t>
      </w:r>
      <w:r w:rsidR="000428C6">
        <w:rPr>
          <w:rFonts w:ascii="Times New Roman" w:hAnsi="Times New Roman" w:cs="Times New Roman"/>
        </w:rPr>
        <w:t xml:space="preserve"> </w:t>
      </w:r>
      <w:r w:rsidR="00456C2E">
        <w:rPr>
          <w:rFonts w:ascii="Times New Roman" w:hAnsi="Times New Roman" w:cs="Times New Roman"/>
        </w:rPr>
        <w:t>identified using</w:t>
      </w:r>
      <w:r w:rsidR="000A32A8">
        <w:rPr>
          <w:rFonts w:ascii="Times New Roman" w:hAnsi="Times New Roman" w:cs="Times New Roman"/>
        </w:rPr>
        <w:t xml:space="preserve"> the electronic Frailty Index</w:t>
      </w:r>
      <w:r w:rsidR="00456C2E">
        <w:rPr>
          <w:rFonts w:ascii="Times New Roman" w:hAnsi="Times New Roman" w:cs="Times New Roman"/>
        </w:rPr>
        <w:t xml:space="preserve"> (eFI) incorporating 36 health </w:t>
      </w:r>
      <w:r w:rsidR="007542A2">
        <w:rPr>
          <w:rFonts w:ascii="Times New Roman" w:hAnsi="Times New Roman" w:cs="Times New Roman"/>
        </w:rPr>
        <w:t xml:space="preserve">deficits </w:t>
      </w:r>
      <w:r w:rsidR="008835CC">
        <w:rPr>
          <w:rFonts w:ascii="Times New Roman" w:hAnsi="Times New Roman" w:cs="Times New Roman"/>
        </w:rPr>
        <w:t>[</w:t>
      </w:r>
      <w:r w:rsidR="00FA7873">
        <w:rPr>
          <w:rFonts w:ascii="Times New Roman" w:hAnsi="Times New Roman" w:cs="Times New Roman"/>
        </w:rPr>
        <w:t>1</w:t>
      </w:r>
      <w:r w:rsidR="00F74B47">
        <w:rPr>
          <w:rFonts w:ascii="Times New Roman" w:hAnsi="Times New Roman" w:cs="Times New Roman"/>
        </w:rPr>
        <w:t>4</w:t>
      </w:r>
      <w:r w:rsidR="008835CC">
        <w:rPr>
          <w:rFonts w:ascii="Times New Roman" w:hAnsi="Times New Roman" w:cs="Times New Roman"/>
        </w:rPr>
        <w:t>]</w:t>
      </w:r>
      <w:r w:rsidR="00456C2E">
        <w:rPr>
          <w:rFonts w:ascii="Times New Roman" w:hAnsi="Times New Roman" w:cs="Times New Roman"/>
        </w:rPr>
        <w:t xml:space="preserve">. </w:t>
      </w:r>
      <w:r w:rsidR="00976C34">
        <w:rPr>
          <w:rFonts w:ascii="Times New Roman" w:hAnsi="Times New Roman" w:cs="Times New Roman"/>
        </w:rPr>
        <w:t>Previously defined f</w:t>
      </w:r>
      <w:r w:rsidR="00456C2E">
        <w:rPr>
          <w:rFonts w:ascii="Times New Roman" w:hAnsi="Times New Roman" w:cs="Times New Roman"/>
        </w:rPr>
        <w:t xml:space="preserve">railty categories were </w:t>
      </w:r>
      <w:r w:rsidR="00976C34">
        <w:rPr>
          <w:rFonts w:ascii="Times New Roman" w:hAnsi="Times New Roman" w:cs="Times New Roman"/>
        </w:rPr>
        <w:t>used</w:t>
      </w:r>
      <w:r w:rsidR="008835CC">
        <w:rPr>
          <w:rFonts w:ascii="Times New Roman" w:hAnsi="Times New Roman" w:cs="Times New Roman"/>
        </w:rPr>
        <w:t>:</w:t>
      </w:r>
      <w:r w:rsidR="00C96159">
        <w:rPr>
          <w:rFonts w:ascii="Times New Roman" w:hAnsi="Times New Roman" w:cs="Times New Roman"/>
        </w:rPr>
        <w:t xml:space="preserve"> </w:t>
      </w:r>
      <w:r w:rsidR="00852DE0">
        <w:rPr>
          <w:rFonts w:ascii="Times New Roman" w:hAnsi="Times New Roman" w:cs="Times New Roman"/>
        </w:rPr>
        <w:t>non-frail</w:t>
      </w:r>
      <w:r w:rsidR="00456C2E">
        <w:rPr>
          <w:rFonts w:ascii="Times New Roman" w:hAnsi="Times New Roman" w:cs="Times New Roman"/>
        </w:rPr>
        <w:t xml:space="preserve"> (eFI 0</w:t>
      </w:r>
      <w:r w:rsidR="002C5A3F">
        <w:rPr>
          <w:rFonts w:ascii="Times New Roman" w:hAnsi="Times New Roman" w:cs="Times New Roman"/>
        </w:rPr>
        <w:t>-</w:t>
      </w:r>
      <w:r w:rsidR="00456C2E">
        <w:rPr>
          <w:rFonts w:ascii="Times New Roman" w:hAnsi="Times New Roman" w:cs="Times New Roman"/>
        </w:rPr>
        <w:t>0.12); mild frailty (0.12</w:t>
      </w:r>
      <w:r w:rsidR="002C5A3F">
        <w:rPr>
          <w:rFonts w:ascii="Times New Roman" w:hAnsi="Times New Roman" w:cs="Times New Roman"/>
        </w:rPr>
        <w:t>-</w:t>
      </w:r>
      <w:r w:rsidR="00456C2E">
        <w:rPr>
          <w:rFonts w:ascii="Times New Roman" w:hAnsi="Times New Roman" w:cs="Times New Roman"/>
        </w:rPr>
        <w:t>0.24)</w:t>
      </w:r>
      <w:r w:rsidR="008D217D">
        <w:rPr>
          <w:rFonts w:ascii="Times New Roman" w:hAnsi="Times New Roman" w:cs="Times New Roman"/>
        </w:rPr>
        <w:t xml:space="preserve">; </w:t>
      </w:r>
      <w:r w:rsidR="00456C2E">
        <w:rPr>
          <w:rFonts w:ascii="Times New Roman" w:hAnsi="Times New Roman" w:cs="Times New Roman"/>
        </w:rPr>
        <w:t>moderate frailty (0.24</w:t>
      </w:r>
      <w:r w:rsidR="002C5A3F">
        <w:rPr>
          <w:rFonts w:ascii="Times New Roman" w:hAnsi="Times New Roman" w:cs="Times New Roman"/>
        </w:rPr>
        <w:t>-</w:t>
      </w:r>
      <w:r w:rsidR="00456C2E">
        <w:rPr>
          <w:rFonts w:ascii="Times New Roman" w:hAnsi="Times New Roman" w:cs="Times New Roman"/>
        </w:rPr>
        <w:t>0.36); severe frailty (&gt;0.36)</w:t>
      </w:r>
      <w:r w:rsidR="005F7ED0">
        <w:rPr>
          <w:rFonts w:ascii="Times New Roman" w:hAnsi="Times New Roman" w:cs="Times New Roman"/>
        </w:rPr>
        <w:t xml:space="preserve"> [1</w:t>
      </w:r>
      <w:r w:rsidR="00B45DAD">
        <w:rPr>
          <w:rFonts w:ascii="Times New Roman" w:hAnsi="Times New Roman" w:cs="Times New Roman"/>
        </w:rPr>
        <w:t>4</w:t>
      </w:r>
      <w:r w:rsidR="005F7ED0">
        <w:rPr>
          <w:rFonts w:ascii="Times New Roman" w:hAnsi="Times New Roman" w:cs="Times New Roman"/>
        </w:rPr>
        <w:t>]</w:t>
      </w:r>
      <w:r w:rsidR="00C96159" w:rsidRPr="000A32A8">
        <w:rPr>
          <w:rFonts w:ascii="Times New Roman" w:hAnsi="Times New Roman" w:cs="Times New Roman"/>
        </w:rPr>
        <w:t>.</w:t>
      </w:r>
      <w:r w:rsidR="00331A7B">
        <w:rPr>
          <w:rFonts w:ascii="Times New Roman" w:hAnsi="Times New Roman" w:cs="Times New Roman"/>
        </w:rPr>
        <w:t xml:space="preserve"> </w:t>
      </w:r>
    </w:p>
    <w:p w14:paraId="0F4ACDB6" w14:textId="0826CA90" w:rsidR="00F12669" w:rsidRPr="00331611" w:rsidRDefault="007B77E2" w:rsidP="00CF3DCD">
      <w:pPr>
        <w:jc w:val="both"/>
        <w:rPr>
          <w:rFonts w:ascii="Times New Roman" w:hAnsi="Times New Roman" w:cs="Times New Roman"/>
        </w:rPr>
      </w:pPr>
      <w:r>
        <w:rPr>
          <w:rFonts w:ascii="Times New Roman" w:hAnsi="Times New Roman" w:cs="Times New Roman"/>
        </w:rPr>
        <w:t xml:space="preserve">By extraction criteria, our sample patients have at least one </w:t>
      </w:r>
      <w:r w:rsidR="00B06707">
        <w:rPr>
          <w:rFonts w:ascii="Times New Roman" w:hAnsi="Times New Roman" w:cs="Times New Roman"/>
        </w:rPr>
        <w:t xml:space="preserve">of the </w:t>
      </w:r>
      <w:r w:rsidR="00E62D50">
        <w:rPr>
          <w:rFonts w:ascii="Times New Roman" w:hAnsi="Times New Roman" w:cs="Times New Roman"/>
        </w:rPr>
        <w:t>LTCs</w:t>
      </w:r>
      <w:r w:rsidRPr="007B77E2">
        <w:rPr>
          <w:rFonts w:ascii="Times New Roman" w:hAnsi="Times New Roman" w:cs="Times New Roman"/>
        </w:rPr>
        <w:t xml:space="preserve"> </w:t>
      </w:r>
      <w:r>
        <w:rPr>
          <w:rFonts w:ascii="Times New Roman" w:hAnsi="Times New Roman" w:cs="Times New Roman"/>
        </w:rPr>
        <w:t>in</w:t>
      </w:r>
      <w:r w:rsidRPr="00D9012A">
        <w:rPr>
          <w:rFonts w:ascii="Times New Roman" w:hAnsi="Times New Roman" w:cs="Times New Roman"/>
        </w:rPr>
        <w:t xml:space="preserve"> the </w:t>
      </w:r>
      <w:r>
        <w:rPr>
          <w:rFonts w:ascii="Times New Roman" w:hAnsi="Times New Roman" w:cs="Times New Roman"/>
        </w:rPr>
        <w:t>QOF, most of which</w:t>
      </w:r>
      <w:r w:rsidR="00BA0C61">
        <w:rPr>
          <w:rFonts w:ascii="Times New Roman" w:hAnsi="Times New Roman" w:cs="Times New Roman"/>
        </w:rPr>
        <w:t xml:space="preserve"> are included in the eFI</w:t>
      </w:r>
      <w:r w:rsidR="00D9012A">
        <w:rPr>
          <w:rFonts w:ascii="Times New Roman" w:hAnsi="Times New Roman" w:cs="Times New Roman"/>
        </w:rPr>
        <w:t xml:space="preserve">. </w:t>
      </w:r>
      <w:r w:rsidR="00C94C98">
        <w:rPr>
          <w:rFonts w:ascii="Times New Roman" w:hAnsi="Times New Roman" w:cs="Times New Roman"/>
        </w:rPr>
        <w:t>We</w:t>
      </w:r>
      <w:r w:rsidR="00D9012A" w:rsidRPr="00D9012A">
        <w:rPr>
          <w:rFonts w:ascii="Times New Roman" w:hAnsi="Times New Roman" w:cs="Times New Roman"/>
        </w:rPr>
        <w:t xml:space="preserve"> identified five </w:t>
      </w:r>
      <w:r w:rsidR="00BA0C61">
        <w:rPr>
          <w:rFonts w:ascii="Times New Roman" w:hAnsi="Times New Roman" w:cs="Times New Roman"/>
        </w:rPr>
        <w:t>LTCs</w:t>
      </w:r>
      <w:r w:rsidR="00D9012A">
        <w:rPr>
          <w:rFonts w:ascii="Times New Roman" w:hAnsi="Times New Roman" w:cs="Times New Roman"/>
        </w:rPr>
        <w:t xml:space="preserve"> </w:t>
      </w:r>
      <w:r w:rsidR="00BA0C61">
        <w:rPr>
          <w:rFonts w:ascii="Times New Roman" w:hAnsi="Times New Roman" w:cs="Times New Roman"/>
        </w:rPr>
        <w:t>not included in the eFI</w:t>
      </w:r>
      <w:r w:rsidR="00C94C98">
        <w:rPr>
          <w:rFonts w:ascii="Times New Roman" w:hAnsi="Times New Roman" w:cs="Times New Roman"/>
        </w:rPr>
        <w:t xml:space="preserve">: </w:t>
      </w:r>
      <w:r w:rsidR="00D9012A" w:rsidRPr="00D9012A">
        <w:rPr>
          <w:rFonts w:ascii="Times New Roman" w:hAnsi="Times New Roman" w:cs="Times New Roman"/>
        </w:rPr>
        <w:t xml:space="preserve">epilepsy, learning disability, </w:t>
      </w:r>
      <w:r w:rsidR="00BA0C61">
        <w:rPr>
          <w:rFonts w:ascii="Times New Roman" w:hAnsi="Times New Roman" w:cs="Times New Roman"/>
        </w:rPr>
        <w:t>serious mental illness</w:t>
      </w:r>
      <w:r w:rsidR="00D9012A" w:rsidRPr="00D9012A">
        <w:rPr>
          <w:rFonts w:ascii="Times New Roman" w:hAnsi="Times New Roman" w:cs="Times New Roman"/>
        </w:rPr>
        <w:t>, cancer and depression</w:t>
      </w:r>
      <w:r w:rsidR="00A2192B">
        <w:rPr>
          <w:rFonts w:ascii="Times New Roman" w:hAnsi="Times New Roman" w:cs="Times New Roman"/>
        </w:rPr>
        <w:t xml:space="preserve"> </w:t>
      </w:r>
      <w:r w:rsidR="007D65FC">
        <w:rPr>
          <w:rFonts w:ascii="Times New Roman" w:hAnsi="Times New Roman" w:cs="Times New Roman"/>
        </w:rPr>
        <w:t>and included</w:t>
      </w:r>
      <w:r w:rsidR="008D644B">
        <w:rPr>
          <w:rFonts w:ascii="Times New Roman" w:hAnsi="Times New Roman" w:cs="Times New Roman"/>
        </w:rPr>
        <w:t xml:space="preserve"> dummy variables in our analyses </w:t>
      </w:r>
      <w:r w:rsidR="00A93667">
        <w:rPr>
          <w:rFonts w:ascii="Times New Roman" w:hAnsi="Times New Roman" w:cs="Times New Roman"/>
        </w:rPr>
        <w:t xml:space="preserve">to indicate the presence of these conditions </w:t>
      </w:r>
      <w:r w:rsidR="008D644B">
        <w:rPr>
          <w:rFonts w:ascii="Times New Roman" w:hAnsi="Times New Roman" w:cs="Times New Roman"/>
        </w:rPr>
        <w:t xml:space="preserve">at baseline. </w:t>
      </w:r>
    </w:p>
    <w:p w14:paraId="43C27B36" w14:textId="1FF153C1" w:rsidR="003D5339" w:rsidRDefault="00825C9C" w:rsidP="00396960">
      <w:pPr>
        <w:jc w:val="both"/>
        <w:rPr>
          <w:rFonts w:ascii="Times New Roman" w:hAnsi="Times New Roman" w:cs="Times New Roman"/>
        </w:rPr>
      </w:pPr>
      <w:r>
        <w:rPr>
          <w:rFonts w:ascii="Times New Roman" w:hAnsi="Times New Roman" w:cs="Times New Roman"/>
        </w:rPr>
        <w:t xml:space="preserve">We adjusted for </w:t>
      </w:r>
      <w:r w:rsidR="003D5339">
        <w:rPr>
          <w:rFonts w:ascii="Times New Roman" w:hAnsi="Times New Roman" w:cs="Times New Roman"/>
        </w:rPr>
        <w:t xml:space="preserve">patient demographics using baseline </w:t>
      </w:r>
      <w:r w:rsidR="00E62D50">
        <w:rPr>
          <w:rFonts w:ascii="Times New Roman" w:hAnsi="Times New Roman" w:cs="Times New Roman"/>
        </w:rPr>
        <w:t>age</w:t>
      </w:r>
      <w:r w:rsidR="003D5339">
        <w:rPr>
          <w:rFonts w:ascii="Times New Roman" w:hAnsi="Times New Roman" w:cs="Times New Roman"/>
        </w:rPr>
        <w:t xml:space="preserve">, gender and </w:t>
      </w:r>
      <w:r w:rsidR="00BA0C61">
        <w:rPr>
          <w:rFonts w:ascii="Times New Roman" w:hAnsi="Times New Roman" w:cs="Times New Roman"/>
        </w:rPr>
        <w:t>ethnicity</w:t>
      </w:r>
      <w:r w:rsidR="00B77406">
        <w:rPr>
          <w:rFonts w:ascii="Times New Roman" w:hAnsi="Times New Roman" w:cs="Times New Roman"/>
        </w:rPr>
        <w:t>.</w:t>
      </w:r>
      <w:r w:rsidR="003D5339">
        <w:rPr>
          <w:rFonts w:ascii="Times New Roman" w:hAnsi="Times New Roman" w:cs="Times New Roman"/>
        </w:rPr>
        <w:t xml:space="preserve"> </w:t>
      </w:r>
      <w:r w:rsidR="009202EB">
        <w:rPr>
          <w:rFonts w:ascii="Times New Roman" w:hAnsi="Times New Roman" w:cs="Times New Roman"/>
        </w:rPr>
        <w:t xml:space="preserve">Deprivation was </w:t>
      </w:r>
      <w:r w:rsidR="00F67BD4">
        <w:rPr>
          <w:rFonts w:ascii="Times New Roman" w:hAnsi="Times New Roman" w:cs="Times New Roman"/>
        </w:rPr>
        <w:t>measured</w:t>
      </w:r>
      <w:r w:rsidR="004339B4">
        <w:rPr>
          <w:rFonts w:ascii="Times New Roman" w:hAnsi="Times New Roman" w:cs="Times New Roman"/>
        </w:rPr>
        <w:t xml:space="preserve"> by </w:t>
      </w:r>
      <w:r w:rsidR="003D5339">
        <w:rPr>
          <w:rFonts w:ascii="Times New Roman" w:hAnsi="Times New Roman" w:cs="Times New Roman"/>
        </w:rPr>
        <w:t xml:space="preserve">2015 IMD </w:t>
      </w:r>
      <w:r w:rsidR="00F67BD4">
        <w:rPr>
          <w:rFonts w:ascii="Times New Roman" w:hAnsi="Times New Roman" w:cs="Times New Roman"/>
        </w:rPr>
        <w:t>rank</w:t>
      </w:r>
      <w:r w:rsidR="00A2192B">
        <w:rPr>
          <w:rFonts w:ascii="Times New Roman" w:hAnsi="Times New Roman" w:cs="Times New Roman"/>
        </w:rPr>
        <w:t xml:space="preserve"> quintiles</w:t>
      </w:r>
      <w:r w:rsidR="007D65FC">
        <w:rPr>
          <w:rFonts w:ascii="Times New Roman" w:hAnsi="Times New Roman" w:cs="Times New Roman"/>
        </w:rPr>
        <w:t xml:space="preserve"> </w:t>
      </w:r>
      <w:r w:rsidR="009202EB">
        <w:rPr>
          <w:rFonts w:ascii="Times New Roman" w:hAnsi="Times New Roman" w:cs="Times New Roman"/>
        </w:rPr>
        <w:t xml:space="preserve">with the first </w:t>
      </w:r>
      <w:r w:rsidR="00A2192B">
        <w:rPr>
          <w:rFonts w:ascii="Times New Roman" w:hAnsi="Times New Roman" w:cs="Times New Roman"/>
        </w:rPr>
        <w:t>quintile</w:t>
      </w:r>
      <w:r w:rsidR="00195442">
        <w:rPr>
          <w:rFonts w:ascii="Times New Roman" w:hAnsi="Times New Roman" w:cs="Times New Roman"/>
        </w:rPr>
        <w:t xml:space="preserve"> representing</w:t>
      </w:r>
      <w:r w:rsidR="009202EB">
        <w:rPr>
          <w:rFonts w:ascii="Times New Roman" w:hAnsi="Times New Roman" w:cs="Times New Roman"/>
        </w:rPr>
        <w:t xml:space="preserve"> the </w:t>
      </w:r>
      <w:r w:rsidR="00E36180">
        <w:rPr>
          <w:rFonts w:ascii="Times New Roman" w:hAnsi="Times New Roman" w:cs="Times New Roman"/>
        </w:rPr>
        <w:t>least deprived</w:t>
      </w:r>
      <w:r w:rsidR="00273340">
        <w:rPr>
          <w:rFonts w:ascii="Times New Roman" w:hAnsi="Times New Roman" w:cs="Times New Roman"/>
        </w:rPr>
        <w:t xml:space="preserve"> </w:t>
      </w:r>
      <w:r w:rsidR="007D65FC">
        <w:rPr>
          <w:rFonts w:ascii="Times New Roman" w:hAnsi="Times New Roman" w:cs="Times New Roman"/>
        </w:rPr>
        <w:t>neighbourhoods [15]</w:t>
      </w:r>
      <w:r w:rsidR="009202EB">
        <w:rPr>
          <w:rFonts w:ascii="Times New Roman" w:hAnsi="Times New Roman" w:cs="Times New Roman"/>
        </w:rPr>
        <w:t xml:space="preserve">. </w:t>
      </w:r>
    </w:p>
    <w:p w14:paraId="16FD9405" w14:textId="0F64E0CE" w:rsidR="00C24EC9" w:rsidRDefault="00AB1BC7" w:rsidP="00C24EC9">
      <w:pPr>
        <w:jc w:val="both"/>
        <w:rPr>
          <w:rFonts w:ascii="Times New Roman" w:hAnsi="Times New Roman" w:cs="Times New Roman"/>
        </w:rPr>
      </w:pPr>
      <w:r>
        <w:rPr>
          <w:rFonts w:ascii="Times New Roman" w:hAnsi="Times New Roman" w:cs="Times New Roman"/>
        </w:rPr>
        <w:t>G</w:t>
      </w:r>
      <w:r w:rsidR="00D644A0">
        <w:rPr>
          <w:rFonts w:ascii="Times New Roman" w:hAnsi="Times New Roman" w:cs="Times New Roman"/>
        </w:rPr>
        <w:t>eneral practice</w:t>
      </w:r>
      <w:r w:rsidR="00595021">
        <w:rPr>
          <w:rFonts w:ascii="Times New Roman" w:hAnsi="Times New Roman" w:cs="Times New Roman"/>
        </w:rPr>
        <w:t xml:space="preserve"> consultations and hospital admissions </w:t>
      </w:r>
      <w:r w:rsidR="00497F8B">
        <w:rPr>
          <w:rFonts w:ascii="Times New Roman" w:hAnsi="Times New Roman" w:cs="Times New Roman"/>
        </w:rPr>
        <w:t xml:space="preserve">were analysed </w:t>
      </w:r>
      <w:r w:rsidR="00231925">
        <w:rPr>
          <w:rFonts w:ascii="Times New Roman" w:hAnsi="Times New Roman" w:cs="Times New Roman"/>
        </w:rPr>
        <w:t>as</w:t>
      </w:r>
      <w:r w:rsidR="00595021">
        <w:rPr>
          <w:rFonts w:ascii="Times New Roman" w:hAnsi="Times New Roman" w:cs="Times New Roman"/>
        </w:rPr>
        <w:t xml:space="preserve"> count variables using </w:t>
      </w:r>
      <w:r w:rsidR="00EB2106">
        <w:rPr>
          <w:rFonts w:ascii="Times New Roman" w:hAnsi="Times New Roman" w:cs="Times New Roman"/>
        </w:rPr>
        <w:t xml:space="preserve">two-level </w:t>
      </w:r>
      <w:r w:rsidR="00595021">
        <w:rPr>
          <w:rFonts w:ascii="Times New Roman" w:hAnsi="Times New Roman" w:cs="Times New Roman"/>
        </w:rPr>
        <w:t xml:space="preserve">negative binomial models. </w:t>
      </w:r>
      <w:r w:rsidR="00C24EC9" w:rsidRPr="00C24EC9">
        <w:rPr>
          <w:rFonts w:ascii="Times New Roman" w:hAnsi="Times New Roman" w:cs="Times New Roman"/>
        </w:rPr>
        <w:t xml:space="preserve">We </w:t>
      </w:r>
      <w:r w:rsidR="00231925">
        <w:rPr>
          <w:rFonts w:ascii="Times New Roman" w:hAnsi="Times New Roman" w:cs="Times New Roman"/>
        </w:rPr>
        <w:t>stacked</w:t>
      </w:r>
      <w:r w:rsidR="00C24EC9" w:rsidRPr="00C24EC9">
        <w:rPr>
          <w:rFonts w:ascii="Times New Roman" w:hAnsi="Times New Roman" w:cs="Times New Roman"/>
        </w:rPr>
        <w:t xml:space="preserve"> the 11 cohorts to </w:t>
      </w:r>
      <w:r w:rsidR="00231925">
        <w:rPr>
          <w:rFonts w:ascii="Times New Roman" w:hAnsi="Times New Roman" w:cs="Times New Roman"/>
        </w:rPr>
        <w:t xml:space="preserve">create a longitudinal dataset, </w:t>
      </w:r>
      <w:r w:rsidR="002C5A3F">
        <w:rPr>
          <w:rFonts w:ascii="Times New Roman" w:hAnsi="Times New Roman" w:cs="Times New Roman"/>
        </w:rPr>
        <w:t>increasing</w:t>
      </w:r>
      <w:r w:rsidR="00C24EC9" w:rsidRPr="00C24EC9">
        <w:rPr>
          <w:rFonts w:ascii="Times New Roman" w:hAnsi="Times New Roman" w:cs="Times New Roman"/>
        </w:rPr>
        <w:t xml:space="preserve"> sample size and statistical power</w:t>
      </w:r>
      <w:r w:rsidR="0039140C">
        <w:rPr>
          <w:rFonts w:ascii="Times New Roman" w:hAnsi="Times New Roman" w:cs="Times New Roman"/>
        </w:rPr>
        <w:t xml:space="preserve">. As this may </w:t>
      </w:r>
      <w:r w:rsidR="00C24EC9">
        <w:rPr>
          <w:rFonts w:ascii="Times New Roman" w:hAnsi="Times New Roman" w:cs="Times New Roman"/>
        </w:rPr>
        <w:t xml:space="preserve">introduce correlation </w:t>
      </w:r>
      <w:r w:rsidR="00E041B8">
        <w:rPr>
          <w:rFonts w:ascii="Times New Roman" w:hAnsi="Times New Roman" w:cs="Times New Roman"/>
        </w:rPr>
        <w:t>among</w:t>
      </w:r>
      <w:r w:rsidR="00C24EC9">
        <w:rPr>
          <w:rFonts w:ascii="Times New Roman" w:hAnsi="Times New Roman" w:cs="Times New Roman"/>
        </w:rPr>
        <w:t xml:space="preserve"> observations </w:t>
      </w:r>
      <w:r w:rsidR="00497F8B">
        <w:rPr>
          <w:rFonts w:ascii="Times New Roman" w:hAnsi="Times New Roman" w:cs="Times New Roman"/>
        </w:rPr>
        <w:t>of the same patients</w:t>
      </w:r>
      <w:r w:rsidR="0039140C">
        <w:rPr>
          <w:rFonts w:ascii="Times New Roman" w:hAnsi="Times New Roman" w:cs="Times New Roman"/>
        </w:rPr>
        <w:t xml:space="preserve">, we </w:t>
      </w:r>
      <w:r w:rsidR="00B8221F">
        <w:rPr>
          <w:rFonts w:ascii="Times New Roman" w:hAnsi="Times New Roman" w:cs="Times New Roman"/>
        </w:rPr>
        <w:t xml:space="preserve">estimated </w:t>
      </w:r>
      <w:r w:rsidR="00FD470F">
        <w:rPr>
          <w:rFonts w:ascii="Times New Roman" w:hAnsi="Times New Roman" w:cs="Times New Roman"/>
        </w:rPr>
        <w:t>these models</w:t>
      </w:r>
      <w:r w:rsidR="009C16D2">
        <w:rPr>
          <w:rFonts w:ascii="Times New Roman" w:hAnsi="Times New Roman" w:cs="Times New Roman"/>
        </w:rPr>
        <w:t xml:space="preserve"> </w:t>
      </w:r>
      <w:r w:rsidR="0005178F">
        <w:rPr>
          <w:rFonts w:ascii="Times New Roman" w:hAnsi="Times New Roman" w:cs="Times New Roman"/>
        </w:rPr>
        <w:t>with</w:t>
      </w:r>
      <w:r w:rsidR="00B8221F">
        <w:rPr>
          <w:rFonts w:ascii="Times New Roman" w:hAnsi="Times New Roman" w:cs="Times New Roman"/>
        </w:rPr>
        <w:t xml:space="preserve"> </w:t>
      </w:r>
      <w:r w:rsidR="00FD5B36">
        <w:rPr>
          <w:rFonts w:ascii="Times New Roman" w:hAnsi="Times New Roman" w:cs="Times New Roman"/>
        </w:rPr>
        <w:t>patient</w:t>
      </w:r>
      <w:r w:rsidR="00FD470F">
        <w:rPr>
          <w:rFonts w:ascii="Times New Roman" w:hAnsi="Times New Roman" w:cs="Times New Roman"/>
        </w:rPr>
        <w:t>-level</w:t>
      </w:r>
      <w:r w:rsidR="0005178F">
        <w:rPr>
          <w:rFonts w:ascii="Times New Roman" w:hAnsi="Times New Roman" w:cs="Times New Roman"/>
        </w:rPr>
        <w:t xml:space="preserve"> </w:t>
      </w:r>
      <w:r w:rsidR="00B8221F">
        <w:rPr>
          <w:rFonts w:ascii="Times New Roman" w:hAnsi="Times New Roman" w:cs="Times New Roman"/>
        </w:rPr>
        <w:t xml:space="preserve">random intercepts </w:t>
      </w:r>
      <w:r w:rsidR="00E041B8">
        <w:rPr>
          <w:rFonts w:ascii="Times New Roman" w:hAnsi="Times New Roman" w:cs="Times New Roman"/>
        </w:rPr>
        <w:t xml:space="preserve">and </w:t>
      </w:r>
      <w:r w:rsidR="00FD5B36">
        <w:rPr>
          <w:rFonts w:ascii="Times New Roman" w:hAnsi="Times New Roman" w:cs="Times New Roman"/>
        </w:rPr>
        <w:t xml:space="preserve">applied </w:t>
      </w:r>
      <w:r w:rsidR="00E041B8">
        <w:rPr>
          <w:rFonts w:ascii="Times New Roman" w:hAnsi="Times New Roman" w:cs="Times New Roman"/>
        </w:rPr>
        <w:t>standard errors</w:t>
      </w:r>
      <w:r w:rsidR="00FD5B36">
        <w:rPr>
          <w:rFonts w:ascii="Times New Roman" w:hAnsi="Times New Roman" w:cs="Times New Roman"/>
        </w:rPr>
        <w:t xml:space="preserve"> robust to autocorrelation</w:t>
      </w:r>
      <w:r w:rsidR="00E041B8">
        <w:rPr>
          <w:rFonts w:ascii="Times New Roman" w:hAnsi="Times New Roman" w:cs="Times New Roman"/>
        </w:rPr>
        <w:t xml:space="preserve">. </w:t>
      </w:r>
      <w:r w:rsidR="00EA2AE6">
        <w:rPr>
          <w:rFonts w:ascii="Times New Roman" w:hAnsi="Times New Roman" w:cs="Times New Roman"/>
        </w:rPr>
        <w:t>W</w:t>
      </w:r>
      <w:r w:rsidR="0005178F">
        <w:rPr>
          <w:rFonts w:ascii="Times New Roman" w:hAnsi="Times New Roman" w:cs="Times New Roman"/>
        </w:rPr>
        <w:t>e</w:t>
      </w:r>
      <w:r w:rsidR="00FD5B36">
        <w:rPr>
          <w:rFonts w:ascii="Times New Roman" w:hAnsi="Times New Roman" w:cs="Times New Roman"/>
        </w:rPr>
        <w:t xml:space="preserve"> </w:t>
      </w:r>
      <w:r w:rsidR="002A6C63">
        <w:rPr>
          <w:rFonts w:ascii="Times New Roman" w:hAnsi="Times New Roman" w:cs="Times New Roman"/>
        </w:rPr>
        <w:t>included year dummies to account for unobserved</w:t>
      </w:r>
      <w:r w:rsidR="002C5A3F">
        <w:rPr>
          <w:rFonts w:ascii="Times New Roman" w:hAnsi="Times New Roman" w:cs="Times New Roman"/>
        </w:rPr>
        <w:t>-</w:t>
      </w:r>
      <w:r w:rsidR="002A6C63">
        <w:rPr>
          <w:rFonts w:ascii="Times New Roman" w:hAnsi="Times New Roman" w:cs="Times New Roman"/>
        </w:rPr>
        <w:t xml:space="preserve">year fixed effects. </w:t>
      </w:r>
      <w:r w:rsidR="00BD4F26">
        <w:rPr>
          <w:rFonts w:ascii="Times New Roman" w:hAnsi="Times New Roman" w:cs="Times New Roman"/>
        </w:rPr>
        <w:t xml:space="preserve">We reported the incident rate ratios (IRR) </w:t>
      </w:r>
      <w:r w:rsidR="00FD470F">
        <w:rPr>
          <w:rFonts w:ascii="Times New Roman" w:hAnsi="Times New Roman" w:cs="Times New Roman"/>
        </w:rPr>
        <w:t>for</w:t>
      </w:r>
      <w:r w:rsidR="002C5A3F">
        <w:rPr>
          <w:rFonts w:ascii="Times New Roman" w:hAnsi="Times New Roman" w:cs="Times New Roman"/>
        </w:rPr>
        <w:t xml:space="preserve"> relative</w:t>
      </w:r>
      <w:r w:rsidR="00BD4F26">
        <w:rPr>
          <w:rFonts w:ascii="Times New Roman" w:hAnsi="Times New Roman" w:cs="Times New Roman"/>
        </w:rPr>
        <w:t xml:space="preserve"> adjusted impact of frailty on healthcare </w:t>
      </w:r>
      <w:r w:rsidR="00A357E6">
        <w:rPr>
          <w:rFonts w:ascii="Times New Roman" w:hAnsi="Times New Roman" w:cs="Times New Roman"/>
        </w:rPr>
        <w:t>use</w:t>
      </w:r>
      <w:r w:rsidR="00BD4F26">
        <w:rPr>
          <w:rFonts w:ascii="Times New Roman" w:hAnsi="Times New Roman" w:cs="Times New Roman"/>
        </w:rPr>
        <w:t xml:space="preserve">. We </w:t>
      </w:r>
      <w:r w:rsidR="00E041B8">
        <w:rPr>
          <w:rFonts w:ascii="Times New Roman" w:hAnsi="Times New Roman" w:cs="Times New Roman"/>
        </w:rPr>
        <w:t>then predicted outcome</w:t>
      </w:r>
      <w:r w:rsidR="00FD470F">
        <w:rPr>
          <w:rFonts w:ascii="Times New Roman" w:hAnsi="Times New Roman" w:cs="Times New Roman"/>
        </w:rPr>
        <w:t>s</w:t>
      </w:r>
      <w:r w:rsidR="00E041B8">
        <w:rPr>
          <w:rFonts w:ascii="Times New Roman" w:hAnsi="Times New Roman" w:cs="Times New Roman"/>
        </w:rPr>
        <w:t xml:space="preserve"> using these models </w:t>
      </w:r>
      <w:r w:rsidR="00FD470F">
        <w:rPr>
          <w:rFonts w:ascii="Times New Roman" w:hAnsi="Times New Roman" w:cs="Times New Roman"/>
        </w:rPr>
        <w:t>for</w:t>
      </w:r>
      <w:r w:rsidR="00E041B8">
        <w:rPr>
          <w:rFonts w:ascii="Times New Roman" w:hAnsi="Times New Roman" w:cs="Times New Roman"/>
        </w:rPr>
        <w:t xml:space="preserve"> </w:t>
      </w:r>
      <w:r w:rsidR="00BD4F26">
        <w:rPr>
          <w:rFonts w:ascii="Times New Roman" w:hAnsi="Times New Roman" w:cs="Times New Roman"/>
        </w:rPr>
        <w:t xml:space="preserve">the absolute differences </w:t>
      </w:r>
      <w:r w:rsidR="00976C34">
        <w:rPr>
          <w:rFonts w:ascii="Times New Roman" w:hAnsi="Times New Roman" w:cs="Times New Roman"/>
        </w:rPr>
        <w:t xml:space="preserve">between </w:t>
      </w:r>
      <w:r w:rsidR="00E041B8">
        <w:rPr>
          <w:rFonts w:ascii="Times New Roman" w:hAnsi="Times New Roman" w:cs="Times New Roman"/>
        </w:rPr>
        <w:t>frailty levels.</w:t>
      </w:r>
    </w:p>
    <w:p w14:paraId="098CCFA8" w14:textId="77777777" w:rsidR="008835CC" w:rsidRDefault="008835CC" w:rsidP="00C24EC9">
      <w:pPr>
        <w:jc w:val="both"/>
        <w:rPr>
          <w:rFonts w:ascii="Times New Roman" w:hAnsi="Times New Roman" w:cs="Times New Roman"/>
        </w:rPr>
      </w:pPr>
    </w:p>
    <w:p w14:paraId="32FCCAC2" w14:textId="10B65996" w:rsidR="00A729A9" w:rsidRPr="00751B95" w:rsidRDefault="00A729A9" w:rsidP="00BB0DAB">
      <w:pPr>
        <w:jc w:val="both"/>
        <w:rPr>
          <w:rFonts w:ascii="Times New Roman" w:hAnsi="Times New Roman" w:cs="Times New Roman"/>
          <w:i/>
        </w:rPr>
      </w:pPr>
      <w:r>
        <w:rPr>
          <w:rFonts w:ascii="Times New Roman" w:hAnsi="Times New Roman" w:cs="Times New Roman"/>
          <w:i/>
        </w:rPr>
        <w:t>Estimating healthcare costs</w:t>
      </w:r>
    </w:p>
    <w:p w14:paraId="58603A24" w14:textId="6BFE7EE0" w:rsidR="00EC0288" w:rsidRDefault="007A394D" w:rsidP="00BB0DAB">
      <w:pPr>
        <w:jc w:val="both"/>
        <w:rPr>
          <w:rFonts w:ascii="Times New Roman" w:hAnsi="Times New Roman" w:cs="Times New Roman"/>
        </w:rPr>
      </w:pPr>
      <w:r>
        <w:rPr>
          <w:rFonts w:ascii="Times New Roman" w:hAnsi="Times New Roman" w:cs="Times New Roman"/>
        </w:rPr>
        <w:t>We used reference costs of</w:t>
      </w:r>
      <w:r w:rsidR="00E144F3">
        <w:rPr>
          <w:rFonts w:ascii="Times New Roman" w:hAnsi="Times New Roman" w:cs="Times New Roman"/>
        </w:rPr>
        <w:t xml:space="preserve"> 2013/14</w:t>
      </w:r>
      <w:r w:rsidR="00226606">
        <w:rPr>
          <w:rFonts w:ascii="Times New Roman" w:hAnsi="Times New Roman" w:cs="Times New Roman"/>
        </w:rPr>
        <w:t xml:space="preserve"> </w:t>
      </w:r>
      <w:r w:rsidR="00A2192B">
        <w:rPr>
          <w:rFonts w:ascii="Times New Roman" w:hAnsi="Times New Roman" w:cs="Times New Roman"/>
        </w:rPr>
        <w:t>because</w:t>
      </w:r>
      <w:r w:rsidR="00EC0288">
        <w:rPr>
          <w:rFonts w:ascii="Times New Roman" w:hAnsi="Times New Roman" w:cs="Times New Roman"/>
        </w:rPr>
        <w:t xml:space="preserve"> the unit costs of </w:t>
      </w:r>
      <w:r w:rsidR="00352991">
        <w:rPr>
          <w:rFonts w:ascii="Times New Roman" w:hAnsi="Times New Roman" w:cs="Times New Roman"/>
        </w:rPr>
        <w:t xml:space="preserve">general practice </w:t>
      </w:r>
      <w:r w:rsidR="00EB2106">
        <w:rPr>
          <w:rFonts w:ascii="Times New Roman" w:hAnsi="Times New Roman" w:cs="Times New Roman"/>
        </w:rPr>
        <w:t xml:space="preserve">care </w:t>
      </w:r>
      <w:r w:rsidR="00EC0288">
        <w:rPr>
          <w:rFonts w:ascii="Times New Roman" w:hAnsi="Times New Roman" w:cs="Times New Roman"/>
        </w:rPr>
        <w:t>and hospital admissions are calculated yearly to reflect inflation and the varying market factors</w:t>
      </w:r>
      <w:r w:rsidR="00A2192B">
        <w:rPr>
          <w:rFonts w:ascii="Times New Roman" w:hAnsi="Times New Roman" w:cs="Times New Roman"/>
        </w:rPr>
        <w:t>. Additionally,</w:t>
      </w:r>
      <w:r w:rsidR="005E6456">
        <w:rPr>
          <w:rFonts w:ascii="Times New Roman" w:hAnsi="Times New Roman" w:cs="Times New Roman"/>
        </w:rPr>
        <w:t xml:space="preserve"> Health</w:t>
      </w:r>
      <w:r w:rsidR="007B7E99">
        <w:rPr>
          <w:rFonts w:ascii="Times New Roman" w:hAnsi="Times New Roman" w:cs="Times New Roman"/>
        </w:rPr>
        <w:t>care</w:t>
      </w:r>
      <w:r w:rsidR="005E6456">
        <w:rPr>
          <w:rFonts w:ascii="Times New Roman" w:hAnsi="Times New Roman" w:cs="Times New Roman"/>
        </w:rPr>
        <w:t xml:space="preserve"> Resource Group (HRG) codes</w:t>
      </w:r>
      <w:r>
        <w:rPr>
          <w:rFonts w:ascii="Times New Roman" w:hAnsi="Times New Roman" w:cs="Times New Roman"/>
        </w:rPr>
        <w:t>,</w:t>
      </w:r>
      <w:r w:rsidR="005E6456">
        <w:rPr>
          <w:rFonts w:ascii="Times New Roman" w:hAnsi="Times New Roman" w:cs="Times New Roman"/>
        </w:rPr>
        <w:t xml:space="preserve"> a standard grouping of clinically similar treatments </w:t>
      </w:r>
      <w:r w:rsidR="0053588E">
        <w:rPr>
          <w:rFonts w:ascii="Times New Roman" w:hAnsi="Times New Roman" w:cs="Times New Roman"/>
        </w:rPr>
        <w:t>using</w:t>
      </w:r>
      <w:r w:rsidR="005E6456">
        <w:rPr>
          <w:rFonts w:ascii="Times New Roman" w:hAnsi="Times New Roman" w:cs="Times New Roman"/>
        </w:rPr>
        <w:t xml:space="preserve"> common level of healthcare resource</w:t>
      </w:r>
      <w:r w:rsidR="00A2192B">
        <w:rPr>
          <w:rFonts w:ascii="Times New Roman" w:hAnsi="Times New Roman" w:cs="Times New Roman"/>
        </w:rPr>
        <w:t xml:space="preserve"> are</w:t>
      </w:r>
      <w:r w:rsidR="00716340">
        <w:rPr>
          <w:rFonts w:ascii="Times New Roman" w:hAnsi="Times New Roman" w:cs="Times New Roman"/>
        </w:rPr>
        <w:t xml:space="preserve"> constantly </w:t>
      </w:r>
      <w:r w:rsidR="00EC0288">
        <w:rPr>
          <w:rFonts w:ascii="Times New Roman" w:hAnsi="Times New Roman" w:cs="Times New Roman"/>
        </w:rPr>
        <w:t xml:space="preserve">updated to </w:t>
      </w:r>
      <w:r w:rsidR="00716340">
        <w:rPr>
          <w:rFonts w:ascii="Times New Roman" w:hAnsi="Times New Roman" w:cs="Times New Roman"/>
        </w:rPr>
        <w:t xml:space="preserve">better </w:t>
      </w:r>
      <w:r w:rsidR="00EC0288">
        <w:rPr>
          <w:rFonts w:ascii="Times New Roman" w:hAnsi="Times New Roman" w:cs="Times New Roman"/>
        </w:rPr>
        <w:t>incorporate patient complexity</w:t>
      </w:r>
      <w:r w:rsidR="000E471F">
        <w:rPr>
          <w:rFonts w:ascii="Times New Roman" w:hAnsi="Times New Roman" w:cs="Times New Roman"/>
        </w:rPr>
        <w:t xml:space="preserve"> [</w:t>
      </w:r>
      <w:r w:rsidR="00606B24">
        <w:rPr>
          <w:rFonts w:ascii="Times New Roman" w:hAnsi="Times New Roman" w:cs="Times New Roman"/>
        </w:rPr>
        <w:t>16</w:t>
      </w:r>
      <w:r w:rsidR="000E471F">
        <w:rPr>
          <w:rFonts w:ascii="Times New Roman" w:hAnsi="Times New Roman" w:cs="Times New Roman"/>
        </w:rPr>
        <w:t>]</w:t>
      </w:r>
      <w:r w:rsidR="00EC0288">
        <w:rPr>
          <w:rFonts w:ascii="Times New Roman" w:hAnsi="Times New Roman" w:cs="Times New Roman"/>
        </w:rPr>
        <w:t xml:space="preserve">. </w:t>
      </w:r>
    </w:p>
    <w:p w14:paraId="34D83DC2" w14:textId="5B97EA9C" w:rsidR="00A729A9" w:rsidRDefault="00E144F3" w:rsidP="00BB0DAB">
      <w:pPr>
        <w:jc w:val="both"/>
        <w:rPr>
          <w:rFonts w:ascii="Times New Roman" w:hAnsi="Times New Roman" w:cs="Times New Roman"/>
        </w:rPr>
      </w:pPr>
      <w:r>
        <w:rPr>
          <w:rFonts w:ascii="Times New Roman" w:hAnsi="Times New Roman" w:cs="Times New Roman"/>
        </w:rPr>
        <w:t>We</w:t>
      </w:r>
      <w:r w:rsidR="00265378">
        <w:rPr>
          <w:rFonts w:ascii="Times New Roman" w:hAnsi="Times New Roman" w:cs="Times New Roman"/>
        </w:rPr>
        <w:t xml:space="preserve"> </w:t>
      </w:r>
      <w:r w:rsidR="00144686">
        <w:rPr>
          <w:rFonts w:ascii="Times New Roman" w:hAnsi="Times New Roman" w:cs="Times New Roman"/>
        </w:rPr>
        <w:t xml:space="preserve">extracted from </w:t>
      </w:r>
      <w:r w:rsidR="00DF713E">
        <w:rPr>
          <w:rFonts w:ascii="Times New Roman" w:hAnsi="Times New Roman" w:cs="Times New Roman"/>
        </w:rPr>
        <w:t>PSSRU (2014)</w:t>
      </w:r>
      <w:r w:rsidR="003946DC">
        <w:rPr>
          <w:rFonts w:ascii="Times New Roman" w:hAnsi="Times New Roman" w:cs="Times New Roman"/>
        </w:rPr>
        <w:t>:</w:t>
      </w:r>
      <w:r w:rsidR="00092D52">
        <w:rPr>
          <w:rFonts w:ascii="Times New Roman" w:hAnsi="Times New Roman" w:cs="Times New Roman"/>
        </w:rPr>
        <w:t xml:space="preserve"> </w:t>
      </w:r>
      <w:r w:rsidR="008835CC">
        <w:rPr>
          <w:rFonts w:ascii="Times New Roman" w:hAnsi="Times New Roman" w:cs="Times New Roman"/>
        </w:rPr>
        <w:t>i</w:t>
      </w:r>
      <w:r w:rsidR="006661EA">
        <w:rPr>
          <w:rFonts w:ascii="Times New Roman" w:hAnsi="Times New Roman" w:cs="Times New Roman"/>
        </w:rPr>
        <w:t xml:space="preserve">) </w:t>
      </w:r>
      <w:r w:rsidR="00DF713E">
        <w:rPr>
          <w:rFonts w:ascii="Times New Roman" w:hAnsi="Times New Roman" w:cs="Times New Roman"/>
        </w:rPr>
        <w:t>the unit costs of G</w:t>
      </w:r>
      <w:r w:rsidR="006661EA">
        <w:rPr>
          <w:rFonts w:ascii="Times New Roman" w:hAnsi="Times New Roman" w:cs="Times New Roman"/>
        </w:rPr>
        <w:t>Ps and practice nurses in 2013/14</w:t>
      </w:r>
      <w:r w:rsidR="008835CC">
        <w:rPr>
          <w:rFonts w:ascii="Times New Roman" w:hAnsi="Times New Roman" w:cs="Times New Roman"/>
        </w:rPr>
        <w:t xml:space="preserve">; </w:t>
      </w:r>
      <w:r w:rsidR="006661EA">
        <w:rPr>
          <w:rFonts w:ascii="Times New Roman" w:hAnsi="Times New Roman" w:cs="Times New Roman"/>
        </w:rPr>
        <w:t xml:space="preserve">and </w:t>
      </w:r>
      <w:r w:rsidR="008835CC">
        <w:rPr>
          <w:rFonts w:ascii="Times New Roman" w:hAnsi="Times New Roman" w:cs="Times New Roman"/>
        </w:rPr>
        <w:t>ii</w:t>
      </w:r>
      <w:r w:rsidR="006661EA">
        <w:rPr>
          <w:rFonts w:ascii="Times New Roman" w:hAnsi="Times New Roman" w:cs="Times New Roman"/>
        </w:rPr>
        <w:t>)</w:t>
      </w:r>
      <w:r w:rsidR="00DF713E">
        <w:rPr>
          <w:rFonts w:ascii="Times New Roman" w:hAnsi="Times New Roman" w:cs="Times New Roman"/>
        </w:rPr>
        <w:t xml:space="preserve"> the average </w:t>
      </w:r>
      <w:r w:rsidR="0053588E">
        <w:rPr>
          <w:rFonts w:ascii="Times New Roman" w:hAnsi="Times New Roman" w:cs="Times New Roman"/>
        </w:rPr>
        <w:t>consultation length</w:t>
      </w:r>
      <w:r w:rsidR="00DF713E">
        <w:rPr>
          <w:rFonts w:ascii="Times New Roman" w:hAnsi="Times New Roman" w:cs="Times New Roman"/>
        </w:rPr>
        <w:t xml:space="preserve"> </w:t>
      </w:r>
      <w:r w:rsidR="006661EA">
        <w:rPr>
          <w:rFonts w:ascii="Times New Roman" w:hAnsi="Times New Roman" w:cs="Times New Roman"/>
        </w:rPr>
        <w:t>to calculate the average cost per consultation</w:t>
      </w:r>
      <w:r w:rsidR="00690BC7">
        <w:rPr>
          <w:rFonts w:ascii="Times New Roman" w:hAnsi="Times New Roman" w:cs="Times New Roman"/>
        </w:rPr>
        <w:t>. We multiplied the average cost</w:t>
      </w:r>
      <w:r w:rsidR="0053588E">
        <w:rPr>
          <w:rFonts w:ascii="Times New Roman" w:hAnsi="Times New Roman" w:cs="Times New Roman"/>
        </w:rPr>
        <w:t>s</w:t>
      </w:r>
      <w:r w:rsidR="00690BC7">
        <w:rPr>
          <w:rFonts w:ascii="Times New Roman" w:hAnsi="Times New Roman" w:cs="Times New Roman"/>
        </w:rPr>
        <w:t xml:space="preserve"> by our </w:t>
      </w:r>
      <w:r w:rsidR="0053588E">
        <w:rPr>
          <w:rFonts w:ascii="Times New Roman" w:hAnsi="Times New Roman" w:cs="Times New Roman"/>
        </w:rPr>
        <w:t xml:space="preserve">predicted consultation levels </w:t>
      </w:r>
      <w:r w:rsidR="00690BC7">
        <w:rPr>
          <w:rFonts w:ascii="Times New Roman" w:hAnsi="Times New Roman" w:cs="Times New Roman"/>
        </w:rPr>
        <w:t xml:space="preserve">to </w:t>
      </w:r>
      <w:r w:rsidR="003946DC">
        <w:rPr>
          <w:rFonts w:ascii="Times New Roman" w:hAnsi="Times New Roman" w:cs="Times New Roman"/>
        </w:rPr>
        <w:t xml:space="preserve">calculate the </w:t>
      </w:r>
      <w:r w:rsidR="006661EA">
        <w:rPr>
          <w:rFonts w:ascii="Times New Roman" w:hAnsi="Times New Roman" w:cs="Times New Roman"/>
        </w:rPr>
        <w:t>cost</w:t>
      </w:r>
      <w:r w:rsidR="00690BC7">
        <w:rPr>
          <w:rFonts w:ascii="Times New Roman" w:hAnsi="Times New Roman" w:cs="Times New Roman"/>
        </w:rPr>
        <w:t>s</w:t>
      </w:r>
      <w:r w:rsidR="008E3E5D">
        <w:rPr>
          <w:rFonts w:ascii="Times New Roman" w:hAnsi="Times New Roman" w:cs="Times New Roman"/>
        </w:rPr>
        <w:t xml:space="preserve"> </w:t>
      </w:r>
      <w:r w:rsidR="009F0C41">
        <w:rPr>
          <w:rFonts w:ascii="Times New Roman" w:hAnsi="Times New Roman" w:cs="Times New Roman"/>
        </w:rPr>
        <w:t>by</w:t>
      </w:r>
      <w:r w:rsidR="008D217D">
        <w:rPr>
          <w:rFonts w:ascii="Times New Roman" w:hAnsi="Times New Roman" w:cs="Times New Roman"/>
        </w:rPr>
        <w:t xml:space="preserve"> frailty</w:t>
      </w:r>
      <w:r w:rsidR="0053588E">
        <w:rPr>
          <w:rFonts w:ascii="Times New Roman" w:hAnsi="Times New Roman" w:cs="Times New Roman"/>
        </w:rPr>
        <w:t xml:space="preserve"> categories</w:t>
      </w:r>
      <w:r w:rsidR="003946DC">
        <w:rPr>
          <w:rFonts w:ascii="Times New Roman" w:hAnsi="Times New Roman" w:cs="Times New Roman"/>
        </w:rPr>
        <w:t xml:space="preserve">. </w:t>
      </w:r>
      <w:r w:rsidR="009C16D2">
        <w:rPr>
          <w:rFonts w:ascii="Times New Roman" w:hAnsi="Times New Roman" w:cs="Times New Roman"/>
        </w:rPr>
        <w:t xml:space="preserve">GP </w:t>
      </w:r>
      <w:r w:rsidR="00854A8A">
        <w:rPr>
          <w:rFonts w:ascii="Times New Roman" w:hAnsi="Times New Roman" w:cs="Times New Roman"/>
        </w:rPr>
        <w:t>consultations, on average, lasted for 11.7 minutes for surgery consultations, 17.2 minutes for clinic consultations, 7.1 minutes for telephone consultations and 23.4 minutes for home visits (including 12 minutes travel time) [</w:t>
      </w:r>
      <w:r w:rsidR="005C6E61">
        <w:rPr>
          <w:rFonts w:ascii="Times New Roman" w:hAnsi="Times New Roman" w:cs="Times New Roman"/>
        </w:rPr>
        <w:t>11</w:t>
      </w:r>
      <w:r w:rsidR="00854A8A">
        <w:rPr>
          <w:rFonts w:ascii="Times New Roman" w:hAnsi="Times New Roman" w:cs="Times New Roman"/>
        </w:rPr>
        <w:t xml:space="preserve">]. </w:t>
      </w:r>
      <w:r w:rsidR="009F0C41">
        <w:rPr>
          <w:rFonts w:ascii="Times New Roman" w:hAnsi="Times New Roman" w:cs="Times New Roman"/>
        </w:rPr>
        <w:t xml:space="preserve">GP </w:t>
      </w:r>
      <w:r w:rsidR="00EB2106">
        <w:rPr>
          <w:rFonts w:ascii="Times New Roman" w:hAnsi="Times New Roman" w:cs="Times New Roman"/>
        </w:rPr>
        <w:t>consultation</w:t>
      </w:r>
      <w:r w:rsidR="009F0C41">
        <w:rPr>
          <w:rFonts w:ascii="Times New Roman" w:hAnsi="Times New Roman" w:cs="Times New Roman"/>
        </w:rPr>
        <w:t xml:space="preserve"> </w:t>
      </w:r>
      <w:r w:rsidR="00EB2106">
        <w:rPr>
          <w:rFonts w:ascii="Times New Roman" w:hAnsi="Times New Roman" w:cs="Times New Roman"/>
        </w:rPr>
        <w:t>costed</w:t>
      </w:r>
      <w:r w:rsidR="009F0C41">
        <w:rPr>
          <w:rFonts w:ascii="Times New Roman" w:hAnsi="Times New Roman" w:cs="Times New Roman"/>
        </w:rPr>
        <w:t xml:space="preserve"> </w:t>
      </w:r>
      <w:r w:rsidR="00EB2106">
        <w:rPr>
          <w:rFonts w:ascii="Times New Roman" w:hAnsi="Times New Roman" w:cs="Times New Roman"/>
        </w:rPr>
        <w:t xml:space="preserve">£234 per hour </w:t>
      </w:r>
      <w:r w:rsidR="00854A8A">
        <w:rPr>
          <w:rFonts w:ascii="Times New Roman" w:hAnsi="Times New Roman" w:cs="Times New Roman"/>
        </w:rPr>
        <w:t xml:space="preserve">in 2013/14, </w:t>
      </w:r>
      <w:r w:rsidR="00023954">
        <w:rPr>
          <w:rFonts w:ascii="Times New Roman" w:hAnsi="Times New Roman" w:cs="Times New Roman"/>
        </w:rPr>
        <w:t xml:space="preserve">including </w:t>
      </w:r>
      <w:r w:rsidR="00854A8A">
        <w:rPr>
          <w:rFonts w:ascii="Times New Roman" w:hAnsi="Times New Roman" w:cs="Times New Roman"/>
        </w:rPr>
        <w:t xml:space="preserve">costs </w:t>
      </w:r>
      <w:r w:rsidR="009C16D2">
        <w:rPr>
          <w:rFonts w:ascii="Times New Roman" w:hAnsi="Times New Roman" w:cs="Times New Roman"/>
        </w:rPr>
        <w:t>of</w:t>
      </w:r>
      <w:r w:rsidR="00854A8A">
        <w:rPr>
          <w:rFonts w:ascii="Times New Roman" w:hAnsi="Times New Roman" w:cs="Times New Roman"/>
        </w:rPr>
        <w:t xml:space="preserve"> direct care staff and medical education and training</w:t>
      </w:r>
      <w:r w:rsidR="0077628B">
        <w:rPr>
          <w:rFonts w:ascii="Times New Roman" w:hAnsi="Times New Roman" w:cs="Times New Roman"/>
        </w:rPr>
        <w:t>, giving</w:t>
      </w:r>
      <w:r w:rsidR="007D65FC">
        <w:rPr>
          <w:rFonts w:ascii="Times New Roman" w:hAnsi="Times New Roman" w:cs="Times New Roman"/>
        </w:rPr>
        <w:t xml:space="preserve"> </w:t>
      </w:r>
      <w:r w:rsidR="00854A8A">
        <w:rPr>
          <w:rFonts w:ascii="Times New Roman" w:hAnsi="Times New Roman" w:cs="Times New Roman"/>
        </w:rPr>
        <w:t xml:space="preserve">an average cost of £57.9 </w:t>
      </w:r>
      <w:r w:rsidR="000B6E0D">
        <w:rPr>
          <w:rFonts w:ascii="Times New Roman" w:hAnsi="Times New Roman" w:cs="Times New Roman"/>
        </w:rPr>
        <w:t>per</w:t>
      </w:r>
      <w:r w:rsidR="00854A8A">
        <w:rPr>
          <w:rFonts w:ascii="Times New Roman" w:hAnsi="Times New Roman" w:cs="Times New Roman"/>
        </w:rPr>
        <w:t xml:space="preserve"> </w:t>
      </w:r>
      <w:r w:rsidR="009C16D2">
        <w:rPr>
          <w:rFonts w:ascii="Times New Roman" w:hAnsi="Times New Roman" w:cs="Times New Roman"/>
        </w:rPr>
        <w:t xml:space="preserve">GP </w:t>
      </w:r>
      <w:r w:rsidR="00854A8A">
        <w:rPr>
          <w:rFonts w:ascii="Times New Roman" w:hAnsi="Times New Roman" w:cs="Times New Roman"/>
        </w:rPr>
        <w:t xml:space="preserve">consultation, with the duration calculated as the </w:t>
      </w:r>
      <w:r w:rsidR="002312BB">
        <w:rPr>
          <w:rFonts w:ascii="Times New Roman" w:hAnsi="Times New Roman" w:cs="Times New Roman"/>
        </w:rPr>
        <w:t>mean</w:t>
      </w:r>
      <w:r w:rsidR="00854A8A">
        <w:rPr>
          <w:rFonts w:ascii="Times New Roman" w:hAnsi="Times New Roman" w:cs="Times New Roman"/>
        </w:rPr>
        <w:t xml:space="preserve"> of four consultation types. </w:t>
      </w:r>
      <w:r w:rsidR="002C5A3F">
        <w:rPr>
          <w:rFonts w:ascii="Times New Roman" w:hAnsi="Times New Roman" w:cs="Times New Roman"/>
        </w:rPr>
        <w:t>Additionally</w:t>
      </w:r>
      <w:r w:rsidR="00854A8A">
        <w:rPr>
          <w:rFonts w:ascii="Times New Roman" w:hAnsi="Times New Roman" w:cs="Times New Roman"/>
        </w:rPr>
        <w:t xml:space="preserve">, there was </w:t>
      </w:r>
      <w:r w:rsidR="00023954">
        <w:rPr>
          <w:rFonts w:ascii="Times New Roman" w:hAnsi="Times New Roman" w:cs="Times New Roman"/>
        </w:rPr>
        <w:t xml:space="preserve">an average </w:t>
      </w:r>
      <w:r w:rsidR="00854A8A">
        <w:rPr>
          <w:rFonts w:ascii="Times New Roman" w:hAnsi="Times New Roman" w:cs="Times New Roman"/>
        </w:rPr>
        <w:t xml:space="preserve">prescription cost of £40.7 </w:t>
      </w:r>
      <w:r w:rsidR="0077628B">
        <w:rPr>
          <w:rFonts w:ascii="Times New Roman" w:hAnsi="Times New Roman" w:cs="Times New Roman"/>
        </w:rPr>
        <w:t>making</w:t>
      </w:r>
      <w:r w:rsidR="00854A8A">
        <w:rPr>
          <w:rFonts w:ascii="Times New Roman" w:hAnsi="Times New Roman" w:cs="Times New Roman"/>
        </w:rPr>
        <w:t xml:space="preserve"> the total cost £98.6</w:t>
      </w:r>
      <w:r w:rsidR="00023954">
        <w:rPr>
          <w:rFonts w:ascii="Times New Roman" w:hAnsi="Times New Roman" w:cs="Times New Roman"/>
        </w:rPr>
        <w:t xml:space="preserve"> per GP consultation</w:t>
      </w:r>
      <w:r w:rsidR="00854A8A">
        <w:rPr>
          <w:rFonts w:ascii="Times New Roman" w:hAnsi="Times New Roman" w:cs="Times New Roman"/>
        </w:rPr>
        <w:t>. The average duration was 15.5 minutes per surgery consultation with practice nurses, whose unit cost was £34 per hour in 2013/14. Therefore, a practice nurse</w:t>
      </w:r>
      <w:r w:rsidR="0073770E">
        <w:rPr>
          <w:rFonts w:ascii="Times New Roman" w:hAnsi="Times New Roman" w:cs="Times New Roman"/>
        </w:rPr>
        <w:t xml:space="preserve"> visit</w:t>
      </w:r>
      <w:r w:rsidR="00854A8A">
        <w:rPr>
          <w:rFonts w:ascii="Times New Roman" w:hAnsi="Times New Roman" w:cs="Times New Roman"/>
        </w:rPr>
        <w:t xml:space="preserve"> cost</w:t>
      </w:r>
      <w:r w:rsidR="0073770E">
        <w:rPr>
          <w:rFonts w:ascii="Times New Roman" w:hAnsi="Times New Roman" w:cs="Times New Roman"/>
        </w:rPr>
        <w:t>ed</w:t>
      </w:r>
      <w:r w:rsidR="00854A8A">
        <w:rPr>
          <w:rFonts w:ascii="Times New Roman" w:hAnsi="Times New Roman" w:cs="Times New Roman"/>
        </w:rPr>
        <w:t xml:space="preserve"> an average of £8.8. </w:t>
      </w:r>
    </w:p>
    <w:p w14:paraId="78DB19B0" w14:textId="7F6637FD" w:rsidR="002C5A3F" w:rsidRDefault="00EC0288" w:rsidP="00BB0DAB">
      <w:pPr>
        <w:jc w:val="both"/>
        <w:rPr>
          <w:rFonts w:ascii="Times New Roman" w:hAnsi="Times New Roman" w:cs="Times New Roman"/>
        </w:rPr>
      </w:pPr>
      <w:r>
        <w:rPr>
          <w:rFonts w:ascii="Times New Roman" w:hAnsi="Times New Roman" w:cs="Times New Roman"/>
        </w:rPr>
        <w:t>For the costs of hospital admissions, we categorised admissions in 2013/14 into four group</w:t>
      </w:r>
      <w:r w:rsidR="007E3149">
        <w:rPr>
          <w:rFonts w:ascii="Times New Roman" w:hAnsi="Times New Roman" w:cs="Times New Roman"/>
        </w:rPr>
        <w:t>s</w:t>
      </w:r>
      <w:r w:rsidR="003C668E">
        <w:rPr>
          <w:rFonts w:ascii="Times New Roman" w:hAnsi="Times New Roman" w:cs="Times New Roman"/>
        </w:rPr>
        <w:t xml:space="preserve">: </w:t>
      </w:r>
      <w:r>
        <w:rPr>
          <w:rFonts w:ascii="Times New Roman" w:hAnsi="Times New Roman" w:cs="Times New Roman"/>
        </w:rPr>
        <w:t>day case, elective spell, non-elective short stay</w:t>
      </w:r>
      <w:r w:rsidR="003C668E">
        <w:rPr>
          <w:rFonts w:ascii="Times New Roman" w:hAnsi="Times New Roman" w:cs="Times New Roman"/>
        </w:rPr>
        <w:t xml:space="preserve"> (</w:t>
      </w:r>
      <w:r w:rsidR="007E3149">
        <w:rPr>
          <w:rFonts w:ascii="Times New Roman" w:hAnsi="Times New Roman" w:cs="Times New Roman"/>
        </w:rPr>
        <w:t>less than 2 days</w:t>
      </w:r>
      <w:r w:rsidR="003C668E">
        <w:rPr>
          <w:rFonts w:ascii="Times New Roman" w:hAnsi="Times New Roman" w:cs="Times New Roman"/>
        </w:rPr>
        <w:t>)</w:t>
      </w:r>
      <w:r>
        <w:rPr>
          <w:rFonts w:ascii="Times New Roman" w:hAnsi="Times New Roman" w:cs="Times New Roman"/>
        </w:rPr>
        <w:t xml:space="preserve"> and non-elective </w:t>
      </w:r>
      <w:r w:rsidR="007E3149">
        <w:rPr>
          <w:rFonts w:ascii="Times New Roman" w:hAnsi="Times New Roman" w:cs="Times New Roman"/>
        </w:rPr>
        <w:t>spell</w:t>
      </w:r>
      <w:r w:rsidR="00993D17">
        <w:rPr>
          <w:rFonts w:ascii="Times New Roman" w:hAnsi="Times New Roman" w:cs="Times New Roman"/>
        </w:rPr>
        <w:t xml:space="preserve">. </w:t>
      </w:r>
      <w:r w:rsidR="00181711">
        <w:rPr>
          <w:rFonts w:ascii="Times New Roman" w:hAnsi="Times New Roman" w:cs="Times New Roman"/>
        </w:rPr>
        <w:t xml:space="preserve">We linked the grouped </w:t>
      </w:r>
      <w:r w:rsidR="00181711">
        <w:rPr>
          <w:rFonts w:ascii="Times New Roman" w:hAnsi="Times New Roman" w:cs="Times New Roman"/>
        </w:rPr>
        <w:lastRenderedPageBreak/>
        <w:t>admissions to the 2013/14 national tariffs using HRG codes [</w:t>
      </w:r>
      <w:r w:rsidR="00FA7873">
        <w:rPr>
          <w:rFonts w:ascii="Times New Roman" w:hAnsi="Times New Roman" w:cs="Times New Roman"/>
        </w:rPr>
        <w:t>1</w:t>
      </w:r>
      <w:r w:rsidR="001C18A7">
        <w:rPr>
          <w:rFonts w:ascii="Times New Roman" w:hAnsi="Times New Roman" w:cs="Times New Roman"/>
        </w:rPr>
        <w:t>2</w:t>
      </w:r>
      <w:r w:rsidR="00181711">
        <w:rPr>
          <w:rFonts w:ascii="Times New Roman" w:hAnsi="Times New Roman" w:cs="Times New Roman"/>
        </w:rPr>
        <w:t>].</w:t>
      </w:r>
      <w:r w:rsidR="00FE58D4">
        <w:rPr>
          <w:rFonts w:ascii="Times New Roman" w:hAnsi="Times New Roman" w:cs="Times New Roman"/>
        </w:rPr>
        <w:t xml:space="preserve"> </w:t>
      </w:r>
      <w:r w:rsidR="006412C8">
        <w:rPr>
          <w:rFonts w:ascii="Times New Roman" w:hAnsi="Times New Roman" w:cs="Times New Roman"/>
        </w:rPr>
        <w:t xml:space="preserve">42,146 (99.7%) admissions were linked to HRG codes and 39,708 (93.9%) were matched to the national tariffs. Of the admissions without a matched national tariff, 182 were linked to the 2013/14 national reference costs. </w:t>
      </w:r>
      <w:r w:rsidR="00FE58D4">
        <w:rPr>
          <w:rFonts w:ascii="Times New Roman" w:hAnsi="Times New Roman" w:cs="Times New Roman"/>
        </w:rPr>
        <w:t>For spells with length of stay exceeding the HRG-specific trim points, we</w:t>
      </w:r>
      <w:r w:rsidR="007E3149">
        <w:rPr>
          <w:rFonts w:ascii="Times New Roman" w:hAnsi="Times New Roman" w:cs="Times New Roman"/>
        </w:rPr>
        <w:t xml:space="preserve"> adjusted the </w:t>
      </w:r>
      <w:r w:rsidR="001E650F">
        <w:rPr>
          <w:rFonts w:ascii="Times New Roman" w:hAnsi="Times New Roman" w:cs="Times New Roman"/>
        </w:rPr>
        <w:t xml:space="preserve">tariffs using the excessive inpatient days </w:t>
      </w:r>
      <w:r w:rsidR="00FE58D4">
        <w:rPr>
          <w:rFonts w:ascii="Times New Roman" w:hAnsi="Times New Roman" w:cs="Times New Roman"/>
        </w:rPr>
        <w:t xml:space="preserve">and the unit long stay payment. </w:t>
      </w:r>
      <w:r w:rsidR="007E6EA9">
        <w:rPr>
          <w:rFonts w:ascii="Times New Roman" w:hAnsi="Times New Roman" w:cs="Times New Roman"/>
        </w:rPr>
        <w:t>By emergency and elective admissions, we estimated two-level linear regression</w:t>
      </w:r>
      <w:r w:rsidR="00B11457">
        <w:rPr>
          <w:rFonts w:ascii="Times New Roman" w:hAnsi="Times New Roman" w:cs="Times New Roman"/>
        </w:rPr>
        <w:t>s</w:t>
      </w:r>
      <w:r w:rsidR="002A6C63">
        <w:rPr>
          <w:rFonts w:ascii="Times New Roman" w:hAnsi="Times New Roman" w:cs="Times New Roman"/>
        </w:rPr>
        <w:t xml:space="preserve"> w</w:t>
      </w:r>
      <w:r w:rsidR="008704AE">
        <w:rPr>
          <w:rFonts w:ascii="Times New Roman" w:hAnsi="Times New Roman" w:cs="Times New Roman"/>
        </w:rPr>
        <w:t xml:space="preserve">ith </w:t>
      </w:r>
      <w:r w:rsidR="00051CEA">
        <w:rPr>
          <w:rFonts w:ascii="Times New Roman" w:hAnsi="Times New Roman" w:cs="Times New Roman"/>
        </w:rPr>
        <w:t xml:space="preserve">practice-level </w:t>
      </w:r>
      <w:r w:rsidR="008704AE">
        <w:rPr>
          <w:rFonts w:ascii="Times New Roman" w:hAnsi="Times New Roman" w:cs="Times New Roman"/>
        </w:rPr>
        <w:t xml:space="preserve">random intercepts </w:t>
      </w:r>
      <w:r w:rsidR="007E6EA9">
        <w:rPr>
          <w:rFonts w:ascii="Times New Roman" w:hAnsi="Times New Roman" w:cs="Times New Roman"/>
        </w:rPr>
        <w:t xml:space="preserve">for the </w:t>
      </w:r>
      <w:r w:rsidR="00B02DCE">
        <w:rPr>
          <w:rFonts w:ascii="Times New Roman" w:hAnsi="Times New Roman" w:cs="Times New Roman"/>
        </w:rPr>
        <w:t>impact of frailty on the annual cost of ho</w:t>
      </w:r>
      <w:r w:rsidR="008704AE">
        <w:rPr>
          <w:rFonts w:ascii="Times New Roman" w:hAnsi="Times New Roman" w:cs="Times New Roman"/>
        </w:rPr>
        <w:t>spital admissions</w:t>
      </w:r>
      <w:r w:rsidR="0085222A">
        <w:rPr>
          <w:rFonts w:ascii="Times New Roman" w:hAnsi="Times New Roman" w:cs="Times New Roman"/>
        </w:rPr>
        <w:t xml:space="preserve">, </w:t>
      </w:r>
      <w:r w:rsidR="00546CAC">
        <w:rPr>
          <w:rFonts w:ascii="Times New Roman" w:hAnsi="Times New Roman" w:cs="Times New Roman"/>
        </w:rPr>
        <w:t>taking into account correlated</w:t>
      </w:r>
      <w:r w:rsidR="008704AE">
        <w:rPr>
          <w:rFonts w:ascii="Times New Roman" w:hAnsi="Times New Roman" w:cs="Times New Roman"/>
        </w:rPr>
        <w:t xml:space="preserve"> </w:t>
      </w:r>
      <w:r w:rsidR="00B02DCE">
        <w:rPr>
          <w:rFonts w:ascii="Times New Roman" w:hAnsi="Times New Roman" w:cs="Times New Roman"/>
        </w:rPr>
        <w:t xml:space="preserve">standard errors. </w:t>
      </w:r>
    </w:p>
    <w:p w14:paraId="55E395AD" w14:textId="77777777" w:rsidR="00565604" w:rsidRDefault="00565604" w:rsidP="0073770E">
      <w:pPr>
        <w:jc w:val="both"/>
        <w:rPr>
          <w:rFonts w:ascii="Times New Roman" w:hAnsi="Times New Roman" w:cs="Times New Roman"/>
        </w:rPr>
      </w:pPr>
    </w:p>
    <w:p w14:paraId="076FC43B" w14:textId="77777777" w:rsidR="007216AA" w:rsidRDefault="007216AA" w:rsidP="00BB0DAB">
      <w:pPr>
        <w:jc w:val="both"/>
        <w:rPr>
          <w:rFonts w:ascii="Times New Roman" w:hAnsi="Times New Roman" w:cs="Times New Roman"/>
          <w:b/>
        </w:rPr>
      </w:pPr>
      <w:r w:rsidRPr="007216AA">
        <w:rPr>
          <w:rFonts w:ascii="Times New Roman" w:hAnsi="Times New Roman" w:cs="Times New Roman"/>
          <w:b/>
        </w:rPr>
        <w:t>Results</w:t>
      </w:r>
    </w:p>
    <w:p w14:paraId="65C7B9F6" w14:textId="77777777" w:rsidR="00AC7DD3" w:rsidRPr="00AC7DD3" w:rsidRDefault="00AC7DD3" w:rsidP="00BB0DAB">
      <w:pPr>
        <w:jc w:val="both"/>
        <w:rPr>
          <w:rFonts w:ascii="Times New Roman" w:hAnsi="Times New Roman" w:cs="Times New Roman"/>
          <w:i/>
        </w:rPr>
      </w:pPr>
      <w:r w:rsidRPr="00AC7DD3">
        <w:rPr>
          <w:rFonts w:ascii="Times New Roman" w:hAnsi="Times New Roman" w:cs="Times New Roman"/>
          <w:i/>
        </w:rPr>
        <w:t>Descriptive statistics</w:t>
      </w:r>
    </w:p>
    <w:p w14:paraId="3A360ADA" w14:textId="2FAE3385" w:rsidR="007216AA" w:rsidRDefault="00AF78A3" w:rsidP="00BB0DAB">
      <w:pPr>
        <w:jc w:val="both"/>
        <w:rPr>
          <w:rFonts w:ascii="Times New Roman" w:hAnsi="Times New Roman" w:cs="Times New Roman"/>
        </w:rPr>
      </w:pPr>
      <w:r>
        <w:rPr>
          <w:rFonts w:ascii="Times New Roman" w:hAnsi="Times New Roman" w:cs="Times New Roman"/>
          <w:color w:val="000000"/>
        </w:rPr>
        <w:t xml:space="preserve">There were </w:t>
      </w:r>
      <w:r w:rsidR="007216AA">
        <w:rPr>
          <w:rFonts w:ascii="Times New Roman" w:hAnsi="Times New Roman" w:cs="Times New Roman"/>
        </w:rPr>
        <w:t xml:space="preserve">566,101 </w:t>
      </w:r>
      <w:r>
        <w:rPr>
          <w:rFonts w:ascii="Times New Roman" w:hAnsi="Times New Roman" w:cs="Times New Roman"/>
        </w:rPr>
        <w:t xml:space="preserve">year-specific </w:t>
      </w:r>
      <w:r w:rsidR="007216AA">
        <w:rPr>
          <w:rFonts w:ascii="Times New Roman" w:hAnsi="Times New Roman" w:cs="Times New Roman"/>
        </w:rPr>
        <w:t xml:space="preserve">observations </w:t>
      </w:r>
      <w:r w:rsidR="00951978">
        <w:rPr>
          <w:rFonts w:ascii="Times New Roman" w:hAnsi="Times New Roman" w:cs="Times New Roman"/>
        </w:rPr>
        <w:t>across</w:t>
      </w:r>
      <w:r w:rsidR="007216AA">
        <w:rPr>
          <w:rFonts w:ascii="Times New Roman" w:hAnsi="Times New Roman" w:cs="Times New Roman"/>
        </w:rPr>
        <w:t xml:space="preserve"> the study period</w:t>
      </w:r>
      <w:r>
        <w:rPr>
          <w:rFonts w:ascii="Times New Roman" w:hAnsi="Times New Roman" w:cs="Times New Roman"/>
        </w:rPr>
        <w:t xml:space="preserve">, with </w:t>
      </w:r>
      <w:r w:rsidR="0009227E">
        <w:rPr>
          <w:rFonts w:ascii="Times New Roman" w:hAnsi="Times New Roman" w:cs="Times New Roman"/>
        </w:rPr>
        <w:t xml:space="preserve">repeated measures </w:t>
      </w:r>
      <w:r w:rsidR="00AD1149">
        <w:rPr>
          <w:rFonts w:ascii="Times New Roman" w:hAnsi="Times New Roman" w:cs="Times New Roman"/>
        </w:rPr>
        <w:t xml:space="preserve">for </w:t>
      </w:r>
      <w:r>
        <w:rPr>
          <w:rFonts w:ascii="Times New Roman" w:hAnsi="Times New Roman" w:cs="Times New Roman"/>
        </w:rPr>
        <w:t>95,863</w:t>
      </w:r>
      <w:r w:rsidR="0009227E">
        <w:rPr>
          <w:rFonts w:ascii="Times New Roman" w:hAnsi="Times New Roman" w:cs="Times New Roman"/>
        </w:rPr>
        <w:t xml:space="preserve"> patients. </w:t>
      </w:r>
      <w:r w:rsidR="00AD1149">
        <w:rPr>
          <w:rFonts w:ascii="Times New Roman" w:hAnsi="Times New Roman" w:cs="Times New Roman"/>
        </w:rPr>
        <w:t>Of the</w:t>
      </w:r>
      <w:r w:rsidR="00AC04D4">
        <w:rPr>
          <w:rFonts w:ascii="Times New Roman" w:hAnsi="Times New Roman" w:cs="Times New Roman"/>
        </w:rPr>
        <w:t xml:space="preserve"> total observations</w:t>
      </w:r>
      <w:r w:rsidR="00AD1149">
        <w:rPr>
          <w:rFonts w:ascii="Times New Roman" w:hAnsi="Times New Roman" w:cs="Times New Roman"/>
        </w:rPr>
        <w:t xml:space="preserve">, </w:t>
      </w:r>
      <w:r w:rsidR="007216AA">
        <w:rPr>
          <w:rFonts w:ascii="Times New Roman" w:hAnsi="Times New Roman" w:cs="Times New Roman"/>
        </w:rPr>
        <w:t>245,294</w:t>
      </w:r>
      <w:r w:rsidR="00AD1149">
        <w:rPr>
          <w:rFonts w:ascii="Times New Roman" w:hAnsi="Times New Roman" w:cs="Times New Roman"/>
        </w:rPr>
        <w:t xml:space="preserve"> (43.3%) </w:t>
      </w:r>
      <w:r w:rsidR="00951978">
        <w:rPr>
          <w:rFonts w:ascii="Times New Roman" w:hAnsi="Times New Roman" w:cs="Times New Roman"/>
        </w:rPr>
        <w:t xml:space="preserve">had a baseline status of </w:t>
      </w:r>
      <w:r w:rsidR="00852DE0">
        <w:rPr>
          <w:rFonts w:ascii="Times New Roman" w:hAnsi="Times New Roman" w:cs="Times New Roman"/>
        </w:rPr>
        <w:t>non-frail</w:t>
      </w:r>
      <w:r w:rsidR="00834654">
        <w:rPr>
          <w:rFonts w:ascii="Times New Roman" w:hAnsi="Times New Roman" w:cs="Times New Roman"/>
        </w:rPr>
        <w:t>, 216,354</w:t>
      </w:r>
      <w:r w:rsidR="00834654" w:rsidDel="00834654">
        <w:rPr>
          <w:rFonts w:ascii="Times New Roman" w:hAnsi="Times New Roman" w:cs="Times New Roman"/>
        </w:rPr>
        <w:t xml:space="preserve"> </w:t>
      </w:r>
      <w:r w:rsidR="00834654">
        <w:rPr>
          <w:rFonts w:ascii="Times New Roman" w:hAnsi="Times New Roman" w:cs="Times New Roman"/>
        </w:rPr>
        <w:t>(</w:t>
      </w:r>
      <w:r w:rsidR="007216AA">
        <w:rPr>
          <w:rFonts w:ascii="Times New Roman" w:hAnsi="Times New Roman" w:cs="Times New Roman"/>
        </w:rPr>
        <w:t>38</w:t>
      </w:r>
      <w:r w:rsidR="00317014">
        <w:rPr>
          <w:rFonts w:ascii="Times New Roman" w:hAnsi="Times New Roman" w:cs="Times New Roman"/>
        </w:rPr>
        <w:t>.2</w:t>
      </w:r>
      <w:r w:rsidR="007216AA">
        <w:rPr>
          <w:rFonts w:ascii="Times New Roman" w:hAnsi="Times New Roman" w:cs="Times New Roman"/>
        </w:rPr>
        <w:t>%</w:t>
      </w:r>
      <w:r w:rsidR="00834654">
        <w:rPr>
          <w:rFonts w:ascii="Times New Roman" w:hAnsi="Times New Roman" w:cs="Times New Roman"/>
        </w:rPr>
        <w:t xml:space="preserve">) </w:t>
      </w:r>
      <w:r w:rsidR="00AD2B85">
        <w:rPr>
          <w:rFonts w:ascii="Times New Roman" w:hAnsi="Times New Roman" w:cs="Times New Roman"/>
        </w:rPr>
        <w:t>mild frailty</w:t>
      </w:r>
      <w:r w:rsidR="00834654">
        <w:rPr>
          <w:rFonts w:ascii="Times New Roman" w:hAnsi="Times New Roman" w:cs="Times New Roman"/>
        </w:rPr>
        <w:t>, 82,187 (</w:t>
      </w:r>
      <w:r w:rsidR="00AD2B85">
        <w:rPr>
          <w:rFonts w:ascii="Times New Roman" w:hAnsi="Times New Roman" w:cs="Times New Roman"/>
        </w:rPr>
        <w:t>1</w:t>
      </w:r>
      <w:r w:rsidR="00317014">
        <w:rPr>
          <w:rFonts w:ascii="Times New Roman" w:hAnsi="Times New Roman" w:cs="Times New Roman"/>
        </w:rPr>
        <w:t>4.5</w:t>
      </w:r>
      <w:r w:rsidR="00AD2B85">
        <w:rPr>
          <w:rFonts w:ascii="Times New Roman" w:hAnsi="Times New Roman" w:cs="Times New Roman"/>
        </w:rPr>
        <w:t>%</w:t>
      </w:r>
      <w:r w:rsidR="00834654">
        <w:rPr>
          <w:rFonts w:ascii="Times New Roman" w:hAnsi="Times New Roman" w:cs="Times New Roman"/>
        </w:rPr>
        <w:t xml:space="preserve">) </w:t>
      </w:r>
      <w:r w:rsidR="001A2779">
        <w:rPr>
          <w:rFonts w:ascii="Times New Roman" w:hAnsi="Times New Roman" w:cs="Times New Roman"/>
        </w:rPr>
        <w:t>moderate frailty</w:t>
      </w:r>
      <w:r w:rsidR="00834654">
        <w:rPr>
          <w:rFonts w:ascii="Times New Roman" w:hAnsi="Times New Roman" w:cs="Times New Roman"/>
        </w:rPr>
        <w:t>,</w:t>
      </w:r>
      <w:r w:rsidR="001A2779">
        <w:rPr>
          <w:rFonts w:ascii="Times New Roman" w:hAnsi="Times New Roman" w:cs="Times New Roman"/>
        </w:rPr>
        <w:t xml:space="preserve"> and </w:t>
      </w:r>
      <w:r w:rsidR="00834654">
        <w:rPr>
          <w:rFonts w:ascii="Times New Roman" w:hAnsi="Times New Roman" w:cs="Times New Roman"/>
        </w:rPr>
        <w:t>22,266 (</w:t>
      </w:r>
      <w:r w:rsidR="00317014">
        <w:rPr>
          <w:rFonts w:ascii="Times New Roman" w:hAnsi="Times New Roman" w:cs="Times New Roman"/>
        </w:rPr>
        <w:t>3.9</w:t>
      </w:r>
      <w:r w:rsidR="001A2779">
        <w:rPr>
          <w:rFonts w:ascii="Times New Roman" w:hAnsi="Times New Roman" w:cs="Times New Roman"/>
        </w:rPr>
        <w:t>%</w:t>
      </w:r>
      <w:r w:rsidR="00834654">
        <w:rPr>
          <w:rFonts w:ascii="Times New Roman" w:hAnsi="Times New Roman" w:cs="Times New Roman"/>
        </w:rPr>
        <w:t xml:space="preserve">) </w:t>
      </w:r>
      <w:r w:rsidR="00AD2B85">
        <w:rPr>
          <w:rFonts w:ascii="Times New Roman" w:hAnsi="Times New Roman" w:cs="Times New Roman"/>
        </w:rPr>
        <w:t>severe frailty</w:t>
      </w:r>
      <w:r w:rsidR="00834654">
        <w:rPr>
          <w:rFonts w:ascii="Times New Roman" w:hAnsi="Times New Roman" w:cs="Times New Roman"/>
        </w:rPr>
        <w:t xml:space="preserve"> (</w:t>
      </w:r>
      <w:r w:rsidR="00834654" w:rsidRPr="002668D3">
        <w:rPr>
          <w:rFonts w:ascii="Times New Roman" w:hAnsi="Times New Roman" w:cs="Times New Roman"/>
          <w:b/>
        </w:rPr>
        <w:t>table 1</w:t>
      </w:r>
      <w:r w:rsidR="00834654">
        <w:rPr>
          <w:rFonts w:ascii="Times New Roman" w:hAnsi="Times New Roman" w:cs="Times New Roman"/>
        </w:rPr>
        <w:t xml:space="preserve">). </w:t>
      </w:r>
      <w:r w:rsidR="00AE6C07">
        <w:rPr>
          <w:rFonts w:ascii="Times New Roman" w:hAnsi="Times New Roman" w:cs="Times New Roman"/>
        </w:rPr>
        <w:t>There was</w:t>
      </w:r>
      <w:r w:rsidR="002C5A3F">
        <w:rPr>
          <w:rFonts w:ascii="Times New Roman" w:hAnsi="Times New Roman" w:cs="Times New Roman"/>
        </w:rPr>
        <w:t xml:space="preserve"> a</w:t>
      </w:r>
      <w:r w:rsidR="00AE6C07">
        <w:rPr>
          <w:rFonts w:ascii="Times New Roman" w:hAnsi="Times New Roman" w:cs="Times New Roman"/>
        </w:rPr>
        <w:t xml:space="preserve"> social gradient in frailty</w:t>
      </w:r>
      <w:r w:rsidR="00691217">
        <w:rPr>
          <w:rFonts w:ascii="Times New Roman" w:hAnsi="Times New Roman" w:cs="Times New Roman"/>
        </w:rPr>
        <w:t xml:space="preserve">: </w:t>
      </w:r>
      <w:r w:rsidR="00AE6C07">
        <w:rPr>
          <w:rFonts w:ascii="Times New Roman" w:hAnsi="Times New Roman" w:cs="Times New Roman"/>
        </w:rPr>
        <w:t>22.</w:t>
      </w:r>
      <w:r w:rsidR="003F1489">
        <w:rPr>
          <w:rFonts w:ascii="Times New Roman" w:hAnsi="Times New Roman" w:cs="Times New Roman"/>
        </w:rPr>
        <w:t>4</w:t>
      </w:r>
      <w:r w:rsidR="00FB489D">
        <w:rPr>
          <w:rFonts w:ascii="Times New Roman" w:hAnsi="Times New Roman" w:cs="Times New Roman"/>
        </w:rPr>
        <w:t>% of</w:t>
      </w:r>
      <w:r w:rsidR="00AE6C07">
        <w:rPr>
          <w:rFonts w:ascii="Times New Roman" w:hAnsi="Times New Roman" w:cs="Times New Roman"/>
        </w:rPr>
        <w:t xml:space="preserve"> patients with severe frailty were from the most deprived neighbourhoods, compared with 12.</w:t>
      </w:r>
      <w:r w:rsidR="00FB489D">
        <w:rPr>
          <w:rFonts w:ascii="Times New Roman" w:hAnsi="Times New Roman" w:cs="Times New Roman"/>
        </w:rPr>
        <w:t>1</w:t>
      </w:r>
      <w:r w:rsidR="00691217">
        <w:rPr>
          <w:rFonts w:ascii="Times New Roman" w:hAnsi="Times New Roman" w:cs="Times New Roman"/>
        </w:rPr>
        <w:t>%</w:t>
      </w:r>
      <w:r w:rsidR="00AE6C07">
        <w:rPr>
          <w:rFonts w:ascii="Times New Roman" w:hAnsi="Times New Roman" w:cs="Times New Roman"/>
        </w:rPr>
        <w:t xml:space="preserve"> in the </w:t>
      </w:r>
      <w:r w:rsidR="003B6CE7">
        <w:rPr>
          <w:rFonts w:ascii="Times New Roman" w:hAnsi="Times New Roman" w:cs="Times New Roman"/>
        </w:rPr>
        <w:t xml:space="preserve">non-frail </w:t>
      </w:r>
      <w:r w:rsidR="00AE6C07">
        <w:rPr>
          <w:rFonts w:ascii="Times New Roman" w:hAnsi="Times New Roman" w:cs="Times New Roman"/>
        </w:rPr>
        <w:t>group.</w:t>
      </w:r>
      <w:r w:rsidR="00DD748B">
        <w:rPr>
          <w:rFonts w:ascii="Times New Roman" w:hAnsi="Times New Roman" w:cs="Times New Roman"/>
        </w:rPr>
        <w:t xml:space="preserve"> </w:t>
      </w:r>
    </w:p>
    <w:p w14:paraId="7CFD306D" w14:textId="62AA0346" w:rsidR="007247EA" w:rsidRDefault="00AB5106" w:rsidP="00F14548">
      <w:pPr>
        <w:jc w:val="both"/>
        <w:rPr>
          <w:rFonts w:ascii="Times New Roman" w:hAnsi="Times New Roman" w:cs="Times New Roman"/>
        </w:rPr>
      </w:pPr>
      <w:r>
        <w:rPr>
          <w:rFonts w:ascii="Times New Roman" w:hAnsi="Times New Roman" w:cs="Times New Roman"/>
        </w:rPr>
        <w:t>The</w:t>
      </w:r>
      <w:r w:rsidR="00AC7DD3">
        <w:rPr>
          <w:rFonts w:ascii="Times New Roman" w:hAnsi="Times New Roman" w:cs="Times New Roman"/>
        </w:rPr>
        <w:t xml:space="preserve"> u</w:t>
      </w:r>
      <w:r w:rsidR="00AE6C07">
        <w:rPr>
          <w:rFonts w:ascii="Times New Roman" w:hAnsi="Times New Roman" w:cs="Times New Roman"/>
        </w:rPr>
        <w:t>se</w:t>
      </w:r>
      <w:r w:rsidR="00AC7DD3">
        <w:rPr>
          <w:rFonts w:ascii="Times New Roman" w:hAnsi="Times New Roman" w:cs="Times New Roman"/>
        </w:rPr>
        <w:t xml:space="preserve"> of </w:t>
      </w:r>
      <w:r w:rsidR="00382DAB">
        <w:rPr>
          <w:rFonts w:ascii="Times New Roman" w:hAnsi="Times New Roman" w:cs="Times New Roman"/>
        </w:rPr>
        <w:t>general practice</w:t>
      </w:r>
      <w:r w:rsidR="00AC7DD3">
        <w:rPr>
          <w:rFonts w:ascii="Times New Roman" w:hAnsi="Times New Roman" w:cs="Times New Roman"/>
        </w:rPr>
        <w:t xml:space="preserve"> and hospital care </w:t>
      </w:r>
      <w:r w:rsidR="006178DD">
        <w:rPr>
          <w:rFonts w:ascii="Times New Roman" w:hAnsi="Times New Roman" w:cs="Times New Roman"/>
        </w:rPr>
        <w:t>increased</w:t>
      </w:r>
      <w:r>
        <w:rPr>
          <w:rFonts w:ascii="Times New Roman" w:hAnsi="Times New Roman" w:cs="Times New Roman"/>
        </w:rPr>
        <w:t xml:space="preserve"> </w:t>
      </w:r>
      <w:r w:rsidR="00AE6C07">
        <w:rPr>
          <w:rFonts w:ascii="Times New Roman" w:hAnsi="Times New Roman" w:cs="Times New Roman"/>
        </w:rPr>
        <w:t>with frailty</w:t>
      </w:r>
      <w:r>
        <w:rPr>
          <w:rFonts w:ascii="Times New Roman" w:hAnsi="Times New Roman" w:cs="Times New Roman"/>
        </w:rPr>
        <w:t xml:space="preserve">. </w:t>
      </w:r>
      <w:r w:rsidR="00456698">
        <w:rPr>
          <w:rFonts w:ascii="Times New Roman" w:hAnsi="Times New Roman" w:cs="Times New Roman"/>
        </w:rPr>
        <w:t>On average,</w:t>
      </w:r>
      <w:r w:rsidR="007247EA">
        <w:rPr>
          <w:rFonts w:ascii="Times New Roman" w:hAnsi="Times New Roman" w:cs="Times New Roman"/>
        </w:rPr>
        <w:t xml:space="preserve"> patients with severe frailty </w:t>
      </w:r>
      <w:r w:rsidR="00951957">
        <w:rPr>
          <w:rFonts w:ascii="Times New Roman" w:hAnsi="Times New Roman" w:cs="Times New Roman"/>
        </w:rPr>
        <w:t>had</w:t>
      </w:r>
      <w:r w:rsidR="00F07F85">
        <w:rPr>
          <w:rFonts w:ascii="Times New Roman" w:hAnsi="Times New Roman" w:cs="Times New Roman"/>
        </w:rPr>
        <w:t xml:space="preserve"> 22.4 GP consultations and 7.3</w:t>
      </w:r>
      <w:r w:rsidR="0077628B">
        <w:rPr>
          <w:rFonts w:ascii="Times New Roman" w:hAnsi="Times New Roman" w:cs="Times New Roman"/>
        </w:rPr>
        <w:t xml:space="preserve"> practice nurse</w:t>
      </w:r>
      <w:r w:rsidR="00F07F85">
        <w:rPr>
          <w:rFonts w:ascii="Times New Roman" w:hAnsi="Times New Roman" w:cs="Times New Roman"/>
        </w:rPr>
        <w:t xml:space="preserve"> contacts </w:t>
      </w:r>
      <w:r w:rsidR="0077628B">
        <w:rPr>
          <w:rFonts w:ascii="Times New Roman" w:hAnsi="Times New Roman" w:cs="Times New Roman"/>
        </w:rPr>
        <w:t>annually</w:t>
      </w:r>
      <w:r w:rsidR="007247EA">
        <w:rPr>
          <w:rFonts w:ascii="Times New Roman" w:hAnsi="Times New Roman" w:cs="Times New Roman"/>
        </w:rPr>
        <w:t>, compared with</w:t>
      </w:r>
      <w:r w:rsidR="00456698">
        <w:rPr>
          <w:rFonts w:ascii="Times New Roman" w:hAnsi="Times New Roman" w:cs="Times New Roman"/>
        </w:rPr>
        <w:t xml:space="preserve"> </w:t>
      </w:r>
      <w:r w:rsidR="00F07F85">
        <w:rPr>
          <w:rFonts w:ascii="Times New Roman" w:hAnsi="Times New Roman" w:cs="Times New Roman"/>
        </w:rPr>
        <w:t>7.6</w:t>
      </w:r>
      <w:r w:rsidR="005A29E2">
        <w:rPr>
          <w:rFonts w:ascii="Times New Roman" w:hAnsi="Times New Roman" w:cs="Times New Roman"/>
        </w:rPr>
        <w:t xml:space="preserve"> GP</w:t>
      </w:r>
      <w:r w:rsidR="00F07F85">
        <w:rPr>
          <w:rFonts w:ascii="Times New Roman" w:hAnsi="Times New Roman" w:cs="Times New Roman"/>
        </w:rPr>
        <w:t xml:space="preserve"> consultations and 2.9 practice nurses</w:t>
      </w:r>
      <w:r w:rsidR="00A64C31">
        <w:rPr>
          <w:rFonts w:ascii="Times New Roman" w:hAnsi="Times New Roman" w:cs="Times New Roman"/>
        </w:rPr>
        <w:t xml:space="preserve"> </w:t>
      </w:r>
      <w:r w:rsidR="005A29E2">
        <w:rPr>
          <w:rFonts w:ascii="Times New Roman" w:hAnsi="Times New Roman" w:cs="Times New Roman"/>
        </w:rPr>
        <w:t xml:space="preserve">visits </w:t>
      </w:r>
      <w:r w:rsidR="007247EA">
        <w:rPr>
          <w:rFonts w:ascii="Times New Roman" w:hAnsi="Times New Roman" w:cs="Times New Roman"/>
        </w:rPr>
        <w:t xml:space="preserve">for </w:t>
      </w:r>
      <w:r w:rsidR="00A64C31">
        <w:rPr>
          <w:rFonts w:ascii="Times New Roman" w:hAnsi="Times New Roman" w:cs="Times New Roman"/>
        </w:rPr>
        <w:t xml:space="preserve">the </w:t>
      </w:r>
      <w:r w:rsidR="00852DE0">
        <w:rPr>
          <w:rFonts w:ascii="Times New Roman" w:hAnsi="Times New Roman" w:cs="Times New Roman"/>
        </w:rPr>
        <w:t xml:space="preserve">non-frail </w:t>
      </w:r>
      <w:r w:rsidR="00F07F85">
        <w:rPr>
          <w:rFonts w:ascii="Times New Roman" w:hAnsi="Times New Roman" w:cs="Times New Roman"/>
        </w:rPr>
        <w:t xml:space="preserve">population. Patients with mild and moderate frailty </w:t>
      </w:r>
      <w:r w:rsidR="00487694">
        <w:rPr>
          <w:rFonts w:ascii="Times New Roman" w:hAnsi="Times New Roman" w:cs="Times New Roman"/>
        </w:rPr>
        <w:t>also had more consultations than non-frail population. GP consultations increased by 64</w:t>
      </w:r>
      <w:r w:rsidR="004D35E9">
        <w:rPr>
          <w:rFonts w:ascii="Times New Roman" w:hAnsi="Times New Roman" w:cs="Times New Roman"/>
        </w:rPr>
        <w:t>.5% and 127.6</w:t>
      </w:r>
      <w:r w:rsidR="00487694">
        <w:rPr>
          <w:rFonts w:ascii="Times New Roman" w:hAnsi="Times New Roman" w:cs="Times New Roman"/>
        </w:rPr>
        <w:t>% respectively (12.5 for mild frailty and 17.3 for moderate frailty), and practice nurses consultations increased by 55</w:t>
      </w:r>
      <w:r w:rsidR="004D35E9">
        <w:rPr>
          <w:rFonts w:ascii="Times New Roman" w:hAnsi="Times New Roman" w:cs="Times New Roman"/>
        </w:rPr>
        <w:t>.2 % and 106.9</w:t>
      </w:r>
      <w:r w:rsidR="00487694">
        <w:rPr>
          <w:rFonts w:ascii="Times New Roman" w:hAnsi="Times New Roman" w:cs="Times New Roman"/>
        </w:rPr>
        <w:t xml:space="preserve">% respectively (4.5 for mild frailty and 6.0 for moderate frailty). </w:t>
      </w:r>
    </w:p>
    <w:p w14:paraId="352C4862" w14:textId="03E669BC" w:rsidR="009504A1" w:rsidRDefault="007628B1" w:rsidP="0001580D">
      <w:pPr>
        <w:jc w:val="both"/>
        <w:rPr>
          <w:rFonts w:ascii="Times New Roman" w:hAnsi="Times New Roman" w:cs="Times New Roman"/>
        </w:rPr>
        <w:sectPr w:rsidR="009504A1">
          <w:pgSz w:w="11906" w:h="16838"/>
          <w:pgMar w:top="1440" w:right="1440" w:bottom="1440" w:left="1440" w:header="708" w:footer="708" w:gutter="0"/>
          <w:cols w:space="708"/>
          <w:docGrid w:linePitch="360"/>
        </w:sectPr>
      </w:pPr>
      <w:r>
        <w:rPr>
          <w:rFonts w:ascii="Times New Roman" w:hAnsi="Times New Roman" w:cs="Times New Roman"/>
        </w:rPr>
        <w:t xml:space="preserve">Hospital </w:t>
      </w:r>
      <w:r w:rsidR="00EC7510">
        <w:rPr>
          <w:rFonts w:ascii="Times New Roman" w:hAnsi="Times New Roman" w:cs="Times New Roman"/>
        </w:rPr>
        <w:t>admissions</w:t>
      </w:r>
      <w:r>
        <w:rPr>
          <w:rFonts w:ascii="Times New Roman" w:hAnsi="Times New Roman" w:cs="Times New Roman"/>
        </w:rPr>
        <w:t xml:space="preserve"> also</w:t>
      </w:r>
      <w:r w:rsidR="0024445C">
        <w:rPr>
          <w:rFonts w:ascii="Times New Roman" w:hAnsi="Times New Roman" w:cs="Times New Roman"/>
        </w:rPr>
        <w:t xml:space="preserve"> </w:t>
      </w:r>
      <w:r w:rsidR="00AE6C07">
        <w:rPr>
          <w:rFonts w:ascii="Times New Roman" w:hAnsi="Times New Roman" w:cs="Times New Roman"/>
        </w:rPr>
        <w:t>increas</w:t>
      </w:r>
      <w:r>
        <w:rPr>
          <w:rFonts w:ascii="Times New Roman" w:hAnsi="Times New Roman" w:cs="Times New Roman"/>
        </w:rPr>
        <w:t xml:space="preserve">ed with </w:t>
      </w:r>
      <w:r w:rsidR="00AE6C07">
        <w:rPr>
          <w:rFonts w:ascii="Times New Roman" w:hAnsi="Times New Roman" w:cs="Times New Roman"/>
        </w:rPr>
        <w:t>frailty</w:t>
      </w:r>
      <w:r w:rsidR="0024445C">
        <w:rPr>
          <w:rFonts w:ascii="Times New Roman" w:hAnsi="Times New Roman" w:cs="Times New Roman"/>
        </w:rPr>
        <w:t xml:space="preserve">. </w:t>
      </w:r>
      <w:bookmarkStart w:id="2" w:name="OLE_LINK4"/>
      <w:r w:rsidR="009504A1">
        <w:rPr>
          <w:rFonts w:ascii="Times New Roman" w:hAnsi="Times New Roman" w:cs="Times New Roman"/>
        </w:rPr>
        <w:t xml:space="preserve">Compared to </w:t>
      </w:r>
      <w:r w:rsidR="00F578B5">
        <w:rPr>
          <w:rFonts w:ascii="Times New Roman" w:hAnsi="Times New Roman" w:cs="Times New Roman"/>
        </w:rPr>
        <w:t>non-frail</w:t>
      </w:r>
      <w:r w:rsidR="0072329A">
        <w:rPr>
          <w:rFonts w:ascii="Times New Roman" w:hAnsi="Times New Roman" w:cs="Times New Roman"/>
        </w:rPr>
        <w:t xml:space="preserve"> patients</w:t>
      </w:r>
      <w:r w:rsidR="009504A1">
        <w:rPr>
          <w:rFonts w:ascii="Times New Roman" w:hAnsi="Times New Roman" w:cs="Times New Roman"/>
        </w:rPr>
        <w:t>, patients with severe frailty required more emergency admissi</w:t>
      </w:r>
      <w:r w:rsidR="00EC7510">
        <w:rPr>
          <w:rFonts w:ascii="Times New Roman" w:hAnsi="Times New Roman" w:cs="Times New Roman"/>
        </w:rPr>
        <w:t xml:space="preserve">ons (mean 0.1 and 0.7 </w:t>
      </w:r>
      <w:r w:rsidR="0077628B">
        <w:rPr>
          <w:rFonts w:ascii="Times New Roman" w:hAnsi="Times New Roman" w:cs="Times New Roman"/>
        </w:rPr>
        <w:t>annually</w:t>
      </w:r>
      <w:r w:rsidR="009504A1">
        <w:rPr>
          <w:rFonts w:ascii="Times New Roman" w:hAnsi="Times New Roman" w:cs="Times New Roman"/>
        </w:rPr>
        <w:t xml:space="preserve"> respectively), more inpatient bed days following emergency admission (mean 1.0 and 7.8 respectively), and more elective admissions (0.</w:t>
      </w:r>
      <w:r w:rsidR="0001580D">
        <w:rPr>
          <w:rFonts w:ascii="Times New Roman" w:hAnsi="Times New Roman" w:cs="Times New Roman"/>
        </w:rPr>
        <w:t>3</w:t>
      </w:r>
      <w:r w:rsidR="009504A1">
        <w:rPr>
          <w:rFonts w:ascii="Times New Roman" w:hAnsi="Times New Roman" w:cs="Times New Roman"/>
        </w:rPr>
        <w:t xml:space="preserve"> and 0.</w:t>
      </w:r>
      <w:r w:rsidR="0001580D">
        <w:rPr>
          <w:rFonts w:ascii="Times New Roman" w:hAnsi="Times New Roman" w:cs="Times New Roman"/>
        </w:rPr>
        <w:t>7</w:t>
      </w:r>
      <w:r w:rsidR="009504A1">
        <w:rPr>
          <w:rFonts w:ascii="Times New Roman" w:hAnsi="Times New Roman" w:cs="Times New Roman"/>
        </w:rPr>
        <w:t xml:space="preserve"> </w:t>
      </w:r>
      <w:r w:rsidR="0077628B">
        <w:rPr>
          <w:rFonts w:ascii="Times New Roman" w:hAnsi="Times New Roman" w:cs="Times New Roman"/>
        </w:rPr>
        <w:t>annually</w:t>
      </w:r>
      <w:r w:rsidR="009504A1">
        <w:rPr>
          <w:rFonts w:ascii="Times New Roman" w:hAnsi="Times New Roman" w:cs="Times New Roman"/>
        </w:rPr>
        <w:t xml:space="preserve"> respectively). </w:t>
      </w:r>
    </w:p>
    <w:bookmarkEnd w:id="2"/>
    <w:p w14:paraId="6F43075B" w14:textId="77777777" w:rsidR="004B7F7C" w:rsidRDefault="004B7F7C" w:rsidP="00367D35">
      <w:pPr>
        <w:pStyle w:val="Caption"/>
        <w:keepNext/>
        <w:rPr>
          <w:rFonts w:ascii="Times New Roman" w:hAnsi="Times New Roman" w:cs="Times New Roman"/>
        </w:rPr>
      </w:pPr>
    </w:p>
    <w:p w14:paraId="0B8C6823" w14:textId="37059B9E" w:rsidR="00F14548" w:rsidRDefault="00367D35" w:rsidP="00367D35">
      <w:pPr>
        <w:pStyle w:val="Caption"/>
        <w:keepNext/>
        <w:rPr>
          <w:rFonts w:ascii="Times New Roman" w:hAnsi="Times New Roman" w:cs="Times New Roman"/>
        </w:rPr>
      </w:pPr>
      <w:r w:rsidRPr="00367D35">
        <w:rPr>
          <w:rFonts w:ascii="Times New Roman" w:hAnsi="Times New Roman" w:cs="Times New Roman"/>
        </w:rPr>
        <w:t xml:space="preserve">Table </w:t>
      </w:r>
      <w:r w:rsidRPr="00367D35">
        <w:rPr>
          <w:rFonts w:ascii="Times New Roman" w:hAnsi="Times New Roman" w:cs="Times New Roman"/>
        </w:rPr>
        <w:fldChar w:fldCharType="begin"/>
      </w:r>
      <w:r w:rsidRPr="00367D35">
        <w:rPr>
          <w:rFonts w:ascii="Times New Roman" w:hAnsi="Times New Roman" w:cs="Times New Roman"/>
        </w:rPr>
        <w:instrText xml:space="preserve"> SEQ Table \* ARABIC </w:instrText>
      </w:r>
      <w:r w:rsidRPr="00367D35">
        <w:rPr>
          <w:rFonts w:ascii="Times New Roman" w:hAnsi="Times New Roman" w:cs="Times New Roman"/>
        </w:rPr>
        <w:fldChar w:fldCharType="separate"/>
      </w:r>
      <w:r w:rsidR="00701681">
        <w:rPr>
          <w:rFonts w:ascii="Times New Roman" w:hAnsi="Times New Roman" w:cs="Times New Roman"/>
          <w:noProof/>
        </w:rPr>
        <w:t>1</w:t>
      </w:r>
      <w:r w:rsidRPr="00367D35">
        <w:rPr>
          <w:rFonts w:ascii="Times New Roman" w:hAnsi="Times New Roman" w:cs="Times New Roman"/>
        </w:rPr>
        <w:fldChar w:fldCharType="end"/>
      </w:r>
      <w:r w:rsidRPr="00367D35">
        <w:rPr>
          <w:rFonts w:ascii="Times New Roman" w:hAnsi="Times New Roman" w:cs="Times New Roman"/>
        </w:rPr>
        <w:t xml:space="preserve"> Descriptive statistics 2003/04 - 2013/14</w:t>
      </w:r>
    </w:p>
    <w:tbl>
      <w:tblPr>
        <w:tblW w:w="12340" w:type="dxa"/>
        <w:tblLook w:val="04A0" w:firstRow="1" w:lastRow="0" w:firstColumn="1" w:lastColumn="0" w:noHBand="0" w:noVBand="1"/>
      </w:tblPr>
      <w:tblGrid>
        <w:gridCol w:w="3620"/>
        <w:gridCol w:w="2180"/>
        <w:gridCol w:w="2180"/>
        <w:gridCol w:w="2180"/>
        <w:gridCol w:w="2180"/>
      </w:tblGrid>
      <w:tr w:rsidR="00F14548" w:rsidRPr="00F14548" w14:paraId="38A07783" w14:textId="3FAA72B6" w:rsidTr="00F14548">
        <w:trPr>
          <w:trHeight w:val="300"/>
        </w:trPr>
        <w:tc>
          <w:tcPr>
            <w:tcW w:w="3620" w:type="dxa"/>
            <w:tcBorders>
              <w:top w:val="single" w:sz="4" w:space="0" w:color="auto"/>
              <w:left w:val="nil"/>
              <w:bottom w:val="nil"/>
              <w:right w:val="nil"/>
            </w:tcBorders>
            <w:shd w:val="clear" w:color="auto" w:fill="auto"/>
            <w:noWrap/>
            <w:vAlign w:val="bottom"/>
            <w:hideMark/>
          </w:tcPr>
          <w:p w14:paraId="2A3CFF3A" w14:textId="789BD4C2" w:rsidR="00F14548" w:rsidRPr="00F14548" w:rsidRDefault="00F14548" w:rsidP="00F14548">
            <w:pPr>
              <w:spacing w:after="0" w:line="240" w:lineRule="auto"/>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 </w:t>
            </w:r>
          </w:p>
        </w:tc>
        <w:tc>
          <w:tcPr>
            <w:tcW w:w="2180" w:type="dxa"/>
            <w:tcBorders>
              <w:top w:val="single" w:sz="4" w:space="0" w:color="auto"/>
              <w:left w:val="nil"/>
              <w:bottom w:val="nil"/>
              <w:right w:val="nil"/>
            </w:tcBorders>
            <w:shd w:val="clear" w:color="auto" w:fill="auto"/>
            <w:noWrap/>
            <w:vAlign w:val="bottom"/>
            <w:hideMark/>
          </w:tcPr>
          <w:p w14:paraId="011827EB" w14:textId="224F1F14" w:rsidR="00F14548" w:rsidRPr="00F14548" w:rsidRDefault="00852DE0" w:rsidP="00F14548">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Non frail</w:t>
            </w:r>
          </w:p>
        </w:tc>
        <w:tc>
          <w:tcPr>
            <w:tcW w:w="2180" w:type="dxa"/>
            <w:tcBorders>
              <w:top w:val="single" w:sz="4" w:space="0" w:color="auto"/>
              <w:left w:val="nil"/>
              <w:bottom w:val="nil"/>
              <w:right w:val="nil"/>
            </w:tcBorders>
            <w:shd w:val="clear" w:color="auto" w:fill="auto"/>
            <w:noWrap/>
            <w:vAlign w:val="bottom"/>
            <w:hideMark/>
          </w:tcPr>
          <w:p w14:paraId="16C01FAA" w14:textId="44BD6CF9" w:rsidR="00F14548" w:rsidRPr="00F14548" w:rsidRDefault="00F14548" w:rsidP="00F14548">
            <w:pPr>
              <w:spacing w:after="0" w:line="240" w:lineRule="auto"/>
              <w:jc w:val="center"/>
              <w:rPr>
                <w:rFonts w:ascii="Times New Roman" w:eastAsia="Times New Roman" w:hAnsi="Times New Roman" w:cs="Times New Roman"/>
                <w:b/>
                <w:bCs/>
                <w:color w:val="000000"/>
                <w:sz w:val="18"/>
                <w:szCs w:val="18"/>
              </w:rPr>
            </w:pPr>
            <w:r w:rsidRPr="00F14548">
              <w:rPr>
                <w:rFonts w:ascii="Times New Roman" w:eastAsia="Times New Roman" w:hAnsi="Times New Roman" w:cs="Times New Roman"/>
                <w:b/>
                <w:bCs/>
                <w:color w:val="000000"/>
                <w:sz w:val="18"/>
                <w:szCs w:val="18"/>
              </w:rPr>
              <w:t>Mild frailty</w:t>
            </w:r>
          </w:p>
        </w:tc>
        <w:tc>
          <w:tcPr>
            <w:tcW w:w="2180" w:type="dxa"/>
            <w:tcBorders>
              <w:top w:val="single" w:sz="4" w:space="0" w:color="auto"/>
              <w:left w:val="nil"/>
              <w:bottom w:val="nil"/>
              <w:right w:val="nil"/>
            </w:tcBorders>
            <w:shd w:val="clear" w:color="auto" w:fill="auto"/>
            <w:noWrap/>
            <w:vAlign w:val="bottom"/>
            <w:hideMark/>
          </w:tcPr>
          <w:p w14:paraId="638B8690" w14:textId="535F6AA7" w:rsidR="00F14548" w:rsidRPr="00F14548" w:rsidRDefault="00F14548" w:rsidP="00F14548">
            <w:pPr>
              <w:spacing w:after="0" w:line="240" w:lineRule="auto"/>
              <w:jc w:val="center"/>
              <w:rPr>
                <w:rFonts w:ascii="Times New Roman" w:eastAsia="Times New Roman" w:hAnsi="Times New Roman" w:cs="Times New Roman"/>
                <w:b/>
                <w:bCs/>
                <w:color w:val="000000"/>
                <w:sz w:val="18"/>
                <w:szCs w:val="18"/>
              </w:rPr>
            </w:pPr>
            <w:r w:rsidRPr="00F14548">
              <w:rPr>
                <w:rFonts w:ascii="Times New Roman" w:eastAsia="Times New Roman" w:hAnsi="Times New Roman" w:cs="Times New Roman"/>
                <w:b/>
                <w:bCs/>
                <w:color w:val="000000"/>
                <w:sz w:val="18"/>
                <w:szCs w:val="18"/>
              </w:rPr>
              <w:t>Moderate frailty</w:t>
            </w:r>
          </w:p>
        </w:tc>
        <w:tc>
          <w:tcPr>
            <w:tcW w:w="2180" w:type="dxa"/>
            <w:tcBorders>
              <w:top w:val="single" w:sz="4" w:space="0" w:color="auto"/>
              <w:left w:val="nil"/>
              <w:bottom w:val="nil"/>
              <w:right w:val="nil"/>
            </w:tcBorders>
            <w:shd w:val="clear" w:color="auto" w:fill="auto"/>
            <w:noWrap/>
            <w:vAlign w:val="bottom"/>
            <w:hideMark/>
          </w:tcPr>
          <w:p w14:paraId="7AB6246E" w14:textId="14F2BF88" w:rsidR="00F14548" w:rsidRPr="00F14548" w:rsidRDefault="00F14548" w:rsidP="00F14548">
            <w:pPr>
              <w:spacing w:after="0" w:line="240" w:lineRule="auto"/>
              <w:jc w:val="center"/>
              <w:rPr>
                <w:rFonts w:ascii="Times New Roman" w:eastAsia="Times New Roman" w:hAnsi="Times New Roman" w:cs="Times New Roman"/>
                <w:b/>
                <w:bCs/>
                <w:color w:val="000000"/>
                <w:sz w:val="18"/>
                <w:szCs w:val="18"/>
              </w:rPr>
            </w:pPr>
            <w:r w:rsidRPr="00F14548">
              <w:rPr>
                <w:rFonts w:ascii="Times New Roman" w:eastAsia="Times New Roman" w:hAnsi="Times New Roman" w:cs="Times New Roman"/>
                <w:b/>
                <w:bCs/>
                <w:color w:val="000000"/>
                <w:sz w:val="18"/>
                <w:szCs w:val="18"/>
              </w:rPr>
              <w:t>Severe frailty</w:t>
            </w:r>
          </w:p>
        </w:tc>
      </w:tr>
      <w:tr w:rsidR="00F14548" w:rsidRPr="00F14548" w14:paraId="5E75D9A4" w14:textId="11F1A220" w:rsidTr="00F14548">
        <w:trPr>
          <w:trHeight w:val="300"/>
        </w:trPr>
        <w:tc>
          <w:tcPr>
            <w:tcW w:w="3620" w:type="dxa"/>
            <w:tcBorders>
              <w:top w:val="nil"/>
              <w:left w:val="nil"/>
              <w:bottom w:val="single" w:sz="4" w:space="0" w:color="auto"/>
              <w:right w:val="nil"/>
            </w:tcBorders>
            <w:shd w:val="clear" w:color="auto" w:fill="auto"/>
            <w:noWrap/>
            <w:vAlign w:val="bottom"/>
            <w:hideMark/>
          </w:tcPr>
          <w:p w14:paraId="7F15B7A0" w14:textId="4FD1FCDD" w:rsidR="00F14548" w:rsidRPr="00F14548" w:rsidRDefault="00F14548" w:rsidP="00F14548">
            <w:pPr>
              <w:spacing w:after="0" w:line="240" w:lineRule="auto"/>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 </w:t>
            </w:r>
          </w:p>
        </w:tc>
        <w:tc>
          <w:tcPr>
            <w:tcW w:w="2180" w:type="dxa"/>
            <w:tcBorders>
              <w:top w:val="nil"/>
              <w:left w:val="nil"/>
              <w:bottom w:val="single" w:sz="4" w:space="0" w:color="auto"/>
              <w:right w:val="nil"/>
            </w:tcBorders>
            <w:shd w:val="clear" w:color="auto" w:fill="auto"/>
            <w:noWrap/>
            <w:vAlign w:val="bottom"/>
            <w:hideMark/>
          </w:tcPr>
          <w:p w14:paraId="7F32698F" w14:textId="04A20FC0"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 </w:t>
            </w:r>
          </w:p>
        </w:tc>
        <w:tc>
          <w:tcPr>
            <w:tcW w:w="2180" w:type="dxa"/>
            <w:tcBorders>
              <w:top w:val="nil"/>
              <w:left w:val="nil"/>
              <w:bottom w:val="single" w:sz="4" w:space="0" w:color="auto"/>
              <w:right w:val="nil"/>
            </w:tcBorders>
            <w:shd w:val="clear" w:color="auto" w:fill="auto"/>
            <w:noWrap/>
            <w:vAlign w:val="bottom"/>
            <w:hideMark/>
          </w:tcPr>
          <w:p w14:paraId="4C089DA4" w14:textId="18B292A9"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 </w:t>
            </w:r>
          </w:p>
        </w:tc>
        <w:tc>
          <w:tcPr>
            <w:tcW w:w="2180" w:type="dxa"/>
            <w:tcBorders>
              <w:top w:val="nil"/>
              <w:left w:val="nil"/>
              <w:bottom w:val="single" w:sz="4" w:space="0" w:color="auto"/>
              <w:right w:val="nil"/>
            </w:tcBorders>
            <w:shd w:val="clear" w:color="auto" w:fill="auto"/>
            <w:noWrap/>
            <w:vAlign w:val="bottom"/>
            <w:hideMark/>
          </w:tcPr>
          <w:p w14:paraId="01947ED0" w14:textId="47EEE982"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 </w:t>
            </w:r>
          </w:p>
        </w:tc>
        <w:tc>
          <w:tcPr>
            <w:tcW w:w="2180" w:type="dxa"/>
            <w:tcBorders>
              <w:top w:val="nil"/>
              <w:left w:val="nil"/>
              <w:bottom w:val="single" w:sz="4" w:space="0" w:color="auto"/>
              <w:right w:val="nil"/>
            </w:tcBorders>
            <w:shd w:val="clear" w:color="auto" w:fill="auto"/>
            <w:noWrap/>
            <w:vAlign w:val="bottom"/>
            <w:hideMark/>
          </w:tcPr>
          <w:p w14:paraId="38D1AA0F" w14:textId="74B2FF1B"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 </w:t>
            </w:r>
          </w:p>
        </w:tc>
      </w:tr>
      <w:tr w:rsidR="00F14548" w:rsidRPr="00F14548" w14:paraId="3E490BC3" w14:textId="383C5849" w:rsidTr="00F14548">
        <w:trPr>
          <w:trHeight w:val="300"/>
        </w:trPr>
        <w:tc>
          <w:tcPr>
            <w:tcW w:w="3620" w:type="dxa"/>
            <w:tcBorders>
              <w:top w:val="nil"/>
              <w:left w:val="nil"/>
              <w:bottom w:val="nil"/>
              <w:right w:val="nil"/>
            </w:tcBorders>
            <w:shd w:val="clear" w:color="auto" w:fill="auto"/>
            <w:noWrap/>
            <w:vAlign w:val="bottom"/>
            <w:hideMark/>
          </w:tcPr>
          <w:p w14:paraId="6A2B45DD" w14:textId="7DE56E14"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p>
        </w:tc>
        <w:tc>
          <w:tcPr>
            <w:tcW w:w="2180" w:type="dxa"/>
            <w:tcBorders>
              <w:top w:val="nil"/>
              <w:left w:val="nil"/>
              <w:bottom w:val="nil"/>
              <w:right w:val="nil"/>
            </w:tcBorders>
            <w:shd w:val="clear" w:color="auto" w:fill="auto"/>
            <w:noWrap/>
            <w:vAlign w:val="bottom"/>
            <w:hideMark/>
          </w:tcPr>
          <w:p w14:paraId="19240E99" w14:textId="65BCE7E7" w:rsidR="00F14548" w:rsidRPr="00F14548" w:rsidRDefault="00F14548" w:rsidP="00F14548">
            <w:pPr>
              <w:spacing w:after="0" w:line="240" w:lineRule="auto"/>
              <w:rPr>
                <w:rFonts w:ascii="Times New Roman" w:eastAsia="Times New Roman" w:hAnsi="Times New Roman" w:cs="Times New Roman"/>
                <w:sz w:val="18"/>
                <w:szCs w:val="18"/>
              </w:rPr>
            </w:pPr>
          </w:p>
        </w:tc>
        <w:tc>
          <w:tcPr>
            <w:tcW w:w="2180" w:type="dxa"/>
            <w:tcBorders>
              <w:top w:val="nil"/>
              <w:left w:val="nil"/>
              <w:bottom w:val="nil"/>
              <w:right w:val="nil"/>
            </w:tcBorders>
            <w:shd w:val="clear" w:color="auto" w:fill="auto"/>
            <w:noWrap/>
            <w:vAlign w:val="bottom"/>
            <w:hideMark/>
          </w:tcPr>
          <w:p w14:paraId="1750B8DC" w14:textId="1B1985D3" w:rsidR="00F14548" w:rsidRPr="00F14548" w:rsidRDefault="00F14548" w:rsidP="00F14548">
            <w:pPr>
              <w:spacing w:after="0" w:line="240" w:lineRule="auto"/>
              <w:rPr>
                <w:rFonts w:ascii="Times New Roman" w:eastAsia="Times New Roman" w:hAnsi="Times New Roman" w:cs="Times New Roman"/>
                <w:sz w:val="18"/>
                <w:szCs w:val="18"/>
              </w:rPr>
            </w:pPr>
          </w:p>
        </w:tc>
        <w:tc>
          <w:tcPr>
            <w:tcW w:w="2180" w:type="dxa"/>
            <w:tcBorders>
              <w:top w:val="nil"/>
              <w:left w:val="nil"/>
              <w:bottom w:val="nil"/>
              <w:right w:val="nil"/>
            </w:tcBorders>
            <w:shd w:val="clear" w:color="auto" w:fill="auto"/>
            <w:noWrap/>
            <w:vAlign w:val="bottom"/>
            <w:hideMark/>
          </w:tcPr>
          <w:p w14:paraId="0ED08905" w14:textId="3D2FC1A0" w:rsidR="00F14548" w:rsidRPr="00F14548" w:rsidRDefault="00F14548" w:rsidP="00F14548">
            <w:pPr>
              <w:spacing w:after="0" w:line="240" w:lineRule="auto"/>
              <w:rPr>
                <w:rFonts w:ascii="Times New Roman" w:eastAsia="Times New Roman" w:hAnsi="Times New Roman" w:cs="Times New Roman"/>
                <w:sz w:val="18"/>
                <w:szCs w:val="18"/>
              </w:rPr>
            </w:pPr>
          </w:p>
        </w:tc>
        <w:tc>
          <w:tcPr>
            <w:tcW w:w="2180" w:type="dxa"/>
            <w:tcBorders>
              <w:top w:val="nil"/>
              <w:left w:val="nil"/>
              <w:bottom w:val="nil"/>
              <w:right w:val="nil"/>
            </w:tcBorders>
            <w:shd w:val="clear" w:color="auto" w:fill="auto"/>
            <w:noWrap/>
            <w:vAlign w:val="bottom"/>
            <w:hideMark/>
          </w:tcPr>
          <w:p w14:paraId="71254806" w14:textId="6C23E606" w:rsidR="00F14548" w:rsidRPr="00F14548" w:rsidRDefault="00F14548" w:rsidP="00F14548">
            <w:pPr>
              <w:spacing w:after="0" w:line="240" w:lineRule="auto"/>
              <w:rPr>
                <w:rFonts w:ascii="Times New Roman" w:eastAsia="Times New Roman" w:hAnsi="Times New Roman" w:cs="Times New Roman"/>
                <w:sz w:val="18"/>
                <w:szCs w:val="18"/>
              </w:rPr>
            </w:pPr>
          </w:p>
        </w:tc>
      </w:tr>
      <w:tr w:rsidR="00F14548" w:rsidRPr="00F14548" w14:paraId="59B8CA69" w14:textId="75E2D023" w:rsidTr="00F14548">
        <w:trPr>
          <w:trHeight w:val="300"/>
        </w:trPr>
        <w:tc>
          <w:tcPr>
            <w:tcW w:w="3620" w:type="dxa"/>
            <w:tcBorders>
              <w:top w:val="nil"/>
              <w:left w:val="nil"/>
              <w:bottom w:val="nil"/>
              <w:right w:val="nil"/>
            </w:tcBorders>
            <w:shd w:val="clear" w:color="auto" w:fill="auto"/>
            <w:noWrap/>
            <w:vAlign w:val="bottom"/>
            <w:hideMark/>
          </w:tcPr>
          <w:p w14:paraId="1354FBCE" w14:textId="55312AD2" w:rsidR="00F14548" w:rsidRPr="00F14548" w:rsidRDefault="00F14548" w:rsidP="00F14548">
            <w:pPr>
              <w:spacing w:after="0" w:line="240" w:lineRule="auto"/>
              <w:rPr>
                <w:rFonts w:ascii="Times New Roman" w:eastAsia="Times New Roman" w:hAnsi="Times New Roman" w:cs="Times New Roman"/>
                <w:b/>
                <w:bCs/>
                <w:color w:val="000000"/>
                <w:sz w:val="18"/>
                <w:szCs w:val="18"/>
              </w:rPr>
            </w:pPr>
            <w:r w:rsidRPr="00F14548">
              <w:rPr>
                <w:rFonts w:ascii="Times New Roman" w:eastAsia="Times New Roman" w:hAnsi="Times New Roman" w:cs="Times New Roman"/>
                <w:b/>
                <w:bCs/>
                <w:color w:val="000000"/>
                <w:sz w:val="18"/>
                <w:szCs w:val="18"/>
              </w:rPr>
              <w:t>Observation, n (%)</w:t>
            </w:r>
          </w:p>
        </w:tc>
        <w:tc>
          <w:tcPr>
            <w:tcW w:w="2180" w:type="dxa"/>
            <w:tcBorders>
              <w:top w:val="nil"/>
              <w:left w:val="nil"/>
              <w:bottom w:val="nil"/>
              <w:right w:val="nil"/>
            </w:tcBorders>
            <w:shd w:val="clear" w:color="auto" w:fill="auto"/>
            <w:noWrap/>
            <w:vAlign w:val="bottom"/>
            <w:hideMark/>
          </w:tcPr>
          <w:p w14:paraId="3E4CB7A5" w14:textId="142D0514"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245,294 (43.33%)</w:t>
            </w:r>
          </w:p>
        </w:tc>
        <w:tc>
          <w:tcPr>
            <w:tcW w:w="2180" w:type="dxa"/>
            <w:tcBorders>
              <w:top w:val="nil"/>
              <w:left w:val="nil"/>
              <w:bottom w:val="nil"/>
              <w:right w:val="nil"/>
            </w:tcBorders>
            <w:shd w:val="clear" w:color="auto" w:fill="auto"/>
            <w:noWrap/>
            <w:vAlign w:val="bottom"/>
            <w:hideMark/>
          </w:tcPr>
          <w:p w14:paraId="202E1C6B" w14:textId="12672C4E"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216,354 (38.22%)</w:t>
            </w:r>
          </w:p>
        </w:tc>
        <w:tc>
          <w:tcPr>
            <w:tcW w:w="2180" w:type="dxa"/>
            <w:tcBorders>
              <w:top w:val="nil"/>
              <w:left w:val="nil"/>
              <w:bottom w:val="nil"/>
              <w:right w:val="nil"/>
            </w:tcBorders>
            <w:shd w:val="clear" w:color="auto" w:fill="auto"/>
            <w:noWrap/>
            <w:vAlign w:val="bottom"/>
            <w:hideMark/>
          </w:tcPr>
          <w:p w14:paraId="240508CB" w14:textId="030C8DB0"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82,187 (14.52%)</w:t>
            </w:r>
          </w:p>
        </w:tc>
        <w:tc>
          <w:tcPr>
            <w:tcW w:w="2180" w:type="dxa"/>
            <w:tcBorders>
              <w:top w:val="nil"/>
              <w:left w:val="nil"/>
              <w:bottom w:val="nil"/>
              <w:right w:val="nil"/>
            </w:tcBorders>
            <w:shd w:val="clear" w:color="auto" w:fill="auto"/>
            <w:noWrap/>
            <w:vAlign w:val="bottom"/>
            <w:hideMark/>
          </w:tcPr>
          <w:p w14:paraId="702F1801" w14:textId="22000594"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22,266 (3.93%)</w:t>
            </w:r>
          </w:p>
        </w:tc>
      </w:tr>
      <w:tr w:rsidR="00F14548" w:rsidRPr="00F14548" w14:paraId="0D0A30AC" w14:textId="3A094365" w:rsidTr="00F14548">
        <w:trPr>
          <w:trHeight w:val="300"/>
        </w:trPr>
        <w:tc>
          <w:tcPr>
            <w:tcW w:w="3620" w:type="dxa"/>
            <w:tcBorders>
              <w:top w:val="nil"/>
              <w:left w:val="nil"/>
              <w:bottom w:val="nil"/>
              <w:right w:val="nil"/>
            </w:tcBorders>
            <w:shd w:val="clear" w:color="auto" w:fill="auto"/>
            <w:noWrap/>
            <w:vAlign w:val="bottom"/>
            <w:hideMark/>
          </w:tcPr>
          <w:p w14:paraId="2139F54A" w14:textId="546B5001" w:rsidR="00F14548" w:rsidRPr="00F14548" w:rsidRDefault="00F14548" w:rsidP="00F14548">
            <w:pPr>
              <w:spacing w:after="0" w:line="240" w:lineRule="auto"/>
              <w:rPr>
                <w:rFonts w:ascii="Times New Roman" w:eastAsia="Times New Roman" w:hAnsi="Times New Roman" w:cs="Times New Roman"/>
                <w:b/>
                <w:bCs/>
                <w:color w:val="000000"/>
                <w:sz w:val="18"/>
                <w:szCs w:val="18"/>
              </w:rPr>
            </w:pPr>
            <w:r w:rsidRPr="00F14548">
              <w:rPr>
                <w:rFonts w:ascii="Times New Roman" w:eastAsia="Times New Roman" w:hAnsi="Times New Roman" w:cs="Times New Roman"/>
                <w:b/>
                <w:bCs/>
                <w:color w:val="000000"/>
                <w:sz w:val="18"/>
                <w:szCs w:val="18"/>
              </w:rPr>
              <w:t>Age, mean (SD)</w:t>
            </w:r>
          </w:p>
        </w:tc>
        <w:tc>
          <w:tcPr>
            <w:tcW w:w="2180" w:type="dxa"/>
            <w:tcBorders>
              <w:top w:val="nil"/>
              <w:left w:val="nil"/>
              <w:bottom w:val="nil"/>
              <w:right w:val="nil"/>
            </w:tcBorders>
            <w:shd w:val="clear" w:color="auto" w:fill="auto"/>
            <w:noWrap/>
            <w:vAlign w:val="bottom"/>
            <w:hideMark/>
          </w:tcPr>
          <w:p w14:paraId="4783D4E0" w14:textId="0DD4DB70"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73.02 (6.47)</w:t>
            </w:r>
          </w:p>
        </w:tc>
        <w:tc>
          <w:tcPr>
            <w:tcW w:w="2180" w:type="dxa"/>
            <w:tcBorders>
              <w:top w:val="nil"/>
              <w:left w:val="nil"/>
              <w:bottom w:val="nil"/>
              <w:right w:val="nil"/>
            </w:tcBorders>
            <w:shd w:val="clear" w:color="auto" w:fill="auto"/>
            <w:noWrap/>
            <w:vAlign w:val="bottom"/>
            <w:hideMark/>
          </w:tcPr>
          <w:p w14:paraId="278A69AC" w14:textId="3DF7254C"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76.23 (7.25)</w:t>
            </w:r>
          </w:p>
        </w:tc>
        <w:tc>
          <w:tcPr>
            <w:tcW w:w="2180" w:type="dxa"/>
            <w:tcBorders>
              <w:top w:val="nil"/>
              <w:left w:val="nil"/>
              <w:bottom w:val="nil"/>
              <w:right w:val="nil"/>
            </w:tcBorders>
            <w:shd w:val="clear" w:color="auto" w:fill="auto"/>
            <w:noWrap/>
            <w:vAlign w:val="bottom"/>
            <w:hideMark/>
          </w:tcPr>
          <w:p w14:paraId="0404AC3A" w14:textId="2B718B90"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79.64 (7.38)</w:t>
            </w:r>
          </w:p>
        </w:tc>
        <w:tc>
          <w:tcPr>
            <w:tcW w:w="2180" w:type="dxa"/>
            <w:tcBorders>
              <w:top w:val="nil"/>
              <w:left w:val="nil"/>
              <w:bottom w:val="nil"/>
              <w:right w:val="nil"/>
            </w:tcBorders>
            <w:shd w:val="clear" w:color="auto" w:fill="auto"/>
            <w:noWrap/>
            <w:vAlign w:val="bottom"/>
            <w:hideMark/>
          </w:tcPr>
          <w:p w14:paraId="424FDE26" w14:textId="35A29A61"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82.44 (7.01)</w:t>
            </w:r>
          </w:p>
        </w:tc>
      </w:tr>
      <w:tr w:rsidR="00F14548" w:rsidRPr="00F14548" w14:paraId="40D32F5A" w14:textId="0981EA33" w:rsidTr="00F14548">
        <w:trPr>
          <w:trHeight w:val="300"/>
        </w:trPr>
        <w:tc>
          <w:tcPr>
            <w:tcW w:w="3620" w:type="dxa"/>
            <w:tcBorders>
              <w:top w:val="nil"/>
              <w:left w:val="nil"/>
              <w:bottom w:val="nil"/>
              <w:right w:val="nil"/>
            </w:tcBorders>
            <w:shd w:val="clear" w:color="auto" w:fill="auto"/>
            <w:noWrap/>
            <w:vAlign w:val="bottom"/>
            <w:hideMark/>
          </w:tcPr>
          <w:p w14:paraId="5AF9FA4B" w14:textId="7FFA7F60" w:rsidR="00F14548" w:rsidRPr="00F14548" w:rsidRDefault="00F14548" w:rsidP="00F14548">
            <w:pPr>
              <w:spacing w:after="0" w:line="240" w:lineRule="auto"/>
              <w:rPr>
                <w:rFonts w:ascii="Times New Roman" w:eastAsia="Times New Roman" w:hAnsi="Times New Roman" w:cs="Times New Roman"/>
                <w:b/>
                <w:bCs/>
                <w:color w:val="000000"/>
                <w:sz w:val="18"/>
                <w:szCs w:val="18"/>
              </w:rPr>
            </w:pPr>
            <w:r w:rsidRPr="00F14548">
              <w:rPr>
                <w:rFonts w:ascii="Times New Roman" w:eastAsia="Times New Roman" w:hAnsi="Times New Roman" w:cs="Times New Roman"/>
                <w:b/>
                <w:bCs/>
                <w:color w:val="000000"/>
                <w:sz w:val="18"/>
                <w:szCs w:val="18"/>
              </w:rPr>
              <w:t>Gender, n (%)</w:t>
            </w:r>
          </w:p>
        </w:tc>
        <w:tc>
          <w:tcPr>
            <w:tcW w:w="2180" w:type="dxa"/>
            <w:tcBorders>
              <w:top w:val="nil"/>
              <w:left w:val="nil"/>
              <w:bottom w:val="nil"/>
              <w:right w:val="nil"/>
            </w:tcBorders>
            <w:shd w:val="clear" w:color="auto" w:fill="auto"/>
            <w:noWrap/>
            <w:vAlign w:val="bottom"/>
            <w:hideMark/>
          </w:tcPr>
          <w:p w14:paraId="4303F7D9" w14:textId="47F59523" w:rsidR="00F14548" w:rsidRPr="00F14548" w:rsidRDefault="00F14548" w:rsidP="00F14548">
            <w:pPr>
              <w:spacing w:after="0" w:line="240" w:lineRule="auto"/>
              <w:rPr>
                <w:rFonts w:ascii="Times New Roman" w:eastAsia="Times New Roman" w:hAnsi="Times New Roman" w:cs="Times New Roman"/>
                <w:b/>
                <w:bCs/>
                <w:color w:val="000000"/>
                <w:sz w:val="18"/>
                <w:szCs w:val="18"/>
              </w:rPr>
            </w:pPr>
          </w:p>
        </w:tc>
        <w:tc>
          <w:tcPr>
            <w:tcW w:w="2180" w:type="dxa"/>
            <w:tcBorders>
              <w:top w:val="nil"/>
              <w:left w:val="nil"/>
              <w:bottom w:val="nil"/>
              <w:right w:val="nil"/>
            </w:tcBorders>
            <w:shd w:val="clear" w:color="auto" w:fill="auto"/>
            <w:noWrap/>
            <w:vAlign w:val="bottom"/>
            <w:hideMark/>
          </w:tcPr>
          <w:p w14:paraId="0A480931" w14:textId="336744F2" w:rsidR="00F14548" w:rsidRPr="00F14548" w:rsidRDefault="00F14548" w:rsidP="00F14548">
            <w:pPr>
              <w:spacing w:after="0" w:line="240" w:lineRule="auto"/>
              <w:jc w:val="center"/>
              <w:rPr>
                <w:rFonts w:ascii="Times New Roman" w:eastAsia="Times New Roman" w:hAnsi="Times New Roman" w:cs="Times New Roman"/>
                <w:sz w:val="18"/>
                <w:szCs w:val="18"/>
              </w:rPr>
            </w:pPr>
          </w:p>
        </w:tc>
        <w:tc>
          <w:tcPr>
            <w:tcW w:w="2180" w:type="dxa"/>
            <w:tcBorders>
              <w:top w:val="nil"/>
              <w:left w:val="nil"/>
              <w:bottom w:val="nil"/>
              <w:right w:val="nil"/>
            </w:tcBorders>
            <w:shd w:val="clear" w:color="auto" w:fill="auto"/>
            <w:noWrap/>
            <w:vAlign w:val="bottom"/>
            <w:hideMark/>
          </w:tcPr>
          <w:p w14:paraId="0895499D" w14:textId="1BCCBA9A" w:rsidR="00F14548" w:rsidRPr="00F14548" w:rsidRDefault="00F14548" w:rsidP="00F14548">
            <w:pPr>
              <w:spacing w:after="0" w:line="240" w:lineRule="auto"/>
              <w:jc w:val="center"/>
              <w:rPr>
                <w:rFonts w:ascii="Times New Roman" w:eastAsia="Times New Roman" w:hAnsi="Times New Roman" w:cs="Times New Roman"/>
                <w:sz w:val="18"/>
                <w:szCs w:val="18"/>
              </w:rPr>
            </w:pPr>
          </w:p>
        </w:tc>
        <w:tc>
          <w:tcPr>
            <w:tcW w:w="2180" w:type="dxa"/>
            <w:tcBorders>
              <w:top w:val="nil"/>
              <w:left w:val="nil"/>
              <w:bottom w:val="nil"/>
              <w:right w:val="nil"/>
            </w:tcBorders>
            <w:shd w:val="clear" w:color="auto" w:fill="auto"/>
            <w:noWrap/>
            <w:vAlign w:val="bottom"/>
            <w:hideMark/>
          </w:tcPr>
          <w:p w14:paraId="6235B0F9" w14:textId="181F72C0" w:rsidR="00F14548" w:rsidRPr="00F14548" w:rsidRDefault="00F14548" w:rsidP="00F14548">
            <w:pPr>
              <w:spacing w:after="0" w:line="240" w:lineRule="auto"/>
              <w:jc w:val="center"/>
              <w:rPr>
                <w:rFonts w:ascii="Times New Roman" w:eastAsia="Times New Roman" w:hAnsi="Times New Roman" w:cs="Times New Roman"/>
                <w:sz w:val="18"/>
                <w:szCs w:val="18"/>
              </w:rPr>
            </w:pPr>
          </w:p>
        </w:tc>
      </w:tr>
      <w:tr w:rsidR="00F14548" w:rsidRPr="00F14548" w14:paraId="41268E57" w14:textId="26A2C8C3" w:rsidTr="00F14548">
        <w:trPr>
          <w:trHeight w:val="300"/>
        </w:trPr>
        <w:tc>
          <w:tcPr>
            <w:tcW w:w="3620" w:type="dxa"/>
            <w:tcBorders>
              <w:top w:val="nil"/>
              <w:left w:val="nil"/>
              <w:bottom w:val="nil"/>
              <w:right w:val="nil"/>
            </w:tcBorders>
            <w:shd w:val="clear" w:color="auto" w:fill="auto"/>
            <w:noWrap/>
            <w:vAlign w:val="bottom"/>
            <w:hideMark/>
          </w:tcPr>
          <w:p w14:paraId="00CC62F2" w14:textId="6B6C3F3E" w:rsidR="00F14548" w:rsidRPr="00F14548" w:rsidRDefault="00F14548" w:rsidP="00F14548">
            <w:pPr>
              <w:spacing w:after="0" w:line="240" w:lineRule="auto"/>
              <w:ind w:firstLineChars="100" w:firstLine="180"/>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Male</w:t>
            </w:r>
          </w:p>
        </w:tc>
        <w:tc>
          <w:tcPr>
            <w:tcW w:w="2180" w:type="dxa"/>
            <w:tcBorders>
              <w:top w:val="nil"/>
              <w:left w:val="nil"/>
              <w:bottom w:val="nil"/>
              <w:right w:val="nil"/>
            </w:tcBorders>
            <w:shd w:val="clear" w:color="auto" w:fill="auto"/>
            <w:noWrap/>
            <w:vAlign w:val="bottom"/>
            <w:hideMark/>
          </w:tcPr>
          <w:p w14:paraId="3BFC89D3" w14:textId="02796472"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117,127 (47.75%)</w:t>
            </w:r>
          </w:p>
        </w:tc>
        <w:tc>
          <w:tcPr>
            <w:tcW w:w="2180" w:type="dxa"/>
            <w:tcBorders>
              <w:top w:val="nil"/>
              <w:left w:val="nil"/>
              <w:bottom w:val="nil"/>
              <w:right w:val="nil"/>
            </w:tcBorders>
            <w:shd w:val="clear" w:color="auto" w:fill="auto"/>
            <w:noWrap/>
            <w:vAlign w:val="bottom"/>
            <w:hideMark/>
          </w:tcPr>
          <w:p w14:paraId="62402810" w14:textId="0C13912C"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93,205 (43.08%)</w:t>
            </w:r>
          </w:p>
        </w:tc>
        <w:tc>
          <w:tcPr>
            <w:tcW w:w="2180" w:type="dxa"/>
            <w:tcBorders>
              <w:top w:val="nil"/>
              <w:left w:val="nil"/>
              <w:bottom w:val="nil"/>
              <w:right w:val="nil"/>
            </w:tcBorders>
            <w:shd w:val="clear" w:color="auto" w:fill="auto"/>
            <w:noWrap/>
            <w:vAlign w:val="bottom"/>
            <w:hideMark/>
          </w:tcPr>
          <w:p w14:paraId="524DCCE5" w14:textId="69700AC7"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30,165 (36.70%)</w:t>
            </w:r>
          </w:p>
        </w:tc>
        <w:tc>
          <w:tcPr>
            <w:tcW w:w="2180" w:type="dxa"/>
            <w:tcBorders>
              <w:top w:val="nil"/>
              <w:left w:val="nil"/>
              <w:bottom w:val="nil"/>
              <w:right w:val="nil"/>
            </w:tcBorders>
            <w:shd w:val="clear" w:color="auto" w:fill="auto"/>
            <w:noWrap/>
            <w:vAlign w:val="bottom"/>
            <w:hideMark/>
          </w:tcPr>
          <w:p w14:paraId="0DBA5A4A" w14:textId="4AE0A18F"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6,670 (29.96%)</w:t>
            </w:r>
          </w:p>
        </w:tc>
      </w:tr>
      <w:tr w:rsidR="00F14548" w:rsidRPr="00F14548" w14:paraId="202C6281" w14:textId="52B27C49" w:rsidTr="00F14548">
        <w:trPr>
          <w:trHeight w:val="300"/>
        </w:trPr>
        <w:tc>
          <w:tcPr>
            <w:tcW w:w="3620" w:type="dxa"/>
            <w:tcBorders>
              <w:top w:val="nil"/>
              <w:left w:val="nil"/>
              <w:bottom w:val="nil"/>
              <w:right w:val="nil"/>
            </w:tcBorders>
            <w:shd w:val="clear" w:color="auto" w:fill="auto"/>
            <w:noWrap/>
            <w:vAlign w:val="bottom"/>
            <w:hideMark/>
          </w:tcPr>
          <w:p w14:paraId="7F2F880D" w14:textId="70341DAE" w:rsidR="00F14548" w:rsidRPr="00F14548" w:rsidRDefault="00F14548" w:rsidP="00F14548">
            <w:pPr>
              <w:spacing w:after="0" w:line="240" w:lineRule="auto"/>
              <w:ind w:firstLineChars="100" w:firstLine="180"/>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Female</w:t>
            </w:r>
          </w:p>
        </w:tc>
        <w:tc>
          <w:tcPr>
            <w:tcW w:w="2180" w:type="dxa"/>
            <w:tcBorders>
              <w:top w:val="nil"/>
              <w:left w:val="nil"/>
              <w:bottom w:val="nil"/>
              <w:right w:val="nil"/>
            </w:tcBorders>
            <w:shd w:val="clear" w:color="auto" w:fill="auto"/>
            <w:noWrap/>
            <w:vAlign w:val="bottom"/>
            <w:hideMark/>
          </w:tcPr>
          <w:p w14:paraId="5D8362DE" w14:textId="75F0D43E"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128,167 (52.25%)</w:t>
            </w:r>
          </w:p>
        </w:tc>
        <w:tc>
          <w:tcPr>
            <w:tcW w:w="2180" w:type="dxa"/>
            <w:tcBorders>
              <w:top w:val="nil"/>
              <w:left w:val="nil"/>
              <w:bottom w:val="nil"/>
              <w:right w:val="nil"/>
            </w:tcBorders>
            <w:shd w:val="clear" w:color="auto" w:fill="auto"/>
            <w:noWrap/>
            <w:vAlign w:val="bottom"/>
            <w:hideMark/>
          </w:tcPr>
          <w:p w14:paraId="1474BA24" w14:textId="5020920C"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123,149 (56.92%)</w:t>
            </w:r>
          </w:p>
        </w:tc>
        <w:tc>
          <w:tcPr>
            <w:tcW w:w="2180" w:type="dxa"/>
            <w:tcBorders>
              <w:top w:val="nil"/>
              <w:left w:val="nil"/>
              <w:bottom w:val="nil"/>
              <w:right w:val="nil"/>
            </w:tcBorders>
            <w:shd w:val="clear" w:color="auto" w:fill="auto"/>
            <w:noWrap/>
            <w:vAlign w:val="bottom"/>
            <w:hideMark/>
          </w:tcPr>
          <w:p w14:paraId="5D15A23C" w14:textId="0289621F"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52,022 (63.30%)</w:t>
            </w:r>
          </w:p>
        </w:tc>
        <w:tc>
          <w:tcPr>
            <w:tcW w:w="2180" w:type="dxa"/>
            <w:tcBorders>
              <w:top w:val="nil"/>
              <w:left w:val="nil"/>
              <w:bottom w:val="nil"/>
              <w:right w:val="nil"/>
            </w:tcBorders>
            <w:shd w:val="clear" w:color="auto" w:fill="auto"/>
            <w:noWrap/>
            <w:vAlign w:val="bottom"/>
            <w:hideMark/>
          </w:tcPr>
          <w:p w14:paraId="21FDC99D" w14:textId="0CD7ED2D"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15,596 (70.04%)</w:t>
            </w:r>
          </w:p>
        </w:tc>
      </w:tr>
      <w:tr w:rsidR="00F14548" w:rsidRPr="00F14548" w14:paraId="2DA9342C" w14:textId="0E0BA2A3" w:rsidTr="00F14548">
        <w:trPr>
          <w:trHeight w:val="300"/>
        </w:trPr>
        <w:tc>
          <w:tcPr>
            <w:tcW w:w="3620" w:type="dxa"/>
            <w:tcBorders>
              <w:top w:val="nil"/>
              <w:left w:val="nil"/>
              <w:bottom w:val="nil"/>
              <w:right w:val="nil"/>
            </w:tcBorders>
            <w:shd w:val="clear" w:color="auto" w:fill="auto"/>
            <w:noWrap/>
            <w:vAlign w:val="bottom"/>
            <w:hideMark/>
          </w:tcPr>
          <w:p w14:paraId="61CBB9DD" w14:textId="359214C1" w:rsidR="00F14548" w:rsidRPr="00F14548" w:rsidRDefault="00F14548" w:rsidP="00F14548">
            <w:pPr>
              <w:spacing w:after="0" w:line="240" w:lineRule="auto"/>
              <w:rPr>
                <w:rFonts w:ascii="Times New Roman" w:eastAsia="Times New Roman" w:hAnsi="Times New Roman" w:cs="Times New Roman"/>
                <w:b/>
                <w:bCs/>
                <w:color w:val="000000"/>
                <w:sz w:val="18"/>
                <w:szCs w:val="18"/>
              </w:rPr>
            </w:pPr>
            <w:r w:rsidRPr="00F14548">
              <w:rPr>
                <w:rFonts w:ascii="Times New Roman" w:eastAsia="Times New Roman" w:hAnsi="Times New Roman" w:cs="Times New Roman"/>
                <w:b/>
                <w:bCs/>
                <w:color w:val="000000"/>
                <w:sz w:val="18"/>
                <w:szCs w:val="18"/>
              </w:rPr>
              <w:t>Ethnicity, n (%)</w:t>
            </w:r>
          </w:p>
        </w:tc>
        <w:tc>
          <w:tcPr>
            <w:tcW w:w="2180" w:type="dxa"/>
            <w:tcBorders>
              <w:top w:val="nil"/>
              <w:left w:val="nil"/>
              <w:bottom w:val="nil"/>
              <w:right w:val="nil"/>
            </w:tcBorders>
            <w:shd w:val="clear" w:color="auto" w:fill="auto"/>
            <w:noWrap/>
            <w:vAlign w:val="bottom"/>
            <w:hideMark/>
          </w:tcPr>
          <w:p w14:paraId="5FA64CAB" w14:textId="40330263" w:rsidR="00F14548" w:rsidRPr="00F14548" w:rsidRDefault="00F14548" w:rsidP="00F14548">
            <w:pPr>
              <w:spacing w:after="0" w:line="240" w:lineRule="auto"/>
              <w:rPr>
                <w:rFonts w:ascii="Times New Roman" w:eastAsia="Times New Roman" w:hAnsi="Times New Roman" w:cs="Times New Roman"/>
                <w:b/>
                <w:bCs/>
                <w:color w:val="000000"/>
                <w:sz w:val="18"/>
                <w:szCs w:val="18"/>
              </w:rPr>
            </w:pPr>
          </w:p>
        </w:tc>
        <w:tc>
          <w:tcPr>
            <w:tcW w:w="2180" w:type="dxa"/>
            <w:tcBorders>
              <w:top w:val="nil"/>
              <w:left w:val="nil"/>
              <w:bottom w:val="nil"/>
              <w:right w:val="nil"/>
            </w:tcBorders>
            <w:shd w:val="clear" w:color="auto" w:fill="auto"/>
            <w:noWrap/>
            <w:vAlign w:val="bottom"/>
            <w:hideMark/>
          </w:tcPr>
          <w:p w14:paraId="09D81FDB" w14:textId="7FEF545F" w:rsidR="00F14548" w:rsidRPr="00F14548" w:rsidRDefault="00F14548" w:rsidP="00F14548">
            <w:pPr>
              <w:spacing w:after="0" w:line="240" w:lineRule="auto"/>
              <w:jc w:val="center"/>
              <w:rPr>
                <w:rFonts w:ascii="Times New Roman" w:eastAsia="Times New Roman" w:hAnsi="Times New Roman" w:cs="Times New Roman"/>
                <w:sz w:val="18"/>
                <w:szCs w:val="18"/>
              </w:rPr>
            </w:pPr>
          </w:p>
        </w:tc>
        <w:tc>
          <w:tcPr>
            <w:tcW w:w="2180" w:type="dxa"/>
            <w:tcBorders>
              <w:top w:val="nil"/>
              <w:left w:val="nil"/>
              <w:bottom w:val="nil"/>
              <w:right w:val="nil"/>
            </w:tcBorders>
            <w:shd w:val="clear" w:color="auto" w:fill="auto"/>
            <w:noWrap/>
            <w:vAlign w:val="bottom"/>
            <w:hideMark/>
          </w:tcPr>
          <w:p w14:paraId="434ABEF8" w14:textId="1B84BA7F" w:rsidR="00F14548" w:rsidRPr="00F14548" w:rsidRDefault="00F14548" w:rsidP="00F14548">
            <w:pPr>
              <w:spacing w:after="0" w:line="240" w:lineRule="auto"/>
              <w:jc w:val="center"/>
              <w:rPr>
                <w:rFonts w:ascii="Times New Roman" w:eastAsia="Times New Roman" w:hAnsi="Times New Roman" w:cs="Times New Roman"/>
                <w:sz w:val="18"/>
                <w:szCs w:val="18"/>
              </w:rPr>
            </w:pPr>
          </w:p>
        </w:tc>
        <w:tc>
          <w:tcPr>
            <w:tcW w:w="2180" w:type="dxa"/>
            <w:tcBorders>
              <w:top w:val="nil"/>
              <w:left w:val="nil"/>
              <w:bottom w:val="nil"/>
              <w:right w:val="nil"/>
            </w:tcBorders>
            <w:shd w:val="clear" w:color="auto" w:fill="auto"/>
            <w:noWrap/>
            <w:vAlign w:val="bottom"/>
            <w:hideMark/>
          </w:tcPr>
          <w:p w14:paraId="258D0297" w14:textId="4DF368E3" w:rsidR="00F14548" w:rsidRPr="00F14548" w:rsidRDefault="00F14548" w:rsidP="00F14548">
            <w:pPr>
              <w:spacing w:after="0" w:line="240" w:lineRule="auto"/>
              <w:jc w:val="center"/>
              <w:rPr>
                <w:rFonts w:ascii="Times New Roman" w:eastAsia="Times New Roman" w:hAnsi="Times New Roman" w:cs="Times New Roman"/>
                <w:sz w:val="18"/>
                <w:szCs w:val="18"/>
              </w:rPr>
            </w:pPr>
          </w:p>
        </w:tc>
      </w:tr>
      <w:tr w:rsidR="00F14548" w:rsidRPr="00F14548" w14:paraId="77128C9E" w14:textId="3E1D1B54" w:rsidTr="00F14548">
        <w:trPr>
          <w:trHeight w:val="300"/>
        </w:trPr>
        <w:tc>
          <w:tcPr>
            <w:tcW w:w="3620" w:type="dxa"/>
            <w:tcBorders>
              <w:top w:val="nil"/>
              <w:left w:val="nil"/>
              <w:bottom w:val="nil"/>
              <w:right w:val="nil"/>
            </w:tcBorders>
            <w:shd w:val="clear" w:color="auto" w:fill="auto"/>
            <w:noWrap/>
            <w:vAlign w:val="bottom"/>
            <w:hideMark/>
          </w:tcPr>
          <w:p w14:paraId="4F43433E" w14:textId="48FB4198" w:rsidR="00F14548" w:rsidRPr="00F14548" w:rsidRDefault="00F14548" w:rsidP="00F14548">
            <w:pPr>
              <w:spacing w:after="0" w:line="240" w:lineRule="auto"/>
              <w:ind w:firstLineChars="100" w:firstLine="180"/>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Whi</w:t>
            </w:r>
            <w:r w:rsidR="00003993">
              <w:rPr>
                <w:rFonts w:ascii="Times New Roman" w:eastAsia="Times New Roman" w:hAnsi="Times New Roman" w:cs="Times New Roman"/>
                <w:color w:val="000000"/>
                <w:sz w:val="18"/>
                <w:szCs w:val="18"/>
              </w:rPr>
              <w:t>t</w:t>
            </w:r>
            <w:r w:rsidRPr="00F14548">
              <w:rPr>
                <w:rFonts w:ascii="Times New Roman" w:eastAsia="Times New Roman" w:hAnsi="Times New Roman" w:cs="Times New Roman"/>
                <w:color w:val="000000"/>
                <w:sz w:val="18"/>
                <w:szCs w:val="18"/>
              </w:rPr>
              <w:t>e</w:t>
            </w:r>
          </w:p>
        </w:tc>
        <w:tc>
          <w:tcPr>
            <w:tcW w:w="2180" w:type="dxa"/>
            <w:tcBorders>
              <w:top w:val="nil"/>
              <w:left w:val="nil"/>
              <w:bottom w:val="nil"/>
              <w:right w:val="nil"/>
            </w:tcBorders>
            <w:shd w:val="clear" w:color="auto" w:fill="auto"/>
            <w:noWrap/>
            <w:vAlign w:val="bottom"/>
            <w:hideMark/>
          </w:tcPr>
          <w:p w14:paraId="62777165" w14:textId="43B73D5F"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166,590 (67.91%)</w:t>
            </w:r>
          </w:p>
        </w:tc>
        <w:tc>
          <w:tcPr>
            <w:tcW w:w="2180" w:type="dxa"/>
            <w:tcBorders>
              <w:top w:val="nil"/>
              <w:left w:val="nil"/>
              <w:bottom w:val="nil"/>
              <w:right w:val="nil"/>
            </w:tcBorders>
            <w:shd w:val="clear" w:color="auto" w:fill="auto"/>
            <w:noWrap/>
            <w:vAlign w:val="bottom"/>
            <w:hideMark/>
          </w:tcPr>
          <w:p w14:paraId="1B4621A9" w14:textId="6FE9482F"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150,002 (69.33%)</w:t>
            </w:r>
          </w:p>
        </w:tc>
        <w:tc>
          <w:tcPr>
            <w:tcW w:w="2180" w:type="dxa"/>
            <w:tcBorders>
              <w:top w:val="nil"/>
              <w:left w:val="nil"/>
              <w:bottom w:val="nil"/>
              <w:right w:val="nil"/>
            </w:tcBorders>
            <w:shd w:val="clear" w:color="auto" w:fill="auto"/>
            <w:noWrap/>
            <w:vAlign w:val="bottom"/>
            <w:hideMark/>
          </w:tcPr>
          <w:p w14:paraId="6C860E6F" w14:textId="1DBAF860"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57,004 (69.36%)</w:t>
            </w:r>
          </w:p>
        </w:tc>
        <w:tc>
          <w:tcPr>
            <w:tcW w:w="2180" w:type="dxa"/>
            <w:tcBorders>
              <w:top w:val="nil"/>
              <w:left w:val="nil"/>
              <w:bottom w:val="nil"/>
              <w:right w:val="nil"/>
            </w:tcBorders>
            <w:shd w:val="clear" w:color="auto" w:fill="auto"/>
            <w:noWrap/>
            <w:vAlign w:val="bottom"/>
            <w:hideMark/>
          </w:tcPr>
          <w:p w14:paraId="6DE4A172" w14:textId="64FFA300"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15,519 (69.70%)</w:t>
            </w:r>
          </w:p>
        </w:tc>
      </w:tr>
      <w:tr w:rsidR="00F14548" w:rsidRPr="00F14548" w14:paraId="5064C798" w14:textId="11E725A5" w:rsidTr="00F14548">
        <w:trPr>
          <w:trHeight w:val="300"/>
        </w:trPr>
        <w:tc>
          <w:tcPr>
            <w:tcW w:w="3620" w:type="dxa"/>
            <w:tcBorders>
              <w:top w:val="nil"/>
              <w:left w:val="nil"/>
              <w:bottom w:val="nil"/>
              <w:right w:val="nil"/>
            </w:tcBorders>
            <w:shd w:val="clear" w:color="auto" w:fill="auto"/>
            <w:noWrap/>
            <w:vAlign w:val="bottom"/>
            <w:hideMark/>
          </w:tcPr>
          <w:p w14:paraId="1DA9937E" w14:textId="22006961" w:rsidR="00F14548" w:rsidRPr="00F14548" w:rsidRDefault="00F14548" w:rsidP="00F14548">
            <w:pPr>
              <w:spacing w:after="0" w:line="240" w:lineRule="auto"/>
              <w:ind w:firstLineChars="100" w:firstLine="180"/>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Asian</w:t>
            </w:r>
          </w:p>
        </w:tc>
        <w:tc>
          <w:tcPr>
            <w:tcW w:w="2180" w:type="dxa"/>
            <w:tcBorders>
              <w:top w:val="nil"/>
              <w:left w:val="nil"/>
              <w:bottom w:val="nil"/>
              <w:right w:val="nil"/>
            </w:tcBorders>
            <w:shd w:val="clear" w:color="auto" w:fill="auto"/>
            <w:noWrap/>
            <w:vAlign w:val="bottom"/>
            <w:hideMark/>
          </w:tcPr>
          <w:p w14:paraId="0D8C19A0" w14:textId="562E36C1"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3,620 (1.48%)</w:t>
            </w:r>
          </w:p>
        </w:tc>
        <w:tc>
          <w:tcPr>
            <w:tcW w:w="2180" w:type="dxa"/>
            <w:tcBorders>
              <w:top w:val="nil"/>
              <w:left w:val="nil"/>
              <w:bottom w:val="nil"/>
              <w:right w:val="nil"/>
            </w:tcBorders>
            <w:shd w:val="clear" w:color="auto" w:fill="auto"/>
            <w:noWrap/>
            <w:vAlign w:val="bottom"/>
            <w:hideMark/>
          </w:tcPr>
          <w:p w14:paraId="52BFC23A" w14:textId="40B0C312"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4,008 (1.85%)</w:t>
            </w:r>
          </w:p>
        </w:tc>
        <w:tc>
          <w:tcPr>
            <w:tcW w:w="2180" w:type="dxa"/>
            <w:tcBorders>
              <w:top w:val="nil"/>
              <w:left w:val="nil"/>
              <w:bottom w:val="nil"/>
              <w:right w:val="nil"/>
            </w:tcBorders>
            <w:shd w:val="clear" w:color="auto" w:fill="auto"/>
            <w:noWrap/>
            <w:vAlign w:val="bottom"/>
            <w:hideMark/>
          </w:tcPr>
          <w:p w14:paraId="218B0044" w14:textId="037AB23F"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1,434 (1.74%)</w:t>
            </w:r>
          </w:p>
        </w:tc>
        <w:tc>
          <w:tcPr>
            <w:tcW w:w="2180" w:type="dxa"/>
            <w:tcBorders>
              <w:top w:val="nil"/>
              <w:left w:val="nil"/>
              <w:bottom w:val="nil"/>
              <w:right w:val="nil"/>
            </w:tcBorders>
            <w:shd w:val="clear" w:color="auto" w:fill="auto"/>
            <w:noWrap/>
            <w:vAlign w:val="bottom"/>
            <w:hideMark/>
          </w:tcPr>
          <w:p w14:paraId="6C95F855" w14:textId="5957A1CD"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279 (1.25%)</w:t>
            </w:r>
          </w:p>
        </w:tc>
      </w:tr>
      <w:tr w:rsidR="00F14548" w:rsidRPr="00F14548" w14:paraId="20850E67" w14:textId="39A2B50E" w:rsidTr="00F14548">
        <w:trPr>
          <w:trHeight w:val="300"/>
        </w:trPr>
        <w:tc>
          <w:tcPr>
            <w:tcW w:w="3620" w:type="dxa"/>
            <w:tcBorders>
              <w:top w:val="nil"/>
              <w:left w:val="nil"/>
              <w:bottom w:val="nil"/>
              <w:right w:val="nil"/>
            </w:tcBorders>
            <w:shd w:val="clear" w:color="auto" w:fill="auto"/>
            <w:noWrap/>
            <w:vAlign w:val="bottom"/>
            <w:hideMark/>
          </w:tcPr>
          <w:p w14:paraId="4549EFA8" w14:textId="5534E61A" w:rsidR="00F14548" w:rsidRPr="00F14548" w:rsidRDefault="00F14548" w:rsidP="00F14548">
            <w:pPr>
              <w:spacing w:after="0" w:line="240" w:lineRule="auto"/>
              <w:ind w:firstLineChars="100" w:firstLine="180"/>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Black</w:t>
            </w:r>
          </w:p>
        </w:tc>
        <w:tc>
          <w:tcPr>
            <w:tcW w:w="2180" w:type="dxa"/>
            <w:tcBorders>
              <w:top w:val="nil"/>
              <w:left w:val="nil"/>
              <w:bottom w:val="nil"/>
              <w:right w:val="nil"/>
            </w:tcBorders>
            <w:shd w:val="clear" w:color="auto" w:fill="auto"/>
            <w:noWrap/>
            <w:vAlign w:val="bottom"/>
            <w:hideMark/>
          </w:tcPr>
          <w:p w14:paraId="407BC6EA" w14:textId="7E5E92D7"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2,360 (0.94%)</w:t>
            </w:r>
          </w:p>
        </w:tc>
        <w:tc>
          <w:tcPr>
            <w:tcW w:w="2180" w:type="dxa"/>
            <w:tcBorders>
              <w:top w:val="nil"/>
              <w:left w:val="nil"/>
              <w:bottom w:val="nil"/>
              <w:right w:val="nil"/>
            </w:tcBorders>
            <w:shd w:val="clear" w:color="auto" w:fill="auto"/>
            <w:noWrap/>
            <w:vAlign w:val="bottom"/>
            <w:hideMark/>
          </w:tcPr>
          <w:p w14:paraId="678AD267" w14:textId="25D8855E"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2,209 (1.02%)</w:t>
            </w:r>
          </w:p>
        </w:tc>
        <w:tc>
          <w:tcPr>
            <w:tcW w:w="2180" w:type="dxa"/>
            <w:tcBorders>
              <w:top w:val="nil"/>
              <w:left w:val="nil"/>
              <w:bottom w:val="nil"/>
              <w:right w:val="nil"/>
            </w:tcBorders>
            <w:shd w:val="clear" w:color="auto" w:fill="auto"/>
            <w:noWrap/>
            <w:vAlign w:val="bottom"/>
            <w:hideMark/>
          </w:tcPr>
          <w:p w14:paraId="53B699A0" w14:textId="3AE7124A"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710 (0.86%)</w:t>
            </w:r>
          </w:p>
        </w:tc>
        <w:tc>
          <w:tcPr>
            <w:tcW w:w="2180" w:type="dxa"/>
            <w:tcBorders>
              <w:top w:val="nil"/>
              <w:left w:val="nil"/>
              <w:bottom w:val="nil"/>
              <w:right w:val="nil"/>
            </w:tcBorders>
            <w:shd w:val="clear" w:color="auto" w:fill="auto"/>
            <w:noWrap/>
            <w:vAlign w:val="bottom"/>
            <w:hideMark/>
          </w:tcPr>
          <w:p w14:paraId="1F3071A8" w14:textId="42EA82A4"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158 (0.71%)</w:t>
            </w:r>
          </w:p>
        </w:tc>
      </w:tr>
      <w:tr w:rsidR="00F14548" w:rsidRPr="00F14548" w14:paraId="66E75DBF" w14:textId="6AB95888" w:rsidTr="00F14548">
        <w:trPr>
          <w:trHeight w:val="300"/>
        </w:trPr>
        <w:tc>
          <w:tcPr>
            <w:tcW w:w="3620" w:type="dxa"/>
            <w:tcBorders>
              <w:top w:val="nil"/>
              <w:left w:val="nil"/>
              <w:bottom w:val="nil"/>
              <w:right w:val="nil"/>
            </w:tcBorders>
            <w:shd w:val="clear" w:color="auto" w:fill="auto"/>
            <w:noWrap/>
            <w:vAlign w:val="bottom"/>
            <w:hideMark/>
          </w:tcPr>
          <w:p w14:paraId="2B864D20" w14:textId="120846FD" w:rsidR="00F14548" w:rsidRPr="00F14548" w:rsidRDefault="00F14548" w:rsidP="00F14548">
            <w:pPr>
              <w:spacing w:after="0" w:line="240" w:lineRule="auto"/>
              <w:ind w:firstLineChars="100" w:firstLine="180"/>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Mixed</w:t>
            </w:r>
          </w:p>
        </w:tc>
        <w:tc>
          <w:tcPr>
            <w:tcW w:w="2180" w:type="dxa"/>
            <w:tcBorders>
              <w:top w:val="nil"/>
              <w:left w:val="nil"/>
              <w:bottom w:val="nil"/>
              <w:right w:val="nil"/>
            </w:tcBorders>
            <w:shd w:val="clear" w:color="auto" w:fill="auto"/>
            <w:noWrap/>
            <w:vAlign w:val="bottom"/>
            <w:hideMark/>
          </w:tcPr>
          <w:p w14:paraId="5A4997F2" w14:textId="00B42737"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461 (0.19%)</w:t>
            </w:r>
          </w:p>
        </w:tc>
        <w:tc>
          <w:tcPr>
            <w:tcW w:w="2180" w:type="dxa"/>
            <w:tcBorders>
              <w:top w:val="nil"/>
              <w:left w:val="nil"/>
              <w:bottom w:val="nil"/>
              <w:right w:val="nil"/>
            </w:tcBorders>
            <w:shd w:val="clear" w:color="auto" w:fill="auto"/>
            <w:noWrap/>
            <w:vAlign w:val="bottom"/>
            <w:hideMark/>
          </w:tcPr>
          <w:p w14:paraId="5456F827" w14:textId="3413EDCF"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418 (0.19%)</w:t>
            </w:r>
          </w:p>
        </w:tc>
        <w:tc>
          <w:tcPr>
            <w:tcW w:w="2180" w:type="dxa"/>
            <w:tcBorders>
              <w:top w:val="nil"/>
              <w:left w:val="nil"/>
              <w:bottom w:val="nil"/>
              <w:right w:val="nil"/>
            </w:tcBorders>
            <w:shd w:val="clear" w:color="auto" w:fill="auto"/>
            <w:noWrap/>
            <w:vAlign w:val="bottom"/>
            <w:hideMark/>
          </w:tcPr>
          <w:p w14:paraId="277AD6D2" w14:textId="678FF212"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156 (0.19%)</w:t>
            </w:r>
          </w:p>
        </w:tc>
        <w:tc>
          <w:tcPr>
            <w:tcW w:w="2180" w:type="dxa"/>
            <w:tcBorders>
              <w:top w:val="nil"/>
              <w:left w:val="nil"/>
              <w:bottom w:val="nil"/>
              <w:right w:val="nil"/>
            </w:tcBorders>
            <w:shd w:val="clear" w:color="auto" w:fill="auto"/>
            <w:noWrap/>
            <w:vAlign w:val="bottom"/>
            <w:hideMark/>
          </w:tcPr>
          <w:p w14:paraId="2E900A49" w14:textId="629434C5"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57 (0.26%)</w:t>
            </w:r>
          </w:p>
        </w:tc>
      </w:tr>
      <w:tr w:rsidR="00F14548" w:rsidRPr="00F14548" w14:paraId="1B74FF1D" w14:textId="3BBE717C" w:rsidTr="00F14548">
        <w:trPr>
          <w:trHeight w:val="300"/>
        </w:trPr>
        <w:tc>
          <w:tcPr>
            <w:tcW w:w="3620" w:type="dxa"/>
            <w:tcBorders>
              <w:top w:val="nil"/>
              <w:left w:val="nil"/>
              <w:bottom w:val="nil"/>
              <w:right w:val="nil"/>
            </w:tcBorders>
            <w:shd w:val="clear" w:color="auto" w:fill="auto"/>
            <w:noWrap/>
            <w:vAlign w:val="bottom"/>
            <w:hideMark/>
          </w:tcPr>
          <w:p w14:paraId="55045050" w14:textId="3436E6B3" w:rsidR="00F14548" w:rsidRPr="00F14548" w:rsidRDefault="00F14548" w:rsidP="00F14548">
            <w:pPr>
              <w:spacing w:after="0" w:line="240" w:lineRule="auto"/>
              <w:ind w:firstLineChars="100" w:firstLine="180"/>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Other or not stated</w:t>
            </w:r>
          </w:p>
        </w:tc>
        <w:tc>
          <w:tcPr>
            <w:tcW w:w="2180" w:type="dxa"/>
            <w:tcBorders>
              <w:top w:val="nil"/>
              <w:left w:val="nil"/>
              <w:bottom w:val="nil"/>
              <w:right w:val="nil"/>
            </w:tcBorders>
            <w:shd w:val="clear" w:color="auto" w:fill="auto"/>
            <w:noWrap/>
            <w:vAlign w:val="bottom"/>
            <w:hideMark/>
          </w:tcPr>
          <w:p w14:paraId="2189E46E" w14:textId="79E06CA8"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5,684 (2.32%)</w:t>
            </w:r>
          </w:p>
        </w:tc>
        <w:tc>
          <w:tcPr>
            <w:tcW w:w="2180" w:type="dxa"/>
            <w:tcBorders>
              <w:top w:val="nil"/>
              <w:left w:val="nil"/>
              <w:bottom w:val="nil"/>
              <w:right w:val="nil"/>
            </w:tcBorders>
            <w:shd w:val="clear" w:color="auto" w:fill="auto"/>
            <w:noWrap/>
            <w:vAlign w:val="bottom"/>
            <w:hideMark/>
          </w:tcPr>
          <w:p w14:paraId="420D21DC" w14:textId="1892C8F6"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4,553 (2.10%)</w:t>
            </w:r>
          </w:p>
        </w:tc>
        <w:tc>
          <w:tcPr>
            <w:tcW w:w="2180" w:type="dxa"/>
            <w:tcBorders>
              <w:top w:val="nil"/>
              <w:left w:val="nil"/>
              <w:bottom w:val="nil"/>
              <w:right w:val="nil"/>
            </w:tcBorders>
            <w:shd w:val="clear" w:color="auto" w:fill="auto"/>
            <w:noWrap/>
            <w:vAlign w:val="bottom"/>
            <w:hideMark/>
          </w:tcPr>
          <w:p w14:paraId="0CD8BCDB" w14:textId="66313C85"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1,482 (1.80%)</w:t>
            </w:r>
          </w:p>
        </w:tc>
        <w:tc>
          <w:tcPr>
            <w:tcW w:w="2180" w:type="dxa"/>
            <w:tcBorders>
              <w:top w:val="nil"/>
              <w:left w:val="nil"/>
              <w:bottom w:val="nil"/>
              <w:right w:val="nil"/>
            </w:tcBorders>
            <w:shd w:val="clear" w:color="auto" w:fill="auto"/>
            <w:noWrap/>
            <w:vAlign w:val="bottom"/>
            <w:hideMark/>
          </w:tcPr>
          <w:p w14:paraId="71D1DF6B" w14:textId="326DDCDA"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259 (1.16%)</w:t>
            </w:r>
          </w:p>
        </w:tc>
      </w:tr>
      <w:tr w:rsidR="00F14548" w:rsidRPr="00F14548" w14:paraId="484EF19A" w14:textId="49FBC6B5" w:rsidTr="00F14548">
        <w:trPr>
          <w:trHeight w:val="300"/>
        </w:trPr>
        <w:tc>
          <w:tcPr>
            <w:tcW w:w="3620" w:type="dxa"/>
            <w:tcBorders>
              <w:top w:val="nil"/>
              <w:left w:val="nil"/>
              <w:bottom w:val="nil"/>
              <w:right w:val="nil"/>
            </w:tcBorders>
            <w:shd w:val="clear" w:color="auto" w:fill="auto"/>
            <w:noWrap/>
            <w:vAlign w:val="bottom"/>
            <w:hideMark/>
          </w:tcPr>
          <w:p w14:paraId="726BBD18" w14:textId="702C6D48" w:rsidR="00F14548" w:rsidRPr="00F14548" w:rsidRDefault="00F14548" w:rsidP="00F14548">
            <w:pPr>
              <w:spacing w:after="0" w:line="240" w:lineRule="auto"/>
              <w:ind w:firstLineChars="100" w:firstLine="180"/>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Missing</w:t>
            </w:r>
          </w:p>
        </w:tc>
        <w:tc>
          <w:tcPr>
            <w:tcW w:w="2180" w:type="dxa"/>
            <w:tcBorders>
              <w:top w:val="nil"/>
              <w:left w:val="nil"/>
              <w:bottom w:val="nil"/>
              <w:right w:val="nil"/>
            </w:tcBorders>
            <w:shd w:val="clear" w:color="auto" w:fill="auto"/>
            <w:noWrap/>
            <w:vAlign w:val="bottom"/>
            <w:hideMark/>
          </w:tcPr>
          <w:p w14:paraId="2A423F73" w14:textId="2BAE4269"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66,633 (27.16%)</w:t>
            </w:r>
          </w:p>
        </w:tc>
        <w:tc>
          <w:tcPr>
            <w:tcW w:w="2180" w:type="dxa"/>
            <w:tcBorders>
              <w:top w:val="nil"/>
              <w:left w:val="nil"/>
              <w:bottom w:val="nil"/>
              <w:right w:val="nil"/>
            </w:tcBorders>
            <w:shd w:val="clear" w:color="auto" w:fill="auto"/>
            <w:noWrap/>
            <w:vAlign w:val="bottom"/>
            <w:hideMark/>
          </w:tcPr>
          <w:p w14:paraId="4A88F0D3" w14:textId="61FC96B4"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55,164 (25.50%)</w:t>
            </w:r>
          </w:p>
        </w:tc>
        <w:tc>
          <w:tcPr>
            <w:tcW w:w="2180" w:type="dxa"/>
            <w:tcBorders>
              <w:top w:val="nil"/>
              <w:left w:val="nil"/>
              <w:bottom w:val="nil"/>
              <w:right w:val="nil"/>
            </w:tcBorders>
            <w:shd w:val="clear" w:color="auto" w:fill="auto"/>
            <w:noWrap/>
            <w:vAlign w:val="bottom"/>
            <w:hideMark/>
          </w:tcPr>
          <w:p w14:paraId="028BA486" w14:textId="360BD4D0"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21,401 (26.04%)</w:t>
            </w:r>
          </w:p>
        </w:tc>
        <w:tc>
          <w:tcPr>
            <w:tcW w:w="2180" w:type="dxa"/>
            <w:tcBorders>
              <w:top w:val="nil"/>
              <w:left w:val="nil"/>
              <w:bottom w:val="nil"/>
              <w:right w:val="nil"/>
            </w:tcBorders>
            <w:shd w:val="clear" w:color="auto" w:fill="auto"/>
            <w:noWrap/>
            <w:vAlign w:val="bottom"/>
            <w:hideMark/>
          </w:tcPr>
          <w:p w14:paraId="4233624D" w14:textId="59270BC7"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5,994 (26.92%)</w:t>
            </w:r>
          </w:p>
        </w:tc>
      </w:tr>
      <w:tr w:rsidR="00F14548" w:rsidRPr="00F14548" w14:paraId="7B3EB4A8" w14:textId="4C9F3E30" w:rsidTr="00F14548">
        <w:trPr>
          <w:trHeight w:val="300"/>
        </w:trPr>
        <w:tc>
          <w:tcPr>
            <w:tcW w:w="3620" w:type="dxa"/>
            <w:tcBorders>
              <w:top w:val="nil"/>
              <w:left w:val="nil"/>
              <w:bottom w:val="nil"/>
              <w:right w:val="nil"/>
            </w:tcBorders>
            <w:shd w:val="clear" w:color="auto" w:fill="auto"/>
            <w:noWrap/>
            <w:vAlign w:val="bottom"/>
            <w:hideMark/>
          </w:tcPr>
          <w:p w14:paraId="17977252" w14:textId="48836DE2" w:rsidR="00F14548" w:rsidRPr="00F14548" w:rsidRDefault="004B7F7C" w:rsidP="00F14548">
            <w:pPr>
              <w:spacing w:after="0" w:line="240" w:lineRule="auto"/>
              <w:rPr>
                <w:rFonts w:ascii="Times New Roman" w:eastAsia="Times New Roman" w:hAnsi="Times New Roman" w:cs="Times New Roman"/>
                <w:b/>
                <w:bCs/>
                <w:color w:val="000000"/>
                <w:sz w:val="18"/>
                <w:szCs w:val="18"/>
              </w:rPr>
            </w:pPr>
            <w:r w:rsidRPr="00F14548">
              <w:rPr>
                <w:rFonts w:ascii="Times New Roman" w:eastAsia="Times New Roman" w:hAnsi="Times New Roman" w:cs="Times New Roman"/>
                <w:b/>
                <w:bCs/>
                <w:color w:val="000000"/>
                <w:sz w:val="18"/>
                <w:szCs w:val="18"/>
              </w:rPr>
              <w:t>Deprivation,</w:t>
            </w:r>
            <w:r w:rsidR="00F14548" w:rsidRPr="00F14548">
              <w:rPr>
                <w:rFonts w:ascii="Times New Roman" w:eastAsia="Times New Roman" w:hAnsi="Times New Roman" w:cs="Times New Roman"/>
                <w:b/>
                <w:bCs/>
                <w:color w:val="000000"/>
                <w:sz w:val="18"/>
                <w:szCs w:val="18"/>
              </w:rPr>
              <w:t xml:space="preserve"> n (%)</w:t>
            </w:r>
          </w:p>
        </w:tc>
        <w:tc>
          <w:tcPr>
            <w:tcW w:w="2180" w:type="dxa"/>
            <w:tcBorders>
              <w:top w:val="nil"/>
              <w:left w:val="nil"/>
              <w:bottom w:val="nil"/>
              <w:right w:val="nil"/>
            </w:tcBorders>
            <w:shd w:val="clear" w:color="auto" w:fill="auto"/>
            <w:noWrap/>
            <w:vAlign w:val="bottom"/>
            <w:hideMark/>
          </w:tcPr>
          <w:p w14:paraId="2809714F" w14:textId="751B4B3E" w:rsidR="00F14548" w:rsidRPr="00F14548" w:rsidRDefault="00F14548" w:rsidP="00F14548">
            <w:pPr>
              <w:spacing w:after="0" w:line="240" w:lineRule="auto"/>
              <w:rPr>
                <w:rFonts w:ascii="Times New Roman" w:eastAsia="Times New Roman" w:hAnsi="Times New Roman" w:cs="Times New Roman"/>
                <w:b/>
                <w:bCs/>
                <w:color w:val="000000"/>
                <w:sz w:val="18"/>
                <w:szCs w:val="18"/>
              </w:rPr>
            </w:pPr>
          </w:p>
        </w:tc>
        <w:tc>
          <w:tcPr>
            <w:tcW w:w="2180" w:type="dxa"/>
            <w:tcBorders>
              <w:top w:val="nil"/>
              <w:left w:val="nil"/>
              <w:bottom w:val="nil"/>
              <w:right w:val="nil"/>
            </w:tcBorders>
            <w:shd w:val="clear" w:color="auto" w:fill="auto"/>
            <w:noWrap/>
            <w:vAlign w:val="bottom"/>
            <w:hideMark/>
          </w:tcPr>
          <w:p w14:paraId="0D4C9C0C" w14:textId="3322890D" w:rsidR="00F14548" w:rsidRPr="00F14548" w:rsidRDefault="00F14548" w:rsidP="00F14548">
            <w:pPr>
              <w:spacing w:after="0" w:line="240" w:lineRule="auto"/>
              <w:jc w:val="center"/>
              <w:rPr>
                <w:rFonts w:ascii="Times New Roman" w:eastAsia="Times New Roman" w:hAnsi="Times New Roman" w:cs="Times New Roman"/>
                <w:sz w:val="18"/>
                <w:szCs w:val="18"/>
              </w:rPr>
            </w:pPr>
          </w:p>
        </w:tc>
        <w:tc>
          <w:tcPr>
            <w:tcW w:w="2180" w:type="dxa"/>
            <w:tcBorders>
              <w:top w:val="nil"/>
              <w:left w:val="nil"/>
              <w:bottom w:val="nil"/>
              <w:right w:val="nil"/>
            </w:tcBorders>
            <w:shd w:val="clear" w:color="auto" w:fill="auto"/>
            <w:noWrap/>
            <w:vAlign w:val="bottom"/>
            <w:hideMark/>
          </w:tcPr>
          <w:p w14:paraId="4F0B429D" w14:textId="4EF0978E" w:rsidR="00F14548" w:rsidRPr="00F14548" w:rsidRDefault="00F14548" w:rsidP="00F14548">
            <w:pPr>
              <w:spacing w:after="0" w:line="240" w:lineRule="auto"/>
              <w:jc w:val="center"/>
              <w:rPr>
                <w:rFonts w:ascii="Times New Roman" w:eastAsia="Times New Roman" w:hAnsi="Times New Roman" w:cs="Times New Roman"/>
                <w:sz w:val="18"/>
                <w:szCs w:val="18"/>
              </w:rPr>
            </w:pPr>
          </w:p>
        </w:tc>
        <w:tc>
          <w:tcPr>
            <w:tcW w:w="2180" w:type="dxa"/>
            <w:tcBorders>
              <w:top w:val="nil"/>
              <w:left w:val="nil"/>
              <w:bottom w:val="nil"/>
              <w:right w:val="nil"/>
            </w:tcBorders>
            <w:shd w:val="clear" w:color="auto" w:fill="auto"/>
            <w:noWrap/>
            <w:vAlign w:val="bottom"/>
            <w:hideMark/>
          </w:tcPr>
          <w:p w14:paraId="7E075B18" w14:textId="7EF308A2" w:rsidR="00F14548" w:rsidRPr="00F14548" w:rsidRDefault="00F14548" w:rsidP="00F14548">
            <w:pPr>
              <w:spacing w:after="0" w:line="240" w:lineRule="auto"/>
              <w:jc w:val="center"/>
              <w:rPr>
                <w:rFonts w:ascii="Times New Roman" w:eastAsia="Times New Roman" w:hAnsi="Times New Roman" w:cs="Times New Roman"/>
                <w:sz w:val="18"/>
                <w:szCs w:val="18"/>
              </w:rPr>
            </w:pPr>
          </w:p>
        </w:tc>
      </w:tr>
      <w:tr w:rsidR="00F14548" w:rsidRPr="00F14548" w14:paraId="75CBE2D3" w14:textId="440FDC55" w:rsidTr="00F14548">
        <w:trPr>
          <w:trHeight w:val="300"/>
        </w:trPr>
        <w:tc>
          <w:tcPr>
            <w:tcW w:w="3620" w:type="dxa"/>
            <w:tcBorders>
              <w:top w:val="nil"/>
              <w:left w:val="nil"/>
              <w:bottom w:val="nil"/>
              <w:right w:val="nil"/>
            </w:tcBorders>
            <w:shd w:val="clear" w:color="auto" w:fill="auto"/>
            <w:noWrap/>
            <w:vAlign w:val="bottom"/>
            <w:hideMark/>
          </w:tcPr>
          <w:p w14:paraId="2FA5847F" w14:textId="641E6F6F" w:rsidR="00F14548" w:rsidRPr="00F14548" w:rsidRDefault="00F14548" w:rsidP="00F20E91">
            <w:pPr>
              <w:spacing w:after="0" w:line="240" w:lineRule="auto"/>
              <w:ind w:firstLineChars="100" w:firstLine="180"/>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 xml:space="preserve">1st </w:t>
            </w:r>
            <w:r w:rsidR="00F20E91">
              <w:rPr>
                <w:rFonts w:ascii="Times New Roman" w:eastAsia="Times New Roman" w:hAnsi="Times New Roman" w:cs="Times New Roman"/>
                <w:color w:val="000000"/>
                <w:sz w:val="18"/>
                <w:szCs w:val="18"/>
              </w:rPr>
              <w:t>category</w:t>
            </w:r>
            <w:r w:rsidR="00F20E91" w:rsidRPr="00F14548">
              <w:rPr>
                <w:rFonts w:ascii="Times New Roman" w:eastAsia="Times New Roman" w:hAnsi="Times New Roman" w:cs="Times New Roman"/>
                <w:color w:val="000000"/>
                <w:sz w:val="18"/>
                <w:szCs w:val="18"/>
              </w:rPr>
              <w:t xml:space="preserve"> </w:t>
            </w:r>
            <w:r w:rsidRPr="00F14548">
              <w:rPr>
                <w:rFonts w:ascii="Times New Roman" w:eastAsia="Times New Roman" w:hAnsi="Times New Roman" w:cs="Times New Roman"/>
                <w:color w:val="000000"/>
                <w:sz w:val="18"/>
                <w:szCs w:val="18"/>
              </w:rPr>
              <w:t>- least deprived</w:t>
            </w:r>
          </w:p>
        </w:tc>
        <w:tc>
          <w:tcPr>
            <w:tcW w:w="2180" w:type="dxa"/>
            <w:tcBorders>
              <w:top w:val="nil"/>
              <w:left w:val="nil"/>
              <w:bottom w:val="nil"/>
              <w:right w:val="nil"/>
            </w:tcBorders>
            <w:shd w:val="clear" w:color="auto" w:fill="auto"/>
            <w:noWrap/>
            <w:vAlign w:val="bottom"/>
            <w:hideMark/>
          </w:tcPr>
          <w:p w14:paraId="7BD8D287" w14:textId="3CF78E2D"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64,396 (26.25%)</w:t>
            </w:r>
          </w:p>
        </w:tc>
        <w:tc>
          <w:tcPr>
            <w:tcW w:w="2180" w:type="dxa"/>
            <w:tcBorders>
              <w:top w:val="nil"/>
              <w:left w:val="nil"/>
              <w:bottom w:val="nil"/>
              <w:right w:val="nil"/>
            </w:tcBorders>
            <w:shd w:val="clear" w:color="auto" w:fill="auto"/>
            <w:noWrap/>
            <w:vAlign w:val="bottom"/>
            <w:hideMark/>
          </w:tcPr>
          <w:p w14:paraId="48116F71" w14:textId="6DB1BC36"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53,099 (24.54%)</w:t>
            </w:r>
          </w:p>
        </w:tc>
        <w:tc>
          <w:tcPr>
            <w:tcW w:w="2180" w:type="dxa"/>
            <w:tcBorders>
              <w:top w:val="nil"/>
              <w:left w:val="nil"/>
              <w:bottom w:val="nil"/>
              <w:right w:val="nil"/>
            </w:tcBorders>
            <w:shd w:val="clear" w:color="auto" w:fill="auto"/>
            <w:noWrap/>
            <w:vAlign w:val="bottom"/>
            <w:hideMark/>
          </w:tcPr>
          <w:p w14:paraId="5FED1931" w14:textId="2D1A2B62"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18,864 (22.95%)</w:t>
            </w:r>
          </w:p>
        </w:tc>
        <w:tc>
          <w:tcPr>
            <w:tcW w:w="2180" w:type="dxa"/>
            <w:tcBorders>
              <w:top w:val="nil"/>
              <w:left w:val="nil"/>
              <w:bottom w:val="nil"/>
              <w:right w:val="nil"/>
            </w:tcBorders>
            <w:shd w:val="clear" w:color="auto" w:fill="auto"/>
            <w:noWrap/>
            <w:vAlign w:val="bottom"/>
            <w:hideMark/>
          </w:tcPr>
          <w:p w14:paraId="25EC5028" w14:textId="5B2F63AD"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4,886 (21.94%)</w:t>
            </w:r>
          </w:p>
        </w:tc>
      </w:tr>
      <w:tr w:rsidR="00F14548" w:rsidRPr="00F14548" w14:paraId="32E83DF7" w14:textId="21B894A3" w:rsidTr="00F14548">
        <w:trPr>
          <w:trHeight w:val="300"/>
        </w:trPr>
        <w:tc>
          <w:tcPr>
            <w:tcW w:w="3620" w:type="dxa"/>
            <w:tcBorders>
              <w:top w:val="nil"/>
              <w:left w:val="nil"/>
              <w:bottom w:val="nil"/>
              <w:right w:val="nil"/>
            </w:tcBorders>
            <w:shd w:val="clear" w:color="auto" w:fill="auto"/>
            <w:noWrap/>
            <w:vAlign w:val="bottom"/>
            <w:hideMark/>
          </w:tcPr>
          <w:p w14:paraId="29C99FC1" w14:textId="53A992F8" w:rsidR="00F14548" w:rsidRPr="00F14548" w:rsidRDefault="00F14548" w:rsidP="00F20E91">
            <w:pPr>
              <w:spacing w:after="0" w:line="240" w:lineRule="auto"/>
              <w:ind w:firstLineChars="100" w:firstLine="180"/>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 xml:space="preserve">2nd </w:t>
            </w:r>
            <w:r w:rsidR="00F20E91">
              <w:rPr>
                <w:rFonts w:ascii="Times New Roman" w:eastAsia="Times New Roman" w:hAnsi="Times New Roman" w:cs="Times New Roman"/>
                <w:color w:val="000000"/>
                <w:sz w:val="18"/>
                <w:szCs w:val="18"/>
              </w:rPr>
              <w:t>category</w:t>
            </w:r>
          </w:p>
        </w:tc>
        <w:tc>
          <w:tcPr>
            <w:tcW w:w="2180" w:type="dxa"/>
            <w:tcBorders>
              <w:top w:val="nil"/>
              <w:left w:val="nil"/>
              <w:bottom w:val="nil"/>
              <w:right w:val="nil"/>
            </w:tcBorders>
            <w:shd w:val="clear" w:color="auto" w:fill="auto"/>
            <w:noWrap/>
            <w:vAlign w:val="bottom"/>
            <w:hideMark/>
          </w:tcPr>
          <w:p w14:paraId="3702868E" w14:textId="383CB5AD"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59,988 (24.46%)</w:t>
            </w:r>
          </w:p>
        </w:tc>
        <w:tc>
          <w:tcPr>
            <w:tcW w:w="2180" w:type="dxa"/>
            <w:tcBorders>
              <w:top w:val="nil"/>
              <w:left w:val="nil"/>
              <w:bottom w:val="nil"/>
              <w:right w:val="nil"/>
            </w:tcBorders>
            <w:shd w:val="clear" w:color="auto" w:fill="auto"/>
            <w:noWrap/>
            <w:vAlign w:val="bottom"/>
            <w:hideMark/>
          </w:tcPr>
          <w:p w14:paraId="76F0CE73" w14:textId="3ECF5265"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48,220 (22.29%)</w:t>
            </w:r>
          </w:p>
        </w:tc>
        <w:tc>
          <w:tcPr>
            <w:tcW w:w="2180" w:type="dxa"/>
            <w:tcBorders>
              <w:top w:val="nil"/>
              <w:left w:val="nil"/>
              <w:bottom w:val="nil"/>
              <w:right w:val="nil"/>
            </w:tcBorders>
            <w:shd w:val="clear" w:color="auto" w:fill="auto"/>
            <w:noWrap/>
            <w:vAlign w:val="bottom"/>
            <w:hideMark/>
          </w:tcPr>
          <w:p w14:paraId="0F2CFBF4" w14:textId="2728220F"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17,273 (21.02%)</w:t>
            </w:r>
          </w:p>
        </w:tc>
        <w:tc>
          <w:tcPr>
            <w:tcW w:w="2180" w:type="dxa"/>
            <w:tcBorders>
              <w:top w:val="nil"/>
              <w:left w:val="nil"/>
              <w:bottom w:val="nil"/>
              <w:right w:val="nil"/>
            </w:tcBorders>
            <w:shd w:val="clear" w:color="auto" w:fill="auto"/>
            <w:noWrap/>
            <w:vAlign w:val="bottom"/>
            <w:hideMark/>
          </w:tcPr>
          <w:p w14:paraId="4BCA81F4" w14:textId="6757788D"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4,149 (18.63%)</w:t>
            </w:r>
          </w:p>
        </w:tc>
      </w:tr>
      <w:tr w:rsidR="00F14548" w:rsidRPr="00F14548" w14:paraId="76319FA3" w14:textId="1D47338B" w:rsidTr="00F14548">
        <w:trPr>
          <w:trHeight w:val="300"/>
        </w:trPr>
        <w:tc>
          <w:tcPr>
            <w:tcW w:w="3620" w:type="dxa"/>
            <w:tcBorders>
              <w:top w:val="nil"/>
              <w:left w:val="nil"/>
              <w:bottom w:val="nil"/>
              <w:right w:val="nil"/>
            </w:tcBorders>
            <w:shd w:val="clear" w:color="auto" w:fill="auto"/>
            <w:noWrap/>
            <w:vAlign w:val="bottom"/>
            <w:hideMark/>
          </w:tcPr>
          <w:p w14:paraId="129DFBC8" w14:textId="6D1F2F2B" w:rsidR="00F14548" w:rsidRPr="00F14548" w:rsidRDefault="00F14548" w:rsidP="00F20E91">
            <w:pPr>
              <w:spacing w:after="0" w:line="240" w:lineRule="auto"/>
              <w:ind w:firstLineChars="100" w:firstLine="180"/>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 xml:space="preserve">3rd </w:t>
            </w:r>
            <w:r w:rsidR="00F20E91">
              <w:rPr>
                <w:rFonts w:ascii="Times New Roman" w:eastAsia="Times New Roman" w:hAnsi="Times New Roman" w:cs="Times New Roman"/>
                <w:color w:val="000000"/>
                <w:sz w:val="18"/>
                <w:szCs w:val="18"/>
              </w:rPr>
              <w:t>category</w:t>
            </w:r>
          </w:p>
        </w:tc>
        <w:tc>
          <w:tcPr>
            <w:tcW w:w="2180" w:type="dxa"/>
            <w:tcBorders>
              <w:top w:val="nil"/>
              <w:left w:val="nil"/>
              <w:bottom w:val="nil"/>
              <w:right w:val="nil"/>
            </w:tcBorders>
            <w:shd w:val="clear" w:color="auto" w:fill="auto"/>
            <w:noWrap/>
            <w:vAlign w:val="bottom"/>
            <w:hideMark/>
          </w:tcPr>
          <w:p w14:paraId="51D0F355" w14:textId="167F57DB"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50,133 (20.44%)</w:t>
            </w:r>
          </w:p>
        </w:tc>
        <w:tc>
          <w:tcPr>
            <w:tcW w:w="2180" w:type="dxa"/>
            <w:tcBorders>
              <w:top w:val="nil"/>
              <w:left w:val="nil"/>
              <w:bottom w:val="nil"/>
              <w:right w:val="nil"/>
            </w:tcBorders>
            <w:shd w:val="clear" w:color="auto" w:fill="auto"/>
            <w:noWrap/>
            <w:vAlign w:val="bottom"/>
            <w:hideMark/>
          </w:tcPr>
          <w:p w14:paraId="5813EF40" w14:textId="53BF5D1A"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43,823 (20.26%)</w:t>
            </w:r>
          </w:p>
        </w:tc>
        <w:tc>
          <w:tcPr>
            <w:tcW w:w="2180" w:type="dxa"/>
            <w:tcBorders>
              <w:top w:val="nil"/>
              <w:left w:val="nil"/>
              <w:bottom w:val="nil"/>
              <w:right w:val="nil"/>
            </w:tcBorders>
            <w:shd w:val="clear" w:color="auto" w:fill="auto"/>
            <w:noWrap/>
            <w:vAlign w:val="bottom"/>
            <w:hideMark/>
          </w:tcPr>
          <w:p w14:paraId="0FCE4F42" w14:textId="5B476978"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15,381 (18.71%)</w:t>
            </w:r>
          </w:p>
        </w:tc>
        <w:tc>
          <w:tcPr>
            <w:tcW w:w="2180" w:type="dxa"/>
            <w:tcBorders>
              <w:top w:val="nil"/>
              <w:left w:val="nil"/>
              <w:bottom w:val="nil"/>
              <w:right w:val="nil"/>
            </w:tcBorders>
            <w:shd w:val="clear" w:color="auto" w:fill="auto"/>
            <w:noWrap/>
            <w:vAlign w:val="bottom"/>
            <w:hideMark/>
          </w:tcPr>
          <w:p w14:paraId="78C344C1" w14:textId="48311032"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4,070 (18.28%)</w:t>
            </w:r>
          </w:p>
        </w:tc>
      </w:tr>
      <w:tr w:rsidR="00F14548" w:rsidRPr="00F14548" w14:paraId="22B51BF3" w14:textId="61033B89" w:rsidTr="00F14548">
        <w:trPr>
          <w:trHeight w:val="300"/>
        </w:trPr>
        <w:tc>
          <w:tcPr>
            <w:tcW w:w="3620" w:type="dxa"/>
            <w:tcBorders>
              <w:top w:val="nil"/>
              <w:left w:val="nil"/>
              <w:bottom w:val="nil"/>
              <w:right w:val="nil"/>
            </w:tcBorders>
            <w:shd w:val="clear" w:color="auto" w:fill="auto"/>
            <w:noWrap/>
            <w:vAlign w:val="bottom"/>
            <w:hideMark/>
          </w:tcPr>
          <w:p w14:paraId="68C63669" w14:textId="008D0ADA" w:rsidR="00F14548" w:rsidRPr="00F14548" w:rsidRDefault="00F14548" w:rsidP="00F20E91">
            <w:pPr>
              <w:spacing w:after="0" w:line="240" w:lineRule="auto"/>
              <w:ind w:firstLineChars="100" w:firstLine="180"/>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 xml:space="preserve">4th </w:t>
            </w:r>
            <w:r w:rsidR="00F20E91">
              <w:rPr>
                <w:rFonts w:ascii="Times New Roman" w:eastAsia="Times New Roman" w:hAnsi="Times New Roman" w:cs="Times New Roman"/>
                <w:color w:val="000000"/>
                <w:sz w:val="18"/>
                <w:szCs w:val="18"/>
              </w:rPr>
              <w:t>category</w:t>
            </w:r>
          </w:p>
        </w:tc>
        <w:tc>
          <w:tcPr>
            <w:tcW w:w="2180" w:type="dxa"/>
            <w:tcBorders>
              <w:top w:val="nil"/>
              <w:left w:val="nil"/>
              <w:bottom w:val="nil"/>
              <w:right w:val="nil"/>
            </w:tcBorders>
            <w:shd w:val="clear" w:color="auto" w:fill="auto"/>
            <w:noWrap/>
            <w:vAlign w:val="bottom"/>
            <w:hideMark/>
          </w:tcPr>
          <w:p w14:paraId="17224046" w14:textId="38CEF986"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40,641 (16.57%)</w:t>
            </w:r>
          </w:p>
        </w:tc>
        <w:tc>
          <w:tcPr>
            <w:tcW w:w="2180" w:type="dxa"/>
            <w:tcBorders>
              <w:top w:val="nil"/>
              <w:left w:val="nil"/>
              <w:bottom w:val="nil"/>
              <w:right w:val="nil"/>
            </w:tcBorders>
            <w:shd w:val="clear" w:color="auto" w:fill="auto"/>
            <w:noWrap/>
            <w:vAlign w:val="bottom"/>
            <w:hideMark/>
          </w:tcPr>
          <w:p w14:paraId="18088703" w14:textId="08C496DD"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38,144 (17.63%)</w:t>
            </w:r>
          </w:p>
        </w:tc>
        <w:tc>
          <w:tcPr>
            <w:tcW w:w="2180" w:type="dxa"/>
            <w:tcBorders>
              <w:top w:val="nil"/>
              <w:left w:val="nil"/>
              <w:bottom w:val="nil"/>
              <w:right w:val="nil"/>
            </w:tcBorders>
            <w:shd w:val="clear" w:color="auto" w:fill="auto"/>
            <w:noWrap/>
            <w:vAlign w:val="bottom"/>
            <w:hideMark/>
          </w:tcPr>
          <w:p w14:paraId="1A303FCE" w14:textId="36404546"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15,034 (18.29%)</w:t>
            </w:r>
          </w:p>
        </w:tc>
        <w:tc>
          <w:tcPr>
            <w:tcW w:w="2180" w:type="dxa"/>
            <w:tcBorders>
              <w:top w:val="nil"/>
              <w:left w:val="nil"/>
              <w:bottom w:val="nil"/>
              <w:right w:val="nil"/>
            </w:tcBorders>
            <w:shd w:val="clear" w:color="auto" w:fill="auto"/>
            <w:noWrap/>
            <w:vAlign w:val="bottom"/>
            <w:hideMark/>
          </w:tcPr>
          <w:p w14:paraId="480C80C7" w14:textId="6CA715FB"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4,137 (18.58%)</w:t>
            </w:r>
          </w:p>
        </w:tc>
      </w:tr>
      <w:tr w:rsidR="00F14548" w:rsidRPr="00F14548" w14:paraId="6F87D633" w14:textId="0930227D" w:rsidTr="00F14548">
        <w:trPr>
          <w:trHeight w:val="300"/>
        </w:trPr>
        <w:tc>
          <w:tcPr>
            <w:tcW w:w="3620" w:type="dxa"/>
            <w:tcBorders>
              <w:top w:val="nil"/>
              <w:left w:val="nil"/>
              <w:bottom w:val="nil"/>
              <w:right w:val="nil"/>
            </w:tcBorders>
            <w:shd w:val="clear" w:color="auto" w:fill="auto"/>
            <w:noWrap/>
            <w:vAlign w:val="bottom"/>
            <w:hideMark/>
          </w:tcPr>
          <w:p w14:paraId="18FE01F6" w14:textId="44864DB8" w:rsidR="00F14548" w:rsidRPr="00F14548" w:rsidRDefault="00F14548" w:rsidP="00F20E91">
            <w:pPr>
              <w:spacing w:after="0" w:line="240" w:lineRule="auto"/>
              <w:ind w:firstLineChars="100" w:firstLine="180"/>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 xml:space="preserve">5th </w:t>
            </w:r>
            <w:r w:rsidR="00F20E91">
              <w:rPr>
                <w:rFonts w:ascii="Times New Roman" w:eastAsia="Times New Roman" w:hAnsi="Times New Roman" w:cs="Times New Roman"/>
                <w:color w:val="000000"/>
                <w:sz w:val="18"/>
                <w:szCs w:val="18"/>
              </w:rPr>
              <w:t>category</w:t>
            </w:r>
          </w:p>
        </w:tc>
        <w:tc>
          <w:tcPr>
            <w:tcW w:w="2180" w:type="dxa"/>
            <w:tcBorders>
              <w:top w:val="nil"/>
              <w:left w:val="nil"/>
              <w:bottom w:val="nil"/>
              <w:right w:val="nil"/>
            </w:tcBorders>
            <w:shd w:val="clear" w:color="auto" w:fill="auto"/>
            <w:noWrap/>
            <w:vAlign w:val="bottom"/>
            <w:hideMark/>
          </w:tcPr>
          <w:p w14:paraId="639DF52F" w14:textId="60EA6A95"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29,601 (12.07%)</w:t>
            </w:r>
          </w:p>
        </w:tc>
        <w:tc>
          <w:tcPr>
            <w:tcW w:w="2180" w:type="dxa"/>
            <w:tcBorders>
              <w:top w:val="nil"/>
              <w:left w:val="nil"/>
              <w:bottom w:val="nil"/>
              <w:right w:val="nil"/>
            </w:tcBorders>
            <w:shd w:val="clear" w:color="auto" w:fill="auto"/>
            <w:noWrap/>
            <w:vAlign w:val="bottom"/>
            <w:hideMark/>
          </w:tcPr>
          <w:p w14:paraId="3DD3FC78" w14:textId="7126EA09"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32,533 (15.04%)</w:t>
            </w:r>
          </w:p>
        </w:tc>
        <w:tc>
          <w:tcPr>
            <w:tcW w:w="2180" w:type="dxa"/>
            <w:tcBorders>
              <w:top w:val="nil"/>
              <w:left w:val="nil"/>
              <w:bottom w:val="nil"/>
              <w:right w:val="nil"/>
            </w:tcBorders>
            <w:shd w:val="clear" w:color="auto" w:fill="auto"/>
            <w:noWrap/>
            <w:vAlign w:val="bottom"/>
            <w:hideMark/>
          </w:tcPr>
          <w:p w14:paraId="08894CC2" w14:textId="35DE651B"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15,509 (18.87%)</w:t>
            </w:r>
          </w:p>
        </w:tc>
        <w:tc>
          <w:tcPr>
            <w:tcW w:w="2180" w:type="dxa"/>
            <w:tcBorders>
              <w:top w:val="nil"/>
              <w:left w:val="nil"/>
              <w:bottom w:val="nil"/>
              <w:right w:val="nil"/>
            </w:tcBorders>
            <w:shd w:val="clear" w:color="auto" w:fill="auto"/>
            <w:noWrap/>
            <w:vAlign w:val="bottom"/>
            <w:hideMark/>
          </w:tcPr>
          <w:p w14:paraId="165254B1" w14:textId="2FFC9D6D"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4,993 (22.42%)</w:t>
            </w:r>
          </w:p>
        </w:tc>
      </w:tr>
      <w:tr w:rsidR="00F14548" w:rsidRPr="00F14548" w14:paraId="43160A08" w14:textId="7BB149DA" w:rsidTr="00F14548">
        <w:trPr>
          <w:trHeight w:val="300"/>
        </w:trPr>
        <w:tc>
          <w:tcPr>
            <w:tcW w:w="3620" w:type="dxa"/>
            <w:tcBorders>
              <w:top w:val="nil"/>
              <w:left w:val="nil"/>
              <w:bottom w:val="nil"/>
              <w:right w:val="nil"/>
            </w:tcBorders>
            <w:shd w:val="clear" w:color="auto" w:fill="auto"/>
            <w:noWrap/>
            <w:vAlign w:val="bottom"/>
            <w:hideMark/>
          </w:tcPr>
          <w:p w14:paraId="493162CE" w14:textId="3B545AD9" w:rsidR="00F14548" w:rsidRPr="00F14548" w:rsidRDefault="00F14548" w:rsidP="00F14548">
            <w:pPr>
              <w:spacing w:after="0" w:line="240" w:lineRule="auto"/>
              <w:ind w:firstLineChars="100" w:firstLine="180"/>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Missing</w:t>
            </w:r>
          </w:p>
        </w:tc>
        <w:tc>
          <w:tcPr>
            <w:tcW w:w="2180" w:type="dxa"/>
            <w:tcBorders>
              <w:top w:val="nil"/>
              <w:left w:val="nil"/>
              <w:bottom w:val="nil"/>
              <w:right w:val="nil"/>
            </w:tcBorders>
            <w:shd w:val="clear" w:color="auto" w:fill="auto"/>
            <w:noWrap/>
            <w:vAlign w:val="bottom"/>
            <w:hideMark/>
          </w:tcPr>
          <w:p w14:paraId="06A8517B" w14:textId="3750F305"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535 (0.22%)</w:t>
            </w:r>
          </w:p>
        </w:tc>
        <w:tc>
          <w:tcPr>
            <w:tcW w:w="2180" w:type="dxa"/>
            <w:tcBorders>
              <w:top w:val="nil"/>
              <w:left w:val="nil"/>
              <w:bottom w:val="nil"/>
              <w:right w:val="nil"/>
            </w:tcBorders>
            <w:shd w:val="clear" w:color="auto" w:fill="auto"/>
            <w:noWrap/>
            <w:vAlign w:val="bottom"/>
            <w:hideMark/>
          </w:tcPr>
          <w:p w14:paraId="024A8A98" w14:textId="72D39DED"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535 (0.25)</w:t>
            </w:r>
          </w:p>
        </w:tc>
        <w:tc>
          <w:tcPr>
            <w:tcW w:w="2180" w:type="dxa"/>
            <w:tcBorders>
              <w:top w:val="nil"/>
              <w:left w:val="nil"/>
              <w:bottom w:val="nil"/>
              <w:right w:val="nil"/>
            </w:tcBorders>
            <w:shd w:val="clear" w:color="auto" w:fill="auto"/>
            <w:noWrap/>
            <w:vAlign w:val="bottom"/>
            <w:hideMark/>
          </w:tcPr>
          <w:p w14:paraId="00B39176" w14:textId="3199C02D"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126 (0.15%)</w:t>
            </w:r>
          </w:p>
        </w:tc>
        <w:tc>
          <w:tcPr>
            <w:tcW w:w="2180" w:type="dxa"/>
            <w:tcBorders>
              <w:top w:val="nil"/>
              <w:left w:val="nil"/>
              <w:bottom w:val="nil"/>
              <w:right w:val="nil"/>
            </w:tcBorders>
            <w:shd w:val="clear" w:color="auto" w:fill="auto"/>
            <w:noWrap/>
            <w:vAlign w:val="bottom"/>
            <w:hideMark/>
          </w:tcPr>
          <w:p w14:paraId="03DFFDBE" w14:textId="09FE4BDE"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31 (0.14%)</w:t>
            </w:r>
          </w:p>
        </w:tc>
      </w:tr>
      <w:tr w:rsidR="00F14548" w:rsidRPr="00F14548" w14:paraId="4BB879FD" w14:textId="13D9D902" w:rsidTr="00F14548">
        <w:trPr>
          <w:trHeight w:val="300"/>
        </w:trPr>
        <w:tc>
          <w:tcPr>
            <w:tcW w:w="3620" w:type="dxa"/>
            <w:tcBorders>
              <w:top w:val="nil"/>
              <w:left w:val="nil"/>
              <w:bottom w:val="nil"/>
              <w:right w:val="nil"/>
            </w:tcBorders>
            <w:shd w:val="clear" w:color="auto" w:fill="auto"/>
            <w:noWrap/>
            <w:vAlign w:val="bottom"/>
            <w:hideMark/>
          </w:tcPr>
          <w:p w14:paraId="3F8B9B78" w14:textId="5B9AA1EA" w:rsidR="00F14548" w:rsidRPr="00F14548" w:rsidRDefault="004B7F7C" w:rsidP="00F14548">
            <w:pPr>
              <w:spacing w:after="0" w:line="240" w:lineRule="auto"/>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LTCs not included in eFI</w:t>
            </w:r>
            <w:r w:rsidR="00F14548" w:rsidRPr="00F14548">
              <w:rPr>
                <w:rFonts w:ascii="Times New Roman" w:eastAsia="Times New Roman" w:hAnsi="Times New Roman" w:cs="Times New Roman"/>
                <w:b/>
                <w:bCs/>
                <w:color w:val="000000"/>
                <w:sz w:val="18"/>
                <w:szCs w:val="18"/>
              </w:rPr>
              <w:t>, n (%)</w:t>
            </w:r>
          </w:p>
        </w:tc>
        <w:tc>
          <w:tcPr>
            <w:tcW w:w="2180" w:type="dxa"/>
            <w:tcBorders>
              <w:top w:val="nil"/>
              <w:left w:val="nil"/>
              <w:bottom w:val="nil"/>
              <w:right w:val="nil"/>
            </w:tcBorders>
            <w:shd w:val="clear" w:color="auto" w:fill="auto"/>
            <w:noWrap/>
            <w:vAlign w:val="bottom"/>
            <w:hideMark/>
          </w:tcPr>
          <w:p w14:paraId="69D83058" w14:textId="56428212" w:rsidR="00F14548" w:rsidRPr="00F14548" w:rsidRDefault="00F14548" w:rsidP="00F14548">
            <w:pPr>
              <w:spacing w:after="0" w:line="240" w:lineRule="auto"/>
              <w:rPr>
                <w:rFonts w:ascii="Times New Roman" w:eastAsia="Times New Roman" w:hAnsi="Times New Roman" w:cs="Times New Roman"/>
                <w:b/>
                <w:bCs/>
                <w:color w:val="000000"/>
                <w:sz w:val="18"/>
                <w:szCs w:val="18"/>
              </w:rPr>
            </w:pPr>
          </w:p>
        </w:tc>
        <w:tc>
          <w:tcPr>
            <w:tcW w:w="2180" w:type="dxa"/>
            <w:tcBorders>
              <w:top w:val="nil"/>
              <w:left w:val="nil"/>
              <w:bottom w:val="nil"/>
              <w:right w:val="nil"/>
            </w:tcBorders>
            <w:shd w:val="clear" w:color="auto" w:fill="auto"/>
            <w:noWrap/>
            <w:vAlign w:val="bottom"/>
            <w:hideMark/>
          </w:tcPr>
          <w:p w14:paraId="25C3936F" w14:textId="5084D43D" w:rsidR="00F14548" w:rsidRPr="00F14548" w:rsidRDefault="00F14548" w:rsidP="00F14548">
            <w:pPr>
              <w:spacing w:after="0" w:line="240" w:lineRule="auto"/>
              <w:jc w:val="center"/>
              <w:rPr>
                <w:rFonts w:ascii="Times New Roman" w:eastAsia="Times New Roman" w:hAnsi="Times New Roman" w:cs="Times New Roman"/>
                <w:sz w:val="18"/>
                <w:szCs w:val="18"/>
              </w:rPr>
            </w:pPr>
          </w:p>
        </w:tc>
        <w:tc>
          <w:tcPr>
            <w:tcW w:w="2180" w:type="dxa"/>
            <w:tcBorders>
              <w:top w:val="nil"/>
              <w:left w:val="nil"/>
              <w:bottom w:val="nil"/>
              <w:right w:val="nil"/>
            </w:tcBorders>
            <w:shd w:val="clear" w:color="auto" w:fill="auto"/>
            <w:noWrap/>
            <w:vAlign w:val="bottom"/>
            <w:hideMark/>
          </w:tcPr>
          <w:p w14:paraId="5AFBDFA4" w14:textId="12CF10FD" w:rsidR="00F14548" w:rsidRPr="00F14548" w:rsidRDefault="00F14548" w:rsidP="00F14548">
            <w:pPr>
              <w:spacing w:after="0" w:line="240" w:lineRule="auto"/>
              <w:jc w:val="center"/>
              <w:rPr>
                <w:rFonts w:ascii="Times New Roman" w:eastAsia="Times New Roman" w:hAnsi="Times New Roman" w:cs="Times New Roman"/>
                <w:sz w:val="18"/>
                <w:szCs w:val="18"/>
              </w:rPr>
            </w:pPr>
          </w:p>
        </w:tc>
        <w:tc>
          <w:tcPr>
            <w:tcW w:w="2180" w:type="dxa"/>
            <w:tcBorders>
              <w:top w:val="nil"/>
              <w:left w:val="nil"/>
              <w:bottom w:val="nil"/>
              <w:right w:val="nil"/>
            </w:tcBorders>
            <w:shd w:val="clear" w:color="auto" w:fill="auto"/>
            <w:noWrap/>
            <w:vAlign w:val="bottom"/>
            <w:hideMark/>
          </w:tcPr>
          <w:p w14:paraId="0BBF7A03" w14:textId="2CCB71CF" w:rsidR="00F14548" w:rsidRPr="00F14548" w:rsidRDefault="00F14548" w:rsidP="00F14548">
            <w:pPr>
              <w:spacing w:after="0" w:line="240" w:lineRule="auto"/>
              <w:jc w:val="center"/>
              <w:rPr>
                <w:rFonts w:ascii="Times New Roman" w:eastAsia="Times New Roman" w:hAnsi="Times New Roman" w:cs="Times New Roman"/>
                <w:sz w:val="18"/>
                <w:szCs w:val="18"/>
              </w:rPr>
            </w:pPr>
          </w:p>
        </w:tc>
      </w:tr>
      <w:tr w:rsidR="00F14548" w:rsidRPr="00F14548" w14:paraId="32F24B3B" w14:textId="697CB794" w:rsidTr="00F14548">
        <w:trPr>
          <w:trHeight w:val="300"/>
        </w:trPr>
        <w:tc>
          <w:tcPr>
            <w:tcW w:w="3620" w:type="dxa"/>
            <w:tcBorders>
              <w:top w:val="nil"/>
              <w:left w:val="nil"/>
              <w:bottom w:val="nil"/>
              <w:right w:val="nil"/>
            </w:tcBorders>
            <w:shd w:val="clear" w:color="auto" w:fill="auto"/>
            <w:noWrap/>
            <w:vAlign w:val="bottom"/>
            <w:hideMark/>
          </w:tcPr>
          <w:p w14:paraId="7F2CC1E3" w14:textId="32CB3280" w:rsidR="00F14548" w:rsidRPr="00F14548" w:rsidRDefault="00F14548" w:rsidP="00F14548">
            <w:pPr>
              <w:spacing w:after="0" w:line="240" w:lineRule="auto"/>
              <w:ind w:firstLineChars="100" w:firstLine="180"/>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 xml:space="preserve">Cancer </w:t>
            </w:r>
          </w:p>
        </w:tc>
        <w:tc>
          <w:tcPr>
            <w:tcW w:w="2180" w:type="dxa"/>
            <w:tcBorders>
              <w:top w:val="nil"/>
              <w:left w:val="nil"/>
              <w:bottom w:val="nil"/>
              <w:right w:val="nil"/>
            </w:tcBorders>
            <w:shd w:val="clear" w:color="auto" w:fill="auto"/>
            <w:noWrap/>
            <w:vAlign w:val="bottom"/>
            <w:hideMark/>
          </w:tcPr>
          <w:p w14:paraId="73171FA4" w14:textId="65E05923"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33,691 (13.73%)</w:t>
            </w:r>
          </w:p>
        </w:tc>
        <w:tc>
          <w:tcPr>
            <w:tcW w:w="2180" w:type="dxa"/>
            <w:tcBorders>
              <w:top w:val="nil"/>
              <w:left w:val="nil"/>
              <w:bottom w:val="nil"/>
              <w:right w:val="nil"/>
            </w:tcBorders>
            <w:shd w:val="clear" w:color="auto" w:fill="auto"/>
            <w:noWrap/>
            <w:vAlign w:val="bottom"/>
            <w:hideMark/>
          </w:tcPr>
          <w:p w14:paraId="5925D249" w14:textId="267E8DFE"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37,064 (17.13%)</w:t>
            </w:r>
          </w:p>
        </w:tc>
        <w:tc>
          <w:tcPr>
            <w:tcW w:w="2180" w:type="dxa"/>
            <w:tcBorders>
              <w:top w:val="nil"/>
              <w:left w:val="nil"/>
              <w:bottom w:val="nil"/>
              <w:right w:val="nil"/>
            </w:tcBorders>
            <w:shd w:val="clear" w:color="auto" w:fill="auto"/>
            <w:noWrap/>
            <w:vAlign w:val="bottom"/>
            <w:hideMark/>
          </w:tcPr>
          <w:p w14:paraId="1B01102A" w14:textId="629185EF"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16,790 (20.43%)</w:t>
            </w:r>
          </w:p>
        </w:tc>
        <w:tc>
          <w:tcPr>
            <w:tcW w:w="2180" w:type="dxa"/>
            <w:tcBorders>
              <w:top w:val="nil"/>
              <w:left w:val="nil"/>
              <w:bottom w:val="nil"/>
              <w:right w:val="nil"/>
            </w:tcBorders>
            <w:shd w:val="clear" w:color="auto" w:fill="auto"/>
            <w:noWrap/>
            <w:vAlign w:val="bottom"/>
            <w:hideMark/>
          </w:tcPr>
          <w:p w14:paraId="12D5E657" w14:textId="465C9995"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5,117 (22.98%)</w:t>
            </w:r>
          </w:p>
        </w:tc>
      </w:tr>
      <w:tr w:rsidR="00F14548" w:rsidRPr="00F14548" w14:paraId="3A0209EE" w14:textId="0A0A86C5" w:rsidTr="00F14548">
        <w:trPr>
          <w:trHeight w:val="300"/>
        </w:trPr>
        <w:tc>
          <w:tcPr>
            <w:tcW w:w="3620" w:type="dxa"/>
            <w:tcBorders>
              <w:top w:val="nil"/>
              <w:left w:val="nil"/>
              <w:bottom w:val="nil"/>
              <w:right w:val="nil"/>
            </w:tcBorders>
            <w:shd w:val="clear" w:color="auto" w:fill="auto"/>
            <w:noWrap/>
            <w:vAlign w:val="bottom"/>
            <w:hideMark/>
          </w:tcPr>
          <w:p w14:paraId="143CF60C" w14:textId="19F3DA37" w:rsidR="00F14548" w:rsidRPr="00F14548" w:rsidRDefault="00F14548" w:rsidP="00F14548">
            <w:pPr>
              <w:spacing w:after="0" w:line="240" w:lineRule="auto"/>
              <w:ind w:firstLineChars="100" w:firstLine="180"/>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Depression</w:t>
            </w:r>
          </w:p>
        </w:tc>
        <w:tc>
          <w:tcPr>
            <w:tcW w:w="2180" w:type="dxa"/>
            <w:tcBorders>
              <w:top w:val="nil"/>
              <w:left w:val="nil"/>
              <w:bottom w:val="nil"/>
              <w:right w:val="nil"/>
            </w:tcBorders>
            <w:shd w:val="clear" w:color="auto" w:fill="auto"/>
            <w:noWrap/>
            <w:vAlign w:val="bottom"/>
            <w:hideMark/>
          </w:tcPr>
          <w:p w14:paraId="01B7D526" w14:textId="1D2442F4"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34,703 (14.15%)</w:t>
            </w:r>
          </w:p>
        </w:tc>
        <w:tc>
          <w:tcPr>
            <w:tcW w:w="2180" w:type="dxa"/>
            <w:tcBorders>
              <w:top w:val="nil"/>
              <w:left w:val="nil"/>
              <w:bottom w:val="nil"/>
              <w:right w:val="nil"/>
            </w:tcBorders>
            <w:shd w:val="clear" w:color="auto" w:fill="auto"/>
            <w:noWrap/>
            <w:vAlign w:val="bottom"/>
            <w:hideMark/>
          </w:tcPr>
          <w:p w14:paraId="0478BB6B" w14:textId="313DCB31"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45,096 (20.84%)</w:t>
            </w:r>
          </w:p>
        </w:tc>
        <w:tc>
          <w:tcPr>
            <w:tcW w:w="2180" w:type="dxa"/>
            <w:tcBorders>
              <w:top w:val="nil"/>
              <w:left w:val="nil"/>
              <w:bottom w:val="nil"/>
              <w:right w:val="nil"/>
            </w:tcBorders>
            <w:shd w:val="clear" w:color="auto" w:fill="auto"/>
            <w:noWrap/>
            <w:vAlign w:val="bottom"/>
            <w:hideMark/>
          </w:tcPr>
          <w:p w14:paraId="26BABC96" w14:textId="2B787408"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24,639 (29.98%)</w:t>
            </w:r>
          </w:p>
        </w:tc>
        <w:tc>
          <w:tcPr>
            <w:tcW w:w="2180" w:type="dxa"/>
            <w:tcBorders>
              <w:top w:val="nil"/>
              <w:left w:val="nil"/>
              <w:bottom w:val="nil"/>
              <w:right w:val="nil"/>
            </w:tcBorders>
            <w:shd w:val="clear" w:color="auto" w:fill="auto"/>
            <w:noWrap/>
            <w:vAlign w:val="bottom"/>
            <w:hideMark/>
          </w:tcPr>
          <w:p w14:paraId="64E18040" w14:textId="1DB37E8C"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9,526 (42.78%)</w:t>
            </w:r>
          </w:p>
        </w:tc>
      </w:tr>
      <w:tr w:rsidR="00F14548" w:rsidRPr="00F14548" w14:paraId="75FE0951" w14:textId="6556B3B8" w:rsidTr="00F14548">
        <w:trPr>
          <w:trHeight w:val="300"/>
        </w:trPr>
        <w:tc>
          <w:tcPr>
            <w:tcW w:w="3620" w:type="dxa"/>
            <w:tcBorders>
              <w:top w:val="nil"/>
              <w:left w:val="nil"/>
              <w:bottom w:val="nil"/>
              <w:right w:val="nil"/>
            </w:tcBorders>
            <w:shd w:val="clear" w:color="auto" w:fill="auto"/>
            <w:noWrap/>
            <w:vAlign w:val="bottom"/>
            <w:hideMark/>
          </w:tcPr>
          <w:p w14:paraId="7B43B631" w14:textId="61C12380" w:rsidR="00F14548" w:rsidRPr="00F14548" w:rsidRDefault="00F14548" w:rsidP="00F14548">
            <w:pPr>
              <w:spacing w:after="0" w:line="240" w:lineRule="auto"/>
              <w:ind w:firstLineChars="100" w:firstLine="180"/>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Epilepsy</w:t>
            </w:r>
          </w:p>
        </w:tc>
        <w:tc>
          <w:tcPr>
            <w:tcW w:w="2180" w:type="dxa"/>
            <w:tcBorders>
              <w:top w:val="nil"/>
              <w:left w:val="nil"/>
              <w:bottom w:val="nil"/>
              <w:right w:val="nil"/>
            </w:tcBorders>
            <w:shd w:val="clear" w:color="auto" w:fill="auto"/>
            <w:noWrap/>
            <w:vAlign w:val="bottom"/>
            <w:hideMark/>
          </w:tcPr>
          <w:p w14:paraId="6FB1619F" w14:textId="2BFAD7AF"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3,031 (1.24%)</w:t>
            </w:r>
          </w:p>
        </w:tc>
        <w:tc>
          <w:tcPr>
            <w:tcW w:w="2180" w:type="dxa"/>
            <w:tcBorders>
              <w:top w:val="nil"/>
              <w:left w:val="nil"/>
              <w:bottom w:val="nil"/>
              <w:right w:val="nil"/>
            </w:tcBorders>
            <w:shd w:val="clear" w:color="auto" w:fill="auto"/>
            <w:noWrap/>
            <w:vAlign w:val="bottom"/>
            <w:hideMark/>
          </w:tcPr>
          <w:p w14:paraId="02FAF94A" w14:textId="63FCEAA3"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3,783 (1.75%)</w:t>
            </w:r>
          </w:p>
        </w:tc>
        <w:tc>
          <w:tcPr>
            <w:tcW w:w="2180" w:type="dxa"/>
            <w:tcBorders>
              <w:top w:val="nil"/>
              <w:left w:val="nil"/>
              <w:bottom w:val="nil"/>
              <w:right w:val="nil"/>
            </w:tcBorders>
            <w:shd w:val="clear" w:color="auto" w:fill="auto"/>
            <w:noWrap/>
            <w:vAlign w:val="bottom"/>
            <w:hideMark/>
          </w:tcPr>
          <w:p w14:paraId="713A4E57" w14:textId="55F150C6"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1,936 (2.36%)</w:t>
            </w:r>
          </w:p>
        </w:tc>
        <w:tc>
          <w:tcPr>
            <w:tcW w:w="2180" w:type="dxa"/>
            <w:tcBorders>
              <w:top w:val="nil"/>
              <w:left w:val="nil"/>
              <w:bottom w:val="nil"/>
              <w:right w:val="nil"/>
            </w:tcBorders>
            <w:shd w:val="clear" w:color="auto" w:fill="auto"/>
            <w:noWrap/>
            <w:vAlign w:val="bottom"/>
            <w:hideMark/>
          </w:tcPr>
          <w:p w14:paraId="64DC643B" w14:textId="1FC50B7E"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684 (3.07%)</w:t>
            </w:r>
          </w:p>
        </w:tc>
      </w:tr>
      <w:tr w:rsidR="00F14548" w:rsidRPr="00F14548" w14:paraId="11ABD44C" w14:textId="18C32999" w:rsidTr="00F14548">
        <w:trPr>
          <w:trHeight w:val="300"/>
        </w:trPr>
        <w:tc>
          <w:tcPr>
            <w:tcW w:w="3620" w:type="dxa"/>
            <w:tcBorders>
              <w:top w:val="nil"/>
              <w:left w:val="nil"/>
              <w:bottom w:val="nil"/>
              <w:right w:val="nil"/>
            </w:tcBorders>
            <w:shd w:val="clear" w:color="auto" w:fill="auto"/>
            <w:noWrap/>
            <w:vAlign w:val="bottom"/>
            <w:hideMark/>
          </w:tcPr>
          <w:p w14:paraId="2DB8591F" w14:textId="1987ED34" w:rsidR="00F14548" w:rsidRPr="00F14548" w:rsidRDefault="00F14548" w:rsidP="00F14548">
            <w:pPr>
              <w:spacing w:after="0" w:line="240" w:lineRule="auto"/>
              <w:ind w:firstLineChars="100" w:firstLine="180"/>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SMI</w:t>
            </w:r>
          </w:p>
        </w:tc>
        <w:tc>
          <w:tcPr>
            <w:tcW w:w="2180" w:type="dxa"/>
            <w:tcBorders>
              <w:top w:val="nil"/>
              <w:left w:val="nil"/>
              <w:bottom w:val="nil"/>
              <w:right w:val="nil"/>
            </w:tcBorders>
            <w:shd w:val="clear" w:color="auto" w:fill="auto"/>
            <w:noWrap/>
            <w:vAlign w:val="bottom"/>
            <w:hideMark/>
          </w:tcPr>
          <w:p w14:paraId="143FB4EF" w14:textId="398A6DED"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2,605 (1.06%)</w:t>
            </w:r>
          </w:p>
        </w:tc>
        <w:tc>
          <w:tcPr>
            <w:tcW w:w="2180" w:type="dxa"/>
            <w:tcBorders>
              <w:top w:val="nil"/>
              <w:left w:val="nil"/>
              <w:bottom w:val="nil"/>
              <w:right w:val="nil"/>
            </w:tcBorders>
            <w:shd w:val="clear" w:color="auto" w:fill="auto"/>
            <w:noWrap/>
            <w:vAlign w:val="bottom"/>
            <w:hideMark/>
          </w:tcPr>
          <w:p w14:paraId="6B0CF0EA" w14:textId="5D06C35E"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2,527 (1.17%)</w:t>
            </w:r>
          </w:p>
        </w:tc>
        <w:tc>
          <w:tcPr>
            <w:tcW w:w="2180" w:type="dxa"/>
            <w:tcBorders>
              <w:top w:val="nil"/>
              <w:left w:val="nil"/>
              <w:bottom w:val="nil"/>
              <w:right w:val="nil"/>
            </w:tcBorders>
            <w:shd w:val="clear" w:color="auto" w:fill="auto"/>
            <w:noWrap/>
            <w:vAlign w:val="bottom"/>
            <w:hideMark/>
          </w:tcPr>
          <w:p w14:paraId="6A8334C5" w14:textId="793D03C2"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1,350 (1.64%)</w:t>
            </w:r>
          </w:p>
        </w:tc>
        <w:tc>
          <w:tcPr>
            <w:tcW w:w="2180" w:type="dxa"/>
            <w:tcBorders>
              <w:top w:val="nil"/>
              <w:left w:val="nil"/>
              <w:bottom w:val="nil"/>
              <w:right w:val="nil"/>
            </w:tcBorders>
            <w:shd w:val="clear" w:color="auto" w:fill="auto"/>
            <w:noWrap/>
            <w:vAlign w:val="bottom"/>
            <w:hideMark/>
          </w:tcPr>
          <w:p w14:paraId="468C5BD5" w14:textId="321CDFD1"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566 (2.54%)</w:t>
            </w:r>
          </w:p>
        </w:tc>
      </w:tr>
      <w:tr w:rsidR="00F14548" w:rsidRPr="00F14548" w14:paraId="4C7E4BA1" w14:textId="751906FD" w:rsidTr="00F14548">
        <w:trPr>
          <w:trHeight w:val="300"/>
        </w:trPr>
        <w:tc>
          <w:tcPr>
            <w:tcW w:w="3620" w:type="dxa"/>
            <w:tcBorders>
              <w:top w:val="nil"/>
              <w:left w:val="nil"/>
              <w:bottom w:val="nil"/>
              <w:right w:val="nil"/>
            </w:tcBorders>
            <w:shd w:val="clear" w:color="auto" w:fill="auto"/>
            <w:noWrap/>
            <w:vAlign w:val="bottom"/>
            <w:hideMark/>
          </w:tcPr>
          <w:p w14:paraId="07FC19E4" w14:textId="5FDC6E4F" w:rsidR="00F14548" w:rsidRPr="00F14548" w:rsidRDefault="00F14548" w:rsidP="00F14548">
            <w:pPr>
              <w:spacing w:after="0" w:line="240" w:lineRule="auto"/>
              <w:ind w:firstLineChars="100" w:firstLine="180"/>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lastRenderedPageBreak/>
              <w:t>Learning disability</w:t>
            </w:r>
          </w:p>
        </w:tc>
        <w:tc>
          <w:tcPr>
            <w:tcW w:w="2180" w:type="dxa"/>
            <w:tcBorders>
              <w:top w:val="nil"/>
              <w:left w:val="nil"/>
              <w:bottom w:val="nil"/>
              <w:right w:val="nil"/>
            </w:tcBorders>
            <w:shd w:val="clear" w:color="auto" w:fill="auto"/>
            <w:noWrap/>
            <w:vAlign w:val="bottom"/>
            <w:hideMark/>
          </w:tcPr>
          <w:p w14:paraId="6D79EEBB" w14:textId="30A44C41"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246 (0.10%)</w:t>
            </w:r>
          </w:p>
        </w:tc>
        <w:tc>
          <w:tcPr>
            <w:tcW w:w="2180" w:type="dxa"/>
            <w:tcBorders>
              <w:top w:val="nil"/>
              <w:left w:val="nil"/>
              <w:bottom w:val="nil"/>
              <w:right w:val="nil"/>
            </w:tcBorders>
            <w:shd w:val="clear" w:color="auto" w:fill="auto"/>
            <w:noWrap/>
            <w:vAlign w:val="bottom"/>
            <w:hideMark/>
          </w:tcPr>
          <w:p w14:paraId="79C870E5" w14:textId="7C1E0EBA"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277 (0.13%)</w:t>
            </w:r>
          </w:p>
        </w:tc>
        <w:tc>
          <w:tcPr>
            <w:tcW w:w="2180" w:type="dxa"/>
            <w:tcBorders>
              <w:top w:val="nil"/>
              <w:left w:val="nil"/>
              <w:bottom w:val="nil"/>
              <w:right w:val="nil"/>
            </w:tcBorders>
            <w:shd w:val="clear" w:color="auto" w:fill="auto"/>
            <w:noWrap/>
            <w:vAlign w:val="bottom"/>
            <w:hideMark/>
          </w:tcPr>
          <w:p w14:paraId="199FEFDD" w14:textId="1D5A9DB8"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148 (0.18%)</w:t>
            </w:r>
          </w:p>
        </w:tc>
        <w:tc>
          <w:tcPr>
            <w:tcW w:w="2180" w:type="dxa"/>
            <w:tcBorders>
              <w:top w:val="nil"/>
              <w:left w:val="nil"/>
              <w:bottom w:val="nil"/>
              <w:right w:val="nil"/>
            </w:tcBorders>
            <w:shd w:val="clear" w:color="auto" w:fill="auto"/>
            <w:noWrap/>
            <w:vAlign w:val="bottom"/>
            <w:hideMark/>
          </w:tcPr>
          <w:p w14:paraId="27C1AFB4" w14:textId="07E4F1B3"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44 (0.20%)</w:t>
            </w:r>
          </w:p>
        </w:tc>
      </w:tr>
      <w:tr w:rsidR="00F14548" w:rsidRPr="00F14548" w14:paraId="4A1B7D2D" w14:textId="7FD0BC32" w:rsidTr="00F14548">
        <w:trPr>
          <w:trHeight w:val="300"/>
        </w:trPr>
        <w:tc>
          <w:tcPr>
            <w:tcW w:w="3620" w:type="dxa"/>
            <w:tcBorders>
              <w:top w:val="nil"/>
              <w:left w:val="nil"/>
              <w:bottom w:val="nil"/>
              <w:right w:val="nil"/>
            </w:tcBorders>
            <w:shd w:val="clear" w:color="auto" w:fill="auto"/>
            <w:noWrap/>
            <w:vAlign w:val="bottom"/>
            <w:hideMark/>
          </w:tcPr>
          <w:p w14:paraId="24284505" w14:textId="7B3029FF" w:rsidR="00F14548" w:rsidRPr="00F14548" w:rsidRDefault="00F14548" w:rsidP="00F14548">
            <w:pPr>
              <w:spacing w:after="0" w:line="240" w:lineRule="auto"/>
              <w:rPr>
                <w:rFonts w:ascii="Times New Roman" w:eastAsia="Times New Roman" w:hAnsi="Times New Roman" w:cs="Times New Roman"/>
                <w:b/>
                <w:bCs/>
                <w:color w:val="000000"/>
                <w:sz w:val="18"/>
                <w:szCs w:val="18"/>
              </w:rPr>
            </w:pPr>
            <w:r w:rsidRPr="00F14548">
              <w:rPr>
                <w:rFonts w:ascii="Times New Roman" w:eastAsia="Times New Roman" w:hAnsi="Times New Roman" w:cs="Times New Roman"/>
                <w:b/>
                <w:bCs/>
                <w:color w:val="000000"/>
                <w:sz w:val="18"/>
                <w:szCs w:val="18"/>
              </w:rPr>
              <w:t>No. of consultation</w:t>
            </w:r>
            <w:r w:rsidR="006C4421">
              <w:rPr>
                <w:rFonts w:ascii="Times New Roman" w:eastAsia="Times New Roman" w:hAnsi="Times New Roman" w:cs="Times New Roman"/>
                <w:b/>
                <w:bCs/>
                <w:color w:val="000000"/>
                <w:sz w:val="18"/>
                <w:szCs w:val="18"/>
              </w:rPr>
              <w:t>s</w:t>
            </w:r>
            <w:r w:rsidR="00D63829">
              <w:rPr>
                <w:rFonts w:ascii="Times New Roman" w:eastAsia="Times New Roman" w:hAnsi="Times New Roman" w:cs="Times New Roman"/>
                <w:b/>
                <w:bCs/>
                <w:color w:val="000000"/>
                <w:sz w:val="18"/>
                <w:szCs w:val="18"/>
              </w:rPr>
              <w:t xml:space="preserve"> per person</w:t>
            </w:r>
            <w:r w:rsidRPr="00F14548">
              <w:rPr>
                <w:rFonts w:ascii="Times New Roman" w:eastAsia="Times New Roman" w:hAnsi="Times New Roman" w:cs="Times New Roman"/>
                <w:b/>
                <w:bCs/>
                <w:color w:val="000000"/>
                <w:sz w:val="18"/>
                <w:szCs w:val="18"/>
              </w:rPr>
              <w:t>, mean (SD)</w:t>
            </w:r>
          </w:p>
        </w:tc>
        <w:tc>
          <w:tcPr>
            <w:tcW w:w="2180" w:type="dxa"/>
            <w:tcBorders>
              <w:top w:val="nil"/>
              <w:left w:val="nil"/>
              <w:bottom w:val="nil"/>
              <w:right w:val="nil"/>
            </w:tcBorders>
            <w:shd w:val="clear" w:color="auto" w:fill="auto"/>
            <w:noWrap/>
            <w:vAlign w:val="bottom"/>
            <w:hideMark/>
          </w:tcPr>
          <w:p w14:paraId="37EC8903" w14:textId="01C81134" w:rsidR="00F14548" w:rsidRPr="00F14548" w:rsidRDefault="00F14548" w:rsidP="00F14548">
            <w:pPr>
              <w:spacing w:after="0" w:line="240" w:lineRule="auto"/>
              <w:rPr>
                <w:rFonts w:ascii="Times New Roman" w:eastAsia="Times New Roman" w:hAnsi="Times New Roman" w:cs="Times New Roman"/>
                <w:b/>
                <w:bCs/>
                <w:color w:val="000000"/>
                <w:sz w:val="18"/>
                <w:szCs w:val="18"/>
              </w:rPr>
            </w:pPr>
          </w:p>
        </w:tc>
        <w:tc>
          <w:tcPr>
            <w:tcW w:w="2180" w:type="dxa"/>
            <w:tcBorders>
              <w:top w:val="nil"/>
              <w:left w:val="nil"/>
              <w:bottom w:val="nil"/>
              <w:right w:val="nil"/>
            </w:tcBorders>
            <w:shd w:val="clear" w:color="auto" w:fill="auto"/>
            <w:noWrap/>
            <w:vAlign w:val="bottom"/>
            <w:hideMark/>
          </w:tcPr>
          <w:p w14:paraId="08511AC6" w14:textId="7348AB37" w:rsidR="00F14548" w:rsidRPr="00F14548" w:rsidRDefault="00F14548" w:rsidP="00F14548">
            <w:pPr>
              <w:spacing w:after="0" w:line="240" w:lineRule="auto"/>
              <w:jc w:val="center"/>
              <w:rPr>
                <w:rFonts w:ascii="Times New Roman" w:eastAsia="Times New Roman" w:hAnsi="Times New Roman" w:cs="Times New Roman"/>
                <w:sz w:val="18"/>
                <w:szCs w:val="18"/>
              </w:rPr>
            </w:pPr>
          </w:p>
        </w:tc>
        <w:tc>
          <w:tcPr>
            <w:tcW w:w="2180" w:type="dxa"/>
            <w:tcBorders>
              <w:top w:val="nil"/>
              <w:left w:val="nil"/>
              <w:bottom w:val="nil"/>
              <w:right w:val="nil"/>
            </w:tcBorders>
            <w:shd w:val="clear" w:color="auto" w:fill="auto"/>
            <w:noWrap/>
            <w:vAlign w:val="bottom"/>
            <w:hideMark/>
          </w:tcPr>
          <w:p w14:paraId="2A7CD9E0" w14:textId="45DD4715" w:rsidR="00F14548" w:rsidRPr="00F14548" w:rsidRDefault="00F14548" w:rsidP="00F14548">
            <w:pPr>
              <w:spacing w:after="0" w:line="240" w:lineRule="auto"/>
              <w:jc w:val="center"/>
              <w:rPr>
                <w:rFonts w:ascii="Times New Roman" w:eastAsia="Times New Roman" w:hAnsi="Times New Roman" w:cs="Times New Roman"/>
                <w:sz w:val="18"/>
                <w:szCs w:val="18"/>
              </w:rPr>
            </w:pPr>
          </w:p>
        </w:tc>
        <w:tc>
          <w:tcPr>
            <w:tcW w:w="2180" w:type="dxa"/>
            <w:tcBorders>
              <w:top w:val="nil"/>
              <w:left w:val="nil"/>
              <w:bottom w:val="nil"/>
              <w:right w:val="nil"/>
            </w:tcBorders>
            <w:shd w:val="clear" w:color="auto" w:fill="auto"/>
            <w:noWrap/>
            <w:vAlign w:val="bottom"/>
            <w:hideMark/>
          </w:tcPr>
          <w:p w14:paraId="12BF25D8" w14:textId="54FCC2F9" w:rsidR="00F14548" w:rsidRPr="00F14548" w:rsidRDefault="00F14548" w:rsidP="00F14548">
            <w:pPr>
              <w:spacing w:after="0" w:line="240" w:lineRule="auto"/>
              <w:jc w:val="center"/>
              <w:rPr>
                <w:rFonts w:ascii="Times New Roman" w:eastAsia="Times New Roman" w:hAnsi="Times New Roman" w:cs="Times New Roman"/>
                <w:sz w:val="18"/>
                <w:szCs w:val="18"/>
              </w:rPr>
            </w:pPr>
          </w:p>
        </w:tc>
      </w:tr>
      <w:tr w:rsidR="00F14548" w:rsidRPr="00F14548" w14:paraId="4A6CA8ED" w14:textId="1574BA3B" w:rsidTr="00F14548">
        <w:trPr>
          <w:trHeight w:val="300"/>
        </w:trPr>
        <w:tc>
          <w:tcPr>
            <w:tcW w:w="3620" w:type="dxa"/>
            <w:tcBorders>
              <w:top w:val="nil"/>
              <w:left w:val="nil"/>
              <w:bottom w:val="nil"/>
              <w:right w:val="nil"/>
            </w:tcBorders>
            <w:shd w:val="clear" w:color="auto" w:fill="auto"/>
            <w:noWrap/>
            <w:vAlign w:val="bottom"/>
            <w:hideMark/>
          </w:tcPr>
          <w:p w14:paraId="12E3962E" w14:textId="34639BBE" w:rsidR="00F14548" w:rsidRPr="00F14548" w:rsidRDefault="009D32F0" w:rsidP="00F14548">
            <w:pPr>
              <w:spacing w:after="0" w:line="240" w:lineRule="auto"/>
              <w:ind w:firstLineChars="100" w:firstLine="18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GPs</w:t>
            </w:r>
          </w:p>
        </w:tc>
        <w:tc>
          <w:tcPr>
            <w:tcW w:w="2180" w:type="dxa"/>
            <w:tcBorders>
              <w:top w:val="nil"/>
              <w:left w:val="nil"/>
              <w:bottom w:val="nil"/>
              <w:right w:val="nil"/>
            </w:tcBorders>
            <w:shd w:val="clear" w:color="auto" w:fill="auto"/>
            <w:noWrap/>
            <w:vAlign w:val="bottom"/>
            <w:hideMark/>
          </w:tcPr>
          <w:p w14:paraId="40053030" w14:textId="6BF7CD58"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7.60 (7.54)</w:t>
            </w:r>
          </w:p>
        </w:tc>
        <w:tc>
          <w:tcPr>
            <w:tcW w:w="2180" w:type="dxa"/>
            <w:tcBorders>
              <w:top w:val="nil"/>
              <w:left w:val="nil"/>
              <w:bottom w:val="nil"/>
              <w:right w:val="nil"/>
            </w:tcBorders>
            <w:shd w:val="clear" w:color="auto" w:fill="auto"/>
            <w:noWrap/>
            <w:vAlign w:val="bottom"/>
            <w:hideMark/>
          </w:tcPr>
          <w:p w14:paraId="2216743C" w14:textId="7DABFC40"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12.53 (10.30)</w:t>
            </w:r>
          </w:p>
        </w:tc>
        <w:tc>
          <w:tcPr>
            <w:tcW w:w="2180" w:type="dxa"/>
            <w:tcBorders>
              <w:top w:val="nil"/>
              <w:left w:val="nil"/>
              <w:bottom w:val="nil"/>
              <w:right w:val="nil"/>
            </w:tcBorders>
            <w:shd w:val="clear" w:color="auto" w:fill="auto"/>
            <w:noWrap/>
            <w:vAlign w:val="bottom"/>
            <w:hideMark/>
          </w:tcPr>
          <w:p w14:paraId="5275F09F" w14:textId="75B80C20"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17.29 (13.32)</w:t>
            </w:r>
          </w:p>
        </w:tc>
        <w:tc>
          <w:tcPr>
            <w:tcW w:w="2180" w:type="dxa"/>
            <w:tcBorders>
              <w:top w:val="nil"/>
              <w:left w:val="nil"/>
              <w:bottom w:val="nil"/>
              <w:right w:val="nil"/>
            </w:tcBorders>
            <w:shd w:val="clear" w:color="auto" w:fill="auto"/>
            <w:noWrap/>
            <w:vAlign w:val="bottom"/>
            <w:hideMark/>
          </w:tcPr>
          <w:p w14:paraId="119CE0E7" w14:textId="53378EF9"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22.41 (17.11)</w:t>
            </w:r>
          </w:p>
        </w:tc>
      </w:tr>
      <w:tr w:rsidR="00F14548" w:rsidRPr="00F14548" w14:paraId="11E299A9" w14:textId="587CF4B6" w:rsidTr="00F14548">
        <w:trPr>
          <w:trHeight w:val="300"/>
        </w:trPr>
        <w:tc>
          <w:tcPr>
            <w:tcW w:w="3620" w:type="dxa"/>
            <w:tcBorders>
              <w:top w:val="nil"/>
              <w:left w:val="nil"/>
              <w:bottom w:val="nil"/>
              <w:right w:val="nil"/>
            </w:tcBorders>
            <w:shd w:val="clear" w:color="auto" w:fill="auto"/>
            <w:noWrap/>
            <w:vAlign w:val="bottom"/>
            <w:hideMark/>
          </w:tcPr>
          <w:p w14:paraId="45996FFA" w14:textId="70E42366" w:rsidR="00F14548" w:rsidRPr="00F14548" w:rsidRDefault="00F14548" w:rsidP="00F14548">
            <w:pPr>
              <w:spacing w:after="0" w:line="240" w:lineRule="auto"/>
              <w:ind w:firstLineChars="100" w:firstLine="180"/>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Practice nurses</w:t>
            </w:r>
          </w:p>
        </w:tc>
        <w:tc>
          <w:tcPr>
            <w:tcW w:w="2180" w:type="dxa"/>
            <w:tcBorders>
              <w:top w:val="nil"/>
              <w:left w:val="nil"/>
              <w:bottom w:val="nil"/>
              <w:right w:val="nil"/>
            </w:tcBorders>
            <w:shd w:val="clear" w:color="auto" w:fill="auto"/>
            <w:noWrap/>
            <w:vAlign w:val="bottom"/>
            <w:hideMark/>
          </w:tcPr>
          <w:p w14:paraId="2A69A888" w14:textId="549FBBEE"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2.88 (4.64)</w:t>
            </w:r>
          </w:p>
        </w:tc>
        <w:tc>
          <w:tcPr>
            <w:tcW w:w="2180" w:type="dxa"/>
            <w:tcBorders>
              <w:top w:val="nil"/>
              <w:left w:val="nil"/>
              <w:bottom w:val="nil"/>
              <w:right w:val="nil"/>
            </w:tcBorders>
            <w:shd w:val="clear" w:color="auto" w:fill="auto"/>
            <w:noWrap/>
            <w:vAlign w:val="bottom"/>
            <w:hideMark/>
          </w:tcPr>
          <w:p w14:paraId="327333A9" w14:textId="14AC0CEC"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4.51 (6.73)</w:t>
            </w:r>
          </w:p>
        </w:tc>
        <w:tc>
          <w:tcPr>
            <w:tcW w:w="2180" w:type="dxa"/>
            <w:tcBorders>
              <w:top w:val="nil"/>
              <w:left w:val="nil"/>
              <w:bottom w:val="nil"/>
              <w:right w:val="nil"/>
            </w:tcBorders>
            <w:shd w:val="clear" w:color="auto" w:fill="auto"/>
            <w:noWrap/>
            <w:vAlign w:val="bottom"/>
            <w:hideMark/>
          </w:tcPr>
          <w:p w14:paraId="0891B476" w14:textId="51AC462B"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6.02 (9.24)</w:t>
            </w:r>
          </w:p>
        </w:tc>
        <w:tc>
          <w:tcPr>
            <w:tcW w:w="2180" w:type="dxa"/>
            <w:tcBorders>
              <w:top w:val="nil"/>
              <w:left w:val="nil"/>
              <w:bottom w:val="nil"/>
              <w:right w:val="nil"/>
            </w:tcBorders>
            <w:shd w:val="clear" w:color="auto" w:fill="auto"/>
            <w:noWrap/>
            <w:vAlign w:val="bottom"/>
            <w:hideMark/>
          </w:tcPr>
          <w:p w14:paraId="58C4D314" w14:textId="596A2792"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7.25 (11.02)</w:t>
            </w:r>
          </w:p>
        </w:tc>
      </w:tr>
      <w:tr w:rsidR="00F14548" w:rsidRPr="00F14548" w14:paraId="77B26F8D" w14:textId="5C60FE56" w:rsidTr="00F14548">
        <w:trPr>
          <w:trHeight w:val="300"/>
        </w:trPr>
        <w:tc>
          <w:tcPr>
            <w:tcW w:w="3620" w:type="dxa"/>
            <w:tcBorders>
              <w:top w:val="nil"/>
              <w:left w:val="nil"/>
              <w:bottom w:val="nil"/>
              <w:right w:val="nil"/>
            </w:tcBorders>
            <w:shd w:val="clear" w:color="auto" w:fill="auto"/>
            <w:noWrap/>
            <w:vAlign w:val="bottom"/>
            <w:hideMark/>
          </w:tcPr>
          <w:p w14:paraId="3D2D9161" w14:textId="60D3C1C7" w:rsidR="00F14548" w:rsidRPr="00F14548" w:rsidRDefault="00F14548" w:rsidP="00F14548">
            <w:pPr>
              <w:spacing w:after="0" w:line="240" w:lineRule="auto"/>
              <w:rPr>
                <w:rFonts w:ascii="Times New Roman" w:eastAsia="Times New Roman" w:hAnsi="Times New Roman" w:cs="Times New Roman"/>
                <w:b/>
                <w:bCs/>
                <w:color w:val="000000"/>
                <w:sz w:val="18"/>
                <w:szCs w:val="18"/>
              </w:rPr>
            </w:pPr>
            <w:r w:rsidRPr="00F14548">
              <w:rPr>
                <w:rFonts w:ascii="Times New Roman" w:eastAsia="Times New Roman" w:hAnsi="Times New Roman" w:cs="Times New Roman"/>
                <w:b/>
                <w:bCs/>
                <w:color w:val="000000"/>
                <w:sz w:val="18"/>
                <w:szCs w:val="18"/>
              </w:rPr>
              <w:t>No. of hospital admission</w:t>
            </w:r>
            <w:r w:rsidR="006C4421">
              <w:rPr>
                <w:rFonts w:ascii="Times New Roman" w:eastAsia="Times New Roman" w:hAnsi="Times New Roman" w:cs="Times New Roman"/>
                <w:b/>
                <w:bCs/>
                <w:color w:val="000000"/>
                <w:sz w:val="18"/>
                <w:szCs w:val="18"/>
              </w:rPr>
              <w:t>s</w:t>
            </w:r>
            <w:r w:rsidR="00D63829">
              <w:rPr>
                <w:rFonts w:ascii="Times New Roman" w:eastAsia="Times New Roman" w:hAnsi="Times New Roman" w:cs="Times New Roman"/>
                <w:b/>
                <w:bCs/>
                <w:color w:val="000000"/>
                <w:sz w:val="18"/>
                <w:szCs w:val="18"/>
              </w:rPr>
              <w:t xml:space="preserve"> per person</w:t>
            </w:r>
            <w:r w:rsidRPr="00F14548">
              <w:rPr>
                <w:rFonts w:ascii="Times New Roman" w:eastAsia="Times New Roman" w:hAnsi="Times New Roman" w:cs="Times New Roman"/>
                <w:b/>
                <w:bCs/>
                <w:color w:val="000000"/>
                <w:sz w:val="18"/>
                <w:szCs w:val="18"/>
              </w:rPr>
              <w:t>, mean (SD)</w:t>
            </w:r>
          </w:p>
        </w:tc>
        <w:tc>
          <w:tcPr>
            <w:tcW w:w="2180" w:type="dxa"/>
            <w:tcBorders>
              <w:top w:val="nil"/>
              <w:left w:val="nil"/>
              <w:bottom w:val="nil"/>
              <w:right w:val="nil"/>
            </w:tcBorders>
            <w:shd w:val="clear" w:color="auto" w:fill="auto"/>
            <w:noWrap/>
            <w:vAlign w:val="bottom"/>
            <w:hideMark/>
          </w:tcPr>
          <w:p w14:paraId="182F1DCB" w14:textId="36BDE9CD" w:rsidR="00F14548" w:rsidRPr="00F14548" w:rsidRDefault="00F14548" w:rsidP="00F14548">
            <w:pPr>
              <w:spacing w:after="0" w:line="240" w:lineRule="auto"/>
              <w:rPr>
                <w:rFonts w:ascii="Times New Roman" w:eastAsia="Times New Roman" w:hAnsi="Times New Roman" w:cs="Times New Roman"/>
                <w:b/>
                <w:bCs/>
                <w:color w:val="000000"/>
                <w:sz w:val="18"/>
                <w:szCs w:val="18"/>
              </w:rPr>
            </w:pPr>
          </w:p>
        </w:tc>
        <w:tc>
          <w:tcPr>
            <w:tcW w:w="2180" w:type="dxa"/>
            <w:tcBorders>
              <w:top w:val="nil"/>
              <w:left w:val="nil"/>
              <w:bottom w:val="nil"/>
              <w:right w:val="nil"/>
            </w:tcBorders>
            <w:shd w:val="clear" w:color="auto" w:fill="auto"/>
            <w:noWrap/>
            <w:vAlign w:val="bottom"/>
            <w:hideMark/>
          </w:tcPr>
          <w:p w14:paraId="6296A945" w14:textId="2EBF36A4" w:rsidR="00F14548" w:rsidRPr="00F14548" w:rsidRDefault="00F14548" w:rsidP="00F14548">
            <w:pPr>
              <w:spacing w:after="0" w:line="240" w:lineRule="auto"/>
              <w:jc w:val="center"/>
              <w:rPr>
                <w:rFonts w:ascii="Times New Roman" w:eastAsia="Times New Roman" w:hAnsi="Times New Roman" w:cs="Times New Roman"/>
                <w:sz w:val="18"/>
                <w:szCs w:val="18"/>
              </w:rPr>
            </w:pPr>
          </w:p>
        </w:tc>
        <w:tc>
          <w:tcPr>
            <w:tcW w:w="2180" w:type="dxa"/>
            <w:tcBorders>
              <w:top w:val="nil"/>
              <w:left w:val="nil"/>
              <w:bottom w:val="nil"/>
              <w:right w:val="nil"/>
            </w:tcBorders>
            <w:shd w:val="clear" w:color="auto" w:fill="auto"/>
            <w:noWrap/>
            <w:vAlign w:val="bottom"/>
            <w:hideMark/>
          </w:tcPr>
          <w:p w14:paraId="48E8A291" w14:textId="789FEAE5" w:rsidR="00F14548" w:rsidRPr="00F14548" w:rsidRDefault="00F14548" w:rsidP="00F14548">
            <w:pPr>
              <w:spacing w:after="0" w:line="240" w:lineRule="auto"/>
              <w:jc w:val="center"/>
              <w:rPr>
                <w:rFonts w:ascii="Times New Roman" w:eastAsia="Times New Roman" w:hAnsi="Times New Roman" w:cs="Times New Roman"/>
                <w:sz w:val="18"/>
                <w:szCs w:val="18"/>
              </w:rPr>
            </w:pPr>
          </w:p>
        </w:tc>
        <w:tc>
          <w:tcPr>
            <w:tcW w:w="2180" w:type="dxa"/>
            <w:tcBorders>
              <w:top w:val="nil"/>
              <w:left w:val="nil"/>
              <w:bottom w:val="nil"/>
              <w:right w:val="nil"/>
            </w:tcBorders>
            <w:shd w:val="clear" w:color="auto" w:fill="auto"/>
            <w:noWrap/>
            <w:vAlign w:val="bottom"/>
            <w:hideMark/>
          </w:tcPr>
          <w:p w14:paraId="1FB18119" w14:textId="2A0351AC" w:rsidR="00F14548" w:rsidRPr="00F14548" w:rsidRDefault="00F14548" w:rsidP="00F14548">
            <w:pPr>
              <w:spacing w:after="0" w:line="240" w:lineRule="auto"/>
              <w:jc w:val="center"/>
              <w:rPr>
                <w:rFonts w:ascii="Times New Roman" w:eastAsia="Times New Roman" w:hAnsi="Times New Roman" w:cs="Times New Roman"/>
                <w:sz w:val="18"/>
                <w:szCs w:val="18"/>
              </w:rPr>
            </w:pPr>
          </w:p>
        </w:tc>
      </w:tr>
      <w:tr w:rsidR="00F14548" w:rsidRPr="00F14548" w14:paraId="58695688" w14:textId="454631F8" w:rsidTr="00F14548">
        <w:trPr>
          <w:trHeight w:val="300"/>
        </w:trPr>
        <w:tc>
          <w:tcPr>
            <w:tcW w:w="3620" w:type="dxa"/>
            <w:tcBorders>
              <w:top w:val="nil"/>
              <w:left w:val="nil"/>
              <w:bottom w:val="nil"/>
              <w:right w:val="nil"/>
            </w:tcBorders>
            <w:shd w:val="clear" w:color="auto" w:fill="auto"/>
            <w:noWrap/>
            <w:vAlign w:val="bottom"/>
            <w:hideMark/>
          </w:tcPr>
          <w:p w14:paraId="136E5B67" w14:textId="6DC88FE8" w:rsidR="00F14548" w:rsidRPr="00F14548" w:rsidRDefault="00F14548" w:rsidP="00F14548">
            <w:pPr>
              <w:spacing w:after="0" w:line="240" w:lineRule="auto"/>
              <w:ind w:firstLineChars="100" w:firstLine="180"/>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Emergency</w:t>
            </w:r>
          </w:p>
        </w:tc>
        <w:tc>
          <w:tcPr>
            <w:tcW w:w="2180" w:type="dxa"/>
            <w:tcBorders>
              <w:top w:val="nil"/>
              <w:left w:val="nil"/>
              <w:bottom w:val="nil"/>
              <w:right w:val="nil"/>
            </w:tcBorders>
            <w:shd w:val="clear" w:color="auto" w:fill="auto"/>
            <w:noWrap/>
            <w:vAlign w:val="bottom"/>
            <w:hideMark/>
          </w:tcPr>
          <w:p w14:paraId="0BB5368B" w14:textId="062452AA"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0.11 (0.44)</w:t>
            </w:r>
          </w:p>
        </w:tc>
        <w:tc>
          <w:tcPr>
            <w:tcW w:w="2180" w:type="dxa"/>
            <w:tcBorders>
              <w:top w:val="nil"/>
              <w:left w:val="nil"/>
              <w:bottom w:val="nil"/>
              <w:right w:val="nil"/>
            </w:tcBorders>
            <w:shd w:val="clear" w:color="auto" w:fill="auto"/>
            <w:noWrap/>
            <w:vAlign w:val="bottom"/>
            <w:hideMark/>
          </w:tcPr>
          <w:p w14:paraId="41FA27D8" w14:textId="7409A675"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0.23 (0.67)</w:t>
            </w:r>
          </w:p>
        </w:tc>
        <w:tc>
          <w:tcPr>
            <w:tcW w:w="2180" w:type="dxa"/>
            <w:tcBorders>
              <w:top w:val="nil"/>
              <w:left w:val="nil"/>
              <w:bottom w:val="nil"/>
              <w:right w:val="nil"/>
            </w:tcBorders>
            <w:shd w:val="clear" w:color="auto" w:fill="auto"/>
            <w:noWrap/>
            <w:vAlign w:val="bottom"/>
            <w:hideMark/>
          </w:tcPr>
          <w:p w14:paraId="34D76FE6" w14:textId="1099A610"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0.44 (0.95)</w:t>
            </w:r>
          </w:p>
        </w:tc>
        <w:tc>
          <w:tcPr>
            <w:tcW w:w="2180" w:type="dxa"/>
            <w:tcBorders>
              <w:top w:val="nil"/>
              <w:left w:val="nil"/>
              <w:bottom w:val="nil"/>
              <w:right w:val="nil"/>
            </w:tcBorders>
            <w:shd w:val="clear" w:color="auto" w:fill="auto"/>
            <w:noWrap/>
            <w:vAlign w:val="bottom"/>
            <w:hideMark/>
          </w:tcPr>
          <w:p w14:paraId="47EC89A5" w14:textId="7E4201A6"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0.74 (1.25)</w:t>
            </w:r>
          </w:p>
        </w:tc>
      </w:tr>
      <w:tr w:rsidR="00F14548" w:rsidRPr="00F14548" w14:paraId="79B8AF24" w14:textId="2FA82B4A" w:rsidTr="00F14548">
        <w:trPr>
          <w:trHeight w:val="300"/>
        </w:trPr>
        <w:tc>
          <w:tcPr>
            <w:tcW w:w="3620" w:type="dxa"/>
            <w:tcBorders>
              <w:top w:val="nil"/>
              <w:left w:val="nil"/>
              <w:bottom w:val="nil"/>
              <w:right w:val="nil"/>
            </w:tcBorders>
            <w:shd w:val="clear" w:color="auto" w:fill="auto"/>
            <w:noWrap/>
            <w:vAlign w:val="bottom"/>
            <w:hideMark/>
          </w:tcPr>
          <w:p w14:paraId="5C298635" w14:textId="2D08FEA7" w:rsidR="00F14548" w:rsidRPr="00F14548" w:rsidRDefault="00F14548" w:rsidP="00F14548">
            <w:pPr>
              <w:spacing w:after="0" w:line="240" w:lineRule="auto"/>
              <w:ind w:firstLineChars="100" w:firstLine="180"/>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Elective</w:t>
            </w:r>
          </w:p>
        </w:tc>
        <w:tc>
          <w:tcPr>
            <w:tcW w:w="2180" w:type="dxa"/>
            <w:tcBorders>
              <w:top w:val="nil"/>
              <w:left w:val="nil"/>
              <w:bottom w:val="nil"/>
              <w:right w:val="nil"/>
            </w:tcBorders>
            <w:shd w:val="clear" w:color="auto" w:fill="auto"/>
            <w:noWrap/>
            <w:vAlign w:val="bottom"/>
            <w:hideMark/>
          </w:tcPr>
          <w:p w14:paraId="400E812F" w14:textId="19369536"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0.26 (1.87)</w:t>
            </w:r>
          </w:p>
        </w:tc>
        <w:tc>
          <w:tcPr>
            <w:tcW w:w="2180" w:type="dxa"/>
            <w:tcBorders>
              <w:top w:val="nil"/>
              <w:left w:val="nil"/>
              <w:bottom w:val="nil"/>
              <w:right w:val="nil"/>
            </w:tcBorders>
            <w:shd w:val="clear" w:color="auto" w:fill="auto"/>
            <w:noWrap/>
            <w:vAlign w:val="bottom"/>
            <w:hideMark/>
          </w:tcPr>
          <w:p w14:paraId="077ED16D" w14:textId="4C1D550F"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0.41 (2.91)</w:t>
            </w:r>
          </w:p>
        </w:tc>
        <w:tc>
          <w:tcPr>
            <w:tcW w:w="2180" w:type="dxa"/>
            <w:tcBorders>
              <w:top w:val="nil"/>
              <w:left w:val="nil"/>
              <w:bottom w:val="nil"/>
              <w:right w:val="nil"/>
            </w:tcBorders>
            <w:shd w:val="clear" w:color="auto" w:fill="auto"/>
            <w:noWrap/>
            <w:vAlign w:val="bottom"/>
            <w:hideMark/>
          </w:tcPr>
          <w:p w14:paraId="273504E9" w14:textId="067C933E"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0.59 (4.94)</w:t>
            </w:r>
          </w:p>
        </w:tc>
        <w:tc>
          <w:tcPr>
            <w:tcW w:w="2180" w:type="dxa"/>
            <w:tcBorders>
              <w:top w:val="nil"/>
              <w:left w:val="nil"/>
              <w:bottom w:val="nil"/>
              <w:right w:val="nil"/>
            </w:tcBorders>
            <w:shd w:val="clear" w:color="auto" w:fill="auto"/>
            <w:noWrap/>
            <w:vAlign w:val="bottom"/>
            <w:hideMark/>
          </w:tcPr>
          <w:p w14:paraId="380A2EF8" w14:textId="74FD2CAF"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0.69 (6.08)</w:t>
            </w:r>
          </w:p>
        </w:tc>
      </w:tr>
      <w:tr w:rsidR="00F14548" w:rsidRPr="00F14548" w14:paraId="04AFF916" w14:textId="64E2C7F6" w:rsidTr="00F14548">
        <w:trPr>
          <w:trHeight w:val="300"/>
        </w:trPr>
        <w:tc>
          <w:tcPr>
            <w:tcW w:w="3620" w:type="dxa"/>
            <w:tcBorders>
              <w:top w:val="nil"/>
              <w:left w:val="nil"/>
              <w:bottom w:val="nil"/>
              <w:right w:val="nil"/>
            </w:tcBorders>
            <w:shd w:val="clear" w:color="auto" w:fill="auto"/>
            <w:noWrap/>
            <w:vAlign w:val="bottom"/>
            <w:hideMark/>
          </w:tcPr>
          <w:p w14:paraId="3D23EA1F" w14:textId="068A22B5" w:rsidR="00F14548" w:rsidRPr="00F14548" w:rsidRDefault="00F14548" w:rsidP="00F14548">
            <w:pPr>
              <w:spacing w:after="0" w:line="240" w:lineRule="auto"/>
              <w:rPr>
                <w:rFonts w:ascii="Times New Roman" w:eastAsia="Times New Roman" w:hAnsi="Times New Roman" w:cs="Times New Roman"/>
                <w:b/>
                <w:bCs/>
                <w:color w:val="000000"/>
                <w:sz w:val="18"/>
                <w:szCs w:val="18"/>
              </w:rPr>
            </w:pPr>
            <w:r w:rsidRPr="00F14548">
              <w:rPr>
                <w:rFonts w:ascii="Times New Roman" w:eastAsia="Times New Roman" w:hAnsi="Times New Roman" w:cs="Times New Roman"/>
                <w:b/>
                <w:bCs/>
                <w:color w:val="000000"/>
                <w:sz w:val="18"/>
                <w:szCs w:val="18"/>
              </w:rPr>
              <w:t>No. of inpatient day</w:t>
            </w:r>
            <w:r w:rsidR="006C4421">
              <w:rPr>
                <w:rFonts w:ascii="Times New Roman" w:eastAsia="Times New Roman" w:hAnsi="Times New Roman" w:cs="Times New Roman"/>
                <w:b/>
                <w:bCs/>
                <w:color w:val="000000"/>
                <w:sz w:val="18"/>
                <w:szCs w:val="18"/>
              </w:rPr>
              <w:t>s</w:t>
            </w:r>
            <w:r w:rsidR="00D63829">
              <w:rPr>
                <w:rFonts w:ascii="Times New Roman" w:eastAsia="Times New Roman" w:hAnsi="Times New Roman" w:cs="Times New Roman"/>
                <w:b/>
                <w:bCs/>
                <w:color w:val="000000"/>
                <w:sz w:val="18"/>
                <w:szCs w:val="18"/>
              </w:rPr>
              <w:t xml:space="preserve"> per person</w:t>
            </w:r>
            <w:r w:rsidRPr="00F14548">
              <w:rPr>
                <w:rFonts w:ascii="Times New Roman" w:eastAsia="Times New Roman" w:hAnsi="Times New Roman" w:cs="Times New Roman"/>
                <w:b/>
                <w:bCs/>
                <w:color w:val="000000"/>
                <w:sz w:val="18"/>
                <w:szCs w:val="18"/>
              </w:rPr>
              <w:t>, mean (SD)</w:t>
            </w:r>
          </w:p>
        </w:tc>
        <w:tc>
          <w:tcPr>
            <w:tcW w:w="2180" w:type="dxa"/>
            <w:tcBorders>
              <w:top w:val="nil"/>
              <w:left w:val="nil"/>
              <w:bottom w:val="nil"/>
              <w:right w:val="nil"/>
            </w:tcBorders>
            <w:shd w:val="clear" w:color="auto" w:fill="auto"/>
            <w:noWrap/>
            <w:vAlign w:val="bottom"/>
            <w:hideMark/>
          </w:tcPr>
          <w:p w14:paraId="25D96C6C" w14:textId="7C6225F5" w:rsidR="00F14548" w:rsidRPr="00F14548" w:rsidRDefault="00F14548" w:rsidP="00F14548">
            <w:pPr>
              <w:spacing w:after="0" w:line="240" w:lineRule="auto"/>
              <w:rPr>
                <w:rFonts w:ascii="Times New Roman" w:eastAsia="Times New Roman" w:hAnsi="Times New Roman" w:cs="Times New Roman"/>
                <w:b/>
                <w:bCs/>
                <w:color w:val="000000"/>
                <w:sz w:val="18"/>
                <w:szCs w:val="18"/>
              </w:rPr>
            </w:pPr>
          </w:p>
        </w:tc>
        <w:tc>
          <w:tcPr>
            <w:tcW w:w="2180" w:type="dxa"/>
            <w:tcBorders>
              <w:top w:val="nil"/>
              <w:left w:val="nil"/>
              <w:bottom w:val="nil"/>
              <w:right w:val="nil"/>
            </w:tcBorders>
            <w:shd w:val="clear" w:color="auto" w:fill="auto"/>
            <w:noWrap/>
            <w:vAlign w:val="bottom"/>
            <w:hideMark/>
          </w:tcPr>
          <w:p w14:paraId="212137D0" w14:textId="5C572EA6" w:rsidR="00F14548" w:rsidRPr="00F14548" w:rsidRDefault="00F14548" w:rsidP="00F14548">
            <w:pPr>
              <w:spacing w:after="0" w:line="240" w:lineRule="auto"/>
              <w:jc w:val="center"/>
              <w:rPr>
                <w:rFonts w:ascii="Times New Roman" w:eastAsia="Times New Roman" w:hAnsi="Times New Roman" w:cs="Times New Roman"/>
                <w:sz w:val="18"/>
                <w:szCs w:val="18"/>
              </w:rPr>
            </w:pPr>
          </w:p>
        </w:tc>
        <w:tc>
          <w:tcPr>
            <w:tcW w:w="2180" w:type="dxa"/>
            <w:tcBorders>
              <w:top w:val="nil"/>
              <w:left w:val="nil"/>
              <w:bottom w:val="nil"/>
              <w:right w:val="nil"/>
            </w:tcBorders>
            <w:shd w:val="clear" w:color="auto" w:fill="auto"/>
            <w:noWrap/>
            <w:vAlign w:val="bottom"/>
            <w:hideMark/>
          </w:tcPr>
          <w:p w14:paraId="1266F278" w14:textId="17A57FE2" w:rsidR="00F14548" w:rsidRPr="00F14548" w:rsidRDefault="00F14548" w:rsidP="00F14548">
            <w:pPr>
              <w:spacing w:after="0" w:line="240" w:lineRule="auto"/>
              <w:jc w:val="center"/>
              <w:rPr>
                <w:rFonts w:ascii="Times New Roman" w:eastAsia="Times New Roman" w:hAnsi="Times New Roman" w:cs="Times New Roman"/>
                <w:sz w:val="18"/>
                <w:szCs w:val="18"/>
              </w:rPr>
            </w:pPr>
          </w:p>
        </w:tc>
        <w:tc>
          <w:tcPr>
            <w:tcW w:w="2180" w:type="dxa"/>
            <w:tcBorders>
              <w:top w:val="nil"/>
              <w:left w:val="nil"/>
              <w:bottom w:val="nil"/>
              <w:right w:val="nil"/>
            </w:tcBorders>
            <w:shd w:val="clear" w:color="auto" w:fill="auto"/>
            <w:noWrap/>
            <w:vAlign w:val="bottom"/>
            <w:hideMark/>
          </w:tcPr>
          <w:p w14:paraId="12709926" w14:textId="4327B1F4" w:rsidR="00F14548" w:rsidRPr="00F14548" w:rsidRDefault="00F14548" w:rsidP="00F14548">
            <w:pPr>
              <w:spacing w:after="0" w:line="240" w:lineRule="auto"/>
              <w:jc w:val="center"/>
              <w:rPr>
                <w:rFonts w:ascii="Times New Roman" w:eastAsia="Times New Roman" w:hAnsi="Times New Roman" w:cs="Times New Roman"/>
                <w:sz w:val="18"/>
                <w:szCs w:val="18"/>
              </w:rPr>
            </w:pPr>
          </w:p>
        </w:tc>
      </w:tr>
      <w:tr w:rsidR="00F14548" w:rsidRPr="00F14548" w14:paraId="55C54702" w14:textId="03C13DA7" w:rsidTr="00F14548">
        <w:trPr>
          <w:trHeight w:val="300"/>
        </w:trPr>
        <w:tc>
          <w:tcPr>
            <w:tcW w:w="3620" w:type="dxa"/>
            <w:tcBorders>
              <w:top w:val="nil"/>
              <w:left w:val="nil"/>
              <w:bottom w:val="nil"/>
              <w:right w:val="nil"/>
            </w:tcBorders>
            <w:shd w:val="clear" w:color="auto" w:fill="auto"/>
            <w:noWrap/>
            <w:vAlign w:val="bottom"/>
            <w:hideMark/>
          </w:tcPr>
          <w:p w14:paraId="6DF36FE5" w14:textId="7D946B64" w:rsidR="00F14548" w:rsidRPr="00F14548" w:rsidRDefault="00F14548" w:rsidP="00F14548">
            <w:pPr>
              <w:spacing w:after="0" w:line="240" w:lineRule="auto"/>
              <w:ind w:firstLineChars="100" w:firstLine="180"/>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Emergency</w:t>
            </w:r>
          </w:p>
        </w:tc>
        <w:tc>
          <w:tcPr>
            <w:tcW w:w="2180" w:type="dxa"/>
            <w:tcBorders>
              <w:top w:val="nil"/>
              <w:left w:val="nil"/>
              <w:bottom w:val="nil"/>
              <w:right w:val="nil"/>
            </w:tcBorders>
            <w:shd w:val="clear" w:color="auto" w:fill="auto"/>
            <w:noWrap/>
            <w:vAlign w:val="bottom"/>
            <w:hideMark/>
          </w:tcPr>
          <w:p w14:paraId="2F189928" w14:textId="1C5A8C3E"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1.01 (6.42)</w:t>
            </w:r>
          </w:p>
        </w:tc>
        <w:tc>
          <w:tcPr>
            <w:tcW w:w="2180" w:type="dxa"/>
            <w:tcBorders>
              <w:top w:val="nil"/>
              <w:left w:val="nil"/>
              <w:bottom w:val="nil"/>
              <w:right w:val="nil"/>
            </w:tcBorders>
            <w:shd w:val="clear" w:color="auto" w:fill="auto"/>
            <w:noWrap/>
            <w:vAlign w:val="bottom"/>
            <w:hideMark/>
          </w:tcPr>
          <w:p w14:paraId="5DB85BD6" w14:textId="4959BF55"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2.13 (9.39)</w:t>
            </w:r>
          </w:p>
        </w:tc>
        <w:tc>
          <w:tcPr>
            <w:tcW w:w="2180" w:type="dxa"/>
            <w:tcBorders>
              <w:top w:val="nil"/>
              <w:left w:val="nil"/>
              <w:bottom w:val="nil"/>
              <w:right w:val="nil"/>
            </w:tcBorders>
            <w:shd w:val="clear" w:color="auto" w:fill="auto"/>
            <w:noWrap/>
            <w:vAlign w:val="bottom"/>
            <w:hideMark/>
          </w:tcPr>
          <w:p w14:paraId="04A80573" w14:textId="190F8695"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4.34 (13.55)</w:t>
            </w:r>
          </w:p>
        </w:tc>
        <w:tc>
          <w:tcPr>
            <w:tcW w:w="2180" w:type="dxa"/>
            <w:tcBorders>
              <w:top w:val="nil"/>
              <w:left w:val="nil"/>
              <w:bottom w:val="nil"/>
              <w:right w:val="nil"/>
            </w:tcBorders>
            <w:shd w:val="clear" w:color="auto" w:fill="auto"/>
            <w:noWrap/>
            <w:vAlign w:val="bottom"/>
            <w:hideMark/>
          </w:tcPr>
          <w:p w14:paraId="3CE5C50D" w14:textId="461737B7"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7.81 (18.52)</w:t>
            </w:r>
          </w:p>
        </w:tc>
      </w:tr>
      <w:tr w:rsidR="00F14548" w:rsidRPr="00F14548" w14:paraId="0C883CD2" w14:textId="14F1E9F8" w:rsidTr="00F14548">
        <w:trPr>
          <w:trHeight w:val="300"/>
        </w:trPr>
        <w:tc>
          <w:tcPr>
            <w:tcW w:w="3620" w:type="dxa"/>
            <w:tcBorders>
              <w:top w:val="nil"/>
              <w:left w:val="nil"/>
              <w:bottom w:val="single" w:sz="4" w:space="0" w:color="auto"/>
              <w:right w:val="nil"/>
            </w:tcBorders>
            <w:shd w:val="clear" w:color="auto" w:fill="auto"/>
            <w:noWrap/>
            <w:vAlign w:val="bottom"/>
            <w:hideMark/>
          </w:tcPr>
          <w:p w14:paraId="0C41F5EA" w14:textId="307E1B9E" w:rsidR="00F14548" w:rsidRPr="00F14548" w:rsidRDefault="00F14548" w:rsidP="00F14548">
            <w:pPr>
              <w:spacing w:after="0" w:line="240" w:lineRule="auto"/>
              <w:ind w:firstLineChars="100" w:firstLine="180"/>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Elective</w:t>
            </w:r>
          </w:p>
        </w:tc>
        <w:tc>
          <w:tcPr>
            <w:tcW w:w="2180" w:type="dxa"/>
            <w:tcBorders>
              <w:top w:val="nil"/>
              <w:left w:val="nil"/>
              <w:bottom w:val="single" w:sz="4" w:space="0" w:color="auto"/>
              <w:right w:val="nil"/>
            </w:tcBorders>
            <w:shd w:val="clear" w:color="auto" w:fill="auto"/>
            <w:noWrap/>
            <w:vAlign w:val="bottom"/>
            <w:hideMark/>
          </w:tcPr>
          <w:p w14:paraId="5983D1D8" w14:textId="30D96790"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0.32 (3.03)</w:t>
            </w:r>
          </w:p>
        </w:tc>
        <w:tc>
          <w:tcPr>
            <w:tcW w:w="2180" w:type="dxa"/>
            <w:tcBorders>
              <w:top w:val="nil"/>
              <w:left w:val="nil"/>
              <w:bottom w:val="single" w:sz="4" w:space="0" w:color="auto"/>
              <w:right w:val="nil"/>
            </w:tcBorders>
            <w:shd w:val="clear" w:color="auto" w:fill="auto"/>
            <w:noWrap/>
            <w:vAlign w:val="bottom"/>
            <w:hideMark/>
          </w:tcPr>
          <w:p w14:paraId="31164262" w14:textId="476C016D"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0.52 (4.04)</w:t>
            </w:r>
          </w:p>
        </w:tc>
        <w:tc>
          <w:tcPr>
            <w:tcW w:w="2180" w:type="dxa"/>
            <w:tcBorders>
              <w:top w:val="nil"/>
              <w:left w:val="nil"/>
              <w:bottom w:val="single" w:sz="4" w:space="0" w:color="auto"/>
              <w:right w:val="nil"/>
            </w:tcBorders>
            <w:shd w:val="clear" w:color="auto" w:fill="auto"/>
            <w:noWrap/>
            <w:vAlign w:val="bottom"/>
            <w:hideMark/>
          </w:tcPr>
          <w:p w14:paraId="3DFD6731" w14:textId="5A04AD4E"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0.68 (4.60)</w:t>
            </w:r>
          </w:p>
        </w:tc>
        <w:tc>
          <w:tcPr>
            <w:tcW w:w="2180" w:type="dxa"/>
            <w:tcBorders>
              <w:top w:val="nil"/>
              <w:left w:val="nil"/>
              <w:bottom w:val="single" w:sz="4" w:space="0" w:color="auto"/>
              <w:right w:val="nil"/>
            </w:tcBorders>
            <w:shd w:val="clear" w:color="auto" w:fill="auto"/>
            <w:noWrap/>
            <w:vAlign w:val="bottom"/>
            <w:hideMark/>
          </w:tcPr>
          <w:p w14:paraId="3D6CA87B" w14:textId="4E9067FB" w:rsidR="00F14548" w:rsidRPr="00F14548" w:rsidRDefault="00F14548" w:rsidP="00F14548">
            <w:pPr>
              <w:spacing w:after="0" w:line="240" w:lineRule="auto"/>
              <w:jc w:val="center"/>
              <w:rPr>
                <w:rFonts w:ascii="Times New Roman" w:eastAsia="Times New Roman" w:hAnsi="Times New Roman" w:cs="Times New Roman"/>
                <w:color w:val="000000"/>
                <w:sz w:val="18"/>
                <w:szCs w:val="18"/>
              </w:rPr>
            </w:pPr>
            <w:r w:rsidRPr="00F14548">
              <w:rPr>
                <w:rFonts w:ascii="Times New Roman" w:eastAsia="Times New Roman" w:hAnsi="Times New Roman" w:cs="Times New Roman"/>
                <w:color w:val="000000"/>
                <w:sz w:val="18"/>
                <w:szCs w:val="18"/>
              </w:rPr>
              <w:t>0.87 (6.02)</w:t>
            </w:r>
          </w:p>
        </w:tc>
      </w:tr>
    </w:tbl>
    <w:p w14:paraId="4891387E" w14:textId="102AF012" w:rsidR="00F14548" w:rsidRDefault="00435B0B" w:rsidP="00F14548">
      <w:r>
        <w:rPr>
          <w:rFonts w:ascii="Times New Roman" w:eastAsia="Times New Roman" w:hAnsi="Times New Roman" w:cs="Times New Roman"/>
          <w:sz w:val="18"/>
          <w:szCs w:val="18"/>
        </w:rPr>
        <w:t xml:space="preserve">Repeated measures per person: mean (SD) = 5.91 (3.59); median (range) = 5 (1-11); 25% percentile = 3; 75% percentile = 9.  </w:t>
      </w:r>
    </w:p>
    <w:p w14:paraId="25EC6723" w14:textId="793D735E" w:rsidR="00F14548" w:rsidRDefault="00F14548" w:rsidP="00F14548"/>
    <w:p w14:paraId="457FCC31" w14:textId="52C95522" w:rsidR="00F14548" w:rsidRDefault="00F14548" w:rsidP="00F14548"/>
    <w:p w14:paraId="10D3D152" w14:textId="2911F3B5" w:rsidR="00F14548" w:rsidRDefault="00F14548" w:rsidP="00F14548"/>
    <w:p w14:paraId="30BF3415" w14:textId="323DCE7D" w:rsidR="00F14548" w:rsidRDefault="00F14548" w:rsidP="00F14548"/>
    <w:p w14:paraId="0827687B" w14:textId="6ADFECB4" w:rsidR="00F14548" w:rsidRDefault="00F14548" w:rsidP="00F14548"/>
    <w:p w14:paraId="2B88B42C" w14:textId="3674BC59" w:rsidR="00F14548" w:rsidRDefault="00F14548" w:rsidP="00F14548"/>
    <w:p w14:paraId="376A7D4C" w14:textId="0B5593B8" w:rsidR="00F14548" w:rsidRDefault="00F14548" w:rsidP="00F14548"/>
    <w:p w14:paraId="6D10BBC7" w14:textId="3600BB80" w:rsidR="00F14548" w:rsidRDefault="00F14548" w:rsidP="00F14548"/>
    <w:p w14:paraId="40C74A62" w14:textId="77777777" w:rsidR="004B7F7C" w:rsidRDefault="004B7F7C" w:rsidP="00F14548">
      <w:pPr>
        <w:sectPr w:rsidR="004B7F7C" w:rsidSect="00F14548">
          <w:pgSz w:w="16838" w:h="11906" w:orient="landscape"/>
          <w:pgMar w:top="1440" w:right="1440" w:bottom="1440" w:left="1440" w:header="708" w:footer="708" w:gutter="0"/>
          <w:cols w:space="708"/>
          <w:docGrid w:linePitch="360"/>
        </w:sectPr>
      </w:pPr>
    </w:p>
    <w:p w14:paraId="0B3B6E57" w14:textId="38BDD019" w:rsidR="003B2C35" w:rsidRPr="00D71BD3" w:rsidRDefault="00D232C4" w:rsidP="00BB0DAB">
      <w:pPr>
        <w:jc w:val="both"/>
        <w:rPr>
          <w:rFonts w:ascii="Times New Roman" w:hAnsi="Times New Roman" w:cs="Times New Roman"/>
          <w:i/>
        </w:rPr>
      </w:pPr>
      <w:r>
        <w:rPr>
          <w:rFonts w:ascii="Times New Roman" w:hAnsi="Times New Roman" w:cs="Times New Roman"/>
          <w:i/>
        </w:rPr>
        <w:lastRenderedPageBreak/>
        <w:t>Adjusted i</w:t>
      </w:r>
      <w:r w:rsidR="00D71BD3" w:rsidRPr="00D71BD3">
        <w:rPr>
          <w:rFonts w:ascii="Times New Roman" w:hAnsi="Times New Roman" w:cs="Times New Roman"/>
          <w:i/>
        </w:rPr>
        <w:t xml:space="preserve">mpact of frailty on </w:t>
      </w:r>
      <w:r w:rsidR="00492498">
        <w:rPr>
          <w:rFonts w:ascii="Times New Roman" w:hAnsi="Times New Roman" w:cs="Times New Roman"/>
          <w:i/>
        </w:rPr>
        <w:t>general practice</w:t>
      </w:r>
      <w:r w:rsidR="006D765B">
        <w:rPr>
          <w:rFonts w:ascii="Times New Roman" w:hAnsi="Times New Roman" w:cs="Times New Roman"/>
          <w:i/>
        </w:rPr>
        <w:t xml:space="preserve"> use</w:t>
      </w:r>
    </w:p>
    <w:p w14:paraId="672154DC" w14:textId="6BBE6C6A" w:rsidR="00FB0D1E" w:rsidRDefault="00876E01" w:rsidP="00156E03">
      <w:pPr>
        <w:jc w:val="both"/>
        <w:rPr>
          <w:rFonts w:ascii="Times New Roman" w:hAnsi="Times New Roman" w:cs="Times New Roman"/>
        </w:rPr>
      </w:pPr>
      <w:bookmarkStart w:id="3" w:name="OLE_LINK10"/>
      <w:bookmarkStart w:id="4" w:name="OLE_LINK11"/>
      <w:r>
        <w:rPr>
          <w:rFonts w:ascii="Times New Roman" w:hAnsi="Times New Roman" w:cs="Times New Roman"/>
        </w:rPr>
        <w:t>Higher</w:t>
      </w:r>
      <w:r w:rsidR="005D5F50">
        <w:rPr>
          <w:rFonts w:ascii="Times New Roman" w:hAnsi="Times New Roman" w:cs="Times New Roman"/>
        </w:rPr>
        <w:t xml:space="preserve"> </w:t>
      </w:r>
      <w:r>
        <w:rPr>
          <w:rFonts w:ascii="Times New Roman" w:hAnsi="Times New Roman" w:cs="Times New Roman"/>
        </w:rPr>
        <w:t xml:space="preserve">adjusted GP </w:t>
      </w:r>
      <w:r w:rsidR="005D5F50">
        <w:rPr>
          <w:rFonts w:ascii="Times New Roman" w:hAnsi="Times New Roman" w:cs="Times New Roman"/>
        </w:rPr>
        <w:t>consultation</w:t>
      </w:r>
      <w:r>
        <w:rPr>
          <w:rFonts w:ascii="Times New Roman" w:hAnsi="Times New Roman" w:cs="Times New Roman"/>
        </w:rPr>
        <w:t xml:space="preserve"> rates were</w:t>
      </w:r>
      <w:r w:rsidR="005D5F50">
        <w:rPr>
          <w:rFonts w:ascii="Times New Roman" w:hAnsi="Times New Roman" w:cs="Times New Roman"/>
        </w:rPr>
        <w:t xml:space="preserve"> significantly associated with increasing age</w:t>
      </w:r>
      <w:r w:rsidR="00FB65B0">
        <w:rPr>
          <w:rFonts w:ascii="Times New Roman" w:hAnsi="Times New Roman" w:cs="Times New Roman"/>
        </w:rPr>
        <w:t>, female gender</w:t>
      </w:r>
      <w:r w:rsidR="005D5F50">
        <w:rPr>
          <w:rFonts w:ascii="Times New Roman" w:hAnsi="Times New Roman" w:cs="Times New Roman"/>
        </w:rPr>
        <w:t xml:space="preserve"> and black ethnicity, but not </w:t>
      </w:r>
      <w:r>
        <w:rPr>
          <w:rFonts w:ascii="Times New Roman" w:hAnsi="Times New Roman" w:cs="Times New Roman"/>
        </w:rPr>
        <w:t xml:space="preserve">with </w:t>
      </w:r>
      <w:r w:rsidR="005D5F50">
        <w:rPr>
          <w:rFonts w:ascii="Times New Roman" w:hAnsi="Times New Roman" w:cs="Times New Roman"/>
        </w:rPr>
        <w:t>deprivation (</w:t>
      </w:r>
      <w:r>
        <w:rPr>
          <w:rFonts w:ascii="Times New Roman" w:hAnsi="Times New Roman" w:cs="Times New Roman"/>
          <w:b/>
        </w:rPr>
        <w:t>t</w:t>
      </w:r>
      <w:r w:rsidR="005D5F50">
        <w:rPr>
          <w:rFonts w:ascii="Times New Roman" w:hAnsi="Times New Roman" w:cs="Times New Roman"/>
          <w:b/>
        </w:rPr>
        <w:t xml:space="preserve">able </w:t>
      </w:r>
      <w:r>
        <w:rPr>
          <w:rFonts w:ascii="Times New Roman" w:hAnsi="Times New Roman" w:cs="Times New Roman"/>
          <w:b/>
        </w:rPr>
        <w:t>2</w:t>
      </w:r>
      <w:r w:rsidRPr="00876E01">
        <w:rPr>
          <w:rFonts w:ascii="Times New Roman" w:hAnsi="Times New Roman" w:cs="Times New Roman"/>
        </w:rPr>
        <w:t>).</w:t>
      </w:r>
      <w:r>
        <w:rPr>
          <w:rFonts w:ascii="Times New Roman" w:hAnsi="Times New Roman" w:cs="Times New Roman"/>
        </w:rPr>
        <w:t xml:space="preserve"> Consultations with practice nurses followed a similar pattern, but men and white patients tended to have higher </w:t>
      </w:r>
      <w:r w:rsidR="006412C8">
        <w:rPr>
          <w:rFonts w:ascii="Times New Roman" w:hAnsi="Times New Roman" w:cs="Times New Roman"/>
        </w:rPr>
        <w:t xml:space="preserve">consultation </w:t>
      </w:r>
      <w:r>
        <w:rPr>
          <w:rFonts w:ascii="Times New Roman" w:hAnsi="Times New Roman" w:cs="Times New Roman"/>
        </w:rPr>
        <w:t>rates.</w:t>
      </w:r>
      <w:bookmarkEnd w:id="3"/>
      <w:bookmarkEnd w:id="4"/>
      <w:r>
        <w:rPr>
          <w:rFonts w:ascii="Times New Roman" w:hAnsi="Times New Roman" w:cs="Times New Roman"/>
        </w:rPr>
        <w:t xml:space="preserve"> </w:t>
      </w:r>
      <w:r w:rsidR="00E50C58">
        <w:rPr>
          <w:rFonts w:ascii="Times New Roman" w:hAnsi="Times New Roman" w:cs="Times New Roman"/>
        </w:rPr>
        <w:t>Af</w:t>
      </w:r>
      <w:r w:rsidR="00646587">
        <w:rPr>
          <w:rFonts w:ascii="Times New Roman" w:hAnsi="Times New Roman" w:cs="Times New Roman"/>
        </w:rPr>
        <w:t xml:space="preserve">ter adjusting for patient-level confounders, </w:t>
      </w:r>
      <w:r w:rsidR="00BC7F90">
        <w:rPr>
          <w:rFonts w:ascii="Times New Roman" w:hAnsi="Times New Roman" w:cs="Times New Roman"/>
        </w:rPr>
        <w:t>general pra</w:t>
      </w:r>
      <w:r w:rsidR="00DD4304">
        <w:rPr>
          <w:rFonts w:ascii="Times New Roman" w:hAnsi="Times New Roman" w:cs="Times New Roman"/>
        </w:rPr>
        <w:t>ctice</w:t>
      </w:r>
      <w:r w:rsidR="00EA1BD9">
        <w:rPr>
          <w:rFonts w:ascii="Times New Roman" w:hAnsi="Times New Roman" w:cs="Times New Roman"/>
        </w:rPr>
        <w:t xml:space="preserve"> consultations increased with frailty</w:t>
      </w:r>
      <w:r w:rsidR="00B9362E">
        <w:rPr>
          <w:rFonts w:ascii="Times New Roman" w:hAnsi="Times New Roman" w:cs="Times New Roman"/>
        </w:rPr>
        <w:t xml:space="preserve"> (</w:t>
      </w:r>
      <w:r w:rsidR="00B9362E" w:rsidRPr="00646587">
        <w:rPr>
          <w:rFonts w:ascii="Times New Roman" w:hAnsi="Times New Roman" w:cs="Times New Roman"/>
          <w:b/>
        </w:rPr>
        <w:t>table 2</w:t>
      </w:r>
      <w:r w:rsidR="00B9362E">
        <w:rPr>
          <w:rFonts w:ascii="Times New Roman" w:hAnsi="Times New Roman" w:cs="Times New Roman"/>
        </w:rPr>
        <w:t>)</w:t>
      </w:r>
      <w:r w:rsidR="00EA1BD9">
        <w:rPr>
          <w:rFonts w:ascii="Times New Roman" w:hAnsi="Times New Roman" w:cs="Times New Roman"/>
        </w:rPr>
        <w:t xml:space="preserve">. </w:t>
      </w:r>
      <w:r w:rsidR="001063CA">
        <w:rPr>
          <w:rFonts w:ascii="Times New Roman" w:hAnsi="Times New Roman" w:cs="Times New Roman"/>
        </w:rPr>
        <w:t>Compared with</w:t>
      </w:r>
      <w:r w:rsidR="00156E03">
        <w:rPr>
          <w:rFonts w:ascii="Times New Roman" w:hAnsi="Times New Roman" w:cs="Times New Roman"/>
        </w:rPr>
        <w:t xml:space="preserve"> </w:t>
      </w:r>
      <w:r w:rsidR="00F578B5">
        <w:rPr>
          <w:rFonts w:ascii="Times New Roman" w:hAnsi="Times New Roman" w:cs="Times New Roman"/>
        </w:rPr>
        <w:t>non-frail</w:t>
      </w:r>
      <w:r w:rsidR="00156E03">
        <w:rPr>
          <w:rFonts w:ascii="Times New Roman" w:hAnsi="Times New Roman" w:cs="Times New Roman"/>
        </w:rPr>
        <w:t xml:space="preserve"> </w:t>
      </w:r>
      <w:r w:rsidR="00E54B16">
        <w:rPr>
          <w:rFonts w:ascii="Times New Roman" w:hAnsi="Times New Roman" w:cs="Times New Roman"/>
        </w:rPr>
        <w:t>status</w:t>
      </w:r>
      <w:r w:rsidR="00BC7F90">
        <w:rPr>
          <w:rFonts w:ascii="Times New Roman" w:hAnsi="Times New Roman" w:cs="Times New Roman"/>
        </w:rPr>
        <w:t>,</w:t>
      </w:r>
      <w:r w:rsidR="00156E03">
        <w:rPr>
          <w:rFonts w:ascii="Times New Roman" w:hAnsi="Times New Roman" w:cs="Times New Roman"/>
        </w:rPr>
        <w:t xml:space="preserve"> </w:t>
      </w:r>
      <w:r w:rsidR="00460A9F">
        <w:rPr>
          <w:rFonts w:ascii="Times New Roman" w:hAnsi="Times New Roman" w:cs="Times New Roman"/>
        </w:rPr>
        <w:t>IRR</w:t>
      </w:r>
      <w:r w:rsidR="00EA1BD9">
        <w:rPr>
          <w:rFonts w:ascii="Times New Roman" w:hAnsi="Times New Roman" w:cs="Times New Roman"/>
        </w:rPr>
        <w:t xml:space="preserve"> for </w:t>
      </w:r>
      <w:r w:rsidR="006D765B">
        <w:rPr>
          <w:rFonts w:ascii="Times New Roman" w:hAnsi="Times New Roman" w:cs="Times New Roman"/>
        </w:rPr>
        <w:t>GP</w:t>
      </w:r>
      <w:r w:rsidR="00E50C58">
        <w:rPr>
          <w:rFonts w:ascii="Times New Roman" w:hAnsi="Times New Roman" w:cs="Times New Roman"/>
        </w:rPr>
        <w:t xml:space="preserve"> consultation</w:t>
      </w:r>
      <w:r w:rsidR="00EA1BD9">
        <w:rPr>
          <w:rFonts w:ascii="Times New Roman" w:hAnsi="Times New Roman" w:cs="Times New Roman"/>
        </w:rPr>
        <w:t xml:space="preserve">s </w:t>
      </w:r>
      <w:bookmarkStart w:id="5" w:name="_Hlk520392037"/>
      <w:bookmarkStart w:id="6" w:name="OLE_LINK5"/>
      <w:r w:rsidR="00EA1BD9">
        <w:rPr>
          <w:rFonts w:ascii="Times New Roman" w:hAnsi="Times New Roman" w:cs="Times New Roman"/>
        </w:rPr>
        <w:t xml:space="preserve">were </w:t>
      </w:r>
      <w:r w:rsidR="006D765B">
        <w:rPr>
          <w:rFonts w:ascii="Times New Roman" w:hAnsi="Times New Roman" w:cs="Times New Roman"/>
        </w:rPr>
        <w:t>1.24</w:t>
      </w:r>
      <w:r w:rsidR="00EA1BD9">
        <w:rPr>
          <w:rFonts w:ascii="Times New Roman" w:hAnsi="Times New Roman" w:cs="Times New Roman"/>
        </w:rPr>
        <w:t xml:space="preserve"> (</w:t>
      </w:r>
      <w:r w:rsidR="00DC0066">
        <w:rPr>
          <w:rFonts w:ascii="Times New Roman" w:hAnsi="Times New Roman" w:cs="Times New Roman"/>
        </w:rPr>
        <w:t>95% CI: 1.2</w:t>
      </w:r>
      <w:r w:rsidR="006D765B">
        <w:rPr>
          <w:rFonts w:ascii="Times New Roman" w:hAnsi="Times New Roman" w:cs="Times New Roman"/>
        </w:rPr>
        <w:t>1-1.2</w:t>
      </w:r>
      <w:r w:rsidR="00FB65B0">
        <w:rPr>
          <w:rFonts w:ascii="Times New Roman" w:hAnsi="Times New Roman" w:cs="Times New Roman"/>
        </w:rPr>
        <w:t>7</w:t>
      </w:r>
      <w:r w:rsidR="00DC0066">
        <w:rPr>
          <w:rFonts w:ascii="Times New Roman" w:hAnsi="Times New Roman" w:cs="Times New Roman"/>
        </w:rPr>
        <w:t xml:space="preserve">) </w:t>
      </w:r>
      <w:bookmarkStart w:id="7" w:name="OLE_LINK2"/>
      <w:r w:rsidR="00E54B16">
        <w:rPr>
          <w:rFonts w:ascii="Times New Roman" w:hAnsi="Times New Roman" w:cs="Times New Roman"/>
        </w:rPr>
        <w:t>for mild frailty</w:t>
      </w:r>
      <w:bookmarkEnd w:id="7"/>
      <w:r w:rsidR="006D765B">
        <w:rPr>
          <w:rFonts w:ascii="Times New Roman" w:hAnsi="Times New Roman" w:cs="Times New Roman"/>
        </w:rPr>
        <w:t>, 1.41</w:t>
      </w:r>
      <w:r w:rsidR="00EA1BD9">
        <w:rPr>
          <w:rFonts w:ascii="Times New Roman" w:hAnsi="Times New Roman" w:cs="Times New Roman"/>
        </w:rPr>
        <w:t xml:space="preserve"> (</w:t>
      </w:r>
      <w:r w:rsidR="00650D1D">
        <w:rPr>
          <w:rFonts w:ascii="Times New Roman" w:hAnsi="Times New Roman" w:cs="Times New Roman"/>
        </w:rPr>
        <w:t>95% CI: 1.3</w:t>
      </w:r>
      <w:r w:rsidR="006C6CE6">
        <w:rPr>
          <w:rFonts w:ascii="Times New Roman" w:hAnsi="Times New Roman" w:cs="Times New Roman"/>
        </w:rPr>
        <w:t>5</w:t>
      </w:r>
      <w:r w:rsidR="00650D1D">
        <w:rPr>
          <w:rFonts w:ascii="Times New Roman" w:hAnsi="Times New Roman" w:cs="Times New Roman"/>
        </w:rPr>
        <w:t>-1.4</w:t>
      </w:r>
      <w:r w:rsidR="006D765B">
        <w:rPr>
          <w:rFonts w:ascii="Times New Roman" w:hAnsi="Times New Roman" w:cs="Times New Roman"/>
        </w:rPr>
        <w:t>7</w:t>
      </w:r>
      <w:r w:rsidR="00DC0066">
        <w:rPr>
          <w:rFonts w:ascii="Times New Roman" w:hAnsi="Times New Roman" w:cs="Times New Roman"/>
        </w:rPr>
        <w:t xml:space="preserve">) </w:t>
      </w:r>
      <w:r w:rsidR="00E54B16">
        <w:rPr>
          <w:rFonts w:ascii="Times New Roman" w:hAnsi="Times New Roman" w:cs="Times New Roman"/>
        </w:rPr>
        <w:t>for</w:t>
      </w:r>
      <w:r w:rsidR="00646587">
        <w:rPr>
          <w:rFonts w:ascii="Times New Roman" w:hAnsi="Times New Roman" w:cs="Times New Roman"/>
        </w:rPr>
        <w:t xml:space="preserve"> </w:t>
      </w:r>
      <w:r w:rsidR="00EE1984">
        <w:rPr>
          <w:rFonts w:ascii="Times New Roman" w:hAnsi="Times New Roman" w:cs="Times New Roman"/>
        </w:rPr>
        <w:t>moderate frailty</w:t>
      </w:r>
      <w:r w:rsidR="00E54B16">
        <w:rPr>
          <w:rFonts w:ascii="Times New Roman" w:hAnsi="Times New Roman" w:cs="Times New Roman"/>
        </w:rPr>
        <w:t xml:space="preserve"> </w:t>
      </w:r>
      <w:r w:rsidR="00646587">
        <w:rPr>
          <w:rFonts w:ascii="Times New Roman" w:hAnsi="Times New Roman" w:cs="Times New Roman"/>
        </w:rPr>
        <w:t xml:space="preserve">and </w:t>
      </w:r>
      <w:r w:rsidR="006D765B">
        <w:rPr>
          <w:rFonts w:ascii="Times New Roman" w:hAnsi="Times New Roman" w:cs="Times New Roman"/>
        </w:rPr>
        <w:t>1.52</w:t>
      </w:r>
      <w:r w:rsidR="00EA1BD9">
        <w:rPr>
          <w:rFonts w:ascii="Times New Roman" w:hAnsi="Times New Roman" w:cs="Times New Roman"/>
        </w:rPr>
        <w:t xml:space="preserve"> (</w:t>
      </w:r>
      <w:r w:rsidR="00DC0066">
        <w:rPr>
          <w:rFonts w:ascii="Times New Roman" w:hAnsi="Times New Roman" w:cs="Times New Roman"/>
        </w:rPr>
        <w:t>95% CI: 1.42</w:t>
      </w:r>
      <w:r w:rsidR="006D765B">
        <w:rPr>
          <w:rFonts w:ascii="Times New Roman" w:hAnsi="Times New Roman" w:cs="Times New Roman"/>
        </w:rPr>
        <w:t>-1.62</w:t>
      </w:r>
      <w:r w:rsidR="00DC0066">
        <w:rPr>
          <w:rFonts w:ascii="Times New Roman" w:hAnsi="Times New Roman" w:cs="Times New Roman"/>
        </w:rPr>
        <w:t xml:space="preserve">) </w:t>
      </w:r>
      <w:r w:rsidR="00E54B16">
        <w:rPr>
          <w:rFonts w:ascii="Times New Roman" w:hAnsi="Times New Roman" w:cs="Times New Roman"/>
        </w:rPr>
        <w:t xml:space="preserve">for </w:t>
      </w:r>
      <w:r w:rsidR="00EE1984">
        <w:rPr>
          <w:rFonts w:ascii="Times New Roman" w:hAnsi="Times New Roman" w:cs="Times New Roman"/>
        </w:rPr>
        <w:t>severe frailty</w:t>
      </w:r>
      <w:r w:rsidR="00BA7342">
        <w:rPr>
          <w:rFonts w:ascii="Times New Roman" w:hAnsi="Times New Roman" w:cs="Times New Roman"/>
        </w:rPr>
        <w:t>.</w:t>
      </w:r>
      <w:bookmarkEnd w:id="5"/>
      <w:bookmarkEnd w:id="6"/>
      <w:r w:rsidR="00DC0066">
        <w:rPr>
          <w:rFonts w:ascii="Times New Roman" w:hAnsi="Times New Roman" w:cs="Times New Roman"/>
        </w:rPr>
        <w:t xml:space="preserve"> </w:t>
      </w:r>
      <w:r w:rsidR="00027661">
        <w:rPr>
          <w:rFonts w:ascii="Times New Roman" w:hAnsi="Times New Roman" w:cs="Times New Roman"/>
        </w:rPr>
        <w:t>P</w:t>
      </w:r>
      <w:r w:rsidR="00F6172C">
        <w:rPr>
          <w:rFonts w:ascii="Times New Roman" w:hAnsi="Times New Roman" w:cs="Times New Roman"/>
        </w:rPr>
        <w:t xml:space="preserve">ractice </w:t>
      </w:r>
      <w:r w:rsidR="006D765B">
        <w:rPr>
          <w:rFonts w:ascii="Times New Roman" w:hAnsi="Times New Roman" w:cs="Times New Roman"/>
        </w:rPr>
        <w:t>nurses</w:t>
      </w:r>
      <w:r w:rsidR="00BA7342">
        <w:rPr>
          <w:rFonts w:ascii="Times New Roman" w:hAnsi="Times New Roman" w:cs="Times New Roman"/>
        </w:rPr>
        <w:t xml:space="preserve"> </w:t>
      </w:r>
      <w:r w:rsidR="00027661">
        <w:rPr>
          <w:rFonts w:ascii="Times New Roman" w:hAnsi="Times New Roman" w:cs="Times New Roman"/>
        </w:rPr>
        <w:t xml:space="preserve">visits </w:t>
      </w:r>
      <w:r w:rsidR="00BA7342">
        <w:rPr>
          <w:rFonts w:ascii="Times New Roman" w:hAnsi="Times New Roman" w:cs="Times New Roman"/>
        </w:rPr>
        <w:t>had similar associations with frailty</w:t>
      </w:r>
      <w:r w:rsidR="004A571B">
        <w:rPr>
          <w:rFonts w:ascii="Times New Roman" w:hAnsi="Times New Roman" w:cs="Times New Roman"/>
        </w:rPr>
        <w:t xml:space="preserve">, </w:t>
      </w:r>
      <w:r w:rsidR="00683382">
        <w:rPr>
          <w:rFonts w:ascii="Times New Roman" w:hAnsi="Times New Roman" w:cs="Times New Roman"/>
        </w:rPr>
        <w:t xml:space="preserve">with the greatest increase </w:t>
      </w:r>
      <w:r w:rsidR="00156E03">
        <w:rPr>
          <w:rFonts w:ascii="Times New Roman" w:hAnsi="Times New Roman" w:cs="Times New Roman"/>
        </w:rPr>
        <w:t xml:space="preserve">over baseline </w:t>
      </w:r>
      <w:r w:rsidR="00683382">
        <w:rPr>
          <w:rFonts w:ascii="Times New Roman" w:hAnsi="Times New Roman" w:cs="Times New Roman"/>
        </w:rPr>
        <w:t xml:space="preserve">for </w:t>
      </w:r>
      <w:r w:rsidR="00156E03">
        <w:rPr>
          <w:rFonts w:ascii="Times New Roman" w:hAnsi="Times New Roman" w:cs="Times New Roman"/>
        </w:rPr>
        <w:t>severely frail patients</w:t>
      </w:r>
      <w:r w:rsidR="00F70E94">
        <w:rPr>
          <w:rFonts w:ascii="Times New Roman" w:hAnsi="Times New Roman" w:cs="Times New Roman"/>
        </w:rPr>
        <w:t>.</w:t>
      </w:r>
    </w:p>
    <w:p w14:paraId="7278A04C" w14:textId="26956E69" w:rsidR="00061E61" w:rsidRDefault="00E54DD4" w:rsidP="009F6BFB">
      <w:pPr>
        <w:jc w:val="both"/>
        <w:rPr>
          <w:rFonts w:ascii="Times New Roman" w:hAnsi="Times New Roman" w:cs="Times New Roman"/>
        </w:rPr>
      </w:pPr>
      <w:r>
        <w:rPr>
          <w:rFonts w:ascii="Times New Roman" w:hAnsi="Times New Roman" w:cs="Times New Roman"/>
        </w:rPr>
        <w:t>T</w:t>
      </w:r>
      <w:r w:rsidR="002646AF">
        <w:rPr>
          <w:rFonts w:ascii="Times New Roman" w:hAnsi="Times New Roman" w:cs="Times New Roman"/>
        </w:rPr>
        <w:t xml:space="preserve">he absolute differences </w:t>
      </w:r>
      <w:r>
        <w:rPr>
          <w:rFonts w:ascii="Times New Roman" w:hAnsi="Times New Roman" w:cs="Times New Roman"/>
        </w:rPr>
        <w:t>in</w:t>
      </w:r>
      <w:r w:rsidR="0060387C">
        <w:rPr>
          <w:rFonts w:ascii="Times New Roman" w:hAnsi="Times New Roman" w:cs="Times New Roman"/>
        </w:rPr>
        <w:t xml:space="preserve"> </w:t>
      </w:r>
      <w:r w:rsidR="004C1737">
        <w:rPr>
          <w:rFonts w:ascii="Times New Roman" w:hAnsi="Times New Roman" w:cs="Times New Roman"/>
        </w:rPr>
        <w:t>consultation levels</w:t>
      </w:r>
      <w:r w:rsidR="007C6262">
        <w:rPr>
          <w:rFonts w:ascii="Times New Roman" w:hAnsi="Times New Roman" w:cs="Times New Roman"/>
        </w:rPr>
        <w:t xml:space="preserve"> </w:t>
      </w:r>
      <w:r>
        <w:rPr>
          <w:rFonts w:ascii="Times New Roman" w:hAnsi="Times New Roman" w:cs="Times New Roman"/>
        </w:rPr>
        <w:t xml:space="preserve">were predicted </w:t>
      </w:r>
      <w:r w:rsidR="007A76AB">
        <w:rPr>
          <w:rFonts w:ascii="Times New Roman" w:hAnsi="Times New Roman" w:cs="Times New Roman"/>
        </w:rPr>
        <w:t>using</w:t>
      </w:r>
      <w:r w:rsidR="002646AF">
        <w:rPr>
          <w:rFonts w:ascii="Times New Roman" w:hAnsi="Times New Roman" w:cs="Times New Roman"/>
        </w:rPr>
        <w:t xml:space="preserve"> </w:t>
      </w:r>
      <w:r w:rsidR="007C6262">
        <w:rPr>
          <w:rFonts w:ascii="Times New Roman" w:hAnsi="Times New Roman" w:cs="Times New Roman"/>
        </w:rPr>
        <w:t>the</w:t>
      </w:r>
      <w:r w:rsidR="009F6BFB">
        <w:rPr>
          <w:rFonts w:ascii="Times New Roman" w:hAnsi="Times New Roman" w:cs="Times New Roman"/>
        </w:rPr>
        <w:t>se regressions</w:t>
      </w:r>
      <w:r w:rsidR="004A571B">
        <w:rPr>
          <w:rFonts w:ascii="Times New Roman" w:hAnsi="Times New Roman" w:cs="Times New Roman"/>
        </w:rPr>
        <w:t xml:space="preserve"> (</w:t>
      </w:r>
      <w:r w:rsidR="004C1737">
        <w:rPr>
          <w:rFonts w:ascii="Times New Roman" w:hAnsi="Times New Roman" w:cs="Times New Roman"/>
          <w:b/>
        </w:rPr>
        <w:t>table 3</w:t>
      </w:r>
      <w:r w:rsidR="004A571B">
        <w:rPr>
          <w:rFonts w:ascii="Times New Roman" w:hAnsi="Times New Roman" w:cs="Times New Roman"/>
        </w:rPr>
        <w:t>)</w:t>
      </w:r>
      <w:r w:rsidR="007C6262">
        <w:rPr>
          <w:rFonts w:ascii="Times New Roman" w:hAnsi="Times New Roman" w:cs="Times New Roman"/>
        </w:rPr>
        <w:t>.</w:t>
      </w:r>
      <w:r w:rsidR="00ED167C">
        <w:rPr>
          <w:rFonts w:ascii="Times New Roman" w:hAnsi="Times New Roman" w:cs="Times New Roman"/>
        </w:rPr>
        <w:t xml:space="preserve"> Compared with the </w:t>
      </w:r>
      <w:r w:rsidR="00F578B5">
        <w:rPr>
          <w:rFonts w:ascii="Times New Roman" w:hAnsi="Times New Roman" w:cs="Times New Roman"/>
        </w:rPr>
        <w:t>non-frail</w:t>
      </w:r>
      <w:r w:rsidR="00ED167C">
        <w:rPr>
          <w:rFonts w:ascii="Times New Roman" w:hAnsi="Times New Roman" w:cs="Times New Roman"/>
        </w:rPr>
        <w:t xml:space="preserve"> group, </w:t>
      </w:r>
      <w:r w:rsidR="002646AF">
        <w:rPr>
          <w:rFonts w:ascii="Times New Roman" w:hAnsi="Times New Roman" w:cs="Times New Roman"/>
        </w:rPr>
        <w:t>there were</w:t>
      </w:r>
      <w:r w:rsidR="00ED167C">
        <w:rPr>
          <w:rFonts w:ascii="Times New Roman" w:hAnsi="Times New Roman" w:cs="Times New Roman"/>
        </w:rPr>
        <w:t xml:space="preserve"> on average</w:t>
      </w:r>
      <w:r w:rsidR="00061E61">
        <w:rPr>
          <w:rFonts w:ascii="Times New Roman" w:hAnsi="Times New Roman" w:cs="Times New Roman"/>
        </w:rPr>
        <w:t xml:space="preserve"> 2.5</w:t>
      </w:r>
      <w:r w:rsidR="002646AF">
        <w:rPr>
          <w:rFonts w:ascii="Times New Roman" w:hAnsi="Times New Roman" w:cs="Times New Roman"/>
        </w:rPr>
        <w:t xml:space="preserve"> more</w:t>
      </w:r>
      <w:r w:rsidR="00ED167C">
        <w:rPr>
          <w:rFonts w:ascii="Times New Roman" w:hAnsi="Times New Roman" w:cs="Times New Roman"/>
        </w:rPr>
        <w:t xml:space="preserve"> </w:t>
      </w:r>
      <w:r w:rsidR="00061E61">
        <w:rPr>
          <w:rFonts w:ascii="Times New Roman" w:hAnsi="Times New Roman" w:cs="Times New Roman"/>
        </w:rPr>
        <w:t>GP</w:t>
      </w:r>
      <w:r w:rsidR="002646AF">
        <w:rPr>
          <w:rFonts w:ascii="Times New Roman" w:hAnsi="Times New Roman" w:cs="Times New Roman"/>
        </w:rPr>
        <w:t xml:space="preserve"> consultations</w:t>
      </w:r>
      <w:r w:rsidR="00ED167C">
        <w:rPr>
          <w:rFonts w:ascii="Times New Roman" w:hAnsi="Times New Roman" w:cs="Times New Roman"/>
        </w:rPr>
        <w:t xml:space="preserve"> </w:t>
      </w:r>
      <w:r w:rsidR="00061E61">
        <w:rPr>
          <w:rFonts w:ascii="Times New Roman" w:hAnsi="Times New Roman" w:cs="Times New Roman"/>
        </w:rPr>
        <w:t xml:space="preserve">and 0.9 more nurses </w:t>
      </w:r>
      <w:r w:rsidR="00027661">
        <w:rPr>
          <w:rFonts w:ascii="Times New Roman" w:hAnsi="Times New Roman" w:cs="Times New Roman"/>
        </w:rPr>
        <w:t xml:space="preserve">visits </w:t>
      </w:r>
      <w:r w:rsidR="0077628B">
        <w:rPr>
          <w:rFonts w:ascii="Times New Roman" w:hAnsi="Times New Roman" w:cs="Times New Roman"/>
        </w:rPr>
        <w:t>annually</w:t>
      </w:r>
      <w:r w:rsidR="00ED167C">
        <w:rPr>
          <w:rFonts w:ascii="Times New Roman" w:hAnsi="Times New Roman" w:cs="Times New Roman"/>
        </w:rPr>
        <w:t xml:space="preserve"> </w:t>
      </w:r>
      <w:r w:rsidR="002646AF">
        <w:rPr>
          <w:rFonts w:ascii="Times New Roman" w:hAnsi="Times New Roman" w:cs="Times New Roman"/>
        </w:rPr>
        <w:t xml:space="preserve">for </w:t>
      </w:r>
      <w:r w:rsidR="00ED167C">
        <w:rPr>
          <w:rFonts w:ascii="Times New Roman" w:hAnsi="Times New Roman" w:cs="Times New Roman"/>
        </w:rPr>
        <w:t xml:space="preserve">the group with </w:t>
      </w:r>
      <w:r w:rsidR="002646AF">
        <w:rPr>
          <w:rFonts w:ascii="Times New Roman" w:hAnsi="Times New Roman" w:cs="Times New Roman"/>
        </w:rPr>
        <w:t>mild frailty</w:t>
      </w:r>
      <w:r w:rsidR="00061E61">
        <w:rPr>
          <w:rFonts w:ascii="Times New Roman" w:hAnsi="Times New Roman" w:cs="Times New Roman"/>
        </w:rPr>
        <w:t xml:space="preserve">. The increases were 4.1 with GPs and 1.5 with nurses for moderate frailty, and 5.2 with GPs and 2.0 with nurses for severe frailty. </w:t>
      </w:r>
    </w:p>
    <w:p w14:paraId="58C74920" w14:textId="094123F3" w:rsidR="0071709A" w:rsidRDefault="00E54DD4" w:rsidP="00C24EC9">
      <w:pPr>
        <w:jc w:val="both"/>
        <w:rPr>
          <w:rFonts w:ascii="Times New Roman" w:hAnsi="Times New Roman" w:cs="Times New Roman"/>
        </w:rPr>
      </w:pPr>
      <w:r>
        <w:rPr>
          <w:rFonts w:ascii="Times New Roman" w:hAnsi="Times New Roman" w:cs="Times New Roman"/>
        </w:rPr>
        <w:t>O</w:t>
      </w:r>
      <w:r w:rsidR="0022250E">
        <w:rPr>
          <w:rFonts w:ascii="Times New Roman" w:hAnsi="Times New Roman" w:cs="Times New Roman"/>
        </w:rPr>
        <w:t xml:space="preserve">ur analyses </w:t>
      </w:r>
      <w:r w:rsidR="00D232C4">
        <w:rPr>
          <w:rFonts w:ascii="Times New Roman" w:hAnsi="Times New Roman" w:cs="Times New Roman"/>
        </w:rPr>
        <w:t>indicate</w:t>
      </w:r>
      <w:r w:rsidR="0022250E">
        <w:rPr>
          <w:rFonts w:ascii="Times New Roman" w:hAnsi="Times New Roman" w:cs="Times New Roman"/>
        </w:rPr>
        <w:t xml:space="preserve"> that </w:t>
      </w:r>
      <w:r w:rsidR="009F6BFB">
        <w:rPr>
          <w:rFonts w:ascii="Times New Roman" w:hAnsi="Times New Roman" w:cs="Times New Roman"/>
        </w:rPr>
        <w:t xml:space="preserve">a </w:t>
      </w:r>
      <w:r w:rsidR="002C3054">
        <w:rPr>
          <w:rFonts w:ascii="Times New Roman" w:hAnsi="Times New Roman" w:cs="Times New Roman"/>
        </w:rPr>
        <w:t xml:space="preserve">non-frail </w:t>
      </w:r>
      <w:r w:rsidR="009F6BFB">
        <w:rPr>
          <w:rFonts w:ascii="Times New Roman" w:hAnsi="Times New Roman" w:cs="Times New Roman"/>
        </w:rPr>
        <w:t>patient</w:t>
      </w:r>
      <w:r w:rsidR="002C3054">
        <w:rPr>
          <w:rFonts w:ascii="Times New Roman" w:hAnsi="Times New Roman" w:cs="Times New Roman"/>
        </w:rPr>
        <w:t xml:space="preserve"> would cost £</w:t>
      </w:r>
      <w:r w:rsidR="00C24CA4">
        <w:rPr>
          <w:rFonts w:ascii="Times New Roman" w:hAnsi="Times New Roman" w:cs="Times New Roman"/>
        </w:rPr>
        <w:t>1021.55</w:t>
      </w:r>
      <w:r w:rsidR="002C3054">
        <w:rPr>
          <w:rFonts w:ascii="Times New Roman" w:hAnsi="Times New Roman" w:cs="Times New Roman"/>
        </w:rPr>
        <w:t xml:space="preserve"> per year for consultations with </w:t>
      </w:r>
      <w:r w:rsidR="009E1754">
        <w:rPr>
          <w:rFonts w:ascii="Times New Roman" w:hAnsi="Times New Roman" w:cs="Times New Roman"/>
        </w:rPr>
        <w:t xml:space="preserve">GPs </w:t>
      </w:r>
      <w:r w:rsidR="002C3054">
        <w:rPr>
          <w:rFonts w:ascii="Times New Roman" w:hAnsi="Times New Roman" w:cs="Times New Roman"/>
        </w:rPr>
        <w:t>and practice nurses (£</w:t>
      </w:r>
      <w:r w:rsidR="00C24CA4">
        <w:rPr>
          <w:rFonts w:ascii="Times New Roman" w:hAnsi="Times New Roman" w:cs="Times New Roman"/>
        </w:rPr>
        <w:t>990.93</w:t>
      </w:r>
      <w:r w:rsidR="002C3054">
        <w:rPr>
          <w:rFonts w:ascii="Times New Roman" w:hAnsi="Times New Roman" w:cs="Times New Roman"/>
        </w:rPr>
        <w:t xml:space="preserve"> and £</w:t>
      </w:r>
      <w:r w:rsidR="00C24CA4">
        <w:rPr>
          <w:rFonts w:ascii="Times New Roman" w:hAnsi="Times New Roman" w:cs="Times New Roman"/>
        </w:rPr>
        <w:t>30.62</w:t>
      </w:r>
      <w:r w:rsidR="002C3054">
        <w:rPr>
          <w:rFonts w:ascii="Times New Roman" w:hAnsi="Times New Roman" w:cs="Times New Roman"/>
        </w:rPr>
        <w:t>, respectively)</w:t>
      </w:r>
      <w:r w:rsidR="00061E61">
        <w:rPr>
          <w:rFonts w:ascii="Times New Roman" w:hAnsi="Times New Roman" w:cs="Times New Roman"/>
        </w:rPr>
        <w:t xml:space="preserve"> (</w:t>
      </w:r>
      <w:r w:rsidR="00061E61" w:rsidRPr="00061E61">
        <w:rPr>
          <w:rFonts w:ascii="Times New Roman" w:hAnsi="Times New Roman" w:cs="Times New Roman"/>
          <w:b/>
        </w:rPr>
        <w:t>table 3</w:t>
      </w:r>
      <w:r w:rsidR="00061E61">
        <w:rPr>
          <w:rFonts w:ascii="Times New Roman" w:hAnsi="Times New Roman" w:cs="Times New Roman"/>
        </w:rPr>
        <w:t>)</w:t>
      </w:r>
      <w:r w:rsidR="002C3054">
        <w:rPr>
          <w:rFonts w:ascii="Times New Roman" w:hAnsi="Times New Roman" w:cs="Times New Roman"/>
        </w:rPr>
        <w:t xml:space="preserve">. Using this as </w:t>
      </w:r>
      <w:r w:rsidR="00F70E94">
        <w:rPr>
          <w:rFonts w:ascii="Times New Roman" w:hAnsi="Times New Roman" w:cs="Times New Roman"/>
        </w:rPr>
        <w:t xml:space="preserve">a </w:t>
      </w:r>
      <w:r w:rsidR="002C3054">
        <w:rPr>
          <w:rFonts w:ascii="Times New Roman" w:hAnsi="Times New Roman" w:cs="Times New Roman"/>
        </w:rPr>
        <w:t xml:space="preserve">baseline, </w:t>
      </w:r>
      <w:r w:rsidR="000258B8">
        <w:rPr>
          <w:rFonts w:ascii="Times New Roman" w:hAnsi="Times New Roman" w:cs="Times New Roman"/>
        </w:rPr>
        <w:t xml:space="preserve">a </w:t>
      </w:r>
      <w:r w:rsidR="002C3054">
        <w:rPr>
          <w:rFonts w:ascii="Times New Roman" w:hAnsi="Times New Roman" w:cs="Times New Roman"/>
        </w:rPr>
        <w:t xml:space="preserve">patient with mild frailty would </w:t>
      </w:r>
      <w:r w:rsidR="009F6BFB">
        <w:rPr>
          <w:rFonts w:ascii="Times New Roman" w:hAnsi="Times New Roman" w:cs="Times New Roman"/>
        </w:rPr>
        <w:t xml:space="preserve">cost </w:t>
      </w:r>
      <w:r w:rsidR="006E0634">
        <w:rPr>
          <w:rFonts w:ascii="Times New Roman" w:hAnsi="Times New Roman" w:cs="Times New Roman"/>
        </w:rPr>
        <w:t>an</w:t>
      </w:r>
      <w:r w:rsidR="009F6BFB">
        <w:rPr>
          <w:rFonts w:ascii="Times New Roman" w:hAnsi="Times New Roman" w:cs="Times New Roman"/>
        </w:rPr>
        <w:t xml:space="preserve"> </w:t>
      </w:r>
      <w:r w:rsidR="00D232C4">
        <w:rPr>
          <w:rFonts w:ascii="Times New Roman" w:hAnsi="Times New Roman" w:cs="Times New Roman"/>
        </w:rPr>
        <w:t>additional</w:t>
      </w:r>
      <w:r w:rsidR="009F6BFB">
        <w:rPr>
          <w:rFonts w:ascii="Times New Roman" w:hAnsi="Times New Roman" w:cs="Times New Roman"/>
        </w:rPr>
        <w:t xml:space="preserve"> £</w:t>
      </w:r>
      <w:r w:rsidR="00C24CA4">
        <w:rPr>
          <w:rFonts w:ascii="Times New Roman" w:hAnsi="Times New Roman" w:cs="Times New Roman"/>
        </w:rPr>
        <w:t>249.32</w:t>
      </w:r>
      <w:r w:rsidR="009F6BFB">
        <w:rPr>
          <w:rFonts w:ascii="Times New Roman" w:hAnsi="Times New Roman" w:cs="Times New Roman"/>
        </w:rPr>
        <w:t xml:space="preserve"> </w:t>
      </w:r>
      <w:r w:rsidR="0077628B">
        <w:rPr>
          <w:rFonts w:ascii="Times New Roman" w:hAnsi="Times New Roman" w:cs="Times New Roman"/>
        </w:rPr>
        <w:t>annually</w:t>
      </w:r>
      <w:r w:rsidR="000258B8">
        <w:rPr>
          <w:rFonts w:ascii="Times New Roman" w:hAnsi="Times New Roman" w:cs="Times New Roman"/>
        </w:rPr>
        <w:t xml:space="preserve"> </w:t>
      </w:r>
      <w:r w:rsidR="002C3054">
        <w:rPr>
          <w:rFonts w:ascii="Times New Roman" w:hAnsi="Times New Roman" w:cs="Times New Roman"/>
        </w:rPr>
        <w:t>(</w:t>
      </w:r>
      <w:r w:rsidR="000258B8">
        <w:rPr>
          <w:rFonts w:ascii="Times New Roman" w:hAnsi="Times New Roman" w:cs="Times New Roman"/>
        </w:rPr>
        <w:t>£241.</w:t>
      </w:r>
      <w:r w:rsidR="005378DE">
        <w:rPr>
          <w:rFonts w:ascii="Times New Roman" w:hAnsi="Times New Roman" w:cs="Times New Roman"/>
        </w:rPr>
        <w:t>57</w:t>
      </w:r>
      <w:r w:rsidR="000258B8">
        <w:rPr>
          <w:rFonts w:ascii="Times New Roman" w:hAnsi="Times New Roman" w:cs="Times New Roman"/>
        </w:rPr>
        <w:t xml:space="preserve"> </w:t>
      </w:r>
      <w:r w:rsidR="002C3054">
        <w:rPr>
          <w:rFonts w:ascii="Times New Roman" w:hAnsi="Times New Roman" w:cs="Times New Roman"/>
        </w:rPr>
        <w:t xml:space="preserve">with </w:t>
      </w:r>
      <w:r w:rsidR="009E1754">
        <w:rPr>
          <w:rFonts w:ascii="Times New Roman" w:hAnsi="Times New Roman" w:cs="Times New Roman"/>
        </w:rPr>
        <w:t xml:space="preserve">GPs </w:t>
      </w:r>
      <w:r w:rsidR="002C3054">
        <w:rPr>
          <w:rFonts w:ascii="Times New Roman" w:hAnsi="Times New Roman" w:cs="Times New Roman"/>
        </w:rPr>
        <w:t xml:space="preserve">and </w:t>
      </w:r>
      <w:r w:rsidR="000258B8">
        <w:rPr>
          <w:rFonts w:ascii="Times New Roman" w:hAnsi="Times New Roman" w:cs="Times New Roman"/>
        </w:rPr>
        <w:t>£</w:t>
      </w:r>
      <w:r w:rsidR="00C24CA4">
        <w:rPr>
          <w:rFonts w:ascii="Times New Roman" w:hAnsi="Times New Roman" w:cs="Times New Roman"/>
        </w:rPr>
        <w:t>7.75</w:t>
      </w:r>
      <w:r w:rsidR="000258B8">
        <w:rPr>
          <w:rFonts w:ascii="Times New Roman" w:hAnsi="Times New Roman" w:cs="Times New Roman"/>
        </w:rPr>
        <w:t xml:space="preserve"> with nurses)</w:t>
      </w:r>
      <w:r w:rsidR="0071709A">
        <w:rPr>
          <w:rFonts w:ascii="Times New Roman" w:hAnsi="Times New Roman" w:cs="Times New Roman"/>
        </w:rPr>
        <w:t>.</w:t>
      </w:r>
      <w:r w:rsidR="000258B8">
        <w:rPr>
          <w:rFonts w:ascii="Times New Roman" w:hAnsi="Times New Roman" w:cs="Times New Roman"/>
        </w:rPr>
        <w:t xml:space="preserve"> </w:t>
      </w:r>
      <w:r w:rsidR="0071709A">
        <w:rPr>
          <w:rFonts w:ascii="Times New Roman" w:hAnsi="Times New Roman" w:cs="Times New Roman"/>
        </w:rPr>
        <w:t>A</w:t>
      </w:r>
      <w:r w:rsidR="000258B8">
        <w:rPr>
          <w:rFonts w:ascii="Times New Roman" w:hAnsi="Times New Roman" w:cs="Times New Roman"/>
        </w:rPr>
        <w:t xml:space="preserve"> patient with moderate frailty would cost an additional £417.</w:t>
      </w:r>
      <w:r w:rsidR="00C24CA4">
        <w:rPr>
          <w:rFonts w:ascii="Times New Roman" w:hAnsi="Times New Roman" w:cs="Times New Roman"/>
        </w:rPr>
        <w:t xml:space="preserve">82 </w:t>
      </w:r>
      <w:r w:rsidR="00724C4E">
        <w:rPr>
          <w:rFonts w:ascii="Times New Roman" w:hAnsi="Times New Roman" w:cs="Times New Roman"/>
        </w:rPr>
        <w:t>per year (</w:t>
      </w:r>
      <w:r w:rsidR="000258B8">
        <w:rPr>
          <w:rFonts w:ascii="Times New Roman" w:hAnsi="Times New Roman" w:cs="Times New Roman"/>
        </w:rPr>
        <w:t>£404.</w:t>
      </w:r>
      <w:r w:rsidR="005378DE">
        <w:rPr>
          <w:rFonts w:ascii="Times New Roman" w:hAnsi="Times New Roman" w:cs="Times New Roman"/>
        </w:rPr>
        <w:t>26</w:t>
      </w:r>
      <w:r w:rsidR="000258B8">
        <w:rPr>
          <w:rFonts w:ascii="Times New Roman" w:hAnsi="Times New Roman" w:cs="Times New Roman"/>
        </w:rPr>
        <w:t xml:space="preserve"> </w:t>
      </w:r>
      <w:r w:rsidR="00724C4E">
        <w:rPr>
          <w:rFonts w:ascii="Times New Roman" w:hAnsi="Times New Roman" w:cs="Times New Roman"/>
        </w:rPr>
        <w:t xml:space="preserve">with </w:t>
      </w:r>
      <w:r w:rsidR="009E1754">
        <w:rPr>
          <w:rFonts w:ascii="Times New Roman" w:hAnsi="Times New Roman" w:cs="Times New Roman"/>
        </w:rPr>
        <w:t xml:space="preserve">GPs </w:t>
      </w:r>
      <w:r w:rsidR="00724C4E">
        <w:rPr>
          <w:rFonts w:ascii="Times New Roman" w:hAnsi="Times New Roman" w:cs="Times New Roman"/>
        </w:rPr>
        <w:t>and £13.</w:t>
      </w:r>
      <w:r w:rsidR="00C24CA4">
        <w:rPr>
          <w:rFonts w:ascii="Times New Roman" w:hAnsi="Times New Roman" w:cs="Times New Roman"/>
        </w:rPr>
        <w:t xml:space="preserve">56 </w:t>
      </w:r>
      <w:r w:rsidR="00724C4E">
        <w:rPr>
          <w:rFonts w:ascii="Times New Roman" w:hAnsi="Times New Roman" w:cs="Times New Roman"/>
        </w:rPr>
        <w:t>with nurses). For severe frailty, we estimated a</w:t>
      </w:r>
      <w:r w:rsidR="0077628B">
        <w:rPr>
          <w:rFonts w:ascii="Times New Roman" w:hAnsi="Times New Roman" w:cs="Times New Roman"/>
        </w:rPr>
        <w:t>n annual</w:t>
      </w:r>
      <w:r w:rsidR="00724C4E">
        <w:rPr>
          <w:rFonts w:ascii="Times New Roman" w:hAnsi="Times New Roman" w:cs="Times New Roman"/>
        </w:rPr>
        <w:t xml:space="preserve"> cost of £</w:t>
      </w:r>
      <w:r w:rsidR="00C24CA4">
        <w:rPr>
          <w:rFonts w:ascii="Times New Roman" w:hAnsi="Times New Roman" w:cs="Times New Roman"/>
        </w:rPr>
        <w:t>532.29</w:t>
      </w:r>
      <w:r w:rsidR="00724C4E">
        <w:rPr>
          <w:rFonts w:ascii="Times New Roman" w:hAnsi="Times New Roman" w:cs="Times New Roman"/>
        </w:rPr>
        <w:t xml:space="preserve"> for extra </w:t>
      </w:r>
      <w:r w:rsidR="0071709A">
        <w:rPr>
          <w:rFonts w:ascii="Times New Roman" w:hAnsi="Times New Roman" w:cs="Times New Roman"/>
        </w:rPr>
        <w:t>consultations (£</w:t>
      </w:r>
      <w:r w:rsidR="00C24CA4">
        <w:rPr>
          <w:rFonts w:ascii="Times New Roman" w:hAnsi="Times New Roman" w:cs="Times New Roman"/>
        </w:rPr>
        <w:t>514.69</w:t>
      </w:r>
      <w:r w:rsidR="00724C4E">
        <w:rPr>
          <w:rFonts w:ascii="Times New Roman" w:hAnsi="Times New Roman" w:cs="Times New Roman"/>
        </w:rPr>
        <w:t xml:space="preserve"> with </w:t>
      </w:r>
      <w:r w:rsidR="009E1754">
        <w:rPr>
          <w:rFonts w:ascii="Times New Roman" w:hAnsi="Times New Roman" w:cs="Times New Roman"/>
        </w:rPr>
        <w:t xml:space="preserve">GPs </w:t>
      </w:r>
      <w:r w:rsidR="0071709A">
        <w:rPr>
          <w:rFonts w:ascii="Times New Roman" w:hAnsi="Times New Roman" w:cs="Times New Roman"/>
        </w:rPr>
        <w:t>and £</w:t>
      </w:r>
      <w:r w:rsidR="00C24CA4">
        <w:rPr>
          <w:rFonts w:ascii="Times New Roman" w:hAnsi="Times New Roman" w:cs="Times New Roman"/>
        </w:rPr>
        <w:t>17.60</w:t>
      </w:r>
      <w:r w:rsidR="0071709A">
        <w:rPr>
          <w:rFonts w:ascii="Times New Roman" w:hAnsi="Times New Roman" w:cs="Times New Roman"/>
        </w:rPr>
        <w:t xml:space="preserve"> with nurses).</w:t>
      </w:r>
    </w:p>
    <w:p w14:paraId="3280BF3C" w14:textId="77777777" w:rsidR="00F70E94" w:rsidRDefault="00F70E94" w:rsidP="00C24EC9">
      <w:pPr>
        <w:jc w:val="both"/>
        <w:rPr>
          <w:rFonts w:ascii="Times New Roman" w:hAnsi="Times New Roman" w:cs="Times New Roman"/>
        </w:rPr>
      </w:pPr>
    </w:p>
    <w:p w14:paraId="658873E3" w14:textId="7A330D51" w:rsidR="002646AF" w:rsidRPr="009F6BFB" w:rsidRDefault="007433AF" w:rsidP="00C24EC9">
      <w:pPr>
        <w:jc w:val="both"/>
        <w:rPr>
          <w:rFonts w:ascii="Times New Roman" w:hAnsi="Times New Roman" w:cs="Times New Roman"/>
          <w:i/>
        </w:rPr>
      </w:pPr>
      <w:r>
        <w:rPr>
          <w:rFonts w:ascii="Times New Roman" w:hAnsi="Times New Roman" w:cs="Times New Roman"/>
          <w:i/>
        </w:rPr>
        <w:t>Adjusted i</w:t>
      </w:r>
      <w:r w:rsidR="009F6BFB" w:rsidRPr="009F6BFB">
        <w:rPr>
          <w:rFonts w:ascii="Times New Roman" w:hAnsi="Times New Roman" w:cs="Times New Roman"/>
          <w:i/>
        </w:rPr>
        <w:t>mpact of frailty on hospital care</w:t>
      </w:r>
      <w:r w:rsidR="00017C42">
        <w:rPr>
          <w:rFonts w:ascii="Times New Roman" w:hAnsi="Times New Roman" w:cs="Times New Roman"/>
          <w:i/>
        </w:rPr>
        <w:t xml:space="preserve"> usage</w:t>
      </w:r>
    </w:p>
    <w:p w14:paraId="7EC8D28D" w14:textId="4787CC04" w:rsidR="00A7461C" w:rsidRDefault="00876E01" w:rsidP="00C24EC9">
      <w:pPr>
        <w:jc w:val="both"/>
        <w:rPr>
          <w:rFonts w:ascii="Times New Roman" w:hAnsi="Times New Roman" w:cs="Times New Roman"/>
        </w:rPr>
      </w:pPr>
      <w:r>
        <w:rPr>
          <w:rFonts w:ascii="Times New Roman" w:hAnsi="Times New Roman" w:cs="Times New Roman"/>
        </w:rPr>
        <w:t xml:space="preserve">Higher adjusted emergency hospital admission rates were significantly associated with male </w:t>
      </w:r>
      <w:r w:rsidR="007A76AB">
        <w:rPr>
          <w:rFonts w:ascii="Times New Roman" w:hAnsi="Times New Roman" w:cs="Times New Roman"/>
        </w:rPr>
        <w:t xml:space="preserve">gender, </w:t>
      </w:r>
      <w:r>
        <w:rPr>
          <w:rFonts w:ascii="Times New Roman" w:hAnsi="Times New Roman" w:cs="Times New Roman"/>
        </w:rPr>
        <w:t>increasing age and levels of deprivation (</w:t>
      </w:r>
      <w:r>
        <w:rPr>
          <w:rFonts w:ascii="Times New Roman" w:hAnsi="Times New Roman" w:cs="Times New Roman"/>
          <w:b/>
        </w:rPr>
        <w:t>table 2</w:t>
      </w:r>
      <w:r w:rsidRPr="00876E01">
        <w:rPr>
          <w:rFonts w:ascii="Times New Roman" w:hAnsi="Times New Roman" w:cs="Times New Roman"/>
        </w:rPr>
        <w:t>).</w:t>
      </w:r>
      <w:r>
        <w:rPr>
          <w:rFonts w:ascii="Times New Roman" w:hAnsi="Times New Roman" w:cs="Times New Roman"/>
        </w:rPr>
        <w:t xml:space="preserve"> </w:t>
      </w:r>
      <w:r w:rsidR="007A76AB">
        <w:rPr>
          <w:rFonts w:ascii="Times New Roman" w:hAnsi="Times New Roman" w:cs="Times New Roman"/>
        </w:rPr>
        <w:t>E</w:t>
      </w:r>
      <w:r w:rsidR="00A7461C">
        <w:rPr>
          <w:rFonts w:ascii="Times New Roman" w:hAnsi="Times New Roman" w:cs="Times New Roman"/>
        </w:rPr>
        <w:t xml:space="preserve">lective admission rates decreased in older age groups and </w:t>
      </w:r>
      <w:r w:rsidR="00C307BE">
        <w:rPr>
          <w:rFonts w:ascii="Times New Roman" w:hAnsi="Times New Roman" w:cs="Times New Roman"/>
        </w:rPr>
        <w:t>there was no</w:t>
      </w:r>
      <w:r w:rsidR="00A7461C">
        <w:rPr>
          <w:rFonts w:ascii="Times New Roman" w:hAnsi="Times New Roman" w:cs="Times New Roman"/>
        </w:rPr>
        <w:t xml:space="preserve"> social gradient</w:t>
      </w:r>
      <w:r w:rsidR="004C387A">
        <w:rPr>
          <w:rFonts w:ascii="Times New Roman" w:hAnsi="Times New Roman" w:cs="Times New Roman"/>
        </w:rPr>
        <w:t>, with</w:t>
      </w:r>
      <w:r w:rsidR="006412C8">
        <w:rPr>
          <w:rFonts w:ascii="Times New Roman" w:hAnsi="Times New Roman" w:cs="Times New Roman"/>
        </w:rPr>
        <w:t xml:space="preserve"> similar patterns for l</w:t>
      </w:r>
      <w:r w:rsidR="00C307BE">
        <w:rPr>
          <w:rFonts w:ascii="Times New Roman" w:hAnsi="Times New Roman" w:cs="Times New Roman"/>
        </w:rPr>
        <w:t>ength of stay</w:t>
      </w:r>
      <w:r w:rsidR="004C387A">
        <w:rPr>
          <w:rFonts w:ascii="Times New Roman" w:hAnsi="Times New Roman" w:cs="Times New Roman"/>
        </w:rPr>
        <w:t>.</w:t>
      </w:r>
      <w:r w:rsidR="00C307BE">
        <w:rPr>
          <w:rFonts w:ascii="Times New Roman" w:hAnsi="Times New Roman" w:cs="Times New Roman"/>
        </w:rPr>
        <w:t xml:space="preserve"> </w:t>
      </w:r>
    </w:p>
    <w:p w14:paraId="7D647ADB" w14:textId="2DA9CA82" w:rsidR="00050066" w:rsidRDefault="00C307BE" w:rsidP="00C24EC9">
      <w:pPr>
        <w:jc w:val="both"/>
        <w:rPr>
          <w:rFonts w:ascii="Times New Roman" w:hAnsi="Times New Roman" w:cs="Times New Roman"/>
        </w:rPr>
      </w:pPr>
      <w:r>
        <w:rPr>
          <w:rFonts w:ascii="Times New Roman" w:hAnsi="Times New Roman" w:cs="Times New Roman"/>
        </w:rPr>
        <w:t xml:space="preserve">After </w:t>
      </w:r>
      <w:r w:rsidR="0089532E">
        <w:rPr>
          <w:rFonts w:ascii="Times New Roman" w:hAnsi="Times New Roman" w:cs="Times New Roman"/>
        </w:rPr>
        <w:t>adjustment</w:t>
      </w:r>
      <w:r w:rsidR="00A6324E">
        <w:rPr>
          <w:rFonts w:ascii="Times New Roman" w:hAnsi="Times New Roman" w:cs="Times New Roman"/>
        </w:rPr>
        <w:t>, i</w:t>
      </w:r>
      <w:r w:rsidR="00B75EF6">
        <w:rPr>
          <w:rFonts w:ascii="Times New Roman" w:hAnsi="Times New Roman" w:cs="Times New Roman"/>
        </w:rPr>
        <w:t>ncreasing frailty was associated with increased hospital admission</w:t>
      </w:r>
      <w:r w:rsidR="0089532E">
        <w:rPr>
          <w:rFonts w:ascii="Times New Roman" w:hAnsi="Times New Roman" w:cs="Times New Roman"/>
        </w:rPr>
        <w:t xml:space="preserve"> rates</w:t>
      </w:r>
      <w:r w:rsidR="00B75EF6">
        <w:rPr>
          <w:rFonts w:ascii="Times New Roman" w:hAnsi="Times New Roman" w:cs="Times New Roman"/>
        </w:rPr>
        <w:t xml:space="preserve"> (</w:t>
      </w:r>
      <w:r w:rsidR="00B9362E">
        <w:rPr>
          <w:rFonts w:ascii="Times New Roman" w:hAnsi="Times New Roman" w:cs="Times New Roman"/>
          <w:b/>
        </w:rPr>
        <w:t>table 2</w:t>
      </w:r>
      <w:r w:rsidR="00B75EF6">
        <w:rPr>
          <w:rFonts w:ascii="Times New Roman" w:hAnsi="Times New Roman" w:cs="Times New Roman"/>
        </w:rPr>
        <w:t>)</w:t>
      </w:r>
      <w:r w:rsidR="00D9533F">
        <w:rPr>
          <w:rFonts w:ascii="Times New Roman" w:hAnsi="Times New Roman" w:cs="Times New Roman"/>
        </w:rPr>
        <w:t>.</w:t>
      </w:r>
      <w:r w:rsidR="007433AF">
        <w:rPr>
          <w:rFonts w:ascii="Times New Roman" w:hAnsi="Times New Roman" w:cs="Times New Roman"/>
        </w:rPr>
        <w:t xml:space="preserve"> </w:t>
      </w:r>
      <w:bookmarkStart w:id="8" w:name="OLE_LINK3"/>
      <w:r w:rsidR="007433AF">
        <w:rPr>
          <w:rFonts w:ascii="Times New Roman" w:hAnsi="Times New Roman" w:cs="Times New Roman"/>
        </w:rPr>
        <w:t xml:space="preserve">Compared with the </w:t>
      </w:r>
      <w:r w:rsidR="00F578B5">
        <w:rPr>
          <w:rFonts w:ascii="Times New Roman" w:hAnsi="Times New Roman" w:cs="Times New Roman"/>
        </w:rPr>
        <w:t>non-frail</w:t>
      </w:r>
      <w:r w:rsidR="007433AF">
        <w:rPr>
          <w:rFonts w:ascii="Times New Roman" w:hAnsi="Times New Roman" w:cs="Times New Roman"/>
        </w:rPr>
        <w:t xml:space="preserve"> group, </w:t>
      </w:r>
      <w:r w:rsidR="009A27F3">
        <w:rPr>
          <w:rFonts w:ascii="Times New Roman" w:hAnsi="Times New Roman" w:cs="Times New Roman"/>
        </w:rPr>
        <w:t xml:space="preserve">the </w:t>
      </w:r>
      <w:r w:rsidR="007433AF">
        <w:rPr>
          <w:rFonts w:ascii="Times New Roman" w:hAnsi="Times New Roman" w:cs="Times New Roman"/>
        </w:rPr>
        <w:t xml:space="preserve">adjusted </w:t>
      </w:r>
      <w:r w:rsidR="004224D2">
        <w:rPr>
          <w:rFonts w:ascii="Times New Roman" w:hAnsi="Times New Roman" w:cs="Times New Roman"/>
        </w:rPr>
        <w:t>IRRs</w:t>
      </w:r>
      <w:r w:rsidR="00B355EF">
        <w:rPr>
          <w:rFonts w:ascii="Times New Roman" w:hAnsi="Times New Roman" w:cs="Times New Roman"/>
        </w:rPr>
        <w:t xml:space="preserve"> for</w:t>
      </w:r>
      <w:r w:rsidR="007433AF" w:rsidDel="00B75EF6">
        <w:rPr>
          <w:rFonts w:ascii="Times New Roman" w:hAnsi="Times New Roman" w:cs="Times New Roman"/>
        </w:rPr>
        <w:t xml:space="preserve"> </w:t>
      </w:r>
      <w:r w:rsidR="00B355EF">
        <w:rPr>
          <w:rFonts w:ascii="Times New Roman" w:hAnsi="Times New Roman" w:cs="Times New Roman"/>
        </w:rPr>
        <w:t xml:space="preserve">annual emergency admissions were </w:t>
      </w:r>
      <w:bookmarkStart w:id="9" w:name="OLE_LINK8"/>
      <w:bookmarkStart w:id="10" w:name="OLE_LINK9"/>
      <w:r w:rsidR="004D51FC">
        <w:rPr>
          <w:rFonts w:ascii="Times New Roman" w:hAnsi="Times New Roman" w:cs="Times New Roman"/>
        </w:rPr>
        <w:t>1.6</w:t>
      </w:r>
      <w:r w:rsidR="00B355EF">
        <w:rPr>
          <w:rFonts w:ascii="Times New Roman" w:hAnsi="Times New Roman" w:cs="Times New Roman"/>
        </w:rPr>
        <w:t>4 (</w:t>
      </w:r>
      <w:r w:rsidR="004D51FC">
        <w:rPr>
          <w:rFonts w:ascii="Times New Roman" w:hAnsi="Times New Roman" w:cs="Times New Roman"/>
        </w:rPr>
        <w:t>95% CI: 1.</w:t>
      </w:r>
      <w:r w:rsidR="00B355EF">
        <w:rPr>
          <w:rFonts w:ascii="Times New Roman" w:hAnsi="Times New Roman" w:cs="Times New Roman"/>
        </w:rPr>
        <w:t>60</w:t>
      </w:r>
      <w:r w:rsidR="00103D4A">
        <w:rPr>
          <w:rFonts w:ascii="Times New Roman" w:hAnsi="Times New Roman" w:cs="Times New Roman"/>
        </w:rPr>
        <w:t>-1.68)</w:t>
      </w:r>
      <w:r w:rsidR="009A27F3">
        <w:rPr>
          <w:rFonts w:ascii="Times New Roman" w:hAnsi="Times New Roman" w:cs="Times New Roman"/>
        </w:rPr>
        <w:t xml:space="preserve"> for mild frailty, 2.45 (95% CI: 2.37-2.53) for </w:t>
      </w:r>
      <w:r w:rsidR="00BF6460">
        <w:rPr>
          <w:rFonts w:ascii="Times New Roman" w:hAnsi="Times New Roman" w:cs="Times New Roman"/>
        </w:rPr>
        <w:t>moderate frailty</w:t>
      </w:r>
      <w:r w:rsidR="009A27F3">
        <w:rPr>
          <w:rFonts w:ascii="Times New Roman" w:hAnsi="Times New Roman" w:cs="Times New Roman"/>
        </w:rPr>
        <w:t xml:space="preserve"> and 3.16 (95% CI: 3.00-3.33)</w:t>
      </w:r>
      <w:r w:rsidR="004D51FC">
        <w:rPr>
          <w:rFonts w:ascii="Times New Roman" w:hAnsi="Times New Roman" w:cs="Times New Roman"/>
        </w:rPr>
        <w:t xml:space="preserve"> </w:t>
      </w:r>
      <w:r w:rsidR="00BF6460">
        <w:rPr>
          <w:rFonts w:ascii="Times New Roman" w:hAnsi="Times New Roman" w:cs="Times New Roman"/>
        </w:rPr>
        <w:t>for</w:t>
      </w:r>
      <w:r w:rsidR="002673B7">
        <w:rPr>
          <w:rFonts w:ascii="Times New Roman" w:hAnsi="Times New Roman" w:cs="Times New Roman"/>
        </w:rPr>
        <w:t xml:space="preserve"> </w:t>
      </w:r>
      <w:r w:rsidR="00BF6460">
        <w:rPr>
          <w:rFonts w:ascii="Times New Roman" w:hAnsi="Times New Roman" w:cs="Times New Roman"/>
        </w:rPr>
        <w:t>severe frailty</w:t>
      </w:r>
      <w:bookmarkEnd w:id="9"/>
      <w:bookmarkEnd w:id="10"/>
      <w:r w:rsidR="009A27F3">
        <w:rPr>
          <w:rFonts w:ascii="Times New Roman" w:hAnsi="Times New Roman" w:cs="Times New Roman"/>
        </w:rPr>
        <w:t xml:space="preserve">. </w:t>
      </w:r>
      <w:bookmarkEnd w:id="8"/>
      <w:r w:rsidR="0019278B">
        <w:rPr>
          <w:rFonts w:ascii="Times New Roman" w:hAnsi="Times New Roman" w:cs="Times New Roman"/>
        </w:rPr>
        <w:t>Following emergency admission, patients stayed in hospital</w:t>
      </w:r>
      <w:r w:rsidR="00531C96">
        <w:rPr>
          <w:rFonts w:ascii="Times New Roman" w:hAnsi="Times New Roman" w:cs="Times New Roman"/>
        </w:rPr>
        <w:t xml:space="preserve"> for</w:t>
      </w:r>
      <w:r w:rsidR="0019278B">
        <w:rPr>
          <w:rFonts w:ascii="Times New Roman" w:hAnsi="Times New Roman" w:cs="Times New Roman"/>
        </w:rPr>
        <w:t xml:space="preserve"> more than </w:t>
      </w:r>
      <w:r w:rsidR="0097497B">
        <w:rPr>
          <w:rFonts w:ascii="Times New Roman" w:hAnsi="Times New Roman" w:cs="Times New Roman"/>
        </w:rPr>
        <w:t xml:space="preserve">four </w:t>
      </w:r>
      <w:r w:rsidR="0019278B">
        <w:rPr>
          <w:rFonts w:ascii="Times New Roman" w:hAnsi="Times New Roman" w:cs="Times New Roman"/>
        </w:rPr>
        <w:t>times longer</w:t>
      </w:r>
      <w:r w:rsidR="000A132A">
        <w:rPr>
          <w:rFonts w:ascii="Times New Roman" w:hAnsi="Times New Roman" w:cs="Times New Roman"/>
        </w:rPr>
        <w:t xml:space="preserve"> </w:t>
      </w:r>
      <w:r w:rsidR="00531C96">
        <w:rPr>
          <w:rFonts w:ascii="Times New Roman" w:hAnsi="Times New Roman" w:cs="Times New Roman"/>
        </w:rPr>
        <w:t xml:space="preserve">than the </w:t>
      </w:r>
      <w:r w:rsidR="007B2067">
        <w:rPr>
          <w:rFonts w:ascii="Times New Roman" w:hAnsi="Times New Roman" w:cs="Times New Roman"/>
        </w:rPr>
        <w:t xml:space="preserve">non-frail </w:t>
      </w:r>
      <w:r w:rsidR="00531C96">
        <w:rPr>
          <w:rFonts w:ascii="Times New Roman" w:hAnsi="Times New Roman" w:cs="Times New Roman"/>
        </w:rPr>
        <w:t xml:space="preserve">population </w:t>
      </w:r>
      <w:r w:rsidR="000A132A">
        <w:rPr>
          <w:rFonts w:ascii="Times New Roman" w:hAnsi="Times New Roman" w:cs="Times New Roman"/>
        </w:rPr>
        <w:t>if they were moderately frail</w:t>
      </w:r>
      <w:r w:rsidR="00D3458E">
        <w:rPr>
          <w:rFonts w:ascii="Times New Roman" w:hAnsi="Times New Roman" w:cs="Times New Roman"/>
        </w:rPr>
        <w:t xml:space="preserve"> (IRR: </w:t>
      </w:r>
      <w:r w:rsidR="004D51FC">
        <w:rPr>
          <w:rFonts w:ascii="Times New Roman" w:hAnsi="Times New Roman" w:cs="Times New Roman"/>
        </w:rPr>
        <w:t>4.4</w:t>
      </w:r>
      <w:r w:rsidR="001B2A94">
        <w:rPr>
          <w:rFonts w:ascii="Times New Roman" w:hAnsi="Times New Roman" w:cs="Times New Roman"/>
        </w:rPr>
        <w:t>5</w:t>
      </w:r>
      <w:r w:rsidR="004D51FC">
        <w:rPr>
          <w:rFonts w:ascii="Times New Roman" w:hAnsi="Times New Roman" w:cs="Times New Roman"/>
        </w:rPr>
        <w:t>; 95% CI: 4.1</w:t>
      </w:r>
      <w:r w:rsidR="001B2A94">
        <w:rPr>
          <w:rFonts w:ascii="Times New Roman" w:hAnsi="Times New Roman" w:cs="Times New Roman"/>
        </w:rPr>
        <w:t>9</w:t>
      </w:r>
      <w:r w:rsidR="00200B43">
        <w:rPr>
          <w:rFonts w:ascii="Times New Roman" w:hAnsi="Times New Roman" w:cs="Times New Roman"/>
        </w:rPr>
        <w:t>-4.7</w:t>
      </w:r>
      <w:r w:rsidR="00FC7548">
        <w:rPr>
          <w:rFonts w:ascii="Times New Roman" w:hAnsi="Times New Roman" w:cs="Times New Roman"/>
        </w:rPr>
        <w:t>3</w:t>
      </w:r>
      <w:r w:rsidR="00200B43">
        <w:rPr>
          <w:rFonts w:ascii="Times New Roman" w:hAnsi="Times New Roman" w:cs="Times New Roman"/>
        </w:rPr>
        <w:t>)</w:t>
      </w:r>
      <w:r w:rsidR="00531C96">
        <w:rPr>
          <w:rFonts w:ascii="Times New Roman" w:hAnsi="Times New Roman" w:cs="Times New Roman"/>
        </w:rPr>
        <w:t>,</w:t>
      </w:r>
      <w:r w:rsidR="000A132A">
        <w:rPr>
          <w:rFonts w:ascii="Times New Roman" w:hAnsi="Times New Roman" w:cs="Times New Roman"/>
        </w:rPr>
        <w:t xml:space="preserve"> and more than </w:t>
      </w:r>
      <w:r w:rsidR="00683A74">
        <w:rPr>
          <w:rFonts w:ascii="Times New Roman" w:hAnsi="Times New Roman" w:cs="Times New Roman"/>
        </w:rPr>
        <w:t>seven</w:t>
      </w:r>
      <w:r w:rsidR="000A132A">
        <w:rPr>
          <w:rFonts w:ascii="Times New Roman" w:hAnsi="Times New Roman" w:cs="Times New Roman"/>
        </w:rPr>
        <w:t xml:space="preserve"> times longer if they were severely frail</w:t>
      </w:r>
      <w:r w:rsidR="00200B43">
        <w:rPr>
          <w:rFonts w:ascii="Times New Roman" w:hAnsi="Times New Roman" w:cs="Times New Roman"/>
        </w:rPr>
        <w:t xml:space="preserve"> (IRR: 7.2</w:t>
      </w:r>
      <w:r w:rsidR="00FC7548">
        <w:rPr>
          <w:rFonts w:ascii="Times New Roman" w:hAnsi="Times New Roman" w:cs="Times New Roman"/>
        </w:rPr>
        <w:t>6</w:t>
      </w:r>
      <w:r w:rsidR="004D51FC">
        <w:rPr>
          <w:rFonts w:ascii="Times New Roman" w:hAnsi="Times New Roman" w:cs="Times New Roman"/>
        </w:rPr>
        <w:t>; 95% CI: 6.6</w:t>
      </w:r>
      <w:r w:rsidR="008E3274">
        <w:rPr>
          <w:rFonts w:ascii="Times New Roman" w:hAnsi="Times New Roman" w:cs="Times New Roman"/>
        </w:rPr>
        <w:t>1</w:t>
      </w:r>
      <w:r w:rsidR="004D51FC">
        <w:rPr>
          <w:rFonts w:ascii="Times New Roman" w:hAnsi="Times New Roman" w:cs="Times New Roman"/>
        </w:rPr>
        <w:t>-</w:t>
      </w:r>
      <w:r w:rsidR="008E3274">
        <w:rPr>
          <w:rFonts w:ascii="Times New Roman" w:hAnsi="Times New Roman" w:cs="Times New Roman"/>
        </w:rPr>
        <w:t>7.97</w:t>
      </w:r>
      <w:r w:rsidR="00200B43">
        <w:rPr>
          <w:rFonts w:ascii="Times New Roman" w:hAnsi="Times New Roman" w:cs="Times New Roman"/>
        </w:rPr>
        <w:t>)</w:t>
      </w:r>
      <w:r w:rsidR="000A132A">
        <w:rPr>
          <w:rFonts w:ascii="Times New Roman" w:hAnsi="Times New Roman" w:cs="Times New Roman"/>
        </w:rPr>
        <w:t xml:space="preserve">. </w:t>
      </w:r>
    </w:p>
    <w:p w14:paraId="12CA1990" w14:textId="188A5865" w:rsidR="009B369B" w:rsidRDefault="00BF6460" w:rsidP="00C24EC9">
      <w:pPr>
        <w:jc w:val="both"/>
        <w:rPr>
          <w:rFonts w:ascii="Times New Roman" w:hAnsi="Times New Roman" w:cs="Times New Roman"/>
        </w:rPr>
      </w:pPr>
      <w:r>
        <w:rPr>
          <w:rFonts w:ascii="Times New Roman" w:hAnsi="Times New Roman" w:cs="Times New Roman"/>
        </w:rPr>
        <w:t>Elective admissions also</w:t>
      </w:r>
      <w:r w:rsidR="00050066">
        <w:rPr>
          <w:rFonts w:ascii="Times New Roman" w:hAnsi="Times New Roman" w:cs="Times New Roman"/>
        </w:rPr>
        <w:t xml:space="preserve"> increase</w:t>
      </w:r>
      <w:r>
        <w:rPr>
          <w:rFonts w:ascii="Times New Roman" w:hAnsi="Times New Roman" w:cs="Times New Roman"/>
        </w:rPr>
        <w:t>d</w:t>
      </w:r>
      <w:r w:rsidR="00050066">
        <w:rPr>
          <w:rFonts w:ascii="Times New Roman" w:hAnsi="Times New Roman" w:cs="Times New Roman"/>
        </w:rPr>
        <w:t xml:space="preserve"> </w:t>
      </w:r>
      <w:r w:rsidR="00044C2D">
        <w:rPr>
          <w:rFonts w:ascii="Times New Roman" w:hAnsi="Times New Roman" w:cs="Times New Roman"/>
        </w:rPr>
        <w:t>with</w:t>
      </w:r>
      <w:r>
        <w:rPr>
          <w:rFonts w:ascii="Times New Roman" w:hAnsi="Times New Roman" w:cs="Times New Roman"/>
        </w:rPr>
        <w:t xml:space="preserve"> frailty</w:t>
      </w:r>
      <w:r w:rsidR="00050066">
        <w:rPr>
          <w:rFonts w:ascii="Times New Roman" w:hAnsi="Times New Roman" w:cs="Times New Roman"/>
        </w:rPr>
        <w:t xml:space="preserve">. </w:t>
      </w:r>
      <w:r w:rsidR="002673B7">
        <w:rPr>
          <w:rFonts w:ascii="Times New Roman" w:hAnsi="Times New Roman" w:cs="Times New Roman"/>
        </w:rPr>
        <w:t xml:space="preserve">Compared with the </w:t>
      </w:r>
      <w:r w:rsidR="00F578B5">
        <w:rPr>
          <w:rFonts w:ascii="Times New Roman" w:hAnsi="Times New Roman" w:cs="Times New Roman"/>
        </w:rPr>
        <w:t>non-frail</w:t>
      </w:r>
      <w:r w:rsidR="002673B7">
        <w:rPr>
          <w:rFonts w:ascii="Times New Roman" w:hAnsi="Times New Roman" w:cs="Times New Roman"/>
        </w:rPr>
        <w:t xml:space="preserve"> group, the adjusted </w:t>
      </w:r>
      <w:r w:rsidR="004224D2">
        <w:rPr>
          <w:rFonts w:ascii="Times New Roman" w:hAnsi="Times New Roman" w:cs="Times New Roman"/>
        </w:rPr>
        <w:t>IRRs</w:t>
      </w:r>
      <w:r w:rsidR="002673B7">
        <w:rPr>
          <w:rFonts w:ascii="Times New Roman" w:hAnsi="Times New Roman" w:cs="Times New Roman"/>
        </w:rPr>
        <w:t xml:space="preserve"> for</w:t>
      </w:r>
      <w:r w:rsidR="002673B7" w:rsidDel="00B75EF6">
        <w:rPr>
          <w:rFonts w:ascii="Times New Roman" w:hAnsi="Times New Roman" w:cs="Times New Roman"/>
        </w:rPr>
        <w:t xml:space="preserve"> </w:t>
      </w:r>
      <w:r w:rsidR="002673B7">
        <w:rPr>
          <w:rFonts w:ascii="Times New Roman" w:hAnsi="Times New Roman" w:cs="Times New Roman"/>
        </w:rPr>
        <w:t xml:space="preserve">annual </w:t>
      </w:r>
      <w:r w:rsidR="00E264AD">
        <w:rPr>
          <w:rFonts w:ascii="Times New Roman" w:hAnsi="Times New Roman" w:cs="Times New Roman"/>
        </w:rPr>
        <w:t xml:space="preserve">elective </w:t>
      </w:r>
      <w:r w:rsidR="002673B7">
        <w:rPr>
          <w:rFonts w:ascii="Times New Roman" w:hAnsi="Times New Roman" w:cs="Times New Roman"/>
        </w:rPr>
        <w:t>admissions were 1.50 (95% CI: 1.46-1.54) for mild frailty, 1.85 (95% CI: 1.79-1.92) for moderate frailty and 1.9</w:t>
      </w:r>
      <w:r w:rsidR="00701510">
        <w:rPr>
          <w:rFonts w:ascii="Times New Roman" w:hAnsi="Times New Roman" w:cs="Times New Roman"/>
        </w:rPr>
        <w:t>3</w:t>
      </w:r>
      <w:r w:rsidR="002673B7">
        <w:rPr>
          <w:rFonts w:ascii="Times New Roman" w:hAnsi="Times New Roman" w:cs="Times New Roman"/>
        </w:rPr>
        <w:t xml:space="preserve"> (95% CI: 1.8</w:t>
      </w:r>
      <w:r w:rsidR="00701510">
        <w:rPr>
          <w:rFonts w:ascii="Times New Roman" w:hAnsi="Times New Roman" w:cs="Times New Roman"/>
        </w:rPr>
        <w:t>2</w:t>
      </w:r>
      <w:r w:rsidR="002673B7">
        <w:rPr>
          <w:rFonts w:ascii="Times New Roman" w:hAnsi="Times New Roman" w:cs="Times New Roman"/>
        </w:rPr>
        <w:t>-2.0</w:t>
      </w:r>
      <w:r w:rsidR="00701510">
        <w:rPr>
          <w:rFonts w:ascii="Times New Roman" w:hAnsi="Times New Roman" w:cs="Times New Roman"/>
        </w:rPr>
        <w:t>5</w:t>
      </w:r>
      <w:r w:rsidR="002673B7">
        <w:rPr>
          <w:rFonts w:ascii="Times New Roman" w:hAnsi="Times New Roman" w:cs="Times New Roman"/>
        </w:rPr>
        <w:t xml:space="preserve">) for severe frailty. </w:t>
      </w:r>
      <w:r>
        <w:rPr>
          <w:rFonts w:ascii="Times New Roman" w:hAnsi="Times New Roman" w:cs="Times New Roman"/>
        </w:rPr>
        <w:t xml:space="preserve">There was a threefold increase in </w:t>
      </w:r>
      <w:r w:rsidR="00531CFC">
        <w:rPr>
          <w:rFonts w:ascii="Times New Roman" w:hAnsi="Times New Roman" w:cs="Times New Roman"/>
        </w:rPr>
        <w:t xml:space="preserve">combined </w:t>
      </w:r>
      <w:r w:rsidR="00956467">
        <w:rPr>
          <w:rFonts w:ascii="Times New Roman" w:hAnsi="Times New Roman" w:cs="Times New Roman"/>
        </w:rPr>
        <w:t>inpatient days per year</w:t>
      </w:r>
      <w:r w:rsidR="00531CFC">
        <w:rPr>
          <w:rFonts w:ascii="Times New Roman" w:hAnsi="Times New Roman" w:cs="Times New Roman"/>
        </w:rPr>
        <w:t xml:space="preserve"> following elective admission </w:t>
      </w:r>
      <w:r>
        <w:rPr>
          <w:rFonts w:ascii="Times New Roman" w:hAnsi="Times New Roman" w:cs="Times New Roman"/>
        </w:rPr>
        <w:t>for moderate and severe frailty</w:t>
      </w:r>
      <w:r w:rsidR="002673B7">
        <w:rPr>
          <w:rFonts w:ascii="Times New Roman" w:hAnsi="Times New Roman" w:cs="Times New Roman"/>
        </w:rPr>
        <w:t xml:space="preserve"> (</w:t>
      </w:r>
      <w:r w:rsidR="00F203ED">
        <w:rPr>
          <w:rFonts w:ascii="Times New Roman" w:hAnsi="Times New Roman" w:cs="Times New Roman"/>
        </w:rPr>
        <w:t>IRR</w:t>
      </w:r>
      <w:r w:rsidR="002673B7">
        <w:rPr>
          <w:rFonts w:ascii="Times New Roman" w:hAnsi="Times New Roman" w:cs="Times New Roman"/>
        </w:rPr>
        <w:t xml:space="preserve">s of </w:t>
      </w:r>
      <w:r w:rsidR="00F203ED">
        <w:rPr>
          <w:rFonts w:ascii="Times New Roman" w:hAnsi="Times New Roman" w:cs="Times New Roman"/>
        </w:rPr>
        <w:t>3.0</w:t>
      </w:r>
      <w:r w:rsidR="00701510">
        <w:rPr>
          <w:rFonts w:ascii="Times New Roman" w:hAnsi="Times New Roman" w:cs="Times New Roman"/>
        </w:rPr>
        <w:t>7</w:t>
      </w:r>
      <w:r w:rsidR="002673B7">
        <w:rPr>
          <w:rFonts w:ascii="Times New Roman" w:hAnsi="Times New Roman" w:cs="Times New Roman"/>
        </w:rPr>
        <w:t xml:space="preserve"> (</w:t>
      </w:r>
      <w:r w:rsidR="00DF59E2">
        <w:rPr>
          <w:rFonts w:ascii="Times New Roman" w:hAnsi="Times New Roman" w:cs="Times New Roman"/>
        </w:rPr>
        <w:t>95% CI: 2.</w:t>
      </w:r>
      <w:r w:rsidR="00701510">
        <w:rPr>
          <w:rFonts w:ascii="Times New Roman" w:hAnsi="Times New Roman" w:cs="Times New Roman"/>
        </w:rPr>
        <w:t>81</w:t>
      </w:r>
      <w:r w:rsidR="00DF59E2">
        <w:rPr>
          <w:rFonts w:ascii="Times New Roman" w:hAnsi="Times New Roman" w:cs="Times New Roman"/>
        </w:rPr>
        <w:t>-3.3</w:t>
      </w:r>
      <w:r w:rsidR="00701510">
        <w:rPr>
          <w:rFonts w:ascii="Times New Roman" w:hAnsi="Times New Roman" w:cs="Times New Roman"/>
        </w:rPr>
        <w:t>5</w:t>
      </w:r>
      <w:r w:rsidR="002673B7">
        <w:rPr>
          <w:rFonts w:ascii="Times New Roman" w:hAnsi="Times New Roman" w:cs="Times New Roman"/>
        </w:rPr>
        <w:t xml:space="preserve">) and </w:t>
      </w:r>
      <w:r w:rsidR="00DF59E2">
        <w:rPr>
          <w:rFonts w:ascii="Times New Roman" w:hAnsi="Times New Roman" w:cs="Times New Roman"/>
        </w:rPr>
        <w:t>3.</w:t>
      </w:r>
      <w:r w:rsidR="002673B7">
        <w:rPr>
          <w:rFonts w:ascii="Times New Roman" w:hAnsi="Times New Roman" w:cs="Times New Roman"/>
        </w:rPr>
        <w:t>6</w:t>
      </w:r>
      <w:r w:rsidR="00701510">
        <w:rPr>
          <w:rFonts w:ascii="Times New Roman" w:hAnsi="Times New Roman" w:cs="Times New Roman"/>
        </w:rPr>
        <w:t>4</w:t>
      </w:r>
      <w:r w:rsidR="002673B7">
        <w:rPr>
          <w:rFonts w:ascii="Times New Roman" w:hAnsi="Times New Roman" w:cs="Times New Roman"/>
        </w:rPr>
        <w:t xml:space="preserve"> (</w:t>
      </w:r>
      <w:r w:rsidR="00F203ED">
        <w:rPr>
          <w:rFonts w:ascii="Times New Roman" w:hAnsi="Times New Roman" w:cs="Times New Roman"/>
        </w:rPr>
        <w:t>95% CI: 3.</w:t>
      </w:r>
      <w:r w:rsidR="002673B7">
        <w:rPr>
          <w:rFonts w:ascii="Times New Roman" w:hAnsi="Times New Roman" w:cs="Times New Roman"/>
        </w:rPr>
        <w:t>1</w:t>
      </w:r>
      <w:r w:rsidR="00701510">
        <w:rPr>
          <w:rFonts w:ascii="Times New Roman" w:hAnsi="Times New Roman" w:cs="Times New Roman"/>
        </w:rPr>
        <w:t>4</w:t>
      </w:r>
      <w:r w:rsidR="00DF59E2">
        <w:rPr>
          <w:rFonts w:ascii="Times New Roman" w:hAnsi="Times New Roman" w:cs="Times New Roman"/>
        </w:rPr>
        <w:t>-4.</w:t>
      </w:r>
      <w:r w:rsidR="00701510">
        <w:rPr>
          <w:rFonts w:ascii="Times New Roman" w:hAnsi="Times New Roman" w:cs="Times New Roman"/>
        </w:rPr>
        <w:t>22</w:t>
      </w:r>
      <w:r w:rsidR="00DF59E2">
        <w:rPr>
          <w:rFonts w:ascii="Times New Roman" w:hAnsi="Times New Roman" w:cs="Times New Roman"/>
        </w:rPr>
        <w:t>)</w:t>
      </w:r>
      <w:r w:rsidR="002673B7">
        <w:rPr>
          <w:rFonts w:ascii="Times New Roman" w:hAnsi="Times New Roman" w:cs="Times New Roman"/>
        </w:rPr>
        <w:t xml:space="preserve"> respectively)</w:t>
      </w:r>
      <w:r w:rsidR="009A5283">
        <w:rPr>
          <w:rFonts w:ascii="Times New Roman" w:hAnsi="Times New Roman" w:cs="Times New Roman"/>
        </w:rPr>
        <w:t xml:space="preserve">. </w:t>
      </w:r>
      <w:r w:rsidR="00956467">
        <w:rPr>
          <w:rFonts w:ascii="Times New Roman" w:hAnsi="Times New Roman" w:cs="Times New Roman"/>
        </w:rPr>
        <w:t xml:space="preserve"> </w:t>
      </w:r>
    </w:p>
    <w:p w14:paraId="67DC7B3C" w14:textId="2954A8D0" w:rsidR="009F6BFB" w:rsidRDefault="009F6BFB" w:rsidP="009F6BFB">
      <w:pPr>
        <w:jc w:val="both"/>
        <w:rPr>
          <w:rFonts w:ascii="Times New Roman" w:hAnsi="Times New Roman" w:cs="Times New Roman"/>
        </w:rPr>
      </w:pPr>
      <w:r>
        <w:rPr>
          <w:rFonts w:ascii="Times New Roman" w:hAnsi="Times New Roman" w:cs="Times New Roman"/>
        </w:rPr>
        <w:t xml:space="preserve">The absolute </w:t>
      </w:r>
      <w:r w:rsidR="002673B7">
        <w:rPr>
          <w:rFonts w:ascii="Times New Roman" w:hAnsi="Times New Roman" w:cs="Times New Roman"/>
        </w:rPr>
        <w:t xml:space="preserve">adjusted </w:t>
      </w:r>
      <w:r>
        <w:rPr>
          <w:rFonts w:ascii="Times New Roman" w:hAnsi="Times New Roman" w:cs="Times New Roman"/>
        </w:rPr>
        <w:t xml:space="preserve">differences in annual hospital admissions </w:t>
      </w:r>
      <w:r w:rsidR="002673B7">
        <w:rPr>
          <w:rFonts w:ascii="Times New Roman" w:hAnsi="Times New Roman" w:cs="Times New Roman"/>
        </w:rPr>
        <w:t xml:space="preserve">between frailty categories </w:t>
      </w:r>
      <w:r>
        <w:rPr>
          <w:rFonts w:ascii="Times New Roman" w:hAnsi="Times New Roman" w:cs="Times New Roman"/>
        </w:rPr>
        <w:t xml:space="preserve">were relatively small </w:t>
      </w:r>
      <w:r w:rsidR="00BE2E46">
        <w:rPr>
          <w:rFonts w:ascii="Times New Roman" w:hAnsi="Times New Roman" w:cs="Times New Roman"/>
        </w:rPr>
        <w:t>(</w:t>
      </w:r>
      <w:r w:rsidR="00487B35">
        <w:rPr>
          <w:rFonts w:ascii="Times New Roman" w:hAnsi="Times New Roman" w:cs="Times New Roman"/>
          <w:b/>
        </w:rPr>
        <w:t>table 3</w:t>
      </w:r>
      <w:r w:rsidR="00BE2E46">
        <w:rPr>
          <w:rFonts w:ascii="Times New Roman" w:hAnsi="Times New Roman" w:cs="Times New Roman"/>
        </w:rPr>
        <w:t>)</w:t>
      </w:r>
      <w:r w:rsidR="008B328C">
        <w:rPr>
          <w:rFonts w:ascii="Times New Roman" w:hAnsi="Times New Roman" w:cs="Times New Roman"/>
        </w:rPr>
        <w:t>.</w:t>
      </w:r>
      <w:r w:rsidR="002673B7">
        <w:rPr>
          <w:rFonts w:ascii="Times New Roman" w:hAnsi="Times New Roman" w:cs="Times New Roman"/>
        </w:rPr>
        <w:t xml:space="preserve"> </w:t>
      </w:r>
      <w:r w:rsidR="008B328C">
        <w:rPr>
          <w:rFonts w:ascii="Times New Roman" w:hAnsi="Times New Roman" w:cs="Times New Roman"/>
        </w:rPr>
        <w:t>On</w:t>
      </w:r>
      <w:r w:rsidR="002673B7">
        <w:rPr>
          <w:rFonts w:ascii="Times New Roman" w:hAnsi="Times New Roman" w:cs="Times New Roman"/>
        </w:rPr>
        <w:t xml:space="preserve"> average </w:t>
      </w:r>
      <w:r>
        <w:rPr>
          <w:rFonts w:ascii="Times New Roman" w:hAnsi="Times New Roman" w:cs="Times New Roman"/>
        </w:rPr>
        <w:t>patient</w:t>
      </w:r>
      <w:r w:rsidR="002673B7">
        <w:rPr>
          <w:rFonts w:ascii="Times New Roman" w:hAnsi="Times New Roman" w:cs="Times New Roman"/>
        </w:rPr>
        <w:t>s</w:t>
      </w:r>
      <w:r>
        <w:rPr>
          <w:rFonts w:ascii="Times New Roman" w:hAnsi="Times New Roman" w:cs="Times New Roman"/>
        </w:rPr>
        <w:t xml:space="preserve"> </w:t>
      </w:r>
      <w:r w:rsidR="002673B7">
        <w:rPr>
          <w:rFonts w:ascii="Times New Roman" w:hAnsi="Times New Roman" w:cs="Times New Roman"/>
        </w:rPr>
        <w:t xml:space="preserve">with severe frailty had </w:t>
      </w:r>
      <w:r>
        <w:rPr>
          <w:rFonts w:ascii="Times New Roman" w:hAnsi="Times New Roman" w:cs="Times New Roman"/>
        </w:rPr>
        <w:t>0.3 additional emergency admission</w:t>
      </w:r>
      <w:r w:rsidR="002673B7">
        <w:rPr>
          <w:rFonts w:ascii="Times New Roman" w:hAnsi="Times New Roman" w:cs="Times New Roman"/>
        </w:rPr>
        <w:t>s</w:t>
      </w:r>
      <w:r>
        <w:rPr>
          <w:rFonts w:ascii="Times New Roman" w:hAnsi="Times New Roman" w:cs="Times New Roman"/>
        </w:rPr>
        <w:t xml:space="preserve"> </w:t>
      </w:r>
      <w:r w:rsidR="002673B7">
        <w:rPr>
          <w:rFonts w:ascii="Times New Roman" w:hAnsi="Times New Roman" w:cs="Times New Roman"/>
        </w:rPr>
        <w:t>per</w:t>
      </w:r>
      <w:r>
        <w:rPr>
          <w:rFonts w:ascii="Times New Roman" w:hAnsi="Times New Roman" w:cs="Times New Roman"/>
        </w:rPr>
        <w:t xml:space="preserve"> year compared with </w:t>
      </w:r>
      <w:r w:rsidR="00E264AD">
        <w:rPr>
          <w:rFonts w:ascii="Times New Roman" w:hAnsi="Times New Roman" w:cs="Times New Roman"/>
        </w:rPr>
        <w:t xml:space="preserve">non-frail </w:t>
      </w:r>
      <w:r w:rsidR="002673B7">
        <w:rPr>
          <w:rFonts w:ascii="Times New Roman" w:hAnsi="Times New Roman" w:cs="Times New Roman"/>
        </w:rPr>
        <w:t>patients</w:t>
      </w:r>
      <w:r>
        <w:rPr>
          <w:rFonts w:ascii="Times New Roman" w:hAnsi="Times New Roman" w:cs="Times New Roman"/>
        </w:rPr>
        <w:t>. However, the differences were more subs</w:t>
      </w:r>
      <w:r w:rsidR="0060387C">
        <w:rPr>
          <w:rFonts w:ascii="Times New Roman" w:hAnsi="Times New Roman" w:cs="Times New Roman"/>
        </w:rPr>
        <w:t xml:space="preserve">tantial </w:t>
      </w:r>
      <w:r w:rsidR="006412C8">
        <w:rPr>
          <w:rFonts w:ascii="Times New Roman" w:hAnsi="Times New Roman" w:cs="Times New Roman"/>
        </w:rPr>
        <w:t>for</w:t>
      </w:r>
      <w:r w:rsidR="00BC7F90">
        <w:rPr>
          <w:rFonts w:ascii="Times New Roman" w:hAnsi="Times New Roman" w:cs="Times New Roman"/>
        </w:rPr>
        <w:t xml:space="preserve"> </w:t>
      </w:r>
      <w:r>
        <w:rPr>
          <w:rFonts w:ascii="Times New Roman" w:hAnsi="Times New Roman" w:cs="Times New Roman"/>
        </w:rPr>
        <w:t xml:space="preserve">days </w:t>
      </w:r>
      <w:r w:rsidR="00BC7F90">
        <w:rPr>
          <w:rFonts w:ascii="Times New Roman" w:hAnsi="Times New Roman" w:cs="Times New Roman"/>
        </w:rPr>
        <w:t xml:space="preserve">of </w:t>
      </w:r>
      <w:r w:rsidR="0060387C">
        <w:rPr>
          <w:rFonts w:ascii="Times New Roman" w:hAnsi="Times New Roman" w:cs="Times New Roman"/>
        </w:rPr>
        <w:t>inpatient care</w:t>
      </w:r>
      <w:r>
        <w:rPr>
          <w:rFonts w:ascii="Times New Roman" w:hAnsi="Times New Roman" w:cs="Times New Roman"/>
        </w:rPr>
        <w:t xml:space="preserve">. </w:t>
      </w:r>
      <w:r w:rsidR="00BC7F90">
        <w:rPr>
          <w:rFonts w:ascii="Times New Roman" w:hAnsi="Times New Roman" w:cs="Times New Roman"/>
        </w:rPr>
        <w:t>P</w:t>
      </w:r>
      <w:r>
        <w:rPr>
          <w:rFonts w:ascii="Times New Roman" w:hAnsi="Times New Roman" w:cs="Times New Roman"/>
        </w:rPr>
        <w:t xml:space="preserve">atients would, on average, stay in hospital for another </w:t>
      </w:r>
      <w:r w:rsidR="00C321E2">
        <w:rPr>
          <w:rFonts w:ascii="Times New Roman" w:hAnsi="Times New Roman" w:cs="Times New Roman"/>
        </w:rPr>
        <w:t>25.8</w:t>
      </w:r>
      <w:r>
        <w:rPr>
          <w:rFonts w:ascii="Times New Roman" w:hAnsi="Times New Roman" w:cs="Times New Roman"/>
        </w:rPr>
        <w:t xml:space="preserve"> days per year following emergency admission if they were severely frail</w:t>
      </w:r>
      <w:r w:rsidR="00487B35">
        <w:rPr>
          <w:rFonts w:ascii="Times New Roman" w:hAnsi="Times New Roman" w:cs="Times New Roman"/>
        </w:rPr>
        <w:t xml:space="preserve"> (</w:t>
      </w:r>
      <w:r w:rsidR="00C321E2">
        <w:rPr>
          <w:rFonts w:ascii="Times New Roman" w:hAnsi="Times New Roman" w:cs="Times New Roman"/>
        </w:rPr>
        <w:t>29.9</w:t>
      </w:r>
      <w:r w:rsidR="00487B35">
        <w:rPr>
          <w:rFonts w:ascii="Times New Roman" w:hAnsi="Times New Roman" w:cs="Times New Roman"/>
        </w:rPr>
        <w:t xml:space="preserve"> for severe frailty and </w:t>
      </w:r>
      <w:r w:rsidR="00C321E2">
        <w:rPr>
          <w:rFonts w:ascii="Times New Roman" w:hAnsi="Times New Roman" w:cs="Times New Roman"/>
        </w:rPr>
        <w:t xml:space="preserve">4.1 </w:t>
      </w:r>
      <w:r w:rsidR="00487B35">
        <w:rPr>
          <w:rFonts w:ascii="Times New Roman" w:hAnsi="Times New Roman" w:cs="Times New Roman"/>
        </w:rPr>
        <w:t>for non-frail)</w:t>
      </w:r>
      <w:r>
        <w:rPr>
          <w:rFonts w:ascii="Times New Roman" w:hAnsi="Times New Roman" w:cs="Times New Roman"/>
        </w:rPr>
        <w:t xml:space="preserve">. </w:t>
      </w:r>
      <w:r w:rsidR="006412C8">
        <w:rPr>
          <w:rFonts w:ascii="Times New Roman" w:hAnsi="Times New Roman" w:cs="Times New Roman"/>
        </w:rPr>
        <w:t>M</w:t>
      </w:r>
      <w:r>
        <w:rPr>
          <w:rFonts w:ascii="Times New Roman" w:hAnsi="Times New Roman" w:cs="Times New Roman"/>
        </w:rPr>
        <w:t xml:space="preserve">oderate frailty was associated with </w:t>
      </w:r>
      <w:r w:rsidR="00C321E2">
        <w:rPr>
          <w:rFonts w:ascii="Times New Roman" w:hAnsi="Times New Roman" w:cs="Times New Roman"/>
        </w:rPr>
        <w:t>14.2</w:t>
      </w:r>
      <w:r>
        <w:rPr>
          <w:rFonts w:ascii="Times New Roman" w:hAnsi="Times New Roman" w:cs="Times New Roman"/>
        </w:rPr>
        <w:t xml:space="preserve"> additional days in hospital </w:t>
      </w:r>
      <w:r w:rsidR="00487B35">
        <w:rPr>
          <w:rFonts w:ascii="Times New Roman" w:hAnsi="Times New Roman" w:cs="Times New Roman"/>
        </w:rPr>
        <w:t>(</w:t>
      </w:r>
      <w:r w:rsidR="00C321E2">
        <w:rPr>
          <w:rFonts w:ascii="Times New Roman" w:hAnsi="Times New Roman" w:cs="Times New Roman"/>
        </w:rPr>
        <w:t>18.3</w:t>
      </w:r>
      <w:r w:rsidR="00487B35">
        <w:rPr>
          <w:rFonts w:ascii="Times New Roman" w:hAnsi="Times New Roman" w:cs="Times New Roman"/>
        </w:rPr>
        <w:t xml:space="preserve"> for moderate frailty)</w:t>
      </w:r>
      <w:r w:rsidR="0021540A">
        <w:rPr>
          <w:rFonts w:ascii="Times New Roman" w:hAnsi="Times New Roman" w:cs="Times New Roman"/>
        </w:rPr>
        <w:t>.</w:t>
      </w:r>
      <w:r>
        <w:rPr>
          <w:rFonts w:ascii="Times New Roman" w:hAnsi="Times New Roman" w:cs="Times New Roman"/>
        </w:rPr>
        <w:t xml:space="preserve"> </w:t>
      </w:r>
      <w:bookmarkStart w:id="11" w:name="_GoBack"/>
      <w:bookmarkEnd w:id="11"/>
      <w:r>
        <w:rPr>
          <w:rFonts w:ascii="Times New Roman" w:hAnsi="Times New Roman" w:cs="Times New Roman"/>
        </w:rPr>
        <w:t xml:space="preserve"> </w:t>
      </w:r>
    </w:p>
    <w:p w14:paraId="419125A2" w14:textId="056DD918" w:rsidR="006C4AD4" w:rsidRDefault="004E6254" w:rsidP="00BC7F90">
      <w:pPr>
        <w:jc w:val="both"/>
        <w:rPr>
          <w:rFonts w:ascii="Times New Roman" w:hAnsi="Times New Roman" w:cs="Times New Roman"/>
        </w:rPr>
      </w:pPr>
      <w:r>
        <w:rPr>
          <w:rFonts w:ascii="Times New Roman" w:hAnsi="Times New Roman" w:cs="Times New Roman"/>
        </w:rPr>
        <w:lastRenderedPageBreak/>
        <w:t xml:space="preserve">We </w:t>
      </w:r>
      <w:r w:rsidR="00BC7F90">
        <w:rPr>
          <w:rFonts w:ascii="Times New Roman" w:hAnsi="Times New Roman" w:cs="Times New Roman"/>
        </w:rPr>
        <w:t>estimated the economic imp</w:t>
      </w:r>
      <w:r w:rsidR="004B496D">
        <w:rPr>
          <w:rFonts w:ascii="Times New Roman" w:hAnsi="Times New Roman" w:cs="Times New Roman"/>
        </w:rPr>
        <w:t>act of frailty on hospital care</w:t>
      </w:r>
      <w:r w:rsidR="00BC7F90">
        <w:rPr>
          <w:rFonts w:ascii="Times New Roman" w:hAnsi="Times New Roman" w:cs="Times New Roman"/>
        </w:rPr>
        <w:t xml:space="preserve"> </w:t>
      </w:r>
      <w:r w:rsidR="004B496D">
        <w:rPr>
          <w:rFonts w:ascii="Times New Roman" w:hAnsi="Times New Roman" w:cs="Times New Roman"/>
        </w:rPr>
        <w:t xml:space="preserve">in </w:t>
      </w:r>
      <w:r>
        <w:rPr>
          <w:rFonts w:ascii="Times New Roman" w:hAnsi="Times New Roman" w:cs="Times New Roman"/>
        </w:rPr>
        <w:t>2013/14</w:t>
      </w:r>
      <w:r w:rsidR="00BC7F90">
        <w:rPr>
          <w:rFonts w:ascii="Times New Roman" w:hAnsi="Times New Roman" w:cs="Times New Roman"/>
        </w:rPr>
        <w:t xml:space="preserve">. </w:t>
      </w:r>
      <w:r w:rsidR="00E43C4C">
        <w:rPr>
          <w:rFonts w:ascii="Times New Roman" w:hAnsi="Times New Roman" w:cs="Times New Roman"/>
        </w:rPr>
        <w:t>There were</w:t>
      </w:r>
      <w:r w:rsidR="00BE2E46">
        <w:rPr>
          <w:rFonts w:ascii="Times New Roman" w:hAnsi="Times New Roman" w:cs="Times New Roman"/>
        </w:rPr>
        <w:t xml:space="preserve"> </w:t>
      </w:r>
      <w:r w:rsidR="009F6BFB">
        <w:rPr>
          <w:rFonts w:ascii="Times New Roman" w:hAnsi="Times New Roman" w:cs="Times New Roman"/>
        </w:rPr>
        <w:t xml:space="preserve">57,974 patients </w:t>
      </w:r>
      <w:r>
        <w:rPr>
          <w:rFonts w:ascii="Times New Roman" w:hAnsi="Times New Roman" w:cs="Times New Roman"/>
        </w:rPr>
        <w:t xml:space="preserve">eligible for analyses </w:t>
      </w:r>
      <w:r w:rsidR="00E43C4C">
        <w:rPr>
          <w:rFonts w:ascii="Times New Roman" w:hAnsi="Times New Roman" w:cs="Times New Roman"/>
        </w:rPr>
        <w:t>with</w:t>
      </w:r>
      <w:r w:rsidR="009F6BFB">
        <w:rPr>
          <w:rFonts w:ascii="Times New Roman" w:hAnsi="Times New Roman" w:cs="Times New Roman"/>
        </w:rPr>
        <w:t xml:space="preserve"> 42,281 hospital admissions</w:t>
      </w:r>
      <w:r w:rsidR="00BE2E46">
        <w:rPr>
          <w:rFonts w:ascii="Times New Roman" w:hAnsi="Times New Roman" w:cs="Times New Roman"/>
        </w:rPr>
        <w:t xml:space="preserve"> in </w:t>
      </w:r>
      <w:r>
        <w:rPr>
          <w:rFonts w:ascii="Times New Roman" w:hAnsi="Times New Roman" w:cs="Times New Roman"/>
        </w:rPr>
        <w:t>this</w:t>
      </w:r>
      <w:r w:rsidR="00BE2E46">
        <w:rPr>
          <w:rFonts w:ascii="Times New Roman" w:hAnsi="Times New Roman" w:cs="Times New Roman"/>
        </w:rPr>
        <w:t xml:space="preserve"> year</w:t>
      </w:r>
      <w:r w:rsidR="009F6BFB">
        <w:rPr>
          <w:rFonts w:ascii="Times New Roman" w:hAnsi="Times New Roman" w:cs="Times New Roman"/>
        </w:rPr>
        <w:t xml:space="preserve">. After </w:t>
      </w:r>
      <w:r w:rsidR="00867DE3">
        <w:rPr>
          <w:rFonts w:ascii="Times New Roman" w:hAnsi="Times New Roman" w:cs="Times New Roman"/>
        </w:rPr>
        <w:t>adjustment,</w:t>
      </w:r>
      <w:r w:rsidR="009F6BFB">
        <w:rPr>
          <w:rFonts w:ascii="Times New Roman" w:hAnsi="Times New Roman" w:cs="Times New Roman"/>
        </w:rPr>
        <w:t xml:space="preserve"> the </w:t>
      </w:r>
      <w:r w:rsidR="009537C4">
        <w:rPr>
          <w:rFonts w:ascii="Times New Roman" w:hAnsi="Times New Roman" w:cs="Times New Roman"/>
        </w:rPr>
        <w:t>average</w:t>
      </w:r>
      <w:r w:rsidR="004224D2">
        <w:rPr>
          <w:rFonts w:ascii="Times New Roman" w:hAnsi="Times New Roman" w:cs="Times New Roman"/>
        </w:rPr>
        <w:t xml:space="preserve"> annual</w:t>
      </w:r>
      <w:r w:rsidR="009F6BFB">
        <w:rPr>
          <w:rFonts w:ascii="Times New Roman" w:hAnsi="Times New Roman" w:cs="Times New Roman"/>
        </w:rPr>
        <w:t xml:space="preserve"> cost of hospital admission</w:t>
      </w:r>
      <w:r w:rsidR="0060387C">
        <w:rPr>
          <w:rFonts w:ascii="Times New Roman" w:hAnsi="Times New Roman" w:cs="Times New Roman"/>
        </w:rPr>
        <w:t xml:space="preserve"> (emergency and elective</w:t>
      </w:r>
      <w:r w:rsidR="004224D2">
        <w:rPr>
          <w:rFonts w:ascii="Times New Roman" w:hAnsi="Times New Roman" w:cs="Times New Roman"/>
        </w:rPr>
        <w:t>)</w:t>
      </w:r>
      <w:r w:rsidR="00BC7F90">
        <w:rPr>
          <w:rFonts w:ascii="Times New Roman" w:hAnsi="Times New Roman" w:cs="Times New Roman"/>
        </w:rPr>
        <w:t xml:space="preserve"> </w:t>
      </w:r>
      <w:r w:rsidR="009F6BFB">
        <w:rPr>
          <w:rFonts w:ascii="Times New Roman" w:hAnsi="Times New Roman" w:cs="Times New Roman"/>
        </w:rPr>
        <w:t>increase</w:t>
      </w:r>
      <w:r w:rsidR="00BC7F90">
        <w:rPr>
          <w:rFonts w:ascii="Times New Roman" w:hAnsi="Times New Roman" w:cs="Times New Roman"/>
        </w:rPr>
        <w:t>d</w:t>
      </w:r>
      <w:r w:rsidR="004224D2">
        <w:rPr>
          <w:rFonts w:ascii="Times New Roman" w:hAnsi="Times New Roman" w:cs="Times New Roman"/>
        </w:rPr>
        <w:t xml:space="preserve"> from £606.8</w:t>
      </w:r>
      <w:r w:rsidR="00E8584D">
        <w:rPr>
          <w:rFonts w:ascii="Times New Roman" w:hAnsi="Times New Roman" w:cs="Times New Roman"/>
        </w:rPr>
        <w:t>0</w:t>
      </w:r>
      <w:r w:rsidR="004224D2">
        <w:rPr>
          <w:rFonts w:ascii="Times New Roman" w:hAnsi="Times New Roman" w:cs="Times New Roman"/>
        </w:rPr>
        <w:t xml:space="preserve"> for non-frail patients to £918.5</w:t>
      </w:r>
      <w:r w:rsidR="00E8584D">
        <w:rPr>
          <w:rFonts w:ascii="Times New Roman" w:hAnsi="Times New Roman" w:cs="Times New Roman"/>
        </w:rPr>
        <w:t>3</w:t>
      </w:r>
      <w:r w:rsidR="004224D2">
        <w:rPr>
          <w:rFonts w:ascii="Times New Roman" w:hAnsi="Times New Roman" w:cs="Times New Roman"/>
        </w:rPr>
        <w:t xml:space="preserve"> for mild frailty; £1397.</w:t>
      </w:r>
      <w:r w:rsidR="00E8584D">
        <w:rPr>
          <w:rFonts w:ascii="Times New Roman" w:hAnsi="Times New Roman" w:cs="Times New Roman"/>
        </w:rPr>
        <w:t>58</w:t>
      </w:r>
      <w:r w:rsidR="004224D2">
        <w:rPr>
          <w:rFonts w:ascii="Times New Roman" w:hAnsi="Times New Roman" w:cs="Times New Roman"/>
        </w:rPr>
        <w:t xml:space="preserve"> for moderate frailty; and</w:t>
      </w:r>
      <w:r w:rsidR="00007BC2">
        <w:rPr>
          <w:rFonts w:ascii="Times New Roman" w:hAnsi="Times New Roman" w:cs="Times New Roman"/>
        </w:rPr>
        <w:t xml:space="preserve"> £2182.7</w:t>
      </w:r>
      <w:r w:rsidR="00E8584D">
        <w:rPr>
          <w:rFonts w:ascii="Times New Roman" w:hAnsi="Times New Roman" w:cs="Times New Roman"/>
        </w:rPr>
        <w:t>1</w:t>
      </w:r>
      <w:r w:rsidR="009F6BFB">
        <w:rPr>
          <w:rFonts w:ascii="Times New Roman" w:hAnsi="Times New Roman" w:cs="Times New Roman"/>
        </w:rPr>
        <w:t xml:space="preserve"> for severe frailty (</w:t>
      </w:r>
      <w:r w:rsidR="003F4E62">
        <w:rPr>
          <w:rFonts w:ascii="Times New Roman" w:hAnsi="Times New Roman" w:cs="Times New Roman"/>
          <w:b/>
        </w:rPr>
        <w:t>table 3</w:t>
      </w:r>
      <w:r w:rsidR="009F6BFB">
        <w:rPr>
          <w:rFonts w:ascii="Times New Roman" w:hAnsi="Times New Roman" w:cs="Times New Roman"/>
        </w:rPr>
        <w:t xml:space="preserve">). </w:t>
      </w:r>
      <w:r w:rsidR="003F4E62">
        <w:rPr>
          <w:rFonts w:ascii="Times New Roman" w:hAnsi="Times New Roman" w:cs="Times New Roman"/>
        </w:rPr>
        <w:t xml:space="preserve">More severe </w:t>
      </w:r>
      <w:r w:rsidR="0060387C">
        <w:rPr>
          <w:rFonts w:ascii="Times New Roman" w:hAnsi="Times New Roman" w:cs="Times New Roman"/>
        </w:rPr>
        <w:t xml:space="preserve">frailty </w:t>
      </w:r>
      <w:r w:rsidR="004B496D">
        <w:rPr>
          <w:rFonts w:ascii="Times New Roman" w:hAnsi="Times New Roman" w:cs="Times New Roman"/>
        </w:rPr>
        <w:t xml:space="preserve">status </w:t>
      </w:r>
      <w:r w:rsidR="003F4E62">
        <w:rPr>
          <w:rFonts w:ascii="Times New Roman" w:hAnsi="Times New Roman" w:cs="Times New Roman"/>
        </w:rPr>
        <w:t>had greater impact on the c</w:t>
      </w:r>
      <w:r w:rsidR="0020245C">
        <w:rPr>
          <w:rFonts w:ascii="Times New Roman" w:hAnsi="Times New Roman" w:cs="Times New Roman"/>
        </w:rPr>
        <w:t>osts of emergency admissions than</w:t>
      </w:r>
      <w:r w:rsidR="003F4E62">
        <w:rPr>
          <w:rFonts w:ascii="Times New Roman" w:hAnsi="Times New Roman" w:cs="Times New Roman"/>
        </w:rPr>
        <w:t xml:space="preserve"> elective admissions.</w:t>
      </w:r>
    </w:p>
    <w:p w14:paraId="71C12323" w14:textId="77777777" w:rsidR="00E54D7A" w:rsidRDefault="00E54D7A" w:rsidP="00C24EC9">
      <w:pPr>
        <w:jc w:val="both"/>
        <w:rPr>
          <w:rFonts w:ascii="Times New Roman" w:hAnsi="Times New Roman" w:cs="Times New Roman"/>
        </w:rPr>
      </w:pPr>
    </w:p>
    <w:p w14:paraId="196DE2AA" w14:textId="77777777" w:rsidR="00E54D7A" w:rsidRDefault="00E54D7A" w:rsidP="00C24EC9">
      <w:pPr>
        <w:jc w:val="both"/>
        <w:rPr>
          <w:rFonts w:ascii="Times New Roman" w:hAnsi="Times New Roman" w:cs="Times New Roman"/>
        </w:rPr>
      </w:pPr>
    </w:p>
    <w:p w14:paraId="279D4B6E" w14:textId="77777777" w:rsidR="00E54D7A" w:rsidRDefault="00E54D7A" w:rsidP="00C24EC9">
      <w:pPr>
        <w:jc w:val="both"/>
        <w:rPr>
          <w:rFonts w:ascii="Times New Roman" w:hAnsi="Times New Roman" w:cs="Times New Roman"/>
        </w:rPr>
      </w:pPr>
    </w:p>
    <w:p w14:paraId="118DA10F" w14:textId="77777777" w:rsidR="002C20AB" w:rsidRDefault="002C20AB" w:rsidP="00EE12AE">
      <w:pPr>
        <w:rPr>
          <w:rFonts w:ascii="Times New Roman" w:hAnsi="Times New Roman" w:cs="Times New Roman"/>
        </w:rPr>
        <w:sectPr w:rsidR="002C20AB">
          <w:pgSz w:w="11906" w:h="16838"/>
          <w:pgMar w:top="1440" w:right="1440" w:bottom="1440" w:left="1440" w:header="708" w:footer="708" w:gutter="0"/>
          <w:cols w:space="708"/>
          <w:docGrid w:linePitch="360"/>
        </w:sectPr>
      </w:pPr>
    </w:p>
    <w:p w14:paraId="076D9A51" w14:textId="23B89D43" w:rsidR="00E54D7A" w:rsidRPr="00E54D7A" w:rsidRDefault="00E54D7A" w:rsidP="00E54D7A">
      <w:pPr>
        <w:pStyle w:val="Caption"/>
        <w:keepNext/>
        <w:rPr>
          <w:rFonts w:ascii="Times New Roman" w:hAnsi="Times New Roman" w:cs="Times New Roman"/>
        </w:rPr>
      </w:pPr>
      <w:r w:rsidRPr="00E54D7A">
        <w:rPr>
          <w:rFonts w:ascii="Times New Roman" w:hAnsi="Times New Roman" w:cs="Times New Roman"/>
        </w:rPr>
        <w:lastRenderedPageBreak/>
        <w:t xml:space="preserve">Table </w:t>
      </w:r>
      <w:r w:rsidRPr="00E54D7A">
        <w:rPr>
          <w:rFonts w:ascii="Times New Roman" w:hAnsi="Times New Roman" w:cs="Times New Roman"/>
        </w:rPr>
        <w:fldChar w:fldCharType="begin"/>
      </w:r>
      <w:r w:rsidRPr="00E54D7A">
        <w:rPr>
          <w:rFonts w:ascii="Times New Roman" w:hAnsi="Times New Roman" w:cs="Times New Roman"/>
        </w:rPr>
        <w:instrText xml:space="preserve"> SEQ Table \* ARABIC </w:instrText>
      </w:r>
      <w:r w:rsidRPr="00E54D7A">
        <w:rPr>
          <w:rFonts w:ascii="Times New Roman" w:hAnsi="Times New Roman" w:cs="Times New Roman"/>
        </w:rPr>
        <w:fldChar w:fldCharType="separate"/>
      </w:r>
      <w:r w:rsidR="00701681">
        <w:rPr>
          <w:rFonts w:ascii="Times New Roman" w:hAnsi="Times New Roman" w:cs="Times New Roman"/>
          <w:noProof/>
        </w:rPr>
        <w:t>2</w:t>
      </w:r>
      <w:r w:rsidRPr="00E54D7A">
        <w:rPr>
          <w:rFonts w:ascii="Times New Roman" w:hAnsi="Times New Roman" w:cs="Times New Roman"/>
        </w:rPr>
        <w:fldChar w:fldCharType="end"/>
      </w:r>
      <w:r w:rsidRPr="00E54D7A">
        <w:rPr>
          <w:rFonts w:ascii="Times New Roman" w:hAnsi="Times New Roman" w:cs="Times New Roman"/>
        </w:rPr>
        <w:t xml:space="preserve"> Adjusted </w:t>
      </w:r>
      <w:r w:rsidR="0091072C">
        <w:rPr>
          <w:rFonts w:ascii="Times New Roman" w:hAnsi="Times New Roman" w:cs="Times New Roman"/>
        </w:rPr>
        <w:t xml:space="preserve">impact of frailty on healthcare use, </w:t>
      </w:r>
      <w:r w:rsidRPr="00E54D7A">
        <w:rPr>
          <w:rFonts w:ascii="Times New Roman" w:hAnsi="Times New Roman" w:cs="Times New Roman"/>
        </w:rPr>
        <w:t>2003/04 - 2013/14</w:t>
      </w:r>
      <w:r w:rsidR="0091072C">
        <w:rPr>
          <w:rFonts w:ascii="Times New Roman" w:hAnsi="Times New Roman" w:cs="Times New Roman"/>
        </w:rPr>
        <w:t>.</w:t>
      </w:r>
    </w:p>
    <w:tbl>
      <w:tblPr>
        <w:tblpPr w:leftFromText="180" w:rightFromText="180" w:vertAnchor="text" w:tblpXSpec="center" w:tblpY="1"/>
        <w:tblOverlap w:val="never"/>
        <w:tblW w:w="0" w:type="auto"/>
        <w:tblLayout w:type="fixed"/>
        <w:tblLook w:val="04A0" w:firstRow="1" w:lastRow="0" w:firstColumn="1" w:lastColumn="0" w:noHBand="0" w:noVBand="1"/>
      </w:tblPr>
      <w:tblGrid>
        <w:gridCol w:w="1838"/>
        <w:gridCol w:w="851"/>
        <w:gridCol w:w="1134"/>
        <w:gridCol w:w="851"/>
        <w:gridCol w:w="1134"/>
        <w:gridCol w:w="851"/>
        <w:gridCol w:w="1134"/>
        <w:gridCol w:w="851"/>
        <w:gridCol w:w="1134"/>
        <w:gridCol w:w="907"/>
        <w:gridCol w:w="1247"/>
        <w:gridCol w:w="851"/>
        <w:gridCol w:w="1134"/>
      </w:tblGrid>
      <w:tr w:rsidR="00613B93" w:rsidRPr="004868C5" w14:paraId="522ECA60" w14:textId="77777777" w:rsidTr="00A719E4">
        <w:trPr>
          <w:trHeight w:val="300"/>
        </w:trPr>
        <w:tc>
          <w:tcPr>
            <w:tcW w:w="1838" w:type="dxa"/>
            <w:tcBorders>
              <w:top w:val="single" w:sz="4" w:space="0" w:color="auto"/>
            </w:tcBorders>
            <w:shd w:val="clear" w:color="auto" w:fill="auto"/>
            <w:noWrap/>
            <w:vAlign w:val="bottom"/>
            <w:hideMark/>
          </w:tcPr>
          <w:p w14:paraId="34D53E64" w14:textId="77777777" w:rsidR="00421C9A" w:rsidRPr="004868C5" w:rsidRDefault="00421C9A" w:rsidP="00D11C26">
            <w:pPr>
              <w:spacing w:after="0" w:line="240" w:lineRule="auto"/>
              <w:rPr>
                <w:rFonts w:ascii="Times New Roman" w:eastAsia="Times New Roman" w:hAnsi="Times New Roman" w:cs="Times New Roman"/>
                <w:sz w:val="18"/>
                <w:szCs w:val="18"/>
              </w:rPr>
            </w:pPr>
          </w:p>
        </w:tc>
        <w:tc>
          <w:tcPr>
            <w:tcW w:w="851" w:type="dxa"/>
            <w:tcBorders>
              <w:top w:val="single" w:sz="4" w:space="0" w:color="auto"/>
            </w:tcBorders>
            <w:shd w:val="clear" w:color="auto" w:fill="auto"/>
            <w:noWrap/>
            <w:vAlign w:val="bottom"/>
            <w:hideMark/>
          </w:tcPr>
          <w:p w14:paraId="73C7489C" w14:textId="77777777" w:rsidR="00421C9A" w:rsidRPr="004868C5" w:rsidRDefault="00421C9A" w:rsidP="004868C5">
            <w:pPr>
              <w:spacing w:after="0" w:line="240" w:lineRule="auto"/>
              <w:rPr>
                <w:rFonts w:ascii="Times New Roman" w:eastAsia="Times New Roman" w:hAnsi="Times New Roman" w:cs="Times New Roman"/>
                <w:sz w:val="18"/>
                <w:szCs w:val="18"/>
              </w:rPr>
            </w:pPr>
          </w:p>
        </w:tc>
        <w:tc>
          <w:tcPr>
            <w:tcW w:w="1134" w:type="dxa"/>
            <w:tcBorders>
              <w:top w:val="single" w:sz="4" w:space="0" w:color="auto"/>
            </w:tcBorders>
            <w:shd w:val="clear" w:color="auto" w:fill="auto"/>
            <w:noWrap/>
            <w:vAlign w:val="bottom"/>
            <w:hideMark/>
          </w:tcPr>
          <w:p w14:paraId="3F39710C" w14:textId="77777777" w:rsidR="00421C9A" w:rsidRPr="004868C5" w:rsidRDefault="00421C9A" w:rsidP="004868C5">
            <w:pPr>
              <w:spacing w:after="0" w:line="240" w:lineRule="auto"/>
              <w:rPr>
                <w:rFonts w:ascii="Times New Roman" w:eastAsia="Times New Roman" w:hAnsi="Times New Roman" w:cs="Times New Roman"/>
                <w:sz w:val="18"/>
                <w:szCs w:val="18"/>
              </w:rPr>
            </w:pPr>
          </w:p>
        </w:tc>
        <w:tc>
          <w:tcPr>
            <w:tcW w:w="851" w:type="dxa"/>
            <w:tcBorders>
              <w:top w:val="single" w:sz="4" w:space="0" w:color="auto"/>
            </w:tcBorders>
            <w:shd w:val="clear" w:color="auto" w:fill="auto"/>
            <w:noWrap/>
            <w:vAlign w:val="bottom"/>
            <w:hideMark/>
          </w:tcPr>
          <w:p w14:paraId="19B2B440" w14:textId="77777777" w:rsidR="00421C9A" w:rsidRPr="004868C5" w:rsidRDefault="00421C9A" w:rsidP="004868C5">
            <w:pPr>
              <w:spacing w:after="0" w:line="240" w:lineRule="auto"/>
              <w:rPr>
                <w:rFonts w:ascii="Times New Roman" w:eastAsia="Times New Roman" w:hAnsi="Times New Roman" w:cs="Times New Roman"/>
                <w:sz w:val="18"/>
                <w:szCs w:val="18"/>
              </w:rPr>
            </w:pPr>
          </w:p>
        </w:tc>
        <w:tc>
          <w:tcPr>
            <w:tcW w:w="1134" w:type="dxa"/>
            <w:tcBorders>
              <w:top w:val="single" w:sz="4" w:space="0" w:color="auto"/>
            </w:tcBorders>
            <w:shd w:val="clear" w:color="auto" w:fill="auto"/>
            <w:noWrap/>
            <w:vAlign w:val="bottom"/>
            <w:hideMark/>
          </w:tcPr>
          <w:p w14:paraId="77B9BB63" w14:textId="77777777" w:rsidR="00421C9A" w:rsidRPr="004868C5" w:rsidRDefault="00421C9A" w:rsidP="004868C5">
            <w:pPr>
              <w:spacing w:after="0" w:line="240" w:lineRule="auto"/>
              <w:rPr>
                <w:rFonts w:ascii="Times New Roman" w:eastAsia="Times New Roman" w:hAnsi="Times New Roman" w:cs="Times New Roman"/>
                <w:sz w:val="18"/>
                <w:szCs w:val="18"/>
              </w:rPr>
            </w:pPr>
          </w:p>
        </w:tc>
        <w:tc>
          <w:tcPr>
            <w:tcW w:w="851" w:type="dxa"/>
            <w:tcBorders>
              <w:top w:val="single" w:sz="4" w:space="0" w:color="auto"/>
            </w:tcBorders>
            <w:shd w:val="clear" w:color="auto" w:fill="auto"/>
            <w:noWrap/>
            <w:vAlign w:val="bottom"/>
            <w:hideMark/>
          </w:tcPr>
          <w:p w14:paraId="2B56B163" w14:textId="77777777" w:rsidR="00421C9A" w:rsidRPr="004868C5" w:rsidRDefault="00421C9A" w:rsidP="004868C5">
            <w:pPr>
              <w:spacing w:after="0" w:line="240" w:lineRule="auto"/>
              <w:rPr>
                <w:rFonts w:ascii="Times New Roman" w:eastAsia="Times New Roman" w:hAnsi="Times New Roman" w:cs="Times New Roman"/>
                <w:sz w:val="18"/>
                <w:szCs w:val="18"/>
              </w:rPr>
            </w:pPr>
          </w:p>
        </w:tc>
        <w:tc>
          <w:tcPr>
            <w:tcW w:w="1134" w:type="dxa"/>
            <w:tcBorders>
              <w:top w:val="single" w:sz="4" w:space="0" w:color="auto"/>
            </w:tcBorders>
            <w:shd w:val="clear" w:color="auto" w:fill="auto"/>
            <w:noWrap/>
            <w:vAlign w:val="bottom"/>
            <w:hideMark/>
          </w:tcPr>
          <w:p w14:paraId="37DFF683" w14:textId="77777777" w:rsidR="00421C9A" w:rsidRPr="004868C5" w:rsidRDefault="00421C9A" w:rsidP="004868C5">
            <w:pPr>
              <w:spacing w:after="0" w:line="240" w:lineRule="auto"/>
              <w:rPr>
                <w:rFonts w:ascii="Times New Roman" w:eastAsia="Times New Roman" w:hAnsi="Times New Roman" w:cs="Times New Roman"/>
                <w:sz w:val="18"/>
                <w:szCs w:val="18"/>
              </w:rPr>
            </w:pPr>
          </w:p>
        </w:tc>
        <w:tc>
          <w:tcPr>
            <w:tcW w:w="851" w:type="dxa"/>
            <w:tcBorders>
              <w:top w:val="single" w:sz="4" w:space="0" w:color="auto"/>
            </w:tcBorders>
            <w:shd w:val="clear" w:color="auto" w:fill="auto"/>
            <w:noWrap/>
            <w:vAlign w:val="bottom"/>
            <w:hideMark/>
          </w:tcPr>
          <w:p w14:paraId="2600C760" w14:textId="77777777" w:rsidR="00421C9A" w:rsidRPr="004868C5" w:rsidRDefault="00421C9A" w:rsidP="004868C5">
            <w:pPr>
              <w:spacing w:after="0" w:line="240" w:lineRule="auto"/>
              <w:rPr>
                <w:rFonts w:ascii="Times New Roman" w:eastAsia="Times New Roman" w:hAnsi="Times New Roman" w:cs="Times New Roman"/>
                <w:sz w:val="18"/>
                <w:szCs w:val="18"/>
              </w:rPr>
            </w:pPr>
          </w:p>
        </w:tc>
        <w:tc>
          <w:tcPr>
            <w:tcW w:w="1134" w:type="dxa"/>
            <w:tcBorders>
              <w:top w:val="single" w:sz="4" w:space="0" w:color="auto"/>
            </w:tcBorders>
            <w:shd w:val="clear" w:color="auto" w:fill="auto"/>
            <w:noWrap/>
            <w:vAlign w:val="bottom"/>
            <w:hideMark/>
          </w:tcPr>
          <w:p w14:paraId="06ED61CE" w14:textId="77777777" w:rsidR="00421C9A" w:rsidRPr="004868C5" w:rsidRDefault="00421C9A" w:rsidP="004868C5">
            <w:pPr>
              <w:spacing w:after="0" w:line="240" w:lineRule="auto"/>
              <w:rPr>
                <w:rFonts w:ascii="Times New Roman" w:eastAsia="Times New Roman" w:hAnsi="Times New Roman" w:cs="Times New Roman"/>
                <w:sz w:val="18"/>
                <w:szCs w:val="18"/>
              </w:rPr>
            </w:pPr>
          </w:p>
        </w:tc>
        <w:tc>
          <w:tcPr>
            <w:tcW w:w="907" w:type="dxa"/>
            <w:tcBorders>
              <w:top w:val="single" w:sz="4" w:space="0" w:color="auto"/>
            </w:tcBorders>
            <w:shd w:val="clear" w:color="auto" w:fill="auto"/>
            <w:noWrap/>
            <w:vAlign w:val="bottom"/>
            <w:hideMark/>
          </w:tcPr>
          <w:p w14:paraId="5BCDCA97" w14:textId="77777777" w:rsidR="00421C9A" w:rsidRPr="004868C5" w:rsidRDefault="00421C9A" w:rsidP="004868C5">
            <w:pPr>
              <w:spacing w:after="0" w:line="240" w:lineRule="auto"/>
              <w:rPr>
                <w:rFonts w:ascii="Times New Roman" w:eastAsia="Times New Roman" w:hAnsi="Times New Roman" w:cs="Times New Roman"/>
                <w:sz w:val="18"/>
                <w:szCs w:val="18"/>
              </w:rPr>
            </w:pPr>
          </w:p>
        </w:tc>
        <w:tc>
          <w:tcPr>
            <w:tcW w:w="1247" w:type="dxa"/>
            <w:tcBorders>
              <w:top w:val="single" w:sz="4" w:space="0" w:color="auto"/>
            </w:tcBorders>
            <w:shd w:val="clear" w:color="auto" w:fill="auto"/>
            <w:noWrap/>
            <w:vAlign w:val="bottom"/>
            <w:hideMark/>
          </w:tcPr>
          <w:p w14:paraId="00E1E9E3" w14:textId="77777777" w:rsidR="00421C9A" w:rsidRPr="004868C5" w:rsidRDefault="00421C9A" w:rsidP="004868C5">
            <w:pPr>
              <w:spacing w:after="0" w:line="240" w:lineRule="auto"/>
              <w:rPr>
                <w:rFonts w:ascii="Times New Roman" w:eastAsia="Times New Roman" w:hAnsi="Times New Roman" w:cs="Times New Roman"/>
                <w:sz w:val="18"/>
                <w:szCs w:val="18"/>
              </w:rPr>
            </w:pPr>
          </w:p>
        </w:tc>
        <w:tc>
          <w:tcPr>
            <w:tcW w:w="851" w:type="dxa"/>
            <w:tcBorders>
              <w:top w:val="single" w:sz="4" w:space="0" w:color="auto"/>
            </w:tcBorders>
            <w:shd w:val="clear" w:color="auto" w:fill="auto"/>
            <w:noWrap/>
            <w:vAlign w:val="bottom"/>
            <w:hideMark/>
          </w:tcPr>
          <w:p w14:paraId="75D65392" w14:textId="77777777" w:rsidR="00421C9A" w:rsidRPr="004868C5" w:rsidRDefault="00421C9A" w:rsidP="004868C5">
            <w:pPr>
              <w:spacing w:after="0" w:line="240" w:lineRule="auto"/>
              <w:rPr>
                <w:rFonts w:ascii="Times New Roman" w:eastAsia="Times New Roman" w:hAnsi="Times New Roman" w:cs="Times New Roman"/>
                <w:sz w:val="18"/>
                <w:szCs w:val="18"/>
              </w:rPr>
            </w:pPr>
          </w:p>
        </w:tc>
        <w:tc>
          <w:tcPr>
            <w:tcW w:w="1134" w:type="dxa"/>
            <w:tcBorders>
              <w:top w:val="single" w:sz="4" w:space="0" w:color="auto"/>
            </w:tcBorders>
            <w:shd w:val="clear" w:color="auto" w:fill="auto"/>
            <w:noWrap/>
            <w:vAlign w:val="bottom"/>
            <w:hideMark/>
          </w:tcPr>
          <w:p w14:paraId="3A510B64" w14:textId="77777777" w:rsidR="00421C9A" w:rsidRPr="004868C5" w:rsidRDefault="00421C9A" w:rsidP="004868C5">
            <w:pPr>
              <w:spacing w:after="0" w:line="240" w:lineRule="auto"/>
              <w:rPr>
                <w:rFonts w:ascii="Times New Roman" w:eastAsia="Times New Roman" w:hAnsi="Times New Roman" w:cs="Times New Roman"/>
                <w:sz w:val="18"/>
                <w:szCs w:val="18"/>
              </w:rPr>
            </w:pPr>
          </w:p>
        </w:tc>
      </w:tr>
      <w:tr w:rsidR="00D11C26" w:rsidRPr="004868C5" w14:paraId="6BF73F49" w14:textId="77777777" w:rsidTr="00A719E4">
        <w:trPr>
          <w:trHeight w:val="300"/>
        </w:trPr>
        <w:tc>
          <w:tcPr>
            <w:tcW w:w="1838" w:type="dxa"/>
            <w:tcBorders>
              <w:bottom w:val="single" w:sz="4" w:space="0" w:color="auto"/>
            </w:tcBorders>
            <w:shd w:val="clear" w:color="auto" w:fill="auto"/>
            <w:noWrap/>
            <w:vAlign w:val="bottom"/>
            <w:hideMark/>
          </w:tcPr>
          <w:p w14:paraId="6816B6EA" w14:textId="77777777" w:rsidR="00421C9A" w:rsidRPr="004868C5" w:rsidRDefault="00421C9A" w:rsidP="00D11C26">
            <w:pPr>
              <w:spacing w:after="0" w:line="240" w:lineRule="auto"/>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 </w:t>
            </w:r>
          </w:p>
        </w:tc>
        <w:tc>
          <w:tcPr>
            <w:tcW w:w="1134" w:type="dxa"/>
            <w:gridSpan w:val="4"/>
            <w:tcBorders>
              <w:bottom w:val="single" w:sz="4" w:space="0" w:color="auto"/>
            </w:tcBorders>
            <w:shd w:val="clear" w:color="auto" w:fill="auto"/>
            <w:noWrap/>
            <w:vAlign w:val="bottom"/>
            <w:hideMark/>
          </w:tcPr>
          <w:p w14:paraId="4A741A61" w14:textId="77777777" w:rsidR="00421C9A" w:rsidRPr="004868C5" w:rsidRDefault="00421C9A" w:rsidP="004868C5">
            <w:pPr>
              <w:spacing w:after="0" w:line="240" w:lineRule="auto"/>
              <w:jc w:val="center"/>
              <w:rPr>
                <w:rFonts w:ascii="Times New Roman" w:eastAsia="Times New Roman" w:hAnsi="Times New Roman" w:cs="Times New Roman"/>
                <w:b/>
                <w:bCs/>
                <w:color w:val="000000"/>
                <w:sz w:val="18"/>
                <w:szCs w:val="18"/>
              </w:rPr>
            </w:pPr>
            <w:r w:rsidRPr="004868C5">
              <w:rPr>
                <w:rFonts w:ascii="Times New Roman" w:eastAsia="Times New Roman" w:hAnsi="Times New Roman" w:cs="Times New Roman"/>
                <w:b/>
                <w:bCs/>
                <w:color w:val="000000"/>
                <w:sz w:val="18"/>
                <w:szCs w:val="18"/>
              </w:rPr>
              <w:t>General practice consultations</w:t>
            </w:r>
          </w:p>
        </w:tc>
        <w:tc>
          <w:tcPr>
            <w:tcW w:w="851" w:type="dxa"/>
            <w:gridSpan w:val="4"/>
            <w:tcBorders>
              <w:bottom w:val="single" w:sz="4" w:space="0" w:color="auto"/>
            </w:tcBorders>
            <w:shd w:val="clear" w:color="auto" w:fill="auto"/>
            <w:noWrap/>
            <w:vAlign w:val="bottom"/>
            <w:hideMark/>
          </w:tcPr>
          <w:p w14:paraId="6324E03D" w14:textId="77777777" w:rsidR="00421C9A" w:rsidRPr="004868C5" w:rsidRDefault="00421C9A" w:rsidP="004868C5">
            <w:pPr>
              <w:spacing w:after="0" w:line="240" w:lineRule="auto"/>
              <w:jc w:val="center"/>
              <w:rPr>
                <w:rFonts w:ascii="Times New Roman" w:eastAsia="Times New Roman" w:hAnsi="Times New Roman" w:cs="Times New Roman"/>
                <w:b/>
                <w:bCs/>
                <w:color w:val="000000"/>
                <w:sz w:val="18"/>
                <w:szCs w:val="18"/>
              </w:rPr>
            </w:pPr>
            <w:r w:rsidRPr="004868C5">
              <w:rPr>
                <w:rFonts w:ascii="Times New Roman" w:eastAsia="Times New Roman" w:hAnsi="Times New Roman" w:cs="Times New Roman"/>
                <w:b/>
                <w:bCs/>
                <w:color w:val="000000"/>
                <w:sz w:val="18"/>
                <w:szCs w:val="18"/>
              </w:rPr>
              <w:t>Hospital admissions</w:t>
            </w:r>
          </w:p>
        </w:tc>
        <w:tc>
          <w:tcPr>
            <w:tcW w:w="851" w:type="dxa"/>
            <w:gridSpan w:val="4"/>
            <w:tcBorders>
              <w:bottom w:val="single" w:sz="4" w:space="0" w:color="auto"/>
            </w:tcBorders>
            <w:shd w:val="clear" w:color="auto" w:fill="auto"/>
            <w:noWrap/>
            <w:vAlign w:val="bottom"/>
            <w:hideMark/>
          </w:tcPr>
          <w:p w14:paraId="18BB7EAC" w14:textId="77777777" w:rsidR="00421C9A" w:rsidRPr="004868C5" w:rsidRDefault="00421C9A" w:rsidP="004868C5">
            <w:pPr>
              <w:spacing w:after="0" w:line="240" w:lineRule="auto"/>
              <w:jc w:val="center"/>
              <w:rPr>
                <w:rFonts w:ascii="Times New Roman" w:eastAsia="Times New Roman" w:hAnsi="Times New Roman" w:cs="Times New Roman"/>
                <w:b/>
                <w:bCs/>
                <w:color w:val="000000"/>
                <w:sz w:val="18"/>
                <w:szCs w:val="18"/>
              </w:rPr>
            </w:pPr>
            <w:r w:rsidRPr="004868C5">
              <w:rPr>
                <w:rFonts w:ascii="Times New Roman" w:eastAsia="Times New Roman" w:hAnsi="Times New Roman" w:cs="Times New Roman"/>
                <w:b/>
                <w:bCs/>
                <w:color w:val="000000"/>
                <w:sz w:val="18"/>
                <w:szCs w:val="18"/>
              </w:rPr>
              <w:t>Hospital inpatient days</w:t>
            </w:r>
          </w:p>
        </w:tc>
      </w:tr>
      <w:tr w:rsidR="00613B93" w:rsidRPr="004868C5" w14:paraId="75650DE3" w14:textId="77777777" w:rsidTr="00A719E4">
        <w:trPr>
          <w:trHeight w:val="300"/>
        </w:trPr>
        <w:tc>
          <w:tcPr>
            <w:tcW w:w="1838" w:type="dxa"/>
            <w:tcBorders>
              <w:top w:val="single" w:sz="4" w:space="0" w:color="auto"/>
            </w:tcBorders>
            <w:shd w:val="clear" w:color="auto" w:fill="auto"/>
            <w:noWrap/>
            <w:vAlign w:val="bottom"/>
            <w:hideMark/>
          </w:tcPr>
          <w:p w14:paraId="0743B335" w14:textId="77777777" w:rsidR="00421C9A" w:rsidRPr="004868C5" w:rsidRDefault="00421C9A" w:rsidP="00D11C26">
            <w:pPr>
              <w:spacing w:after="0" w:line="240" w:lineRule="auto"/>
              <w:rPr>
                <w:rFonts w:ascii="Times New Roman" w:eastAsia="Times New Roman" w:hAnsi="Times New Roman" w:cs="Times New Roman"/>
                <w:b/>
                <w:bCs/>
                <w:color w:val="000000"/>
                <w:sz w:val="18"/>
                <w:szCs w:val="18"/>
              </w:rPr>
            </w:pPr>
          </w:p>
        </w:tc>
        <w:tc>
          <w:tcPr>
            <w:tcW w:w="1134" w:type="dxa"/>
            <w:gridSpan w:val="2"/>
            <w:tcBorders>
              <w:top w:val="single" w:sz="4" w:space="0" w:color="auto"/>
            </w:tcBorders>
            <w:shd w:val="clear" w:color="auto" w:fill="auto"/>
            <w:noWrap/>
            <w:vAlign w:val="bottom"/>
            <w:hideMark/>
          </w:tcPr>
          <w:p w14:paraId="4B3EAA15" w14:textId="77777777" w:rsidR="00421C9A" w:rsidRPr="004868C5" w:rsidRDefault="00421C9A" w:rsidP="004868C5">
            <w:pPr>
              <w:spacing w:after="0" w:line="240" w:lineRule="auto"/>
              <w:jc w:val="center"/>
              <w:rPr>
                <w:rFonts w:ascii="Times New Roman" w:eastAsia="Times New Roman" w:hAnsi="Times New Roman" w:cs="Times New Roman"/>
                <w:b/>
                <w:bCs/>
                <w:color w:val="000000"/>
                <w:sz w:val="18"/>
                <w:szCs w:val="18"/>
              </w:rPr>
            </w:pPr>
            <w:r w:rsidRPr="004868C5">
              <w:rPr>
                <w:rFonts w:ascii="Times New Roman" w:eastAsia="Times New Roman" w:hAnsi="Times New Roman" w:cs="Times New Roman"/>
                <w:b/>
                <w:bCs/>
                <w:color w:val="000000"/>
                <w:sz w:val="18"/>
                <w:szCs w:val="18"/>
              </w:rPr>
              <w:t>GPs</w:t>
            </w:r>
          </w:p>
        </w:tc>
        <w:tc>
          <w:tcPr>
            <w:tcW w:w="1134" w:type="dxa"/>
            <w:gridSpan w:val="2"/>
            <w:tcBorders>
              <w:top w:val="single" w:sz="4" w:space="0" w:color="auto"/>
            </w:tcBorders>
            <w:shd w:val="clear" w:color="auto" w:fill="auto"/>
            <w:noWrap/>
            <w:vAlign w:val="bottom"/>
            <w:hideMark/>
          </w:tcPr>
          <w:p w14:paraId="3E0FB973" w14:textId="77777777" w:rsidR="00421C9A" w:rsidRPr="004868C5" w:rsidRDefault="00421C9A" w:rsidP="004868C5">
            <w:pPr>
              <w:spacing w:after="0" w:line="240" w:lineRule="auto"/>
              <w:jc w:val="center"/>
              <w:rPr>
                <w:rFonts w:ascii="Times New Roman" w:eastAsia="Times New Roman" w:hAnsi="Times New Roman" w:cs="Times New Roman"/>
                <w:b/>
                <w:bCs/>
                <w:color w:val="000000"/>
                <w:sz w:val="18"/>
                <w:szCs w:val="18"/>
              </w:rPr>
            </w:pPr>
            <w:r w:rsidRPr="004868C5">
              <w:rPr>
                <w:rFonts w:ascii="Times New Roman" w:eastAsia="Times New Roman" w:hAnsi="Times New Roman" w:cs="Times New Roman"/>
                <w:b/>
                <w:bCs/>
                <w:color w:val="000000"/>
                <w:sz w:val="18"/>
                <w:szCs w:val="18"/>
              </w:rPr>
              <w:t>Practice nurses</w:t>
            </w:r>
          </w:p>
        </w:tc>
        <w:tc>
          <w:tcPr>
            <w:tcW w:w="1134" w:type="dxa"/>
            <w:gridSpan w:val="2"/>
            <w:tcBorders>
              <w:top w:val="single" w:sz="4" w:space="0" w:color="auto"/>
            </w:tcBorders>
            <w:shd w:val="clear" w:color="auto" w:fill="auto"/>
            <w:noWrap/>
            <w:vAlign w:val="bottom"/>
            <w:hideMark/>
          </w:tcPr>
          <w:p w14:paraId="7C4A581A" w14:textId="77777777" w:rsidR="00421C9A" w:rsidRPr="004868C5" w:rsidRDefault="00421C9A" w:rsidP="004868C5">
            <w:pPr>
              <w:spacing w:after="0" w:line="240" w:lineRule="auto"/>
              <w:jc w:val="center"/>
              <w:rPr>
                <w:rFonts w:ascii="Times New Roman" w:eastAsia="Times New Roman" w:hAnsi="Times New Roman" w:cs="Times New Roman"/>
                <w:b/>
                <w:bCs/>
                <w:color w:val="000000"/>
                <w:sz w:val="18"/>
                <w:szCs w:val="18"/>
              </w:rPr>
            </w:pPr>
            <w:r w:rsidRPr="004868C5">
              <w:rPr>
                <w:rFonts w:ascii="Times New Roman" w:eastAsia="Times New Roman" w:hAnsi="Times New Roman" w:cs="Times New Roman"/>
                <w:b/>
                <w:bCs/>
                <w:color w:val="000000"/>
                <w:sz w:val="18"/>
                <w:szCs w:val="18"/>
              </w:rPr>
              <w:t>Emergency</w:t>
            </w:r>
          </w:p>
        </w:tc>
        <w:tc>
          <w:tcPr>
            <w:tcW w:w="851" w:type="dxa"/>
            <w:gridSpan w:val="2"/>
            <w:tcBorders>
              <w:top w:val="single" w:sz="4" w:space="0" w:color="auto"/>
            </w:tcBorders>
            <w:shd w:val="clear" w:color="auto" w:fill="auto"/>
            <w:noWrap/>
            <w:vAlign w:val="bottom"/>
            <w:hideMark/>
          </w:tcPr>
          <w:p w14:paraId="4B22C9CB" w14:textId="77777777" w:rsidR="00421C9A" w:rsidRPr="004868C5" w:rsidRDefault="00421C9A" w:rsidP="004868C5">
            <w:pPr>
              <w:spacing w:after="0" w:line="240" w:lineRule="auto"/>
              <w:jc w:val="center"/>
              <w:rPr>
                <w:rFonts w:ascii="Times New Roman" w:eastAsia="Times New Roman" w:hAnsi="Times New Roman" w:cs="Times New Roman"/>
                <w:b/>
                <w:bCs/>
                <w:color w:val="000000"/>
                <w:sz w:val="18"/>
                <w:szCs w:val="18"/>
              </w:rPr>
            </w:pPr>
            <w:r w:rsidRPr="004868C5">
              <w:rPr>
                <w:rFonts w:ascii="Times New Roman" w:eastAsia="Times New Roman" w:hAnsi="Times New Roman" w:cs="Times New Roman"/>
                <w:b/>
                <w:bCs/>
                <w:color w:val="000000"/>
                <w:sz w:val="18"/>
                <w:szCs w:val="18"/>
              </w:rPr>
              <w:t>Elective</w:t>
            </w:r>
          </w:p>
        </w:tc>
        <w:tc>
          <w:tcPr>
            <w:tcW w:w="1247" w:type="dxa"/>
            <w:gridSpan w:val="2"/>
            <w:tcBorders>
              <w:top w:val="single" w:sz="4" w:space="0" w:color="auto"/>
            </w:tcBorders>
            <w:shd w:val="clear" w:color="auto" w:fill="auto"/>
            <w:noWrap/>
            <w:vAlign w:val="bottom"/>
            <w:hideMark/>
          </w:tcPr>
          <w:p w14:paraId="10A43D67" w14:textId="77777777" w:rsidR="00421C9A" w:rsidRPr="004868C5" w:rsidRDefault="00421C9A" w:rsidP="004868C5">
            <w:pPr>
              <w:spacing w:after="0" w:line="240" w:lineRule="auto"/>
              <w:jc w:val="center"/>
              <w:rPr>
                <w:rFonts w:ascii="Times New Roman" w:eastAsia="Times New Roman" w:hAnsi="Times New Roman" w:cs="Times New Roman"/>
                <w:b/>
                <w:bCs/>
                <w:color w:val="000000"/>
                <w:sz w:val="18"/>
                <w:szCs w:val="18"/>
              </w:rPr>
            </w:pPr>
            <w:r w:rsidRPr="004868C5">
              <w:rPr>
                <w:rFonts w:ascii="Times New Roman" w:eastAsia="Times New Roman" w:hAnsi="Times New Roman" w:cs="Times New Roman"/>
                <w:b/>
                <w:bCs/>
                <w:color w:val="000000"/>
                <w:sz w:val="18"/>
                <w:szCs w:val="18"/>
              </w:rPr>
              <w:t>Emergency</w:t>
            </w:r>
          </w:p>
        </w:tc>
        <w:tc>
          <w:tcPr>
            <w:tcW w:w="851" w:type="dxa"/>
            <w:gridSpan w:val="2"/>
            <w:tcBorders>
              <w:top w:val="single" w:sz="4" w:space="0" w:color="auto"/>
            </w:tcBorders>
            <w:shd w:val="clear" w:color="auto" w:fill="auto"/>
            <w:noWrap/>
            <w:vAlign w:val="bottom"/>
            <w:hideMark/>
          </w:tcPr>
          <w:p w14:paraId="07D444EE" w14:textId="77777777" w:rsidR="00421C9A" w:rsidRPr="004868C5" w:rsidRDefault="00421C9A" w:rsidP="004868C5">
            <w:pPr>
              <w:spacing w:after="0" w:line="240" w:lineRule="auto"/>
              <w:jc w:val="center"/>
              <w:rPr>
                <w:rFonts w:ascii="Times New Roman" w:eastAsia="Times New Roman" w:hAnsi="Times New Roman" w:cs="Times New Roman"/>
                <w:b/>
                <w:bCs/>
                <w:color w:val="000000"/>
                <w:sz w:val="18"/>
                <w:szCs w:val="18"/>
              </w:rPr>
            </w:pPr>
            <w:r w:rsidRPr="004868C5">
              <w:rPr>
                <w:rFonts w:ascii="Times New Roman" w:eastAsia="Times New Roman" w:hAnsi="Times New Roman" w:cs="Times New Roman"/>
                <w:b/>
                <w:bCs/>
                <w:color w:val="000000"/>
                <w:sz w:val="18"/>
                <w:szCs w:val="18"/>
              </w:rPr>
              <w:t>Elective</w:t>
            </w:r>
          </w:p>
        </w:tc>
      </w:tr>
      <w:tr w:rsidR="00613B93" w:rsidRPr="004868C5" w14:paraId="32605498" w14:textId="77777777" w:rsidTr="00A719E4">
        <w:trPr>
          <w:trHeight w:val="300"/>
        </w:trPr>
        <w:tc>
          <w:tcPr>
            <w:tcW w:w="1838" w:type="dxa"/>
            <w:tcBorders>
              <w:bottom w:val="single" w:sz="4" w:space="0" w:color="auto"/>
            </w:tcBorders>
            <w:shd w:val="clear" w:color="auto" w:fill="auto"/>
            <w:noWrap/>
            <w:vAlign w:val="bottom"/>
            <w:hideMark/>
          </w:tcPr>
          <w:p w14:paraId="40D2BCD8" w14:textId="77777777" w:rsidR="00421C9A" w:rsidRPr="004868C5" w:rsidRDefault="00421C9A" w:rsidP="00D11C26">
            <w:pPr>
              <w:spacing w:after="0" w:line="240" w:lineRule="auto"/>
              <w:rPr>
                <w:rFonts w:ascii="Times New Roman" w:eastAsia="Times New Roman" w:hAnsi="Times New Roman" w:cs="Times New Roman"/>
                <w:b/>
                <w:bCs/>
                <w:color w:val="000000"/>
                <w:sz w:val="18"/>
                <w:szCs w:val="18"/>
              </w:rPr>
            </w:pPr>
          </w:p>
        </w:tc>
        <w:tc>
          <w:tcPr>
            <w:tcW w:w="851" w:type="dxa"/>
            <w:tcBorders>
              <w:bottom w:val="single" w:sz="4" w:space="0" w:color="auto"/>
            </w:tcBorders>
            <w:shd w:val="clear" w:color="auto" w:fill="auto"/>
            <w:noWrap/>
            <w:vAlign w:val="bottom"/>
            <w:hideMark/>
          </w:tcPr>
          <w:p w14:paraId="6FA37C37" w14:textId="4B309A14" w:rsidR="00421C9A" w:rsidRPr="004868C5" w:rsidRDefault="00421C9A" w:rsidP="004868C5">
            <w:pPr>
              <w:spacing w:after="0" w:line="240" w:lineRule="auto"/>
              <w:jc w:val="center"/>
              <w:rPr>
                <w:rFonts w:ascii="Times New Roman" w:eastAsia="Times New Roman" w:hAnsi="Times New Roman" w:cs="Times New Roman"/>
                <w:color w:val="000000"/>
                <w:sz w:val="18"/>
                <w:szCs w:val="18"/>
                <w:vertAlign w:val="superscript"/>
              </w:rPr>
            </w:pPr>
            <w:r w:rsidRPr="004868C5">
              <w:rPr>
                <w:rFonts w:ascii="Times New Roman" w:eastAsia="Times New Roman" w:hAnsi="Times New Roman" w:cs="Times New Roman"/>
                <w:color w:val="000000"/>
                <w:sz w:val="18"/>
                <w:szCs w:val="18"/>
              </w:rPr>
              <w:t>IRR</w:t>
            </w:r>
            <w:r w:rsidR="002E3839" w:rsidRPr="004868C5">
              <w:rPr>
                <w:rFonts w:ascii="Times New Roman" w:eastAsia="Times New Roman" w:hAnsi="Times New Roman" w:cs="Times New Roman"/>
                <w:color w:val="000000"/>
                <w:sz w:val="18"/>
                <w:szCs w:val="18"/>
                <w:vertAlign w:val="superscript"/>
              </w:rPr>
              <w:t>a</w:t>
            </w:r>
          </w:p>
        </w:tc>
        <w:tc>
          <w:tcPr>
            <w:tcW w:w="1134" w:type="dxa"/>
            <w:tcBorders>
              <w:bottom w:val="single" w:sz="4" w:space="0" w:color="auto"/>
            </w:tcBorders>
            <w:shd w:val="clear" w:color="auto" w:fill="auto"/>
            <w:noWrap/>
            <w:vAlign w:val="bottom"/>
            <w:hideMark/>
          </w:tcPr>
          <w:p w14:paraId="6DE12A56" w14:textId="7F338A20" w:rsidR="00421C9A" w:rsidRPr="004868C5" w:rsidRDefault="00421C9A" w:rsidP="004868C5">
            <w:pPr>
              <w:spacing w:after="0" w:line="240" w:lineRule="auto"/>
              <w:jc w:val="center"/>
              <w:rPr>
                <w:rFonts w:ascii="Times New Roman" w:eastAsia="Times New Roman" w:hAnsi="Times New Roman" w:cs="Times New Roman"/>
                <w:color w:val="000000"/>
                <w:sz w:val="18"/>
                <w:szCs w:val="18"/>
                <w:vertAlign w:val="superscript"/>
              </w:rPr>
            </w:pPr>
            <w:r w:rsidRPr="004868C5">
              <w:rPr>
                <w:rFonts w:ascii="Times New Roman" w:eastAsia="Times New Roman" w:hAnsi="Times New Roman" w:cs="Times New Roman"/>
                <w:color w:val="000000"/>
                <w:sz w:val="18"/>
                <w:szCs w:val="18"/>
              </w:rPr>
              <w:t>95% CI</w:t>
            </w:r>
            <w:r w:rsidR="002E3839" w:rsidRPr="004868C5">
              <w:rPr>
                <w:rFonts w:ascii="Times New Roman" w:eastAsia="Times New Roman" w:hAnsi="Times New Roman" w:cs="Times New Roman"/>
                <w:color w:val="000000"/>
                <w:sz w:val="18"/>
                <w:szCs w:val="18"/>
                <w:vertAlign w:val="superscript"/>
              </w:rPr>
              <w:t>b</w:t>
            </w:r>
          </w:p>
        </w:tc>
        <w:tc>
          <w:tcPr>
            <w:tcW w:w="851" w:type="dxa"/>
            <w:tcBorders>
              <w:bottom w:val="single" w:sz="4" w:space="0" w:color="auto"/>
            </w:tcBorders>
            <w:shd w:val="clear" w:color="auto" w:fill="auto"/>
            <w:noWrap/>
            <w:vAlign w:val="bottom"/>
            <w:hideMark/>
          </w:tcPr>
          <w:p w14:paraId="722215DB" w14:textId="77777777" w:rsidR="00421C9A" w:rsidRPr="004868C5" w:rsidRDefault="00421C9A"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IRR</w:t>
            </w:r>
          </w:p>
        </w:tc>
        <w:tc>
          <w:tcPr>
            <w:tcW w:w="1134" w:type="dxa"/>
            <w:tcBorders>
              <w:bottom w:val="single" w:sz="4" w:space="0" w:color="auto"/>
            </w:tcBorders>
            <w:shd w:val="clear" w:color="auto" w:fill="auto"/>
            <w:noWrap/>
            <w:vAlign w:val="bottom"/>
            <w:hideMark/>
          </w:tcPr>
          <w:p w14:paraId="20AD7310" w14:textId="77777777" w:rsidR="00421C9A" w:rsidRPr="004868C5" w:rsidRDefault="00421C9A"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95% CI</w:t>
            </w:r>
          </w:p>
        </w:tc>
        <w:tc>
          <w:tcPr>
            <w:tcW w:w="851" w:type="dxa"/>
            <w:tcBorders>
              <w:bottom w:val="single" w:sz="4" w:space="0" w:color="auto"/>
            </w:tcBorders>
            <w:shd w:val="clear" w:color="auto" w:fill="auto"/>
            <w:noWrap/>
            <w:vAlign w:val="bottom"/>
            <w:hideMark/>
          </w:tcPr>
          <w:p w14:paraId="3923F412" w14:textId="77777777" w:rsidR="00421C9A" w:rsidRPr="004868C5" w:rsidRDefault="00421C9A"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IRR</w:t>
            </w:r>
          </w:p>
        </w:tc>
        <w:tc>
          <w:tcPr>
            <w:tcW w:w="1134" w:type="dxa"/>
            <w:tcBorders>
              <w:bottom w:val="single" w:sz="4" w:space="0" w:color="auto"/>
            </w:tcBorders>
            <w:shd w:val="clear" w:color="auto" w:fill="auto"/>
            <w:noWrap/>
            <w:vAlign w:val="bottom"/>
            <w:hideMark/>
          </w:tcPr>
          <w:p w14:paraId="3357266A" w14:textId="77777777" w:rsidR="00421C9A" w:rsidRPr="004868C5" w:rsidRDefault="00421C9A"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95% CI</w:t>
            </w:r>
          </w:p>
        </w:tc>
        <w:tc>
          <w:tcPr>
            <w:tcW w:w="851" w:type="dxa"/>
            <w:tcBorders>
              <w:bottom w:val="single" w:sz="4" w:space="0" w:color="auto"/>
            </w:tcBorders>
            <w:shd w:val="clear" w:color="auto" w:fill="auto"/>
            <w:noWrap/>
            <w:vAlign w:val="bottom"/>
            <w:hideMark/>
          </w:tcPr>
          <w:p w14:paraId="31697C1D" w14:textId="77777777" w:rsidR="00421C9A" w:rsidRPr="004868C5" w:rsidRDefault="00421C9A"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IRR</w:t>
            </w:r>
          </w:p>
        </w:tc>
        <w:tc>
          <w:tcPr>
            <w:tcW w:w="1134" w:type="dxa"/>
            <w:tcBorders>
              <w:bottom w:val="single" w:sz="4" w:space="0" w:color="auto"/>
            </w:tcBorders>
            <w:shd w:val="clear" w:color="auto" w:fill="auto"/>
            <w:noWrap/>
            <w:vAlign w:val="bottom"/>
            <w:hideMark/>
          </w:tcPr>
          <w:p w14:paraId="36CB2294" w14:textId="77777777" w:rsidR="00421C9A" w:rsidRPr="004868C5" w:rsidRDefault="00421C9A"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95% CI</w:t>
            </w:r>
          </w:p>
        </w:tc>
        <w:tc>
          <w:tcPr>
            <w:tcW w:w="907" w:type="dxa"/>
            <w:tcBorders>
              <w:bottom w:val="single" w:sz="4" w:space="0" w:color="auto"/>
            </w:tcBorders>
            <w:shd w:val="clear" w:color="auto" w:fill="auto"/>
            <w:noWrap/>
            <w:vAlign w:val="bottom"/>
            <w:hideMark/>
          </w:tcPr>
          <w:p w14:paraId="29FA4A87" w14:textId="77777777" w:rsidR="00421C9A" w:rsidRPr="004868C5" w:rsidRDefault="00421C9A"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IRR</w:t>
            </w:r>
          </w:p>
        </w:tc>
        <w:tc>
          <w:tcPr>
            <w:tcW w:w="1247" w:type="dxa"/>
            <w:tcBorders>
              <w:bottom w:val="single" w:sz="4" w:space="0" w:color="auto"/>
            </w:tcBorders>
            <w:shd w:val="clear" w:color="auto" w:fill="auto"/>
            <w:noWrap/>
            <w:vAlign w:val="bottom"/>
            <w:hideMark/>
          </w:tcPr>
          <w:p w14:paraId="0209F0D1" w14:textId="77777777" w:rsidR="00421C9A" w:rsidRPr="004868C5" w:rsidRDefault="00421C9A"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95% CI</w:t>
            </w:r>
          </w:p>
        </w:tc>
        <w:tc>
          <w:tcPr>
            <w:tcW w:w="851" w:type="dxa"/>
            <w:tcBorders>
              <w:bottom w:val="single" w:sz="4" w:space="0" w:color="auto"/>
            </w:tcBorders>
            <w:shd w:val="clear" w:color="auto" w:fill="auto"/>
            <w:noWrap/>
            <w:vAlign w:val="bottom"/>
            <w:hideMark/>
          </w:tcPr>
          <w:p w14:paraId="5268383F" w14:textId="77777777" w:rsidR="00421C9A" w:rsidRPr="004868C5" w:rsidRDefault="00421C9A"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IRR</w:t>
            </w:r>
          </w:p>
        </w:tc>
        <w:tc>
          <w:tcPr>
            <w:tcW w:w="1134" w:type="dxa"/>
            <w:tcBorders>
              <w:bottom w:val="single" w:sz="4" w:space="0" w:color="auto"/>
            </w:tcBorders>
            <w:shd w:val="clear" w:color="auto" w:fill="auto"/>
            <w:noWrap/>
            <w:vAlign w:val="bottom"/>
            <w:hideMark/>
          </w:tcPr>
          <w:p w14:paraId="0342BD2F" w14:textId="77777777" w:rsidR="00421C9A" w:rsidRPr="004868C5" w:rsidRDefault="00421C9A"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95% CI</w:t>
            </w:r>
          </w:p>
        </w:tc>
      </w:tr>
      <w:tr w:rsidR="00613B93" w:rsidRPr="004868C5" w14:paraId="27CD1BA6" w14:textId="77777777" w:rsidTr="00A719E4">
        <w:trPr>
          <w:trHeight w:val="300"/>
        </w:trPr>
        <w:tc>
          <w:tcPr>
            <w:tcW w:w="1838" w:type="dxa"/>
            <w:tcBorders>
              <w:top w:val="single" w:sz="4" w:space="0" w:color="auto"/>
            </w:tcBorders>
            <w:shd w:val="clear" w:color="auto" w:fill="auto"/>
            <w:noWrap/>
            <w:vAlign w:val="bottom"/>
            <w:hideMark/>
          </w:tcPr>
          <w:p w14:paraId="349A1E9E" w14:textId="77777777" w:rsidR="00421C9A" w:rsidRPr="004868C5" w:rsidRDefault="00421C9A" w:rsidP="00D11C26">
            <w:pPr>
              <w:spacing w:after="0" w:line="240" w:lineRule="auto"/>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 </w:t>
            </w:r>
          </w:p>
        </w:tc>
        <w:tc>
          <w:tcPr>
            <w:tcW w:w="851" w:type="dxa"/>
            <w:tcBorders>
              <w:top w:val="single" w:sz="4" w:space="0" w:color="auto"/>
            </w:tcBorders>
            <w:shd w:val="clear" w:color="auto" w:fill="auto"/>
            <w:noWrap/>
            <w:vAlign w:val="bottom"/>
            <w:hideMark/>
          </w:tcPr>
          <w:p w14:paraId="17956440" w14:textId="77777777" w:rsidR="00421C9A" w:rsidRPr="004868C5" w:rsidRDefault="00421C9A"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 </w:t>
            </w:r>
          </w:p>
        </w:tc>
        <w:tc>
          <w:tcPr>
            <w:tcW w:w="1134" w:type="dxa"/>
            <w:tcBorders>
              <w:top w:val="single" w:sz="4" w:space="0" w:color="auto"/>
            </w:tcBorders>
            <w:shd w:val="clear" w:color="auto" w:fill="auto"/>
            <w:noWrap/>
            <w:vAlign w:val="bottom"/>
            <w:hideMark/>
          </w:tcPr>
          <w:p w14:paraId="59339E5A" w14:textId="77777777" w:rsidR="00421C9A" w:rsidRPr="004868C5" w:rsidRDefault="00421C9A"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 </w:t>
            </w:r>
          </w:p>
        </w:tc>
        <w:tc>
          <w:tcPr>
            <w:tcW w:w="851" w:type="dxa"/>
            <w:tcBorders>
              <w:top w:val="single" w:sz="4" w:space="0" w:color="auto"/>
            </w:tcBorders>
            <w:shd w:val="clear" w:color="auto" w:fill="auto"/>
            <w:noWrap/>
            <w:vAlign w:val="bottom"/>
            <w:hideMark/>
          </w:tcPr>
          <w:p w14:paraId="2C4EB7E4" w14:textId="77777777" w:rsidR="00421C9A" w:rsidRPr="004868C5" w:rsidRDefault="00421C9A"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 </w:t>
            </w:r>
          </w:p>
        </w:tc>
        <w:tc>
          <w:tcPr>
            <w:tcW w:w="1134" w:type="dxa"/>
            <w:tcBorders>
              <w:top w:val="single" w:sz="4" w:space="0" w:color="auto"/>
            </w:tcBorders>
            <w:shd w:val="clear" w:color="auto" w:fill="auto"/>
            <w:noWrap/>
            <w:vAlign w:val="bottom"/>
            <w:hideMark/>
          </w:tcPr>
          <w:p w14:paraId="62F16D75" w14:textId="77777777" w:rsidR="00421C9A" w:rsidRPr="004868C5" w:rsidRDefault="00421C9A"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 </w:t>
            </w:r>
          </w:p>
        </w:tc>
        <w:tc>
          <w:tcPr>
            <w:tcW w:w="851" w:type="dxa"/>
            <w:tcBorders>
              <w:top w:val="single" w:sz="4" w:space="0" w:color="auto"/>
            </w:tcBorders>
            <w:shd w:val="clear" w:color="auto" w:fill="auto"/>
            <w:noWrap/>
            <w:vAlign w:val="bottom"/>
            <w:hideMark/>
          </w:tcPr>
          <w:p w14:paraId="63011438" w14:textId="77777777" w:rsidR="00421C9A" w:rsidRPr="004868C5" w:rsidRDefault="00421C9A"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 </w:t>
            </w:r>
          </w:p>
        </w:tc>
        <w:tc>
          <w:tcPr>
            <w:tcW w:w="1134" w:type="dxa"/>
            <w:tcBorders>
              <w:top w:val="single" w:sz="4" w:space="0" w:color="auto"/>
            </w:tcBorders>
            <w:shd w:val="clear" w:color="auto" w:fill="auto"/>
            <w:noWrap/>
            <w:vAlign w:val="bottom"/>
            <w:hideMark/>
          </w:tcPr>
          <w:p w14:paraId="3B7185B4" w14:textId="77777777" w:rsidR="00421C9A" w:rsidRPr="004868C5" w:rsidRDefault="00421C9A"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 </w:t>
            </w:r>
          </w:p>
        </w:tc>
        <w:tc>
          <w:tcPr>
            <w:tcW w:w="851" w:type="dxa"/>
            <w:tcBorders>
              <w:top w:val="single" w:sz="4" w:space="0" w:color="auto"/>
            </w:tcBorders>
            <w:shd w:val="clear" w:color="auto" w:fill="auto"/>
            <w:noWrap/>
            <w:vAlign w:val="bottom"/>
            <w:hideMark/>
          </w:tcPr>
          <w:p w14:paraId="0D2330AC" w14:textId="77777777" w:rsidR="00421C9A" w:rsidRPr="004868C5" w:rsidRDefault="00421C9A"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 </w:t>
            </w:r>
          </w:p>
        </w:tc>
        <w:tc>
          <w:tcPr>
            <w:tcW w:w="1134" w:type="dxa"/>
            <w:tcBorders>
              <w:top w:val="single" w:sz="4" w:space="0" w:color="auto"/>
            </w:tcBorders>
            <w:shd w:val="clear" w:color="auto" w:fill="auto"/>
            <w:noWrap/>
            <w:vAlign w:val="bottom"/>
            <w:hideMark/>
          </w:tcPr>
          <w:p w14:paraId="1A0EE7A4" w14:textId="77777777" w:rsidR="00421C9A" w:rsidRPr="004868C5" w:rsidRDefault="00421C9A"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 </w:t>
            </w:r>
          </w:p>
        </w:tc>
        <w:tc>
          <w:tcPr>
            <w:tcW w:w="907" w:type="dxa"/>
            <w:tcBorders>
              <w:top w:val="single" w:sz="4" w:space="0" w:color="auto"/>
            </w:tcBorders>
            <w:shd w:val="clear" w:color="auto" w:fill="auto"/>
            <w:noWrap/>
            <w:vAlign w:val="bottom"/>
            <w:hideMark/>
          </w:tcPr>
          <w:p w14:paraId="48D9380C" w14:textId="77777777" w:rsidR="00421C9A" w:rsidRPr="004868C5" w:rsidRDefault="00421C9A"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 </w:t>
            </w:r>
          </w:p>
        </w:tc>
        <w:tc>
          <w:tcPr>
            <w:tcW w:w="1247" w:type="dxa"/>
            <w:tcBorders>
              <w:top w:val="single" w:sz="4" w:space="0" w:color="auto"/>
            </w:tcBorders>
            <w:shd w:val="clear" w:color="auto" w:fill="auto"/>
            <w:noWrap/>
            <w:vAlign w:val="bottom"/>
            <w:hideMark/>
          </w:tcPr>
          <w:p w14:paraId="50480A69" w14:textId="77777777" w:rsidR="00421C9A" w:rsidRPr="004868C5" w:rsidRDefault="00421C9A"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 </w:t>
            </w:r>
          </w:p>
        </w:tc>
        <w:tc>
          <w:tcPr>
            <w:tcW w:w="851" w:type="dxa"/>
            <w:tcBorders>
              <w:top w:val="single" w:sz="4" w:space="0" w:color="auto"/>
            </w:tcBorders>
            <w:shd w:val="clear" w:color="auto" w:fill="auto"/>
            <w:noWrap/>
            <w:vAlign w:val="bottom"/>
            <w:hideMark/>
          </w:tcPr>
          <w:p w14:paraId="76C4471E" w14:textId="77777777" w:rsidR="00421C9A" w:rsidRPr="004868C5" w:rsidRDefault="00421C9A"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 </w:t>
            </w:r>
          </w:p>
        </w:tc>
        <w:tc>
          <w:tcPr>
            <w:tcW w:w="1134" w:type="dxa"/>
            <w:tcBorders>
              <w:top w:val="single" w:sz="4" w:space="0" w:color="auto"/>
            </w:tcBorders>
            <w:shd w:val="clear" w:color="auto" w:fill="auto"/>
            <w:noWrap/>
            <w:vAlign w:val="bottom"/>
            <w:hideMark/>
          </w:tcPr>
          <w:p w14:paraId="62E93618" w14:textId="77777777" w:rsidR="00421C9A" w:rsidRPr="004868C5" w:rsidRDefault="00421C9A" w:rsidP="004868C5">
            <w:pPr>
              <w:tabs>
                <w:tab w:val="left" w:pos="272"/>
              </w:tabs>
              <w:spacing w:after="0" w:line="240" w:lineRule="auto"/>
              <w:jc w:val="center"/>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 </w:t>
            </w:r>
          </w:p>
        </w:tc>
      </w:tr>
      <w:tr w:rsidR="00613B93" w:rsidRPr="004868C5" w14:paraId="6B315A6B" w14:textId="77777777" w:rsidTr="00A719E4">
        <w:trPr>
          <w:trHeight w:val="300"/>
        </w:trPr>
        <w:tc>
          <w:tcPr>
            <w:tcW w:w="1134" w:type="dxa"/>
            <w:gridSpan w:val="3"/>
            <w:shd w:val="clear" w:color="auto" w:fill="auto"/>
            <w:noWrap/>
            <w:vAlign w:val="bottom"/>
            <w:hideMark/>
          </w:tcPr>
          <w:p w14:paraId="02AA7C7C" w14:textId="116B6F98" w:rsidR="00421C9A" w:rsidRPr="004868C5" w:rsidRDefault="00421C9A" w:rsidP="00D11C26">
            <w:pPr>
              <w:spacing w:after="0" w:line="240" w:lineRule="auto"/>
              <w:rPr>
                <w:rFonts w:ascii="Times New Roman" w:eastAsia="Times New Roman" w:hAnsi="Times New Roman" w:cs="Times New Roman"/>
                <w:i/>
                <w:iCs/>
                <w:color w:val="000000"/>
                <w:sz w:val="18"/>
                <w:szCs w:val="18"/>
              </w:rPr>
            </w:pPr>
            <w:r w:rsidRPr="004868C5">
              <w:rPr>
                <w:rFonts w:ascii="Times New Roman" w:eastAsia="Times New Roman" w:hAnsi="Times New Roman" w:cs="Times New Roman"/>
                <w:i/>
                <w:iCs/>
                <w:color w:val="000000"/>
                <w:sz w:val="18"/>
                <w:szCs w:val="18"/>
              </w:rPr>
              <w:t xml:space="preserve">Baseline eFI </w:t>
            </w:r>
            <w:r w:rsidR="002E3839" w:rsidRPr="004868C5">
              <w:rPr>
                <w:rFonts w:ascii="Times New Roman" w:eastAsia="Times New Roman" w:hAnsi="Times New Roman" w:cs="Times New Roman"/>
                <w:i/>
                <w:iCs/>
                <w:color w:val="000000"/>
                <w:sz w:val="18"/>
                <w:szCs w:val="18"/>
              </w:rPr>
              <w:t>category</w:t>
            </w:r>
            <w:r w:rsidR="002E3839" w:rsidRPr="004868C5">
              <w:rPr>
                <w:rFonts w:ascii="Times New Roman" w:eastAsia="Times New Roman" w:hAnsi="Times New Roman" w:cs="Times New Roman"/>
                <w:i/>
                <w:iCs/>
                <w:color w:val="000000"/>
                <w:sz w:val="18"/>
                <w:szCs w:val="18"/>
                <w:vertAlign w:val="superscript"/>
              </w:rPr>
              <w:t>c</w:t>
            </w:r>
            <w:r w:rsidRPr="004868C5">
              <w:rPr>
                <w:rFonts w:ascii="Times New Roman" w:eastAsia="Times New Roman" w:hAnsi="Times New Roman" w:cs="Times New Roman"/>
                <w:i/>
                <w:iCs/>
                <w:color w:val="000000"/>
                <w:sz w:val="18"/>
                <w:szCs w:val="18"/>
              </w:rPr>
              <w:t xml:space="preserve"> (reference = non-frail)</w:t>
            </w:r>
          </w:p>
        </w:tc>
        <w:tc>
          <w:tcPr>
            <w:tcW w:w="851" w:type="dxa"/>
            <w:shd w:val="clear" w:color="auto" w:fill="auto"/>
            <w:noWrap/>
            <w:vAlign w:val="bottom"/>
            <w:hideMark/>
          </w:tcPr>
          <w:p w14:paraId="617657F8" w14:textId="77777777" w:rsidR="00421C9A" w:rsidRPr="004868C5" w:rsidRDefault="00421C9A" w:rsidP="004868C5">
            <w:pPr>
              <w:spacing w:after="0" w:line="240" w:lineRule="auto"/>
              <w:rPr>
                <w:rFonts w:ascii="Times New Roman" w:eastAsia="Times New Roman" w:hAnsi="Times New Roman" w:cs="Times New Roman"/>
                <w:i/>
                <w:iCs/>
                <w:color w:val="000000"/>
                <w:sz w:val="18"/>
                <w:szCs w:val="18"/>
              </w:rPr>
            </w:pPr>
          </w:p>
        </w:tc>
        <w:tc>
          <w:tcPr>
            <w:tcW w:w="1134" w:type="dxa"/>
            <w:shd w:val="clear" w:color="auto" w:fill="auto"/>
            <w:noWrap/>
            <w:vAlign w:val="bottom"/>
            <w:hideMark/>
          </w:tcPr>
          <w:p w14:paraId="1419A468" w14:textId="77777777" w:rsidR="00421C9A" w:rsidRPr="004868C5" w:rsidRDefault="00421C9A" w:rsidP="004868C5">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bottom"/>
            <w:hideMark/>
          </w:tcPr>
          <w:p w14:paraId="36C4F60F" w14:textId="77777777" w:rsidR="00421C9A" w:rsidRPr="004868C5" w:rsidRDefault="00421C9A" w:rsidP="004868C5">
            <w:pPr>
              <w:spacing w:after="0" w:line="240" w:lineRule="auto"/>
              <w:jc w:val="center"/>
              <w:rPr>
                <w:rFonts w:ascii="Times New Roman" w:eastAsia="Times New Roman" w:hAnsi="Times New Roman" w:cs="Times New Roman"/>
                <w:sz w:val="18"/>
                <w:szCs w:val="18"/>
              </w:rPr>
            </w:pPr>
          </w:p>
        </w:tc>
        <w:tc>
          <w:tcPr>
            <w:tcW w:w="1134" w:type="dxa"/>
            <w:shd w:val="clear" w:color="auto" w:fill="auto"/>
            <w:noWrap/>
            <w:vAlign w:val="bottom"/>
            <w:hideMark/>
          </w:tcPr>
          <w:p w14:paraId="3D2073D8" w14:textId="77777777" w:rsidR="00421C9A" w:rsidRPr="004868C5" w:rsidRDefault="00421C9A" w:rsidP="004868C5">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bottom"/>
            <w:hideMark/>
          </w:tcPr>
          <w:p w14:paraId="2108E981" w14:textId="77777777" w:rsidR="00421C9A" w:rsidRPr="004868C5" w:rsidRDefault="00421C9A" w:rsidP="004868C5">
            <w:pPr>
              <w:spacing w:after="0" w:line="240" w:lineRule="auto"/>
              <w:jc w:val="center"/>
              <w:rPr>
                <w:rFonts w:ascii="Times New Roman" w:eastAsia="Times New Roman" w:hAnsi="Times New Roman" w:cs="Times New Roman"/>
                <w:sz w:val="18"/>
                <w:szCs w:val="18"/>
              </w:rPr>
            </w:pPr>
          </w:p>
        </w:tc>
        <w:tc>
          <w:tcPr>
            <w:tcW w:w="1134" w:type="dxa"/>
            <w:shd w:val="clear" w:color="auto" w:fill="auto"/>
            <w:noWrap/>
            <w:vAlign w:val="bottom"/>
            <w:hideMark/>
          </w:tcPr>
          <w:p w14:paraId="6DF2D101" w14:textId="77777777" w:rsidR="00421C9A" w:rsidRPr="004868C5" w:rsidRDefault="00421C9A" w:rsidP="004868C5">
            <w:pPr>
              <w:spacing w:after="0" w:line="240" w:lineRule="auto"/>
              <w:jc w:val="center"/>
              <w:rPr>
                <w:rFonts w:ascii="Times New Roman" w:eastAsia="Times New Roman" w:hAnsi="Times New Roman" w:cs="Times New Roman"/>
                <w:sz w:val="18"/>
                <w:szCs w:val="18"/>
              </w:rPr>
            </w:pPr>
          </w:p>
        </w:tc>
        <w:tc>
          <w:tcPr>
            <w:tcW w:w="907" w:type="dxa"/>
            <w:shd w:val="clear" w:color="auto" w:fill="auto"/>
            <w:noWrap/>
            <w:vAlign w:val="bottom"/>
            <w:hideMark/>
          </w:tcPr>
          <w:p w14:paraId="1748F6B9" w14:textId="77777777" w:rsidR="00421C9A" w:rsidRPr="004868C5" w:rsidRDefault="00421C9A" w:rsidP="004868C5">
            <w:pPr>
              <w:spacing w:after="0" w:line="240" w:lineRule="auto"/>
              <w:jc w:val="center"/>
              <w:rPr>
                <w:rFonts w:ascii="Times New Roman" w:eastAsia="Times New Roman" w:hAnsi="Times New Roman" w:cs="Times New Roman"/>
                <w:sz w:val="18"/>
                <w:szCs w:val="18"/>
              </w:rPr>
            </w:pPr>
          </w:p>
        </w:tc>
        <w:tc>
          <w:tcPr>
            <w:tcW w:w="1247" w:type="dxa"/>
            <w:shd w:val="clear" w:color="auto" w:fill="auto"/>
            <w:noWrap/>
            <w:vAlign w:val="bottom"/>
            <w:hideMark/>
          </w:tcPr>
          <w:p w14:paraId="652DC549" w14:textId="77777777" w:rsidR="00421C9A" w:rsidRPr="004868C5" w:rsidRDefault="00421C9A" w:rsidP="004868C5">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bottom"/>
            <w:hideMark/>
          </w:tcPr>
          <w:p w14:paraId="27F6768F" w14:textId="77777777" w:rsidR="00421C9A" w:rsidRPr="004868C5" w:rsidRDefault="00421C9A" w:rsidP="004868C5">
            <w:pPr>
              <w:spacing w:after="0" w:line="240" w:lineRule="auto"/>
              <w:jc w:val="center"/>
              <w:rPr>
                <w:rFonts w:ascii="Times New Roman" w:eastAsia="Times New Roman" w:hAnsi="Times New Roman" w:cs="Times New Roman"/>
                <w:sz w:val="18"/>
                <w:szCs w:val="18"/>
              </w:rPr>
            </w:pPr>
          </w:p>
        </w:tc>
        <w:tc>
          <w:tcPr>
            <w:tcW w:w="1134" w:type="dxa"/>
            <w:shd w:val="clear" w:color="auto" w:fill="auto"/>
            <w:noWrap/>
            <w:vAlign w:val="bottom"/>
            <w:hideMark/>
          </w:tcPr>
          <w:p w14:paraId="352F1B26" w14:textId="77777777" w:rsidR="00421C9A" w:rsidRPr="004868C5" w:rsidRDefault="00421C9A" w:rsidP="004868C5">
            <w:pPr>
              <w:spacing w:after="0" w:line="240" w:lineRule="auto"/>
              <w:jc w:val="center"/>
              <w:rPr>
                <w:rFonts w:ascii="Times New Roman" w:eastAsia="Times New Roman" w:hAnsi="Times New Roman" w:cs="Times New Roman"/>
                <w:sz w:val="18"/>
                <w:szCs w:val="18"/>
              </w:rPr>
            </w:pPr>
          </w:p>
        </w:tc>
      </w:tr>
      <w:tr w:rsidR="00613B93" w:rsidRPr="004868C5" w14:paraId="656B3D2E" w14:textId="77777777" w:rsidTr="00A719E4">
        <w:trPr>
          <w:trHeight w:val="300"/>
        </w:trPr>
        <w:tc>
          <w:tcPr>
            <w:tcW w:w="1838" w:type="dxa"/>
            <w:shd w:val="clear" w:color="auto" w:fill="auto"/>
            <w:noWrap/>
            <w:vAlign w:val="bottom"/>
            <w:hideMark/>
          </w:tcPr>
          <w:p w14:paraId="5F669E00" w14:textId="77777777" w:rsidR="00050A74" w:rsidRPr="004868C5" w:rsidRDefault="00050A74" w:rsidP="00D11C26">
            <w:pPr>
              <w:spacing w:after="0" w:line="240" w:lineRule="auto"/>
              <w:ind w:firstLineChars="100" w:firstLine="180"/>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Mild frailty</w:t>
            </w:r>
          </w:p>
        </w:tc>
        <w:tc>
          <w:tcPr>
            <w:tcW w:w="851" w:type="dxa"/>
            <w:shd w:val="clear" w:color="auto" w:fill="auto"/>
            <w:noWrap/>
            <w:vAlign w:val="bottom"/>
          </w:tcPr>
          <w:p w14:paraId="7EC84BD3" w14:textId="21A8BAB9"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1.24***</w:t>
            </w:r>
          </w:p>
        </w:tc>
        <w:tc>
          <w:tcPr>
            <w:tcW w:w="1134" w:type="dxa"/>
            <w:shd w:val="clear" w:color="auto" w:fill="auto"/>
            <w:noWrap/>
            <w:vAlign w:val="bottom"/>
          </w:tcPr>
          <w:p w14:paraId="6511D815" w14:textId="3DEAF68B" w:rsidR="00050A74" w:rsidRPr="004868C5" w:rsidRDefault="004868C5" w:rsidP="004868C5">
            <w:pPr>
              <w:spacing w:after="0" w:line="240" w:lineRule="auto"/>
              <w:jc w:val="center"/>
              <w:rPr>
                <w:rFonts w:ascii="Times New Roman" w:eastAsia="Times New Roman" w:hAnsi="Times New Roman" w:cs="Times New Roman"/>
                <w:color w:val="000000"/>
                <w:sz w:val="18"/>
                <w:szCs w:val="18"/>
              </w:rPr>
            </w:pPr>
            <w:r>
              <w:rPr>
                <w:rFonts w:ascii="Times New Roman" w:hAnsi="Times New Roman" w:cs="Times New Roman"/>
                <w:color w:val="000000"/>
                <w:sz w:val="18"/>
                <w:szCs w:val="18"/>
              </w:rPr>
              <w:t xml:space="preserve">[1.21 - </w:t>
            </w:r>
            <w:r w:rsidR="00050A74" w:rsidRPr="004868C5">
              <w:rPr>
                <w:rFonts w:ascii="Times New Roman" w:hAnsi="Times New Roman" w:cs="Times New Roman"/>
                <w:color w:val="000000"/>
                <w:sz w:val="18"/>
                <w:szCs w:val="18"/>
              </w:rPr>
              <w:t>1.27]</w:t>
            </w:r>
          </w:p>
        </w:tc>
        <w:tc>
          <w:tcPr>
            <w:tcW w:w="851" w:type="dxa"/>
            <w:shd w:val="clear" w:color="auto" w:fill="auto"/>
            <w:noWrap/>
            <w:vAlign w:val="bottom"/>
          </w:tcPr>
          <w:p w14:paraId="789B9656" w14:textId="40E34C21"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1.25***</w:t>
            </w:r>
          </w:p>
        </w:tc>
        <w:tc>
          <w:tcPr>
            <w:tcW w:w="1134" w:type="dxa"/>
            <w:shd w:val="clear" w:color="auto" w:fill="auto"/>
            <w:noWrap/>
            <w:vAlign w:val="bottom"/>
          </w:tcPr>
          <w:p w14:paraId="03E352FD" w14:textId="6AEC6DE5"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[1.23 - 1.28]</w:t>
            </w:r>
          </w:p>
        </w:tc>
        <w:tc>
          <w:tcPr>
            <w:tcW w:w="851" w:type="dxa"/>
            <w:shd w:val="clear" w:color="auto" w:fill="auto"/>
            <w:noWrap/>
            <w:vAlign w:val="bottom"/>
          </w:tcPr>
          <w:p w14:paraId="42F35D32" w14:textId="0B40D737"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1.64***</w:t>
            </w:r>
          </w:p>
        </w:tc>
        <w:tc>
          <w:tcPr>
            <w:tcW w:w="1134" w:type="dxa"/>
            <w:shd w:val="clear" w:color="auto" w:fill="auto"/>
            <w:noWrap/>
            <w:vAlign w:val="bottom"/>
          </w:tcPr>
          <w:p w14:paraId="0D4B243A" w14:textId="518D178B"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[1.60 - 1.68]</w:t>
            </w:r>
          </w:p>
        </w:tc>
        <w:tc>
          <w:tcPr>
            <w:tcW w:w="851" w:type="dxa"/>
            <w:shd w:val="clear" w:color="auto" w:fill="auto"/>
            <w:noWrap/>
            <w:vAlign w:val="bottom"/>
          </w:tcPr>
          <w:p w14:paraId="16B98F7A" w14:textId="2CCD2309"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1.50***</w:t>
            </w:r>
          </w:p>
        </w:tc>
        <w:tc>
          <w:tcPr>
            <w:tcW w:w="1134" w:type="dxa"/>
            <w:shd w:val="clear" w:color="auto" w:fill="auto"/>
            <w:noWrap/>
            <w:vAlign w:val="bottom"/>
          </w:tcPr>
          <w:p w14:paraId="67C1FCF5" w14:textId="54C5ED8E"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[1.46 - 1.54]</w:t>
            </w:r>
          </w:p>
        </w:tc>
        <w:tc>
          <w:tcPr>
            <w:tcW w:w="907" w:type="dxa"/>
            <w:shd w:val="clear" w:color="auto" w:fill="auto"/>
            <w:noWrap/>
            <w:vAlign w:val="bottom"/>
          </w:tcPr>
          <w:p w14:paraId="18122157" w14:textId="48373FE5"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2.19***</w:t>
            </w:r>
          </w:p>
        </w:tc>
        <w:tc>
          <w:tcPr>
            <w:tcW w:w="1247" w:type="dxa"/>
            <w:shd w:val="clear" w:color="auto" w:fill="auto"/>
            <w:noWrap/>
            <w:vAlign w:val="bottom"/>
          </w:tcPr>
          <w:p w14:paraId="0A95D462" w14:textId="0A9B0FD5"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[2.09 - 2.30]</w:t>
            </w:r>
          </w:p>
        </w:tc>
        <w:tc>
          <w:tcPr>
            <w:tcW w:w="851" w:type="dxa"/>
            <w:shd w:val="clear" w:color="auto" w:fill="auto"/>
            <w:noWrap/>
            <w:vAlign w:val="bottom"/>
          </w:tcPr>
          <w:p w14:paraId="31017BE9" w14:textId="79BB1779"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2.04***</w:t>
            </w:r>
          </w:p>
        </w:tc>
        <w:tc>
          <w:tcPr>
            <w:tcW w:w="1134" w:type="dxa"/>
            <w:shd w:val="clear" w:color="auto" w:fill="auto"/>
            <w:noWrap/>
            <w:vAlign w:val="bottom"/>
          </w:tcPr>
          <w:p w14:paraId="20FB57FD" w14:textId="19806689"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[1.92 - 2.17]</w:t>
            </w:r>
          </w:p>
        </w:tc>
      </w:tr>
      <w:tr w:rsidR="00613B93" w:rsidRPr="004868C5" w14:paraId="71B41A30" w14:textId="77777777" w:rsidTr="00A719E4">
        <w:trPr>
          <w:trHeight w:val="300"/>
        </w:trPr>
        <w:tc>
          <w:tcPr>
            <w:tcW w:w="1838" w:type="dxa"/>
            <w:shd w:val="clear" w:color="auto" w:fill="auto"/>
            <w:noWrap/>
            <w:vAlign w:val="bottom"/>
            <w:hideMark/>
          </w:tcPr>
          <w:p w14:paraId="5E16F75C" w14:textId="77777777" w:rsidR="00050A74" w:rsidRPr="004868C5" w:rsidRDefault="00050A74" w:rsidP="00D11C26">
            <w:pPr>
              <w:spacing w:after="0" w:line="240" w:lineRule="auto"/>
              <w:ind w:firstLineChars="100" w:firstLine="180"/>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Moderate frailty</w:t>
            </w:r>
          </w:p>
        </w:tc>
        <w:tc>
          <w:tcPr>
            <w:tcW w:w="851" w:type="dxa"/>
            <w:shd w:val="clear" w:color="auto" w:fill="auto"/>
            <w:noWrap/>
            <w:vAlign w:val="bottom"/>
          </w:tcPr>
          <w:p w14:paraId="321C629C" w14:textId="6DEA46B2"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1.41***</w:t>
            </w:r>
          </w:p>
        </w:tc>
        <w:tc>
          <w:tcPr>
            <w:tcW w:w="1134" w:type="dxa"/>
            <w:shd w:val="clear" w:color="auto" w:fill="auto"/>
            <w:noWrap/>
            <w:vAlign w:val="bottom"/>
          </w:tcPr>
          <w:p w14:paraId="05FFBA84" w14:textId="4FA70BF4"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[1.35 - 1.47]</w:t>
            </w:r>
          </w:p>
        </w:tc>
        <w:tc>
          <w:tcPr>
            <w:tcW w:w="851" w:type="dxa"/>
            <w:shd w:val="clear" w:color="auto" w:fill="auto"/>
            <w:noWrap/>
            <w:vAlign w:val="bottom"/>
          </w:tcPr>
          <w:p w14:paraId="3EA30423" w14:textId="5682820E"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1.44***</w:t>
            </w:r>
          </w:p>
        </w:tc>
        <w:tc>
          <w:tcPr>
            <w:tcW w:w="1134" w:type="dxa"/>
            <w:shd w:val="clear" w:color="auto" w:fill="auto"/>
            <w:noWrap/>
            <w:vAlign w:val="bottom"/>
          </w:tcPr>
          <w:p w14:paraId="0EE296AC" w14:textId="67C43AEF"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[1.38 - 1.51]</w:t>
            </w:r>
          </w:p>
        </w:tc>
        <w:tc>
          <w:tcPr>
            <w:tcW w:w="851" w:type="dxa"/>
            <w:shd w:val="clear" w:color="auto" w:fill="auto"/>
            <w:noWrap/>
            <w:vAlign w:val="bottom"/>
          </w:tcPr>
          <w:p w14:paraId="25BB03CD" w14:textId="6E15D995"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2.45***</w:t>
            </w:r>
          </w:p>
        </w:tc>
        <w:tc>
          <w:tcPr>
            <w:tcW w:w="1134" w:type="dxa"/>
            <w:shd w:val="clear" w:color="auto" w:fill="auto"/>
            <w:noWrap/>
            <w:vAlign w:val="bottom"/>
          </w:tcPr>
          <w:p w14:paraId="128D959C" w14:textId="57492582"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[2.37 - 2.53]</w:t>
            </w:r>
          </w:p>
        </w:tc>
        <w:tc>
          <w:tcPr>
            <w:tcW w:w="851" w:type="dxa"/>
            <w:shd w:val="clear" w:color="auto" w:fill="auto"/>
            <w:noWrap/>
            <w:vAlign w:val="bottom"/>
          </w:tcPr>
          <w:p w14:paraId="5CB135BF" w14:textId="2C30DA26"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1.85***</w:t>
            </w:r>
          </w:p>
        </w:tc>
        <w:tc>
          <w:tcPr>
            <w:tcW w:w="1134" w:type="dxa"/>
            <w:shd w:val="clear" w:color="auto" w:fill="auto"/>
            <w:noWrap/>
            <w:vAlign w:val="bottom"/>
          </w:tcPr>
          <w:p w14:paraId="1567C372" w14:textId="692DA930"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[1.79 - 1.92]</w:t>
            </w:r>
          </w:p>
        </w:tc>
        <w:tc>
          <w:tcPr>
            <w:tcW w:w="907" w:type="dxa"/>
            <w:shd w:val="clear" w:color="auto" w:fill="auto"/>
            <w:noWrap/>
            <w:vAlign w:val="bottom"/>
          </w:tcPr>
          <w:p w14:paraId="48C1A4D6" w14:textId="17C077EC"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4.45***</w:t>
            </w:r>
          </w:p>
        </w:tc>
        <w:tc>
          <w:tcPr>
            <w:tcW w:w="1247" w:type="dxa"/>
            <w:shd w:val="clear" w:color="auto" w:fill="auto"/>
            <w:noWrap/>
            <w:vAlign w:val="bottom"/>
          </w:tcPr>
          <w:p w14:paraId="47DD76F7" w14:textId="4DC55846"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[4.19 - 4.73]</w:t>
            </w:r>
          </w:p>
        </w:tc>
        <w:tc>
          <w:tcPr>
            <w:tcW w:w="851" w:type="dxa"/>
            <w:shd w:val="clear" w:color="auto" w:fill="auto"/>
            <w:noWrap/>
            <w:vAlign w:val="bottom"/>
          </w:tcPr>
          <w:p w14:paraId="1629B7AD" w14:textId="26D85078"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3.07***</w:t>
            </w:r>
          </w:p>
        </w:tc>
        <w:tc>
          <w:tcPr>
            <w:tcW w:w="1134" w:type="dxa"/>
            <w:shd w:val="clear" w:color="auto" w:fill="auto"/>
            <w:noWrap/>
            <w:vAlign w:val="bottom"/>
          </w:tcPr>
          <w:p w14:paraId="5978286F" w14:textId="5393D9AB"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[2.81 - 3.35]</w:t>
            </w:r>
          </w:p>
        </w:tc>
      </w:tr>
      <w:tr w:rsidR="00613B93" w:rsidRPr="004868C5" w14:paraId="3F68E720" w14:textId="77777777" w:rsidTr="00A719E4">
        <w:trPr>
          <w:trHeight w:val="300"/>
        </w:trPr>
        <w:tc>
          <w:tcPr>
            <w:tcW w:w="1838" w:type="dxa"/>
            <w:shd w:val="clear" w:color="auto" w:fill="auto"/>
            <w:noWrap/>
            <w:vAlign w:val="bottom"/>
            <w:hideMark/>
          </w:tcPr>
          <w:p w14:paraId="255DAAE9" w14:textId="77777777" w:rsidR="00050A74" w:rsidRPr="004868C5" w:rsidRDefault="00050A74" w:rsidP="00D11C26">
            <w:pPr>
              <w:spacing w:after="0" w:line="240" w:lineRule="auto"/>
              <w:ind w:firstLineChars="100" w:firstLine="180"/>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Severe frailty</w:t>
            </w:r>
          </w:p>
        </w:tc>
        <w:tc>
          <w:tcPr>
            <w:tcW w:w="851" w:type="dxa"/>
            <w:shd w:val="clear" w:color="auto" w:fill="auto"/>
            <w:noWrap/>
            <w:vAlign w:val="bottom"/>
          </w:tcPr>
          <w:p w14:paraId="15726FB5" w14:textId="6A12594C"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1.52***</w:t>
            </w:r>
          </w:p>
        </w:tc>
        <w:tc>
          <w:tcPr>
            <w:tcW w:w="1134" w:type="dxa"/>
            <w:shd w:val="clear" w:color="auto" w:fill="auto"/>
            <w:noWrap/>
            <w:vAlign w:val="bottom"/>
          </w:tcPr>
          <w:p w14:paraId="62343C08" w14:textId="5CF8B331"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[1.42 - 1.62]</w:t>
            </w:r>
          </w:p>
        </w:tc>
        <w:tc>
          <w:tcPr>
            <w:tcW w:w="851" w:type="dxa"/>
            <w:shd w:val="clear" w:color="auto" w:fill="auto"/>
            <w:noWrap/>
            <w:vAlign w:val="bottom"/>
          </w:tcPr>
          <w:p w14:paraId="08EFF17A" w14:textId="4BFF3EEF"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1.58***</w:t>
            </w:r>
          </w:p>
        </w:tc>
        <w:tc>
          <w:tcPr>
            <w:tcW w:w="1134" w:type="dxa"/>
            <w:shd w:val="clear" w:color="auto" w:fill="auto"/>
            <w:noWrap/>
            <w:vAlign w:val="bottom"/>
          </w:tcPr>
          <w:p w14:paraId="780F7E61" w14:textId="1A1E3264"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[1.45 - 1.71]</w:t>
            </w:r>
          </w:p>
        </w:tc>
        <w:tc>
          <w:tcPr>
            <w:tcW w:w="851" w:type="dxa"/>
            <w:shd w:val="clear" w:color="auto" w:fill="auto"/>
            <w:noWrap/>
            <w:vAlign w:val="bottom"/>
          </w:tcPr>
          <w:p w14:paraId="05703DC3" w14:textId="137FD875"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3.16***</w:t>
            </w:r>
          </w:p>
        </w:tc>
        <w:tc>
          <w:tcPr>
            <w:tcW w:w="1134" w:type="dxa"/>
            <w:shd w:val="clear" w:color="auto" w:fill="auto"/>
            <w:noWrap/>
            <w:vAlign w:val="bottom"/>
          </w:tcPr>
          <w:p w14:paraId="3DFE1252" w14:textId="2A9FC7D6"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[3.00 - 3.33]</w:t>
            </w:r>
          </w:p>
        </w:tc>
        <w:tc>
          <w:tcPr>
            <w:tcW w:w="851" w:type="dxa"/>
            <w:shd w:val="clear" w:color="auto" w:fill="auto"/>
            <w:noWrap/>
            <w:vAlign w:val="bottom"/>
          </w:tcPr>
          <w:p w14:paraId="57119B45" w14:textId="4EC23395"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1.93***</w:t>
            </w:r>
          </w:p>
        </w:tc>
        <w:tc>
          <w:tcPr>
            <w:tcW w:w="1134" w:type="dxa"/>
            <w:shd w:val="clear" w:color="auto" w:fill="auto"/>
            <w:noWrap/>
            <w:vAlign w:val="bottom"/>
          </w:tcPr>
          <w:p w14:paraId="597E8AD8" w14:textId="0B41C8FA"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[1.82 - 2.05]</w:t>
            </w:r>
          </w:p>
        </w:tc>
        <w:tc>
          <w:tcPr>
            <w:tcW w:w="907" w:type="dxa"/>
            <w:shd w:val="clear" w:color="auto" w:fill="auto"/>
            <w:noWrap/>
            <w:vAlign w:val="bottom"/>
          </w:tcPr>
          <w:p w14:paraId="66A16612" w14:textId="75C7DD3C"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7.26***</w:t>
            </w:r>
          </w:p>
        </w:tc>
        <w:tc>
          <w:tcPr>
            <w:tcW w:w="1247" w:type="dxa"/>
            <w:shd w:val="clear" w:color="auto" w:fill="auto"/>
            <w:noWrap/>
            <w:vAlign w:val="bottom"/>
          </w:tcPr>
          <w:p w14:paraId="58D5A611" w14:textId="0F7F2C67"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[6.61 - 7.97]</w:t>
            </w:r>
          </w:p>
        </w:tc>
        <w:tc>
          <w:tcPr>
            <w:tcW w:w="851" w:type="dxa"/>
            <w:shd w:val="clear" w:color="auto" w:fill="auto"/>
            <w:noWrap/>
            <w:vAlign w:val="bottom"/>
          </w:tcPr>
          <w:p w14:paraId="1750B8BD" w14:textId="1CD72A96"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3.64***</w:t>
            </w:r>
          </w:p>
        </w:tc>
        <w:tc>
          <w:tcPr>
            <w:tcW w:w="1134" w:type="dxa"/>
            <w:shd w:val="clear" w:color="auto" w:fill="auto"/>
            <w:noWrap/>
            <w:vAlign w:val="bottom"/>
          </w:tcPr>
          <w:p w14:paraId="0ECBE6FB" w14:textId="058974B1" w:rsidR="00050A74" w:rsidRPr="004868C5" w:rsidRDefault="00050A74"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[3.14 - 4.22]</w:t>
            </w:r>
          </w:p>
        </w:tc>
      </w:tr>
      <w:tr w:rsidR="00613B93" w:rsidRPr="004868C5" w14:paraId="7285504A" w14:textId="77777777" w:rsidTr="00A719E4">
        <w:trPr>
          <w:trHeight w:val="300"/>
        </w:trPr>
        <w:tc>
          <w:tcPr>
            <w:tcW w:w="1134" w:type="dxa"/>
            <w:gridSpan w:val="3"/>
            <w:shd w:val="clear" w:color="auto" w:fill="auto"/>
            <w:noWrap/>
            <w:vAlign w:val="bottom"/>
            <w:hideMark/>
          </w:tcPr>
          <w:p w14:paraId="25B9E236" w14:textId="48EEA1EC" w:rsidR="00D11C26" w:rsidRPr="004868C5" w:rsidRDefault="00D11C26" w:rsidP="00D11C26">
            <w:pPr>
              <w:spacing w:after="0" w:line="240" w:lineRule="auto"/>
              <w:rPr>
                <w:rFonts w:ascii="Times New Roman" w:eastAsia="Times New Roman" w:hAnsi="Times New Roman" w:cs="Times New Roman"/>
                <w:i/>
                <w:iCs/>
                <w:color w:val="000000"/>
                <w:sz w:val="18"/>
                <w:szCs w:val="18"/>
              </w:rPr>
            </w:pPr>
            <w:r w:rsidRPr="004868C5">
              <w:rPr>
                <w:rFonts w:ascii="Times New Roman" w:eastAsia="Times New Roman" w:hAnsi="Times New Roman" w:cs="Times New Roman"/>
                <w:i/>
                <w:iCs/>
                <w:color w:val="000000"/>
                <w:sz w:val="18"/>
                <w:szCs w:val="18"/>
              </w:rPr>
              <w:t>Baseline age group (reference = 65 - 70)</w:t>
            </w:r>
          </w:p>
        </w:tc>
        <w:tc>
          <w:tcPr>
            <w:tcW w:w="851" w:type="dxa"/>
            <w:shd w:val="clear" w:color="auto" w:fill="auto"/>
            <w:noWrap/>
            <w:vAlign w:val="bottom"/>
            <w:hideMark/>
          </w:tcPr>
          <w:p w14:paraId="672803D0" w14:textId="77777777" w:rsidR="00D11C26" w:rsidRPr="004868C5" w:rsidRDefault="00D11C26" w:rsidP="004868C5">
            <w:pPr>
              <w:spacing w:after="0" w:line="240" w:lineRule="auto"/>
              <w:jc w:val="center"/>
              <w:rPr>
                <w:rFonts w:ascii="Times New Roman" w:eastAsia="Times New Roman" w:hAnsi="Times New Roman" w:cs="Times New Roman"/>
                <w:sz w:val="18"/>
                <w:szCs w:val="18"/>
              </w:rPr>
            </w:pPr>
          </w:p>
        </w:tc>
        <w:tc>
          <w:tcPr>
            <w:tcW w:w="1134" w:type="dxa"/>
            <w:shd w:val="clear" w:color="auto" w:fill="auto"/>
            <w:noWrap/>
            <w:vAlign w:val="bottom"/>
            <w:hideMark/>
          </w:tcPr>
          <w:p w14:paraId="0527265F" w14:textId="77777777" w:rsidR="00D11C26" w:rsidRPr="004868C5" w:rsidRDefault="00D11C26" w:rsidP="004868C5">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bottom"/>
            <w:hideMark/>
          </w:tcPr>
          <w:p w14:paraId="49F7BBE4" w14:textId="77777777" w:rsidR="00D11C26" w:rsidRPr="004868C5" w:rsidRDefault="00D11C26" w:rsidP="004868C5">
            <w:pPr>
              <w:spacing w:after="0" w:line="240" w:lineRule="auto"/>
              <w:jc w:val="center"/>
              <w:rPr>
                <w:rFonts w:ascii="Times New Roman" w:eastAsia="Times New Roman" w:hAnsi="Times New Roman" w:cs="Times New Roman"/>
                <w:sz w:val="18"/>
                <w:szCs w:val="18"/>
              </w:rPr>
            </w:pPr>
          </w:p>
        </w:tc>
        <w:tc>
          <w:tcPr>
            <w:tcW w:w="1134" w:type="dxa"/>
            <w:shd w:val="clear" w:color="auto" w:fill="auto"/>
            <w:noWrap/>
            <w:vAlign w:val="bottom"/>
            <w:hideMark/>
          </w:tcPr>
          <w:p w14:paraId="3FEFE834" w14:textId="77777777" w:rsidR="00D11C26" w:rsidRPr="004868C5" w:rsidRDefault="00D11C26" w:rsidP="004868C5">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bottom"/>
            <w:hideMark/>
          </w:tcPr>
          <w:p w14:paraId="71ABEC94" w14:textId="77777777" w:rsidR="00D11C26" w:rsidRPr="004868C5" w:rsidRDefault="00D11C26" w:rsidP="004868C5">
            <w:pPr>
              <w:spacing w:after="0" w:line="240" w:lineRule="auto"/>
              <w:jc w:val="center"/>
              <w:rPr>
                <w:rFonts w:ascii="Times New Roman" w:eastAsia="Times New Roman" w:hAnsi="Times New Roman" w:cs="Times New Roman"/>
                <w:sz w:val="18"/>
                <w:szCs w:val="18"/>
              </w:rPr>
            </w:pPr>
          </w:p>
        </w:tc>
        <w:tc>
          <w:tcPr>
            <w:tcW w:w="1134" w:type="dxa"/>
            <w:shd w:val="clear" w:color="auto" w:fill="auto"/>
            <w:noWrap/>
            <w:vAlign w:val="bottom"/>
            <w:hideMark/>
          </w:tcPr>
          <w:p w14:paraId="6B9FD3DD" w14:textId="77777777" w:rsidR="00D11C26" w:rsidRPr="004868C5" w:rsidRDefault="00D11C26" w:rsidP="004868C5">
            <w:pPr>
              <w:spacing w:after="0" w:line="240" w:lineRule="auto"/>
              <w:jc w:val="center"/>
              <w:rPr>
                <w:rFonts w:ascii="Times New Roman" w:eastAsia="Times New Roman" w:hAnsi="Times New Roman" w:cs="Times New Roman"/>
                <w:sz w:val="18"/>
                <w:szCs w:val="18"/>
              </w:rPr>
            </w:pPr>
          </w:p>
        </w:tc>
        <w:tc>
          <w:tcPr>
            <w:tcW w:w="907" w:type="dxa"/>
            <w:shd w:val="clear" w:color="auto" w:fill="auto"/>
            <w:noWrap/>
            <w:vAlign w:val="bottom"/>
            <w:hideMark/>
          </w:tcPr>
          <w:p w14:paraId="6D8FA6EA" w14:textId="77777777" w:rsidR="00D11C26" w:rsidRPr="004868C5" w:rsidRDefault="00D11C26" w:rsidP="004868C5">
            <w:pPr>
              <w:spacing w:after="0" w:line="240" w:lineRule="auto"/>
              <w:jc w:val="center"/>
              <w:rPr>
                <w:rFonts w:ascii="Times New Roman" w:eastAsia="Times New Roman" w:hAnsi="Times New Roman" w:cs="Times New Roman"/>
                <w:sz w:val="18"/>
                <w:szCs w:val="18"/>
              </w:rPr>
            </w:pPr>
          </w:p>
        </w:tc>
        <w:tc>
          <w:tcPr>
            <w:tcW w:w="1247" w:type="dxa"/>
            <w:shd w:val="clear" w:color="auto" w:fill="auto"/>
            <w:noWrap/>
            <w:vAlign w:val="bottom"/>
            <w:hideMark/>
          </w:tcPr>
          <w:p w14:paraId="3B0352EC" w14:textId="77777777" w:rsidR="00D11C26" w:rsidRPr="004868C5" w:rsidRDefault="00D11C26" w:rsidP="004868C5">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bottom"/>
            <w:hideMark/>
          </w:tcPr>
          <w:p w14:paraId="09910194" w14:textId="77777777" w:rsidR="00D11C26" w:rsidRPr="004868C5" w:rsidRDefault="00D11C26" w:rsidP="004868C5">
            <w:pPr>
              <w:spacing w:after="0" w:line="240" w:lineRule="auto"/>
              <w:jc w:val="center"/>
              <w:rPr>
                <w:rFonts w:ascii="Times New Roman" w:eastAsia="Times New Roman" w:hAnsi="Times New Roman" w:cs="Times New Roman"/>
                <w:sz w:val="18"/>
                <w:szCs w:val="18"/>
              </w:rPr>
            </w:pPr>
          </w:p>
        </w:tc>
        <w:tc>
          <w:tcPr>
            <w:tcW w:w="1134" w:type="dxa"/>
            <w:shd w:val="clear" w:color="auto" w:fill="auto"/>
            <w:noWrap/>
            <w:vAlign w:val="bottom"/>
            <w:hideMark/>
          </w:tcPr>
          <w:p w14:paraId="1AF63614" w14:textId="77777777" w:rsidR="00D11C26" w:rsidRPr="004868C5" w:rsidRDefault="00D11C26" w:rsidP="004868C5">
            <w:pPr>
              <w:spacing w:after="0" w:line="240" w:lineRule="auto"/>
              <w:jc w:val="center"/>
              <w:rPr>
                <w:rFonts w:ascii="Times New Roman" w:eastAsia="Times New Roman" w:hAnsi="Times New Roman" w:cs="Times New Roman"/>
                <w:sz w:val="18"/>
                <w:szCs w:val="18"/>
              </w:rPr>
            </w:pPr>
          </w:p>
        </w:tc>
      </w:tr>
      <w:tr w:rsidR="00613B93" w:rsidRPr="004868C5" w14:paraId="5F906045" w14:textId="77777777" w:rsidTr="00A719E4">
        <w:trPr>
          <w:trHeight w:val="300"/>
        </w:trPr>
        <w:tc>
          <w:tcPr>
            <w:tcW w:w="1838" w:type="dxa"/>
            <w:shd w:val="clear" w:color="auto" w:fill="auto"/>
            <w:noWrap/>
            <w:vAlign w:val="bottom"/>
            <w:hideMark/>
          </w:tcPr>
          <w:p w14:paraId="7F661B78" w14:textId="77777777" w:rsidR="004868C5" w:rsidRPr="004868C5" w:rsidRDefault="004868C5" w:rsidP="00D11C26">
            <w:pPr>
              <w:spacing w:after="0" w:line="240" w:lineRule="auto"/>
              <w:ind w:firstLineChars="100" w:firstLine="180"/>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70 - 75</w:t>
            </w:r>
          </w:p>
        </w:tc>
        <w:tc>
          <w:tcPr>
            <w:tcW w:w="851" w:type="dxa"/>
            <w:shd w:val="clear" w:color="auto" w:fill="auto"/>
            <w:noWrap/>
            <w:vAlign w:val="bottom"/>
          </w:tcPr>
          <w:p w14:paraId="0B38BCB7" w14:textId="66708575"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1.10***</w:t>
            </w:r>
          </w:p>
        </w:tc>
        <w:tc>
          <w:tcPr>
            <w:tcW w:w="1134" w:type="dxa"/>
            <w:shd w:val="clear" w:color="auto" w:fill="auto"/>
            <w:noWrap/>
            <w:vAlign w:val="bottom"/>
          </w:tcPr>
          <w:p w14:paraId="1AAC5E2C" w14:textId="05BCD4B1"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[1.09 - 1.12]</w:t>
            </w:r>
          </w:p>
        </w:tc>
        <w:tc>
          <w:tcPr>
            <w:tcW w:w="851" w:type="dxa"/>
            <w:shd w:val="clear" w:color="auto" w:fill="auto"/>
            <w:noWrap/>
            <w:vAlign w:val="bottom"/>
          </w:tcPr>
          <w:p w14:paraId="61A57F78" w14:textId="38382F17"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1.11***</w:t>
            </w:r>
          </w:p>
        </w:tc>
        <w:tc>
          <w:tcPr>
            <w:tcW w:w="1134" w:type="dxa"/>
            <w:shd w:val="clear" w:color="auto" w:fill="auto"/>
            <w:noWrap/>
            <w:vAlign w:val="bottom"/>
          </w:tcPr>
          <w:p w14:paraId="2518155B" w14:textId="5E736650"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[1.09 - 1.12]</w:t>
            </w:r>
          </w:p>
        </w:tc>
        <w:tc>
          <w:tcPr>
            <w:tcW w:w="851" w:type="dxa"/>
            <w:shd w:val="clear" w:color="auto" w:fill="auto"/>
            <w:noWrap/>
            <w:vAlign w:val="bottom"/>
          </w:tcPr>
          <w:p w14:paraId="27F81A14" w14:textId="0C28E68E"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1.21***</w:t>
            </w:r>
          </w:p>
        </w:tc>
        <w:tc>
          <w:tcPr>
            <w:tcW w:w="1134" w:type="dxa"/>
            <w:shd w:val="clear" w:color="auto" w:fill="auto"/>
            <w:noWrap/>
            <w:vAlign w:val="bottom"/>
          </w:tcPr>
          <w:p w14:paraId="740D38D2" w14:textId="182180BF"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[1.16 - 1.25]</w:t>
            </w:r>
          </w:p>
        </w:tc>
        <w:tc>
          <w:tcPr>
            <w:tcW w:w="851" w:type="dxa"/>
            <w:shd w:val="clear" w:color="auto" w:fill="auto"/>
            <w:noWrap/>
            <w:vAlign w:val="bottom"/>
          </w:tcPr>
          <w:p w14:paraId="3A49BC09" w14:textId="5854EAD7"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1.14***</w:t>
            </w:r>
          </w:p>
        </w:tc>
        <w:tc>
          <w:tcPr>
            <w:tcW w:w="1134" w:type="dxa"/>
            <w:shd w:val="clear" w:color="auto" w:fill="auto"/>
            <w:noWrap/>
            <w:vAlign w:val="bottom"/>
          </w:tcPr>
          <w:p w14:paraId="39BF86E7" w14:textId="4CC21092"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[1.11 - 1.18]</w:t>
            </w:r>
          </w:p>
        </w:tc>
        <w:tc>
          <w:tcPr>
            <w:tcW w:w="907" w:type="dxa"/>
            <w:shd w:val="clear" w:color="auto" w:fill="auto"/>
            <w:noWrap/>
            <w:vAlign w:val="bottom"/>
          </w:tcPr>
          <w:p w14:paraId="03A71966" w14:textId="4C02A268"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1.60***</w:t>
            </w:r>
          </w:p>
        </w:tc>
        <w:tc>
          <w:tcPr>
            <w:tcW w:w="1247" w:type="dxa"/>
            <w:shd w:val="clear" w:color="auto" w:fill="auto"/>
            <w:noWrap/>
            <w:vAlign w:val="bottom"/>
          </w:tcPr>
          <w:p w14:paraId="3C860A7D" w14:textId="1C1D42CE"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[1.49 - 1.72]</w:t>
            </w:r>
          </w:p>
        </w:tc>
        <w:tc>
          <w:tcPr>
            <w:tcW w:w="851" w:type="dxa"/>
            <w:shd w:val="clear" w:color="auto" w:fill="auto"/>
            <w:noWrap/>
            <w:vAlign w:val="bottom"/>
          </w:tcPr>
          <w:p w14:paraId="7D4D2C3B" w14:textId="29989634"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1.25***</w:t>
            </w:r>
          </w:p>
        </w:tc>
        <w:tc>
          <w:tcPr>
            <w:tcW w:w="1134" w:type="dxa"/>
            <w:shd w:val="clear" w:color="auto" w:fill="auto"/>
            <w:noWrap/>
            <w:vAlign w:val="bottom"/>
          </w:tcPr>
          <w:p w14:paraId="14A6D6F0" w14:textId="5DC719A9"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[1.15 - 1.36]</w:t>
            </w:r>
          </w:p>
        </w:tc>
      </w:tr>
      <w:tr w:rsidR="00613B93" w:rsidRPr="004868C5" w14:paraId="04D25977" w14:textId="77777777" w:rsidTr="00A719E4">
        <w:trPr>
          <w:trHeight w:val="300"/>
        </w:trPr>
        <w:tc>
          <w:tcPr>
            <w:tcW w:w="1838" w:type="dxa"/>
            <w:shd w:val="clear" w:color="auto" w:fill="auto"/>
            <w:noWrap/>
            <w:vAlign w:val="bottom"/>
            <w:hideMark/>
          </w:tcPr>
          <w:p w14:paraId="40CA21EA" w14:textId="77777777" w:rsidR="004868C5" w:rsidRPr="004868C5" w:rsidRDefault="004868C5" w:rsidP="00D11C26">
            <w:pPr>
              <w:spacing w:after="0" w:line="240" w:lineRule="auto"/>
              <w:ind w:firstLineChars="100" w:firstLine="180"/>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75 - 80</w:t>
            </w:r>
          </w:p>
        </w:tc>
        <w:tc>
          <w:tcPr>
            <w:tcW w:w="851" w:type="dxa"/>
            <w:shd w:val="clear" w:color="auto" w:fill="auto"/>
            <w:noWrap/>
            <w:vAlign w:val="bottom"/>
          </w:tcPr>
          <w:p w14:paraId="2583E899" w14:textId="3A306141"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1.21***</w:t>
            </w:r>
          </w:p>
        </w:tc>
        <w:tc>
          <w:tcPr>
            <w:tcW w:w="1134" w:type="dxa"/>
            <w:shd w:val="clear" w:color="auto" w:fill="auto"/>
            <w:noWrap/>
            <w:vAlign w:val="bottom"/>
          </w:tcPr>
          <w:p w14:paraId="507F0036" w14:textId="6D0FD3ED"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[1.19 - 1.23]</w:t>
            </w:r>
          </w:p>
        </w:tc>
        <w:tc>
          <w:tcPr>
            <w:tcW w:w="851" w:type="dxa"/>
            <w:shd w:val="clear" w:color="auto" w:fill="auto"/>
            <w:noWrap/>
            <w:vAlign w:val="bottom"/>
          </w:tcPr>
          <w:p w14:paraId="3337EE29" w14:textId="134218B9"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1.19***</w:t>
            </w:r>
          </w:p>
        </w:tc>
        <w:tc>
          <w:tcPr>
            <w:tcW w:w="1134" w:type="dxa"/>
            <w:shd w:val="clear" w:color="auto" w:fill="auto"/>
            <w:noWrap/>
            <w:vAlign w:val="bottom"/>
          </w:tcPr>
          <w:p w14:paraId="03B86CDF" w14:textId="69BB1ACA"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[1.16 - 1.23]</w:t>
            </w:r>
          </w:p>
        </w:tc>
        <w:tc>
          <w:tcPr>
            <w:tcW w:w="851" w:type="dxa"/>
            <w:shd w:val="clear" w:color="auto" w:fill="auto"/>
            <w:noWrap/>
            <w:vAlign w:val="bottom"/>
          </w:tcPr>
          <w:p w14:paraId="55354F8C" w14:textId="49FFB051"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1.51***</w:t>
            </w:r>
          </w:p>
        </w:tc>
        <w:tc>
          <w:tcPr>
            <w:tcW w:w="1134" w:type="dxa"/>
            <w:shd w:val="clear" w:color="auto" w:fill="auto"/>
            <w:noWrap/>
            <w:vAlign w:val="bottom"/>
          </w:tcPr>
          <w:p w14:paraId="793991F6" w14:textId="711BF3B5"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[1.45 - 1.57]</w:t>
            </w:r>
          </w:p>
        </w:tc>
        <w:tc>
          <w:tcPr>
            <w:tcW w:w="851" w:type="dxa"/>
            <w:shd w:val="clear" w:color="auto" w:fill="auto"/>
            <w:noWrap/>
            <w:vAlign w:val="bottom"/>
          </w:tcPr>
          <w:p w14:paraId="30A17DFC" w14:textId="58615040"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1.27***</w:t>
            </w:r>
          </w:p>
        </w:tc>
        <w:tc>
          <w:tcPr>
            <w:tcW w:w="1134" w:type="dxa"/>
            <w:shd w:val="clear" w:color="auto" w:fill="auto"/>
            <w:noWrap/>
            <w:vAlign w:val="bottom"/>
          </w:tcPr>
          <w:p w14:paraId="3E6AEA83" w14:textId="28509DDD"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[1.22 - 1.33]</w:t>
            </w:r>
          </w:p>
        </w:tc>
        <w:tc>
          <w:tcPr>
            <w:tcW w:w="907" w:type="dxa"/>
            <w:shd w:val="clear" w:color="auto" w:fill="auto"/>
            <w:noWrap/>
            <w:vAlign w:val="bottom"/>
          </w:tcPr>
          <w:p w14:paraId="26B385BF" w14:textId="37C4EF5E"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2.66***</w:t>
            </w:r>
          </w:p>
        </w:tc>
        <w:tc>
          <w:tcPr>
            <w:tcW w:w="1247" w:type="dxa"/>
            <w:shd w:val="clear" w:color="auto" w:fill="auto"/>
            <w:noWrap/>
            <w:vAlign w:val="bottom"/>
          </w:tcPr>
          <w:p w14:paraId="501EC847" w14:textId="191FB8F3"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[2.47 - 2.87]</w:t>
            </w:r>
          </w:p>
        </w:tc>
        <w:tc>
          <w:tcPr>
            <w:tcW w:w="851" w:type="dxa"/>
            <w:shd w:val="clear" w:color="auto" w:fill="auto"/>
            <w:noWrap/>
            <w:vAlign w:val="bottom"/>
          </w:tcPr>
          <w:p w14:paraId="47F6281B" w14:textId="710706E9"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1.50***</w:t>
            </w:r>
          </w:p>
        </w:tc>
        <w:tc>
          <w:tcPr>
            <w:tcW w:w="1134" w:type="dxa"/>
            <w:shd w:val="clear" w:color="auto" w:fill="auto"/>
            <w:noWrap/>
            <w:vAlign w:val="bottom"/>
          </w:tcPr>
          <w:p w14:paraId="496D6541" w14:textId="35A1012C"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[1.36 - 1.65]</w:t>
            </w:r>
          </w:p>
        </w:tc>
      </w:tr>
      <w:tr w:rsidR="00613B93" w:rsidRPr="004868C5" w14:paraId="5301AF7A" w14:textId="77777777" w:rsidTr="00A719E4">
        <w:trPr>
          <w:trHeight w:val="300"/>
        </w:trPr>
        <w:tc>
          <w:tcPr>
            <w:tcW w:w="1838" w:type="dxa"/>
            <w:shd w:val="clear" w:color="auto" w:fill="auto"/>
            <w:noWrap/>
            <w:vAlign w:val="bottom"/>
            <w:hideMark/>
          </w:tcPr>
          <w:p w14:paraId="14BEDE75" w14:textId="77777777" w:rsidR="004868C5" w:rsidRPr="004868C5" w:rsidRDefault="004868C5" w:rsidP="00D11C26">
            <w:pPr>
              <w:spacing w:after="0" w:line="240" w:lineRule="auto"/>
              <w:ind w:firstLineChars="100" w:firstLine="180"/>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80 - 85</w:t>
            </w:r>
          </w:p>
        </w:tc>
        <w:tc>
          <w:tcPr>
            <w:tcW w:w="851" w:type="dxa"/>
            <w:shd w:val="clear" w:color="auto" w:fill="auto"/>
            <w:noWrap/>
            <w:vAlign w:val="bottom"/>
          </w:tcPr>
          <w:p w14:paraId="7968F921" w14:textId="7CB6B771"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1.32***</w:t>
            </w:r>
          </w:p>
        </w:tc>
        <w:tc>
          <w:tcPr>
            <w:tcW w:w="1134" w:type="dxa"/>
            <w:shd w:val="clear" w:color="auto" w:fill="auto"/>
            <w:noWrap/>
            <w:vAlign w:val="bottom"/>
          </w:tcPr>
          <w:p w14:paraId="4B2A63E5" w14:textId="08A86EAD"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[1.29 - 1.35]</w:t>
            </w:r>
          </w:p>
        </w:tc>
        <w:tc>
          <w:tcPr>
            <w:tcW w:w="851" w:type="dxa"/>
            <w:shd w:val="clear" w:color="auto" w:fill="auto"/>
            <w:noWrap/>
            <w:vAlign w:val="bottom"/>
          </w:tcPr>
          <w:p w14:paraId="34471A3D" w14:textId="40AAA9CE"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1.26***</w:t>
            </w:r>
          </w:p>
        </w:tc>
        <w:tc>
          <w:tcPr>
            <w:tcW w:w="1134" w:type="dxa"/>
            <w:shd w:val="clear" w:color="auto" w:fill="auto"/>
            <w:noWrap/>
            <w:vAlign w:val="bottom"/>
          </w:tcPr>
          <w:p w14:paraId="26C66C08" w14:textId="6E411E32"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[1.21 - 1.31]</w:t>
            </w:r>
          </w:p>
        </w:tc>
        <w:tc>
          <w:tcPr>
            <w:tcW w:w="851" w:type="dxa"/>
            <w:shd w:val="clear" w:color="auto" w:fill="auto"/>
            <w:noWrap/>
            <w:vAlign w:val="bottom"/>
          </w:tcPr>
          <w:p w14:paraId="252B2887" w14:textId="5330669D"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1.93***</w:t>
            </w:r>
          </w:p>
        </w:tc>
        <w:tc>
          <w:tcPr>
            <w:tcW w:w="1134" w:type="dxa"/>
            <w:shd w:val="clear" w:color="auto" w:fill="auto"/>
            <w:noWrap/>
            <w:vAlign w:val="bottom"/>
          </w:tcPr>
          <w:p w14:paraId="03BE90AC" w14:textId="02DD7805"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[1.84 - 2.02]</w:t>
            </w:r>
          </w:p>
        </w:tc>
        <w:tc>
          <w:tcPr>
            <w:tcW w:w="851" w:type="dxa"/>
            <w:shd w:val="clear" w:color="auto" w:fill="auto"/>
            <w:noWrap/>
            <w:vAlign w:val="bottom"/>
          </w:tcPr>
          <w:p w14:paraId="40C0D0DB" w14:textId="05520946"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1.15***</w:t>
            </w:r>
          </w:p>
        </w:tc>
        <w:tc>
          <w:tcPr>
            <w:tcW w:w="1134" w:type="dxa"/>
            <w:shd w:val="clear" w:color="auto" w:fill="auto"/>
            <w:noWrap/>
            <w:vAlign w:val="bottom"/>
          </w:tcPr>
          <w:p w14:paraId="40192824" w14:textId="373A716A"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[1.09 - 1.20]</w:t>
            </w:r>
          </w:p>
        </w:tc>
        <w:tc>
          <w:tcPr>
            <w:tcW w:w="907" w:type="dxa"/>
            <w:shd w:val="clear" w:color="auto" w:fill="auto"/>
            <w:noWrap/>
            <w:vAlign w:val="bottom"/>
          </w:tcPr>
          <w:p w14:paraId="2025CAF7" w14:textId="581DB5B5"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4.91***</w:t>
            </w:r>
          </w:p>
        </w:tc>
        <w:tc>
          <w:tcPr>
            <w:tcW w:w="1247" w:type="dxa"/>
            <w:shd w:val="clear" w:color="auto" w:fill="auto"/>
            <w:noWrap/>
            <w:vAlign w:val="bottom"/>
          </w:tcPr>
          <w:p w14:paraId="64E8300F" w14:textId="06D0B2E1"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[4.50 - 5.36]</w:t>
            </w:r>
          </w:p>
        </w:tc>
        <w:tc>
          <w:tcPr>
            <w:tcW w:w="851" w:type="dxa"/>
            <w:shd w:val="clear" w:color="auto" w:fill="auto"/>
            <w:noWrap/>
            <w:vAlign w:val="bottom"/>
          </w:tcPr>
          <w:p w14:paraId="3A88907B" w14:textId="0F6B1837"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1.25***</w:t>
            </w:r>
          </w:p>
        </w:tc>
        <w:tc>
          <w:tcPr>
            <w:tcW w:w="1134" w:type="dxa"/>
            <w:shd w:val="clear" w:color="auto" w:fill="auto"/>
            <w:noWrap/>
            <w:vAlign w:val="bottom"/>
          </w:tcPr>
          <w:p w14:paraId="241BA124" w14:textId="1A8CAB7B"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[1.13 - 1.38]</w:t>
            </w:r>
          </w:p>
        </w:tc>
      </w:tr>
      <w:tr w:rsidR="00613B93" w:rsidRPr="004868C5" w14:paraId="5BBB966F" w14:textId="77777777" w:rsidTr="00A719E4">
        <w:trPr>
          <w:trHeight w:val="300"/>
        </w:trPr>
        <w:tc>
          <w:tcPr>
            <w:tcW w:w="1838" w:type="dxa"/>
            <w:shd w:val="clear" w:color="auto" w:fill="auto"/>
            <w:noWrap/>
            <w:vAlign w:val="bottom"/>
            <w:hideMark/>
          </w:tcPr>
          <w:p w14:paraId="02B5CD84" w14:textId="77777777" w:rsidR="004868C5" w:rsidRPr="004868C5" w:rsidRDefault="004868C5" w:rsidP="00D11C26">
            <w:pPr>
              <w:spacing w:after="0" w:line="240" w:lineRule="auto"/>
              <w:ind w:firstLineChars="100" w:firstLine="180"/>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 xml:space="preserve">85 - 90 </w:t>
            </w:r>
          </w:p>
        </w:tc>
        <w:tc>
          <w:tcPr>
            <w:tcW w:w="851" w:type="dxa"/>
            <w:shd w:val="clear" w:color="auto" w:fill="auto"/>
            <w:noWrap/>
            <w:vAlign w:val="bottom"/>
          </w:tcPr>
          <w:p w14:paraId="1399ED8A" w14:textId="219B5BB0"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1.44***</w:t>
            </w:r>
          </w:p>
        </w:tc>
        <w:tc>
          <w:tcPr>
            <w:tcW w:w="1134" w:type="dxa"/>
            <w:shd w:val="clear" w:color="auto" w:fill="auto"/>
            <w:noWrap/>
            <w:vAlign w:val="bottom"/>
          </w:tcPr>
          <w:p w14:paraId="133A7D89" w14:textId="601925C9"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[1.39 - 1.49]</w:t>
            </w:r>
          </w:p>
        </w:tc>
        <w:tc>
          <w:tcPr>
            <w:tcW w:w="851" w:type="dxa"/>
            <w:shd w:val="clear" w:color="auto" w:fill="auto"/>
            <w:noWrap/>
            <w:vAlign w:val="bottom"/>
          </w:tcPr>
          <w:p w14:paraId="45EEB64E" w14:textId="3FCB685C"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1.26***</w:t>
            </w:r>
          </w:p>
        </w:tc>
        <w:tc>
          <w:tcPr>
            <w:tcW w:w="1134" w:type="dxa"/>
            <w:shd w:val="clear" w:color="auto" w:fill="auto"/>
            <w:noWrap/>
            <w:vAlign w:val="bottom"/>
          </w:tcPr>
          <w:p w14:paraId="71D49763" w14:textId="796F712D"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[1.19 - 1.34]</w:t>
            </w:r>
          </w:p>
        </w:tc>
        <w:tc>
          <w:tcPr>
            <w:tcW w:w="851" w:type="dxa"/>
            <w:shd w:val="clear" w:color="auto" w:fill="auto"/>
            <w:noWrap/>
            <w:vAlign w:val="bottom"/>
          </w:tcPr>
          <w:p w14:paraId="03C0B4FE" w14:textId="4355D0CC"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2.27***</w:t>
            </w:r>
          </w:p>
        </w:tc>
        <w:tc>
          <w:tcPr>
            <w:tcW w:w="1134" w:type="dxa"/>
            <w:shd w:val="clear" w:color="auto" w:fill="auto"/>
            <w:noWrap/>
            <w:vAlign w:val="bottom"/>
          </w:tcPr>
          <w:p w14:paraId="12EC29DA" w14:textId="4E37E8EB"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[2.16 - 2.40]</w:t>
            </w:r>
          </w:p>
        </w:tc>
        <w:tc>
          <w:tcPr>
            <w:tcW w:w="851" w:type="dxa"/>
            <w:shd w:val="clear" w:color="auto" w:fill="auto"/>
            <w:noWrap/>
            <w:vAlign w:val="bottom"/>
          </w:tcPr>
          <w:p w14:paraId="090E3ECE" w14:textId="51EF4BCC"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0.95</w:t>
            </w:r>
          </w:p>
        </w:tc>
        <w:tc>
          <w:tcPr>
            <w:tcW w:w="1134" w:type="dxa"/>
            <w:shd w:val="clear" w:color="auto" w:fill="auto"/>
            <w:noWrap/>
            <w:vAlign w:val="bottom"/>
          </w:tcPr>
          <w:p w14:paraId="028C1791" w14:textId="643BB570"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[0.90 - 1.01]</w:t>
            </w:r>
          </w:p>
        </w:tc>
        <w:tc>
          <w:tcPr>
            <w:tcW w:w="907" w:type="dxa"/>
            <w:shd w:val="clear" w:color="auto" w:fill="auto"/>
            <w:noWrap/>
            <w:vAlign w:val="bottom"/>
          </w:tcPr>
          <w:p w14:paraId="5370C807" w14:textId="61AC6BD8"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7.69***</w:t>
            </w:r>
          </w:p>
        </w:tc>
        <w:tc>
          <w:tcPr>
            <w:tcW w:w="1247" w:type="dxa"/>
            <w:shd w:val="clear" w:color="auto" w:fill="auto"/>
            <w:noWrap/>
            <w:vAlign w:val="bottom"/>
          </w:tcPr>
          <w:p w14:paraId="28B690C9" w14:textId="2EB2155C"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[7.01 - 8.43]</w:t>
            </w:r>
          </w:p>
        </w:tc>
        <w:tc>
          <w:tcPr>
            <w:tcW w:w="851" w:type="dxa"/>
            <w:shd w:val="clear" w:color="auto" w:fill="auto"/>
            <w:noWrap/>
            <w:vAlign w:val="bottom"/>
          </w:tcPr>
          <w:p w14:paraId="7EDD2A22" w14:textId="00EA46BD"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0.90</w:t>
            </w:r>
          </w:p>
        </w:tc>
        <w:tc>
          <w:tcPr>
            <w:tcW w:w="1134" w:type="dxa"/>
            <w:shd w:val="clear" w:color="auto" w:fill="auto"/>
            <w:noWrap/>
            <w:vAlign w:val="bottom"/>
          </w:tcPr>
          <w:p w14:paraId="05A6669F" w14:textId="36A86BBF"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[0.75 - 1.07]</w:t>
            </w:r>
          </w:p>
        </w:tc>
      </w:tr>
      <w:tr w:rsidR="00613B93" w:rsidRPr="004868C5" w14:paraId="6A4E8C2A" w14:textId="77777777" w:rsidTr="00A719E4">
        <w:trPr>
          <w:trHeight w:val="300"/>
        </w:trPr>
        <w:tc>
          <w:tcPr>
            <w:tcW w:w="1838" w:type="dxa"/>
            <w:shd w:val="clear" w:color="auto" w:fill="auto"/>
            <w:noWrap/>
            <w:vAlign w:val="bottom"/>
            <w:hideMark/>
          </w:tcPr>
          <w:p w14:paraId="468714C3" w14:textId="77777777" w:rsidR="004868C5" w:rsidRPr="004868C5" w:rsidRDefault="004868C5" w:rsidP="00D11C26">
            <w:pPr>
              <w:spacing w:after="0" w:line="240" w:lineRule="auto"/>
              <w:ind w:firstLineChars="100" w:firstLine="180"/>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90 +</w:t>
            </w:r>
          </w:p>
        </w:tc>
        <w:tc>
          <w:tcPr>
            <w:tcW w:w="851" w:type="dxa"/>
            <w:shd w:val="clear" w:color="auto" w:fill="auto"/>
            <w:noWrap/>
            <w:vAlign w:val="bottom"/>
          </w:tcPr>
          <w:p w14:paraId="47346105" w14:textId="763A42DF"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1.57***</w:t>
            </w:r>
          </w:p>
        </w:tc>
        <w:tc>
          <w:tcPr>
            <w:tcW w:w="1134" w:type="dxa"/>
            <w:shd w:val="clear" w:color="auto" w:fill="auto"/>
            <w:noWrap/>
            <w:vAlign w:val="bottom"/>
          </w:tcPr>
          <w:p w14:paraId="3F7AD109" w14:textId="34244B11"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[1.49 - 1.66]</w:t>
            </w:r>
          </w:p>
        </w:tc>
        <w:tc>
          <w:tcPr>
            <w:tcW w:w="851" w:type="dxa"/>
            <w:shd w:val="clear" w:color="auto" w:fill="auto"/>
            <w:noWrap/>
            <w:vAlign w:val="bottom"/>
          </w:tcPr>
          <w:p w14:paraId="65B22667" w14:textId="6F608DEF"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1.19***</w:t>
            </w:r>
          </w:p>
        </w:tc>
        <w:tc>
          <w:tcPr>
            <w:tcW w:w="1134" w:type="dxa"/>
            <w:shd w:val="clear" w:color="auto" w:fill="auto"/>
            <w:noWrap/>
            <w:vAlign w:val="bottom"/>
          </w:tcPr>
          <w:p w14:paraId="7E7818FA" w14:textId="663203F5"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[1.08 - 1.31]</w:t>
            </w:r>
          </w:p>
        </w:tc>
        <w:tc>
          <w:tcPr>
            <w:tcW w:w="851" w:type="dxa"/>
            <w:shd w:val="clear" w:color="auto" w:fill="auto"/>
            <w:noWrap/>
            <w:vAlign w:val="bottom"/>
          </w:tcPr>
          <w:p w14:paraId="60632DAC" w14:textId="27CEAAD8"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2.68***</w:t>
            </w:r>
          </w:p>
        </w:tc>
        <w:tc>
          <w:tcPr>
            <w:tcW w:w="1134" w:type="dxa"/>
            <w:shd w:val="clear" w:color="auto" w:fill="auto"/>
            <w:noWrap/>
            <w:vAlign w:val="bottom"/>
          </w:tcPr>
          <w:p w14:paraId="57DC0D41" w14:textId="3E7CD5F8"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[2.51 - 2.87]</w:t>
            </w:r>
          </w:p>
        </w:tc>
        <w:tc>
          <w:tcPr>
            <w:tcW w:w="851" w:type="dxa"/>
            <w:shd w:val="clear" w:color="auto" w:fill="auto"/>
            <w:noWrap/>
            <w:vAlign w:val="bottom"/>
          </w:tcPr>
          <w:p w14:paraId="2FF5546D" w14:textId="56295918"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0.62***</w:t>
            </w:r>
          </w:p>
        </w:tc>
        <w:tc>
          <w:tcPr>
            <w:tcW w:w="1134" w:type="dxa"/>
            <w:shd w:val="clear" w:color="auto" w:fill="auto"/>
            <w:noWrap/>
            <w:vAlign w:val="bottom"/>
          </w:tcPr>
          <w:p w14:paraId="71B49CF5" w14:textId="0B4BCAEF"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[0.56 - 0.68]</w:t>
            </w:r>
          </w:p>
        </w:tc>
        <w:tc>
          <w:tcPr>
            <w:tcW w:w="907" w:type="dxa"/>
            <w:shd w:val="clear" w:color="auto" w:fill="auto"/>
            <w:noWrap/>
            <w:vAlign w:val="bottom"/>
          </w:tcPr>
          <w:p w14:paraId="38F64828" w14:textId="75B4E4CC"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11.96***</w:t>
            </w:r>
          </w:p>
        </w:tc>
        <w:tc>
          <w:tcPr>
            <w:tcW w:w="1247" w:type="dxa"/>
            <w:shd w:val="clear" w:color="auto" w:fill="auto"/>
            <w:noWrap/>
            <w:vAlign w:val="bottom"/>
          </w:tcPr>
          <w:p w14:paraId="5B3B08C3" w14:textId="51A43714" w:rsidR="004868C5" w:rsidRPr="004868C5" w:rsidRDefault="00613B93" w:rsidP="004868C5">
            <w:pPr>
              <w:spacing w:after="0" w:line="240" w:lineRule="auto"/>
              <w:jc w:val="center"/>
              <w:rPr>
                <w:rFonts w:ascii="Times New Roman" w:eastAsia="Times New Roman" w:hAnsi="Times New Roman" w:cs="Times New Roman"/>
                <w:color w:val="000000"/>
                <w:sz w:val="18"/>
                <w:szCs w:val="18"/>
              </w:rPr>
            </w:pPr>
            <w:r>
              <w:rPr>
                <w:rFonts w:ascii="Times New Roman" w:hAnsi="Times New Roman" w:cs="Times New Roman"/>
                <w:color w:val="000000"/>
                <w:sz w:val="18"/>
                <w:szCs w:val="18"/>
              </w:rPr>
              <w:t>[10.55-</w:t>
            </w:r>
            <w:r w:rsidR="004868C5" w:rsidRPr="004868C5">
              <w:rPr>
                <w:rFonts w:ascii="Times New Roman" w:hAnsi="Times New Roman" w:cs="Times New Roman"/>
                <w:color w:val="000000"/>
                <w:sz w:val="18"/>
                <w:szCs w:val="18"/>
              </w:rPr>
              <w:t>13.56]</w:t>
            </w:r>
          </w:p>
        </w:tc>
        <w:tc>
          <w:tcPr>
            <w:tcW w:w="851" w:type="dxa"/>
            <w:shd w:val="clear" w:color="auto" w:fill="auto"/>
            <w:noWrap/>
            <w:vAlign w:val="bottom"/>
          </w:tcPr>
          <w:p w14:paraId="02CBFFB4" w14:textId="05D6F2AC"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0.58***</w:t>
            </w:r>
          </w:p>
        </w:tc>
        <w:tc>
          <w:tcPr>
            <w:tcW w:w="1134" w:type="dxa"/>
            <w:shd w:val="clear" w:color="auto" w:fill="auto"/>
            <w:noWrap/>
            <w:vAlign w:val="bottom"/>
          </w:tcPr>
          <w:p w14:paraId="671D4E37" w14:textId="22285ECB"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[0.44 - 0.75]</w:t>
            </w:r>
          </w:p>
        </w:tc>
      </w:tr>
      <w:tr w:rsidR="00613B93" w:rsidRPr="004868C5" w14:paraId="7AA22DC5" w14:textId="77777777" w:rsidTr="00A719E4">
        <w:trPr>
          <w:trHeight w:val="300"/>
        </w:trPr>
        <w:tc>
          <w:tcPr>
            <w:tcW w:w="1134" w:type="dxa"/>
            <w:gridSpan w:val="3"/>
            <w:shd w:val="clear" w:color="auto" w:fill="auto"/>
            <w:noWrap/>
            <w:vAlign w:val="bottom"/>
            <w:hideMark/>
          </w:tcPr>
          <w:p w14:paraId="01C34F43" w14:textId="01AA8F70" w:rsidR="00D11C26" w:rsidRPr="004868C5" w:rsidRDefault="00D11C26" w:rsidP="00D11C26">
            <w:pPr>
              <w:spacing w:after="0" w:line="240" w:lineRule="auto"/>
              <w:rPr>
                <w:rFonts w:ascii="Times New Roman" w:eastAsia="Times New Roman" w:hAnsi="Times New Roman" w:cs="Times New Roman"/>
                <w:sz w:val="18"/>
                <w:szCs w:val="18"/>
              </w:rPr>
            </w:pPr>
            <w:r w:rsidRPr="004868C5">
              <w:rPr>
                <w:rFonts w:ascii="Times New Roman" w:eastAsia="Times New Roman" w:hAnsi="Times New Roman" w:cs="Times New Roman"/>
                <w:i/>
                <w:iCs/>
                <w:color w:val="000000"/>
                <w:sz w:val="18"/>
                <w:szCs w:val="18"/>
              </w:rPr>
              <w:t>Gender (reference = Male)</w:t>
            </w:r>
          </w:p>
        </w:tc>
        <w:tc>
          <w:tcPr>
            <w:tcW w:w="851" w:type="dxa"/>
            <w:shd w:val="clear" w:color="auto" w:fill="auto"/>
            <w:noWrap/>
            <w:vAlign w:val="bottom"/>
            <w:hideMark/>
          </w:tcPr>
          <w:p w14:paraId="3CC45BD6" w14:textId="77777777" w:rsidR="00D11C26" w:rsidRPr="004868C5" w:rsidRDefault="00D11C26" w:rsidP="004868C5">
            <w:pPr>
              <w:spacing w:after="0" w:line="240" w:lineRule="auto"/>
              <w:jc w:val="center"/>
              <w:rPr>
                <w:rFonts w:ascii="Times New Roman" w:eastAsia="Times New Roman" w:hAnsi="Times New Roman" w:cs="Times New Roman"/>
                <w:sz w:val="18"/>
                <w:szCs w:val="18"/>
              </w:rPr>
            </w:pPr>
          </w:p>
        </w:tc>
        <w:tc>
          <w:tcPr>
            <w:tcW w:w="1134" w:type="dxa"/>
            <w:shd w:val="clear" w:color="auto" w:fill="auto"/>
            <w:noWrap/>
            <w:vAlign w:val="bottom"/>
            <w:hideMark/>
          </w:tcPr>
          <w:p w14:paraId="5403F7CF" w14:textId="77777777" w:rsidR="00D11C26" w:rsidRPr="004868C5" w:rsidRDefault="00D11C26" w:rsidP="004868C5">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bottom"/>
            <w:hideMark/>
          </w:tcPr>
          <w:p w14:paraId="3746B397" w14:textId="77777777" w:rsidR="00D11C26" w:rsidRPr="004868C5" w:rsidRDefault="00D11C26" w:rsidP="004868C5">
            <w:pPr>
              <w:spacing w:after="0" w:line="240" w:lineRule="auto"/>
              <w:jc w:val="center"/>
              <w:rPr>
                <w:rFonts w:ascii="Times New Roman" w:eastAsia="Times New Roman" w:hAnsi="Times New Roman" w:cs="Times New Roman"/>
                <w:sz w:val="18"/>
                <w:szCs w:val="18"/>
              </w:rPr>
            </w:pPr>
          </w:p>
        </w:tc>
        <w:tc>
          <w:tcPr>
            <w:tcW w:w="1134" w:type="dxa"/>
            <w:shd w:val="clear" w:color="auto" w:fill="auto"/>
            <w:noWrap/>
            <w:vAlign w:val="bottom"/>
            <w:hideMark/>
          </w:tcPr>
          <w:p w14:paraId="2E647735" w14:textId="77777777" w:rsidR="00D11C26" w:rsidRPr="004868C5" w:rsidRDefault="00D11C26" w:rsidP="004868C5">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bottom"/>
            <w:hideMark/>
          </w:tcPr>
          <w:p w14:paraId="5F3DED71" w14:textId="77777777" w:rsidR="00D11C26" w:rsidRPr="004868C5" w:rsidRDefault="00D11C26" w:rsidP="004868C5">
            <w:pPr>
              <w:spacing w:after="0" w:line="240" w:lineRule="auto"/>
              <w:jc w:val="center"/>
              <w:rPr>
                <w:rFonts w:ascii="Times New Roman" w:eastAsia="Times New Roman" w:hAnsi="Times New Roman" w:cs="Times New Roman"/>
                <w:sz w:val="18"/>
                <w:szCs w:val="18"/>
              </w:rPr>
            </w:pPr>
          </w:p>
        </w:tc>
        <w:tc>
          <w:tcPr>
            <w:tcW w:w="1134" w:type="dxa"/>
            <w:shd w:val="clear" w:color="auto" w:fill="auto"/>
            <w:noWrap/>
            <w:vAlign w:val="bottom"/>
            <w:hideMark/>
          </w:tcPr>
          <w:p w14:paraId="65CAE2F0" w14:textId="77777777" w:rsidR="00D11C26" w:rsidRPr="004868C5" w:rsidRDefault="00D11C26" w:rsidP="004868C5">
            <w:pPr>
              <w:spacing w:after="0" w:line="240" w:lineRule="auto"/>
              <w:jc w:val="center"/>
              <w:rPr>
                <w:rFonts w:ascii="Times New Roman" w:eastAsia="Times New Roman" w:hAnsi="Times New Roman" w:cs="Times New Roman"/>
                <w:sz w:val="18"/>
                <w:szCs w:val="18"/>
              </w:rPr>
            </w:pPr>
          </w:p>
        </w:tc>
        <w:tc>
          <w:tcPr>
            <w:tcW w:w="907" w:type="dxa"/>
            <w:shd w:val="clear" w:color="auto" w:fill="auto"/>
            <w:noWrap/>
            <w:vAlign w:val="bottom"/>
            <w:hideMark/>
          </w:tcPr>
          <w:p w14:paraId="3370F7B1" w14:textId="77777777" w:rsidR="00D11C26" w:rsidRPr="004868C5" w:rsidRDefault="00D11C26" w:rsidP="004868C5">
            <w:pPr>
              <w:spacing w:after="0" w:line="240" w:lineRule="auto"/>
              <w:jc w:val="center"/>
              <w:rPr>
                <w:rFonts w:ascii="Times New Roman" w:eastAsia="Times New Roman" w:hAnsi="Times New Roman" w:cs="Times New Roman"/>
                <w:sz w:val="18"/>
                <w:szCs w:val="18"/>
              </w:rPr>
            </w:pPr>
          </w:p>
        </w:tc>
        <w:tc>
          <w:tcPr>
            <w:tcW w:w="1247" w:type="dxa"/>
            <w:shd w:val="clear" w:color="auto" w:fill="auto"/>
            <w:noWrap/>
            <w:vAlign w:val="bottom"/>
            <w:hideMark/>
          </w:tcPr>
          <w:p w14:paraId="0FDB075D" w14:textId="77777777" w:rsidR="00D11C26" w:rsidRPr="004868C5" w:rsidRDefault="00D11C26" w:rsidP="004868C5">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bottom"/>
            <w:hideMark/>
          </w:tcPr>
          <w:p w14:paraId="60B627E4" w14:textId="77777777" w:rsidR="00D11C26" w:rsidRPr="004868C5" w:rsidRDefault="00D11C26" w:rsidP="004868C5">
            <w:pPr>
              <w:spacing w:after="0" w:line="240" w:lineRule="auto"/>
              <w:jc w:val="center"/>
              <w:rPr>
                <w:rFonts w:ascii="Times New Roman" w:eastAsia="Times New Roman" w:hAnsi="Times New Roman" w:cs="Times New Roman"/>
                <w:sz w:val="18"/>
                <w:szCs w:val="18"/>
              </w:rPr>
            </w:pPr>
          </w:p>
        </w:tc>
        <w:tc>
          <w:tcPr>
            <w:tcW w:w="1134" w:type="dxa"/>
            <w:shd w:val="clear" w:color="auto" w:fill="auto"/>
            <w:noWrap/>
            <w:vAlign w:val="bottom"/>
            <w:hideMark/>
          </w:tcPr>
          <w:p w14:paraId="47253D01" w14:textId="77777777" w:rsidR="00D11C26" w:rsidRPr="004868C5" w:rsidRDefault="00D11C26" w:rsidP="004868C5">
            <w:pPr>
              <w:spacing w:after="0" w:line="240" w:lineRule="auto"/>
              <w:jc w:val="center"/>
              <w:rPr>
                <w:rFonts w:ascii="Times New Roman" w:eastAsia="Times New Roman" w:hAnsi="Times New Roman" w:cs="Times New Roman"/>
                <w:sz w:val="18"/>
                <w:szCs w:val="18"/>
              </w:rPr>
            </w:pPr>
          </w:p>
        </w:tc>
      </w:tr>
      <w:tr w:rsidR="00613B93" w:rsidRPr="004868C5" w14:paraId="59C5B970" w14:textId="77777777" w:rsidTr="00A719E4">
        <w:trPr>
          <w:trHeight w:val="300"/>
        </w:trPr>
        <w:tc>
          <w:tcPr>
            <w:tcW w:w="1838" w:type="dxa"/>
            <w:shd w:val="clear" w:color="auto" w:fill="auto"/>
            <w:noWrap/>
            <w:vAlign w:val="bottom"/>
            <w:hideMark/>
          </w:tcPr>
          <w:p w14:paraId="3AC2D9AD" w14:textId="77777777" w:rsidR="004868C5" w:rsidRPr="004868C5" w:rsidRDefault="004868C5" w:rsidP="00D11C26">
            <w:pPr>
              <w:spacing w:after="0" w:line="240" w:lineRule="auto"/>
              <w:ind w:firstLineChars="100" w:firstLine="180"/>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Female</w:t>
            </w:r>
          </w:p>
        </w:tc>
        <w:tc>
          <w:tcPr>
            <w:tcW w:w="851" w:type="dxa"/>
            <w:shd w:val="clear" w:color="auto" w:fill="auto"/>
            <w:noWrap/>
            <w:vAlign w:val="bottom"/>
          </w:tcPr>
          <w:p w14:paraId="6025861B" w14:textId="23D1B6AD"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1.05***</w:t>
            </w:r>
          </w:p>
        </w:tc>
        <w:tc>
          <w:tcPr>
            <w:tcW w:w="1134" w:type="dxa"/>
            <w:shd w:val="clear" w:color="auto" w:fill="auto"/>
            <w:noWrap/>
            <w:vAlign w:val="bottom"/>
          </w:tcPr>
          <w:p w14:paraId="1A96A5DC" w14:textId="3F59C734"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[1.03 - 1.07]</w:t>
            </w:r>
          </w:p>
        </w:tc>
        <w:tc>
          <w:tcPr>
            <w:tcW w:w="851" w:type="dxa"/>
            <w:shd w:val="clear" w:color="auto" w:fill="auto"/>
            <w:noWrap/>
            <w:vAlign w:val="bottom"/>
          </w:tcPr>
          <w:p w14:paraId="2065998D" w14:textId="723BE87F"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0.98</w:t>
            </w:r>
          </w:p>
        </w:tc>
        <w:tc>
          <w:tcPr>
            <w:tcW w:w="1134" w:type="dxa"/>
            <w:shd w:val="clear" w:color="auto" w:fill="auto"/>
            <w:noWrap/>
            <w:vAlign w:val="bottom"/>
          </w:tcPr>
          <w:p w14:paraId="74C08BA3" w14:textId="7F53471F"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[0.96 - 1.00]</w:t>
            </w:r>
          </w:p>
        </w:tc>
        <w:tc>
          <w:tcPr>
            <w:tcW w:w="851" w:type="dxa"/>
            <w:shd w:val="clear" w:color="auto" w:fill="auto"/>
            <w:noWrap/>
            <w:vAlign w:val="bottom"/>
          </w:tcPr>
          <w:p w14:paraId="19B9EF1E" w14:textId="38DC5B2F"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0.74***</w:t>
            </w:r>
          </w:p>
        </w:tc>
        <w:tc>
          <w:tcPr>
            <w:tcW w:w="1134" w:type="dxa"/>
            <w:shd w:val="clear" w:color="auto" w:fill="auto"/>
            <w:noWrap/>
            <w:vAlign w:val="bottom"/>
          </w:tcPr>
          <w:p w14:paraId="0D1711F7" w14:textId="78A2FBB4"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[0.71 - 0.77]</w:t>
            </w:r>
          </w:p>
        </w:tc>
        <w:tc>
          <w:tcPr>
            <w:tcW w:w="851" w:type="dxa"/>
            <w:shd w:val="clear" w:color="auto" w:fill="auto"/>
            <w:noWrap/>
            <w:vAlign w:val="bottom"/>
          </w:tcPr>
          <w:p w14:paraId="4918EFD2" w14:textId="1F9F1C3B"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0.85***</w:t>
            </w:r>
          </w:p>
        </w:tc>
        <w:tc>
          <w:tcPr>
            <w:tcW w:w="1134" w:type="dxa"/>
            <w:shd w:val="clear" w:color="auto" w:fill="auto"/>
            <w:noWrap/>
            <w:vAlign w:val="bottom"/>
          </w:tcPr>
          <w:p w14:paraId="5CB522E1" w14:textId="360AD661"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[0.82 - 0.89]</w:t>
            </w:r>
          </w:p>
        </w:tc>
        <w:tc>
          <w:tcPr>
            <w:tcW w:w="907" w:type="dxa"/>
            <w:shd w:val="clear" w:color="auto" w:fill="auto"/>
            <w:noWrap/>
            <w:vAlign w:val="bottom"/>
          </w:tcPr>
          <w:p w14:paraId="2C07F88B" w14:textId="58CF2400"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0.63***</w:t>
            </w:r>
          </w:p>
        </w:tc>
        <w:tc>
          <w:tcPr>
            <w:tcW w:w="1247" w:type="dxa"/>
            <w:shd w:val="clear" w:color="auto" w:fill="auto"/>
            <w:noWrap/>
            <w:vAlign w:val="bottom"/>
          </w:tcPr>
          <w:p w14:paraId="48D6A810" w14:textId="1DA4E8E5"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[0.58 - 0.69]</w:t>
            </w:r>
          </w:p>
        </w:tc>
        <w:tc>
          <w:tcPr>
            <w:tcW w:w="851" w:type="dxa"/>
            <w:shd w:val="clear" w:color="auto" w:fill="auto"/>
            <w:noWrap/>
            <w:vAlign w:val="bottom"/>
          </w:tcPr>
          <w:p w14:paraId="6DFA5729" w14:textId="5A876B50"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0.84***</w:t>
            </w:r>
          </w:p>
        </w:tc>
        <w:tc>
          <w:tcPr>
            <w:tcW w:w="1134" w:type="dxa"/>
            <w:shd w:val="clear" w:color="auto" w:fill="auto"/>
            <w:noWrap/>
            <w:vAlign w:val="bottom"/>
          </w:tcPr>
          <w:p w14:paraId="37EEA892" w14:textId="182CB8E7"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[0.78 - 0.91]</w:t>
            </w:r>
          </w:p>
        </w:tc>
      </w:tr>
      <w:tr w:rsidR="00D11C26" w:rsidRPr="004868C5" w14:paraId="650A4FE7" w14:textId="77777777" w:rsidTr="00A719E4">
        <w:trPr>
          <w:trHeight w:val="300"/>
        </w:trPr>
        <w:tc>
          <w:tcPr>
            <w:tcW w:w="851" w:type="dxa"/>
            <w:gridSpan w:val="2"/>
            <w:shd w:val="clear" w:color="auto" w:fill="auto"/>
            <w:noWrap/>
            <w:vAlign w:val="bottom"/>
            <w:hideMark/>
          </w:tcPr>
          <w:p w14:paraId="1167D3B5" w14:textId="77777777" w:rsidR="004868C5" w:rsidRPr="004868C5" w:rsidRDefault="004868C5" w:rsidP="00D11C26">
            <w:pPr>
              <w:spacing w:after="0" w:line="240" w:lineRule="auto"/>
              <w:rPr>
                <w:rFonts w:ascii="Times New Roman" w:eastAsia="Times New Roman" w:hAnsi="Times New Roman" w:cs="Times New Roman"/>
                <w:i/>
                <w:iCs/>
                <w:color w:val="000000"/>
                <w:sz w:val="18"/>
                <w:szCs w:val="18"/>
              </w:rPr>
            </w:pPr>
            <w:r w:rsidRPr="004868C5">
              <w:rPr>
                <w:rFonts w:ascii="Times New Roman" w:eastAsia="Times New Roman" w:hAnsi="Times New Roman" w:cs="Times New Roman"/>
                <w:i/>
                <w:iCs/>
                <w:color w:val="000000"/>
                <w:sz w:val="18"/>
                <w:szCs w:val="18"/>
              </w:rPr>
              <w:t>Ethnic group (reference = White)</w:t>
            </w:r>
          </w:p>
        </w:tc>
        <w:tc>
          <w:tcPr>
            <w:tcW w:w="1134" w:type="dxa"/>
            <w:shd w:val="clear" w:color="auto" w:fill="auto"/>
            <w:noWrap/>
            <w:vAlign w:val="bottom"/>
            <w:hideMark/>
          </w:tcPr>
          <w:p w14:paraId="57318E4F" w14:textId="77777777" w:rsidR="004868C5" w:rsidRPr="004868C5" w:rsidRDefault="004868C5" w:rsidP="004868C5">
            <w:pPr>
              <w:spacing w:after="0" w:line="240" w:lineRule="auto"/>
              <w:rPr>
                <w:rFonts w:ascii="Times New Roman" w:eastAsia="Times New Roman" w:hAnsi="Times New Roman" w:cs="Times New Roman"/>
                <w:i/>
                <w:iCs/>
                <w:color w:val="000000"/>
                <w:sz w:val="18"/>
                <w:szCs w:val="18"/>
              </w:rPr>
            </w:pPr>
          </w:p>
        </w:tc>
        <w:tc>
          <w:tcPr>
            <w:tcW w:w="851" w:type="dxa"/>
            <w:shd w:val="clear" w:color="auto" w:fill="auto"/>
            <w:noWrap/>
            <w:vAlign w:val="bottom"/>
            <w:hideMark/>
          </w:tcPr>
          <w:p w14:paraId="232D5873" w14:textId="77777777" w:rsidR="004868C5" w:rsidRPr="004868C5" w:rsidRDefault="004868C5" w:rsidP="004868C5">
            <w:pPr>
              <w:spacing w:after="0" w:line="240" w:lineRule="auto"/>
              <w:jc w:val="center"/>
              <w:rPr>
                <w:rFonts w:ascii="Times New Roman" w:eastAsia="Times New Roman" w:hAnsi="Times New Roman" w:cs="Times New Roman"/>
                <w:sz w:val="18"/>
                <w:szCs w:val="18"/>
              </w:rPr>
            </w:pPr>
          </w:p>
        </w:tc>
        <w:tc>
          <w:tcPr>
            <w:tcW w:w="1134" w:type="dxa"/>
            <w:shd w:val="clear" w:color="auto" w:fill="auto"/>
            <w:noWrap/>
            <w:vAlign w:val="bottom"/>
            <w:hideMark/>
          </w:tcPr>
          <w:p w14:paraId="1DA6EEE6" w14:textId="77777777" w:rsidR="004868C5" w:rsidRPr="004868C5" w:rsidRDefault="004868C5" w:rsidP="004868C5">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bottom"/>
            <w:hideMark/>
          </w:tcPr>
          <w:p w14:paraId="2827AD18" w14:textId="77777777" w:rsidR="004868C5" w:rsidRPr="004868C5" w:rsidRDefault="004868C5" w:rsidP="004868C5">
            <w:pPr>
              <w:spacing w:after="0" w:line="240" w:lineRule="auto"/>
              <w:jc w:val="center"/>
              <w:rPr>
                <w:rFonts w:ascii="Times New Roman" w:eastAsia="Times New Roman" w:hAnsi="Times New Roman" w:cs="Times New Roman"/>
                <w:sz w:val="18"/>
                <w:szCs w:val="18"/>
              </w:rPr>
            </w:pPr>
          </w:p>
        </w:tc>
        <w:tc>
          <w:tcPr>
            <w:tcW w:w="1134" w:type="dxa"/>
            <w:shd w:val="clear" w:color="auto" w:fill="auto"/>
            <w:noWrap/>
            <w:vAlign w:val="bottom"/>
            <w:hideMark/>
          </w:tcPr>
          <w:p w14:paraId="15284CC2" w14:textId="77777777" w:rsidR="004868C5" w:rsidRPr="004868C5" w:rsidRDefault="004868C5" w:rsidP="004868C5">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bottom"/>
            <w:hideMark/>
          </w:tcPr>
          <w:p w14:paraId="46157C8D" w14:textId="77777777" w:rsidR="004868C5" w:rsidRPr="004868C5" w:rsidRDefault="004868C5" w:rsidP="004868C5">
            <w:pPr>
              <w:spacing w:after="0" w:line="240" w:lineRule="auto"/>
              <w:jc w:val="center"/>
              <w:rPr>
                <w:rFonts w:ascii="Times New Roman" w:eastAsia="Times New Roman" w:hAnsi="Times New Roman" w:cs="Times New Roman"/>
                <w:sz w:val="18"/>
                <w:szCs w:val="18"/>
              </w:rPr>
            </w:pPr>
          </w:p>
        </w:tc>
        <w:tc>
          <w:tcPr>
            <w:tcW w:w="1134" w:type="dxa"/>
            <w:shd w:val="clear" w:color="auto" w:fill="auto"/>
            <w:noWrap/>
            <w:vAlign w:val="bottom"/>
            <w:hideMark/>
          </w:tcPr>
          <w:p w14:paraId="41581167" w14:textId="77777777" w:rsidR="004868C5" w:rsidRPr="004868C5" w:rsidRDefault="004868C5" w:rsidP="004868C5">
            <w:pPr>
              <w:spacing w:after="0" w:line="240" w:lineRule="auto"/>
              <w:jc w:val="center"/>
              <w:rPr>
                <w:rFonts w:ascii="Times New Roman" w:eastAsia="Times New Roman" w:hAnsi="Times New Roman" w:cs="Times New Roman"/>
                <w:sz w:val="18"/>
                <w:szCs w:val="18"/>
              </w:rPr>
            </w:pPr>
          </w:p>
        </w:tc>
        <w:tc>
          <w:tcPr>
            <w:tcW w:w="907" w:type="dxa"/>
            <w:shd w:val="clear" w:color="auto" w:fill="auto"/>
            <w:noWrap/>
            <w:vAlign w:val="bottom"/>
            <w:hideMark/>
          </w:tcPr>
          <w:p w14:paraId="6AA070A3" w14:textId="77777777" w:rsidR="004868C5" w:rsidRPr="004868C5" w:rsidRDefault="004868C5" w:rsidP="004868C5">
            <w:pPr>
              <w:spacing w:after="0" w:line="240" w:lineRule="auto"/>
              <w:jc w:val="center"/>
              <w:rPr>
                <w:rFonts w:ascii="Times New Roman" w:eastAsia="Times New Roman" w:hAnsi="Times New Roman" w:cs="Times New Roman"/>
                <w:sz w:val="18"/>
                <w:szCs w:val="18"/>
              </w:rPr>
            </w:pPr>
          </w:p>
        </w:tc>
        <w:tc>
          <w:tcPr>
            <w:tcW w:w="1247" w:type="dxa"/>
            <w:shd w:val="clear" w:color="auto" w:fill="auto"/>
            <w:noWrap/>
            <w:vAlign w:val="bottom"/>
            <w:hideMark/>
          </w:tcPr>
          <w:p w14:paraId="280DFD5A" w14:textId="77777777" w:rsidR="004868C5" w:rsidRPr="004868C5" w:rsidRDefault="004868C5" w:rsidP="004868C5">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bottom"/>
            <w:hideMark/>
          </w:tcPr>
          <w:p w14:paraId="3BBD1AE5" w14:textId="77777777" w:rsidR="004868C5" w:rsidRPr="004868C5" w:rsidRDefault="004868C5" w:rsidP="004868C5">
            <w:pPr>
              <w:spacing w:after="0" w:line="240" w:lineRule="auto"/>
              <w:jc w:val="center"/>
              <w:rPr>
                <w:rFonts w:ascii="Times New Roman" w:eastAsia="Times New Roman" w:hAnsi="Times New Roman" w:cs="Times New Roman"/>
                <w:sz w:val="18"/>
                <w:szCs w:val="18"/>
              </w:rPr>
            </w:pPr>
          </w:p>
        </w:tc>
        <w:tc>
          <w:tcPr>
            <w:tcW w:w="1134" w:type="dxa"/>
            <w:shd w:val="clear" w:color="auto" w:fill="auto"/>
            <w:noWrap/>
            <w:vAlign w:val="bottom"/>
            <w:hideMark/>
          </w:tcPr>
          <w:p w14:paraId="60BD9BAE" w14:textId="77777777" w:rsidR="004868C5" w:rsidRPr="004868C5" w:rsidRDefault="004868C5" w:rsidP="004868C5">
            <w:pPr>
              <w:spacing w:after="0" w:line="240" w:lineRule="auto"/>
              <w:jc w:val="center"/>
              <w:rPr>
                <w:rFonts w:ascii="Times New Roman" w:eastAsia="Times New Roman" w:hAnsi="Times New Roman" w:cs="Times New Roman"/>
                <w:sz w:val="18"/>
                <w:szCs w:val="18"/>
              </w:rPr>
            </w:pPr>
          </w:p>
        </w:tc>
      </w:tr>
      <w:tr w:rsidR="00613B93" w:rsidRPr="004868C5" w14:paraId="743AB597" w14:textId="77777777" w:rsidTr="00A719E4">
        <w:trPr>
          <w:trHeight w:val="300"/>
        </w:trPr>
        <w:tc>
          <w:tcPr>
            <w:tcW w:w="1838" w:type="dxa"/>
            <w:shd w:val="clear" w:color="auto" w:fill="auto"/>
            <w:noWrap/>
            <w:vAlign w:val="bottom"/>
            <w:hideMark/>
          </w:tcPr>
          <w:p w14:paraId="57A84E1F" w14:textId="77777777" w:rsidR="004868C5" w:rsidRPr="004868C5" w:rsidRDefault="004868C5" w:rsidP="00D11C26">
            <w:pPr>
              <w:spacing w:after="0" w:line="240" w:lineRule="auto"/>
              <w:ind w:firstLineChars="100" w:firstLine="180"/>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Asian</w:t>
            </w:r>
          </w:p>
        </w:tc>
        <w:tc>
          <w:tcPr>
            <w:tcW w:w="851" w:type="dxa"/>
            <w:shd w:val="clear" w:color="auto" w:fill="auto"/>
            <w:noWrap/>
            <w:vAlign w:val="bottom"/>
          </w:tcPr>
          <w:p w14:paraId="6EC9E91B" w14:textId="50B03BE4"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1.16</w:t>
            </w:r>
          </w:p>
        </w:tc>
        <w:tc>
          <w:tcPr>
            <w:tcW w:w="1134" w:type="dxa"/>
            <w:shd w:val="clear" w:color="auto" w:fill="auto"/>
            <w:noWrap/>
            <w:vAlign w:val="bottom"/>
          </w:tcPr>
          <w:p w14:paraId="53009596" w14:textId="13F6849B"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[0.97 - 1.38]</w:t>
            </w:r>
          </w:p>
        </w:tc>
        <w:tc>
          <w:tcPr>
            <w:tcW w:w="851" w:type="dxa"/>
            <w:shd w:val="clear" w:color="auto" w:fill="auto"/>
            <w:noWrap/>
            <w:vAlign w:val="bottom"/>
          </w:tcPr>
          <w:p w14:paraId="5877812B" w14:textId="7349DB90"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0.79</w:t>
            </w:r>
          </w:p>
        </w:tc>
        <w:tc>
          <w:tcPr>
            <w:tcW w:w="1134" w:type="dxa"/>
            <w:shd w:val="clear" w:color="auto" w:fill="auto"/>
            <w:noWrap/>
            <w:vAlign w:val="bottom"/>
          </w:tcPr>
          <w:p w14:paraId="7BA33B1D" w14:textId="7379186C"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[0.61 - 1.03]</w:t>
            </w:r>
          </w:p>
        </w:tc>
        <w:tc>
          <w:tcPr>
            <w:tcW w:w="851" w:type="dxa"/>
            <w:shd w:val="clear" w:color="auto" w:fill="auto"/>
            <w:noWrap/>
            <w:vAlign w:val="bottom"/>
          </w:tcPr>
          <w:p w14:paraId="401FC856" w14:textId="07AAE3D8"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1.00</w:t>
            </w:r>
          </w:p>
        </w:tc>
        <w:tc>
          <w:tcPr>
            <w:tcW w:w="1134" w:type="dxa"/>
            <w:shd w:val="clear" w:color="auto" w:fill="auto"/>
            <w:noWrap/>
            <w:vAlign w:val="bottom"/>
          </w:tcPr>
          <w:p w14:paraId="1E556E60" w14:textId="41F38BA4"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[0.92 - 1.09]</w:t>
            </w:r>
          </w:p>
        </w:tc>
        <w:tc>
          <w:tcPr>
            <w:tcW w:w="851" w:type="dxa"/>
            <w:shd w:val="clear" w:color="auto" w:fill="auto"/>
            <w:noWrap/>
            <w:vAlign w:val="bottom"/>
          </w:tcPr>
          <w:p w14:paraId="4E781844" w14:textId="3740F8EE"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1.11</w:t>
            </w:r>
          </w:p>
        </w:tc>
        <w:tc>
          <w:tcPr>
            <w:tcW w:w="1134" w:type="dxa"/>
            <w:shd w:val="clear" w:color="auto" w:fill="auto"/>
            <w:noWrap/>
            <w:vAlign w:val="bottom"/>
          </w:tcPr>
          <w:p w14:paraId="7047B5CD" w14:textId="529AA0F2"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[0.96 - 1.28]</w:t>
            </w:r>
          </w:p>
        </w:tc>
        <w:tc>
          <w:tcPr>
            <w:tcW w:w="907" w:type="dxa"/>
            <w:shd w:val="clear" w:color="auto" w:fill="auto"/>
            <w:noWrap/>
            <w:vAlign w:val="bottom"/>
          </w:tcPr>
          <w:p w14:paraId="0A167628" w14:textId="111D3FA1"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0.97</w:t>
            </w:r>
          </w:p>
        </w:tc>
        <w:tc>
          <w:tcPr>
            <w:tcW w:w="1247" w:type="dxa"/>
            <w:shd w:val="clear" w:color="auto" w:fill="auto"/>
            <w:noWrap/>
            <w:vAlign w:val="bottom"/>
          </w:tcPr>
          <w:p w14:paraId="1ABF999A" w14:textId="2A1EC38E"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[0.80 - 1.17]</w:t>
            </w:r>
          </w:p>
        </w:tc>
        <w:tc>
          <w:tcPr>
            <w:tcW w:w="851" w:type="dxa"/>
            <w:shd w:val="clear" w:color="auto" w:fill="auto"/>
            <w:noWrap/>
            <w:vAlign w:val="bottom"/>
          </w:tcPr>
          <w:p w14:paraId="43745DD8" w14:textId="7940DDAC"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0.87</w:t>
            </w:r>
          </w:p>
        </w:tc>
        <w:tc>
          <w:tcPr>
            <w:tcW w:w="1134" w:type="dxa"/>
            <w:shd w:val="clear" w:color="auto" w:fill="auto"/>
            <w:noWrap/>
            <w:vAlign w:val="bottom"/>
          </w:tcPr>
          <w:p w14:paraId="62410A72" w14:textId="48850D70"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[0.72 - 1.04]</w:t>
            </w:r>
          </w:p>
        </w:tc>
      </w:tr>
      <w:tr w:rsidR="00613B93" w:rsidRPr="004868C5" w14:paraId="3A0AA358" w14:textId="77777777" w:rsidTr="00A719E4">
        <w:trPr>
          <w:trHeight w:val="300"/>
        </w:trPr>
        <w:tc>
          <w:tcPr>
            <w:tcW w:w="1838" w:type="dxa"/>
            <w:shd w:val="clear" w:color="auto" w:fill="auto"/>
            <w:noWrap/>
            <w:vAlign w:val="bottom"/>
            <w:hideMark/>
          </w:tcPr>
          <w:p w14:paraId="0B555D91" w14:textId="77777777" w:rsidR="004868C5" w:rsidRPr="004868C5" w:rsidRDefault="004868C5" w:rsidP="00D11C26">
            <w:pPr>
              <w:spacing w:after="0" w:line="240" w:lineRule="auto"/>
              <w:ind w:firstLineChars="100" w:firstLine="180"/>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Black</w:t>
            </w:r>
          </w:p>
        </w:tc>
        <w:tc>
          <w:tcPr>
            <w:tcW w:w="851" w:type="dxa"/>
            <w:shd w:val="clear" w:color="auto" w:fill="auto"/>
            <w:noWrap/>
            <w:vAlign w:val="bottom"/>
          </w:tcPr>
          <w:p w14:paraId="64F332F4" w14:textId="33616891"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1.14*</w:t>
            </w:r>
          </w:p>
        </w:tc>
        <w:tc>
          <w:tcPr>
            <w:tcW w:w="1134" w:type="dxa"/>
            <w:shd w:val="clear" w:color="auto" w:fill="auto"/>
            <w:noWrap/>
            <w:vAlign w:val="bottom"/>
          </w:tcPr>
          <w:p w14:paraId="60F6AC15" w14:textId="3AF54536"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[1.02 - 1.27]</w:t>
            </w:r>
          </w:p>
        </w:tc>
        <w:tc>
          <w:tcPr>
            <w:tcW w:w="851" w:type="dxa"/>
            <w:shd w:val="clear" w:color="auto" w:fill="auto"/>
            <w:noWrap/>
            <w:vAlign w:val="bottom"/>
          </w:tcPr>
          <w:p w14:paraId="72347B9D" w14:textId="6E6D0DD8"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0.76**</w:t>
            </w:r>
          </w:p>
        </w:tc>
        <w:tc>
          <w:tcPr>
            <w:tcW w:w="1134" w:type="dxa"/>
            <w:shd w:val="clear" w:color="auto" w:fill="auto"/>
            <w:noWrap/>
            <w:vAlign w:val="bottom"/>
          </w:tcPr>
          <w:p w14:paraId="62773C01" w14:textId="68B90084"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[0.63 - 0.92]</w:t>
            </w:r>
          </w:p>
        </w:tc>
        <w:tc>
          <w:tcPr>
            <w:tcW w:w="851" w:type="dxa"/>
            <w:shd w:val="clear" w:color="auto" w:fill="auto"/>
            <w:noWrap/>
            <w:vAlign w:val="bottom"/>
          </w:tcPr>
          <w:p w14:paraId="1345E9E1" w14:textId="1C55BB45"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0.88*</w:t>
            </w:r>
          </w:p>
        </w:tc>
        <w:tc>
          <w:tcPr>
            <w:tcW w:w="1134" w:type="dxa"/>
            <w:shd w:val="clear" w:color="auto" w:fill="auto"/>
            <w:noWrap/>
            <w:vAlign w:val="bottom"/>
          </w:tcPr>
          <w:p w14:paraId="7C2A0559" w14:textId="1FFE0E73"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[0.78 - 0.99]</w:t>
            </w:r>
          </w:p>
        </w:tc>
        <w:tc>
          <w:tcPr>
            <w:tcW w:w="851" w:type="dxa"/>
            <w:shd w:val="clear" w:color="auto" w:fill="auto"/>
            <w:noWrap/>
            <w:vAlign w:val="bottom"/>
          </w:tcPr>
          <w:p w14:paraId="731C1267" w14:textId="707D1715"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0.99</w:t>
            </w:r>
          </w:p>
        </w:tc>
        <w:tc>
          <w:tcPr>
            <w:tcW w:w="1134" w:type="dxa"/>
            <w:shd w:val="clear" w:color="auto" w:fill="auto"/>
            <w:noWrap/>
            <w:vAlign w:val="bottom"/>
          </w:tcPr>
          <w:p w14:paraId="16FAE8FD" w14:textId="09EB8182"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[0.87 - 1.13]</w:t>
            </w:r>
          </w:p>
        </w:tc>
        <w:tc>
          <w:tcPr>
            <w:tcW w:w="907" w:type="dxa"/>
            <w:shd w:val="clear" w:color="auto" w:fill="auto"/>
            <w:noWrap/>
            <w:vAlign w:val="bottom"/>
          </w:tcPr>
          <w:p w14:paraId="32C8F738" w14:textId="2AD41BE3"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0.88</w:t>
            </w:r>
          </w:p>
        </w:tc>
        <w:tc>
          <w:tcPr>
            <w:tcW w:w="1247" w:type="dxa"/>
            <w:shd w:val="clear" w:color="auto" w:fill="auto"/>
            <w:noWrap/>
            <w:vAlign w:val="bottom"/>
          </w:tcPr>
          <w:p w14:paraId="62C0F9DB" w14:textId="263EAE21"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[0.73 - 1.06]</w:t>
            </w:r>
          </w:p>
        </w:tc>
        <w:tc>
          <w:tcPr>
            <w:tcW w:w="851" w:type="dxa"/>
            <w:shd w:val="clear" w:color="auto" w:fill="auto"/>
            <w:noWrap/>
            <w:vAlign w:val="bottom"/>
          </w:tcPr>
          <w:p w14:paraId="203E3096" w14:textId="4DAAF996"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0.77**</w:t>
            </w:r>
          </w:p>
        </w:tc>
        <w:tc>
          <w:tcPr>
            <w:tcW w:w="1134" w:type="dxa"/>
            <w:shd w:val="clear" w:color="auto" w:fill="auto"/>
            <w:noWrap/>
            <w:vAlign w:val="bottom"/>
          </w:tcPr>
          <w:p w14:paraId="0CDA9ECC" w14:textId="3335C1EA"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[0.63 - 0.93]</w:t>
            </w:r>
          </w:p>
        </w:tc>
      </w:tr>
      <w:tr w:rsidR="00613B93" w:rsidRPr="004868C5" w14:paraId="21A02277" w14:textId="77777777" w:rsidTr="00A719E4">
        <w:trPr>
          <w:trHeight w:val="300"/>
        </w:trPr>
        <w:tc>
          <w:tcPr>
            <w:tcW w:w="1838" w:type="dxa"/>
            <w:shd w:val="clear" w:color="auto" w:fill="auto"/>
            <w:noWrap/>
            <w:vAlign w:val="bottom"/>
            <w:hideMark/>
          </w:tcPr>
          <w:p w14:paraId="45293964" w14:textId="77777777" w:rsidR="004868C5" w:rsidRPr="004868C5" w:rsidRDefault="004868C5" w:rsidP="00D11C26">
            <w:pPr>
              <w:spacing w:after="0" w:line="240" w:lineRule="auto"/>
              <w:ind w:firstLineChars="100" w:firstLine="180"/>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Mixed</w:t>
            </w:r>
          </w:p>
        </w:tc>
        <w:tc>
          <w:tcPr>
            <w:tcW w:w="851" w:type="dxa"/>
            <w:shd w:val="clear" w:color="auto" w:fill="auto"/>
            <w:noWrap/>
            <w:vAlign w:val="bottom"/>
          </w:tcPr>
          <w:p w14:paraId="598B83AC" w14:textId="305D005B"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1.09</w:t>
            </w:r>
          </w:p>
        </w:tc>
        <w:tc>
          <w:tcPr>
            <w:tcW w:w="1134" w:type="dxa"/>
            <w:shd w:val="clear" w:color="auto" w:fill="auto"/>
            <w:noWrap/>
            <w:vAlign w:val="bottom"/>
          </w:tcPr>
          <w:p w14:paraId="58474F39" w14:textId="7AE36E6F"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[0.99 - 1.21]</w:t>
            </w:r>
          </w:p>
        </w:tc>
        <w:tc>
          <w:tcPr>
            <w:tcW w:w="851" w:type="dxa"/>
            <w:shd w:val="clear" w:color="auto" w:fill="auto"/>
            <w:noWrap/>
            <w:vAlign w:val="bottom"/>
          </w:tcPr>
          <w:p w14:paraId="42B73392" w14:textId="02108E31"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0.83*</w:t>
            </w:r>
          </w:p>
        </w:tc>
        <w:tc>
          <w:tcPr>
            <w:tcW w:w="1134" w:type="dxa"/>
            <w:shd w:val="clear" w:color="auto" w:fill="auto"/>
            <w:noWrap/>
            <w:vAlign w:val="bottom"/>
          </w:tcPr>
          <w:p w14:paraId="0942372B" w14:textId="502B96A3"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[0.70 - 0.98]</w:t>
            </w:r>
          </w:p>
        </w:tc>
        <w:tc>
          <w:tcPr>
            <w:tcW w:w="851" w:type="dxa"/>
            <w:shd w:val="clear" w:color="auto" w:fill="auto"/>
            <w:noWrap/>
            <w:vAlign w:val="bottom"/>
          </w:tcPr>
          <w:p w14:paraId="4C4B18E7" w14:textId="333EC4D5"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0.86</w:t>
            </w:r>
          </w:p>
        </w:tc>
        <w:tc>
          <w:tcPr>
            <w:tcW w:w="1134" w:type="dxa"/>
            <w:shd w:val="clear" w:color="auto" w:fill="auto"/>
            <w:noWrap/>
            <w:vAlign w:val="bottom"/>
          </w:tcPr>
          <w:p w14:paraId="78073D2B" w14:textId="0A11F327"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[0.66 - 1.13]</w:t>
            </w:r>
          </w:p>
        </w:tc>
        <w:tc>
          <w:tcPr>
            <w:tcW w:w="851" w:type="dxa"/>
            <w:shd w:val="clear" w:color="auto" w:fill="auto"/>
            <w:noWrap/>
            <w:vAlign w:val="bottom"/>
          </w:tcPr>
          <w:p w14:paraId="48C28000" w14:textId="6DA9D57D"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0.88</w:t>
            </w:r>
          </w:p>
        </w:tc>
        <w:tc>
          <w:tcPr>
            <w:tcW w:w="1134" w:type="dxa"/>
            <w:shd w:val="clear" w:color="auto" w:fill="auto"/>
            <w:noWrap/>
            <w:vAlign w:val="bottom"/>
          </w:tcPr>
          <w:p w14:paraId="68B550B2" w14:textId="277010B3"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[0.71 - 1.08]</w:t>
            </w:r>
          </w:p>
        </w:tc>
        <w:tc>
          <w:tcPr>
            <w:tcW w:w="907" w:type="dxa"/>
            <w:shd w:val="clear" w:color="auto" w:fill="auto"/>
            <w:noWrap/>
            <w:vAlign w:val="bottom"/>
          </w:tcPr>
          <w:p w14:paraId="0EE5AE8F" w14:textId="113D7946"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0.68</w:t>
            </w:r>
          </w:p>
        </w:tc>
        <w:tc>
          <w:tcPr>
            <w:tcW w:w="1247" w:type="dxa"/>
            <w:shd w:val="clear" w:color="auto" w:fill="auto"/>
            <w:noWrap/>
            <w:vAlign w:val="bottom"/>
          </w:tcPr>
          <w:p w14:paraId="1C665B06" w14:textId="7E622886"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[0.41 - 1.12]</w:t>
            </w:r>
          </w:p>
        </w:tc>
        <w:tc>
          <w:tcPr>
            <w:tcW w:w="851" w:type="dxa"/>
            <w:shd w:val="clear" w:color="auto" w:fill="auto"/>
            <w:noWrap/>
            <w:vAlign w:val="bottom"/>
          </w:tcPr>
          <w:p w14:paraId="1DBEBC10" w14:textId="16B9A26E"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0.55**</w:t>
            </w:r>
          </w:p>
        </w:tc>
        <w:tc>
          <w:tcPr>
            <w:tcW w:w="1134" w:type="dxa"/>
            <w:shd w:val="clear" w:color="auto" w:fill="auto"/>
            <w:noWrap/>
            <w:vAlign w:val="bottom"/>
          </w:tcPr>
          <w:p w14:paraId="39418535" w14:textId="6A991247"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[0.38 - 0.80]</w:t>
            </w:r>
          </w:p>
        </w:tc>
      </w:tr>
      <w:tr w:rsidR="00613B93" w:rsidRPr="004868C5" w14:paraId="6838E0A2" w14:textId="77777777" w:rsidTr="00A719E4">
        <w:trPr>
          <w:trHeight w:val="300"/>
        </w:trPr>
        <w:tc>
          <w:tcPr>
            <w:tcW w:w="1838" w:type="dxa"/>
            <w:shd w:val="clear" w:color="auto" w:fill="auto"/>
            <w:noWrap/>
            <w:vAlign w:val="bottom"/>
            <w:hideMark/>
          </w:tcPr>
          <w:p w14:paraId="1756EB67" w14:textId="77777777" w:rsidR="004868C5" w:rsidRPr="004868C5" w:rsidRDefault="004868C5" w:rsidP="00D11C26">
            <w:pPr>
              <w:spacing w:after="0" w:line="240" w:lineRule="auto"/>
              <w:ind w:left="175" w:firstLineChars="2" w:firstLine="4"/>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Other or Not stated</w:t>
            </w:r>
          </w:p>
        </w:tc>
        <w:tc>
          <w:tcPr>
            <w:tcW w:w="851" w:type="dxa"/>
            <w:shd w:val="clear" w:color="auto" w:fill="auto"/>
            <w:noWrap/>
            <w:vAlign w:val="bottom"/>
          </w:tcPr>
          <w:p w14:paraId="7C917C6C" w14:textId="0D5F101A"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1.02</w:t>
            </w:r>
          </w:p>
        </w:tc>
        <w:tc>
          <w:tcPr>
            <w:tcW w:w="1134" w:type="dxa"/>
            <w:shd w:val="clear" w:color="auto" w:fill="auto"/>
            <w:noWrap/>
            <w:vAlign w:val="bottom"/>
          </w:tcPr>
          <w:p w14:paraId="745F294D" w14:textId="12F974EA"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[0.96 - 1.09]</w:t>
            </w:r>
          </w:p>
        </w:tc>
        <w:tc>
          <w:tcPr>
            <w:tcW w:w="851" w:type="dxa"/>
            <w:shd w:val="clear" w:color="auto" w:fill="auto"/>
            <w:noWrap/>
            <w:vAlign w:val="bottom"/>
          </w:tcPr>
          <w:p w14:paraId="01C068BC" w14:textId="0706E2B8"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0.72***</w:t>
            </w:r>
          </w:p>
        </w:tc>
        <w:tc>
          <w:tcPr>
            <w:tcW w:w="1134" w:type="dxa"/>
            <w:shd w:val="clear" w:color="auto" w:fill="auto"/>
            <w:noWrap/>
            <w:vAlign w:val="bottom"/>
          </w:tcPr>
          <w:p w14:paraId="4D7EAE37" w14:textId="2E3458AE"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[0.61 - 0.86]</w:t>
            </w:r>
          </w:p>
        </w:tc>
        <w:tc>
          <w:tcPr>
            <w:tcW w:w="851" w:type="dxa"/>
            <w:shd w:val="clear" w:color="auto" w:fill="auto"/>
            <w:noWrap/>
            <w:vAlign w:val="bottom"/>
          </w:tcPr>
          <w:p w14:paraId="0FEE5D7C" w14:textId="293AC8A7"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0.94</w:t>
            </w:r>
          </w:p>
        </w:tc>
        <w:tc>
          <w:tcPr>
            <w:tcW w:w="1134" w:type="dxa"/>
            <w:shd w:val="clear" w:color="auto" w:fill="auto"/>
            <w:noWrap/>
            <w:vAlign w:val="bottom"/>
          </w:tcPr>
          <w:p w14:paraId="46851EEF" w14:textId="4F308669"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[0.87 - 1.02]</w:t>
            </w:r>
          </w:p>
        </w:tc>
        <w:tc>
          <w:tcPr>
            <w:tcW w:w="851" w:type="dxa"/>
            <w:shd w:val="clear" w:color="auto" w:fill="auto"/>
            <w:noWrap/>
            <w:vAlign w:val="bottom"/>
          </w:tcPr>
          <w:p w14:paraId="7C009C33" w14:textId="13A13886"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0.93</w:t>
            </w:r>
          </w:p>
        </w:tc>
        <w:tc>
          <w:tcPr>
            <w:tcW w:w="1134" w:type="dxa"/>
            <w:shd w:val="clear" w:color="auto" w:fill="auto"/>
            <w:noWrap/>
            <w:vAlign w:val="bottom"/>
          </w:tcPr>
          <w:p w14:paraId="3E754784" w14:textId="2B022002"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[0.84 - 1.02]</w:t>
            </w:r>
          </w:p>
        </w:tc>
        <w:tc>
          <w:tcPr>
            <w:tcW w:w="907" w:type="dxa"/>
            <w:shd w:val="clear" w:color="auto" w:fill="auto"/>
            <w:noWrap/>
            <w:vAlign w:val="bottom"/>
          </w:tcPr>
          <w:p w14:paraId="34455783" w14:textId="0B92B077"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0.77**</w:t>
            </w:r>
          </w:p>
        </w:tc>
        <w:tc>
          <w:tcPr>
            <w:tcW w:w="1247" w:type="dxa"/>
            <w:shd w:val="clear" w:color="auto" w:fill="auto"/>
            <w:noWrap/>
            <w:vAlign w:val="bottom"/>
          </w:tcPr>
          <w:p w14:paraId="633B1E25" w14:textId="15888080"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[0.65 - 0.92]</w:t>
            </w:r>
          </w:p>
        </w:tc>
        <w:tc>
          <w:tcPr>
            <w:tcW w:w="851" w:type="dxa"/>
            <w:shd w:val="clear" w:color="auto" w:fill="auto"/>
            <w:noWrap/>
            <w:vAlign w:val="bottom"/>
          </w:tcPr>
          <w:p w14:paraId="6E005E4F" w14:textId="30B67BFA"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0.77**</w:t>
            </w:r>
          </w:p>
        </w:tc>
        <w:tc>
          <w:tcPr>
            <w:tcW w:w="1134" w:type="dxa"/>
            <w:shd w:val="clear" w:color="auto" w:fill="auto"/>
            <w:noWrap/>
            <w:vAlign w:val="bottom"/>
          </w:tcPr>
          <w:p w14:paraId="1F2EF9FB" w14:textId="63BEF89D"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[0.65 - 0.90]</w:t>
            </w:r>
          </w:p>
        </w:tc>
      </w:tr>
      <w:tr w:rsidR="00613B93" w:rsidRPr="004868C5" w14:paraId="2B2A5EF6" w14:textId="77777777" w:rsidTr="00A719E4">
        <w:trPr>
          <w:trHeight w:val="300"/>
        </w:trPr>
        <w:tc>
          <w:tcPr>
            <w:tcW w:w="1838" w:type="dxa"/>
            <w:shd w:val="clear" w:color="auto" w:fill="auto"/>
            <w:noWrap/>
            <w:vAlign w:val="bottom"/>
            <w:hideMark/>
          </w:tcPr>
          <w:p w14:paraId="690E8782" w14:textId="77777777" w:rsidR="004868C5" w:rsidRPr="004868C5" w:rsidRDefault="004868C5" w:rsidP="00D11C26">
            <w:pPr>
              <w:spacing w:after="0" w:line="240" w:lineRule="auto"/>
              <w:ind w:firstLineChars="100" w:firstLine="180"/>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Missing</w:t>
            </w:r>
          </w:p>
        </w:tc>
        <w:tc>
          <w:tcPr>
            <w:tcW w:w="851" w:type="dxa"/>
            <w:shd w:val="clear" w:color="auto" w:fill="auto"/>
            <w:noWrap/>
            <w:vAlign w:val="bottom"/>
          </w:tcPr>
          <w:p w14:paraId="6D716C34" w14:textId="30549439"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0.98</w:t>
            </w:r>
          </w:p>
        </w:tc>
        <w:tc>
          <w:tcPr>
            <w:tcW w:w="1134" w:type="dxa"/>
            <w:shd w:val="clear" w:color="auto" w:fill="auto"/>
            <w:noWrap/>
            <w:vAlign w:val="bottom"/>
          </w:tcPr>
          <w:p w14:paraId="3350E8E6" w14:textId="37C72BD8"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[0.93 - 1.03]</w:t>
            </w:r>
          </w:p>
        </w:tc>
        <w:tc>
          <w:tcPr>
            <w:tcW w:w="851" w:type="dxa"/>
            <w:shd w:val="clear" w:color="auto" w:fill="auto"/>
            <w:noWrap/>
            <w:vAlign w:val="bottom"/>
          </w:tcPr>
          <w:p w14:paraId="42038982" w14:textId="6EE9CED7"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0.91*</w:t>
            </w:r>
          </w:p>
        </w:tc>
        <w:tc>
          <w:tcPr>
            <w:tcW w:w="1134" w:type="dxa"/>
            <w:shd w:val="clear" w:color="auto" w:fill="auto"/>
            <w:noWrap/>
            <w:vAlign w:val="bottom"/>
          </w:tcPr>
          <w:p w14:paraId="1CBF24C8" w14:textId="1AB0F1FD"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[0.85 - 0.98]</w:t>
            </w:r>
          </w:p>
        </w:tc>
        <w:tc>
          <w:tcPr>
            <w:tcW w:w="851" w:type="dxa"/>
            <w:shd w:val="clear" w:color="auto" w:fill="auto"/>
            <w:noWrap/>
            <w:vAlign w:val="bottom"/>
          </w:tcPr>
          <w:p w14:paraId="6BF2DD5A" w14:textId="11402F56"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0.90***</w:t>
            </w:r>
          </w:p>
        </w:tc>
        <w:tc>
          <w:tcPr>
            <w:tcW w:w="1134" w:type="dxa"/>
            <w:shd w:val="clear" w:color="auto" w:fill="auto"/>
            <w:noWrap/>
            <w:vAlign w:val="bottom"/>
          </w:tcPr>
          <w:p w14:paraId="5F22B796" w14:textId="6664A119"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[0.85 - 0.96]</w:t>
            </w:r>
          </w:p>
        </w:tc>
        <w:tc>
          <w:tcPr>
            <w:tcW w:w="851" w:type="dxa"/>
            <w:shd w:val="clear" w:color="auto" w:fill="auto"/>
            <w:noWrap/>
            <w:vAlign w:val="bottom"/>
          </w:tcPr>
          <w:p w14:paraId="51E9D2ED" w14:textId="3D853863"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0.83***</w:t>
            </w:r>
          </w:p>
        </w:tc>
        <w:tc>
          <w:tcPr>
            <w:tcW w:w="1134" w:type="dxa"/>
            <w:shd w:val="clear" w:color="auto" w:fill="auto"/>
            <w:noWrap/>
            <w:vAlign w:val="bottom"/>
          </w:tcPr>
          <w:p w14:paraId="124DBB59" w14:textId="3AD114EB"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[0.79 - 0.88]</w:t>
            </w:r>
          </w:p>
        </w:tc>
        <w:tc>
          <w:tcPr>
            <w:tcW w:w="907" w:type="dxa"/>
            <w:shd w:val="clear" w:color="auto" w:fill="auto"/>
            <w:noWrap/>
            <w:vAlign w:val="bottom"/>
          </w:tcPr>
          <w:p w14:paraId="4B18F25D" w14:textId="021C44E1"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0.85**</w:t>
            </w:r>
          </w:p>
        </w:tc>
        <w:tc>
          <w:tcPr>
            <w:tcW w:w="1247" w:type="dxa"/>
            <w:shd w:val="clear" w:color="auto" w:fill="auto"/>
            <w:noWrap/>
            <w:vAlign w:val="bottom"/>
          </w:tcPr>
          <w:p w14:paraId="1716B9FF" w14:textId="118B267C"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[0.77 - 0.95]</w:t>
            </w:r>
          </w:p>
        </w:tc>
        <w:tc>
          <w:tcPr>
            <w:tcW w:w="851" w:type="dxa"/>
            <w:shd w:val="clear" w:color="auto" w:fill="auto"/>
            <w:noWrap/>
            <w:vAlign w:val="bottom"/>
          </w:tcPr>
          <w:p w14:paraId="5DEA27CD" w14:textId="2250261D"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0.89**</w:t>
            </w:r>
          </w:p>
        </w:tc>
        <w:tc>
          <w:tcPr>
            <w:tcW w:w="1134" w:type="dxa"/>
            <w:shd w:val="clear" w:color="auto" w:fill="auto"/>
            <w:noWrap/>
            <w:vAlign w:val="bottom"/>
          </w:tcPr>
          <w:p w14:paraId="7B05DE34" w14:textId="77D2E074"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[0.81 - 0.97]</w:t>
            </w:r>
          </w:p>
        </w:tc>
      </w:tr>
      <w:tr w:rsidR="00613B93" w:rsidRPr="004868C5" w14:paraId="07521211" w14:textId="77777777" w:rsidTr="00A719E4">
        <w:trPr>
          <w:trHeight w:val="300"/>
        </w:trPr>
        <w:tc>
          <w:tcPr>
            <w:tcW w:w="1134" w:type="dxa"/>
            <w:gridSpan w:val="4"/>
            <w:shd w:val="clear" w:color="auto" w:fill="auto"/>
            <w:noWrap/>
            <w:vAlign w:val="bottom"/>
            <w:hideMark/>
          </w:tcPr>
          <w:p w14:paraId="7D46C9E3" w14:textId="2BA8C474" w:rsidR="00D11C26" w:rsidRPr="004868C5" w:rsidRDefault="00D11C26" w:rsidP="00D11C26">
            <w:pPr>
              <w:spacing w:after="0" w:line="240" w:lineRule="auto"/>
              <w:rPr>
                <w:rFonts w:ascii="Times New Roman" w:eastAsia="Times New Roman" w:hAnsi="Times New Roman" w:cs="Times New Roman"/>
                <w:sz w:val="18"/>
                <w:szCs w:val="18"/>
              </w:rPr>
            </w:pPr>
            <w:r w:rsidRPr="004868C5">
              <w:rPr>
                <w:rFonts w:ascii="Times New Roman" w:eastAsia="Times New Roman" w:hAnsi="Times New Roman" w:cs="Times New Roman"/>
                <w:i/>
                <w:iCs/>
                <w:color w:val="000000"/>
                <w:sz w:val="18"/>
                <w:szCs w:val="18"/>
              </w:rPr>
              <w:t>IMD categories (reference = 1</w:t>
            </w:r>
            <w:r w:rsidRPr="004868C5">
              <w:rPr>
                <w:rFonts w:ascii="Times New Roman" w:eastAsia="Times New Roman" w:hAnsi="Times New Roman" w:cs="Times New Roman"/>
                <w:i/>
                <w:iCs/>
                <w:color w:val="000000"/>
                <w:sz w:val="18"/>
                <w:szCs w:val="18"/>
                <w:vertAlign w:val="superscript"/>
              </w:rPr>
              <w:t>st</w:t>
            </w:r>
            <w:r w:rsidRPr="004868C5">
              <w:rPr>
                <w:rFonts w:ascii="Times New Roman" w:eastAsia="Times New Roman" w:hAnsi="Times New Roman" w:cs="Times New Roman"/>
                <w:i/>
                <w:iCs/>
                <w:color w:val="000000"/>
                <w:sz w:val="18"/>
                <w:szCs w:val="18"/>
              </w:rPr>
              <w:t xml:space="preserve"> category)</w:t>
            </w:r>
          </w:p>
        </w:tc>
        <w:tc>
          <w:tcPr>
            <w:tcW w:w="1134" w:type="dxa"/>
            <w:shd w:val="clear" w:color="auto" w:fill="auto"/>
            <w:noWrap/>
            <w:vAlign w:val="bottom"/>
            <w:hideMark/>
          </w:tcPr>
          <w:p w14:paraId="1FBC0433" w14:textId="77777777" w:rsidR="00D11C26" w:rsidRPr="004868C5" w:rsidRDefault="00D11C26" w:rsidP="004868C5">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bottom"/>
            <w:hideMark/>
          </w:tcPr>
          <w:p w14:paraId="0AF9E063" w14:textId="77777777" w:rsidR="00D11C26" w:rsidRPr="004868C5" w:rsidRDefault="00D11C26" w:rsidP="004868C5">
            <w:pPr>
              <w:spacing w:after="0" w:line="240" w:lineRule="auto"/>
              <w:jc w:val="center"/>
              <w:rPr>
                <w:rFonts w:ascii="Times New Roman" w:eastAsia="Times New Roman" w:hAnsi="Times New Roman" w:cs="Times New Roman"/>
                <w:sz w:val="18"/>
                <w:szCs w:val="18"/>
              </w:rPr>
            </w:pPr>
          </w:p>
        </w:tc>
        <w:tc>
          <w:tcPr>
            <w:tcW w:w="1134" w:type="dxa"/>
            <w:shd w:val="clear" w:color="auto" w:fill="auto"/>
            <w:noWrap/>
            <w:vAlign w:val="bottom"/>
            <w:hideMark/>
          </w:tcPr>
          <w:p w14:paraId="2F21F0DC" w14:textId="77777777" w:rsidR="00D11C26" w:rsidRPr="004868C5" w:rsidRDefault="00D11C26" w:rsidP="004868C5">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bottom"/>
            <w:hideMark/>
          </w:tcPr>
          <w:p w14:paraId="4421F8EB" w14:textId="77777777" w:rsidR="00D11C26" w:rsidRPr="004868C5" w:rsidRDefault="00D11C26" w:rsidP="004868C5">
            <w:pPr>
              <w:spacing w:after="0" w:line="240" w:lineRule="auto"/>
              <w:jc w:val="center"/>
              <w:rPr>
                <w:rFonts w:ascii="Times New Roman" w:eastAsia="Times New Roman" w:hAnsi="Times New Roman" w:cs="Times New Roman"/>
                <w:sz w:val="18"/>
                <w:szCs w:val="18"/>
              </w:rPr>
            </w:pPr>
          </w:p>
        </w:tc>
        <w:tc>
          <w:tcPr>
            <w:tcW w:w="1134" w:type="dxa"/>
            <w:shd w:val="clear" w:color="auto" w:fill="auto"/>
            <w:noWrap/>
            <w:vAlign w:val="bottom"/>
            <w:hideMark/>
          </w:tcPr>
          <w:p w14:paraId="665736C5" w14:textId="77777777" w:rsidR="00D11C26" w:rsidRPr="004868C5" w:rsidRDefault="00D11C26" w:rsidP="004868C5">
            <w:pPr>
              <w:spacing w:after="0" w:line="240" w:lineRule="auto"/>
              <w:jc w:val="center"/>
              <w:rPr>
                <w:rFonts w:ascii="Times New Roman" w:eastAsia="Times New Roman" w:hAnsi="Times New Roman" w:cs="Times New Roman"/>
                <w:sz w:val="18"/>
                <w:szCs w:val="18"/>
              </w:rPr>
            </w:pPr>
          </w:p>
        </w:tc>
        <w:tc>
          <w:tcPr>
            <w:tcW w:w="907" w:type="dxa"/>
            <w:shd w:val="clear" w:color="auto" w:fill="auto"/>
            <w:noWrap/>
            <w:vAlign w:val="bottom"/>
            <w:hideMark/>
          </w:tcPr>
          <w:p w14:paraId="3ADD16E2" w14:textId="77777777" w:rsidR="00D11C26" w:rsidRPr="004868C5" w:rsidRDefault="00D11C26" w:rsidP="004868C5">
            <w:pPr>
              <w:spacing w:after="0" w:line="240" w:lineRule="auto"/>
              <w:jc w:val="center"/>
              <w:rPr>
                <w:rFonts w:ascii="Times New Roman" w:eastAsia="Times New Roman" w:hAnsi="Times New Roman" w:cs="Times New Roman"/>
                <w:sz w:val="18"/>
                <w:szCs w:val="18"/>
              </w:rPr>
            </w:pPr>
          </w:p>
        </w:tc>
        <w:tc>
          <w:tcPr>
            <w:tcW w:w="1247" w:type="dxa"/>
            <w:shd w:val="clear" w:color="auto" w:fill="auto"/>
            <w:noWrap/>
            <w:vAlign w:val="bottom"/>
            <w:hideMark/>
          </w:tcPr>
          <w:p w14:paraId="4EC3A47B" w14:textId="77777777" w:rsidR="00D11C26" w:rsidRPr="004868C5" w:rsidRDefault="00D11C26" w:rsidP="004868C5">
            <w:pPr>
              <w:spacing w:after="0" w:line="240" w:lineRule="auto"/>
              <w:jc w:val="center"/>
              <w:rPr>
                <w:rFonts w:ascii="Times New Roman" w:eastAsia="Times New Roman" w:hAnsi="Times New Roman" w:cs="Times New Roman"/>
                <w:sz w:val="18"/>
                <w:szCs w:val="18"/>
              </w:rPr>
            </w:pPr>
          </w:p>
        </w:tc>
        <w:tc>
          <w:tcPr>
            <w:tcW w:w="851" w:type="dxa"/>
            <w:shd w:val="clear" w:color="auto" w:fill="auto"/>
            <w:noWrap/>
            <w:vAlign w:val="bottom"/>
            <w:hideMark/>
          </w:tcPr>
          <w:p w14:paraId="4289EE5B" w14:textId="77777777" w:rsidR="00D11C26" w:rsidRPr="004868C5" w:rsidRDefault="00D11C26" w:rsidP="004868C5">
            <w:pPr>
              <w:spacing w:after="0" w:line="240" w:lineRule="auto"/>
              <w:jc w:val="center"/>
              <w:rPr>
                <w:rFonts w:ascii="Times New Roman" w:eastAsia="Times New Roman" w:hAnsi="Times New Roman" w:cs="Times New Roman"/>
                <w:sz w:val="18"/>
                <w:szCs w:val="18"/>
              </w:rPr>
            </w:pPr>
          </w:p>
        </w:tc>
        <w:tc>
          <w:tcPr>
            <w:tcW w:w="1134" w:type="dxa"/>
            <w:shd w:val="clear" w:color="auto" w:fill="auto"/>
            <w:noWrap/>
            <w:vAlign w:val="bottom"/>
            <w:hideMark/>
          </w:tcPr>
          <w:p w14:paraId="4089F392" w14:textId="77777777" w:rsidR="00D11C26" w:rsidRPr="004868C5" w:rsidRDefault="00D11C26" w:rsidP="004868C5">
            <w:pPr>
              <w:spacing w:after="0" w:line="240" w:lineRule="auto"/>
              <w:jc w:val="center"/>
              <w:rPr>
                <w:rFonts w:ascii="Times New Roman" w:eastAsia="Times New Roman" w:hAnsi="Times New Roman" w:cs="Times New Roman"/>
                <w:sz w:val="18"/>
                <w:szCs w:val="18"/>
              </w:rPr>
            </w:pPr>
          </w:p>
        </w:tc>
      </w:tr>
      <w:tr w:rsidR="00613B93" w:rsidRPr="004868C5" w14:paraId="124B35F4" w14:textId="77777777" w:rsidTr="00A719E4">
        <w:trPr>
          <w:trHeight w:val="300"/>
        </w:trPr>
        <w:tc>
          <w:tcPr>
            <w:tcW w:w="1838" w:type="dxa"/>
            <w:shd w:val="clear" w:color="auto" w:fill="auto"/>
            <w:noWrap/>
            <w:vAlign w:val="bottom"/>
            <w:hideMark/>
          </w:tcPr>
          <w:p w14:paraId="728BCA79" w14:textId="68D4A984" w:rsidR="004868C5" w:rsidRPr="004868C5" w:rsidRDefault="004868C5" w:rsidP="00D11C26">
            <w:pPr>
              <w:spacing w:after="0" w:line="240" w:lineRule="auto"/>
              <w:ind w:firstLineChars="100" w:firstLine="180"/>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2nd category</w:t>
            </w:r>
          </w:p>
        </w:tc>
        <w:tc>
          <w:tcPr>
            <w:tcW w:w="851" w:type="dxa"/>
            <w:shd w:val="clear" w:color="auto" w:fill="auto"/>
            <w:noWrap/>
            <w:vAlign w:val="bottom"/>
          </w:tcPr>
          <w:p w14:paraId="77E37BEA" w14:textId="63A0E644"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0.99</w:t>
            </w:r>
          </w:p>
        </w:tc>
        <w:tc>
          <w:tcPr>
            <w:tcW w:w="1134" w:type="dxa"/>
            <w:shd w:val="clear" w:color="auto" w:fill="auto"/>
            <w:noWrap/>
            <w:vAlign w:val="bottom"/>
          </w:tcPr>
          <w:p w14:paraId="6D15B8DD" w14:textId="2EAEB551"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[0.93 - 1.06]</w:t>
            </w:r>
          </w:p>
        </w:tc>
        <w:tc>
          <w:tcPr>
            <w:tcW w:w="851" w:type="dxa"/>
            <w:shd w:val="clear" w:color="auto" w:fill="auto"/>
            <w:noWrap/>
            <w:vAlign w:val="bottom"/>
          </w:tcPr>
          <w:p w14:paraId="7561F609" w14:textId="7F6EAC81"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0.98</w:t>
            </w:r>
          </w:p>
        </w:tc>
        <w:tc>
          <w:tcPr>
            <w:tcW w:w="1134" w:type="dxa"/>
            <w:shd w:val="clear" w:color="auto" w:fill="auto"/>
            <w:noWrap/>
            <w:vAlign w:val="bottom"/>
          </w:tcPr>
          <w:p w14:paraId="4A28ABEF" w14:textId="53DCC706"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[0.86 - 1.11]</w:t>
            </w:r>
          </w:p>
        </w:tc>
        <w:tc>
          <w:tcPr>
            <w:tcW w:w="851" w:type="dxa"/>
            <w:shd w:val="clear" w:color="auto" w:fill="auto"/>
            <w:noWrap/>
            <w:vAlign w:val="bottom"/>
          </w:tcPr>
          <w:p w14:paraId="1558C29F" w14:textId="57CC1C40"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1.08***</w:t>
            </w:r>
          </w:p>
        </w:tc>
        <w:tc>
          <w:tcPr>
            <w:tcW w:w="1134" w:type="dxa"/>
            <w:shd w:val="clear" w:color="auto" w:fill="auto"/>
            <w:noWrap/>
            <w:vAlign w:val="bottom"/>
          </w:tcPr>
          <w:p w14:paraId="092F1C97" w14:textId="4C64B2BE"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[1.04 - 1.13]</w:t>
            </w:r>
          </w:p>
        </w:tc>
        <w:tc>
          <w:tcPr>
            <w:tcW w:w="851" w:type="dxa"/>
            <w:shd w:val="clear" w:color="auto" w:fill="auto"/>
            <w:noWrap/>
            <w:vAlign w:val="bottom"/>
          </w:tcPr>
          <w:p w14:paraId="6F6883A0" w14:textId="4E2A07A7"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0.99</w:t>
            </w:r>
          </w:p>
        </w:tc>
        <w:tc>
          <w:tcPr>
            <w:tcW w:w="1134" w:type="dxa"/>
            <w:shd w:val="clear" w:color="auto" w:fill="auto"/>
            <w:noWrap/>
            <w:vAlign w:val="bottom"/>
          </w:tcPr>
          <w:p w14:paraId="178E88DD" w14:textId="3D746956"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[0.94 - 1.04]</w:t>
            </w:r>
          </w:p>
        </w:tc>
        <w:tc>
          <w:tcPr>
            <w:tcW w:w="907" w:type="dxa"/>
            <w:shd w:val="clear" w:color="auto" w:fill="auto"/>
            <w:noWrap/>
            <w:vAlign w:val="bottom"/>
          </w:tcPr>
          <w:p w14:paraId="522543F3" w14:textId="35F9CFA6"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1.16***</w:t>
            </w:r>
          </w:p>
        </w:tc>
        <w:tc>
          <w:tcPr>
            <w:tcW w:w="1247" w:type="dxa"/>
            <w:shd w:val="clear" w:color="auto" w:fill="auto"/>
            <w:noWrap/>
            <w:vAlign w:val="bottom"/>
          </w:tcPr>
          <w:p w14:paraId="7AACADEC" w14:textId="4B9FF11D"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[1.08 - 1.24]</w:t>
            </w:r>
          </w:p>
        </w:tc>
        <w:tc>
          <w:tcPr>
            <w:tcW w:w="851" w:type="dxa"/>
            <w:shd w:val="clear" w:color="auto" w:fill="auto"/>
            <w:noWrap/>
            <w:vAlign w:val="bottom"/>
          </w:tcPr>
          <w:p w14:paraId="4D991F1C" w14:textId="51F1CF42"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1.04</w:t>
            </w:r>
          </w:p>
        </w:tc>
        <w:tc>
          <w:tcPr>
            <w:tcW w:w="1134" w:type="dxa"/>
            <w:shd w:val="clear" w:color="auto" w:fill="auto"/>
            <w:noWrap/>
            <w:vAlign w:val="bottom"/>
          </w:tcPr>
          <w:p w14:paraId="064B5010" w14:textId="44A8FC21"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[0.97 - 1.12]</w:t>
            </w:r>
          </w:p>
        </w:tc>
      </w:tr>
      <w:tr w:rsidR="00613B93" w:rsidRPr="004868C5" w14:paraId="3E0C4BC1" w14:textId="77777777" w:rsidTr="00A719E4">
        <w:trPr>
          <w:trHeight w:val="300"/>
        </w:trPr>
        <w:tc>
          <w:tcPr>
            <w:tcW w:w="1838" w:type="dxa"/>
            <w:shd w:val="clear" w:color="auto" w:fill="auto"/>
            <w:noWrap/>
            <w:vAlign w:val="bottom"/>
            <w:hideMark/>
          </w:tcPr>
          <w:p w14:paraId="6A6197B2" w14:textId="41781734" w:rsidR="004868C5" w:rsidRPr="004868C5" w:rsidRDefault="004868C5" w:rsidP="00D11C26">
            <w:pPr>
              <w:spacing w:after="0" w:line="240" w:lineRule="auto"/>
              <w:ind w:firstLineChars="100" w:firstLine="180"/>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3rd category</w:t>
            </w:r>
          </w:p>
        </w:tc>
        <w:tc>
          <w:tcPr>
            <w:tcW w:w="851" w:type="dxa"/>
            <w:shd w:val="clear" w:color="auto" w:fill="auto"/>
            <w:noWrap/>
            <w:vAlign w:val="bottom"/>
          </w:tcPr>
          <w:p w14:paraId="3D05817F" w14:textId="21DD6012"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1.00</w:t>
            </w:r>
          </w:p>
        </w:tc>
        <w:tc>
          <w:tcPr>
            <w:tcW w:w="1134" w:type="dxa"/>
            <w:shd w:val="clear" w:color="auto" w:fill="auto"/>
            <w:noWrap/>
            <w:vAlign w:val="bottom"/>
          </w:tcPr>
          <w:p w14:paraId="1745CC51" w14:textId="44BB6376"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[0.94 - 1.07]</w:t>
            </w:r>
          </w:p>
        </w:tc>
        <w:tc>
          <w:tcPr>
            <w:tcW w:w="851" w:type="dxa"/>
            <w:shd w:val="clear" w:color="auto" w:fill="auto"/>
            <w:noWrap/>
            <w:vAlign w:val="bottom"/>
          </w:tcPr>
          <w:p w14:paraId="6BBBF778" w14:textId="63E3864C"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1.03</w:t>
            </w:r>
          </w:p>
        </w:tc>
        <w:tc>
          <w:tcPr>
            <w:tcW w:w="1134" w:type="dxa"/>
            <w:shd w:val="clear" w:color="auto" w:fill="auto"/>
            <w:noWrap/>
            <w:vAlign w:val="bottom"/>
          </w:tcPr>
          <w:p w14:paraId="2511B1B4" w14:textId="2AA4090C"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[0.92 - 1.16]</w:t>
            </w:r>
          </w:p>
        </w:tc>
        <w:tc>
          <w:tcPr>
            <w:tcW w:w="851" w:type="dxa"/>
            <w:shd w:val="clear" w:color="auto" w:fill="auto"/>
            <w:noWrap/>
            <w:vAlign w:val="bottom"/>
          </w:tcPr>
          <w:p w14:paraId="32DB0AA7" w14:textId="71FBD95D"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1.16***</w:t>
            </w:r>
          </w:p>
        </w:tc>
        <w:tc>
          <w:tcPr>
            <w:tcW w:w="1134" w:type="dxa"/>
            <w:shd w:val="clear" w:color="auto" w:fill="auto"/>
            <w:noWrap/>
            <w:vAlign w:val="bottom"/>
          </w:tcPr>
          <w:p w14:paraId="18346E5B" w14:textId="65CEB3FA"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[1.11 - 1.21]</w:t>
            </w:r>
          </w:p>
        </w:tc>
        <w:tc>
          <w:tcPr>
            <w:tcW w:w="851" w:type="dxa"/>
            <w:shd w:val="clear" w:color="auto" w:fill="auto"/>
            <w:noWrap/>
            <w:vAlign w:val="bottom"/>
          </w:tcPr>
          <w:p w14:paraId="2E7A49B0" w14:textId="45DB6CF0"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1.00</w:t>
            </w:r>
          </w:p>
        </w:tc>
        <w:tc>
          <w:tcPr>
            <w:tcW w:w="1134" w:type="dxa"/>
            <w:shd w:val="clear" w:color="auto" w:fill="auto"/>
            <w:noWrap/>
            <w:vAlign w:val="bottom"/>
          </w:tcPr>
          <w:p w14:paraId="2469BA5C" w14:textId="0DEF1B57"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[0.94 - 1.06]</w:t>
            </w:r>
          </w:p>
        </w:tc>
        <w:tc>
          <w:tcPr>
            <w:tcW w:w="907" w:type="dxa"/>
            <w:shd w:val="clear" w:color="auto" w:fill="auto"/>
            <w:noWrap/>
            <w:vAlign w:val="bottom"/>
          </w:tcPr>
          <w:p w14:paraId="071F1199" w14:textId="28F89E84"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1.38***</w:t>
            </w:r>
          </w:p>
        </w:tc>
        <w:tc>
          <w:tcPr>
            <w:tcW w:w="1247" w:type="dxa"/>
            <w:shd w:val="clear" w:color="auto" w:fill="auto"/>
            <w:noWrap/>
            <w:vAlign w:val="bottom"/>
          </w:tcPr>
          <w:p w14:paraId="4DF2DA92" w14:textId="64E5F37C"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[1.28 - 1.49]</w:t>
            </w:r>
          </w:p>
        </w:tc>
        <w:tc>
          <w:tcPr>
            <w:tcW w:w="851" w:type="dxa"/>
            <w:shd w:val="clear" w:color="auto" w:fill="auto"/>
            <w:noWrap/>
            <w:vAlign w:val="bottom"/>
          </w:tcPr>
          <w:p w14:paraId="78B7F185" w14:textId="64BACB77"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1.06</w:t>
            </w:r>
          </w:p>
        </w:tc>
        <w:tc>
          <w:tcPr>
            <w:tcW w:w="1134" w:type="dxa"/>
            <w:shd w:val="clear" w:color="auto" w:fill="auto"/>
            <w:noWrap/>
            <w:vAlign w:val="bottom"/>
          </w:tcPr>
          <w:p w14:paraId="43B97D64" w14:textId="6D1C71E3"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[0.97 - 1.17]</w:t>
            </w:r>
          </w:p>
        </w:tc>
      </w:tr>
      <w:tr w:rsidR="00613B93" w:rsidRPr="004868C5" w14:paraId="020F1DF2" w14:textId="77777777" w:rsidTr="00A719E4">
        <w:trPr>
          <w:trHeight w:val="300"/>
        </w:trPr>
        <w:tc>
          <w:tcPr>
            <w:tcW w:w="1838" w:type="dxa"/>
            <w:shd w:val="clear" w:color="auto" w:fill="auto"/>
            <w:noWrap/>
            <w:vAlign w:val="bottom"/>
            <w:hideMark/>
          </w:tcPr>
          <w:p w14:paraId="78C31090" w14:textId="371EEF19" w:rsidR="004868C5" w:rsidRPr="004868C5" w:rsidRDefault="004868C5" w:rsidP="00D11C26">
            <w:pPr>
              <w:spacing w:after="0" w:line="240" w:lineRule="auto"/>
              <w:ind w:firstLineChars="100" w:firstLine="180"/>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4th category</w:t>
            </w:r>
          </w:p>
        </w:tc>
        <w:tc>
          <w:tcPr>
            <w:tcW w:w="851" w:type="dxa"/>
            <w:shd w:val="clear" w:color="auto" w:fill="auto"/>
            <w:noWrap/>
            <w:vAlign w:val="bottom"/>
          </w:tcPr>
          <w:p w14:paraId="6E5F6244" w14:textId="774A139D"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0.96</w:t>
            </w:r>
          </w:p>
        </w:tc>
        <w:tc>
          <w:tcPr>
            <w:tcW w:w="1134" w:type="dxa"/>
            <w:shd w:val="clear" w:color="auto" w:fill="auto"/>
            <w:noWrap/>
            <w:vAlign w:val="bottom"/>
          </w:tcPr>
          <w:p w14:paraId="5C49B194" w14:textId="6FDF5B81"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[0.88 - 1.04]</w:t>
            </w:r>
          </w:p>
        </w:tc>
        <w:tc>
          <w:tcPr>
            <w:tcW w:w="851" w:type="dxa"/>
            <w:shd w:val="clear" w:color="auto" w:fill="auto"/>
            <w:noWrap/>
            <w:vAlign w:val="bottom"/>
          </w:tcPr>
          <w:p w14:paraId="122E63BE" w14:textId="66C64C3D"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0.96</w:t>
            </w:r>
          </w:p>
        </w:tc>
        <w:tc>
          <w:tcPr>
            <w:tcW w:w="1134" w:type="dxa"/>
            <w:shd w:val="clear" w:color="auto" w:fill="auto"/>
            <w:noWrap/>
            <w:vAlign w:val="bottom"/>
          </w:tcPr>
          <w:p w14:paraId="18B535DC" w14:textId="60679B0C"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[0.84 - 1.11]</w:t>
            </w:r>
          </w:p>
        </w:tc>
        <w:tc>
          <w:tcPr>
            <w:tcW w:w="851" w:type="dxa"/>
            <w:shd w:val="clear" w:color="auto" w:fill="auto"/>
            <w:noWrap/>
            <w:vAlign w:val="bottom"/>
          </w:tcPr>
          <w:p w14:paraId="7ADFF77C" w14:textId="01B401DE"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1.19***</w:t>
            </w:r>
          </w:p>
        </w:tc>
        <w:tc>
          <w:tcPr>
            <w:tcW w:w="1134" w:type="dxa"/>
            <w:shd w:val="clear" w:color="auto" w:fill="auto"/>
            <w:noWrap/>
            <w:vAlign w:val="bottom"/>
          </w:tcPr>
          <w:p w14:paraId="7D264395" w14:textId="71B84157"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[1.13 - 1.27]</w:t>
            </w:r>
          </w:p>
        </w:tc>
        <w:tc>
          <w:tcPr>
            <w:tcW w:w="851" w:type="dxa"/>
            <w:shd w:val="clear" w:color="auto" w:fill="auto"/>
            <w:noWrap/>
            <w:vAlign w:val="bottom"/>
          </w:tcPr>
          <w:p w14:paraId="3FFBAEEE" w14:textId="44AFA071"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0.94</w:t>
            </w:r>
          </w:p>
        </w:tc>
        <w:tc>
          <w:tcPr>
            <w:tcW w:w="1134" w:type="dxa"/>
            <w:shd w:val="clear" w:color="auto" w:fill="auto"/>
            <w:noWrap/>
            <w:vAlign w:val="bottom"/>
          </w:tcPr>
          <w:p w14:paraId="3572A76B" w14:textId="20AAE6F2"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[0.86 - 1.02]</w:t>
            </w:r>
          </w:p>
        </w:tc>
        <w:tc>
          <w:tcPr>
            <w:tcW w:w="907" w:type="dxa"/>
            <w:shd w:val="clear" w:color="auto" w:fill="auto"/>
            <w:noWrap/>
            <w:vAlign w:val="bottom"/>
          </w:tcPr>
          <w:p w14:paraId="0A8D8E3D" w14:textId="576A87DD"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1.48***</w:t>
            </w:r>
          </w:p>
        </w:tc>
        <w:tc>
          <w:tcPr>
            <w:tcW w:w="1247" w:type="dxa"/>
            <w:shd w:val="clear" w:color="auto" w:fill="auto"/>
            <w:noWrap/>
            <w:vAlign w:val="bottom"/>
          </w:tcPr>
          <w:p w14:paraId="73966FE2" w14:textId="2CEAFABC"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[1.35 - 1.63]</w:t>
            </w:r>
          </w:p>
        </w:tc>
        <w:tc>
          <w:tcPr>
            <w:tcW w:w="851" w:type="dxa"/>
            <w:shd w:val="clear" w:color="auto" w:fill="auto"/>
            <w:noWrap/>
            <w:vAlign w:val="bottom"/>
          </w:tcPr>
          <w:p w14:paraId="6D4F1401" w14:textId="4DA1C2C8"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0.97</w:t>
            </w:r>
          </w:p>
        </w:tc>
        <w:tc>
          <w:tcPr>
            <w:tcW w:w="1134" w:type="dxa"/>
            <w:shd w:val="clear" w:color="auto" w:fill="auto"/>
            <w:noWrap/>
            <w:vAlign w:val="bottom"/>
          </w:tcPr>
          <w:p w14:paraId="0DBF6194" w14:textId="51BA4D3E"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[0.86 - 1.09]</w:t>
            </w:r>
          </w:p>
        </w:tc>
      </w:tr>
      <w:tr w:rsidR="00613B93" w:rsidRPr="004868C5" w14:paraId="1EB897B0" w14:textId="77777777" w:rsidTr="00A719E4">
        <w:trPr>
          <w:trHeight w:val="300"/>
        </w:trPr>
        <w:tc>
          <w:tcPr>
            <w:tcW w:w="1838" w:type="dxa"/>
            <w:shd w:val="clear" w:color="auto" w:fill="auto"/>
            <w:noWrap/>
            <w:vAlign w:val="bottom"/>
            <w:hideMark/>
          </w:tcPr>
          <w:p w14:paraId="18FC82B7" w14:textId="32EAAE90" w:rsidR="004868C5" w:rsidRPr="004868C5" w:rsidRDefault="004868C5" w:rsidP="00D11C26">
            <w:pPr>
              <w:spacing w:after="0" w:line="240" w:lineRule="auto"/>
              <w:ind w:left="175" w:firstLineChars="2" w:firstLine="4"/>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5th category</w:t>
            </w:r>
            <w:r w:rsidR="00D11C26">
              <w:rPr>
                <w:rFonts w:ascii="Times New Roman" w:eastAsia="Times New Roman" w:hAnsi="Times New Roman" w:cs="Times New Roman"/>
                <w:color w:val="000000"/>
                <w:sz w:val="18"/>
                <w:szCs w:val="18"/>
              </w:rPr>
              <w:t xml:space="preserve"> - most </w:t>
            </w:r>
            <w:r w:rsidRPr="004868C5">
              <w:rPr>
                <w:rFonts w:ascii="Times New Roman" w:eastAsia="Times New Roman" w:hAnsi="Times New Roman" w:cs="Times New Roman"/>
                <w:color w:val="000000"/>
                <w:sz w:val="18"/>
                <w:szCs w:val="18"/>
              </w:rPr>
              <w:t>deprived</w:t>
            </w:r>
          </w:p>
        </w:tc>
        <w:tc>
          <w:tcPr>
            <w:tcW w:w="851" w:type="dxa"/>
            <w:shd w:val="clear" w:color="auto" w:fill="auto"/>
            <w:noWrap/>
            <w:vAlign w:val="bottom"/>
          </w:tcPr>
          <w:p w14:paraId="2A2F69FF" w14:textId="73323483"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1.02</w:t>
            </w:r>
          </w:p>
        </w:tc>
        <w:tc>
          <w:tcPr>
            <w:tcW w:w="1134" w:type="dxa"/>
            <w:shd w:val="clear" w:color="auto" w:fill="auto"/>
            <w:noWrap/>
            <w:vAlign w:val="bottom"/>
          </w:tcPr>
          <w:p w14:paraId="78021900" w14:textId="6815827E"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[0.91 - 1.15]</w:t>
            </w:r>
          </w:p>
        </w:tc>
        <w:tc>
          <w:tcPr>
            <w:tcW w:w="851" w:type="dxa"/>
            <w:shd w:val="clear" w:color="auto" w:fill="auto"/>
            <w:noWrap/>
            <w:vAlign w:val="bottom"/>
          </w:tcPr>
          <w:p w14:paraId="03860C24" w14:textId="1C3C1430"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0.98</w:t>
            </w:r>
          </w:p>
        </w:tc>
        <w:tc>
          <w:tcPr>
            <w:tcW w:w="1134" w:type="dxa"/>
            <w:shd w:val="clear" w:color="auto" w:fill="auto"/>
            <w:noWrap/>
            <w:vAlign w:val="bottom"/>
          </w:tcPr>
          <w:p w14:paraId="488C6D5C" w14:textId="47DF24F1"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[0.77 - 1.24]</w:t>
            </w:r>
          </w:p>
        </w:tc>
        <w:tc>
          <w:tcPr>
            <w:tcW w:w="851" w:type="dxa"/>
            <w:shd w:val="clear" w:color="auto" w:fill="auto"/>
            <w:noWrap/>
            <w:vAlign w:val="bottom"/>
          </w:tcPr>
          <w:p w14:paraId="4E4C49AC" w14:textId="56991188"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1.47***</w:t>
            </w:r>
          </w:p>
        </w:tc>
        <w:tc>
          <w:tcPr>
            <w:tcW w:w="1134" w:type="dxa"/>
            <w:shd w:val="clear" w:color="auto" w:fill="auto"/>
            <w:noWrap/>
            <w:vAlign w:val="bottom"/>
          </w:tcPr>
          <w:p w14:paraId="5FB330DC" w14:textId="49428265"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[1.36 - 1.60]</w:t>
            </w:r>
          </w:p>
        </w:tc>
        <w:tc>
          <w:tcPr>
            <w:tcW w:w="851" w:type="dxa"/>
            <w:shd w:val="clear" w:color="auto" w:fill="auto"/>
            <w:noWrap/>
            <w:vAlign w:val="bottom"/>
          </w:tcPr>
          <w:p w14:paraId="78665EE8" w14:textId="17913D6D"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0.96</w:t>
            </w:r>
          </w:p>
        </w:tc>
        <w:tc>
          <w:tcPr>
            <w:tcW w:w="1134" w:type="dxa"/>
            <w:shd w:val="clear" w:color="auto" w:fill="auto"/>
            <w:noWrap/>
            <w:vAlign w:val="bottom"/>
          </w:tcPr>
          <w:p w14:paraId="0A53D535" w14:textId="39EE452E"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[0.89 - 1.04]</w:t>
            </w:r>
          </w:p>
        </w:tc>
        <w:tc>
          <w:tcPr>
            <w:tcW w:w="907" w:type="dxa"/>
            <w:shd w:val="clear" w:color="auto" w:fill="auto"/>
            <w:noWrap/>
            <w:vAlign w:val="bottom"/>
          </w:tcPr>
          <w:p w14:paraId="4D270D86" w14:textId="04E0D39A"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2.09***</w:t>
            </w:r>
          </w:p>
        </w:tc>
        <w:tc>
          <w:tcPr>
            <w:tcW w:w="1247" w:type="dxa"/>
            <w:shd w:val="clear" w:color="auto" w:fill="auto"/>
            <w:noWrap/>
            <w:vAlign w:val="bottom"/>
          </w:tcPr>
          <w:p w14:paraId="6E3E9B27" w14:textId="40225EE9"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[1.86 - 2.34]</w:t>
            </w:r>
          </w:p>
        </w:tc>
        <w:tc>
          <w:tcPr>
            <w:tcW w:w="851" w:type="dxa"/>
            <w:shd w:val="clear" w:color="auto" w:fill="auto"/>
            <w:noWrap/>
            <w:vAlign w:val="bottom"/>
          </w:tcPr>
          <w:p w14:paraId="72D32053" w14:textId="019FF1AE"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0.88*</w:t>
            </w:r>
          </w:p>
        </w:tc>
        <w:tc>
          <w:tcPr>
            <w:tcW w:w="1134" w:type="dxa"/>
            <w:shd w:val="clear" w:color="auto" w:fill="auto"/>
            <w:noWrap/>
            <w:vAlign w:val="bottom"/>
          </w:tcPr>
          <w:p w14:paraId="288C056B" w14:textId="70075C4D"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[0.77 - 1.00]</w:t>
            </w:r>
          </w:p>
        </w:tc>
      </w:tr>
      <w:tr w:rsidR="00613B93" w:rsidRPr="004868C5" w14:paraId="654DD2F6" w14:textId="77777777" w:rsidTr="00A719E4">
        <w:trPr>
          <w:trHeight w:val="300"/>
        </w:trPr>
        <w:tc>
          <w:tcPr>
            <w:tcW w:w="1838" w:type="dxa"/>
            <w:shd w:val="clear" w:color="auto" w:fill="auto"/>
            <w:noWrap/>
            <w:vAlign w:val="bottom"/>
            <w:hideMark/>
          </w:tcPr>
          <w:p w14:paraId="2AA00F29" w14:textId="77777777" w:rsidR="004868C5" w:rsidRPr="004868C5" w:rsidRDefault="004868C5" w:rsidP="00D11C26">
            <w:pPr>
              <w:spacing w:after="0" w:line="240" w:lineRule="auto"/>
              <w:ind w:firstLineChars="100" w:firstLine="180"/>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lastRenderedPageBreak/>
              <w:t>Missing</w:t>
            </w:r>
          </w:p>
        </w:tc>
        <w:tc>
          <w:tcPr>
            <w:tcW w:w="851" w:type="dxa"/>
            <w:shd w:val="clear" w:color="auto" w:fill="auto"/>
            <w:noWrap/>
            <w:vAlign w:val="bottom"/>
          </w:tcPr>
          <w:p w14:paraId="597251AA" w14:textId="656CE9BC"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1.07</w:t>
            </w:r>
          </w:p>
        </w:tc>
        <w:tc>
          <w:tcPr>
            <w:tcW w:w="1134" w:type="dxa"/>
            <w:shd w:val="clear" w:color="auto" w:fill="auto"/>
            <w:noWrap/>
            <w:vAlign w:val="bottom"/>
          </w:tcPr>
          <w:p w14:paraId="11B3C253" w14:textId="1E4FCF1B"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[0.93 - 1.23]</w:t>
            </w:r>
          </w:p>
        </w:tc>
        <w:tc>
          <w:tcPr>
            <w:tcW w:w="851" w:type="dxa"/>
            <w:shd w:val="clear" w:color="auto" w:fill="auto"/>
            <w:noWrap/>
            <w:vAlign w:val="bottom"/>
          </w:tcPr>
          <w:p w14:paraId="38329C48" w14:textId="76C8F14F"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0.85</w:t>
            </w:r>
          </w:p>
        </w:tc>
        <w:tc>
          <w:tcPr>
            <w:tcW w:w="1134" w:type="dxa"/>
            <w:shd w:val="clear" w:color="auto" w:fill="auto"/>
            <w:noWrap/>
            <w:vAlign w:val="bottom"/>
          </w:tcPr>
          <w:p w14:paraId="08A23D7E" w14:textId="15DE4DE0"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[0.68 - 1.07]</w:t>
            </w:r>
          </w:p>
        </w:tc>
        <w:tc>
          <w:tcPr>
            <w:tcW w:w="851" w:type="dxa"/>
            <w:shd w:val="clear" w:color="auto" w:fill="auto"/>
            <w:noWrap/>
            <w:vAlign w:val="bottom"/>
          </w:tcPr>
          <w:p w14:paraId="531DBB40" w14:textId="0C5E4CB1"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0.51*</w:t>
            </w:r>
          </w:p>
        </w:tc>
        <w:tc>
          <w:tcPr>
            <w:tcW w:w="1134" w:type="dxa"/>
            <w:shd w:val="clear" w:color="auto" w:fill="auto"/>
            <w:noWrap/>
            <w:vAlign w:val="bottom"/>
          </w:tcPr>
          <w:p w14:paraId="36A57419" w14:textId="18B0CC43"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[0.28 - 0.90]</w:t>
            </w:r>
          </w:p>
        </w:tc>
        <w:tc>
          <w:tcPr>
            <w:tcW w:w="851" w:type="dxa"/>
            <w:shd w:val="clear" w:color="auto" w:fill="auto"/>
            <w:noWrap/>
            <w:vAlign w:val="bottom"/>
          </w:tcPr>
          <w:p w14:paraId="0463A180" w14:textId="5198F563"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0.14***</w:t>
            </w:r>
          </w:p>
        </w:tc>
        <w:tc>
          <w:tcPr>
            <w:tcW w:w="1134" w:type="dxa"/>
            <w:shd w:val="clear" w:color="auto" w:fill="auto"/>
            <w:noWrap/>
            <w:vAlign w:val="bottom"/>
          </w:tcPr>
          <w:p w14:paraId="7D376ABC" w14:textId="740AC901"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[0.07 - 0.30]</w:t>
            </w:r>
          </w:p>
        </w:tc>
        <w:tc>
          <w:tcPr>
            <w:tcW w:w="907" w:type="dxa"/>
            <w:shd w:val="clear" w:color="auto" w:fill="auto"/>
            <w:noWrap/>
            <w:vAlign w:val="bottom"/>
          </w:tcPr>
          <w:p w14:paraId="5206BA30" w14:textId="5CCE16BC"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0.20**</w:t>
            </w:r>
          </w:p>
        </w:tc>
        <w:tc>
          <w:tcPr>
            <w:tcW w:w="1247" w:type="dxa"/>
            <w:shd w:val="clear" w:color="auto" w:fill="auto"/>
            <w:noWrap/>
            <w:vAlign w:val="bottom"/>
          </w:tcPr>
          <w:p w14:paraId="6721A212" w14:textId="694B0F5F"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[0.07 - 0.55]</w:t>
            </w:r>
          </w:p>
        </w:tc>
        <w:tc>
          <w:tcPr>
            <w:tcW w:w="851" w:type="dxa"/>
            <w:shd w:val="clear" w:color="auto" w:fill="auto"/>
            <w:noWrap/>
            <w:vAlign w:val="bottom"/>
          </w:tcPr>
          <w:p w14:paraId="10537631" w14:textId="7F99B0FC"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0.12***</w:t>
            </w:r>
          </w:p>
        </w:tc>
        <w:tc>
          <w:tcPr>
            <w:tcW w:w="1134" w:type="dxa"/>
            <w:shd w:val="clear" w:color="auto" w:fill="auto"/>
            <w:noWrap/>
            <w:vAlign w:val="bottom"/>
          </w:tcPr>
          <w:p w14:paraId="6CE9ED9F" w14:textId="4627AEF4"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[0.04 - 0.33]</w:t>
            </w:r>
          </w:p>
        </w:tc>
      </w:tr>
      <w:tr w:rsidR="00613B93" w:rsidRPr="004868C5" w14:paraId="555A1892" w14:textId="77777777" w:rsidTr="00A719E4">
        <w:trPr>
          <w:trHeight w:val="300"/>
        </w:trPr>
        <w:tc>
          <w:tcPr>
            <w:tcW w:w="1838" w:type="dxa"/>
            <w:shd w:val="clear" w:color="auto" w:fill="auto"/>
            <w:noWrap/>
            <w:vAlign w:val="bottom"/>
            <w:hideMark/>
          </w:tcPr>
          <w:p w14:paraId="75A31E47" w14:textId="77777777" w:rsidR="004868C5" w:rsidRPr="004868C5" w:rsidRDefault="004868C5" w:rsidP="00D11C26">
            <w:pPr>
              <w:spacing w:after="0" w:line="240" w:lineRule="auto"/>
              <w:rPr>
                <w:rFonts w:ascii="Times New Roman" w:eastAsia="Times New Roman" w:hAnsi="Times New Roman" w:cs="Times New Roman"/>
                <w:i/>
                <w:iCs/>
                <w:color w:val="000000"/>
                <w:sz w:val="18"/>
                <w:szCs w:val="18"/>
              </w:rPr>
            </w:pPr>
            <w:r w:rsidRPr="004868C5">
              <w:rPr>
                <w:rFonts w:ascii="Times New Roman" w:eastAsia="Times New Roman" w:hAnsi="Times New Roman" w:cs="Times New Roman"/>
                <w:i/>
                <w:iCs/>
                <w:color w:val="000000"/>
                <w:sz w:val="18"/>
                <w:szCs w:val="18"/>
              </w:rPr>
              <w:t>Drop out</w:t>
            </w:r>
          </w:p>
        </w:tc>
        <w:tc>
          <w:tcPr>
            <w:tcW w:w="851" w:type="dxa"/>
            <w:shd w:val="clear" w:color="auto" w:fill="auto"/>
            <w:noWrap/>
            <w:vAlign w:val="bottom"/>
          </w:tcPr>
          <w:p w14:paraId="0DCD6DC0" w14:textId="40236424"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0.72***</w:t>
            </w:r>
          </w:p>
        </w:tc>
        <w:tc>
          <w:tcPr>
            <w:tcW w:w="1134" w:type="dxa"/>
            <w:shd w:val="clear" w:color="auto" w:fill="auto"/>
            <w:noWrap/>
            <w:vAlign w:val="bottom"/>
          </w:tcPr>
          <w:p w14:paraId="1CF81E37" w14:textId="28C57D6A"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[0.69 - 0.76]</w:t>
            </w:r>
          </w:p>
        </w:tc>
        <w:tc>
          <w:tcPr>
            <w:tcW w:w="851" w:type="dxa"/>
            <w:shd w:val="clear" w:color="auto" w:fill="auto"/>
            <w:noWrap/>
            <w:vAlign w:val="bottom"/>
          </w:tcPr>
          <w:p w14:paraId="75ABF80C" w14:textId="3B691829"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0.49***</w:t>
            </w:r>
          </w:p>
        </w:tc>
        <w:tc>
          <w:tcPr>
            <w:tcW w:w="1134" w:type="dxa"/>
            <w:shd w:val="clear" w:color="auto" w:fill="auto"/>
            <w:noWrap/>
            <w:vAlign w:val="bottom"/>
          </w:tcPr>
          <w:p w14:paraId="6157DCEB" w14:textId="49D0AFC4"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[0.46 - 0.53]</w:t>
            </w:r>
          </w:p>
        </w:tc>
        <w:tc>
          <w:tcPr>
            <w:tcW w:w="851" w:type="dxa"/>
            <w:shd w:val="clear" w:color="auto" w:fill="auto"/>
            <w:noWrap/>
            <w:vAlign w:val="bottom"/>
          </w:tcPr>
          <w:p w14:paraId="02C30741" w14:textId="65F3C7FE"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3.40***</w:t>
            </w:r>
          </w:p>
        </w:tc>
        <w:tc>
          <w:tcPr>
            <w:tcW w:w="1134" w:type="dxa"/>
            <w:shd w:val="clear" w:color="auto" w:fill="auto"/>
            <w:noWrap/>
            <w:vAlign w:val="bottom"/>
          </w:tcPr>
          <w:p w14:paraId="0EFA00F6" w14:textId="544C5AA7"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[3.24 - 3.56]</w:t>
            </w:r>
          </w:p>
        </w:tc>
        <w:tc>
          <w:tcPr>
            <w:tcW w:w="851" w:type="dxa"/>
            <w:shd w:val="clear" w:color="auto" w:fill="auto"/>
            <w:noWrap/>
            <w:vAlign w:val="bottom"/>
          </w:tcPr>
          <w:p w14:paraId="2803A7A0" w14:textId="103E8A6B"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1.06**</w:t>
            </w:r>
          </w:p>
        </w:tc>
        <w:tc>
          <w:tcPr>
            <w:tcW w:w="1134" w:type="dxa"/>
            <w:shd w:val="clear" w:color="auto" w:fill="auto"/>
            <w:noWrap/>
            <w:vAlign w:val="bottom"/>
          </w:tcPr>
          <w:p w14:paraId="2F426FD4" w14:textId="4A50E4DE"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[1.02 - 1.10]</w:t>
            </w:r>
          </w:p>
        </w:tc>
        <w:tc>
          <w:tcPr>
            <w:tcW w:w="907" w:type="dxa"/>
            <w:shd w:val="clear" w:color="auto" w:fill="auto"/>
            <w:noWrap/>
            <w:vAlign w:val="bottom"/>
          </w:tcPr>
          <w:p w14:paraId="22C8F587" w14:textId="1C68E2C1"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15.49***</w:t>
            </w:r>
          </w:p>
        </w:tc>
        <w:tc>
          <w:tcPr>
            <w:tcW w:w="1247" w:type="dxa"/>
            <w:shd w:val="clear" w:color="auto" w:fill="auto"/>
            <w:noWrap/>
            <w:vAlign w:val="bottom"/>
          </w:tcPr>
          <w:p w14:paraId="128009E6" w14:textId="5B9548C0" w:rsidR="004868C5" w:rsidRPr="004868C5" w:rsidRDefault="00613B93" w:rsidP="004868C5">
            <w:pPr>
              <w:spacing w:after="0" w:line="240" w:lineRule="auto"/>
              <w:jc w:val="center"/>
              <w:rPr>
                <w:rFonts w:ascii="Times New Roman" w:eastAsia="Times New Roman" w:hAnsi="Times New Roman" w:cs="Times New Roman"/>
                <w:color w:val="000000"/>
                <w:sz w:val="18"/>
                <w:szCs w:val="18"/>
              </w:rPr>
            </w:pPr>
            <w:r>
              <w:rPr>
                <w:rFonts w:ascii="Times New Roman" w:hAnsi="Times New Roman" w:cs="Times New Roman"/>
                <w:color w:val="000000"/>
                <w:sz w:val="18"/>
                <w:szCs w:val="18"/>
              </w:rPr>
              <w:t>[13.93-</w:t>
            </w:r>
            <w:r w:rsidR="004868C5" w:rsidRPr="004868C5">
              <w:rPr>
                <w:rFonts w:ascii="Times New Roman" w:hAnsi="Times New Roman" w:cs="Times New Roman"/>
                <w:color w:val="000000"/>
                <w:sz w:val="18"/>
                <w:szCs w:val="18"/>
              </w:rPr>
              <w:t>17.22]</w:t>
            </w:r>
          </w:p>
        </w:tc>
        <w:tc>
          <w:tcPr>
            <w:tcW w:w="851" w:type="dxa"/>
            <w:shd w:val="clear" w:color="auto" w:fill="auto"/>
            <w:noWrap/>
            <w:vAlign w:val="bottom"/>
          </w:tcPr>
          <w:p w14:paraId="55086577" w14:textId="05C15CFC"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2.90***</w:t>
            </w:r>
          </w:p>
        </w:tc>
        <w:tc>
          <w:tcPr>
            <w:tcW w:w="1134" w:type="dxa"/>
            <w:shd w:val="clear" w:color="auto" w:fill="auto"/>
            <w:noWrap/>
            <w:vAlign w:val="bottom"/>
          </w:tcPr>
          <w:p w14:paraId="3E2966D0" w14:textId="6618D589" w:rsidR="004868C5" w:rsidRPr="004868C5" w:rsidRDefault="004868C5" w:rsidP="004868C5">
            <w:pPr>
              <w:spacing w:after="0" w:line="240" w:lineRule="auto"/>
              <w:jc w:val="center"/>
              <w:rPr>
                <w:rFonts w:ascii="Times New Roman" w:eastAsia="Times New Roman" w:hAnsi="Times New Roman" w:cs="Times New Roman"/>
                <w:color w:val="000000"/>
                <w:sz w:val="18"/>
                <w:szCs w:val="18"/>
              </w:rPr>
            </w:pPr>
            <w:r w:rsidRPr="004868C5">
              <w:rPr>
                <w:rFonts w:ascii="Times New Roman" w:hAnsi="Times New Roman" w:cs="Times New Roman"/>
                <w:color w:val="000000"/>
                <w:sz w:val="18"/>
                <w:szCs w:val="18"/>
              </w:rPr>
              <w:t>[2.58 - 3.27]</w:t>
            </w:r>
          </w:p>
        </w:tc>
      </w:tr>
      <w:tr w:rsidR="00613B93" w:rsidRPr="004868C5" w14:paraId="332F835F" w14:textId="77777777" w:rsidTr="00A719E4">
        <w:trPr>
          <w:trHeight w:val="300"/>
        </w:trPr>
        <w:tc>
          <w:tcPr>
            <w:tcW w:w="1838" w:type="dxa"/>
            <w:tcBorders>
              <w:bottom w:val="single" w:sz="4" w:space="0" w:color="auto"/>
            </w:tcBorders>
            <w:shd w:val="clear" w:color="auto" w:fill="auto"/>
            <w:noWrap/>
            <w:vAlign w:val="bottom"/>
            <w:hideMark/>
          </w:tcPr>
          <w:p w14:paraId="7C6D7F2A" w14:textId="77777777" w:rsidR="004868C5" w:rsidRPr="004868C5" w:rsidRDefault="004868C5" w:rsidP="00D11C26">
            <w:pPr>
              <w:spacing w:after="0" w:line="240" w:lineRule="auto"/>
              <w:rPr>
                <w:rFonts w:ascii="Times New Roman" w:eastAsia="Times New Roman" w:hAnsi="Times New Roman" w:cs="Times New Roman"/>
                <w:color w:val="000000"/>
                <w:sz w:val="18"/>
                <w:szCs w:val="18"/>
              </w:rPr>
            </w:pPr>
          </w:p>
        </w:tc>
        <w:tc>
          <w:tcPr>
            <w:tcW w:w="851" w:type="dxa"/>
            <w:tcBorders>
              <w:bottom w:val="single" w:sz="4" w:space="0" w:color="auto"/>
            </w:tcBorders>
            <w:shd w:val="clear" w:color="auto" w:fill="auto"/>
            <w:noWrap/>
            <w:vAlign w:val="bottom"/>
            <w:hideMark/>
          </w:tcPr>
          <w:p w14:paraId="0FB45E34" w14:textId="77777777" w:rsidR="004868C5" w:rsidRPr="004868C5" w:rsidRDefault="004868C5" w:rsidP="004868C5">
            <w:pPr>
              <w:spacing w:after="0" w:line="240" w:lineRule="auto"/>
              <w:rPr>
                <w:rFonts w:ascii="Times New Roman" w:eastAsia="Times New Roman" w:hAnsi="Times New Roman" w:cs="Times New Roman"/>
                <w:sz w:val="18"/>
                <w:szCs w:val="18"/>
              </w:rPr>
            </w:pPr>
          </w:p>
        </w:tc>
        <w:tc>
          <w:tcPr>
            <w:tcW w:w="1134" w:type="dxa"/>
            <w:tcBorders>
              <w:bottom w:val="single" w:sz="4" w:space="0" w:color="auto"/>
            </w:tcBorders>
            <w:shd w:val="clear" w:color="auto" w:fill="auto"/>
            <w:noWrap/>
            <w:vAlign w:val="bottom"/>
            <w:hideMark/>
          </w:tcPr>
          <w:p w14:paraId="158EB2C1" w14:textId="77777777" w:rsidR="004868C5" w:rsidRPr="004868C5" w:rsidRDefault="004868C5" w:rsidP="004868C5">
            <w:pPr>
              <w:spacing w:after="0" w:line="240" w:lineRule="auto"/>
              <w:jc w:val="center"/>
              <w:rPr>
                <w:rFonts w:ascii="Times New Roman" w:eastAsia="Times New Roman" w:hAnsi="Times New Roman" w:cs="Times New Roman"/>
                <w:sz w:val="18"/>
                <w:szCs w:val="18"/>
              </w:rPr>
            </w:pPr>
          </w:p>
        </w:tc>
        <w:tc>
          <w:tcPr>
            <w:tcW w:w="851" w:type="dxa"/>
            <w:tcBorders>
              <w:bottom w:val="single" w:sz="4" w:space="0" w:color="auto"/>
            </w:tcBorders>
            <w:shd w:val="clear" w:color="auto" w:fill="auto"/>
            <w:noWrap/>
            <w:vAlign w:val="bottom"/>
            <w:hideMark/>
          </w:tcPr>
          <w:p w14:paraId="1E6C62FE" w14:textId="77777777" w:rsidR="004868C5" w:rsidRPr="004868C5" w:rsidRDefault="004868C5" w:rsidP="004868C5">
            <w:pPr>
              <w:spacing w:after="0" w:line="240" w:lineRule="auto"/>
              <w:jc w:val="center"/>
              <w:rPr>
                <w:rFonts w:ascii="Times New Roman" w:eastAsia="Times New Roman" w:hAnsi="Times New Roman" w:cs="Times New Roman"/>
                <w:sz w:val="18"/>
                <w:szCs w:val="18"/>
              </w:rPr>
            </w:pPr>
          </w:p>
        </w:tc>
        <w:tc>
          <w:tcPr>
            <w:tcW w:w="1134" w:type="dxa"/>
            <w:tcBorders>
              <w:bottom w:val="single" w:sz="4" w:space="0" w:color="auto"/>
            </w:tcBorders>
            <w:shd w:val="clear" w:color="auto" w:fill="auto"/>
            <w:noWrap/>
            <w:vAlign w:val="bottom"/>
            <w:hideMark/>
          </w:tcPr>
          <w:p w14:paraId="3F1E6BB0" w14:textId="77777777" w:rsidR="004868C5" w:rsidRPr="004868C5" w:rsidRDefault="004868C5" w:rsidP="004868C5">
            <w:pPr>
              <w:spacing w:after="0" w:line="240" w:lineRule="auto"/>
              <w:jc w:val="center"/>
              <w:rPr>
                <w:rFonts w:ascii="Times New Roman" w:eastAsia="Times New Roman" w:hAnsi="Times New Roman" w:cs="Times New Roman"/>
                <w:sz w:val="18"/>
                <w:szCs w:val="18"/>
              </w:rPr>
            </w:pPr>
          </w:p>
        </w:tc>
        <w:tc>
          <w:tcPr>
            <w:tcW w:w="851" w:type="dxa"/>
            <w:tcBorders>
              <w:bottom w:val="single" w:sz="4" w:space="0" w:color="auto"/>
            </w:tcBorders>
            <w:shd w:val="clear" w:color="auto" w:fill="auto"/>
            <w:noWrap/>
            <w:vAlign w:val="bottom"/>
            <w:hideMark/>
          </w:tcPr>
          <w:p w14:paraId="0D16085F" w14:textId="77777777" w:rsidR="004868C5" w:rsidRPr="004868C5" w:rsidRDefault="004868C5" w:rsidP="004868C5">
            <w:pPr>
              <w:spacing w:after="0" w:line="240" w:lineRule="auto"/>
              <w:jc w:val="center"/>
              <w:rPr>
                <w:rFonts w:ascii="Times New Roman" w:eastAsia="Times New Roman" w:hAnsi="Times New Roman" w:cs="Times New Roman"/>
                <w:sz w:val="18"/>
                <w:szCs w:val="18"/>
              </w:rPr>
            </w:pPr>
          </w:p>
        </w:tc>
        <w:tc>
          <w:tcPr>
            <w:tcW w:w="1134" w:type="dxa"/>
            <w:tcBorders>
              <w:bottom w:val="single" w:sz="4" w:space="0" w:color="auto"/>
            </w:tcBorders>
            <w:shd w:val="clear" w:color="auto" w:fill="auto"/>
            <w:noWrap/>
            <w:vAlign w:val="bottom"/>
            <w:hideMark/>
          </w:tcPr>
          <w:p w14:paraId="214BD84A" w14:textId="77777777" w:rsidR="004868C5" w:rsidRPr="004868C5" w:rsidRDefault="004868C5" w:rsidP="004868C5">
            <w:pPr>
              <w:spacing w:after="0" w:line="240" w:lineRule="auto"/>
              <w:jc w:val="center"/>
              <w:rPr>
                <w:rFonts w:ascii="Times New Roman" w:eastAsia="Times New Roman" w:hAnsi="Times New Roman" w:cs="Times New Roman"/>
                <w:sz w:val="18"/>
                <w:szCs w:val="18"/>
              </w:rPr>
            </w:pPr>
          </w:p>
        </w:tc>
        <w:tc>
          <w:tcPr>
            <w:tcW w:w="851" w:type="dxa"/>
            <w:tcBorders>
              <w:bottom w:val="single" w:sz="4" w:space="0" w:color="auto"/>
            </w:tcBorders>
            <w:shd w:val="clear" w:color="auto" w:fill="auto"/>
            <w:noWrap/>
            <w:vAlign w:val="bottom"/>
            <w:hideMark/>
          </w:tcPr>
          <w:p w14:paraId="75B55610" w14:textId="77777777" w:rsidR="004868C5" w:rsidRPr="004868C5" w:rsidRDefault="004868C5" w:rsidP="004868C5">
            <w:pPr>
              <w:spacing w:after="0" w:line="240" w:lineRule="auto"/>
              <w:jc w:val="center"/>
              <w:rPr>
                <w:rFonts w:ascii="Times New Roman" w:eastAsia="Times New Roman" w:hAnsi="Times New Roman" w:cs="Times New Roman"/>
                <w:sz w:val="18"/>
                <w:szCs w:val="18"/>
              </w:rPr>
            </w:pPr>
          </w:p>
        </w:tc>
        <w:tc>
          <w:tcPr>
            <w:tcW w:w="1134" w:type="dxa"/>
            <w:tcBorders>
              <w:bottom w:val="single" w:sz="4" w:space="0" w:color="auto"/>
            </w:tcBorders>
            <w:shd w:val="clear" w:color="auto" w:fill="auto"/>
            <w:noWrap/>
            <w:vAlign w:val="bottom"/>
            <w:hideMark/>
          </w:tcPr>
          <w:p w14:paraId="48B39315" w14:textId="77777777" w:rsidR="004868C5" w:rsidRPr="004868C5" w:rsidRDefault="004868C5" w:rsidP="004868C5">
            <w:pPr>
              <w:spacing w:after="0" w:line="240" w:lineRule="auto"/>
              <w:jc w:val="center"/>
              <w:rPr>
                <w:rFonts w:ascii="Times New Roman" w:eastAsia="Times New Roman" w:hAnsi="Times New Roman" w:cs="Times New Roman"/>
                <w:sz w:val="18"/>
                <w:szCs w:val="18"/>
              </w:rPr>
            </w:pPr>
          </w:p>
        </w:tc>
        <w:tc>
          <w:tcPr>
            <w:tcW w:w="907" w:type="dxa"/>
            <w:tcBorders>
              <w:bottom w:val="single" w:sz="4" w:space="0" w:color="auto"/>
            </w:tcBorders>
            <w:shd w:val="clear" w:color="auto" w:fill="auto"/>
            <w:noWrap/>
            <w:vAlign w:val="bottom"/>
            <w:hideMark/>
          </w:tcPr>
          <w:p w14:paraId="2C1E5C6E" w14:textId="77777777" w:rsidR="004868C5" w:rsidRPr="004868C5" w:rsidRDefault="004868C5" w:rsidP="004868C5">
            <w:pPr>
              <w:spacing w:after="0" w:line="240" w:lineRule="auto"/>
              <w:jc w:val="center"/>
              <w:rPr>
                <w:rFonts w:ascii="Times New Roman" w:eastAsia="Times New Roman" w:hAnsi="Times New Roman" w:cs="Times New Roman"/>
                <w:sz w:val="18"/>
                <w:szCs w:val="18"/>
              </w:rPr>
            </w:pPr>
          </w:p>
        </w:tc>
        <w:tc>
          <w:tcPr>
            <w:tcW w:w="1247" w:type="dxa"/>
            <w:tcBorders>
              <w:bottom w:val="single" w:sz="4" w:space="0" w:color="auto"/>
            </w:tcBorders>
            <w:shd w:val="clear" w:color="auto" w:fill="auto"/>
            <w:noWrap/>
            <w:vAlign w:val="bottom"/>
            <w:hideMark/>
          </w:tcPr>
          <w:p w14:paraId="23CCAC99" w14:textId="77777777" w:rsidR="004868C5" w:rsidRPr="004868C5" w:rsidRDefault="004868C5" w:rsidP="004868C5">
            <w:pPr>
              <w:spacing w:after="0" w:line="240" w:lineRule="auto"/>
              <w:jc w:val="center"/>
              <w:rPr>
                <w:rFonts w:ascii="Times New Roman" w:eastAsia="Times New Roman" w:hAnsi="Times New Roman" w:cs="Times New Roman"/>
                <w:sz w:val="18"/>
                <w:szCs w:val="18"/>
              </w:rPr>
            </w:pPr>
          </w:p>
        </w:tc>
        <w:tc>
          <w:tcPr>
            <w:tcW w:w="851" w:type="dxa"/>
            <w:tcBorders>
              <w:bottom w:val="single" w:sz="4" w:space="0" w:color="auto"/>
            </w:tcBorders>
            <w:shd w:val="clear" w:color="auto" w:fill="auto"/>
            <w:noWrap/>
            <w:vAlign w:val="bottom"/>
            <w:hideMark/>
          </w:tcPr>
          <w:p w14:paraId="7E062BBE" w14:textId="77777777" w:rsidR="004868C5" w:rsidRPr="004868C5" w:rsidRDefault="004868C5" w:rsidP="004868C5">
            <w:pPr>
              <w:spacing w:after="0" w:line="240" w:lineRule="auto"/>
              <w:jc w:val="center"/>
              <w:rPr>
                <w:rFonts w:ascii="Times New Roman" w:eastAsia="Times New Roman" w:hAnsi="Times New Roman" w:cs="Times New Roman"/>
                <w:sz w:val="18"/>
                <w:szCs w:val="18"/>
              </w:rPr>
            </w:pPr>
          </w:p>
        </w:tc>
        <w:tc>
          <w:tcPr>
            <w:tcW w:w="1134" w:type="dxa"/>
            <w:tcBorders>
              <w:bottom w:val="single" w:sz="4" w:space="0" w:color="auto"/>
            </w:tcBorders>
            <w:shd w:val="clear" w:color="auto" w:fill="auto"/>
            <w:noWrap/>
            <w:vAlign w:val="bottom"/>
            <w:hideMark/>
          </w:tcPr>
          <w:p w14:paraId="4DC900C6" w14:textId="77777777" w:rsidR="004868C5" w:rsidRPr="004868C5" w:rsidRDefault="004868C5" w:rsidP="004868C5">
            <w:pPr>
              <w:spacing w:after="0" w:line="240" w:lineRule="auto"/>
              <w:jc w:val="center"/>
              <w:rPr>
                <w:rFonts w:ascii="Times New Roman" w:eastAsia="Times New Roman" w:hAnsi="Times New Roman" w:cs="Times New Roman"/>
                <w:sz w:val="18"/>
                <w:szCs w:val="18"/>
              </w:rPr>
            </w:pPr>
          </w:p>
        </w:tc>
      </w:tr>
      <w:tr w:rsidR="00613B93" w:rsidRPr="004868C5" w14:paraId="604196B3" w14:textId="77777777" w:rsidTr="00A719E4">
        <w:trPr>
          <w:trHeight w:val="300"/>
        </w:trPr>
        <w:tc>
          <w:tcPr>
            <w:tcW w:w="851" w:type="dxa"/>
            <w:gridSpan w:val="13"/>
            <w:tcBorders>
              <w:top w:val="single" w:sz="4" w:space="0" w:color="auto"/>
            </w:tcBorders>
            <w:shd w:val="clear" w:color="auto" w:fill="auto"/>
            <w:noWrap/>
            <w:vAlign w:val="bottom"/>
            <w:hideMark/>
          </w:tcPr>
          <w:p w14:paraId="04E95EAE" w14:textId="276CF6C0" w:rsidR="004868C5" w:rsidRPr="004868C5" w:rsidRDefault="004868C5" w:rsidP="00D11C26">
            <w:pPr>
              <w:spacing w:after="0" w:line="240" w:lineRule="auto"/>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Each outcome variable was estimated using two-level negative binomial regression with random intercept at patient-level, adjusted for baseline age, gender, an interaction between age and gender, ethnic group, deprivation, non-frailty long-term conditions (cancer, depression, epilepsy, SMI and learning disability), registration drop-out and year dummies.</w:t>
            </w:r>
          </w:p>
          <w:p w14:paraId="11DD1705" w14:textId="77777777" w:rsidR="004868C5" w:rsidRPr="004868C5" w:rsidRDefault="004868C5" w:rsidP="00D11C26">
            <w:pPr>
              <w:spacing w:after="0" w:line="240" w:lineRule="auto"/>
              <w:rPr>
                <w:rFonts w:ascii="Times New Roman" w:eastAsia="Times New Roman" w:hAnsi="Times New Roman" w:cs="Times New Roman"/>
                <w:color w:val="000000"/>
                <w:sz w:val="18"/>
                <w:szCs w:val="18"/>
              </w:rPr>
            </w:pPr>
            <w:r w:rsidRPr="004868C5">
              <w:rPr>
                <w:rFonts w:ascii="Times New Roman" w:eastAsia="Times New Roman" w:hAnsi="Times New Roman" w:cs="Times New Roman"/>
                <w:color w:val="000000"/>
                <w:sz w:val="18"/>
                <w:szCs w:val="18"/>
              </w:rPr>
              <w:t xml:space="preserve">a. Incident rate ratio. b. 95% confidence interval. c. electronic Frailty Index (eFI) category: 0-0.12 non-frail; 0.12-0.24 mild frailty; 0.24-0.36 moderate frailty; &gt;0.36 severe frailty. </w:t>
            </w:r>
          </w:p>
          <w:p w14:paraId="5040C7E6" w14:textId="59EF0A47" w:rsidR="004868C5" w:rsidRPr="004868C5" w:rsidRDefault="004868C5" w:rsidP="00D11C26">
            <w:pPr>
              <w:spacing w:after="0" w:line="240" w:lineRule="auto"/>
              <w:rPr>
                <w:rFonts w:ascii="Times New Roman" w:eastAsia="Times New Roman" w:hAnsi="Times New Roman" w:cs="Times New Roman"/>
                <w:color w:val="000000"/>
                <w:sz w:val="18"/>
                <w:szCs w:val="18"/>
              </w:rPr>
            </w:pPr>
            <w:r w:rsidRPr="004868C5">
              <w:rPr>
                <w:rFonts w:ascii="Times New Roman" w:hAnsi="Times New Roman" w:cs="Times New Roman"/>
                <w:sz w:val="18"/>
                <w:szCs w:val="18"/>
              </w:rPr>
              <w:t>*** p&lt;0.001, ** p&lt;0.01, * p&lt;0.05.</w:t>
            </w:r>
          </w:p>
        </w:tc>
      </w:tr>
      <w:tr w:rsidR="00613B93" w:rsidRPr="004868C5" w14:paraId="4244F140" w14:textId="77777777" w:rsidTr="00A719E4">
        <w:trPr>
          <w:trHeight w:val="300"/>
        </w:trPr>
        <w:tc>
          <w:tcPr>
            <w:tcW w:w="1838" w:type="dxa"/>
            <w:shd w:val="clear" w:color="auto" w:fill="auto"/>
            <w:noWrap/>
            <w:vAlign w:val="bottom"/>
            <w:hideMark/>
          </w:tcPr>
          <w:p w14:paraId="223B622A" w14:textId="77777777" w:rsidR="004868C5" w:rsidRPr="004868C5" w:rsidRDefault="004868C5" w:rsidP="00D11C26">
            <w:pPr>
              <w:spacing w:after="0" w:line="240" w:lineRule="auto"/>
              <w:rPr>
                <w:rFonts w:ascii="Times New Roman" w:eastAsia="Times New Roman" w:hAnsi="Times New Roman" w:cs="Times New Roman"/>
                <w:color w:val="000000"/>
                <w:sz w:val="18"/>
                <w:szCs w:val="18"/>
              </w:rPr>
            </w:pPr>
          </w:p>
        </w:tc>
        <w:tc>
          <w:tcPr>
            <w:tcW w:w="851" w:type="dxa"/>
            <w:shd w:val="clear" w:color="auto" w:fill="auto"/>
            <w:noWrap/>
            <w:vAlign w:val="bottom"/>
            <w:hideMark/>
          </w:tcPr>
          <w:p w14:paraId="5B31B01C" w14:textId="77777777" w:rsidR="004868C5" w:rsidRPr="004868C5" w:rsidRDefault="004868C5" w:rsidP="004868C5">
            <w:pPr>
              <w:spacing w:after="0" w:line="240" w:lineRule="auto"/>
              <w:rPr>
                <w:rFonts w:ascii="Times New Roman" w:eastAsia="Times New Roman" w:hAnsi="Times New Roman" w:cs="Times New Roman"/>
                <w:sz w:val="18"/>
                <w:szCs w:val="18"/>
              </w:rPr>
            </w:pPr>
          </w:p>
        </w:tc>
        <w:tc>
          <w:tcPr>
            <w:tcW w:w="1134" w:type="dxa"/>
            <w:shd w:val="clear" w:color="auto" w:fill="auto"/>
            <w:noWrap/>
            <w:vAlign w:val="bottom"/>
            <w:hideMark/>
          </w:tcPr>
          <w:p w14:paraId="1C3E0D9F" w14:textId="77777777" w:rsidR="004868C5" w:rsidRPr="004868C5" w:rsidRDefault="004868C5" w:rsidP="004868C5">
            <w:pPr>
              <w:spacing w:after="0" w:line="240" w:lineRule="auto"/>
              <w:rPr>
                <w:rFonts w:ascii="Times New Roman" w:eastAsia="Times New Roman" w:hAnsi="Times New Roman" w:cs="Times New Roman"/>
                <w:sz w:val="18"/>
                <w:szCs w:val="18"/>
              </w:rPr>
            </w:pPr>
          </w:p>
        </w:tc>
        <w:tc>
          <w:tcPr>
            <w:tcW w:w="851" w:type="dxa"/>
            <w:shd w:val="clear" w:color="auto" w:fill="auto"/>
            <w:noWrap/>
            <w:vAlign w:val="bottom"/>
            <w:hideMark/>
          </w:tcPr>
          <w:p w14:paraId="139D5260" w14:textId="77777777" w:rsidR="004868C5" w:rsidRPr="004868C5" w:rsidRDefault="004868C5" w:rsidP="004868C5">
            <w:pPr>
              <w:spacing w:after="0" w:line="240" w:lineRule="auto"/>
              <w:rPr>
                <w:rFonts w:ascii="Times New Roman" w:eastAsia="Times New Roman" w:hAnsi="Times New Roman" w:cs="Times New Roman"/>
                <w:sz w:val="18"/>
                <w:szCs w:val="18"/>
              </w:rPr>
            </w:pPr>
          </w:p>
        </w:tc>
        <w:tc>
          <w:tcPr>
            <w:tcW w:w="1134" w:type="dxa"/>
            <w:shd w:val="clear" w:color="auto" w:fill="auto"/>
            <w:noWrap/>
            <w:vAlign w:val="bottom"/>
            <w:hideMark/>
          </w:tcPr>
          <w:p w14:paraId="156DD68A" w14:textId="77777777" w:rsidR="004868C5" w:rsidRPr="004868C5" w:rsidRDefault="004868C5" w:rsidP="004868C5">
            <w:pPr>
              <w:spacing w:after="0" w:line="240" w:lineRule="auto"/>
              <w:rPr>
                <w:rFonts w:ascii="Times New Roman" w:eastAsia="Times New Roman" w:hAnsi="Times New Roman" w:cs="Times New Roman"/>
                <w:sz w:val="18"/>
                <w:szCs w:val="18"/>
              </w:rPr>
            </w:pPr>
          </w:p>
        </w:tc>
        <w:tc>
          <w:tcPr>
            <w:tcW w:w="851" w:type="dxa"/>
            <w:shd w:val="clear" w:color="auto" w:fill="auto"/>
            <w:noWrap/>
            <w:vAlign w:val="bottom"/>
            <w:hideMark/>
          </w:tcPr>
          <w:p w14:paraId="31CC1F4F" w14:textId="77777777" w:rsidR="004868C5" w:rsidRPr="004868C5" w:rsidRDefault="004868C5" w:rsidP="004868C5">
            <w:pPr>
              <w:spacing w:after="0" w:line="240" w:lineRule="auto"/>
              <w:rPr>
                <w:rFonts w:ascii="Times New Roman" w:eastAsia="Times New Roman" w:hAnsi="Times New Roman" w:cs="Times New Roman"/>
                <w:sz w:val="18"/>
                <w:szCs w:val="18"/>
              </w:rPr>
            </w:pPr>
          </w:p>
        </w:tc>
        <w:tc>
          <w:tcPr>
            <w:tcW w:w="1134" w:type="dxa"/>
            <w:shd w:val="clear" w:color="auto" w:fill="auto"/>
            <w:noWrap/>
            <w:vAlign w:val="bottom"/>
            <w:hideMark/>
          </w:tcPr>
          <w:p w14:paraId="7ED9F5DC" w14:textId="77777777" w:rsidR="004868C5" w:rsidRPr="004868C5" w:rsidRDefault="004868C5" w:rsidP="004868C5">
            <w:pPr>
              <w:spacing w:after="0" w:line="240" w:lineRule="auto"/>
              <w:rPr>
                <w:rFonts w:ascii="Times New Roman" w:eastAsia="Times New Roman" w:hAnsi="Times New Roman" w:cs="Times New Roman"/>
                <w:sz w:val="18"/>
                <w:szCs w:val="18"/>
              </w:rPr>
            </w:pPr>
          </w:p>
        </w:tc>
        <w:tc>
          <w:tcPr>
            <w:tcW w:w="851" w:type="dxa"/>
            <w:shd w:val="clear" w:color="auto" w:fill="auto"/>
            <w:noWrap/>
            <w:vAlign w:val="bottom"/>
            <w:hideMark/>
          </w:tcPr>
          <w:p w14:paraId="0AB9E2CD" w14:textId="77777777" w:rsidR="004868C5" w:rsidRPr="004868C5" w:rsidRDefault="004868C5" w:rsidP="004868C5">
            <w:pPr>
              <w:spacing w:after="0" w:line="240" w:lineRule="auto"/>
              <w:rPr>
                <w:rFonts w:ascii="Times New Roman" w:eastAsia="Times New Roman" w:hAnsi="Times New Roman" w:cs="Times New Roman"/>
                <w:sz w:val="18"/>
                <w:szCs w:val="18"/>
              </w:rPr>
            </w:pPr>
          </w:p>
        </w:tc>
        <w:tc>
          <w:tcPr>
            <w:tcW w:w="1134" w:type="dxa"/>
            <w:shd w:val="clear" w:color="auto" w:fill="auto"/>
            <w:noWrap/>
            <w:vAlign w:val="bottom"/>
            <w:hideMark/>
          </w:tcPr>
          <w:p w14:paraId="183E78EA" w14:textId="77777777" w:rsidR="004868C5" w:rsidRPr="004868C5" w:rsidRDefault="004868C5" w:rsidP="004868C5">
            <w:pPr>
              <w:spacing w:after="0" w:line="240" w:lineRule="auto"/>
              <w:rPr>
                <w:rFonts w:ascii="Times New Roman" w:eastAsia="Times New Roman" w:hAnsi="Times New Roman" w:cs="Times New Roman"/>
                <w:sz w:val="18"/>
                <w:szCs w:val="18"/>
              </w:rPr>
            </w:pPr>
          </w:p>
        </w:tc>
        <w:tc>
          <w:tcPr>
            <w:tcW w:w="907" w:type="dxa"/>
            <w:shd w:val="clear" w:color="auto" w:fill="auto"/>
            <w:noWrap/>
            <w:vAlign w:val="bottom"/>
            <w:hideMark/>
          </w:tcPr>
          <w:p w14:paraId="2FB16374" w14:textId="77777777" w:rsidR="004868C5" w:rsidRPr="004868C5" w:rsidRDefault="004868C5" w:rsidP="004868C5">
            <w:pPr>
              <w:spacing w:after="0" w:line="240" w:lineRule="auto"/>
              <w:rPr>
                <w:rFonts w:ascii="Times New Roman" w:eastAsia="Times New Roman" w:hAnsi="Times New Roman" w:cs="Times New Roman"/>
                <w:sz w:val="18"/>
                <w:szCs w:val="18"/>
              </w:rPr>
            </w:pPr>
          </w:p>
        </w:tc>
        <w:tc>
          <w:tcPr>
            <w:tcW w:w="1247" w:type="dxa"/>
            <w:shd w:val="clear" w:color="auto" w:fill="auto"/>
            <w:noWrap/>
            <w:vAlign w:val="bottom"/>
            <w:hideMark/>
          </w:tcPr>
          <w:p w14:paraId="434126B1" w14:textId="77777777" w:rsidR="004868C5" w:rsidRPr="004868C5" w:rsidRDefault="004868C5" w:rsidP="004868C5">
            <w:pPr>
              <w:spacing w:after="0" w:line="240" w:lineRule="auto"/>
              <w:rPr>
                <w:rFonts w:ascii="Times New Roman" w:eastAsia="Times New Roman" w:hAnsi="Times New Roman" w:cs="Times New Roman"/>
                <w:sz w:val="18"/>
                <w:szCs w:val="18"/>
              </w:rPr>
            </w:pPr>
          </w:p>
        </w:tc>
        <w:tc>
          <w:tcPr>
            <w:tcW w:w="851" w:type="dxa"/>
            <w:shd w:val="clear" w:color="auto" w:fill="auto"/>
            <w:noWrap/>
            <w:vAlign w:val="bottom"/>
            <w:hideMark/>
          </w:tcPr>
          <w:p w14:paraId="35762E11" w14:textId="77777777" w:rsidR="004868C5" w:rsidRPr="004868C5" w:rsidRDefault="004868C5" w:rsidP="004868C5">
            <w:pPr>
              <w:spacing w:after="0" w:line="240" w:lineRule="auto"/>
              <w:rPr>
                <w:rFonts w:ascii="Times New Roman" w:eastAsia="Times New Roman" w:hAnsi="Times New Roman" w:cs="Times New Roman"/>
                <w:sz w:val="18"/>
                <w:szCs w:val="18"/>
              </w:rPr>
            </w:pPr>
          </w:p>
        </w:tc>
        <w:tc>
          <w:tcPr>
            <w:tcW w:w="1134" w:type="dxa"/>
            <w:shd w:val="clear" w:color="auto" w:fill="auto"/>
            <w:noWrap/>
            <w:vAlign w:val="bottom"/>
            <w:hideMark/>
          </w:tcPr>
          <w:p w14:paraId="11D20CE2" w14:textId="77777777" w:rsidR="004868C5" w:rsidRPr="004868C5" w:rsidRDefault="004868C5" w:rsidP="004868C5">
            <w:pPr>
              <w:spacing w:after="0" w:line="240" w:lineRule="auto"/>
              <w:rPr>
                <w:rFonts w:ascii="Times New Roman" w:eastAsia="Times New Roman" w:hAnsi="Times New Roman" w:cs="Times New Roman"/>
                <w:sz w:val="18"/>
                <w:szCs w:val="18"/>
              </w:rPr>
            </w:pPr>
          </w:p>
        </w:tc>
      </w:tr>
    </w:tbl>
    <w:p w14:paraId="3783021B" w14:textId="77777777" w:rsidR="00CA0419" w:rsidRDefault="00CA0419">
      <w:pPr>
        <w:rPr>
          <w:rFonts w:ascii="Times New Roman" w:hAnsi="Times New Roman" w:cs="Times New Roman"/>
        </w:rPr>
      </w:pPr>
    </w:p>
    <w:p w14:paraId="37F4AA4A" w14:textId="77777777" w:rsidR="00CA0419" w:rsidRDefault="00CA0419">
      <w:pPr>
        <w:rPr>
          <w:rFonts w:ascii="Times New Roman" w:hAnsi="Times New Roman" w:cs="Times New Roman"/>
        </w:rPr>
      </w:pPr>
    </w:p>
    <w:p w14:paraId="4035A29D" w14:textId="77777777" w:rsidR="00CA0419" w:rsidRDefault="00CA0419">
      <w:pPr>
        <w:rPr>
          <w:rFonts w:ascii="Times New Roman" w:hAnsi="Times New Roman" w:cs="Times New Roman"/>
        </w:rPr>
      </w:pPr>
    </w:p>
    <w:p w14:paraId="64AC30AF" w14:textId="77777777" w:rsidR="00CA0419" w:rsidRDefault="00CA0419">
      <w:pPr>
        <w:rPr>
          <w:rFonts w:ascii="Times New Roman" w:hAnsi="Times New Roman" w:cs="Times New Roman"/>
        </w:rPr>
      </w:pPr>
    </w:p>
    <w:p w14:paraId="3CD486A3" w14:textId="77777777" w:rsidR="00CA0419" w:rsidRDefault="00CA0419">
      <w:pPr>
        <w:rPr>
          <w:rFonts w:ascii="Times New Roman" w:hAnsi="Times New Roman" w:cs="Times New Roman"/>
        </w:rPr>
      </w:pPr>
    </w:p>
    <w:p w14:paraId="403DE59E" w14:textId="77777777" w:rsidR="00CA0419" w:rsidRDefault="00CA0419">
      <w:pPr>
        <w:rPr>
          <w:rFonts w:ascii="Times New Roman" w:hAnsi="Times New Roman" w:cs="Times New Roman"/>
        </w:rPr>
      </w:pPr>
    </w:p>
    <w:p w14:paraId="219EC667" w14:textId="77777777" w:rsidR="00CA0419" w:rsidRDefault="00CA0419">
      <w:pPr>
        <w:rPr>
          <w:rFonts w:ascii="Times New Roman" w:hAnsi="Times New Roman" w:cs="Times New Roman"/>
        </w:rPr>
      </w:pPr>
    </w:p>
    <w:p w14:paraId="632E1563" w14:textId="77777777" w:rsidR="00CA0419" w:rsidRDefault="00CA0419">
      <w:pPr>
        <w:rPr>
          <w:rFonts w:ascii="Times New Roman" w:hAnsi="Times New Roman" w:cs="Times New Roman"/>
        </w:rPr>
      </w:pPr>
    </w:p>
    <w:p w14:paraId="79F76B1A" w14:textId="77777777" w:rsidR="00CA0419" w:rsidRDefault="00CA0419">
      <w:pPr>
        <w:rPr>
          <w:rFonts w:ascii="Times New Roman" w:hAnsi="Times New Roman" w:cs="Times New Roman"/>
        </w:rPr>
      </w:pPr>
    </w:p>
    <w:p w14:paraId="5A9445A3" w14:textId="77777777" w:rsidR="00405893" w:rsidRPr="00405893" w:rsidRDefault="00405893" w:rsidP="00405893"/>
    <w:p w14:paraId="25CBDAA6" w14:textId="5D722A68" w:rsidR="00B5308D" w:rsidRDefault="00B5308D">
      <w:pPr>
        <w:rPr>
          <w:rFonts w:ascii="Times New Roman" w:hAnsi="Times New Roman" w:cs="Times New Roman"/>
        </w:rPr>
        <w:sectPr w:rsidR="00B5308D" w:rsidSect="00E54D7A">
          <w:pgSz w:w="16838" w:h="11906" w:orient="landscape"/>
          <w:pgMar w:top="1440" w:right="1440" w:bottom="1440" w:left="1440" w:header="708" w:footer="708" w:gutter="0"/>
          <w:cols w:space="708"/>
          <w:docGrid w:linePitch="360"/>
        </w:sectPr>
      </w:pPr>
    </w:p>
    <w:p w14:paraId="6BA8FB26" w14:textId="024A2C83" w:rsidR="0033693B" w:rsidRPr="0033693B" w:rsidRDefault="0033693B" w:rsidP="0033693B">
      <w:pPr>
        <w:pStyle w:val="Caption"/>
        <w:keepNext/>
        <w:rPr>
          <w:rFonts w:ascii="Times New Roman" w:hAnsi="Times New Roman" w:cs="Times New Roman"/>
        </w:rPr>
      </w:pPr>
      <w:r w:rsidRPr="0033693B">
        <w:rPr>
          <w:rFonts w:ascii="Times New Roman" w:hAnsi="Times New Roman" w:cs="Times New Roman"/>
        </w:rPr>
        <w:lastRenderedPageBreak/>
        <w:t xml:space="preserve">Table </w:t>
      </w:r>
      <w:r w:rsidRPr="0033693B">
        <w:rPr>
          <w:rFonts w:ascii="Times New Roman" w:hAnsi="Times New Roman" w:cs="Times New Roman"/>
        </w:rPr>
        <w:fldChar w:fldCharType="begin"/>
      </w:r>
      <w:r w:rsidRPr="0033693B">
        <w:rPr>
          <w:rFonts w:ascii="Times New Roman" w:hAnsi="Times New Roman" w:cs="Times New Roman"/>
        </w:rPr>
        <w:instrText xml:space="preserve"> SEQ Table \* ARABIC </w:instrText>
      </w:r>
      <w:r w:rsidRPr="0033693B">
        <w:rPr>
          <w:rFonts w:ascii="Times New Roman" w:hAnsi="Times New Roman" w:cs="Times New Roman"/>
        </w:rPr>
        <w:fldChar w:fldCharType="separate"/>
      </w:r>
      <w:r w:rsidR="00701681">
        <w:rPr>
          <w:rFonts w:ascii="Times New Roman" w:hAnsi="Times New Roman" w:cs="Times New Roman"/>
          <w:noProof/>
        </w:rPr>
        <w:t>3</w:t>
      </w:r>
      <w:r w:rsidRPr="0033693B">
        <w:rPr>
          <w:rFonts w:ascii="Times New Roman" w:hAnsi="Times New Roman" w:cs="Times New Roman"/>
        </w:rPr>
        <w:fldChar w:fldCharType="end"/>
      </w:r>
      <w:r w:rsidRPr="0033693B">
        <w:rPr>
          <w:rFonts w:ascii="Times New Roman" w:hAnsi="Times New Roman" w:cs="Times New Roman"/>
        </w:rPr>
        <w:t xml:space="preserve"> Adjusted healthcare use and costs by frailty categories.</w:t>
      </w:r>
    </w:p>
    <w:tbl>
      <w:tblPr>
        <w:tblW w:w="5000" w:type="pct"/>
        <w:tblLook w:val="04A0" w:firstRow="1" w:lastRow="0" w:firstColumn="1" w:lastColumn="0" w:noHBand="0" w:noVBand="1"/>
      </w:tblPr>
      <w:tblGrid>
        <w:gridCol w:w="1862"/>
        <w:gridCol w:w="1764"/>
        <w:gridCol w:w="1759"/>
        <w:gridCol w:w="1822"/>
        <w:gridCol w:w="1819"/>
      </w:tblGrid>
      <w:tr w:rsidR="00A30DD9" w:rsidRPr="00740ACA" w14:paraId="077F78B2" w14:textId="77777777" w:rsidTr="00740ACA">
        <w:trPr>
          <w:trHeight w:val="302"/>
        </w:trPr>
        <w:tc>
          <w:tcPr>
            <w:tcW w:w="1033" w:type="pct"/>
            <w:tcBorders>
              <w:top w:val="single" w:sz="4" w:space="0" w:color="auto"/>
              <w:left w:val="nil"/>
              <w:bottom w:val="single" w:sz="4" w:space="0" w:color="auto"/>
              <w:right w:val="nil"/>
            </w:tcBorders>
            <w:shd w:val="clear" w:color="auto" w:fill="auto"/>
            <w:noWrap/>
            <w:vAlign w:val="bottom"/>
            <w:hideMark/>
          </w:tcPr>
          <w:p w14:paraId="4AD9C68C" w14:textId="77777777" w:rsidR="0033693B" w:rsidRPr="00740ACA" w:rsidRDefault="0033693B" w:rsidP="0033693B">
            <w:pPr>
              <w:spacing w:after="0" w:line="240" w:lineRule="auto"/>
              <w:rPr>
                <w:rFonts w:ascii="Times New Roman" w:eastAsia="Times New Roman" w:hAnsi="Times New Roman" w:cs="Times New Roman"/>
                <w:color w:val="000000"/>
                <w:sz w:val="18"/>
                <w:szCs w:val="18"/>
              </w:rPr>
            </w:pPr>
            <w:r w:rsidRPr="00740ACA">
              <w:rPr>
                <w:rFonts w:ascii="Times New Roman" w:eastAsia="Times New Roman" w:hAnsi="Times New Roman" w:cs="Times New Roman"/>
                <w:color w:val="000000"/>
                <w:sz w:val="18"/>
                <w:szCs w:val="18"/>
              </w:rPr>
              <w:t> </w:t>
            </w:r>
          </w:p>
        </w:tc>
        <w:tc>
          <w:tcPr>
            <w:tcW w:w="976" w:type="pct"/>
            <w:tcBorders>
              <w:top w:val="single" w:sz="4" w:space="0" w:color="auto"/>
              <w:left w:val="nil"/>
              <w:bottom w:val="single" w:sz="4" w:space="0" w:color="auto"/>
              <w:right w:val="nil"/>
            </w:tcBorders>
            <w:shd w:val="clear" w:color="auto" w:fill="auto"/>
            <w:noWrap/>
            <w:vAlign w:val="bottom"/>
            <w:hideMark/>
          </w:tcPr>
          <w:p w14:paraId="1FA2C480" w14:textId="77777777" w:rsidR="0033693B" w:rsidRPr="00740ACA" w:rsidRDefault="0033693B" w:rsidP="0033693B">
            <w:pPr>
              <w:spacing w:after="0" w:line="240" w:lineRule="auto"/>
              <w:jc w:val="center"/>
              <w:rPr>
                <w:rFonts w:ascii="Times New Roman" w:eastAsia="Times New Roman" w:hAnsi="Times New Roman" w:cs="Times New Roman"/>
                <w:b/>
                <w:bCs/>
                <w:color w:val="000000"/>
                <w:sz w:val="18"/>
                <w:szCs w:val="18"/>
              </w:rPr>
            </w:pPr>
            <w:r w:rsidRPr="00740ACA">
              <w:rPr>
                <w:rFonts w:ascii="Times New Roman" w:eastAsia="Times New Roman" w:hAnsi="Times New Roman" w:cs="Times New Roman"/>
                <w:b/>
                <w:bCs/>
                <w:color w:val="000000"/>
                <w:sz w:val="18"/>
                <w:szCs w:val="18"/>
              </w:rPr>
              <w:t>Non-frail</w:t>
            </w:r>
          </w:p>
        </w:tc>
        <w:tc>
          <w:tcPr>
            <w:tcW w:w="973" w:type="pct"/>
            <w:tcBorders>
              <w:top w:val="single" w:sz="4" w:space="0" w:color="auto"/>
              <w:left w:val="nil"/>
              <w:bottom w:val="single" w:sz="4" w:space="0" w:color="auto"/>
              <w:right w:val="nil"/>
            </w:tcBorders>
            <w:shd w:val="clear" w:color="auto" w:fill="auto"/>
            <w:noWrap/>
            <w:vAlign w:val="bottom"/>
            <w:hideMark/>
          </w:tcPr>
          <w:p w14:paraId="42591B98" w14:textId="77777777" w:rsidR="0033693B" w:rsidRPr="00740ACA" w:rsidRDefault="0033693B" w:rsidP="0033693B">
            <w:pPr>
              <w:spacing w:after="0" w:line="240" w:lineRule="auto"/>
              <w:jc w:val="center"/>
              <w:rPr>
                <w:rFonts w:ascii="Times New Roman" w:eastAsia="Times New Roman" w:hAnsi="Times New Roman" w:cs="Times New Roman"/>
                <w:b/>
                <w:bCs/>
                <w:color w:val="000000"/>
                <w:sz w:val="18"/>
                <w:szCs w:val="18"/>
              </w:rPr>
            </w:pPr>
            <w:r w:rsidRPr="00740ACA">
              <w:rPr>
                <w:rFonts w:ascii="Times New Roman" w:eastAsia="Times New Roman" w:hAnsi="Times New Roman" w:cs="Times New Roman"/>
                <w:b/>
                <w:bCs/>
                <w:color w:val="000000"/>
                <w:sz w:val="18"/>
                <w:szCs w:val="18"/>
              </w:rPr>
              <w:t>Mild frailty</w:t>
            </w:r>
          </w:p>
        </w:tc>
        <w:tc>
          <w:tcPr>
            <w:tcW w:w="1010" w:type="pct"/>
            <w:tcBorders>
              <w:top w:val="single" w:sz="4" w:space="0" w:color="auto"/>
              <w:left w:val="nil"/>
              <w:bottom w:val="single" w:sz="4" w:space="0" w:color="auto"/>
              <w:right w:val="nil"/>
            </w:tcBorders>
            <w:shd w:val="clear" w:color="auto" w:fill="auto"/>
            <w:noWrap/>
            <w:vAlign w:val="bottom"/>
            <w:hideMark/>
          </w:tcPr>
          <w:p w14:paraId="6F847FCA" w14:textId="77777777" w:rsidR="0033693B" w:rsidRPr="00740ACA" w:rsidRDefault="0033693B" w:rsidP="0033693B">
            <w:pPr>
              <w:spacing w:after="0" w:line="240" w:lineRule="auto"/>
              <w:jc w:val="center"/>
              <w:rPr>
                <w:rFonts w:ascii="Times New Roman" w:eastAsia="Times New Roman" w:hAnsi="Times New Roman" w:cs="Times New Roman"/>
                <w:b/>
                <w:bCs/>
                <w:color w:val="000000"/>
                <w:sz w:val="18"/>
                <w:szCs w:val="18"/>
              </w:rPr>
            </w:pPr>
            <w:r w:rsidRPr="00740ACA">
              <w:rPr>
                <w:rFonts w:ascii="Times New Roman" w:eastAsia="Times New Roman" w:hAnsi="Times New Roman" w:cs="Times New Roman"/>
                <w:b/>
                <w:bCs/>
                <w:color w:val="000000"/>
                <w:sz w:val="18"/>
                <w:szCs w:val="18"/>
              </w:rPr>
              <w:t>Moderate frailty</w:t>
            </w:r>
          </w:p>
        </w:tc>
        <w:tc>
          <w:tcPr>
            <w:tcW w:w="1008" w:type="pct"/>
            <w:tcBorders>
              <w:top w:val="single" w:sz="4" w:space="0" w:color="auto"/>
              <w:left w:val="nil"/>
              <w:bottom w:val="single" w:sz="4" w:space="0" w:color="auto"/>
              <w:right w:val="nil"/>
            </w:tcBorders>
            <w:shd w:val="clear" w:color="auto" w:fill="auto"/>
            <w:noWrap/>
            <w:vAlign w:val="bottom"/>
            <w:hideMark/>
          </w:tcPr>
          <w:p w14:paraId="492765F6" w14:textId="77777777" w:rsidR="0033693B" w:rsidRPr="00740ACA" w:rsidRDefault="0033693B" w:rsidP="0033693B">
            <w:pPr>
              <w:spacing w:after="0" w:line="240" w:lineRule="auto"/>
              <w:jc w:val="center"/>
              <w:rPr>
                <w:rFonts w:ascii="Times New Roman" w:eastAsia="Times New Roman" w:hAnsi="Times New Roman" w:cs="Times New Roman"/>
                <w:b/>
                <w:bCs/>
                <w:color w:val="000000"/>
                <w:sz w:val="18"/>
                <w:szCs w:val="18"/>
              </w:rPr>
            </w:pPr>
            <w:r w:rsidRPr="00740ACA">
              <w:rPr>
                <w:rFonts w:ascii="Times New Roman" w:eastAsia="Times New Roman" w:hAnsi="Times New Roman" w:cs="Times New Roman"/>
                <w:b/>
                <w:bCs/>
                <w:color w:val="000000"/>
                <w:sz w:val="18"/>
                <w:szCs w:val="18"/>
              </w:rPr>
              <w:t>Severe frailty</w:t>
            </w:r>
          </w:p>
        </w:tc>
      </w:tr>
      <w:tr w:rsidR="00A30DD9" w:rsidRPr="00740ACA" w14:paraId="114D6768" w14:textId="77777777" w:rsidTr="00740ACA">
        <w:trPr>
          <w:trHeight w:val="302"/>
        </w:trPr>
        <w:tc>
          <w:tcPr>
            <w:tcW w:w="1033" w:type="pct"/>
            <w:tcBorders>
              <w:top w:val="nil"/>
              <w:left w:val="nil"/>
              <w:bottom w:val="nil"/>
              <w:right w:val="nil"/>
            </w:tcBorders>
            <w:shd w:val="clear" w:color="auto" w:fill="auto"/>
            <w:noWrap/>
            <w:vAlign w:val="bottom"/>
            <w:hideMark/>
          </w:tcPr>
          <w:p w14:paraId="4045EE79" w14:textId="77777777" w:rsidR="0033693B" w:rsidRPr="00740ACA" w:rsidRDefault="0033693B" w:rsidP="0033693B">
            <w:pPr>
              <w:spacing w:after="0" w:line="240" w:lineRule="auto"/>
              <w:jc w:val="center"/>
              <w:rPr>
                <w:rFonts w:ascii="Times New Roman" w:eastAsia="Times New Roman" w:hAnsi="Times New Roman" w:cs="Times New Roman"/>
                <w:b/>
                <w:bCs/>
                <w:color w:val="000000"/>
                <w:sz w:val="18"/>
                <w:szCs w:val="18"/>
              </w:rPr>
            </w:pPr>
          </w:p>
        </w:tc>
        <w:tc>
          <w:tcPr>
            <w:tcW w:w="976" w:type="pct"/>
            <w:tcBorders>
              <w:top w:val="nil"/>
              <w:left w:val="nil"/>
              <w:bottom w:val="nil"/>
              <w:right w:val="nil"/>
            </w:tcBorders>
            <w:shd w:val="clear" w:color="auto" w:fill="auto"/>
            <w:noWrap/>
            <w:vAlign w:val="bottom"/>
            <w:hideMark/>
          </w:tcPr>
          <w:p w14:paraId="55DA7F6F" w14:textId="77777777" w:rsidR="0033693B" w:rsidRPr="00740ACA" w:rsidRDefault="0033693B" w:rsidP="0033693B">
            <w:pPr>
              <w:spacing w:after="0" w:line="240" w:lineRule="auto"/>
              <w:rPr>
                <w:rFonts w:ascii="Times New Roman" w:eastAsia="Times New Roman" w:hAnsi="Times New Roman" w:cs="Times New Roman"/>
                <w:sz w:val="18"/>
                <w:szCs w:val="18"/>
              </w:rPr>
            </w:pPr>
          </w:p>
        </w:tc>
        <w:tc>
          <w:tcPr>
            <w:tcW w:w="973" w:type="pct"/>
            <w:tcBorders>
              <w:top w:val="nil"/>
              <w:left w:val="nil"/>
              <w:bottom w:val="nil"/>
              <w:right w:val="nil"/>
            </w:tcBorders>
            <w:shd w:val="clear" w:color="auto" w:fill="auto"/>
            <w:noWrap/>
            <w:vAlign w:val="bottom"/>
            <w:hideMark/>
          </w:tcPr>
          <w:p w14:paraId="3A57993F" w14:textId="77777777" w:rsidR="0033693B" w:rsidRPr="00740ACA" w:rsidRDefault="0033693B" w:rsidP="0033693B">
            <w:pPr>
              <w:spacing w:after="0" w:line="240" w:lineRule="auto"/>
              <w:jc w:val="center"/>
              <w:rPr>
                <w:rFonts w:ascii="Times New Roman" w:eastAsia="Times New Roman" w:hAnsi="Times New Roman" w:cs="Times New Roman"/>
                <w:sz w:val="18"/>
                <w:szCs w:val="18"/>
              </w:rPr>
            </w:pPr>
          </w:p>
        </w:tc>
        <w:tc>
          <w:tcPr>
            <w:tcW w:w="1010" w:type="pct"/>
            <w:tcBorders>
              <w:top w:val="nil"/>
              <w:left w:val="nil"/>
              <w:bottom w:val="nil"/>
              <w:right w:val="nil"/>
            </w:tcBorders>
            <w:shd w:val="clear" w:color="auto" w:fill="auto"/>
            <w:noWrap/>
            <w:vAlign w:val="bottom"/>
            <w:hideMark/>
          </w:tcPr>
          <w:p w14:paraId="4D9ECA25" w14:textId="77777777" w:rsidR="0033693B" w:rsidRPr="00740ACA" w:rsidRDefault="0033693B" w:rsidP="0033693B">
            <w:pPr>
              <w:spacing w:after="0" w:line="240" w:lineRule="auto"/>
              <w:jc w:val="center"/>
              <w:rPr>
                <w:rFonts w:ascii="Times New Roman" w:eastAsia="Times New Roman" w:hAnsi="Times New Roman" w:cs="Times New Roman"/>
                <w:sz w:val="18"/>
                <w:szCs w:val="18"/>
              </w:rPr>
            </w:pPr>
          </w:p>
        </w:tc>
        <w:tc>
          <w:tcPr>
            <w:tcW w:w="1008" w:type="pct"/>
            <w:tcBorders>
              <w:top w:val="nil"/>
              <w:left w:val="nil"/>
              <w:bottom w:val="nil"/>
              <w:right w:val="nil"/>
            </w:tcBorders>
            <w:shd w:val="clear" w:color="auto" w:fill="auto"/>
            <w:noWrap/>
            <w:vAlign w:val="bottom"/>
            <w:hideMark/>
          </w:tcPr>
          <w:p w14:paraId="5FBDD97D" w14:textId="77777777" w:rsidR="0033693B" w:rsidRPr="00740ACA" w:rsidRDefault="0033693B" w:rsidP="0033693B">
            <w:pPr>
              <w:spacing w:after="0" w:line="240" w:lineRule="auto"/>
              <w:jc w:val="center"/>
              <w:rPr>
                <w:rFonts w:ascii="Times New Roman" w:eastAsia="Times New Roman" w:hAnsi="Times New Roman" w:cs="Times New Roman"/>
                <w:sz w:val="18"/>
                <w:szCs w:val="18"/>
              </w:rPr>
            </w:pPr>
          </w:p>
        </w:tc>
      </w:tr>
      <w:tr w:rsidR="00A063BE" w:rsidRPr="00740ACA" w14:paraId="746063CF" w14:textId="77777777" w:rsidTr="00740ACA">
        <w:trPr>
          <w:trHeight w:val="302"/>
        </w:trPr>
        <w:tc>
          <w:tcPr>
            <w:tcW w:w="2008" w:type="pct"/>
            <w:gridSpan w:val="2"/>
            <w:tcBorders>
              <w:top w:val="nil"/>
              <w:left w:val="nil"/>
              <w:bottom w:val="nil"/>
              <w:right w:val="nil"/>
            </w:tcBorders>
            <w:shd w:val="clear" w:color="auto" w:fill="auto"/>
            <w:noWrap/>
            <w:vAlign w:val="bottom"/>
            <w:hideMark/>
          </w:tcPr>
          <w:p w14:paraId="6184AFD6" w14:textId="725830F1" w:rsidR="0033693B" w:rsidRPr="00740ACA" w:rsidRDefault="0033693B" w:rsidP="0033693B">
            <w:pPr>
              <w:spacing w:after="0" w:line="240" w:lineRule="auto"/>
              <w:rPr>
                <w:rFonts w:ascii="Times New Roman" w:eastAsia="Times New Roman" w:hAnsi="Times New Roman" w:cs="Times New Roman"/>
                <w:i/>
                <w:iCs/>
                <w:color w:val="000000"/>
                <w:sz w:val="18"/>
                <w:szCs w:val="18"/>
                <w:vertAlign w:val="superscript"/>
              </w:rPr>
            </w:pPr>
            <w:r w:rsidRPr="00740ACA">
              <w:rPr>
                <w:rFonts w:ascii="Times New Roman" w:eastAsia="Times New Roman" w:hAnsi="Times New Roman" w:cs="Times New Roman"/>
                <w:i/>
                <w:iCs/>
                <w:color w:val="000000"/>
                <w:sz w:val="18"/>
                <w:szCs w:val="18"/>
              </w:rPr>
              <w:t>General practice consultations</w:t>
            </w:r>
            <w:r w:rsidR="00223F27" w:rsidRPr="00740ACA">
              <w:rPr>
                <w:rFonts w:ascii="Times New Roman" w:eastAsia="Times New Roman" w:hAnsi="Times New Roman" w:cs="Times New Roman"/>
                <w:i/>
                <w:iCs/>
                <w:color w:val="000000"/>
                <w:sz w:val="18"/>
                <w:szCs w:val="18"/>
                <w:vertAlign w:val="superscript"/>
              </w:rPr>
              <w:t>a</w:t>
            </w:r>
          </w:p>
        </w:tc>
        <w:tc>
          <w:tcPr>
            <w:tcW w:w="973" w:type="pct"/>
            <w:tcBorders>
              <w:top w:val="nil"/>
              <w:left w:val="nil"/>
              <w:bottom w:val="nil"/>
              <w:right w:val="nil"/>
            </w:tcBorders>
            <w:shd w:val="clear" w:color="auto" w:fill="auto"/>
            <w:noWrap/>
            <w:vAlign w:val="bottom"/>
            <w:hideMark/>
          </w:tcPr>
          <w:p w14:paraId="3A5A8148" w14:textId="77777777" w:rsidR="0033693B" w:rsidRPr="00740ACA" w:rsidRDefault="0033693B" w:rsidP="0033693B">
            <w:pPr>
              <w:spacing w:after="0" w:line="240" w:lineRule="auto"/>
              <w:rPr>
                <w:rFonts w:ascii="Times New Roman" w:eastAsia="Times New Roman" w:hAnsi="Times New Roman" w:cs="Times New Roman"/>
                <w:i/>
                <w:iCs/>
                <w:color w:val="000000"/>
                <w:sz w:val="18"/>
                <w:szCs w:val="18"/>
              </w:rPr>
            </w:pPr>
          </w:p>
        </w:tc>
        <w:tc>
          <w:tcPr>
            <w:tcW w:w="1010" w:type="pct"/>
            <w:tcBorders>
              <w:top w:val="nil"/>
              <w:left w:val="nil"/>
              <w:bottom w:val="nil"/>
              <w:right w:val="nil"/>
            </w:tcBorders>
            <w:shd w:val="clear" w:color="auto" w:fill="auto"/>
            <w:noWrap/>
            <w:vAlign w:val="bottom"/>
            <w:hideMark/>
          </w:tcPr>
          <w:p w14:paraId="3D1E6725" w14:textId="77777777" w:rsidR="0033693B" w:rsidRPr="00740ACA" w:rsidRDefault="0033693B" w:rsidP="0033693B">
            <w:pPr>
              <w:spacing w:after="0" w:line="240" w:lineRule="auto"/>
              <w:rPr>
                <w:rFonts w:ascii="Times New Roman" w:eastAsia="Times New Roman" w:hAnsi="Times New Roman" w:cs="Times New Roman"/>
                <w:sz w:val="18"/>
                <w:szCs w:val="18"/>
              </w:rPr>
            </w:pPr>
          </w:p>
        </w:tc>
        <w:tc>
          <w:tcPr>
            <w:tcW w:w="1008" w:type="pct"/>
            <w:tcBorders>
              <w:top w:val="nil"/>
              <w:left w:val="nil"/>
              <w:bottom w:val="nil"/>
              <w:right w:val="nil"/>
            </w:tcBorders>
            <w:shd w:val="clear" w:color="auto" w:fill="auto"/>
            <w:noWrap/>
            <w:vAlign w:val="bottom"/>
            <w:hideMark/>
          </w:tcPr>
          <w:p w14:paraId="5267D4ED" w14:textId="77777777" w:rsidR="0033693B" w:rsidRPr="00740ACA" w:rsidRDefault="0033693B" w:rsidP="0033693B">
            <w:pPr>
              <w:spacing w:after="0" w:line="240" w:lineRule="auto"/>
              <w:rPr>
                <w:rFonts w:ascii="Times New Roman" w:eastAsia="Times New Roman" w:hAnsi="Times New Roman" w:cs="Times New Roman"/>
                <w:sz w:val="18"/>
                <w:szCs w:val="18"/>
              </w:rPr>
            </w:pPr>
          </w:p>
        </w:tc>
      </w:tr>
      <w:tr w:rsidR="00DD60D8" w:rsidRPr="00740ACA" w14:paraId="062733EB" w14:textId="77777777" w:rsidTr="00740ACA">
        <w:trPr>
          <w:trHeight w:val="302"/>
        </w:trPr>
        <w:tc>
          <w:tcPr>
            <w:tcW w:w="1033" w:type="pct"/>
            <w:tcBorders>
              <w:top w:val="nil"/>
              <w:left w:val="nil"/>
              <w:bottom w:val="nil"/>
              <w:right w:val="nil"/>
            </w:tcBorders>
            <w:shd w:val="clear" w:color="auto" w:fill="auto"/>
            <w:noWrap/>
            <w:vAlign w:val="bottom"/>
            <w:hideMark/>
          </w:tcPr>
          <w:p w14:paraId="30E1E2A1" w14:textId="77777777" w:rsidR="00DD60D8" w:rsidRPr="00740ACA" w:rsidRDefault="00DD60D8" w:rsidP="00740ACA">
            <w:pPr>
              <w:spacing w:after="0" w:line="240" w:lineRule="auto"/>
              <w:ind w:firstLineChars="200" w:firstLine="360"/>
              <w:rPr>
                <w:rFonts w:ascii="Times New Roman" w:eastAsia="Times New Roman" w:hAnsi="Times New Roman" w:cs="Times New Roman"/>
                <w:color w:val="000000"/>
                <w:sz w:val="18"/>
                <w:szCs w:val="18"/>
              </w:rPr>
            </w:pPr>
            <w:r w:rsidRPr="00740ACA">
              <w:rPr>
                <w:rFonts w:ascii="Times New Roman" w:eastAsia="Times New Roman" w:hAnsi="Times New Roman" w:cs="Times New Roman"/>
                <w:color w:val="000000"/>
                <w:sz w:val="18"/>
                <w:szCs w:val="18"/>
              </w:rPr>
              <w:t>GPs</w:t>
            </w:r>
          </w:p>
        </w:tc>
        <w:tc>
          <w:tcPr>
            <w:tcW w:w="976" w:type="pct"/>
            <w:tcBorders>
              <w:top w:val="nil"/>
              <w:left w:val="nil"/>
              <w:bottom w:val="nil"/>
              <w:right w:val="nil"/>
            </w:tcBorders>
            <w:shd w:val="clear" w:color="auto" w:fill="auto"/>
            <w:noWrap/>
            <w:vAlign w:val="bottom"/>
          </w:tcPr>
          <w:p w14:paraId="64BFF9A7" w14:textId="63BBFCCC" w:rsidR="00DD60D8" w:rsidRPr="00740ACA" w:rsidRDefault="00DD60D8"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sz w:val="18"/>
                <w:szCs w:val="18"/>
              </w:rPr>
              <w:t>10.05*** (0.35)</w:t>
            </w:r>
          </w:p>
        </w:tc>
        <w:tc>
          <w:tcPr>
            <w:tcW w:w="973" w:type="pct"/>
            <w:tcBorders>
              <w:top w:val="nil"/>
              <w:left w:val="nil"/>
              <w:bottom w:val="nil"/>
              <w:right w:val="nil"/>
            </w:tcBorders>
            <w:shd w:val="clear" w:color="auto" w:fill="auto"/>
            <w:noWrap/>
            <w:vAlign w:val="bottom"/>
          </w:tcPr>
          <w:p w14:paraId="33D95A3B" w14:textId="3DDE0669" w:rsidR="00DD60D8" w:rsidRPr="00740ACA" w:rsidRDefault="00DD60D8"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sz w:val="18"/>
                <w:szCs w:val="18"/>
              </w:rPr>
              <w:t>12.50*** (0.36)</w:t>
            </w:r>
          </w:p>
        </w:tc>
        <w:tc>
          <w:tcPr>
            <w:tcW w:w="1010" w:type="pct"/>
            <w:tcBorders>
              <w:top w:val="nil"/>
              <w:left w:val="nil"/>
              <w:bottom w:val="nil"/>
              <w:right w:val="nil"/>
            </w:tcBorders>
            <w:shd w:val="clear" w:color="auto" w:fill="auto"/>
            <w:noWrap/>
            <w:vAlign w:val="bottom"/>
          </w:tcPr>
          <w:p w14:paraId="346745C0" w14:textId="09A8BDFE" w:rsidR="00DD60D8" w:rsidRPr="00740ACA" w:rsidRDefault="00DD60D8"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sz w:val="18"/>
                <w:szCs w:val="18"/>
              </w:rPr>
              <w:t>14.15*** (0.38)</w:t>
            </w:r>
          </w:p>
        </w:tc>
        <w:tc>
          <w:tcPr>
            <w:tcW w:w="1008" w:type="pct"/>
            <w:tcBorders>
              <w:top w:val="nil"/>
              <w:left w:val="nil"/>
              <w:bottom w:val="nil"/>
              <w:right w:val="nil"/>
            </w:tcBorders>
            <w:shd w:val="clear" w:color="auto" w:fill="auto"/>
            <w:noWrap/>
            <w:vAlign w:val="bottom"/>
          </w:tcPr>
          <w:p w14:paraId="78EBB90E" w14:textId="298D7691" w:rsidR="00DD60D8" w:rsidRPr="00740ACA" w:rsidRDefault="00DD60D8"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sz w:val="18"/>
                <w:szCs w:val="18"/>
              </w:rPr>
              <w:t>15.27*** (0.48)</w:t>
            </w:r>
          </w:p>
        </w:tc>
      </w:tr>
      <w:tr w:rsidR="00DD60D8" w:rsidRPr="00740ACA" w14:paraId="6595DA02" w14:textId="77777777" w:rsidTr="00740ACA">
        <w:trPr>
          <w:trHeight w:val="302"/>
        </w:trPr>
        <w:tc>
          <w:tcPr>
            <w:tcW w:w="1033" w:type="pct"/>
            <w:tcBorders>
              <w:top w:val="nil"/>
              <w:left w:val="nil"/>
              <w:bottom w:val="nil"/>
              <w:right w:val="nil"/>
            </w:tcBorders>
            <w:shd w:val="clear" w:color="auto" w:fill="auto"/>
            <w:noWrap/>
            <w:vAlign w:val="bottom"/>
            <w:hideMark/>
          </w:tcPr>
          <w:p w14:paraId="28FF6C27" w14:textId="77777777" w:rsidR="00DD60D8" w:rsidRPr="00740ACA" w:rsidRDefault="00DD60D8" w:rsidP="00DD60D8">
            <w:pPr>
              <w:spacing w:after="0" w:line="240" w:lineRule="auto"/>
              <w:ind w:firstLineChars="200" w:firstLine="360"/>
              <w:rPr>
                <w:rFonts w:ascii="Times New Roman" w:eastAsia="Times New Roman" w:hAnsi="Times New Roman" w:cs="Times New Roman"/>
                <w:color w:val="000000"/>
                <w:sz w:val="18"/>
                <w:szCs w:val="18"/>
              </w:rPr>
            </w:pPr>
            <w:r w:rsidRPr="00740ACA">
              <w:rPr>
                <w:rFonts w:ascii="Times New Roman" w:eastAsia="Times New Roman" w:hAnsi="Times New Roman" w:cs="Times New Roman"/>
                <w:color w:val="000000"/>
                <w:sz w:val="18"/>
                <w:szCs w:val="18"/>
              </w:rPr>
              <w:t>Practice nurses</w:t>
            </w:r>
          </w:p>
        </w:tc>
        <w:tc>
          <w:tcPr>
            <w:tcW w:w="976" w:type="pct"/>
            <w:tcBorders>
              <w:top w:val="nil"/>
              <w:left w:val="nil"/>
              <w:bottom w:val="nil"/>
              <w:right w:val="nil"/>
            </w:tcBorders>
            <w:shd w:val="clear" w:color="auto" w:fill="auto"/>
            <w:noWrap/>
            <w:vAlign w:val="bottom"/>
          </w:tcPr>
          <w:p w14:paraId="69E4ED55" w14:textId="51F12DFA" w:rsidR="00DD60D8" w:rsidRPr="00740ACA" w:rsidRDefault="00DD60D8" w:rsidP="00DD60D8">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3.48*** (0.21)</w:t>
            </w:r>
          </w:p>
        </w:tc>
        <w:tc>
          <w:tcPr>
            <w:tcW w:w="973" w:type="pct"/>
            <w:tcBorders>
              <w:top w:val="nil"/>
              <w:left w:val="nil"/>
              <w:bottom w:val="nil"/>
              <w:right w:val="nil"/>
            </w:tcBorders>
            <w:shd w:val="clear" w:color="auto" w:fill="auto"/>
            <w:noWrap/>
            <w:vAlign w:val="bottom"/>
          </w:tcPr>
          <w:p w14:paraId="0E71B591" w14:textId="2C7DB414" w:rsidR="00DD60D8" w:rsidRPr="00740ACA" w:rsidRDefault="00DD60D8" w:rsidP="00DD60D8">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4.36*** (0.25)</w:t>
            </w:r>
          </w:p>
        </w:tc>
        <w:tc>
          <w:tcPr>
            <w:tcW w:w="1010" w:type="pct"/>
            <w:tcBorders>
              <w:top w:val="nil"/>
              <w:left w:val="nil"/>
              <w:bottom w:val="nil"/>
              <w:right w:val="nil"/>
            </w:tcBorders>
            <w:shd w:val="clear" w:color="auto" w:fill="auto"/>
            <w:noWrap/>
            <w:vAlign w:val="bottom"/>
          </w:tcPr>
          <w:p w14:paraId="3B4F2D6E" w14:textId="6D72238D" w:rsidR="00DD60D8" w:rsidRPr="00740ACA" w:rsidRDefault="00DD60D8" w:rsidP="00DD60D8">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5.02*** (0.27)</w:t>
            </w:r>
          </w:p>
        </w:tc>
        <w:tc>
          <w:tcPr>
            <w:tcW w:w="1008" w:type="pct"/>
            <w:tcBorders>
              <w:top w:val="nil"/>
              <w:left w:val="nil"/>
              <w:bottom w:val="nil"/>
              <w:right w:val="nil"/>
            </w:tcBorders>
            <w:shd w:val="clear" w:color="auto" w:fill="auto"/>
            <w:noWrap/>
            <w:vAlign w:val="bottom"/>
          </w:tcPr>
          <w:p w14:paraId="678E9FD0" w14:textId="4ECAD294" w:rsidR="00DD60D8" w:rsidRPr="00740ACA" w:rsidRDefault="00DD60D8" w:rsidP="00DD60D8">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5.48*** (0.32)</w:t>
            </w:r>
          </w:p>
        </w:tc>
      </w:tr>
      <w:tr w:rsidR="00DD60D8" w:rsidRPr="00740ACA" w14:paraId="661D187E" w14:textId="77777777" w:rsidTr="00740ACA">
        <w:trPr>
          <w:trHeight w:val="302"/>
        </w:trPr>
        <w:tc>
          <w:tcPr>
            <w:tcW w:w="1033" w:type="pct"/>
            <w:tcBorders>
              <w:top w:val="nil"/>
              <w:left w:val="nil"/>
              <w:bottom w:val="nil"/>
              <w:right w:val="nil"/>
            </w:tcBorders>
            <w:shd w:val="clear" w:color="auto" w:fill="auto"/>
            <w:noWrap/>
            <w:vAlign w:val="bottom"/>
            <w:hideMark/>
          </w:tcPr>
          <w:p w14:paraId="40D96AB3" w14:textId="77777777" w:rsidR="00DD60D8" w:rsidRPr="00740ACA" w:rsidRDefault="00DD60D8" w:rsidP="00DD60D8">
            <w:pPr>
              <w:spacing w:after="0" w:line="240" w:lineRule="auto"/>
              <w:jc w:val="center"/>
              <w:rPr>
                <w:rFonts w:ascii="Times New Roman" w:eastAsia="Times New Roman" w:hAnsi="Times New Roman" w:cs="Times New Roman"/>
                <w:color w:val="000000"/>
                <w:sz w:val="18"/>
                <w:szCs w:val="18"/>
              </w:rPr>
            </w:pPr>
          </w:p>
        </w:tc>
        <w:tc>
          <w:tcPr>
            <w:tcW w:w="976" w:type="pct"/>
            <w:tcBorders>
              <w:top w:val="nil"/>
              <w:left w:val="nil"/>
              <w:bottom w:val="nil"/>
              <w:right w:val="nil"/>
            </w:tcBorders>
            <w:shd w:val="clear" w:color="auto" w:fill="auto"/>
            <w:noWrap/>
            <w:vAlign w:val="bottom"/>
            <w:hideMark/>
          </w:tcPr>
          <w:p w14:paraId="6FDF250C" w14:textId="77777777" w:rsidR="00DD60D8" w:rsidRPr="00740ACA" w:rsidRDefault="00DD60D8" w:rsidP="00DD60D8">
            <w:pPr>
              <w:spacing w:after="0" w:line="240" w:lineRule="auto"/>
              <w:rPr>
                <w:rFonts w:ascii="Times New Roman" w:eastAsia="Times New Roman" w:hAnsi="Times New Roman" w:cs="Times New Roman"/>
                <w:sz w:val="18"/>
                <w:szCs w:val="18"/>
              </w:rPr>
            </w:pPr>
          </w:p>
        </w:tc>
        <w:tc>
          <w:tcPr>
            <w:tcW w:w="973" w:type="pct"/>
            <w:tcBorders>
              <w:top w:val="nil"/>
              <w:left w:val="nil"/>
              <w:bottom w:val="nil"/>
              <w:right w:val="nil"/>
            </w:tcBorders>
            <w:shd w:val="clear" w:color="auto" w:fill="auto"/>
            <w:noWrap/>
            <w:vAlign w:val="bottom"/>
            <w:hideMark/>
          </w:tcPr>
          <w:p w14:paraId="5E9D3D43" w14:textId="77777777" w:rsidR="00DD60D8" w:rsidRPr="00740ACA" w:rsidRDefault="00DD60D8" w:rsidP="00DD60D8">
            <w:pPr>
              <w:spacing w:after="0" w:line="240" w:lineRule="auto"/>
              <w:rPr>
                <w:rFonts w:ascii="Times New Roman" w:eastAsia="Times New Roman" w:hAnsi="Times New Roman" w:cs="Times New Roman"/>
                <w:sz w:val="18"/>
                <w:szCs w:val="18"/>
              </w:rPr>
            </w:pPr>
          </w:p>
        </w:tc>
        <w:tc>
          <w:tcPr>
            <w:tcW w:w="1010" w:type="pct"/>
            <w:tcBorders>
              <w:top w:val="nil"/>
              <w:left w:val="nil"/>
              <w:bottom w:val="nil"/>
              <w:right w:val="nil"/>
            </w:tcBorders>
            <w:shd w:val="clear" w:color="auto" w:fill="auto"/>
            <w:noWrap/>
            <w:vAlign w:val="bottom"/>
            <w:hideMark/>
          </w:tcPr>
          <w:p w14:paraId="51440F93" w14:textId="77777777" w:rsidR="00DD60D8" w:rsidRPr="00740ACA" w:rsidRDefault="00DD60D8" w:rsidP="00DD60D8">
            <w:pPr>
              <w:spacing w:after="0" w:line="240" w:lineRule="auto"/>
              <w:rPr>
                <w:rFonts w:ascii="Times New Roman" w:eastAsia="Times New Roman" w:hAnsi="Times New Roman" w:cs="Times New Roman"/>
                <w:sz w:val="18"/>
                <w:szCs w:val="18"/>
              </w:rPr>
            </w:pPr>
          </w:p>
        </w:tc>
        <w:tc>
          <w:tcPr>
            <w:tcW w:w="1008" w:type="pct"/>
            <w:tcBorders>
              <w:top w:val="nil"/>
              <w:left w:val="nil"/>
              <w:bottom w:val="nil"/>
              <w:right w:val="nil"/>
            </w:tcBorders>
            <w:shd w:val="clear" w:color="auto" w:fill="auto"/>
            <w:noWrap/>
            <w:vAlign w:val="bottom"/>
            <w:hideMark/>
          </w:tcPr>
          <w:p w14:paraId="3B166B3F" w14:textId="77777777" w:rsidR="00DD60D8" w:rsidRPr="00740ACA" w:rsidRDefault="00DD60D8" w:rsidP="00DD60D8">
            <w:pPr>
              <w:spacing w:after="0" w:line="240" w:lineRule="auto"/>
              <w:rPr>
                <w:rFonts w:ascii="Times New Roman" w:eastAsia="Times New Roman" w:hAnsi="Times New Roman" w:cs="Times New Roman"/>
                <w:sz w:val="18"/>
                <w:szCs w:val="18"/>
              </w:rPr>
            </w:pPr>
          </w:p>
        </w:tc>
      </w:tr>
      <w:tr w:rsidR="00DD60D8" w:rsidRPr="00740ACA" w14:paraId="279097E3" w14:textId="77777777" w:rsidTr="00740ACA">
        <w:trPr>
          <w:trHeight w:val="302"/>
        </w:trPr>
        <w:tc>
          <w:tcPr>
            <w:tcW w:w="1033" w:type="pct"/>
            <w:tcBorders>
              <w:top w:val="nil"/>
              <w:left w:val="nil"/>
              <w:bottom w:val="nil"/>
              <w:right w:val="nil"/>
            </w:tcBorders>
            <w:shd w:val="clear" w:color="auto" w:fill="auto"/>
            <w:noWrap/>
            <w:vAlign w:val="bottom"/>
            <w:hideMark/>
          </w:tcPr>
          <w:p w14:paraId="054173FE" w14:textId="3C5A7DDE" w:rsidR="00DD60D8" w:rsidRPr="00740ACA" w:rsidRDefault="00DD60D8" w:rsidP="00DD60D8">
            <w:pPr>
              <w:spacing w:after="0" w:line="240" w:lineRule="auto"/>
              <w:rPr>
                <w:rFonts w:ascii="Times New Roman" w:eastAsia="Times New Roman" w:hAnsi="Times New Roman" w:cs="Times New Roman"/>
                <w:i/>
                <w:iCs/>
                <w:color w:val="000000"/>
                <w:sz w:val="18"/>
                <w:szCs w:val="18"/>
                <w:vertAlign w:val="superscript"/>
              </w:rPr>
            </w:pPr>
            <w:r w:rsidRPr="00740ACA">
              <w:rPr>
                <w:rFonts w:ascii="Times New Roman" w:eastAsia="Times New Roman" w:hAnsi="Times New Roman" w:cs="Times New Roman"/>
                <w:i/>
                <w:iCs/>
                <w:color w:val="000000"/>
                <w:sz w:val="18"/>
                <w:szCs w:val="18"/>
              </w:rPr>
              <w:t>Hospital admissions</w:t>
            </w:r>
            <w:r w:rsidRPr="00740ACA">
              <w:rPr>
                <w:rFonts w:ascii="Times New Roman" w:eastAsia="Times New Roman" w:hAnsi="Times New Roman" w:cs="Times New Roman"/>
                <w:i/>
                <w:iCs/>
                <w:color w:val="000000"/>
                <w:sz w:val="18"/>
                <w:szCs w:val="18"/>
                <w:vertAlign w:val="superscript"/>
              </w:rPr>
              <w:t>a</w:t>
            </w:r>
          </w:p>
        </w:tc>
        <w:tc>
          <w:tcPr>
            <w:tcW w:w="976" w:type="pct"/>
            <w:tcBorders>
              <w:top w:val="nil"/>
              <w:left w:val="nil"/>
              <w:bottom w:val="nil"/>
              <w:right w:val="nil"/>
            </w:tcBorders>
            <w:shd w:val="clear" w:color="auto" w:fill="auto"/>
            <w:noWrap/>
            <w:vAlign w:val="bottom"/>
            <w:hideMark/>
          </w:tcPr>
          <w:p w14:paraId="3B0B7F10" w14:textId="77777777" w:rsidR="00DD60D8" w:rsidRPr="00740ACA" w:rsidRDefault="00DD60D8" w:rsidP="00DD60D8">
            <w:pPr>
              <w:spacing w:after="0" w:line="240" w:lineRule="auto"/>
              <w:rPr>
                <w:rFonts w:ascii="Times New Roman" w:eastAsia="Times New Roman" w:hAnsi="Times New Roman" w:cs="Times New Roman"/>
                <w:i/>
                <w:iCs/>
                <w:color w:val="000000"/>
                <w:sz w:val="18"/>
                <w:szCs w:val="18"/>
              </w:rPr>
            </w:pPr>
          </w:p>
        </w:tc>
        <w:tc>
          <w:tcPr>
            <w:tcW w:w="973" w:type="pct"/>
            <w:tcBorders>
              <w:top w:val="nil"/>
              <w:left w:val="nil"/>
              <w:bottom w:val="nil"/>
              <w:right w:val="nil"/>
            </w:tcBorders>
            <w:shd w:val="clear" w:color="auto" w:fill="auto"/>
            <w:noWrap/>
            <w:vAlign w:val="bottom"/>
            <w:hideMark/>
          </w:tcPr>
          <w:p w14:paraId="43164D99" w14:textId="77777777" w:rsidR="00DD60D8" w:rsidRPr="00740ACA" w:rsidRDefault="00DD60D8" w:rsidP="00DD60D8">
            <w:pPr>
              <w:spacing w:after="0" w:line="240" w:lineRule="auto"/>
              <w:rPr>
                <w:rFonts w:ascii="Times New Roman" w:eastAsia="Times New Roman" w:hAnsi="Times New Roman" w:cs="Times New Roman"/>
                <w:sz w:val="18"/>
                <w:szCs w:val="18"/>
              </w:rPr>
            </w:pPr>
          </w:p>
        </w:tc>
        <w:tc>
          <w:tcPr>
            <w:tcW w:w="1010" w:type="pct"/>
            <w:tcBorders>
              <w:top w:val="nil"/>
              <w:left w:val="nil"/>
              <w:bottom w:val="nil"/>
              <w:right w:val="nil"/>
            </w:tcBorders>
            <w:shd w:val="clear" w:color="auto" w:fill="auto"/>
            <w:noWrap/>
            <w:vAlign w:val="bottom"/>
            <w:hideMark/>
          </w:tcPr>
          <w:p w14:paraId="49ABB6AE" w14:textId="77777777" w:rsidR="00DD60D8" w:rsidRPr="00740ACA" w:rsidRDefault="00DD60D8" w:rsidP="00DD60D8">
            <w:pPr>
              <w:spacing w:after="0" w:line="240" w:lineRule="auto"/>
              <w:rPr>
                <w:rFonts w:ascii="Times New Roman" w:eastAsia="Times New Roman" w:hAnsi="Times New Roman" w:cs="Times New Roman"/>
                <w:sz w:val="18"/>
                <w:szCs w:val="18"/>
              </w:rPr>
            </w:pPr>
          </w:p>
        </w:tc>
        <w:tc>
          <w:tcPr>
            <w:tcW w:w="1008" w:type="pct"/>
            <w:tcBorders>
              <w:top w:val="nil"/>
              <w:left w:val="nil"/>
              <w:bottom w:val="nil"/>
              <w:right w:val="nil"/>
            </w:tcBorders>
            <w:shd w:val="clear" w:color="auto" w:fill="auto"/>
            <w:noWrap/>
            <w:vAlign w:val="bottom"/>
            <w:hideMark/>
          </w:tcPr>
          <w:p w14:paraId="5B8C11B8" w14:textId="77777777" w:rsidR="00DD60D8" w:rsidRPr="00740ACA" w:rsidRDefault="00DD60D8" w:rsidP="00DD60D8">
            <w:pPr>
              <w:spacing w:after="0" w:line="240" w:lineRule="auto"/>
              <w:rPr>
                <w:rFonts w:ascii="Times New Roman" w:eastAsia="Times New Roman" w:hAnsi="Times New Roman" w:cs="Times New Roman"/>
                <w:sz w:val="18"/>
                <w:szCs w:val="18"/>
              </w:rPr>
            </w:pPr>
          </w:p>
        </w:tc>
      </w:tr>
      <w:tr w:rsidR="00740ACA" w:rsidRPr="00740ACA" w14:paraId="4B1586E8" w14:textId="77777777" w:rsidTr="00740ACA">
        <w:trPr>
          <w:trHeight w:val="302"/>
        </w:trPr>
        <w:tc>
          <w:tcPr>
            <w:tcW w:w="1033" w:type="pct"/>
            <w:tcBorders>
              <w:top w:val="nil"/>
              <w:left w:val="nil"/>
              <w:bottom w:val="nil"/>
              <w:right w:val="nil"/>
            </w:tcBorders>
            <w:shd w:val="clear" w:color="auto" w:fill="auto"/>
            <w:noWrap/>
            <w:vAlign w:val="bottom"/>
            <w:hideMark/>
          </w:tcPr>
          <w:p w14:paraId="711FA359" w14:textId="77777777" w:rsidR="00740ACA" w:rsidRPr="00740ACA" w:rsidRDefault="00740ACA" w:rsidP="00740ACA">
            <w:pPr>
              <w:spacing w:after="0" w:line="240" w:lineRule="auto"/>
              <w:ind w:firstLineChars="200" w:firstLine="360"/>
              <w:rPr>
                <w:rFonts w:ascii="Times New Roman" w:eastAsia="Times New Roman" w:hAnsi="Times New Roman" w:cs="Times New Roman"/>
                <w:color w:val="000000"/>
                <w:sz w:val="18"/>
                <w:szCs w:val="18"/>
              </w:rPr>
            </w:pPr>
            <w:r w:rsidRPr="00740ACA">
              <w:rPr>
                <w:rFonts w:ascii="Times New Roman" w:eastAsia="Times New Roman" w:hAnsi="Times New Roman" w:cs="Times New Roman"/>
                <w:color w:val="000000"/>
                <w:sz w:val="18"/>
                <w:szCs w:val="18"/>
              </w:rPr>
              <w:t xml:space="preserve">Emergency </w:t>
            </w:r>
          </w:p>
        </w:tc>
        <w:tc>
          <w:tcPr>
            <w:tcW w:w="976" w:type="pct"/>
            <w:tcBorders>
              <w:top w:val="nil"/>
              <w:left w:val="nil"/>
              <w:bottom w:val="nil"/>
              <w:right w:val="nil"/>
            </w:tcBorders>
            <w:shd w:val="clear" w:color="auto" w:fill="auto"/>
            <w:noWrap/>
            <w:vAlign w:val="bottom"/>
          </w:tcPr>
          <w:p w14:paraId="65CA7CE6" w14:textId="4C5822A0"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0.15*** (0.003)</w:t>
            </w:r>
          </w:p>
        </w:tc>
        <w:tc>
          <w:tcPr>
            <w:tcW w:w="973" w:type="pct"/>
            <w:tcBorders>
              <w:top w:val="nil"/>
              <w:left w:val="nil"/>
              <w:bottom w:val="nil"/>
              <w:right w:val="nil"/>
            </w:tcBorders>
            <w:shd w:val="clear" w:color="auto" w:fill="auto"/>
            <w:noWrap/>
            <w:vAlign w:val="bottom"/>
          </w:tcPr>
          <w:p w14:paraId="24266F3B" w14:textId="6C3537B4"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0.24*** (0.005)</w:t>
            </w:r>
          </w:p>
        </w:tc>
        <w:tc>
          <w:tcPr>
            <w:tcW w:w="1010" w:type="pct"/>
            <w:tcBorders>
              <w:top w:val="nil"/>
              <w:left w:val="nil"/>
              <w:bottom w:val="nil"/>
              <w:right w:val="nil"/>
            </w:tcBorders>
            <w:shd w:val="clear" w:color="auto" w:fill="auto"/>
            <w:noWrap/>
            <w:vAlign w:val="bottom"/>
          </w:tcPr>
          <w:p w14:paraId="7185DE95" w14:textId="50A6DD97"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0.36*** (0.01)</w:t>
            </w:r>
          </w:p>
        </w:tc>
        <w:tc>
          <w:tcPr>
            <w:tcW w:w="1008" w:type="pct"/>
            <w:tcBorders>
              <w:top w:val="nil"/>
              <w:left w:val="nil"/>
              <w:bottom w:val="nil"/>
              <w:right w:val="nil"/>
            </w:tcBorders>
            <w:shd w:val="clear" w:color="auto" w:fill="auto"/>
            <w:noWrap/>
            <w:vAlign w:val="bottom"/>
          </w:tcPr>
          <w:p w14:paraId="37B8E427" w14:textId="2C8FC498"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0.46*** (0.01)</w:t>
            </w:r>
          </w:p>
        </w:tc>
      </w:tr>
      <w:tr w:rsidR="00740ACA" w:rsidRPr="00740ACA" w14:paraId="79D1C04B" w14:textId="77777777" w:rsidTr="00740ACA">
        <w:trPr>
          <w:trHeight w:val="302"/>
        </w:trPr>
        <w:tc>
          <w:tcPr>
            <w:tcW w:w="1033" w:type="pct"/>
            <w:tcBorders>
              <w:top w:val="nil"/>
              <w:left w:val="nil"/>
              <w:bottom w:val="nil"/>
              <w:right w:val="nil"/>
            </w:tcBorders>
            <w:shd w:val="clear" w:color="auto" w:fill="auto"/>
            <w:noWrap/>
            <w:vAlign w:val="bottom"/>
            <w:hideMark/>
          </w:tcPr>
          <w:p w14:paraId="13E54AD9" w14:textId="77777777" w:rsidR="00740ACA" w:rsidRPr="00740ACA" w:rsidRDefault="00740ACA" w:rsidP="00740ACA">
            <w:pPr>
              <w:spacing w:after="0" w:line="240" w:lineRule="auto"/>
              <w:ind w:firstLineChars="200" w:firstLine="360"/>
              <w:rPr>
                <w:rFonts w:ascii="Times New Roman" w:eastAsia="Times New Roman" w:hAnsi="Times New Roman" w:cs="Times New Roman"/>
                <w:color w:val="000000"/>
                <w:sz w:val="18"/>
                <w:szCs w:val="18"/>
              </w:rPr>
            </w:pPr>
            <w:r w:rsidRPr="00740ACA">
              <w:rPr>
                <w:rFonts w:ascii="Times New Roman" w:eastAsia="Times New Roman" w:hAnsi="Times New Roman" w:cs="Times New Roman"/>
                <w:color w:val="000000"/>
                <w:sz w:val="18"/>
                <w:szCs w:val="18"/>
              </w:rPr>
              <w:t>Elective</w:t>
            </w:r>
          </w:p>
        </w:tc>
        <w:tc>
          <w:tcPr>
            <w:tcW w:w="976" w:type="pct"/>
            <w:tcBorders>
              <w:top w:val="nil"/>
              <w:left w:val="nil"/>
              <w:bottom w:val="nil"/>
              <w:right w:val="nil"/>
            </w:tcBorders>
            <w:shd w:val="clear" w:color="auto" w:fill="auto"/>
            <w:noWrap/>
            <w:vAlign w:val="bottom"/>
          </w:tcPr>
          <w:p w14:paraId="5E753521" w14:textId="2275D3C9"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0.24*** (0.01)</w:t>
            </w:r>
          </w:p>
        </w:tc>
        <w:tc>
          <w:tcPr>
            <w:tcW w:w="973" w:type="pct"/>
            <w:tcBorders>
              <w:top w:val="nil"/>
              <w:left w:val="nil"/>
              <w:bottom w:val="nil"/>
              <w:right w:val="nil"/>
            </w:tcBorders>
            <w:shd w:val="clear" w:color="auto" w:fill="auto"/>
            <w:noWrap/>
            <w:vAlign w:val="bottom"/>
          </w:tcPr>
          <w:p w14:paraId="51842C12" w14:textId="1D4A9452"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0.37*** (0.01)</w:t>
            </w:r>
          </w:p>
        </w:tc>
        <w:tc>
          <w:tcPr>
            <w:tcW w:w="1010" w:type="pct"/>
            <w:tcBorders>
              <w:top w:val="nil"/>
              <w:left w:val="nil"/>
              <w:bottom w:val="nil"/>
              <w:right w:val="nil"/>
            </w:tcBorders>
            <w:shd w:val="clear" w:color="auto" w:fill="auto"/>
            <w:noWrap/>
            <w:vAlign w:val="bottom"/>
          </w:tcPr>
          <w:p w14:paraId="569B9CC2" w14:textId="5128E082"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0.45*** (0.01)</w:t>
            </w:r>
          </w:p>
        </w:tc>
        <w:tc>
          <w:tcPr>
            <w:tcW w:w="1008" w:type="pct"/>
            <w:tcBorders>
              <w:top w:val="nil"/>
              <w:left w:val="nil"/>
              <w:bottom w:val="nil"/>
              <w:right w:val="nil"/>
            </w:tcBorders>
            <w:shd w:val="clear" w:color="auto" w:fill="auto"/>
            <w:noWrap/>
            <w:vAlign w:val="bottom"/>
          </w:tcPr>
          <w:p w14:paraId="2AD99FBC" w14:textId="2839C973"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0.47*** (0.02)</w:t>
            </w:r>
          </w:p>
        </w:tc>
      </w:tr>
      <w:tr w:rsidR="00740ACA" w:rsidRPr="00740ACA" w14:paraId="2FA6F1A5" w14:textId="77777777" w:rsidTr="00740ACA">
        <w:trPr>
          <w:trHeight w:val="302"/>
        </w:trPr>
        <w:tc>
          <w:tcPr>
            <w:tcW w:w="1033" w:type="pct"/>
            <w:tcBorders>
              <w:top w:val="nil"/>
              <w:left w:val="nil"/>
              <w:bottom w:val="nil"/>
              <w:right w:val="nil"/>
            </w:tcBorders>
            <w:shd w:val="clear" w:color="auto" w:fill="auto"/>
            <w:noWrap/>
            <w:vAlign w:val="bottom"/>
            <w:hideMark/>
          </w:tcPr>
          <w:p w14:paraId="7ECAE4A5" w14:textId="77777777"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p>
        </w:tc>
        <w:tc>
          <w:tcPr>
            <w:tcW w:w="976" w:type="pct"/>
            <w:tcBorders>
              <w:top w:val="nil"/>
              <w:left w:val="nil"/>
              <w:bottom w:val="nil"/>
              <w:right w:val="nil"/>
            </w:tcBorders>
            <w:shd w:val="clear" w:color="auto" w:fill="auto"/>
            <w:noWrap/>
            <w:vAlign w:val="bottom"/>
            <w:hideMark/>
          </w:tcPr>
          <w:p w14:paraId="48B28141" w14:textId="77777777" w:rsidR="00740ACA" w:rsidRPr="00740ACA" w:rsidRDefault="00740ACA" w:rsidP="00740ACA">
            <w:pPr>
              <w:spacing w:after="0" w:line="240" w:lineRule="auto"/>
              <w:rPr>
                <w:rFonts w:ascii="Times New Roman" w:eastAsia="Times New Roman" w:hAnsi="Times New Roman" w:cs="Times New Roman"/>
                <w:sz w:val="18"/>
                <w:szCs w:val="18"/>
              </w:rPr>
            </w:pPr>
          </w:p>
        </w:tc>
        <w:tc>
          <w:tcPr>
            <w:tcW w:w="973" w:type="pct"/>
            <w:tcBorders>
              <w:top w:val="nil"/>
              <w:left w:val="nil"/>
              <w:bottom w:val="nil"/>
              <w:right w:val="nil"/>
            </w:tcBorders>
            <w:shd w:val="clear" w:color="auto" w:fill="auto"/>
            <w:noWrap/>
            <w:vAlign w:val="bottom"/>
            <w:hideMark/>
          </w:tcPr>
          <w:p w14:paraId="03158970" w14:textId="77777777" w:rsidR="00740ACA" w:rsidRPr="00740ACA" w:rsidRDefault="00740ACA" w:rsidP="00740ACA">
            <w:pPr>
              <w:spacing w:after="0" w:line="240" w:lineRule="auto"/>
              <w:rPr>
                <w:rFonts w:ascii="Times New Roman" w:eastAsia="Times New Roman" w:hAnsi="Times New Roman" w:cs="Times New Roman"/>
                <w:sz w:val="18"/>
                <w:szCs w:val="18"/>
              </w:rPr>
            </w:pPr>
          </w:p>
        </w:tc>
        <w:tc>
          <w:tcPr>
            <w:tcW w:w="1010" w:type="pct"/>
            <w:tcBorders>
              <w:top w:val="nil"/>
              <w:left w:val="nil"/>
              <w:bottom w:val="nil"/>
              <w:right w:val="nil"/>
            </w:tcBorders>
            <w:shd w:val="clear" w:color="auto" w:fill="auto"/>
            <w:noWrap/>
            <w:vAlign w:val="bottom"/>
            <w:hideMark/>
          </w:tcPr>
          <w:p w14:paraId="6C463399" w14:textId="77777777" w:rsidR="00740ACA" w:rsidRPr="00740ACA" w:rsidRDefault="00740ACA" w:rsidP="00740ACA">
            <w:pPr>
              <w:spacing w:after="0" w:line="240" w:lineRule="auto"/>
              <w:rPr>
                <w:rFonts w:ascii="Times New Roman" w:eastAsia="Times New Roman" w:hAnsi="Times New Roman" w:cs="Times New Roman"/>
                <w:sz w:val="18"/>
                <w:szCs w:val="18"/>
              </w:rPr>
            </w:pPr>
          </w:p>
        </w:tc>
        <w:tc>
          <w:tcPr>
            <w:tcW w:w="1008" w:type="pct"/>
            <w:tcBorders>
              <w:top w:val="nil"/>
              <w:left w:val="nil"/>
              <w:bottom w:val="nil"/>
              <w:right w:val="nil"/>
            </w:tcBorders>
            <w:shd w:val="clear" w:color="auto" w:fill="auto"/>
            <w:noWrap/>
            <w:vAlign w:val="bottom"/>
            <w:hideMark/>
          </w:tcPr>
          <w:p w14:paraId="5C367157" w14:textId="77777777" w:rsidR="00740ACA" w:rsidRPr="00740ACA" w:rsidRDefault="00740ACA" w:rsidP="00740ACA">
            <w:pPr>
              <w:spacing w:after="0" w:line="240" w:lineRule="auto"/>
              <w:rPr>
                <w:rFonts w:ascii="Times New Roman" w:eastAsia="Times New Roman" w:hAnsi="Times New Roman" w:cs="Times New Roman"/>
                <w:sz w:val="18"/>
                <w:szCs w:val="18"/>
              </w:rPr>
            </w:pPr>
          </w:p>
        </w:tc>
      </w:tr>
      <w:tr w:rsidR="00740ACA" w:rsidRPr="00740ACA" w14:paraId="6E759E25" w14:textId="77777777" w:rsidTr="00740ACA">
        <w:trPr>
          <w:trHeight w:val="302"/>
        </w:trPr>
        <w:tc>
          <w:tcPr>
            <w:tcW w:w="1033" w:type="pct"/>
            <w:tcBorders>
              <w:top w:val="nil"/>
              <w:left w:val="nil"/>
              <w:bottom w:val="nil"/>
              <w:right w:val="nil"/>
            </w:tcBorders>
            <w:shd w:val="clear" w:color="auto" w:fill="auto"/>
            <w:noWrap/>
            <w:vAlign w:val="bottom"/>
            <w:hideMark/>
          </w:tcPr>
          <w:p w14:paraId="32911505" w14:textId="769B9246" w:rsidR="00740ACA" w:rsidRPr="00740ACA" w:rsidRDefault="00740ACA" w:rsidP="00740ACA">
            <w:pPr>
              <w:spacing w:after="0" w:line="240" w:lineRule="auto"/>
              <w:rPr>
                <w:rFonts w:ascii="Times New Roman" w:eastAsia="Times New Roman" w:hAnsi="Times New Roman" w:cs="Times New Roman"/>
                <w:i/>
                <w:iCs/>
                <w:color w:val="000000"/>
                <w:sz w:val="18"/>
                <w:szCs w:val="18"/>
                <w:vertAlign w:val="superscript"/>
              </w:rPr>
            </w:pPr>
            <w:r w:rsidRPr="00740ACA">
              <w:rPr>
                <w:rFonts w:ascii="Times New Roman" w:eastAsia="Times New Roman" w:hAnsi="Times New Roman" w:cs="Times New Roman"/>
                <w:i/>
                <w:iCs/>
                <w:color w:val="000000"/>
                <w:sz w:val="18"/>
                <w:szCs w:val="18"/>
              </w:rPr>
              <w:t>Inpatient days</w:t>
            </w:r>
            <w:r w:rsidRPr="00740ACA">
              <w:rPr>
                <w:rFonts w:ascii="Times New Roman" w:eastAsia="Times New Roman" w:hAnsi="Times New Roman" w:cs="Times New Roman"/>
                <w:i/>
                <w:iCs/>
                <w:color w:val="000000"/>
                <w:sz w:val="18"/>
                <w:szCs w:val="18"/>
                <w:vertAlign w:val="superscript"/>
              </w:rPr>
              <w:t>a</w:t>
            </w:r>
          </w:p>
        </w:tc>
        <w:tc>
          <w:tcPr>
            <w:tcW w:w="976" w:type="pct"/>
            <w:tcBorders>
              <w:top w:val="nil"/>
              <w:left w:val="nil"/>
              <w:bottom w:val="nil"/>
              <w:right w:val="nil"/>
            </w:tcBorders>
            <w:shd w:val="clear" w:color="auto" w:fill="auto"/>
            <w:noWrap/>
            <w:vAlign w:val="bottom"/>
            <w:hideMark/>
          </w:tcPr>
          <w:p w14:paraId="02E01EA3" w14:textId="77777777" w:rsidR="00740ACA" w:rsidRPr="00740ACA" w:rsidRDefault="00740ACA" w:rsidP="00740ACA">
            <w:pPr>
              <w:spacing w:after="0" w:line="240" w:lineRule="auto"/>
              <w:rPr>
                <w:rFonts w:ascii="Times New Roman" w:eastAsia="Times New Roman" w:hAnsi="Times New Roman" w:cs="Times New Roman"/>
                <w:i/>
                <w:iCs/>
                <w:color w:val="000000"/>
                <w:sz w:val="18"/>
                <w:szCs w:val="18"/>
              </w:rPr>
            </w:pPr>
          </w:p>
        </w:tc>
        <w:tc>
          <w:tcPr>
            <w:tcW w:w="973" w:type="pct"/>
            <w:tcBorders>
              <w:top w:val="nil"/>
              <w:left w:val="nil"/>
              <w:bottom w:val="nil"/>
              <w:right w:val="nil"/>
            </w:tcBorders>
            <w:shd w:val="clear" w:color="auto" w:fill="auto"/>
            <w:noWrap/>
            <w:vAlign w:val="bottom"/>
            <w:hideMark/>
          </w:tcPr>
          <w:p w14:paraId="6B040112" w14:textId="77777777" w:rsidR="00740ACA" w:rsidRPr="00740ACA" w:rsidRDefault="00740ACA" w:rsidP="00740ACA">
            <w:pPr>
              <w:spacing w:after="0" w:line="240" w:lineRule="auto"/>
              <w:rPr>
                <w:rFonts w:ascii="Times New Roman" w:eastAsia="Times New Roman" w:hAnsi="Times New Roman" w:cs="Times New Roman"/>
                <w:sz w:val="18"/>
                <w:szCs w:val="18"/>
              </w:rPr>
            </w:pPr>
          </w:p>
        </w:tc>
        <w:tc>
          <w:tcPr>
            <w:tcW w:w="1010" w:type="pct"/>
            <w:tcBorders>
              <w:top w:val="nil"/>
              <w:left w:val="nil"/>
              <w:bottom w:val="nil"/>
              <w:right w:val="nil"/>
            </w:tcBorders>
            <w:shd w:val="clear" w:color="auto" w:fill="auto"/>
            <w:noWrap/>
            <w:vAlign w:val="bottom"/>
            <w:hideMark/>
          </w:tcPr>
          <w:p w14:paraId="13A9EFAD" w14:textId="77777777" w:rsidR="00740ACA" w:rsidRPr="00740ACA" w:rsidRDefault="00740ACA" w:rsidP="00740ACA">
            <w:pPr>
              <w:spacing w:after="0" w:line="240" w:lineRule="auto"/>
              <w:rPr>
                <w:rFonts w:ascii="Times New Roman" w:eastAsia="Times New Roman" w:hAnsi="Times New Roman" w:cs="Times New Roman"/>
                <w:sz w:val="18"/>
                <w:szCs w:val="18"/>
              </w:rPr>
            </w:pPr>
          </w:p>
        </w:tc>
        <w:tc>
          <w:tcPr>
            <w:tcW w:w="1008" w:type="pct"/>
            <w:tcBorders>
              <w:top w:val="nil"/>
              <w:left w:val="nil"/>
              <w:bottom w:val="nil"/>
              <w:right w:val="nil"/>
            </w:tcBorders>
            <w:shd w:val="clear" w:color="auto" w:fill="auto"/>
            <w:noWrap/>
            <w:vAlign w:val="bottom"/>
            <w:hideMark/>
          </w:tcPr>
          <w:p w14:paraId="795C8C0C" w14:textId="77777777" w:rsidR="00740ACA" w:rsidRPr="00740ACA" w:rsidRDefault="00740ACA" w:rsidP="00740ACA">
            <w:pPr>
              <w:spacing w:after="0" w:line="240" w:lineRule="auto"/>
              <w:rPr>
                <w:rFonts w:ascii="Times New Roman" w:eastAsia="Times New Roman" w:hAnsi="Times New Roman" w:cs="Times New Roman"/>
                <w:sz w:val="18"/>
                <w:szCs w:val="18"/>
              </w:rPr>
            </w:pPr>
          </w:p>
        </w:tc>
      </w:tr>
      <w:tr w:rsidR="00740ACA" w:rsidRPr="00740ACA" w14:paraId="13720036" w14:textId="77777777" w:rsidTr="00740ACA">
        <w:trPr>
          <w:trHeight w:val="302"/>
        </w:trPr>
        <w:tc>
          <w:tcPr>
            <w:tcW w:w="1033" w:type="pct"/>
            <w:tcBorders>
              <w:top w:val="nil"/>
              <w:left w:val="nil"/>
              <w:bottom w:val="nil"/>
              <w:right w:val="nil"/>
            </w:tcBorders>
            <w:shd w:val="clear" w:color="auto" w:fill="auto"/>
            <w:noWrap/>
            <w:vAlign w:val="bottom"/>
            <w:hideMark/>
          </w:tcPr>
          <w:p w14:paraId="3140DFF6" w14:textId="77777777" w:rsidR="00740ACA" w:rsidRPr="00740ACA" w:rsidRDefault="00740ACA" w:rsidP="00740ACA">
            <w:pPr>
              <w:spacing w:after="0" w:line="240" w:lineRule="auto"/>
              <w:ind w:firstLineChars="200" w:firstLine="360"/>
              <w:rPr>
                <w:rFonts w:ascii="Times New Roman" w:eastAsia="Times New Roman" w:hAnsi="Times New Roman" w:cs="Times New Roman"/>
                <w:color w:val="000000"/>
                <w:sz w:val="18"/>
                <w:szCs w:val="18"/>
              </w:rPr>
            </w:pPr>
            <w:r w:rsidRPr="00740ACA">
              <w:rPr>
                <w:rFonts w:ascii="Times New Roman" w:eastAsia="Times New Roman" w:hAnsi="Times New Roman" w:cs="Times New Roman"/>
                <w:color w:val="000000"/>
                <w:sz w:val="18"/>
                <w:szCs w:val="18"/>
              </w:rPr>
              <w:t>Emergency</w:t>
            </w:r>
          </w:p>
        </w:tc>
        <w:tc>
          <w:tcPr>
            <w:tcW w:w="976" w:type="pct"/>
            <w:tcBorders>
              <w:top w:val="nil"/>
              <w:left w:val="nil"/>
              <w:bottom w:val="nil"/>
              <w:right w:val="nil"/>
            </w:tcBorders>
            <w:shd w:val="clear" w:color="auto" w:fill="auto"/>
            <w:noWrap/>
            <w:vAlign w:val="bottom"/>
          </w:tcPr>
          <w:p w14:paraId="20DCB736" w14:textId="5446D66E"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4.12*** (0.24)</w:t>
            </w:r>
          </w:p>
        </w:tc>
        <w:tc>
          <w:tcPr>
            <w:tcW w:w="973" w:type="pct"/>
            <w:tcBorders>
              <w:top w:val="nil"/>
              <w:left w:val="nil"/>
              <w:bottom w:val="nil"/>
              <w:right w:val="nil"/>
            </w:tcBorders>
            <w:shd w:val="clear" w:color="auto" w:fill="auto"/>
            <w:noWrap/>
            <w:vAlign w:val="bottom"/>
          </w:tcPr>
          <w:p w14:paraId="4E6D5A19" w14:textId="3C9D2569"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9.03*** (0.51)</w:t>
            </w:r>
          </w:p>
        </w:tc>
        <w:tc>
          <w:tcPr>
            <w:tcW w:w="1010" w:type="pct"/>
            <w:tcBorders>
              <w:top w:val="nil"/>
              <w:left w:val="nil"/>
              <w:bottom w:val="nil"/>
              <w:right w:val="nil"/>
            </w:tcBorders>
            <w:shd w:val="clear" w:color="auto" w:fill="auto"/>
            <w:noWrap/>
            <w:vAlign w:val="bottom"/>
          </w:tcPr>
          <w:p w14:paraId="542655DC" w14:textId="73B0F2C0"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18.34*** (1.02)</w:t>
            </w:r>
          </w:p>
        </w:tc>
        <w:tc>
          <w:tcPr>
            <w:tcW w:w="1008" w:type="pct"/>
            <w:tcBorders>
              <w:top w:val="nil"/>
              <w:left w:val="nil"/>
              <w:bottom w:val="nil"/>
              <w:right w:val="nil"/>
            </w:tcBorders>
            <w:shd w:val="clear" w:color="auto" w:fill="auto"/>
            <w:noWrap/>
            <w:vAlign w:val="bottom"/>
          </w:tcPr>
          <w:p w14:paraId="5DB8BE86" w14:textId="665DA622"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29.91*** (1.81)</w:t>
            </w:r>
          </w:p>
        </w:tc>
      </w:tr>
      <w:tr w:rsidR="00740ACA" w:rsidRPr="00740ACA" w14:paraId="2E5E1155" w14:textId="77777777" w:rsidTr="00740ACA">
        <w:trPr>
          <w:trHeight w:val="302"/>
        </w:trPr>
        <w:tc>
          <w:tcPr>
            <w:tcW w:w="1033" w:type="pct"/>
            <w:tcBorders>
              <w:top w:val="nil"/>
              <w:left w:val="nil"/>
              <w:bottom w:val="nil"/>
              <w:right w:val="nil"/>
            </w:tcBorders>
            <w:shd w:val="clear" w:color="auto" w:fill="auto"/>
            <w:noWrap/>
            <w:vAlign w:val="bottom"/>
            <w:hideMark/>
          </w:tcPr>
          <w:p w14:paraId="177ECFD1" w14:textId="77777777" w:rsidR="00740ACA" w:rsidRPr="00740ACA" w:rsidRDefault="00740ACA" w:rsidP="00740ACA">
            <w:pPr>
              <w:spacing w:after="0" w:line="240" w:lineRule="auto"/>
              <w:ind w:firstLineChars="200" w:firstLine="360"/>
              <w:rPr>
                <w:rFonts w:ascii="Times New Roman" w:eastAsia="Times New Roman" w:hAnsi="Times New Roman" w:cs="Times New Roman"/>
                <w:color w:val="000000"/>
                <w:sz w:val="18"/>
                <w:szCs w:val="18"/>
              </w:rPr>
            </w:pPr>
            <w:r w:rsidRPr="00740ACA">
              <w:rPr>
                <w:rFonts w:ascii="Times New Roman" w:eastAsia="Times New Roman" w:hAnsi="Times New Roman" w:cs="Times New Roman"/>
                <w:color w:val="000000"/>
                <w:sz w:val="18"/>
                <w:szCs w:val="18"/>
              </w:rPr>
              <w:t>Elective</w:t>
            </w:r>
          </w:p>
        </w:tc>
        <w:tc>
          <w:tcPr>
            <w:tcW w:w="976" w:type="pct"/>
            <w:tcBorders>
              <w:top w:val="nil"/>
              <w:left w:val="nil"/>
              <w:bottom w:val="nil"/>
              <w:right w:val="nil"/>
            </w:tcBorders>
            <w:shd w:val="clear" w:color="auto" w:fill="auto"/>
            <w:noWrap/>
            <w:vAlign w:val="bottom"/>
          </w:tcPr>
          <w:p w14:paraId="76F7413D" w14:textId="31BB6641"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0.34*** (0.01)</w:t>
            </w:r>
          </w:p>
        </w:tc>
        <w:tc>
          <w:tcPr>
            <w:tcW w:w="973" w:type="pct"/>
            <w:tcBorders>
              <w:top w:val="nil"/>
              <w:left w:val="nil"/>
              <w:bottom w:val="nil"/>
              <w:right w:val="nil"/>
            </w:tcBorders>
            <w:shd w:val="clear" w:color="auto" w:fill="auto"/>
            <w:noWrap/>
            <w:vAlign w:val="bottom"/>
          </w:tcPr>
          <w:p w14:paraId="068EC9D5" w14:textId="7D4EA7C6"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0.69*** (0.04)</w:t>
            </w:r>
          </w:p>
        </w:tc>
        <w:tc>
          <w:tcPr>
            <w:tcW w:w="1010" w:type="pct"/>
            <w:tcBorders>
              <w:top w:val="nil"/>
              <w:left w:val="nil"/>
              <w:bottom w:val="nil"/>
              <w:right w:val="nil"/>
            </w:tcBorders>
            <w:shd w:val="clear" w:color="auto" w:fill="auto"/>
            <w:noWrap/>
            <w:vAlign w:val="bottom"/>
          </w:tcPr>
          <w:p w14:paraId="2EE1AFD8" w14:textId="4D8740CE"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1.04*** (0.06)</w:t>
            </w:r>
          </w:p>
        </w:tc>
        <w:tc>
          <w:tcPr>
            <w:tcW w:w="1008" w:type="pct"/>
            <w:tcBorders>
              <w:top w:val="nil"/>
              <w:left w:val="nil"/>
              <w:bottom w:val="nil"/>
              <w:right w:val="nil"/>
            </w:tcBorders>
            <w:shd w:val="clear" w:color="auto" w:fill="auto"/>
            <w:noWrap/>
            <w:vAlign w:val="bottom"/>
          </w:tcPr>
          <w:p w14:paraId="2323C58A" w14:textId="58CDEBA3"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1.24*** (0.10)</w:t>
            </w:r>
          </w:p>
        </w:tc>
      </w:tr>
      <w:tr w:rsidR="00740ACA" w:rsidRPr="00740ACA" w14:paraId="026638D0" w14:textId="77777777" w:rsidTr="00740ACA">
        <w:trPr>
          <w:trHeight w:val="302"/>
        </w:trPr>
        <w:tc>
          <w:tcPr>
            <w:tcW w:w="1033" w:type="pct"/>
            <w:tcBorders>
              <w:top w:val="nil"/>
              <w:left w:val="nil"/>
              <w:bottom w:val="nil"/>
              <w:right w:val="nil"/>
            </w:tcBorders>
            <w:shd w:val="clear" w:color="auto" w:fill="auto"/>
            <w:noWrap/>
            <w:vAlign w:val="bottom"/>
            <w:hideMark/>
          </w:tcPr>
          <w:p w14:paraId="69CBA751" w14:textId="77777777"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p>
        </w:tc>
        <w:tc>
          <w:tcPr>
            <w:tcW w:w="976" w:type="pct"/>
            <w:tcBorders>
              <w:top w:val="nil"/>
              <w:left w:val="nil"/>
              <w:bottom w:val="nil"/>
              <w:right w:val="nil"/>
            </w:tcBorders>
            <w:shd w:val="clear" w:color="auto" w:fill="auto"/>
            <w:noWrap/>
            <w:vAlign w:val="bottom"/>
            <w:hideMark/>
          </w:tcPr>
          <w:p w14:paraId="44DECC88" w14:textId="77777777" w:rsidR="00740ACA" w:rsidRPr="00740ACA" w:rsidRDefault="00740ACA" w:rsidP="00740ACA">
            <w:pPr>
              <w:spacing w:after="0" w:line="240" w:lineRule="auto"/>
              <w:rPr>
                <w:rFonts w:ascii="Times New Roman" w:eastAsia="Times New Roman" w:hAnsi="Times New Roman" w:cs="Times New Roman"/>
                <w:sz w:val="18"/>
                <w:szCs w:val="18"/>
              </w:rPr>
            </w:pPr>
          </w:p>
        </w:tc>
        <w:tc>
          <w:tcPr>
            <w:tcW w:w="973" w:type="pct"/>
            <w:tcBorders>
              <w:top w:val="nil"/>
              <w:left w:val="nil"/>
              <w:bottom w:val="nil"/>
              <w:right w:val="nil"/>
            </w:tcBorders>
            <w:shd w:val="clear" w:color="auto" w:fill="auto"/>
            <w:noWrap/>
            <w:vAlign w:val="bottom"/>
            <w:hideMark/>
          </w:tcPr>
          <w:p w14:paraId="32594BC8" w14:textId="77777777" w:rsidR="00740ACA" w:rsidRPr="00740ACA" w:rsidRDefault="00740ACA" w:rsidP="00740ACA">
            <w:pPr>
              <w:spacing w:after="0" w:line="240" w:lineRule="auto"/>
              <w:rPr>
                <w:rFonts w:ascii="Times New Roman" w:eastAsia="Times New Roman" w:hAnsi="Times New Roman" w:cs="Times New Roman"/>
                <w:sz w:val="18"/>
                <w:szCs w:val="18"/>
              </w:rPr>
            </w:pPr>
          </w:p>
        </w:tc>
        <w:tc>
          <w:tcPr>
            <w:tcW w:w="1010" w:type="pct"/>
            <w:tcBorders>
              <w:top w:val="nil"/>
              <w:left w:val="nil"/>
              <w:bottom w:val="nil"/>
              <w:right w:val="nil"/>
            </w:tcBorders>
            <w:shd w:val="clear" w:color="auto" w:fill="auto"/>
            <w:noWrap/>
            <w:vAlign w:val="bottom"/>
            <w:hideMark/>
          </w:tcPr>
          <w:p w14:paraId="26BD1159" w14:textId="77777777" w:rsidR="00740ACA" w:rsidRPr="00740ACA" w:rsidRDefault="00740ACA" w:rsidP="00740ACA">
            <w:pPr>
              <w:spacing w:after="0" w:line="240" w:lineRule="auto"/>
              <w:rPr>
                <w:rFonts w:ascii="Times New Roman" w:eastAsia="Times New Roman" w:hAnsi="Times New Roman" w:cs="Times New Roman"/>
                <w:sz w:val="18"/>
                <w:szCs w:val="18"/>
              </w:rPr>
            </w:pPr>
          </w:p>
        </w:tc>
        <w:tc>
          <w:tcPr>
            <w:tcW w:w="1008" w:type="pct"/>
            <w:tcBorders>
              <w:top w:val="nil"/>
              <w:left w:val="nil"/>
              <w:bottom w:val="nil"/>
              <w:right w:val="nil"/>
            </w:tcBorders>
            <w:shd w:val="clear" w:color="auto" w:fill="auto"/>
            <w:noWrap/>
            <w:vAlign w:val="bottom"/>
            <w:hideMark/>
          </w:tcPr>
          <w:p w14:paraId="3E4F4711" w14:textId="77777777" w:rsidR="00740ACA" w:rsidRPr="00740ACA" w:rsidRDefault="00740ACA" w:rsidP="00740ACA">
            <w:pPr>
              <w:spacing w:after="0" w:line="240" w:lineRule="auto"/>
              <w:rPr>
                <w:rFonts w:ascii="Times New Roman" w:eastAsia="Times New Roman" w:hAnsi="Times New Roman" w:cs="Times New Roman"/>
                <w:sz w:val="18"/>
                <w:szCs w:val="18"/>
              </w:rPr>
            </w:pPr>
          </w:p>
        </w:tc>
      </w:tr>
      <w:tr w:rsidR="00740ACA" w:rsidRPr="00740ACA" w14:paraId="1EAA706A" w14:textId="77777777" w:rsidTr="00740ACA">
        <w:trPr>
          <w:trHeight w:val="302"/>
        </w:trPr>
        <w:tc>
          <w:tcPr>
            <w:tcW w:w="2008" w:type="pct"/>
            <w:gridSpan w:val="2"/>
            <w:tcBorders>
              <w:top w:val="nil"/>
              <w:left w:val="nil"/>
              <w:bottom w:val="nil"/>
              <w:right w:val="nil"/>
            </w:tcBorders>
            <w:shd w:val="clear" w:color="auto" w:fill="auto"/>
            <w:noWrap/>
            <w:vAlign w:val="bottom"/>
            <w:hideMark/>
          </w:tcPr>
          <w:p w14:paraId="269E2AAD" w14:textId="22F481B7" w:rsidR="00740ACA" w:rsidRPr="00740ACA" w:rsidRDefault="00740ACA" w:rsidP="00740ACA">
            <w:pPr>
              <w:spacing w:after="0" w:line="240" w:lineRule="auto"/>
              <w:rPr>
                <w:rFonts w:ascii="Times New Roman" w:eastAsia="Times New Roman" w:hAnsi="Times New Roman" w:cs="Times New Roman"/>
                <w:i/>
                <w:iCs/>
                <w:color w:val="000000"/>
                <w:sz w:val="18"/>
                <w:szCs w:val="18"/>
                <w:vertAlign w:val="superscript"/>
              </w:rPr>
            </w:pPr>
            <w:r w:rsidRPr="00740ACA">
              <w:rPr>
                <w:rFonts w:ascii="Times New Roman" w:eastAsia="Times New Roman" w:hAnsi="Times New Roman" w:cs="Times New Roman"/>
                <w:i/>
                <w:iCs/>
                <w:color w:val="000000"/>
                <w:sz w:val="18"/>
                <w:szCs w:val="18"/>
              </w:rPr>
              <w:t>Costs - general practice consultations</w:t>
            </w:r>
            <w:r w:rsidRPr="00740ACA">
              <w:rPr>
                <w:rFonts w:ascii="Times New Roman" w:eastAsia="Times New Roman" w:hAnsi="Times New Roman" w:cs="Times New Roman"/>
                <w:i/>
                <w:iCs/>
                <w:color w:val="000000"/>
                <w:sz w:val="18"/>
                <w:szCs w:val="18"/>
                <w:vertAlign w:val="superscript"/>
              </w:rPr>
              <w:t>b</w:t>
            </w:r>
          </w:p>
        </w:tc>
        <w:tc>
          <w:tcPr>
            <w:tcW w:w="973" w:type="pct"/>
            <w:tcBorders>
              <w:top w:val="nil"/>
              <w:left w:val="nil"/>
              <w:bottom w:val="nil"/>
              <w:right w:val="nil"/>
            </w:tcBorders>
            <w:shd w:val="clear" w:color="auto" w:fill="auto"/>
            <w:noWrap/>
            <w:vAlign w:val="bottom"/>
            <w:hideMark/>
          </w:tcPr>
          <w:p w14:paraId="1CD801A6" w14:textId="77777777" w:rsidR="00740ACA" w:rsidRPr="00740ACA" w:rsidRDefault="00740ACA" w:rsidP="00740ACA">
            <w:pPr>
              <w:spacing w:after="0" w:line="240" w:lineRule="auto"/>
              <w:rPr>
                <w:rFonts w:ascii="Times New Roman" w:eastAsia="Times New Roman" w:hAnsi="Times New Roman" w:cs="Times New Roman"/>
                <w:i/>
                <w:iCs/>
                <w:color w:val="000000"/>
                <w:sz w:val="18"/>
                <w:szCs w:val="18"/>
              </w:rPr>
            </w:pPr>
          </w:p>
        </w:tc>
        <w:tc>
          <w:tcPr>
            <w:tcW w:w="1010" w:type="pct"/>
            <w:tcBorders>
              <w:top w:val="nil"/>
              <w:left w:val="nil"/>
              <w:bottom w:val="nil"/>
              <w:right w:val="nil"/>
            </w:tcBorders>
            <w:shd w:val="clear" w:color="auto" w:fill="auto"/>
            <w:noWrap/>
            <w:vAlign w:val="bottom"/>
            <w:hideMark/>
          </w:tcPr>
          <w:p w14:paraId="25C3FCC5" w14:textId="77777777" w:rsidR="00740ACA" w:rsidRPr="00740ACA" w:rsidRDefault="00740ACA" w:rsidP="00740ACA">
            <w:pPr>
              <w:spacing w:after="0" w:line="240" w:lineRule="auto"/>
              <w:rPr>
                <w:rFonts w:ascii="Times New Roman" w:eastAsia="Times New Roman" w:hAnsi="Times New Roman" w:cs="Times New Roman"/>
                <w:sz w:val="18"/>
                <w:szCs w:val="18"/>
              </w:rPr>
            </w:pPr>
          </w:p>
        </w:tc>
        <w:tc>
          <w:tcPr>
            <w:tcW w:w="1008" w:type="pct"/>
            <w:tcBorders>
              <w:top w:val="nil"/>
              <w:left w:val="nil"/>
              <w:bottom w:val="nil"/>
              <w:right w:val="nil"/>
            </w:tcBorders>
            <w:shd w:val="clear" w:color="auto" w:fill="auto"/>
            <w:noWrap/>
            <w:vAlign w:val="bottom"/>
            <w:hideMark/>
          </w:tcPr>
          <w:p w14:paraId="6AC4E5A2" w14:textId="77777777" w:rsidR="00740ACA" w:rsidRPr="00740ACA" w:rsidRDefault="00740ACA" w:rsidP="00740ACA">
            <w:pPr>
              <w:spacing w:after="0" w:line="240" w:lineRule="auto"/>
              <w:rPr>
                <w:rFonts w:ascii="Times New Roman" w:eastAsia="Times New Roman" w:hAnsi="Times New Roman" w:cs="Times New Roman"/>
                <w:sz w:val="18"/>
                <w:szCs w:val="18"/>
              </w:rPr>
            </w:pPr>
          </w:p>
        </w:tc>
      </w:tr>
      <w:tr w:rsidR="00740ACA" w:rsidRPr="00740ACA" w14:paraId="716BD4D6" w14:textId="77777777" w:rsidTr="00740ACA">
        <w:trPr>
          <w:trHeight w:val="302"/>
        </w:trPr>
        <w:tc>
          <w:tcPr>
            <w:tcW w:w="1033" w:type="pct"/>
            <w:tcBorders>
              <w:top w:val="nil"/>
              <w:left w:val="nil"/>
              <w:bottom w:val="nil"/>
              <w:right w:val="nil"/>
            </w:tcBorders>
            <w:shd w:val="clear" w:color="auto" w:fill="auto"/>
            <w:noWrap/>
            <w:vAlign w:val="bottom"/>
            <w:hideMark/>
          </w:tcPr>
          <w:p w14:paraId="0BA75007" w14:textId="77777777" w:rsidR="00740ACA" w:rsidRPr="00740ACA" w:rsidRDefault="00740ACA" w:rsidP="00740ACA">
            <w:pPr>
              <w:spacing w:after="0" w:line="240" w:lineRule="auto"/>
              <w:ind w:firstLineChars="200" w:firstLine="360"/>
              <w:rPr>
                <w:rFonts w:ascii="Times New Roman" w:eastAsia="Times New Roman" w:hAnsi="Times New Roman" w:cs="Times New Roman"/>
                <w:color w:val="000000"/>
                <w:sz w:val="18"/>
                <w:szCs w:val="18"/>
              </w:rPr>
            </w:pPr>
            <w:r w:rsidRPr="00740ACA">
              <w:rPr>
                <w:rFonts w:ascii="Times New Roman" w:eastAsia="Times New Roman" w:hAnsi="Times New Roman" w:cs="Times New Roman"/>
                <w:color w:val="000000"/>
                <w:sz w:val="18"/>
                <w:szCs w:val="18"/>
              </w:rPr>
              <w:t>GPs</w:t>
            </w:r>
          </w:p>
        </w:tc>
        <w:tc>
          <w:tcPr>
            <w:tcW w:w="976" w:type="pct"/>
            <w:tcBorders>
              <w:top w:val="nil"/>
              <w:left w:val="nil"/>
              <w:bottom w:val="nil"/>
              <w:right w:val="nil"/>
            </w:tcBorders>
            <w:shd w:val="clear" w:color="auto" w:fill="auto"/>
            <w:noWrap/>
            <w:vAlign w:val="bottom"/>
          </w:tcPr>
          <w:p w14:paraId="2CB5D4E4" w14:textId="75382D5F"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990.93</w:t>
            </w:r>
          </w:p>
        </w:tc>
        <w:tc>
          <w:tcPr>
            <w:tcW w:w="973" w:type="pct"/>
            <w:tcBorders>
              <w:top w:val="nil"/>
              <w:left w:val="nil"/>
              <w:bottom w:val="nil"/>
              <w:right w:val="nil"/>
            </w:tcBorders>
            <w:shd w:val="clear" w:color="auto" w:fill="auto"/>
            <w:noWrap/>
            <w:vAlign w:val="bottom"/>
          </w:tcPr>
          <w:p w14:paraId="56B4F915" w14:textId="07318E4D"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1232.50</w:t>
            </w:r>
          </w:p>
        </w:tc>
        <w:tc>
          <w:tcPr>
            <w:tcW w:w="1010" w:type="pct"/>
            <w:tcBorders>
              <w:top w:val="nil"/>
              <w:left w:val="nil"/>
              <w:bottom w:val="nil"/>
              <w:right w:val="nil"/>
            </w:tcBorders>
            <w:shd w:val="clear" w:color="auto" w:fill="auto"/>
            <w:noWrap/>
            <w:vAlign w:val="bottom"/>
          </w:tcPr>
          <w:p w14:paraId="77C474B1" w14:textId="132CCBF5"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1395.19</w:t>
            </w:r>
          </w:p>
        </w:tc>
        <w:tc>
          <w:tcPr>
            <w:tcW w:w="1008" w:type="pct"/>
            <w:tcBorders>
              <w:top w:val="nil"/>
              <w:left w:val="nil"/>
              <w:bottom w:val="nil"/>
              <w:right w:val="nil"/>
            </w:tcBorders>
            <w:shd w:val="clear" w:color="auto" w:fill="auto"/>
            <w:noWrap/>
            <w:vAlign w:val="bottom"/>
          </w:tcPr>
          <w:p w14:paraId="46BD90E1" w14:textId="38994162"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1505.62</w:t>
            </w:r>
          </w:p>
        </w:tc>
      </w:tr>
      <w:tr w:rsidR="00740ACA" w:rsidRPr="00740ACA" w14:paraId="294DA03A" w14:textId="77777777" w:rsidTr="00740ACA">
        <w:trPr>
          <w:trHeight w:val="302"/>
        </w:trPr>
        <w:tc>
          <w:tcPr>
            <w:tcW w:w="1033" w:type="pct"/>
            <w:tcBorders>
              <w:top w:val="nil"/>
              <w:left w:val="nil"/>
              <w:bottom w:val="nil"/>
              <w:right w:val="nil"/>
            </w:tcBorders>
            <w:shd w:val="clear" w:color="auto" w:fill="auto"/>
            <w:noWrap/>
            <w:vAlign w:val="bottom"/>
            <w:hideMark/>
          </w:tcPr>
          <w:p w14:paraId="50D1126C" w14:textId="77777777" w:rsidR="00740ACA" w:rsidRPr="00740ACA" w:rsidRDefault="00740ACA" w:rsidP="00740ACA">
            <w:pPr>
              <w:spacing w:after="0" w:line="240" w:lineRule="auto"/>
              <w:ind w:firstLineChars="200" w:firstLine="360"/>
              <w:rPr>
                <w:rFonts w:ascii="Times New Roman" w:eastAsia="Times New Roman" w:hAnsi="Times New Roman" w:cs="Times New Roman"/>
                <w:color w:val="000000"/>
                <w:sz w:val="18"/>
                <w:szCs w:val="18"/>
              </w:rPr>
            </w:pPr>
            <w:r w:rsidRPr="00740ACA">
              <w:rPr>
                <w:rFonts w:ascii="Times New Roman" w:eastAsia="Times New Roman" w:hAnsi="Times New Roman" w:cs="Times New Roman"/>
                <w:color w:val="000000"/>
                <w:sz w:val="18"/>
                <w:szCs w:val="18"/>
              </w:rPr>
              <w:t>Practice nurses</w:t>
            </w:r>
          </w:p>
        </w:tc>
        <w:tc>
          <w:tcPr>
            <w:tcW w:w="976" w:type="pct"/>
            <w:tcBorders>
              <w:top w:val="nil"/>
              <w:left w:val="nil"/>
              <w:bottom w:val="nil"/>
              <w:right w:val="nil"/>
            </w:tcBorders>
            <w:shd w:val="clear" w:color="auto" w:fill="auto"/>
            <w:noWrap/>
            <w:vAlign w:val="bottom"/>
          </w:tcPr>
          <w:p w14:paraId="7FBC9CA9" w14:textId="6A6E1C19"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30.62</w:t>
            </w:r>
          </w:p>
        </w:tc>
        <w:tc>
          <w:tcPr>
            <w:tcW w:w="973" w:type="pct"/>
            <w:tcBorders>
              <w:top w:val="nil"/>
              <w:left w:val="nil"/>
              <w:bottom w:val="nil"/>
              <w:right w:val="nil"/>
            </w:tcBorders>
            <w:shd w:val="clear" w:color="auto" w:fill="auto"/>
            <w:noWrap/>
            <w:vAlign w:val="bottom"/>
          </w:tcPr>
          <w:p w14:paraId="01D30106" w14:textId="1D38E092"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38.37</w:t>
            </w:r>
          </w:p>
        </w:tc>
        <w:tc>
          <w:tcPr>
            <w:tcW w:w="1010" w:type="pct"/>
            <w:tcBorders>
              <w:top w:val="nil"/>
              <w:left w:val="nil"/>
              <w:bottom w:val="nil"/>
              <w:right w:val="nil"/>
            </w:tcBorders>
            <w:shd w:val="clear" w:color="auto" w:fill="auto"/>
            <w:noWrap/>
            <w:vAlign w:val="bottom"/>
          </w:tcPr>
          <w:p w14:paraId="16DAFFF3" w14:textId="2A0C13B0"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44.18</w:t>
            </w:r>
          </w:p>
        </w:tc>
        <w:tc>
          <w:tcPr>
            <w:tcW w:w="1008" w:type="pct"/>
            <w:tcBorders>
              <w:top w:val="nil"/>
              <w:left w:val="nil"/>
              <w:bottom w:val="nil"/>
              <w:right w:val="nil"/>
            </w:tcBorders>
            <w:shd w:val="clear" w:color="auto" w:fill="auto"/>
            <w:noWrap/>
            <w:vAlign w:val="bottom"/>
          </w:tcPr>
          <w:p w14:paraId="6A99CCAB" w14:textId="2C5C07D4"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48.22</w:t>
            </w:r>
          </w:p>
        </w:tc>
      </w:tr>
      <w:tr w:rsidR="00740ACA" w:rsidRPr="00740ACA" w14:paraId="0D27626F" w14:textId="77777777" w:rsidTr="00740ACA">
        <w:trPr>
          <w:trHeight w:val="302"/>
        </w:trPr>
        <w:tc>
          <w:tcPr>
            <w:tcW w:w="1033" w:type="pct"/>
            <w:tcBorders>
              <w:top w:val="nil"/>
              <w:left w:val="nil"/>
              <w:bottom w:val="nil"/>
              <w:right w:val="nil"/>
            </w:tcBorders>
            <w:shd w:val="clear" w:color="auto" w:fill="auto"/>
            <w:noWrap/>
            <w:vAlign w:val="bottom"/>
            <w:hideMark/>
          </w:tcPr>
          <w:p w14:paraId="22089E53" w14:textId="77777777" w:rsidR="00740ACA" w:rsidRPr="00740ACA" w:rsidRDefault="00740ACA" w:rsidP="00740ACA">
            <w:pPr>
              <w:spacing w:after="0" w:line="240" w:lineRule="auto"/>
              <w:ind w:firstLineChars="200" w:firstLine="360"/>
              <w:rPr>
                <w:rFonts w:ascii="Times New Roman" w:eastAsia="Times New Roman" w:hAnsi="Times New Roman" w:cs="Times New Roman"/>
                <w:color w:val="000000"/>
                <w:sz w:val="18"/>
                <w:szCs w:val="18"/>
              </w:rPr>
            </w:pPr>
            <w:r w:rsidRPr="00740ACA">
              <w:rPr>
                <w:rFonts w:ascii="Times New Roman" w:eastAsia="Times New Roman" w:hAnsi="Times New Roman" w:cs="Times New Roman"/>
                <w:color w:val="000000"/>
                <w:sz w:val="18"/>
                <w:szCs w:val="18"/>
              </w:rPr>
              <w:t>Total</w:t>
            </w:r>
          </w:p>
        </w:tc>
        <w:tc>
          <w:tcPr>
            <w:tcW w:w="976" w:type="pct"/>
            <w:tcBorders>
              <w:top w:val="nil"/>
              <w:left w:val="nil"/>
              <w:bottom w:val="nil"/>
              <w:right w:val="nil"/>
            </w:tcBorders>
            <w:shd w:val="clear" w:color="auto" w:fill="auto"/>
            <w:noWrap/>
            <w:vAlign w:val="bottom"/>
          </w:tcPr>
          <w:p w14:paraId="3FAE940B" w14:textId="61A50F07"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1021.55</w:t>
            </w:r>
          </w:p>
        </w:tc>
        <w:tc>
          <w:tcPr>
            <w:tcW w:w="973" w:type="pct"/>
            <w:tcBorders>
              <w:top w:val="nil"/>
              <w:left w:val="nil"/>
              <w:bottom w:val="nil"/>
              <w:right w:val="nil"/>
            </w:tcBorders>
            <w:shd w:val="clear" w:color="auto" w:fill="auto"/>
            <w:noWrap/>
            <w:vAlign w:val="bottom"/>
          </w:tcPr>
          <w:p w14:paraId="27724530" w14:textId="143E7688"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1270.87</w:t>
            </w:r>
          </w:p>
        </w:tc>
        <w:tc>
          <w:tcPr>
            <w:tcW w:w="1010" w:type="pct"/>
            <w:tcBorders>
              <w:top w:val="nil"/>
              <w:left w:val="nil"/>
              <w:bottom w:val="nil"/>
              <w:right w:val="nil"/>
            </w:tcBorders>
            <w:shd w:val="clear" w:color="auto" w:fill="auto"/>
            <w:noWrap/>
            <w:vAlign w:val="bottom"/>
          </w:tcPr>
          <w:p w14:paraId="65D4F816" w14:textId="3B5603F7"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1439.37</w:t>
            </w:r>
          </w:p>
        </w:tc>
        <w:tc>
          <w:tcPr>
            <w:tcW w:w="1008" w:type="pct"/>
            <w:tcBorders>
              <w:top w:val="nil"/>
              <w:left w:val="nil"/>
              <w:bottom w:val="nil"/>
              <w:right w:val="nil"/>
            </w:tcBorders>
            <w:shd w:val="clear" w:color="auto" w:fill="auto"/>
            <w:noWrap/>
            <w:vAlign w:val="bottom"/>
          </w:tcPr>
          <w:p w14:paraId="363E3FEE" w14:textId="6DE2FC49"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1553.84</w:t>
            </w:r>
          </w:p>
        </w:tc>
      </w:tr>
      <w:tr w:rsidR="00740ACA" w:rsidRPr="00740ACA" w14:paraId="3F56E4BA" w14:textId="77777777" w:rsidTr="00740ACA">
        <w:trPr>
          <w:trHeight w:val="302"/>
        </w:trPr>
        <w:tc>
          <w:tcPr>
            <w:tcW w:w="1033" w:type="pct"/>
            <w:tcBorders>
              <w:top w:val="nil"/>
              <w:left w:val="nil"/>
              <w:bottom w:val="nil"/>
              <w:right w:val="nil"/>
            </w:tcBorders>
            <w:shd w:val="clear" w:color="auto" w:fill="auto"/>
            <w:noWrap/>
            <w:vAlign w:val="bottom"/>
            <w:hideMark/>
          </w:tcPr>
          <w:p w14:paraId="3AF7EF0D" w14:textId="77777777"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p>
        </w:tc>
        <w:tc>
          <w:tcPr>
            <w:tcW w:w="976" w:type="pct"/>
            <w:tcBorders>
              <w:top w:val="nil"/>
              <w:left w:val="nil"/>
              <w:bottom w:val="nil"/>
              <w:right w:val="nil"/>
            </w:tcBorders>
            <w:shd w:val="clear" w:color="auto" w:fill="auto"/>
            <w:noWrap/>
            <w:vAlign w:val="bottom"/>
            <w:hideMark/>
          </w:tcPr>
          <w:p w14:paraId="549A9E70" w14:textId="77777777" w:rsidR="00740ACA" w:rsidRPr="00740ACA" w:rsidRDefault="00740ACA" w:rsidP="00740ACA">
            <w:pPr>
              <w:spacing w:after="0" w:line="240" w:lineRule="auto"/>
              <w:rPr>
                <w:rFonts w:ascii="Times New Roman" w:eastAsia="Times New Roman" w:hAnsi="Times New Roman" w:cs="Times New Roman"/>
                <w:sz w:val="18"/>
                <w:szCs w:val="18"/>
              </w:rPr>
            </w:pPr>
          </w:p>
        </w:tc>
        <w:tc>
          <w:tcPr>
            <w:tcW w:w="973" w:type="pct"/>
            <w:tcBorders>
              <w:top w:val="nil"/>
              <w:left w:val="nil"/>
              <w:bottom w:val="nil"/>
              <w:right w:val="nil"/>
            </w:tcBorders>
            <w:shd w:val="clear" w:color="auto" w:fill="auto"/>
            <w:noWrap/>
            <w:vAlign w:val="bottom"/>
            <w:hideMark/>
          </w:tcPr>
          <w:p w14:paraId="4ABD0AED" w14:textId="77777777" w:rsidR="00740ACA" w:rsidRPr="00740ACA" w:rsidRDefault="00740ACA" w:rsidP="00740ACA">
            <w:pPr>
              <w:spacing w:after="0" w:line="240" w:lineRule="auto"/>
              <w:rPr>
                <w:rFonts w:ascii="Times New Roman" w:eastAsia="Times New Roman" w:hAnsi="Times New Roman" w:cs="Times New Roman"/>
                <w:sz w:val="18"/>
                <w:szCs w:val="18"/>
              </w:rPr>
            </w:pPr>
          </w:p>
        </w:tc>
        <w:tc>
          <w:tcPr>
            <w:tcW w:w="1010" w:type="pct"/>
            <w:tcBorders>
              <w:top w:val="nil"/>
              <w:left w:val="nil"/>
              <w:bottom w:val="nil"/>
              <w:right w:val="nil"/>
            </w:tcBorders>
            <w:shd w:val="clear" w:color="auto" w:fill="auto"/>
            <w:noWrap/>
            <w:vAlign w:val="bottom"/>
            <w:hideMark/>
          </w:tcPr>
          <w:p w14:paraId="5158F093" w14:textId="77777777" w:rsidR="00740ACA" w:rsidRPr="00740ACA" w:rsidRDefault="00740ACA" w:rsidP="00740ACA">
            <w:pPr>
              <w:spacing w:after="0" w:line="240" w:lineRule="auto"/>
              <w:rPr>
                <w:rFonts w:ascii="Times New Roman" w:eastAsia="Times New Roman" w:hAnsi="Times New Roman" w:cs="Times New Roman"/>
                <w:sz w:val="18"/>
                <w:szCs w:val="18"/>
              </w:rPr>
            </w:pPr>
          </w:p>
        </w:tc>
        <w:tc>
          <w:tcPr>
            <w:tcW w:w="1008" w:type="pct"/>
            <w:tcBorders>
              <w:top w:val="nil"/>
              <w:left w:val="nil"/>
              <w:bottom w:val="nil"/>
              <w:right w:val="nil"/>
            </w:tcBorders>
            <w:shd w:val="clear" w:color="auto" w:fill="auto"/>
            <w:noWrap/>
            <w:vAlign w:val="bottom"/>
            <w:hideMark/>
          </w:tcPr>
          <w:p w14:paraId="5C12265F" w14:textId="77777777" w:rsidR="00740ACA" w:rsidRPr="00740ACA" w:rsidRDefault="00740ACA" w:rsidP="00740ACA">
            <w:pPr>
              <w:spacing w:after="0" w:line="240" w:lineRule="auto"/>
              <w:rPr>
                <w:rFonts w:ascii="Times New Roman" w:eastAsia="Times New Roman" w:hAnsi="Times New Roman" w:cs="Times New Roman"/>
                <w:sz w:val="18"/>
                <w:szCs w:val="18"/>
              </w:rPr>
            </w:pPr>
          </w:p>
        </w:tc>
      </w:tr>
      <w:tr w:rsidR="00740ACA" w:rsidRPr="00740ACA" w14:paraId="49AAD13E" w14:textId="77777777" w:rsidTr="00740ACA">
        <w:trPr>
          <w:trHeight w:val="302"/>
        </w:trPr>
        <w:tc>
          <w:tcPr>
            <w:tcW w:w="2008" w:type="pct"/>
            <w:gridSpan w:val="2"/>
            <w:tcBorders>
              <w:top w:val="nil"/>
              <w:left w:val="nil"/>
              <w:bottom w:val="nil"/>
              <w:right w:val="nil"/>
            </w:tcBorders>
            <w:shd w:val="clear" w:color="auto" w:fill="auto"/>
            <w:noWrap/>
            <w:vAlign w:val="bottom"/>
            <w:hideMark/>
          </w:tcPr>
          <w:p w14:paraId="039181B9" w14:textId="140A3E26" w:rsidR="00740ACA" w:rsidRPr="00740ACA" w:rsidRDefault="00740ACA" w:rsidP="00740ACA">
            <w:pPr>
              <w:spacing w:after="0" w:line="240" w:lineRule="auto"/>
              <w:rPr>
                <w:rFonts w:ascii="Times New Roman" w:eastAsia="Times New Roman" w:hAnsi="Times New Roman" w:cs="Times New Roman"/>
                <w:i/>
                <w:iCs/>
                <w:color w:val="000000"/>
                <w:sz w:val="18"/>
                <w:szCs w:val="18"/>
                <w:vertAlign w:val="superscript"/>
              </w:rPr>
            </w:pPr>
            <w:r w:rsidRPr="00740ACA">
              <w:rPr>
                <w:rFonts w:ascii="Times New Roman" w:eastAsia="Times New Roman" w:hAnsi="Times New Roman" w:cs="Times New Roman"/>
                <w:i/>
                <w:iCs/>
                <w:color w:val="000000"/>
                <w:sz w:val="18"/>
                <w:szCs w:val="18"/>
              </w:rPr>
              <w:t>Costs - hospital admissions</w:t>
            </w:r>
            <w:r w:rsidRPr="00740ACA">
              <w:rPr>
                <w:rFonts w:ascii="Times New Roman" w:eastAsia="Times New Roman" w:hAnsi="Times New Roman" w:cs="Times New Roman"/>
                <w:i/>
                <w:iCs/>
                <w:color w:val="000000"/>
                <w:sz w:val="18"/>
                <w:szCs w:val="18"/>
                <w:vertAlign w:val="superscript"/>
              </w:rPr>
              <w:t>c</w:t>
            </w:r>
          </w:p>
        </w:tc>
        <w:tc>
          <w:tcPr>
            <w:tcW w:w="973" w:type="pct"/>
            <w:tcBorders>
              <w:top w:val="nil"/>
              <w:left w:val="nil"/>
              <w:bottom w:val="nil"/>
              <w:right w:val="nil"/>
            </w:tcBorders>
            <w:shd w:val="clear" w:color="auto" w:fill="auto"/>
            <w:noWrap/>
            <w:vAlign w:val="bottom"/>
            <w:hideMark/>
          </w:tcPr>
          <w:p w14:paraId="002A5AFF" w14:textId="77777777" w:rsidR="00740ACA" w:rsidRPr="00740ACA" w:rsidRDefault="00740ACA" w:rsidP="00740ACA">
            <w:pPr>
              <w:spacing w:after="0" w:line="240" w:lineRule="auto"/>
              <w:rPr>
                <w:rFonts w:ascii="Times New Roman" w:eastAsia="Times New Roman" w:hAnsi="Times New Roman" w:cs="Times New Roman"/>
                <w:i/>
                <w:iCs/>
                <w:color w:val="000000"/>
                <w:sz w:val="18"/>
                <w:szCs w:val="18"/>
              </w:rPr>
            </w:pPr>
          </w:p>
        </w:tc>
        <w:tc>
          <w:tcPr>
            <w:tcW w:w="1010" w:type="pct"/>
            <w:tcBorders>
              <w:top w:val="nil"/>
              <w:left w:val="nil"/>
              <w:bottom w:val="nil"/>
              <w:right w:val="nil"/>
            </w:tcBorders>
            <w:shd w:val="clear" w:color="auto" w:fill="auto"/>
            <w:noWrap/>
            <w:vAlign w:val="bottom"/>
            <w:hideMark/>
          </w:tcPr>
          <w:p w14:paraId="73F1925E" w14:textId="77777777" w:rsidR="00740ACA" w:rsidRPr="00740ACA" w:rsidRDefault="00740ACA" w:rsidP="00740ACA">
            <w:pPr>
              <w:spacing w:after="0" w:line="240" w:lineRule="auto"/>
              <w:rPr>
                <w:rFonts w:ascii="Times New Roman" w:eastAsia="Times New Roman" w:hAnsi="Times New Roman" w:cs="Times New Roman"/>
                <w:sz w:val="18"/>
                <w:szCs w:val="18"/>
              </w:rPr>
            </w:pPr>
          </w:p>
        </w:tc>
        <w:tc>
          <w:tcPr>
            <w:tcW w:w="1008" w:type="pct"/>
            <w:tcBorders>
              <w:top w:val="nil"/>
              <w:left w:val="nil"/>
              <w:bottom w:val="nil"/>
              <w:right w:val="nil"/>
            </w:tcBorders>
            <w:shd w:val="clear" w:color="auto" w:fill="auto"/>
            <w:noWrap/>
            <w:vAlign w:val="bottom"/>
            <w:hideMark/>
          </w:tcPr>
          <w:p w14:paraId="15892706" w14:textId="77777777" w:rsidR="00740ACA" w:rsidRPr="00740ACA" w:rsidRDefault="00740ACA" w:rsidP="00740ACA">
            <w:pPr>
              <w:spacing w:after="0" w:line="240" w:lineRule="auto"/>
              <w:rPr>
                <w:rFonts w:ascii="Times New Roman" w:eastAsia="Times New Roman" w:hAnsi="Times New Roman" w:cs="Times New Roman"/>
                <w:sz w:val="18"/>
                <w:szCs w:val="18"/>
              </w:rPr>
            </w:pPr>
          </w:p>
        </w:tc>
      </w:tr>
      <w:tr w:rsidR="00740ACA" w:rsidRPr="00740ACA" w14:paraId="6E2ED6BF" w14:textId="77777777" w:rsidTr="00740ACA">
        <w:trPr>
          <w:trHeight w:val="302"/>
        </w:trPr>
        <w:tc>
          <w:tcPr>
            <w:tcW w:w="1033" w:type="pct"/>
            <w:tcBorders>
              <w:top w:val="nil"/>
              <w:left w:val="nil"/>
              <w:bottom w:val="nil"/>
              <w:right w:val="nil"/>
            </w:tcBorders>
            <w:shd w:val="clear" w:color="auto" w:fill="auto"/>
            <w:noWrap/>
            <w:vAlign w:val="bottom"/>
            <w:hideMark/>
          </w:tcPr>
          <w:p w14:paraId="392A1CFA" w14:textId="77777777" w:rsidR="00740ACA" w:rsidRPr="00740ACA" w:rsidRDefault="00740ACA" w:rsidP="00740ACA">
            <w:pPr>
              <w:spacing w:after="0" w:line="240" w:lineRule="auto"/>
              <w:ind w:firstLineChars="200" w:firstLine="360"/>
              <w:rPr>
                <w:rFonts w:ascii="Times New Roman" w:eastAsia="Times New Roman" w:hAnsi="Times New Roman" w:cs="Times New Roman"/>
                <w:color w:val="000000"/>
                <w:sz w:val="18"/>
                <w:szCs w:val="18"/>
              </w:rPr>
            </w:pPr>
            <w:r w:rsidRPr="00740ACA">
              <w:rPr>
                <w:rFonts w:ascii="Times New Roman" w:eastAsia="Times New Roman" w:hAnsi="Times New Roman" w:cs="Times New Roman"/>
                <w:color w:val="000000"/>
                <w:sz w:val="18"/>
                <w:szCs w:val="18"/>
              </w:rPr>
              <w:t>Emergency</w:t>
            </w:r>
          </w:p>
        </w:tc>
        <w:tc>
          <w:tcPr>
            <w:tcW w:w="976" w:type="pct"/>
            <w:tcBorders>
              <w:top w:val="nil"/>
              <w:left w:val="nil"/>
              <w:bottom w:val="nil"/>
              <w:right w:val="nil"/>
            </w:tcBorders>
            <w:shd w:val="clear" w:color="auto" w:fill="auto"/>
            <w:noWrap/>
            <w:vAlign w:val="bottom"/>
            <w:hideMark/>
          </w:tcPr>
          <w:p w14:paraId="1FA67A6A" w14:textId="77777777"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eastAsia="Times New Roman" w:hAnsi="Times New Roman" w:cs="Times New Roman"/>
                <w:color w:val="000000"/>
                <w:sz w:val="18"/>
                <w:szCs w:val="18"/>
              </w:rPr>
              <w:t>369.22*** (58.29)</w:t>
            </w:r>
          </w:p>
        </w:tc>
        <w:tc>
          <w:tcPr>
            <w:tcW w:w="973" w:type="pct"/>
            <w:tcBorders>
              <w:top w:val="nil"/>
              <w:left w:val="nil"/>
              <w:bottom w:val="nil"/>
              <w:right w:val="nil"/>
            </w:tcBorders>
            <w:shd w:val="clear" w:color="auto" w:fill="auto"/>
            <w:noWrap/>
            <w:vAlign w:val="bottom"/>
            <w:hideMark/>
          </w:tcPr>
          <w:p w14:paraId="50B2F4F2" w14:textId="77777777"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eastAsia="Times New Roman" w:hAnsi="Times New Roman" w:cs="Times New Roman"/>
                <w:color w:val="000000"/>
                <w:sz w:val="18"/>
                <w:szCs w:val="18"/>
              </w:rPr>
              <w:t>509.23*** (56.24)</w:t>
            </w:r>
          </w:p>
        </w:tc>
        <w:tc>
          <w:tcPr>
            <w:tcW w:w="1010" w:type="pct"/>
            <w:tcBorders>
              <w:top w:val="nil"/>
              <w:left w:val="nil"/>
              <w:bottom w:val="nil"/>
              <w:right w:val="nil"/>
            </w:tcBorders>
            <w:shd w:val="clear" w:color="auto" w:fill="auto"/>
            <w:noWrap/>
            <w:vAlign w:val="bottom"/>
            <w:hideMark/>
          </w:tcPr>
          <w:p w14:paraId="7C6BC9D8" w14:textId="77777777"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eastAsia="Times New Roman" w:hAnsi="Times New Roman" w:cs="Times New Roman"/>
                <w:color w:val="000000"/>
                <w:sz w:val="18"/>
                <w:szCs w:val="18"/>
              </w:rPr>
              <w:t>857.73*** (59.23)</w:t>
            </w:r>
          </w:p>
        </w:tc>
        <w:tc>
          <w:tcPr>
            <w:tcW w:w="1008" w:type="pct"/>
            <w:tcBorders>
              <w:top w:val="nil"/>
              <w:left w:val="nil"/>
              <w:bottom w:val="nil"/>
              <w:right w:val="nil"/>
            </w:tcBorders>
            <w:shd w:val="clear" w:color="auto" w:fill="auto"/>
            <w:noWrap/>
            <w:vAlign w:val="bottom"/>
            <w:hideMark/>
          </w:tcPr>
          <w:p w14:paraId="4E2B4CD1" w14:textId="77777777"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eastAsia="Times New Roman" w:hAnsi="Times New Roman" w:cs="Times New Roman"/>
                <w:color w:val="000000"/>
                <w:sz w:val="18"/>
                <w:szCs w:val="18"/>
              </w:rPr>
              <w:t>1579.96*** (74.40)</w:t>
            </w:r>
          </w:p>
        </w:tc>
      </w:tr>
      <w:tr w:rsidR="00740ACA" w:rsidRPr="00740ACA" w14:paraId="1F0277E3" w14:textId="77777777" w:rsidTr="00740ACA">
        <w:trPr>
          <w:trHeight w:val="302"/>
        </w:trPr>
        <w:tc>
          <w:tcPr>
            <w:tcW w:w="1033" w:type="pct"/>
            <w:tcBorders>
              <w:top w:val="nil"/>
              <w:left w:val="nil"/>
              <w:bottom w:val="nil"/>
              <w:right w:val="nil"/>
            </w:tcBorders>
            <w:shd w:val="clear" w:color="auto" w:fill="auto"/>
            <w:noWrap/>
            <w:vAlign w:val="bottom"/>
            <w:hideMark/>
          </w:tcPr>
          <w:p w14:paraId="15F16203" w14:textId="77777777" w:rsidR="00740ACA" w:rsidRPr="00740ACA" w:rsidRDefault="00740ACA" w:rsidP="00740ACA">
            <w:pPr>
              <w:spacing w:after="0" w:line="240" w:lineRule="auto"/>
              <w:ind w:firstLineChars="200" w:firstLine="360"/>
              <w:rPr>
                <w:rFonts w:ascii="Times New Roman" w:eastAsia="Times New Roman" w:hAnsi="Times New Roman" w:cs="Times New Roman"/>
                <w:color w:val="000000"/>
                <w:sz w:val="18"/>
                <w:szCs w:val="18"/>
              </w:rPr>
            </w:pPr>
            <w:r w:rsidRPr="00740ACA">
              <w:rPr>
                <w:rFonts w:ascii="Times New Roman" w:eastAsia="Times New Roman" w:hAnsi="Times New Roman" w:cs="Times New Roman"/>
                <w:color w:val="000000"/>
                <w:sz w:val="18"/>
                <w:szCs w:val="18"/>
              </w:rPr>
              <w:t>Elective</w:t>
            </w:r>
          </w:p>
        </w:tc>
        <w:tc>
          <w:tcPr>
            <w:tcW w:w="976" w:type="pct"/>
            <w:tcBorders>
              <w:top w:val="nil"/>
              <w:left w:val="nil"/>
              <w:bottom w:val="nil"/>
              <w:right w:val="nil"/>
            </w:tcBorders>
            <w:shd w:val="clear" w:color="auto" w:fill="auto"/>
            <w:noWrap/>
            <w:vAlign w:val="bottom"/>
            <w:hideMark/>
          </w:tcPr>
          <w:p w14:paraId="6849D40B" w14:textId="77777777"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eastAsia="Times New Roman" w:hAnsi="Times New Roman" w:cs="Times New Roman"/>
                <w:color w:val="000000"/>
                <w:sz w:val="18"/>
                <w:szCs w:val="18"/>
              </w:rPr>
              <w:t>241.67*** (11.94)</w:t>
            </w:r>
          </w:p>
        </w:tc>
        <w:tc>
          <w:tcPr>
            <w:tcW w:w="973" w:type="pct"/>
            <w:tcBorders>
              <w:top w:val="nil"/>
              <w:left w:val="nil"/>
              <w:bottom w:val="nil"/>
              <w:right w:val="nil"/>
            </w:tcBorders>
            <w:shd w:val="clear" w:color="auto" w:fill="auto"/>
            <w:noWrap/>
            <w:vAlign w:val="bottom"/>
            <w:hideMark/>
          </w:tcPr>
          <w:p w14:paraId="7358AAB8" w14:textId="77777777"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eastAsia="Times New Roman" w:hAnsi="Times New Roman" w:cs="Times New Roman"/>
                <w:color w:val="000000"/>
                <w:sz w:val="18"/>
                <w:szCs w:val="18"/>
              </w:rPr>
              <w:t>412.41*** (12.19)</w:t>
            </w:r>
          </w:p>
        </w:tc>
        <w:tc>
          <w:tcPr>
            <w:tcW w:w="1010" w:type="pct"/>
            <w:tcBorders>
              <w:top w:val="nil"/>
              <w:left w:val="nil"/>
              <w:bottom w:val="nil"/>
              <w:right w:val="nil"/>
            </w:tcBorders>
            <w:shd w:val="clear" w:color="auto" w:fill="auto"/>
            <w:noWrap/>
            <w:vAlign w:val="bottom"/>
            <w:hideMark/>
          </w:tcPr>
          <w:p w14:paraId="2B9A574C" w14:textId="77777777"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eastAsia="Times New Roman" w:hAnsi="Times New Roman" w:cs="Times New Roman"/>
                <w:color w:val="000000"/>
                <w:sz w:val="18"/>
                <w:szCs w:val="18"/>
              </w:rPr>
              <w:t>539.83*** (22.14)</w:t>
            </w:r>
          </w:p>
        </w:tc>
        <w:tc>
          <w:tcPr>
            <w:tcW w:w="1008" w:type="pct"/>
            <w:tcBorders>
              <w:top w:val="nil"/>
              <w:left w:val="nil"/>
              <w:bottom w:val="nil"/>
              <w:right w:val="nil"/>
            </w:tcBorders>
            <w:shd w:val="clear" w:color="auto" w:fill="auto"/>
            <w:noWrap/>
            <w:vAlign w:val="bottom"/>
            <w:hideMark/>
          </w:tcPr>
          <w:p w14:paraId="5B13BB3A" w14:textId="77777777"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eastAsia="Times New Roman" w:hAnsi="Times New Roman" w:cs="Times New Roman"/>
                <w:color w:val="000000"/>
                <w:sz w:val="18"/>
                <w:szCs w:val="18"/>
              </w:rPr>
              <w:t>598.57*** (22.14)</w:t>
            </w:r>
          </w:p>
        </w:tc>
      </w:tr>
      <w:tr w:rsidR="00740ACA" w:rsidRPr="00740ACA" w14:paraId="3CFAFBD4" w14:textId="77777777" w:rsidTr="00740ACA">
        <w:trPr>
          <w:trHeight w:val="302"/>
        </w:trPr>
        <w:tc>
          <w:tcPr>
            <w:tcW w:w="1033" w:type="pct"/>
            <w:tcBorders>
              <w:top w:val="nil"/>
              <w:left w:val="nil"/>
              <w:bottom w:val="nil"/>
              <w:right w:val="nil"/>
            </w:tcBorders>
            <w:shd w:val="clear" w:color="auto" w:fill="auto"/>
            <w:noWrap/>
            <w:vAlign w:val="bottom"/>
            <w:hideMark/>
          </w:tcPr>
          <w:p w14:paraId="3CBE14CF" w14:textId="77777777" w:rsidR="00740ACA" w:rsidRPr="00740ACA" w:rsidRDefault="00740ACA" w:rsidP="00740ACA">
            <w:pPr>
              <w:spacing w:after="0" w:line="240" w:lineRule="auto"/>
              <w:ind w:firstLineChars="200" w:firstLine="360"/>
              <w:rPr>
                <w:rFonts w:ascii="Times New Roman" w:eastAsia="Times New Roman" w:hAnsi="Times New Roman" w:cs="Times New Roman"/>
                <w:color w:val="000000"/>
                <w:sz w:val="18"/>
                <w:szCs w:val="18"/>
              </w:rPr>
            </w:pPr>
            <w:r w:rsidRPr="00740ACA">
              <w:rPr>
                <w:rFonts w:ascii="Times New Roman" w:eastAsia="Times New Roman" w:hAnsi="Times New Roman" w:cs="Times New Roman"/>
                <w:color w:val="000000"/>
                <w:sz w:val="18"/>
                <w:szCs w:val="18"/>
              </w:rPr>
              <w:t>Total</w:t>
            </w:r>
          </w:p>
        </w:tc>
        <w:tc>
          <w:tcPr>
            <w:tcW w:w="976" w:type="pct"/>
            <w:tcBorders>
              <w:top w:val="nil"/>
              <w:left w:val="nil"/>
              <w:bottom w:val="nil"/>
              <w:right w:val="nil"/>
            </w:tcBorders>
            <w:shd w:val="clear" w:color="auto" w:fill="auto"/>
            <w:noWrap/>
            <w:vAlign w:val="bottom"/>
            <w:hideMark/>
          </w:tcPr>
          <w:p w14:paraId="63311EC4" w14:textId="77777777"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eastAsia="Times New Roman" w:hAnsi="Times New Roman" w:cs="Times New Roman"/>
                <w:color w:val="000000"/>
                <w:sz w:val="18"/>
                <w:szCs w:val="18"/>
              </w:rPr>
              <w:t>606.80*** (60.50)</w:t>
            </w:r>
          </w:p>
        </w:tc>
        <w:tc>
          <w:tcPr>
            <w:tcW w:w="973" w:type="pct"/>
            <w:tcBorders>
              <w:top w:val="nil"/>
              <w:left w:val="nil"/>
              <w:bottom w:val="nil"/>
              <w:right w:val="nil"/>
            </w:tcBorders>
            <w:shd w:val="clear" w:color="auto" w:fill="auto"/>
            <w:noWrap/>
            <w:vAlign w:val="bottom"/>
            <w:hideMark/>
          </w:tcPr>
          <w:p w14:paraId="6E762FAC" w14:textId="77777777"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eastAsia="Times New Roman" w:hAnsi="Times New Roman" w:cs="Times New Roman"/>
                <w:color w:val="000000"/>
                <w:sz w:val="18"/>
                <w:szCs w:val="18"/>
              </w:rPr>
              <w:t>918.53*** (58.64)</w:t>
            </w:r>
          </w:p>
        </w:tc>
        <w:tc>
          <w:tcPr>
            <w:tcW w:w="1010" w:type="pct"/>
            <w:tcBorders>
              <w:top w:val="nil"/>
              <w:left w:val="nil"/>
              <w:bottom w:val="nil"/>
              <w:right w:val="nil"/>
            </w:tcBorders>
            <w:shd w:val="clear" w:color="auto" w:fill="auto"/>
            <w:noWrap/>
            <w:vAlign w:val="bottom"/>
            <w:hideMark/>
          </w:tcPr>
          <w:p w14:paraId="470FDDF5" w14:textId="77777777"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eastAsia="Times New Roman" w:hAnsi="Times New Roman" w:cs="Times New Roman"/>
                <w:color w:val="000000"/>
                <w:sz w:val="18"/>
                <w:szCs w:val="18"/>
              </w:rPr>
              <w:t>1397.58*** (65.91)</w:t>
            </w:r>
          </w:p>
        </w:tc>
        <w:tc>
          <w:tcPr>
            <w:tcW w:w="1008" w:type="pct"/>
            <w:tcBorders>
              <w:top w:val="nil"/>
              <w:left w:val="nil"/>
              <w:bottom w:val="nil"/>
              <w:right w:val="nil"/>
            </w:tcBorders>
            <w:shd w:val="clear" w:color="auto" w:fill="auto"/>
            <w:noWrap/>
            <w:vAlign w:val="bottom"/>
            <w:hideMark/>
          </w:tcPr>
          <w:p w14:paraId="46C2DF3D" w14:textId="77777777"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eastAsia="Times New Roman" w:hAnsi="Times New Roman" w:cs="Times New Roman"/>
                <w:color w:val="000000"/>
                <w:sz w:val="18"/>
                <w:szCs w:val="18"/>
              </w:rPr>
              <w:t>2182.71*** (79.98)</w:t>
            </w:r>
          </w:p>
        </w:tc>
      </w:tr>
      <w:tr w:rsidR="00740ACA" w:rsidRPr="00740ACA" w14:paraId="698E5696" w14:textId="77777777" w:rsidTr="00740ACA">
        <w:trPr>
          <w:trHeight w:val="302"/>
        </w:trPr>
        <w:tc>
          <w:tcPr>
            <w:tcW w:w="1033" w:type="pct"/>
            <w:tcBorders>
              <w:top w:val="nil"/>
              <w:left w:val="nil"/>
              <w:bottom w:val="nil"/>
              <w:right w:val="nil"/>
            </w:tcBorders>
            <w:shd w:val="clear" w:color="auto" w:fill="auto"/>
            <w:noWrap/>
            <w:vAlign w:val="bottom"/>
            <w:hideMark/>
          </w:tcPr>
          <w:p w14:paraId="039BD799" w14:textId="77777777"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p>
        </w:tc>
        <w:tc>
          <w:tcPr>
            <w:tcW w:w="976" w:type="pct"/>
            <w:tcBorders>
              <w:top w:val="nil"/>
              <w:left w:val="nil"/>
              <w:bottom w:val="nil"/>
              <w:right w:val="nil"/>
            </w:tcBorders>
            <w:shd w:val="clear" w:color="auto" w:fill="auto"/>
            <w:noWrap/>
            <w:vAlign w:val="bottom"/>
            <w:hideMark/>
          </w:tcPr>
          <w:p w14:paraId="0CAACB6C" w14:textId="77777777" w:rsidR="00740ACA" w:rsidRPr="00740ACA" w:rsidRDefault="00740ACA" w:rsidP="00740ACA">
            <w:pPr>
              <w:spacing w:after="0" w:line="240" w:lineRule="auto"/>
              <w:rPr>
                <w:rFonts w:ascii="Times New Roman" w:eastAsia="Times New Roman" w:hAnsi="Times New Roman" w:cs="Times New Roman"/>
                <w:sz w:val="18"/>
                <w:szCs w:val="18"/>
              </w:rPr>
            </w:pPr>
          </w:p>
        </w:tc>
        <w:tc>
          <w:tcPr>
            <w:tcW w:w="973" w:type="pct"/>
            <w:tcBorders>
              <w:top w:val="nil"/>
              <w:left w:val="nil"/>
              <w:bottom w:val="nil"/>
              <w:right w:val="nil"/>
            </w:tcBorders>
            <w:shd w:val="clear" w:color="auto" w:fill="auto"/>
            <w:noWrap/>
            <w:vAlign w:val="bottom"/>
            <w:hideMark/>
          </w:tcPr>
          <w:p w14:paraId="0F4AA29D" w14:textId="77777777" w:rsidR="00740ACA" w:rsidRPr="00740ACA" w:rsidRDefault="00740ACA" w:rsidP="00740ACA">
            <w:pPr>
              <w:spacing w:after="0" w:line="240" w:lineRule="auto"/>
              <w:rPr>
                <w:rFonts w:ascii="Times New Roman" w:eastAsia="Times New Roman" w:hAnsi="Times New Roman" w:cs="Times New Roman"/>
                <w:sz w:val="18"/>
                <w:szCs w:val="18"/>
              </w:rPr>
            </w:pPr>
          </w:p>
        </w:tc>
        <w:tc>
          <w:tcPr>
            <w:tcW w:w="1010" w:type="pct"/>
            <w:tcBorders>
              <w:top w:val="nil"/>
              <w:left w:val="nil"/>
              <w:bottom w:val="nil"/>
              <w:right w:val="nil"/>
            </w:tcBorders>
            <w:shd w:val="clear" w:color="auto" w:fill="auto"/>
            <w:noWrap/>
            <w:vAlign w:val="bottom"/>
            <w:hideMark/>
          </w:tcPr>
          <w:p w14:paraId="3D4D133D" w14:textId="77777777" w:rsidR="00740ACA" w:rsidRPr="00740ACA" w:rsidRDefault="00740ACA" w:rsidP="00740ACA">
            <w:pPr>
              <w:spacing w:after="0" w:line="240" w:lineRule="auto"/>
              <w:rPr>
                <w:rFonts w:ascii="Times New Roman" w:eastAsia="Times New Roman" w:hAnsi="Times New Roman" w:cs="Times New Roman"/>
                <w:sz w:val="18"/>
                <w:szCs w:val="18"/>
              </w:rPr>
            </w:pPr>
          </w:p>
        </w:tc>
        <w:tc>
          <w:tcPr>
            <w:tcW w:w="1008" w:type="pct"/>
            <w:tcBorders>
              <w:top w:val="nil"/>
              <w:left w:val="nil"/>
              <w:bottom w:val="nil"/>
              <w:right w:val="nil"/>
            </w:tcBorders>
            <w:shd w:val="clear" w:color="auto" w:fill="auto"/>
            <w:noWrap/>
            <w:vAlign w:val="bottom"/>
            <w:hideMark/>
          </w:tcPr>
          <w:p w14:paraId="50E7D976" w14:textId="77777777" w:rsidR="00740ACA" w:rsidRPr="00740ACA" w:rsidRDefault="00740ACA" w:rsidP="00740ACA">
            <w:pPr>
              <w:spacing w:after="0" w:line="240" w:lineRule="auto"/>
              <w:rPr>
                <w:rFonts w:ascii="Times New Roman" w:eastAsia="Times New Roman" w:hAnsi="Times New Roman" w:cs="Times New Roman"/>
                <w:sz w:val="18"/>
                <w:szCs w:val="18"/>
              </w:rPr>
            </w:pPr>
          </w:p>
        </w:tc>
      </w:tr>
      <w:tr w:rsidR="00740ACA" w:rsidRPr="00740ACA" w14:paraId="6532F03F" w14:textId="77777777" w:rsidTr="00740ACA">
        <w:trPr>
          <w:trHeight w:val="302"/>
        </w:trPr>
        <w:tc>
          <w:tcPr>
            <w:tcW w:w="1033" w:type="pct"/>
            <w:tcBorders>
              <w:top w:val="nil"/>
              <w:left w:val="nil"/>
              <w:bottom w:val="single" w:sz="4" w:space="0" w:color="auto"/>
              <w:right w:val="nil"/>
            </w:tcBorders>
            <w:shd w:val="clear" w:color="auto" w:fill="auto"/>
            <w:noWrap/>
            <w:vAlign w:val="bottom"/>
            <w:hideMark/>
          </w:tcPr>
          <w:p w14:paraId="149CA6B7" w14:textId="77777777" w:rsidR="00740ACA" w:rsidRPr="00740ACA" w:rsidRDefault="00740ACA" w:rsidP="00740ACA">
            <w:pPr>
              <w:spacing w:after="0" w:line="240" w:lineRule="auto"/>
              <w:rPr>
                <w:rFonts w:ascii="Times New Roman" w:eastAsia="Times New Roman" w:hAnsi="Times New Roman" w:cs="Times New Roman"/>
                <w:i/>
                <w:iCs/>
                <w:color w:val="000000"/>
                <w:sz w:val="18"/>
                <w:szCs w:val="18"/>
              </w:rPr>
            </w:pPr>
            <w:r w:rsidRPr="00740ACA">
              <w:rPr>
                <w:rFonts w:ascii="Times New Roman" w:eastAsia="Times New Roman" w:hAnsi="Times New Roman" w:cs="Times New Roman"/>
                <w:i/>
                <w:iCs/>
                <w:color w:val="000000"/>
                <w:sz w:val="18"/>
                <w:szCs w:val="18"/>
              </w:rPr>
              <w:t>Costs - total</w:t>
            </w:r>
          </w:p>
        </w:tc>
        <w:tc>
          <w:tcPr>
            <w:tcW w:w="976" w:type="pct"/>
            <w:tcBorders>
              <w:top w:val="nil"/>
              <w:left w:val="nil"/>
              <w:bottom w:val="single" w:sz="4" w:space="0" w:color="auto"/>
              <w:right w:val="nil"/>
            </w:tcBorders>
            <w:shd w:val="clear" w:color="auto" w:fill="auto"/>
            <w:noWrap/>
            <w:vAlign w:val="bottom"/>
          </w:tcPr>
          <w:p w14:paraId="58B4755F" w14:textId="73E051C9"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1628.35</w:t>
            </w:r>
          </w:p>
        </w:tc>
        <w:tc>
          <w:tcPr>
            <w:tcW w:w="973" w:type="pct"/>
            <w:tcBorders>
              <w:top w:val="nil"/>
              <w:left w:val="nil"/>
              <w:bottom w:val="single" w:sz="4" w:space="0" w:color="auto"/>
              <w:right w:val="nil"/>
            </w:tcBorders>
            <w:shd w:val="clear" w:color="auto" w:fill="auto"/>
            <w:noWrap/>
            <w:vAlign w:val="bottom"/>
          </w:tcPr>
          <w:p w14:paraId="1E07B4E0" w14:textId="7FAE8939"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2189.40</w:t>
            </w:r>
          </w:p>
        </w:tc>
        <w:tc>
          <w:tcPr>
            <w:tcW w:w="1010" w:type="pct"/>
            <w:tcBorders>
              <w:top w:val="nil"/>
              <w:left w:val="nil"/>
              <w:bottom w:val="single" w:sz="4" w:space="0" w:color="auto"/>
              <w:right w:val="nil"/>
            </w:tcBorders>
            <w:shd w:val="clear" w:color="auto" w:fill="auto"/>
            <w:noWrap/>
            <w:vAlign w:val="bottom"/>
          </w:tcPr>
          <w:p w14:paraId="28B2B66A" w14:textId="65D33DA0"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2836.95</w:t>
            </w:r>
          </w:p>
        </w:tc>
        <w:tc>
          <w:tcPr>
            <w:tcW w:w="1008" w:type="pct"/>
            <w:tcBorders>
              <w:top w:val="nil"/>
              <w:left w:val="nil"/>
              <w:bottom w:val="single" w:sz="4" w:space="0" w:color="auto"/>
              <w:right w:val="nil"/>
            </w:tcBorders>
            <w:shd w:val="clear" w:color="auto" w:fill="auto"/>
            <w:noWrap/>
            <w:vAlign w:val="bottom"/>
          </w:tcPr>
          <w:p w14:paraId="6B0CCD75" w14:textId="73F00EF2" w:rsidR="00740ACA" w:rsidRPr="00740ACA" w:rsidRDefault="00740ACA" w:rsidP="00740ACA">
            <w:pPr>
              <w:spacing w:after="0" w:line="240" w:lineRule="auto"/>
              <w:jc w:val="center"/>
              <w:rPr>
                <w:rFonts w:ascii="Times New Roman" w:eastAsia="Times New Roman" w:hAnsi="Times New Roman" w:cs="Times New Roman"/>
                <w:color w:val="000000"/>
                <w:sz w:val="18"/>
                <w:szCs w:val="18"/>
              </w:rPr>
            </w:pPr>
            <w:r w:rsidRPr="00740ACA">
              <w:rPr>
                <w:rFonts w:ascii="Times New Roman" w:hAnsi="Times New Roman" w:cs="Times New Roman"/>
                <w:color w:val="000000"/>
                <w:sz w:val="18"/>
                <w:szCs w:val="18"/>
              </w:rPr>
              <w:t>3736.55</w:t>
            </w:r>
          </w:p>
        </w:tc>
      </w:tr>
      <w:tr w:rsidR="00740ACA" w:rsidRPr="00740ACA" w14:paraId="641DE434" w14:textId="77777777" w:rsidTr="0033693B">
        <w:trPr>
          <w:trHeight w:val="300"/>
        </w:trPr>
        <w:tc>
          <w:tcPr>
            <w:tcW w:w="5000" w:type="pct"/>
            <w:gridSpan w:val="5"/>
            <w:tcBorders>
              <w:top w:val="single" w:sz="4" w:space="0" w:color="auto"/>
              <w:left w:val="nil"/>
              <w:bottom w:val="nil"/>
              <w:right w:val="nil"/>
            </w:tcBorders>
            <w:shd w:val="clear" w:color="auto" w:fill="auto"/>
            <w:noWrap/>
            <w:vAlign w:val="bottom"/>
            <w:hideMark/>
          </w:tcPr>
          <w:p w14:paraId="260A4156" w14:textId="0F65F474" w:rsidR="00740ACA" w:rsidRPr="00740ACA" w:rsidRDefault="00740ACA" w:rsidP="00740ACA">
            <w:pPr>
              <w:spacing w:after="0" w:line="240" w:lineRule="auto"/>
              <w:contextualSpacing/>
              <w:rPr>
                <w:rFonts w:ascii="Times New Roman" w:eastAsia="Times New Roman" w:hAnsi="Times New Roman" w:cs="Times New Roman"/>
                <w:color w:val="000000"/>
                <w:sz w:val="18"/>
                <w:szCs w:val="18"/>
              </w:rPr>
            </w:pPr>
            <w:r w:rsidRPr="00740ACA">
              <w:rPr>
                <w:rFonts w:ascii="Times New Roman" w:eastAsia="Times New Roman" w:hAnsi="Times New Roman" w:cs="Times New Roman"/>
                <w:color w:val="000000"/>
                <w:sz w:val="18"/>
                <w:szCs w:val="18"/>
              </w:rPr>
              <w:t xml:space="preserve">a. Predicted healthcare use per person per year using negative binomial regressions in table 2. </w:t>
            </w:r>
          </w:p>
          <w:p w14:paraId="23BEB69C" w14:textId="755B0084" w:rsidR="00740ACA" w:rsidRPr="00740ACA" w:rsidRDefault="00740ACA" w:rsidP="00740ACA">
            <w:pPr>
              <w:spacing w:line="240" w:lineRule="auto"/>
              <w:contextualSpacing/>
              <w:rPr>
                <w:rFonts w:ascii="Times New Roman" w:hAnsi="Times New Roman" w:cs="Times New Roman"/>
                <w:sz w:val="18"/>
                <w:szCs w:val="18"/>
              </w:rPr>
            </w:pPr>
            <w:r w:rsidRPr="00740ACA">
              <w:rPr>
                <w:rFonts w:ascii="Times New Roman" w:hAnsi="Times New Roman" w:cs="Times New Roman"/>
                <w:sz w:val="18"/>
                <w:szCs w:val="18"/>
              </w:rPr>
              <w:t>b. Costs were calculated using predicted healthcare use multiplied by the average cost per consultation.</w:t>
            </w:r>
          </w:p>
          <w:p w14:paraId="79210EE5" w14:textId="4F7EDFC4" w:rsidR="00740ACA" w:rsidRPr="00740ACA" w:rsidRDefault="00740ACA" w:rsidP="00740ACA">
            <w:pPr>
              <w:spacing w:line="240" w:lineRule="auto"/>
              <w:contextualSpacing/>
              <w:rPr>
                <w:rFonts w:ascii="Times New Roman" w:hAnsi="Times New Roman" w:cs="Times New Roman"/>
                <w:sz w:val="18"/>
                <w:szCs w:val="18"/>
              </w:rPr>
            </w:pPr>
            <w:r w:rsidRPr="00740ACA">
              <w:rPr>
                <w:rFonts w:ascii="Times New Roman" w:hAnsi="Times New Roman" w:cs="Times New Roman"/>
                <w:sz w:val="18"/>
                <w:szCs w:val="18"/>
              </w:rPr>
              <w:t>c. Predicted costs using two-level linear regressions with random intercept at practice-level, adjusted for baseline age, gender, ethnic group, deprivation, non-frailty long-term conditions and registration drop-out.</w:t>
            </w:r>
          </w:p>
          <w:p w14:paraId="732B0DBC" w14:textId="0115E9CF" w:rsidR="00740ACA" w:rsidRPr="00740ACA" w:rsidRDefault="00740ACA" w:rsidP="00740ACA">
            <w:pPr>
              <w:spacing w:line="240" w:lineRule="auto"/>
              <w:contextualSpacing/>
              <w:rPr>
                <w:rFonts w:ascii="Times New Roman" w:hAnsi="Times New Roman" w:cs="Times New Roman"/>
                <w:sz w:val="18"/>
                <w:szCs w:val="18"/>
              </w:rPr>
            </w:pPr>
            <w:r w:rsidRPr="00740ACA">
              <w:rPr>
                <w:rFonts w:ascii="Times New Roman" w:hAnsi="Times New Roman" w:cs="Times New Roman"/>
                <w:sz w:val="18"/>
                <w:szCs w:val="18"/>
              </w:rPr>
              <w:t>Standard errors in parentheses are robust to unspecified correlations.  *** p&lt;0.0</w:t>
            </w:r>
            <w:r w:rsidR="00561B07">
              <w:rPr>
                <w:rFonts w:ascii="Times New Roman" w:hAnsi="Times New Roman" w:cs="Times New Roman"/>
                <w:sz w:val="18"/>
                <w:szCs w:val="18"/>
              </w:rPr>
              <w:t>01</w:t>
            </w:r>
            <w:r w:rsidRPr="00740ACA">
              <w:rPr>
                <w:rFonts w:ascii="Times New Roman" w:hAnsi="Times New Roman" w:cs="Times New Roman"/>
                <w:sz w:val="18"/>
                <w:szCs w:val="18"/>
              </w:rPr>
              <w:t>, **</w:t>
            </w:r>
            <w:r w:rsidR="00561B07">
              <w:rPr>
                <w:rFonts w:ascii="Times New Roman" w:hAnsi="Times New Roman" w:cs="Times New Roman"/>
                <w:sz w:val="18"/>
                <w:szCs w:val="18"/>
              </w:rPr>
              <w:t xml:space="preserve"> p&lt;0.01, * p&lt;0.05</w:t>
            </w:r>
            <w:r w:rsidRPr="00740ACA">
              <w:rPr>
                <w:rFonts w:ascii="Times New Roman" w:hAnsi="Times New Roman" w:cs="Times New Roman"/>
                <w:sz w:val="18"/>
                <w:szCs w:val="18"/>
              </w:rPr>
              <w:t>.</w:t>
            </w:r>
          </w:p>
          <w:p w14:paraId="6E378CB5" w14:textId="681FB70F" w:rsidR="00740ACA" w:rsidRPr="00740ACA" w:rsidRDefault="00740ACA" w:rsidP="00740ACA">
            <w:pPr>
              <w:spacing w:line="240" w:lineRule="auto"/>
              <w:rPr>
                <w:rFonts w:ascii="Times New Roman" w:hAnsi="Times New Roman" w:cs="Times New Roman"/>
                <w:sz w:val="18"/>
                <w:szCs w:val="18"/>
              </w:rPr>
            </w:pPr>
          </w:p>
        </w:tc>
      </w:tr>
    </w:tbl>
    <w:p w14:paraId="5E777C74" w14:textId="763E6239" w:rsidR="007A25AE" w:rsidRDefault="007A25AE" w:rsidP="007A25AE"/>
    <w:p w14:paraId="524B0AD5" w14:textId="23EB7D66" w:rsidR="00CA2CFF" w:rsidRDefault="00CA2CFF" w:rsidP="007A25AE"/>
    <w:p w14:paraId="1C367ABD" w14:textId="77777777" w:rsidR="00CA2CFF" w:rsidRPr="007A25AE" w:rsidRDefault="00CA2CFF" w:rsidP="007A25AE"/>
    <w:p w14:paraId="7A3356F0" w14:textId="65F4205D" w:rsidR="00472DF2" w:rsidRPr="0020071E" w:rsidRDefault="00472DF2" w:rsidP="00472DF2">
      <w:pPr>
        <w:pStyle w:val="Caption"/>
        <w:keepNext/>
        <w:rPr>
          <w:rFonts w:ascii="Times New Roman" w:hAnsi="Times New Roman" w:cs="Times New Roman"/>
        </w:rPr>
      </w:pPr>
    </w:p>
    <w:p w14:paraId="547204A2" w14:textId="77777777" w:rsidR="00FE0BB7" w:rsidRDefault="00FE0BB7" w:rsidP="001E3BA3">
      <w:pPr>
        <w:jc w:val="both"/>
        <w:rPr>
          <w:rFonts w:ascii="Times New Roman" w:hAnsi="Times New Roman" w:cs="Times New Roman"/>
          <w:b/>
        </w:rPr>
      </w:pPr>
    </w:p>
    <w:p w14:paraId="748ED16C" w14:textId="77777777" w:rsidR="00FE0BB7" w:rsidRDefault="00FE0BB7" w:rsidP="001E3BA3">
      <w:pPr>
        <w:jc w:val="both"/>
        <w:rPr>
          <w:rFonts w:ascii="Times New Roman" w:hAnsi="Times New Roman" w:cs="Times New Roman"/>
          <w:b/>
        </w:rPr>
      </w:pPr>
    </w:p>
    <w:p w14:paraId="2B187DEB" w14:textId="77777777" w:rsidR="00FE0BB7" w:rsidRDefault="00FE0BB7" w:rsidP="001E3BA3">
      <w:pPr>
        <w:jc w:val="both"/>
        <w:rPr>
          <w:rFonts w:ascii="Times New Roman" w:hAnsi="Times New Roman" w:cs="Times New Roman"/>
          <w:b/>
        </w:rPr>
      </w:pPr>
    </w:p>
    <w:p w14:paraId="4A6668DE" w14:textId="451C8D1D" w:rsidR="00FE0BB7" w:rsidRDefault="00FE0BB7" w:rsidP="001E3BA3">
      <w:pPr>
        <w:jc w:val="both"/>
        <w:rPr>
          <w:rFonts w:ascii="Times New Roman" w:hAnsi="Times New Roman" w:cs="Times New Roman"/>
          <w:b/>
        </w:rPr>
      </w:pPr>
    </w:p>
    <w:p w14:paraId="735E6BE6" w14:textId="5ED57F5A" w:rsidR="00C74783" w:rsidRDefault="00C74783">
      <w:pPr>
        <w:rPr>
          <w:rFonts w:ascii="Times New Roman" w:hAnsi="Times New Roman" w:cs="Times New Roman"/>
          <w:b/>
        </w:rPr>
      </w:pPr>
      <w:r>
        <w:rPr>
          <w:rFonts w:ascii="Times New Roman" w:hAnsi="Times New Roman" w:cs="Times New Roman"/>
          <w:b/>
        </w:rPr>
        <w:br w:type="page"/>
      </w:r>
    </w:p>
    <w:p w14:paraId="0380E58C" w14:textId="3108A0A0" w:rsidR="008B328C" w:rsidRDefault="00A81043" w:rsidP="008B328C">
      <w:pPr>
        <w:jc w:val="both"/>
        <w:rPr>
          <w:rFonts w:ascii="Times New Roman" w:hAnsi="Times New Roman" w:cs="Times New Roman"/>
          <w:b/>
        </w:rPr>
      </w:pPr>
      <w:r>
        <w:rPr>
          <w:rFonts w:ascii="Times New Roman" w:hAnsi="Times New Roman" w:cs="Times New Roman"/>
          <w:b/>
        </w:rPr>
        <w:lastRenderedPageBreak/>
        <w:t>Discussion</w:t>
      </w:r>
    </w:p>
    <w:p w14:paraId="00192CD3" w14:textId="3DCDBCAA" w:rsidR="00A92298" w:rsidRPr="00CF00E4" w:rsidRDefault="00A92298" w:rsidP="00A92298">
      <w:pPr>
        <w:jc w:val="both"/>
        <w:rPr>
          <w:rFonts w:ascii="Times New Roman" w:hAnsi="Times New Roman" w:cs="Times New Roman"/>
        </w:rPr>
      </w:pPr>
      <w:r>
        <w:rPr>
          <w:rFonts w:ascii="Times New Roman" w:hAnsi="Times New Roman" w:cs="Times New Roman"/>
        </w:rPr>
        <w:t>We found that frailty was associated with large increases in general practice consultations, hospital admissions and length of hospital stay, consistent with international studies [</w:t>
      </w:r>
      <w:r w:rsidR="00606B24">
        <w:rPr>
          <w:rFonts w:ascii="Times New Roman" w:hAnsi="Times New Roman" w:cs="Times New Roman"/>
        </w:rPr>
        <w:t>17-20</w:t>
      </w:r>
      <w:r>
        <w:rPr>
          <w:rFonts w:ascii="Times New Roman" w:hAnsi="Times New Roman" w:cs="Times New Roman"/>
        </w:rPr>
        <w:t>]</w:t>
      </w:r>
      <w:r w:rsidR="00174B5A">
        <w:rPr>
          <w:rFonts w:ascii="Times New Roman" w:hAnsi="Times New Roman" w:cs="Times New Roman"/>
        </w:rPr>
        <w:t>.</w:t>
      </w:r>
      <w:r>
        <w:rPr>
          <w:rFonts w:ascii="Times New Roman" w:hAnsi="Times New Roman" w:cs="Times New Roman"/>
        </w:rPr>
        <w:t xml:space="preserve"> The greatest impact of frailty was on length of inpatient stay following emergency hospital admission, with severely frail patients staying in hospital over seven times longer than non-frail patients. This finding is likely to reflect not only greater medical need, but also lack of resources to support these patients in the community following discharge [</w:t>
      </w:r>
      <w:r w:rsidR="00606B24">
        <w:rPr>
          <w:rFonts w:ascii="Times New Roman" w:hAnsi="Times New Roman" w:cs="Times New Roman"/>
        </w:rPr>
        <w:t>21</w:t>
      </w:r>
      <w:r>
        <w:rPr>
          <w:rFonts w:ascii="Times New Roman" w:hAnsi="Times New Roman" w:cs="Times New Roman"/>
        </w:rPr>
        <w:t xml:space="preserve">]. Extended stays for frail patients are compounded by social deprivation; people living in more deprived areas are more likely to </w:t>
      </w:r>
      <w:r w:rsidR="009168F8">
        <w:rPr>
          <w:rFonts w:ascii="Times New Roman" w:hAnsi="Times New Roman" w:cs="Times New Roman"/>
        </w:rPr>
        <w:t>experience emergency hospitalisation</w:t>
      </w:r>
      <w:r>
        <w:rPr>
          <w:rFonts w:ascii="Times New Roman" w:hAnsi="Times New Roman" w:cs="Times New Roman"/>
        </w:rPr>
        <w:t>, and to have an extended</w:t>
      </w:r>
      <w:r w:rsidR="009168F8">
        <w:rPr>
          <w:rFonts w:ascii="Times New Roman" w:hAnsi="Times New Roman" w:cs="Times New Roman"/>
        </w:rPr>
        <w:t xml:space="preserve"> hospital</w:t>
      </w:r>
      <w:r>
        <w:rPr>
          <w:rFonts w:ascii="Times New Roman" w:hAnsi="Times New Roman" w:cs="Times New Roman"/>
        </w:rPr>
        <w:t xml:space="preserve"> stay following admission.</w:t>
      </w:r>
    </w:p>
    <w:p w14:paraId="68AFF643" w14:textId="2ED6D068" w:rsidR="00A92298" w:rsidRDefault="009B18EC" w:rsidP="008A78EA">
      <w:pPr>
        <w:jc w:val="both"/>
        <w:rPr>
          <w:rFonts w:ascii="Times New Roman" w:hAnsi="Times New Roman" w:cs="Times New Roman"/>
        </w:rPr>
      </w:pPr>
      <w:r>
        <w:rPr>
          <w:rFonts w:ascii="Times New Roman" w:hAnsi="Times New Roman" w:cs="Times New Roman"/>
        </w:rPr>
        <w:t>Our estimated costs of hospital admissions</w:t>
      </w:r>
      <w:r w:rsidR="004C387A">
        <w:rPr>
          <w:rFonts w:ascii="Times New Roman" w:hAnsi="Times New Roman" w:cs="Times New Roman"/>
        </w:rPr>
        <w:t xml:space="preserve"> </w:t>
      </w:r>
      <w:r>
        <w:rPr>
          <w:rFonts w:ascii="Times New Roman" w:hAnsi="Times New Roman" w:cs="Times New Roman"/>
        </w:rPr>
        <w:t xml:space="preserve">are generally comparable to findings in other European countries [4, </w:t>
      </w:r>
      <w:r w:rsidR="00FE59F7">
        <w:rPr>
          <w:rFonts w:ascii="Times New Roman" w:hAnsi="Times New Roman" w:cs="Times New Roman"/>
        </w:rPr>
        <w:t>22</w:t>
      </w:r>
      <w:r>
        <w:rPr>
          <w:rFonts w:ascii="Times New Roman" w:hAnsi="Times New Roman" w:cs="Times New Roman"/>
        </w:rPr>
        <w:t xml:space="preserve">]. </w:t>
      </w:r>
      <w:r w:rsidR="00A92298">
        <w:rPr>
          <w:rFonts w:ascii="Times New Roman" w:hAnsi="Times New Roman" w:cs="Times New Roman"/>
        </w:rPr>
        <w:t>We estimate that annual costs for general practice consultations and hospital admissions increase from £1628.35 for non-frail older people to £2189.40 for people with mild frailty, £2836.95 for moderate frailty and £3736.55 for severe frailty. Based on estimates of national</w:t>
      </w:r>
      <w:r w:rsidR="009168F8">
        <w:rPr>
          <w:rFonts w:ascii="Times New Roman" w:hAnsi="Times New Roman" w:cs="Times New Roman"/>
        </w:rPr>
        <w:t xml:space="preserve"> frailty</w:t>
      </w:r>
      <w:r w:rsidR="00A92298">
        <w:rPr>
          <w:rFonts w:ascii="Times New Roman" w:hAnsi="Times New Roman" w:cs="Times New Roman"/>
        </w:rPr>
        <w:t xml:space="preserve"> prevalence [14] and 2017 population estimates [</w:t>
      </w:r>
      <w:r w:rsidR="00FE59F7">
        <w:rPr>
          <w:rFonts w:ascii="Times New Roman" w:hAnsi="Times New Roman" w:cs="Times New Roman"/>
        </w:rPr>
        <w:t>23</w:t>
      </w:r>
      <w:r w:rsidR="00A92298">
        <w:rPr>
          <w:rFonts w:ascii="Times New Roman" w:hAnsi="Times New Roman" w:cs="Times New Roman"/>
        </w:rPr>
        <w:t>], this equates to a national cost</w:t>
      </w:r>
      <w:r w:rsidR="009168F8">
        <w:rPr>
          <w:rFonts w:ascii="Times New Roman" w:hAnsi="Times New Roman" w:cs="Times New Roman"/>
        </w:rPr>
        <w:t xml:space="preserve"> of frailty</w:t>
      </w:r>
      <w:r w:rsidR="00A92298">
        <w:rPr>
          <w:rFonts w:ascii="Times New Roman" w:hAnsi="Times New Roman" w:cs="Times New Roman"/>
        </w:rPr>
        <w:t xml:space="preserve"> to the</w:t>
      </w:r>
      <w:r w:rsidR="009168F8">
        <w:rPr>
          <w:rFonts w:ascii="Times New Roman" w:hAnsi="Times New Roman" w:cs="Times New Roman"/>
        </w:rPr>
        <w:t xml:space="preserve"> UK</w:t>
      </w:r>
      <w:r w:rsidR="00A92298">
        <w:rPr>
          <w:rFonts w:ascii="Times New Roman" w:hAnsi="Times New Roman" w:cs="Times New Roman"/>
        </w:rPr>
        <w:t xml:space="preserve"> NHS</w:t>
      </w:r>
      <w:r w:rsidR="009168F8">
        <w:rPr>
          <w:rFonts w:ascii="Times New Roman" w:hAnsi="Times New Roman" w:cs="Times New Roman"/>
        </w:rPr>
        <w:t xml:space="preserve"> of</w:t>
      </w:r>
      <w:r w:rsidR="00A92298">
        <w:rPr>
          <w:rFonts w:ascii="Times New Roman" w:hAnsi="Times New Roman" w:cs="Times New Roman"/>
        </w:rPr>
        <w:t xml:space="preserve"> £5.8 billion per year. In terms of NHS workload, an additional 29.1 million general practice consultations, 1.0 million emergency admissions and 1.1 million elective admissions are associated with frailty each year. Frailty is also associated with an additional 61.5 million patient days in hospital per year following emergency admission, and 3.3 million patient days following elective admission. </w:t>
      </w:r>
    </w:p>
    <w:p w14:paraId="5D3ACBC7" w14:textId="287A02A8" w:rsidR="00FD7ED1" w:rsidRDefault="008A78EA" w:rsidP="008A78EA">
      <w:pPr>
        <w:jc w:val="both"/>
        <w:rPr>
          <w:rFonts w:ascii="Times New Roman" w:hAnsi="Times New Roman" w:cs="Times New Roman"/>
        </w:rPr>
      </w:pPr>
      <w:r>
        <w:rPr>
          <w:rFonts w:ascii="Times New Roman" w:hAnsi="Times New Roman" w:cs="Times New Roman"/>
        </w:rPr>
        <w:t>We focused on patients with existing chronic disease,</w:t>
      </w:r>
      <w:r w:rsidR="004C387A">
        <w:rPr>
          <w:rFonts w:ascii="Times New Roman" w:hAnsi="Times New Roman" w:cs="Times New Roman"/>
        </w:rPr>
        <w:t xml:space="preserve"> which,</w:t>
      </w:r>
      <w:r>
        <w:rPr>
          <w:rFonts w:ascii="Times New Roman" w:hAnsi="Times New Roman" w:cs="Times New Roman"/>
        </w:rPr>
        <w:t xml:space="preserve"> combined with the use of average costs for consultations and hospital admissions, is likely to underestimate the true costs of caring for patients with increasing frailty. We calculated the average costs of general practice consultations using published information because </w:t>
      </w:r>
      <w:r w:rsidR="00B1516E">
        <w:rPr>
          <w:rFonts w:ascii="Times New Roman" w:hAnsi="Times New Roman" w:cs="Times New Roman"/>
        </w:rPr>
        <w:t xml:space="preserve">of </w:t>
      </w:r>
      <w:r>
        <w:rPr>
          <w:rFonts w:ascii="Times New Roman" w:hAnsi="Times New Roman" w:cs="Times New Roman"/>
        </w:rPr>
        <w:t>missing consultation</w:t>
      </w:r>
      <w:r w:rsidR="004C387A">
        <w:rPr>
          <w:rFonts w:ascii="Times New Roman" w:hAnsi="Times New Roman" w:cs="Times New Roman"/>
        </w:rPr>
        <w:t xml:space="preserve"> length</w:t>
      </w:r>
      <w:r w:rsidR="00664448">
        <w:rPr>
          <w:rFonts w:ascii="Times New Roman" w:hAnsi="Times New Roman" w:cs="Times New Roman"/>
        </w:rPr>
        <w:t xml:space="preserve"> data</w:t>
      </w:r>
      <w:r w:rsidR="004C387A">
        <w:rPr>
          <w:rFonts w:ascii="Times New Roman" w:hAnsi="Times New Roman" w:cs="Times New Roman"/>
        </w:rPr>
        <w:t>, which</w:t>
      </w:r>
      <w:r>
        <w:rPr>
          <w:rFonts w:ascii="Times New Roman" w:hAnsi="Times New Roman" w:cs="Times New Roman"/>
        </w:rPr>
        <w:t xml:space="preserve"> is likely to further underestimate the economic impact of frailty, as consultation</w:t>
      </w:r>
      <w:r w:rsidR="00664448">
        <w:rPr>
          <w:rFonts w:ascii="Times New Roman" w:hAnsi="Times New Roman" w:cs="Times New Roman"/>
        </w:rPr>
        <w:t xml:space="preserve"> length</w:t>
      </w:r>
      <w:r>
        <w:rPr>
          <w:rFonts w:ascii="Times New Roman" w:hAnsi="Times New Roman" w:cs="Times New Roman"/>
        </w:rPr>
        <w:t xml:space="preserve"> and prescription</w:t>
      </w:r>
      <w:r w:rsidR="00664448">
        <w:rPr>
          <w:rFonts w:ascii="Times New Roman" w:hAnsi="Times New Roman" w:cs="Times New Roman"/>
        </w:rPr>
        <w:t xml:space="preserve"> costs</w:t>
      </w:r>
      <w:r>
        <w:rPr>
          <w:rFonts w:ascii="Times New Roman" w:hAnsi="Times New Roman" w:cs="Times New Roman"/>
        </w:rPr>
        <w:t xml:space="preserve"> are likely to increase </w:t>
      </w:r>
      <w:r w:rsidR="004C387A">
        <w:rPr>
          <w:rFonts w:ascii="Times New Roman" w:hAnsi="Times New Roman" w:cs="Times New Roman"/>
        </w:rPr>
        <w:t>with deteriorating health</w:t>
      </w:r>
      <w:r>
        <w:rPr>
          <w:rFonts w:ascii="Times New Roman" w:hAnsi="Times New Roman" w:cs="Times New Roman"/>
        </w:rPr>
        <w:t xml:space="preserve">. </w:t>
      </w:r>
      <w:r w:rsidR="007C7D42">
        <w:rPr>
          <w:rFonts w:ascii="Times New Roman" w:hAnsi="Times New Roman" w:cs="Times New Roman"/>
        </w:rPr>
        <w:t xml:space="preserve">Furthermore, </w:t>
      </w:r>
      <w:r w:rsidR="003801D4">
        <w:rPr>
          <w:rFonts w:ascii="Times New Roman" w:hAnsi="Times New Roman" w:cs="Times New Roman"/>
        </w:rPr>
        <w:t xml:space="preserve">we were unable to examine the impact of frailty on the use of community services such as rehabilitation and </w:t>
      </w:r>
      <w:r w:rsidR="000B78F6">
        <w:rPr>
          <w:rFonts w:ascii="Times New Roman" w:hAnsi="Times New Roman" w:cs="Times New Roman"/>
        </w:rPr>
        <w:t>care homes</w:t>
      </w:r>
      <w:r w:rsidR="003801D4">
        <w:rPr>
          <w:rFonts w:ascii="Times New Roman" w:hAnsi="Times New Roman" w:cs="Times New Roman"/>
        </w:rPr>
        <w:t>, as the</w:t>
      </w:r>
      <w:r w:rsidR="009B18EC">
        <w:rPr>
          <w:rFonts w:ascii="Times New Roman" w:hAnsi="Times New Roman" w:cs="Times New Roman"/>
        </w:rPr>
        <w:t xml:space="preserve"> necessary</w:t>
      </w:r>
      <w:r w:rsidR="003801D4">
        <w:rPr>
          <w:rFonts w:ascii="Times New Roman" w:hAnsi="Times New Roman" w:cs="Times New Roman"/>
        </w:rPr>
        <w:t xml:space="preserve"> linkage</w:t>
      </w:r>
      <w:r w:rsidR="009B18EC">
        <w:rPr>
          <w:rFonts w:ascii="Times New Roman" w:hAnsi="Times New Roman" w:cs="Times New Roman"/>
        </w:rPr>
        <w:t>s are</w:t>
      </w:r>
      <w:r w:rsidR="003801D4">
        <w:rPr>
          <w:rFonts w:ascii="Times New Roman" w:hAnsi="Times New Roman" w:cs="Times New Roman"/>
        </w:rPr>
        <w:t xml:space="preserve"> not available in the CPRD database. </w:t>
      </w:r>
      <w:r w:rsidR="004C387A">
        <w:rPr>
          <w:rFonts w:ascii="Times New Roman" w:hAnsi="Times New Roman" w:cs="Times New Roman"/>
        </w:rPr>
        <w:t xml:space="preserve"> Our findings are therefore</w:t>
      </w:r>
      <w:r w:rsidR="007C7D42">
        <w:rPr>
          <w:rFonts w:ascii="Times New Roman" w:hAnsi="Times New Roman" w:cs="Times New Roman"/>
        </w:rPr>
        <w:t xml:space="preserve"> an underestima</w:t>
      </w:r>
      <w:r w:rsidR="004C387A">
        <w:rPr>
          <w:rFonts w:ascii="Times New Roman" w:hAnsi="Times New Roman" w:cs="Times New Roman"/>
        </w:rPr>
        <w:t>te</w:t>
      </w:r>
      <w:r w:rsidR="007C7D42">
        <w:rPr>
          <w:rFonts w:ascii="Times New Roman" w:hAnsi="Times New Roman" w:cs="Times New Roman"/>
        </w:rPr>
        <w:t xml:space="preserve"> of the total cost for treating and looking after the frail population</w:t>
      </w:r>
      <w:r w:rsidR="009B18EC">
        <w:rPr>
          <w:rFonts w:ascii="Times New Roman" w:hAnsi="Times New Roman" w:cs="Times New Roman"/>
        </w:rPr>
        <w:t xml:space="preserve">, considering </w:t>
      </w:r>
      <w:r w:rsidR="007C7D42">
        <w:rPr>
          <w:rFonts w:ascii="Times New Roman" w:hAnsi="Times New Roman" w:cs="Times New Roman"/>
        </w:rPr>
        <w:t>input</w:t>
      </w:r>
      <w:r w:rsidR="009B18EC">
        <w:rPr>
          <w:rFonts w:ascii="Times New Roman" w:hAnsi="Times New Roman" w:cs="Times New Roman"/>
        </w:rPr>
        <w:t>s</w:t>
      </w:r>
      <w:r w:rsidR="007C7D42">
        <w:rPr>
          <w:rFonts w:ascii="Times New Roman" w:hAnsi="Times New Roman" w:cs="Times New Roman"/>
        </w:rPr>
        <w:t xml:space="preserve"> from both health and social care sectors. </w:t>
      </w:r>
      <w:r w:rsidR="003801D4">
        <w:rPr>
          <w:rFonts w:ascii="Times New Roman" w:hAnsi="Times New Roman" w:cs="Times New Roman"/>
        </w:rPr>
        <w:t>More comprehensive estimates would be needed from future research for the planning and organisation of integrated care pathway</w:t>
      </w:r>
      <w:r w:rsidR="009B18EC">
        <w:rPr>
          <w:rFonts w:ascii="Times New Roman" w:hAnsi="Times New Roman" w:cs="Times New Roman"/>
        </w:rPr>
        <w:t>s</w:t>
      </w:r>
      <w:r w:rsidR="00CF3C58">
        <w:rPr>
          <w:rFonts w:ascii="Times New Roman" w:hAnsi="Times New Roman" w:cs="Times New Roman"/>
        </w:rPr>
        <w:t xml:space="preserve">. </w:t>
      </w:r>
      <w:r w:rsidR="003801D4">
        <w:rPr>
          <w:rFonts w:ascii="Times New Roman" w:hAnsi="Times New Roman" w:cs="Times New Roman"/>
        </w:rPr>
        <w:t xml:space="preserve"> </w:t>
      </w:r>
    </w:p>
    <w:p w14:paraId="34A9E67F" w14:textId="77777777" w:rsidR="003A7F76" w:rsidRDefault="003A7F76" w:rsidP="008A78EA">
      <w:pPr>
        <w:jc w:val="both"/>
        <w:rPr>
          <w:rFonts w:ascii="Times New Roman" w:hAnsi="Times New Roman" w:cs="Times New Roman"/>
        </w:rPr>
      </w:pPr>
    </w:p>
    <w:p w14:paraId="54C09900" w14:textId="62BF77ED" w:rsidR="008D7635" w:rsidRPr="00174B5A" w:rsidRDefault="008D7635" w:rsidP="00174B5A">
      <w:pPr>
        <w:jc w:val="both"/>
        <w:rPr>
          <w:rFonts w:ascii="Times New Roman" w:hAnsi="Times New Roman" w:cs="Times New Roman"/>
          <w:b/>
        </w:rPr>
      </w:pPr>
      <w:r w:rsidRPr="00174B5A">
        <w:rPr>
          <w:rFonts w:ascii="Times New Roman" w:hAnsi="Times New Roman" w:cs="Times New Roman"/>
          <w:b/>
        </w:rPr>
        <w:t>Conclusion</w:t>
      </w:r>
    </w:p>
    <w:p w14:paraId="1C9867C0" w14:textId="67EDC6D5" w:rsidR="00664FB9" w:rsidRDefault="008D7635" w:rsidP="00174B5A">
      <w:pPr>
        <w:jc w:val="both"/>
        <w:rPr>
          <w:rFonts w:ascii="Times New Roman" w:hAnsi="Times New Roman" w:cs="Times New Roman"/>
          <w:b/>
        </w:rPr>
      </w:pPr>
      <w:r w:rsidRPr="008D7635">
        <w:rPr>
          <w:rFonts w:ascii="Times New Roman" w:hAnsi="Times New Roman" w:cs="Times New Roman"/>
        </w:rPr>
        <w:t>Our findings confirm that older people with frailty are high intensity users of healthcare resources, and resource use increases with frailty severity.</w:t>
      </w:r>
      <w:r w:rsidR="00A92298">
        <w:rPr>
          <w:rFonts w:ascii="Times New Roman" w:hAnsi="Times New Roman" w:cs="Times New Roman"/>
        </w:rPr>
        <w:t xml:space="preserve"> A particularly notable finding is a seven-fold increase in length of hospital stay for people with severe frailty, compared to non-frail older people.</w:t>
      </w:r>
      <w:r w:rsidR="009B18EC">
        <w:rPr>
          <w:rFonts w:ascii="Times New Roman" w:hAnsi="Times New Roman" w:cs="Times New Roman"/>
        </w:rPr>
        <w:t xml:space="preserve"> </w:t>
      </w:r>
      <w:r w:rsidRPr="008D7635">
        <w:rPr>
          <w:rFonts w:ascii="Times New Roman" w:hAnsi="Times New Roman" w:cs="Times New Roman"/>
        </w:rPr>
        <w:t xml:space="preserve">These findings </w:t>
      </w:r>
      <w:r w:rsidR="009B18EC">
        <w:rPr>
          <w:rFonts w:ascii="Times New Roman" w:hAnsi="Times New Roman" w:cs="Times New Roman"/>
        </w:rPr>
        <w:t>should</w:t>
      </w:r>
      <w:r w:rsidRPr="008D7635">
        <w:rPr>
          <w:rFonts w:ascii="Times New Roman" w:hAnsi="Times New Roman" w:cs="Times New Roman"/>
        </w:rPr>
        <w:t xml:space="preserve"> help direct appropriate allocation of national healthcare resources towards older people living with different degrees of frailty, and provide commissioners with the necessary evidence on which to commission and evaluate suitably costed services which consider impact on healthcare resource use. Findings </w:t>
      </w:r>
      <w:r w:rsidR="009B18EC">
        <w:rPr>
          <w:rFonts w:ascii="Times New Roman" w:hAnsi="Times New Roman" w:cs="Times New Roman"/>
        </w:rPr>
        <w:t xml:space="preserve">could </w:t>
      </w:r>
      <w:r w:rsidRPr="008D7635">
        <w:rPr>
          <w:rFonts w:ascii="Times New Roman" w:hAnsi="Times New Roman" w:cs="Times New Roman"/>
        </w:rPr>
        <w:t>also be used by commissioners and providers of health and social care services to resource and implement evidence-based frailty services as part of a populatio</w:t>
      </w:r>
      <w:r>
        <w:rPr>
          <w:rFonts w:ascii="Times New Roman" w:hAnsi="Times New Roman" w:cs="Times New Roman"/>
        </w:rPr>
        <w:t>n health management strategy [</w:t>
      </w:r>
      <w:r w:rsidR="00FE59F7">
        <w:rPr>
          <w:rFonts w:ascii="Times New Roman" w:hAnsi="Times New Roman" w:cs="Times New Roman"/>
        </w:rPr>
        <w:t>24</w:t>
      </w:r>
      <w:r w:rsidRPr="008D7635">
        <w:rPr>
          <w:rFonts w:ascii="Times New Roman" w:hAnsi="Times New Roman" w:cs="Times New Roman"/>
        </w:rPr>
        <w:t>],</w:t>
      </w:r>
      <w:r w:rsidR="00A92298">
        <w:rPr>
          <w:rFonts w:ascii="Times New Roman" w:hAnsi="Times New Roman" w:cs="Times New Roman"/>
        </w:rPr>
        <w:t xml:space="preserve"> including measures targeting reduced length of hospital stay,</w:t>
      </w:r>
      <w:r w:rsidRPr="008D7635">
        <w:rPr>
          <w:rFonts w:ascii="Times New Roman" w:hAnsi="Times New Roman" w:cs="Times New Roman"/>
        </w:rPr>
        <w:t xml:space="preserve"> as described in </w:t>
      </w:r>
      <w:r w:rsidR="00074704">
        <w:rPr>
          <w:rFonts w:ascii="Times New Roman" w:hAnsi="Times New Roman" w:cs="Times New Roman"/>
        </w:rPr>
        <w:t xml:space="preserve">the 2019 NHS Long Term Plan </w:t>
      </w:r>
      <w:r w:rsidR="00CD1A97">
        <w:rPr>
          <w:rFonts w:ascii="Times New Roman" w:hAnsi="Times New Roman" w:cs="Times New Roman"/>
        </w:rPr>
        <w:t>[</w:t>
      </w:r>
      <w:r w:rsidR="00FE59F7">
        <w:rPr>
          <w:rFonts w:ascii="Times New Roman" w:hAnsi="Times New Roman" w:cs="Times New Roman"/>
        </w:rPr>
        <w:t>25</w:t>
      </w:r>
      <w:r w:rsidRPr="008D7635">
        <w:rPr>
          <w:rFonts w:ascii="Times New Roman" w:hAnsi="Times New Roman" w:cs="Times New Roman"/>
        </w:rPr>
        <w:t>]</w:t>
      </w:r>
      <w:r w:rsidR="00074704">
        <w:rPr>
          <w:rFonts w:ascii="Times New Roman" w:hAnsi="Times New Roman" w:cs="Times New Roman"/>
        </w:rPr>
        <w:t>.</w:t>
      </w:r>
      <w:r w:rsidR="00664FB9">
        <w:rPr>
          <w:rFonts w:ascii="Times New Roman" w:hAnsi="Times New Roman" w:cs="Times New Roman"/>
          <w:b/>
        </w:rPr>
        <w:br w:type="page"/>
      </w:r>
    </w:p>
    <w:p w14:paraId="3DEB0E09" w14:textId="0F642968" w:rsidR="003B71A8" w:rsidRPr="003A7F76" w:rsidRDefault="00664FB9" w:rsidP="001E3BA3">
      <w:pPr>
        <w:jc w:val="both"/>
        <w:rPr>
          <w:rFonts w:ascii="Times New Roman" w:hAnsi="Times New Roman" w:cs="Times New Roman"/>
          <w:b/>
        </w:rPr>
      </w:pPr>
      <w:r>
        <w:rPr>
          <w:rFonts w:ascii="Times New Roman" w:hAnsi="Times New Roman" w:cs="Times New Roman"/>
          <w:b/>
        </w:rPr>
        <w:lastRenderedPageBreak/>
        <w:t>Key points</w:t>
      </w:r>
    </w:p>
    <w:p w14:paraId="4643137C" w14:textId="31E68CD7" w:rsidR="00757B98" w:rsidRDefault="00757B98" w:rsidP="001E3BA3">
      <w:pPr>
        <w:jc w:val="both"/>
        <w:rPr>
          <w:rFonts w:ascii="Times New Roman" w:hAnsi="Times New Roman" w:cs="Times New Roman"/>
        </w:rPr>
      </w:pPr>
      <w:r>
        <w:rPr>
          <w:rFonts w:ascii="Times New Roman" w:hAnsi="Times New Roman" w:cs="Times New Roman"/>
        </w:rPr>
        <w:t>We estimate an annual additional 29.1 million NHS general practice consultations, 1.0 million emergency admissions and 1.1 million elective admissions are associated with frailty</w:t>
      </w:r>
      <w:r w:rsidR="0056078F">
        <w:rPr>
          <w:rFonts w:ascii="Times New Roman" w:hAnsi="Times New Roman" w:cs="Times New Roman"/>
        </w:rPr>
        <w:t>.</w:t>
      </w:r>
    </w:p>
    <w:p w14:paraId="52C2FF08" w14:textId="24B7A4C0" w:rsidR="00757B98" w:rsidRDefault="00757B98" w:rsidP="001E3BA3">
      <w:pPr>
        <w:jc w:val="both"/>
        <w:rPr>
          <w:rFonts w:ascii="Times New Roman" w:hAnsi="Times New Roman" w:cs="Times New Roman"/>
        </w:rPr>
      </w:pPr>
      <w:r>
        <w:rPr>
          <w:rFonts w:ascii="Times New Roman" w:hAnsi="Times New Roman" w:cs="Times New Roman"/>
        </w:rPr>
        <w:t>Following emergency hospitalisation, older people with severe frailty have a seven-fold increased length of stay, compared with non-frail older people</w:t>
      </w:r>
      <w:r w:rsidR="0056078F">
        <w:rPr>
          <w:rFonts w:ascii="Times New Roman" w:hAnsi="Times New Roman" w:cs="Times New Roman"/>
        </w:rPr>
        <w:t>.</w:t>
      </w:r>
    </w:p>
    <w:p w14:paraId="522F68E8" w14:textId="3438297A" w:rsidR="00757B98" w:rsidRDefault="00757B98" w:rsidP="001E3BA3">
      <w:pPr>
        <w:jc w:val="both"/>
        <w:rPr>
          <w:rFonts w:ascii="Times New Roman" w:hAnsi="Times New Roman" w:cs="Times New Roman"/>
        </w:rPr>
      </w:pPr>
      <w:r>
        <w:rPr>
          <w:rFonts w:ascii="Times New Roman" w:hAnsi="Times New Roman" w:cs="Times New Roman"/>
        </w:rPr>
        <w:t>People with frailty account for an estimated annual additional 61.5 million patient days in hospital per year following emergency admission</w:t>
      </w:r>
      <w:r w:rsidR="0056078F">
        <w:rPr>
          <w:rFonts w:ascii="Times New Roman" w:hAnsi="Times New Roman" w:cs="Times New Roman"/>
        </w:rPr>
        <w:t>.</w:t>
      </w:r>
    </w:p>
    <w:p w14:paraId="650E79A9" w14:textId="699BF67C" w:rsidR="00757B98" w:rsidRDefault="00B55BB8" w:rsidP="001E3BA3">
      <w:pPr>
        <w:jc w:val="both"/>
        <w:rPr>
          <w:rFonts w:ascii="Times New Roman" w:hAnsi="Times New Roman" w:cs="Times New Roman"/>
        </w:rPr>
      </w:pPr>
      <w:r>
        <w:rPr>
          <w:rFonts w:ascii="Times New Roman" w:hAnsi="Times New Roman" w:cs="Times New Roman"/>
        </w:rPr>
        <w:t>The estimated</w:t>
      </w:r>
      <w:r w:rsidR="00664FB9">
        <w:rPr>
          <w:rFonts w:ascii="Times New Roman" w:hAnsi="Times New Roman" w:cs="Times New Roman"/>
        </w:rPr>
        <w:t xml:space="preserve"> extra annual</w:t>
      </w:r>
      <w:r w:rsidR="00757B98">
        <w:rPr>
          <w:rFonts w:ascii="Times New Roman" w:hAnsi="Times New Roman" w:cs="Times New Roman"/>
        </w:rPr>
        <w:t xml:space="preserve"> NHS</w:t>
      </w:r>
      <w:r w:rsidR="00664FB9">
        <w:rPr>
          <w:rFonts w:ascii="Times New Roman" w:hAnsi="Times New Roman" w:cs="Times New Roman"/>
        </w:rPr>
        <w:t xml:space="preserve"> cost </w:t>
      </w:r>
      <w:r w:rsidR="006124B3">
        <w:rPr>
          <w:rFonts w:ascii="Times New Roman" w:hAnsi="Times New Roman" w:cs="Times New Roman"/>
        </w:rPr>
        <w:t xml:space="preserve">of managing frailty </w:t>
      </w:r>
      <w:r w:rsidR="00737ED5">
        <w:rPr>
          <w:rFonts w:ascii="Times New Roman" w:hAnsi="Times New Roman" w:cs="Times New Roman"/>
        </w:rPr>
        <w:t>is £</w:t>
      </w:r>
      <w:r w:rsidR="00C37107">
        <w:rPr>
          <w:rFonts w:ascii="Times New Roman" w:hAnsi="Times New Roman" w:cs="Times New Roman"/>
        </w:rPr>
        <w:t>561.05</w:t>
      </w:r>
      <w:r w:rsidR="00664FB9">
        <w:rPr>
          <w:rFonts w:ascii="Times New Roman" w:hAnsi="Times New Roman" w:cs="Times New Roman"/>
        </w:rPr>
        <w:t xml:space="preserve"> for each patient with mild frailty, £</w:t>
      </w:r>
      <w:r w:rsidR="00C37107">
        <w:rPr>
          <w:rFonts w:ascii="Times New Roman" w:hAnsi="Times New Roman" w:cs="Times New Roman"/>
        </w:rPr>
        <w:t>1208.60</w:t>
      </w:r>
      <w:r w:rsidR="00664FB9">
        <w:rPr>
          <w:rFonts w:ascii="Times New Roman" w:hAnsi="Times New Roman" w:cs="Times New Roman"/>
        </w:rPr>
        <w:t xml:space="preserve"> for moderate frailty and £</w:t>
      </w:r>
      <w:r w:rsidR="00C37107">
        <w:rPr>
          <w:rFonts w:ascii="Times New Roman" w:hAnsi="Times New Roman" w:cs="Times New Roman"/>
        </w:rPr>
        <w:t>2108.20</w:t>
      </w:r>
      <w:r w:rsidR="00664FB9">
        <w:rPr>
          <w:rFonts w:ascii="Times New Roman" w:hAnsi="Times New Roman" w:cs="Times New Roman"/>
        </w:rPr>
        <w:t xml:space="preserve"> for severe frailty</w:t>
      </w:r>
      <w:r w:rsidR="0056078F">
        <w:rPr>
          <w:rFonts w:ascii="Times New Roman" w:hAnsi="Times New Roman" w:cs="Times New Roman"/>
        </w:rPr>
        <w:t>.</w:t>
      </w:r>
    </w:p>
    <w:p w14:paraId="08806617" w14:textId="1F4BEE58" w:rsidR="00664FB9" w:rsidRDefault="00E15F08" w:rsidP="001E3BA3">
      <w:pPr>
        <w:jc w:val="both"/>
        <w:rPr>
          <w:rFonts w:ascii="Times New Roman" w:hAnsi="Times New Roman" w:cs="Times New Roman"/>
        </w:rPr>
      </w:pPr>
      <w:r>
        <w:rPr>
          <w:rFonts w:ascii="Times New Roman" w:hAnsi="Times New Roman" w:cs="Times New Roman"/>
        </w:rPr>
        <w:t xml:space="preserve">The </w:t>
      </w:r>
      <w:r w:rsidR="006124B3">
        <w:rPr>
          <w:rFonts w:ascii="Times New Roman" w:hAnsi="Times New Roman" w:cs="Times New Roman"/>
        </w:rPr>
        <w:t>total</w:t>
      </w:r>
      <w:r w:rsidR="00757B98">
        <w:rPr>
          <w:rFonts w:ascii="Times New Roman" w:hAnsi="Times New Roman" w:cs="Times New Roman"/>
        </w:rPr>
        <w:t xml:space="preserve"> additional UK NHS</w:t>
      </w:r>
      <w:r w:rsidR="006124B3">
        <w:rPr>
          <w:rFonts w:ascii="Times New Roman" w:hAnsi="Times New Roman" w:cs="Times New Roman"/>
        </w:rPr>
        <w:t xml:space="preserve"> </w:t>
      </w:r>
      <w:r w:rsidR="00757B98">
        <w:rPr>
          <w:rFonts w:ascii="Times New Roman" w:hAnsi="Times New Roman" w:cs="Times New Roman"/>
        </w:rPr>
        <w:t>primary and secondary care costs for older people with frailty</w:t>
      </w:r>
      <w:r w:rsidR="006124B3">
        <w:rPr>
          <w:rFonts w:ascii="Times New Roman" w:hAnsi="Times New Roman" w:cs="Times New Roman"/>
        </w:rPr>
        <w:t xml:space="preserve"> is</w:t>
      </w:r>
      <w:r w:rsidR="00885C71">
        <w:rPr>
          <w:rFonts w:ascii="Times New Roman" w:hAnsi="Times New Roman" w:cs="Times New Roman"/>
        </w:rPr>
        <w:t xml:space="preserve"> </w:t>
      </w:r>
      <w:r w:rsidR="00757B98">
        <w:rPr>
          <w:rFonts w:ascii="Times New Roman" w:hAnsi="Times New Roman" w:cs="Times New Roman"/>
        </w:rPr>
        <w:t xml:space="preserve">an estimated </w:t>
      </w:r>
      <w:r w:rsidR="00885C71">
        <w:rPr>
          <w:rFonts w:ascii="Times New Roman" w:hAnsi="Times New Roman" w:cs="Times New Roman"/>
        </w:rPr>
        <w:t>£6</w:t>
      </w:r>
      <w:r w:rsidR="008E478B">
        <w:rPr>
          <w:rFonts w:ascii="Times New Roman" w:hAnsi="Times New Roman" w:cs="Times New Roman"/>
        </w:rPr>
        <w:t xml:space="preserve"> </w:t>
      </w:r>
      <w:r w:rsidR="00885C71">
        <w:rPr>
          <w:rFonts w:ascii="Times New Roman" w:hAnsi="Times New Roman" w:cs="Times New Roman"/>
        </w:rPr>
        <w:t>billion per year</w:t>
      </w:r>
      <w:r w:rsidR="0056078F">
        <w:rPr>
          <w:rFonts w:ascii="Times New Roman" w:hAnsi="Times New Roman" w:cs="Times New Roman"/>
        </w:rPr>
        <w:t>.</w:t>
      </w:r>
    </w:p>
    <w:p w14:paraId="0D670C0C" w14:textId="58AE805B" w:rsidR="00601E37" w:rsidRDefault="00601E37" w:rsidP="0049086B">
      <w:pPr>
        <w:jc w:val="both"/>
        <w:rPr>
          <w:rFonts w:ascii="Times New Roman" w:hAnsi="Times New Roman" w:cs="Times New Roman"/>
        </w:rPr>
      </w:pPr>
    </w:p>
    <w:p w14:paraId="631771C1" w14:textId="65AC4945" w:rsidR="00F70E94" w:rsidRDefault="00F70E94" w:rsidP="00C24EC9">
      <w:pPr>
        <w:jc w:val="both"/>
        <w:rPr>
          <w:rFonts w:ascii="Times New Roman" w:hAnsi="Times New Roman" w:cs="Times New Roman"/>
          <w:b/>
        </w:rPr>
      </w:pPr>
    </w:p>
    <w:p w14:paraId="1D83D7B3" w14:textId="65F6BCA0" w:rsidR="00556039" w:rsidRDefault="00556039" w:rsidP="00C24EC9">
      <w:pPr>
        <w:jc w:val="both"/>
        <w:rPr>
          <w:rFonts w:ascii="Times New Roman" w:hAnsi="Times New Roman" w:cs="Times New Roman"/>
          <w:b/>
        </w:rPr>
      </w:pPr>
    </w:p>
    <w:p w14:paraId="45AF34B8" w14:textId="6D865494" w:rsidR="00556039" w:rsidRDefault="00556039" w:rsidP="00C24EC9">
      <w:pPr>
        <w:jc w:val="both"/>
        <w:rPr>
          <w:rFonts w:ascii="Times New Roman" w:hAnsi="Times New Roman" w:cs="Times New Roman"/>
          <w:b/>
        </w:rPr>
      </w:pPr>
    </w:p>
    <w:p w14:paraId="55679485" w14:textId="01B99BBF" w:rsidR="00556039" w:rsidRDefault="00556039" w:rsidP="00C24EC9">
      <w:pPr>
        <w:jc w:val="both"/>
        <w:rPr>
          <w:rFonts w:ascii="Times New Roman" w:hAnsi="Times New Roman" w:cs="Times New Roman"/>
          <w:b/>
        </w:rPr>
      </w:pPr>
    </w:p>
    <w:p w14:paraId="4898914E" w14:textId="200B298B" w:rsidR="00556039" w:rsidRDefault="00556039" w:rsidP="00C24EC9">
      <w:pPr>
        <w:jc w:val="both"/>
        <w:rPr>
          <w:rFonts w:ascii="Times New Roman" w:hAnsi="Times New Roman" w:cs="Times New Roman"/>
          <w:b/>
        </w:rPr>
      </w:pPr>
    </w:p>
    <w:p w14:paraId="6745798F" w14:textId="6F554866" w:rsidR="00556039" w:rsidRDefault="00556039" w:rsidP="00C24EC9">
      <w:pPr>
        <w:jc w:val="both"/>
        <w:rPr>
          <w:rFonts w:ascii="Times New Roman" w:hAnsi="Times New Roman" w:cs="Times New Roman"/>
          <w:b/>
        </w:rPr>
      </w:pPr>
    </w:p>
    <w:p w14:paraId="35C76F03" w14:textId="3EFA869A" w:rsidR="00556039" w:rsidRDefault="00556039" w:rsidP="00C24EC9">
      <w:pPr>
        <w:jc w:val="both"/>
        <w:rPr>
          <w:rFonts w:ascii="Times New Roman" w:hAnsi="Times New Roman" w:cs="Times New Roman"/>
          <w:b/>
        </w:rPr>
      </w:pPr>
    </w:p>
    <w:p w14:paraId="2C0AAAD9" w14:textId="304905B3" w:rsidR="00556039" w:rsidRDefault="00556039" w:rsidP="00C24EC9">
      <w:pPr>
        <w:jc w:val="both"/>
        <w:rPr>
          <w:rFonts w:ascii="Times New Roman" w:hAnsi="Times New Roman" w:cs="Times New Roman"/>
          <w:b/>
        </w:rPr>
      </w:pPr>
    </w:p>
    <w:p w14:paraId="7C6C66B6" w14:textId="65AD4748" w:rsidR="00556039" w:rsidRDefault="00556039" w:rsidP="00C24EC9">
      <w:pPr>
        <w:jc w:val="both"/>
        <w:rPr>
          <w:rFonts w:ascii="Times New Roman" w:hAnsi="Times New Roman" w:cs="Times New Roman"/>
          <w:b/>
        </w:rPr>
      </w:pPr>
    </w:p>
    <w:p w14:paraId="4394760A" w14:textId="31813227" w:rsidR="00556039" w:rsidRDefault="00556039" w:rsidP="00C24EC9">
      <w:pPr>
        <w:jc w:val="both"/>
        <w:rPr>
          <w:rFonts w:ascii="Times New Roman" w:hAnsi="Times New Roman" w:cs="Times New Roman"/>
          <w:b/>
        </w:rPr>
      </w:pPr>
    </w:p>
    <w:p w14:paraId="446DD7D0" w14:textId="44FD11A4" w:rsidR="00556039" w:rsidRDefault="00556039" w:rsidP="00C24EC9">
      <w:pPr>
        <w:jc w:val="both"/>
        <w:rPr>
          <w:rFonts w:ascii="Times New Roman" w:hAnsi="Times New Roman" w:cs="Times New Roman"/>
          <w:b/>
        </w:rPr>
      </w:pPr>
    </w:p>
    <w:p w14:paraId="3B9A9A91" w14:textId="6D3FB6B9" w:rsidR="00556039" w:rsidRDefault="00556039" w:rsidP="00C24EC9">
      <w:pPr>
        <w:jc w:val="both"/>
        <w:rPr>
          <w:rFonts w:ascii="Times New Roman" w:hAnsi="Times New Roman" w:cs="Times New Roman"/>
          <w:b/>
        </w:rPr>
      </w:pPr>
    </w:p>
    <w:p w14:paraId="4051C102" w14:textId="1B662F7D" w:rsidR="00174B5A" w:rsidRDefault="00174B5A" w:rsidP="00C24EC9">
      <w:pPr>
        <w:jc w:val="both"/>
        <w:rPr>
          <w:rFonts w:ascii="Times New Roman" w:hAnsi="Times New Roman" w:cs="Times New Roman"/>
          <w:b/>
        </w:rPr>
      </w:pPr>
    </w:p>
    <w:p w14:paraId="3A388602" w14:textId="2579CC07" w:rsidR="00174B5A" w:rsidRDefault="00174B5A" w:rsidP="00C24EC9">
      <w:pPr>
        <w:jc w:val="both"/>
        <w:rPr>
          <w:rFonts w:ascii="Times New Roman" w:hAnsi="Times New Roman" w:cs="Times New Roman"/>
          <w:b/>
        </w:rPr>
      </w:pPr>
    </w:p>
    <w:p w14:paraId="4C94DF17" w14:textId="063F5831" w:rsidR="00174B5A" w:rsidRDefault="00174B5A" w:rsidP="00C24EC9">
      <w:pPr>
        <w:jc w:val="both"/>
        <w:rPr>
          <w:rFonts w:ascii="Times New Roman" w:hAnsi="Times New Roman" w:cs="Times New Roman"/>
          <w:b/>
        </w:rPr>
      </w:pPr>
    </w:p>
    <w:p w14:paraId="4726F351" w14:textId="77777777" w:rsidR="00174B5A" w:rsidRDefault="00174B5A" w:rsidP="00C24EC9">
      <w:pPr>
        <w:jc w:val="both"/>
        <w:rPr>
          <w:rFonts w:ascii="Times New Roman" w:hAnsi="Times New Roman" w:cs="Times New Roman"/>
          <w:b/>
        </w:rPr>
      </w:pPr>
    </w:p>
    <w:p w14:paraId="07BF24EF" w14:textId="77777777" w:rsidR="00FE59F7" w:rsidRDefault="00FE59F7" w:rsidP="00C24EC9">
      <w:pPr>
        <w:jc w:val="both"/>
        <w:rPr>
          <w:rFonts w:ascii="Times New Roman" w:hAnsi="Times New Roman" w:cs="Times New Roman"/>
          <w:b/>
        </w:rPr>
      </w:pPr>
    </w:p>
    <w:p w14:paraId="46D4635F" w14:textId="77777777" w:rsidR="003A7F76" w:rsidRDefault="003A7F76" w:rsidP="00C24EC9">
      <w:pPr>
        <w:jc w:val="both"/>
        <w:rPr>
          <w:rFonts w:ascii="Times New Roman" w:hAnsi="Times New Roman" w:cs="Times New Roman"/>
          <w:b/>
        </w:rPr>
      </w:pPr>
    </w:p>
    <w:p w14:paraId="774C6995" w14:textId="1095330E" w:rsidR="00BE0A5E" w:rsidRDefault="00BE0A5E" w:rsidP="00C24EC9">
      <w:pPr>
        <w:jc w:val="both"/>
        <w:rPr>
          <w:rFonts w:ascii="Times New Roman" w:hAnsi="Times New Roman" w:cs="Times New Roman"/>
          <w:b/>
        </w:rPr>
      </w:pPr>
      <w:r>
        <w:rPr>
          <w:rFonts w:ascii="Times New Roman" w:hAnsi="Times New Roman" w:cs="Times New Roman"/>
          <w:b/>
        </w:rPr>
        <w:lastRenderedPageBreak/>
        <w:t>References</w:t>
      </w:r>
    </w:p>
    <w:p w14:paraId="58DA9EDB" w14:textId="62DAEE5C" w:rsidR="001B480D" w:rsidRDefault="001B480D" w:rsidP="001B480D">
      <w:pPr>
        <w:pStyle w:val="ListParagraph"/>
        <w:numPr>
          <w:ilvl w:val="0"/>
          <w:numId w:val="1"/>
        </w:numPr>
        <w:rPr>
          <w:rFonts w:ascii="Times New Roman" w:hAnsi="Times New Roman" w:cs="Times New Roman"/>
        </w:rPr>
      </w:pPr>
      <w:bookmarkStart w:id="12" w:name="OLE_LINK12"/>
      <w:bookmarkStart w:id="13" w:name="OLE_LINK13"/>
      <w:r w:rsidRPr="004E2298">
        <w:rPr>
          <w:rFonts w:ascii="Times New Roman" w:hAnsi="Times New Roman" w:cs="Times New Roman"/>
        </w:rPr>
        <w:t>Clegg A, Young J, Iliffe S, Rikkert MO, Rockwood K. Frailty in elderly people. Lancet. 2013;381(9868):752-62.</w:t>
      </w:r>
    </w:p>
    <w:p w14:paraId="03F73656" w14:textId="77777777" w:rsidR="001C18A7" w:rsidRDefault="001C18A7" w:rsidP="001C18A7">
      <w:pPr>
        <w:pStyle w:val="ListParagraph"/>
        <w:rPr>
          <w:rFonts w:ascii="Times New Roman" w:hAnsi="Times New Roman" w:cs="Times New Roman"/>
        </w:rPr>
      </w:pPr>
    </w:p>
    <w:p w14:paraId="1F7E32CD" w14:textId="2E2A29D1" w:rsidR="001C18A7" w:rsidRDefault="001C18A7" w:rsidP="001C18A7">
      <w:pPr>
        <w:pStyle w:val="ListParagraph"/>
        <w:numPr>
          <w:ilvl w:val="0"/>
          <w:numId w:val="1"/>
        </w:numPr>
        <w:rPr>
          <w:rFonts w:ascii="Times New Roman" w:hAnsi="Times New Roman" w:cs="Times New Roman"/>
        </w:rPr>
      </w:pPr>
      <w:r w:rsidRPr="001C18A7">
        <w:rPr>
          <w:rFonts w:ascii="Times New Roman" w:hAnsi="Times New Roman" w:cs="Times New Roman"/>
        </w:rPr>
        <w:t>Reeves D, Pye S, Ashcroft DM, Clegg A, Kontopantelis E, Blakeman T, et al. The challenge of ageing populations and patient frailty: can primary care adapt? BMJ. 2018;362:k3349.</w:t>
      </w:r>
    </w:p>
    <w:bookmarkEnd w:id="12"/>
    <w:bookmarkEnd w:id="13"/>
    <w:p w14:paraId="560D2A33" w14:textId="77777777" w:rsidR="001B480D" w:rsidRPr="00DB3020" w:rsidRDefault="001B480D" w:rsidP="001B480D">
      <w:pPr>
        <w:pStyle w:val="ListParagraph"/>
        <w:rPr>
          <w:rFonts w:ascii="Times New Roman" w:hAnsi="Times New Roman" w:cs="Times New Roman"/>
        </w:rPr>
      </w:pPr>
    </w:p>
    <w:p w14:paraId="5218BCEB" w14:textId="4BD697AB" w:rsidR="001B480D" w:rsidRDefault="001B480D" w:rsidP="001B480D">
      <w:pPr>
        <w:pStyle w:val="ListParagraph"/>
        <w:numPr>
          <w:ilvl w:val="0"/>
          <w:numId w:val="1"/>
        </w:numPr>
        <w:rPr>
          <w:rFonts w:ascii="Times New Roman" w:hAnsi="Times New Roman" w:cs="Times New Roman"/>
        </w:rPr>
      </w:pPr>
      <w:r w:rsidRPr="004E2298">
        <w:rPr>
          <w:rFonts w:ascii="Times New Roman" w:hAnsi="Times New Roman" w:cs="Times New Roman"/>
        </w:rPr>
        <w:t>NHS Employers. General Medical Services (GMS) contract: Guidance for GMS contract 2017/18</w:t>
      </w:r>
      <w:r>
        <w:rPr>
          <w:rFonts w:ascii="Times New Roman" w:hAnsi="Times New Roman" w:cs="Times New Roman"/>
        </w:rPr>
        <w:t>.</w:t>
      </w:r>
      <w:r w:rsidRPr="004E2298">
        <w:rPr>
          <w:rFonts w:ascii="Times New Roman" w:hAnsi="Times New Roman" w:cs="Times New Roman"/>
        </w:rPr>
        <w:t xml:space="preserve"> 2017 [updated 30 October 2017.</w:t>
      </w:r>
      <w:r>
        <w:rPr>
          <w:rFonts w:ascii="Times New Roman" w:hAnsi="Times New Roman" w:cs="Times New Roman"/>
        </w:rPr>
        <w:t>]</w:t>
      </w:r>
      <w:r w:rsidRPr="004E2298">
        <w:rPr>
          <w:rFonts w:ascii="Times New Roman" w:hAnsi="Times New Roman" w:cs="Times New Roman"/>
        </w:rPr>
        <w:t xml:space="preserve"> Available from:</w:t>
      </w:r>
      <w:r>
        <w:rPr>
          <w:rFonts w:ascii="Times New Roman" w:hAnsi="Times New Roman" w:cs="Times New Roman"/>
        </w:rPr>
        <w:t xml:space="preserve"> </w:t>
      </w:r>
      <w:hyperlink r:id="rId8" w:history="1">
        <w:r w:rsidRPr="004E2298">
          <w:rPr>
            <w:rStyle w:val="Hyperlink"/>
            <w:rFonts w:ascii="Times New Roman" w:hAnsi="Times New Roman" w:cs="Times New Roman"/>
          </w:rPr>
          <w:t>http://www.nhsemployers.org/gms201718</w:t>
        </w:r>
      </w:hyperlink>
      <w:r w:rsidRPr="004E2298">
        <w:rPr>
          <w:rFonts w:ascii="Times New Roman" w:hAnsi="Times New Roman" w:cs="Times New Roman"/>
        </w:rPr>
        <w:t>.</w:t>
      </w:r>
    </w:p>
    <w:p w14:paraId="5035F1BF" w14:textId="77777777" w:rsidR="00ED4C05" w:rsidRPr="00ED4C05" w:rsidRDefault="00ED4C05" w:rsidP="00ED4C05">
      <w:pPr>
        <w:pStyle w:val="ListParagraph"/>
        <w:rPr>
          <w:rFonts w:ascii="Times New Roman" w:hAnsi="Times New Roman" w:cs="Times New Roman"/>
        </w:rPr>
      </w:pPr>
    </w:p>
    <w:p w14:paraId="3DA709A6" w14:textId="5C72D050" w:rsidR="00ED4C05" w:rsidRDefault="00ED4C05" w:rsidP="00ED4C05">
      <w:pPr>
        <w:pStyle w:val="ListParagraph"/>
        <w:numPr>
          <w:ilvl w:val="0"/>
          <w:numId w:val="1"/>
        </w:numPr>
        <w:rPr>
          <w:rFonts w:ascii="Times New Roman" w:hAnsi="Times New Roman" w:cs="Times New Roman"/>
        </w:rPr>
      </w:pPr>
      <w:r w:rsidRPr="00ED4C05">
        <w:rPr>
          <w:rFonts w:ascii="Times New Roman" w:hAnsi="Times New Roman" w:cs="Times New Roman"/>
        </w:rPr>
        <w:t>Garcia-Nogueras I, Aranda-Reneo I, Pena-Longobardo LM, Oliva-Moreno J, Abizanda P. Use of Health Resources and Healthcare Costs associated with Frailty: The FRADEA Study. J Nutr Health Aging. 2017;21(2):207-14.</w:t>
      </w:r>
    </w:p>
    <w:p w14:paraId="2E7D48C5" w14:textId="77777777" w:rsidR="00ED4C05" w:rsidRPr="00ED4C05" w:rsidRDefault="00ED4C05" w:rsidP="00ED4C05">
      <w:pPr>
        <w:pStyle w:val="ListParagraph"/>
        <w:rPr>
          <w:rFonts w:ascii="Times New Roman" w:hAnsi="Times New Roman" w:cs="Times New Roman"/>
        </w:rPr>
      </w:pPr>
    </w:p>
    <w:p w14:paraId="3BAE72F7" w14:textId="208932D3" w:rsidR="00ED4C05" w:rsidRPr="00ED4C05" w:rsidRDefault="00ED4C05" w:rsidP="00ED4C05">
      <w:pPr>
        <w:pStyle w:val="ListParagraph"/>
        <w:numPr>
          <w:ilvl w:val="0"/>
          <w:numId w:val="1"/>
        </w:numPr>
        <w:rPr>
          <w:rFonts w:ascii="Times New Roman" w:hAnsi="Times New Roman" w:cs="Times New Roman"/>
        </w:rPr>
      </w:pPr>
      <w:r w:rsidRPr="00ED4C05">
        <w:rPr>
          <w:rFonts w:ascii="Times New Roman" w:hAnsi="Times New Roman" w:cs="Times New Roman"/>
        </w:rPr>
        <w:t>Comans TA, Peel NM, Hubbard RE, Mulligan AD, Gray LC, Scuffham PA. The increase in healthcare costs associated with frailty in older people discharged to a post-acute transition care program. Age and ageing. 2016;45(2):317-20.</w:t>
      </w:r>
    </w:p>
    <w:p w14:paraId="1A146DC6" w14:textId="77777777" w:rsidR="001B480D" w:rsidRPr="00DB3020" w:rsidRDefault="001B480D" w:rsidP="001B480D">
      <w:pPr>
        <w:pStyle w:val="ListParagraph"/>
        <w:rPr>
          <w:rFonts w:ascii="Times New Roman" w:hAnsi="Times New Roman" w:cs="Times New Roman"/>
        </w:rPr>
      </w:pPr>
    </w:p>
    <w:p w14:paraId="1CC3F5B6" w14:textId="77777777" w:rsidR="001B480D" w:rsidRDefault="001B480D" w:rsidP="001B480D">
      <w:pPr>
        <w:pStyle w:val="ListParagraph"/>
        <w:numPr>
          <w:ilvl w:val="0"/>
          <w:numId w:val="1"/>
        </w:numPr>
        <w:jc w:val="both"/>
        <w:rPr>
          <w:rFonts w:ascii="Times New Roman" w:hAnsi="Times New Roman" w:cs="Times New Roman"/>
        </w:rPr>
      </w:pPr>
      <w:r w:rsidRPr="004E2298">
        <w:rPr>
          <w:rFonts w:ascii="Times New Roman" w:hAnsi="Times New Roman" w:cs="Times New Roman"/>
        </w:rPr>
        <w:t>Herrett E, Gallagher AM, Bhaskaran K, Forbes H, Mathur R, van Staa T, et al. Data Resource Profile: Clinical Practice Research Datalink (CPRD). Int J Epidemiol. 2015;44(3):827-36.</w:t>
      </w:r>
    </w:p>
    <w:p w14:paraId="24B6041C" w14:textId="77777777" w:rsidR="001B480D" w:rsidRPr="003047FB" w:rsidRDefault="001B480D" w:rsidP="001B480D">
      <w:pPr>
        <w:pStyle w:val="ListParagraph"/>
        <w:rPr>
          <w:rFonts w:ascii="Times New Roman" w:hAnsi="Times New Roman" w:cs="Times New Roman"/>
        </w:rPr>
      </w:pPr>
    </w:p>
    <w:p w14:paraId="75C87A77" w14:textId="77777777" w:rsidR="001B480D" w:rsidRDefault="001B480D" w:rsidP="001B480D">
      <w:pPr>
        <w:pStyle w:val="ListParagraph"/>
        <w:numPr>
          <w:ilvl w:val="0"/>
          <w:numId w:val="1"/>
        </w:numPr>
        <w:jc w:val="both"/>
        <w:rPr>
          <w:rFonts w:ascii="Times New Roman" w:hAnsi="Times New Roman" w:cs="Times New Roman"/>
        </w:rPr>
      </w:pPr>
      <w:r>
        <w:rPr>
          <w:rFonts w:ascii="Times New Roman" w:hAnsi="Times New Roman" w:cs="Times New Roman"/>
        </w:rPr>
        <w:t xml:space="preserve">NHS Digital. Hospital Episode Statistics. </w:t>
      </w:r>
      <w:hyperlink r:id="rId9" w:history="1">
        <w:r w:rsidRPr="00DB388C">
          <w:rPr>
            <w:rStyle w:val="Hyperlink"/>
            <w:rFonts w:ascii="Times New Roman" w:hAnsi="Times New Roman" w:cs="Times New Roman"/>
          </w:rPr>
          <w:t>https://digital.nhs.uk/data-services/hospital-episode-statistics</w:t>
        </w:r>
      </w:hyperlink>
    </w:p>
    <w:p w14:paraId="270F0E55" w14:textId="77777777" w:rsidR="001B480D" w:rsidRPr="006C094A" w:rsidRDefault="001B480D" w:rsidP="001B480D">
      <w:pPr>
        <w:pStyle w:val="ListParagraph"/>
        <w:jc w:val="both"/>
        <w:rPr>
          <w:rFonts w:ascii="Times New Roman" w:hAnsi="Times New Roman" w:cs="Times New Roman"/>
        </w:rPr>
      </w:pPr>
    </w:p>
    <w:p w14:paraId="07A5AA53" w14:textId="77777777" w:rsidR="001B480D" w:rsidRDefault="001B480D" w:rsidP="001B480D">
      <w:pPr>
        <w:pStyle w:val="ListParagraph"/>
        <w:numPr>
          <w:ilvl w:val="0"/>
          <w:numId w:val="1"/>
        </w:numPr>
        <w:jc w:val="both"/>
        <w:rPr>
          <w:rFonts w:ascii="Times New Roman" w:hAnsi="Times New Roman" w:cs="Times New Roman"/>
        </w:rPr>
      </w:pPr>
      <w:r>
        <w:rPr>
          <w:rFonts w:ascii="Times New Roman" w:hAnsi="Times New Roman" w:cs="Times New Roman"/>
        </w:rPr>
        <w:t xml:space="preserve">Ministry of Housing, Communities &amp; Local Government. English indices of deprivation 2015. </w:t>
      </w:r>
      <w:hyperlink r:id="rId10" w:history="1">
        <w:r w:rsidRPr="00DB388C">
          <w:rPr>
            <w:rStyle w:val="Hyperlink"/>
            <w:rFonts w:ascii="Times New Roman" w:hAnsi="Times New Roman" w:cs="Times New Roman"/>
          </w:rPr>
          <w:t>https://www.gov.uk/government/statistics/english-indices-of-deprivation-2015</w:t>
        </w:r>
      </w:hyperlink>
    </w:p>
    <w:p w14:paraId="7983E4A7" w14:textId="77777777" w:rsidR="001B480D" w:rsidRDefault="001B480D" w:rsidP="001B480D">
      <w:pPr>
        <w:pStyle w:val="ListParagraph"/>
        <w:jc w:val="both"/>
        <w:rPr>
          <w:rFonts w:ascii="Times New Roman" w:hAnsi="Times New Roman" w:cs="Times New Roman"/>
        </w:rPr>
      </w:pPr>
    </w:p>
    <w:p w14:paraId="53E7C4D7" w14:textId="77777777" w:rsidR="001B480D" w:rsidRDefault="001B480D" w:rsidP="001B480D">
      <w:pPr>
        <w:pStyle w:val="ListParagraph"/>
        <w:numPr>
          <w:ilvl w:val="0"/>
          <w:numId w:val="1"/>
        </w:numPr>
        <w:jc w:val="both"/>
        <w:rPr>
          <w:rFonts w:ascii="Times New Roman" w:hAnsi="Times New Roman" w:cs="Times New Roman"/>
        </w:rPr>
      </w:pPr>
      <w:r>
        <w:rPr>
          <w:rFonts w:ascii="Times New Roman" w:hAnsi="Times New Roman" w:cs="Times New Roman"/>
        </w:rPr>
        <w:t xml:space="preserve">Office for National Statistics. </w:t>
      </w:r>
      <w:hyperlink r:id="rId11" w:history="1">
        <w:r w:rsidRPr="00DB388C">
          <w:rPr>
            <w:rStyle w:val="Hyperlink"/>
            <w:rFonts w:ascii="Times New Roman" w:hAnsi="Times New Roman" w:cs="Times New Roman"/>
          </w:rPr>
          <w:t>https://www.ons.gov.uk/peoplepopulationandcommunity/birthsdeathsandmarriages/deaths</w:t>
        </w:r>
      </w:hyperlink>
    </w:p>
    <w:p w14:paraId="7D7754C7" w14:textId="77777777" w:rsidR="001B480D" w:rsidRPr="004E2298" w:rsidRDefault="001B480D" w:rsidP="001B480D">
      <w:pPr>
        <w:pStyle w:val="ListParagraph"/>
        <w:jc w:val="both"/>
        <w:rPr>
          <w:rFonts w:ascii="Times New Roman" w:hAnsi="Times New Roman" w:cs="Times New Roman"/>
        </w:rPr>
      </w:pPr>
    </w:p>
    <w:p w14:paraId="65FC4CFA" w14:textId="77777777" w:rsidR="001B480D" w:rsidRDefault="001B480D" w:rsidP="001B480D">
      <w:pPr>
        <w:pStyle w:val="ListParagraph"/>
        <w:numPr>
          <w:ilvl w:val="0"/>
          <w:numId w:val="1"/>
        </w:numPr>
        <w:jc w:val="both"/>
        <w:rPr>
          <w:rFonts w:ascii="Times New Roman" w:hAnsi="Times New Roman" w:cs="Times New Roman"/>
        </w:rPr>
      </w:pPr>
      <w:r>
        <w:rPr>
          <w:rFonts w:ascii="Times New Roman" w:hAnsi="Times New Roman" w:cs="Times New Roman"/>
        </w:rPr>
        <w:t>NHS Employers.</w:t>
      </w:r>
      <w:r w:rsidRPr="00786B61">
        <w:rPr>
          <w:rFonts w:ascii="Times New Roman" w:hAnsi="Times New Roman" w:cs="Times New Roman"/>
        </w:rPr>
        <w:t xml:space="preserve"> General Medical Services (GMS) contract Quality and Outcomes Framework (QOF): Guidance for GMS contract 2015/16. 2015.</w:t>
      </w:r>
    </w:p>
    <w:p w14:paraId="1B22083C" w14:textId="77777777" w:rsidR="001B480D" w:rsidRDefault="001B480D" w:rsidP="001B480D">
      <w:pPr>
        <w:pStyle w:val="ListParagraph"/>
        <w:jc w:val="both"/>
        <w:rPr>
          <w:rFonts w:ascii="Times New Roman" w:hAnsi="Times New Roman" w:cs="Times New Roman"/>
        </w:rPr>
      </w:pPr>
    </w:p>
    <w:p w14:paraId="03A2B17A" w14:textId="77777777" w:rsidR="001B480D" w:rsidRDefault="001B480D" w:rsidP="001B480D">
      <w:pPr>
        <w:pStyle w:val="ListParagraph"/>
        <w:numPr>
          <w:ilvl w:val="0"/>
          <w:numId w:val="1"/>
        </w:numPr>
        <w:jc w:val="both"/>
        <w:rPr>
          <w:rFonts w:ascii="Times New Roman" w:hAnsi="Times New Roman" w:cs="Times New Roman"/>
        </w:rPr>
      </w:pPr>
      <w:r>
        <w:rPr>
          <w:rFonts w:ascii="Times New Roman" w:hAnsi="Times New Roman" w:cs="Times New Roman"/>
        </w:rPr>
        <w:t>Personal Social Service Research Unit (</w:t>
      </w:r>
      <w:r w:rsidRPr="00CC4758">
        <w:rPr>
          <w:rFonts w:ascii="Times New Roman" w:hAnsi="Times New Roman" w:cs="Times New Roman"/>
        </w:rPr>
        <w:t>PSSRU</w:t>
      </w:r>
      <w:r>
        <w:rPr>
          <w:rFonts w:ascii="Times New Roman" w:hAnsi="Times New Roman" w:cs="Times New Roman"/>
        </w:rPr>
        <w:t>)</w:t>
      </w:r>
      <w:r w:rsidRPr="00CC4758">
        <w:rPr>
          <w:rFonts w:ascii="Times New Roman" w:hAnsi="Times New Roman" w:cs="Times New Roman"/>
        </w:rPr>
        <w:t>. Unit Costs of Health &amp; Social Care 2014. 2014.</w:t>
      </w:r>
    </w:p>
    <w:p w14:paraId="137F5A55" w14:textId="77777777" w:rsidR="001B480D" w:rsidRDefault="001B480D" w:rsidP="001B480D">
      <w:pPr>
        <w:pStyle w:val="ListParagraph"/>
        <w:jc w:val="both"/>
        <w:rPr>
          <w:rFonts w:ascii="Times New Roman" w:hAnsi="Times New Roman" w:cs="Times New Roman"/>
        </w:rPr>
      </w:pPr>
    </w:p>
    <w:p w14:paraId="17B92D86" w14:textId="77777777" w:rsidR="001B480D" w:rsidRDefault="001B480D" w:rsidP="001B480D">
      <w:pPr>
        <w:pStyle w:val="ListParagraph"/>
        <w:numPr>
          <w:ilvl w:val="0"/>
          <w:numId w:val="1"/>
        </w:numPr>
        <w:jc w:val="both"/>
        <w:rPr>
          <w:rFonts w:ascii="Times New Roman" w:hAnsi="Times New Roman" w:cs="Times New Roman"/>
        </w:rPr>
      </w:pPr>
      <w:r>
        <w:rPr>
          <w:rFonts w:ascii="Times New Roman" w:hAnsi="Times New Roman" w:cs="Times New Roman"/>
        </w:rPr>
        <w:t>Department of Health</w:t>
      </w:r>
      <w:r w:rsidRPr="0055267A">
        <w:rPr>
          <w:rFonts w:ascii="Times New Roman" w:hAnsi="Times New Roman" w:cs="Times New Roman"/>
        </w:rPr>
        <w:t>. Payment by Results: Guidance for 2013 - 14. 2013.</w:t>
      </w:r>
    </w:p>
    <w:p w14:paraId="36141B76" w14:textId="77777777" w:rsidR="001B480D" w:rsidRDefault="001B480D" w:rsidP="001B480D">
      <w:pPr>
        <w:pStyle w:val="ListParagraph"/>
        <w:jc w:val="both"/>
        <w:rPr>
          <w:rFonts w:ascii="Times New Roman" w:hAnsi="Times New Roman" w:cs="Times New Roman"/>
        </w:rPr>
      </w:pPr>
    </w:p>
    <w:p w14:paraId="3C6E5708" w14:textId="77777777" w:rsidR="001B480D" w:rsidRDefault="001B480D" w:rsidP="001B480D">
      <w:pPr>
        <w:pStyle w:val="ListParagraph"/>
        <w:numPr>
          <w:ilvl w:val="0"/>
          <w:numId w:val="1"/>
        </w:numPr>
        <w:jc w:val="both"/>
        <w:rPr>
          <w:rFonts w:ascii="Times New Roman" w:hAnsi="Times New Roman" w:cs="Times New Roman"/>
        </w:rPr>
      </w:pPr>
      <w:r>
        <w:rPr>
          <w:rFonts w:ascii="Times New Roman" w:hAnsi="Times New Roman" w:cs="Times New Roman"/>
        </w:rPr>
        <w:t>Department of Health</w:t>
      </w:r>
      <w:r w:rsidRPr="009E7330">
        <w:rPr>
          <w:rFonts w:ascii="Times New Roman" w:hAnsi="Times New Roman" w:cs="Times New Roman"/>
        </w:rPr>
        <w:t>. Reference costs 2013 - 14. 2014.</w:t>
      </w:r>
    </w:p>
    <w:p w14:paraId="700DAD96" w14:textId="77777777" w:rsidR="001B480D" w:rsidRDefault="001B480D" w:rsidP="001B480D">
      <w:pPr>
        <w:pStyle w:val="ListParagraph"/>
        <w:jc w:val="both"/>
        <w:rPr>
          <w:rFonts w:ascii="Times New Roman" w:hAnsi="Times New Roman" w:cs="Times New Roman"/>
        </w:rPr>
      </w:pPr>
    </w:p>
    <w:p w14:paraId="57C951F8" w14:textId="77777777" w:rsidR="001B480D" w:rsidRDefault="001B480D" w:rsidP="001B480D">
      <w:pPr>
        <w:pStyle w:val="ListParagraph"/>
        <w:numPr>
          <w:ilvl w:val="0"/>
          <w:numId w:val="1"/>
        </w:numPr>
        <w:jc w:val="both"/>
        <w:rPr>
          <w:rFonts w:ascii="Times New Roman" w:hAnsi="Times New Roman" w:cs="Times New Roman"/>
        </w:rPr>
      </w:pPr>
      <w:bookmarkStart w:id="14" w:name="_Hlk523403730"/>
      <w:bookmarkStart w:id="15" w:name="OLE_LINK14"/>
      <w:r w:rsidRPr="009E7330">
        <w:rPr>
          <w:rFonts w:ascii="Times New Roman" w:hAnsi="Times New Roman" w:cs="Times New Roman"/>
        </w:rPr>
        <w:t>Clegg A, Bates C, Young J, Ryan R, Nichols L, Ann Teale E, et al. D</w:t>
      </w:r>
      <w:r>
        <w:rPr>
          <w:rFonts w:ascii="Times New Roman" w:hAnsi="Times New Roman" w:cs="Times New Roman"/>
        </w:rPr>
        <w:t xml:space="preserve">evelopment and validation of an </w:t>
      </w:r>
      <w:r w:rsidRPr="009E7330">
        <w:rPr>
          <w:rFonts w:ascii="Times New Roman" w:hAnsi="Times New Roman" w:cs="Times New Roman"/>
        </w:rPr>
        <w:t>electronic frailty index using routine primary care electronic health record data. Age Ageing. 2016;45(3):353-60.</w:t>
      </w:r>
    </w:p>
    <w:bookmarkEnd w:id="14"/>
    <w:bookmarkEnd w:id="15"/>
    <w:p w14:paraId="615A884F" w14:textId="77777777" w:rsidR="001B480D" w:rsidRPr="003047FB" w:rsidRDefault="001B480D" w:rsidP="001B480D">
      <w:pPr>
        <w:pStyle w:val="ListParagraph"/>
        <w:jc w:val="both"/>
        <w:rPr>
          <w:rFonts w:ascii="Times New Roman" w:hAnsi="Times New Roman" w:cs="Times New Roman"/>
        </w:rPr>
      </w:pPr>
    </w:p>
    <w:p w14:paraId="692C2A25" w14:textId="77777777" w:rsidR="001B480D" w:rsidRDefault="001B480D" w:rsidP="001B480D">
      <w:pPr>
        <w:pStyle w:val="ListParagraph"/>
        <w:numPr>
          <w:ilvl w:val="0"/>
          <w:numId w:val="1"/>
        </w:numPr>
        <w:jc w:val="both"/>
        <w:rPr>
          <w:rFonts w:ascii="Times New Roman" w:hAnsi="Times New Roman" w:cs="Times New Roman"/>
        </w:rPr>
      </w:pPr>
      <w:r>
        <w:rPr>
          <w:rFonts w:ascii="Times New Roman" w:hAnsi="Times New Roman" w:cs="Times New Roman"/>
        </w:rPr>
        <w:t>Department for Communities and Local Government</w:t>
      </w:r>
      <w:r w:rsidRPr="00786B61">
        <w:rPr>
          <w:rFonts w:ascii="Times New Roman" w:hAnsi="Times New Roman" w:cs="Times New Roman"/>
        </w:rPr>
        <w:t>. The English Indices of Deprivation 2015. 2015.</w:t>
      </w:r>
    </w:p>
    <w:p w14:paraId="2533D9C7" w14:textId="04DB6C7A" w:rsidR="00556039" w:rsidRDefault="001B480D" w:rsidP="00556039">
      <w:pPr>
        <w:pStyle w:val="ListParagraph"/>
        <w:numPr>
          <w:ilvl w:val="0"/>
          <w:numId w:val="1"/>
        </w:numPr>
        <w:jc w:val="both"/>
        <w:rPr>
          <w:rFonts w:ascii="Times New Roman" w:hAnsi="Times New Roman" w:cs="Times New Roman"/>
        </w:rPr>
      </w:pPr>
      <w:r>
        <w:rPr>
          <w:rFonts w:ascii="Times New Roman" w:hAnsi="Times New Roman" w:cs="Times New Roman"/>
        </w:rPr>
        <w:lastRenderedPageBreak/>
        <w:t xml:space="preserve">NHS Digital. Introduction to Healthcare Resource Groups. </w:t>
      </w:r>
      <w:hyperlink r:id="rId12" w:history="1">
        <w:r w:rsidRPr="00671F8E">
          <w:rPr>
            <w:rStyle w:val="Hyperlink"/>
            <w:rFonts w:ascii="Times New Roman" w:hAnsi="Times New Roman" w:cs="Times New Roman"/>
          </w:rPr>
          <w:t>http://content.digital.nhs.uk/hrg</w:t>
        </w:r>
      </w:hyperlink>
      <w:r>
        <w:rPr>
          <w:rFonts w:ascii="Times New Roman" w:hAnsi="Times New Roman" w:cs="Times New Roman"/>
        </w:rPr>
        <w:t>. L</w:t>
      </w:r>
      <w:r w:rsidRPr="00142C4D">
        <w:rPr>
          <w:rFonts w:ascii="Times New Roman" w:hAnsi="Times New Roman" w:cs="Times New Roman"/>
        </w:rPr>
        <w:t>ast access on 3 November 2017</w:t>
      </w:r>
    </w:p>
    <w:p w14:paraId="70DD4967" w14:textId="77777777" w:rsidR="00933E05" w:rsidRDefault="00933E05" w:rsidP="00933E05">
      <w:pPr>
        <w:pStyle w:val="ListParagraph"/>
        <w:jc w:val="both"/>
        <w:rPr>
          <w:rFonts w:ascii="Times New Roman" w:hAnsi="Times New Roman" w:cs="Times New Roman"/>
        </w:rPr>
      </w:pPr>
    </w:p>
    <w:p w14:paraId="1D8E2C6E" w14:textId="79181982" w:rsidR="00933E05" w:rsidRDefault="0030720E" w:rsidP="00933E05">
      <w:pPr>
        <w:pStyle w:val="ListParagraph"/>
        <w:numPr>
          <w:ilvl w:val="0"/>
          <w:numId w:val="1"/>
        </w:numPr>
        <w:jc w:val="both"/>
        <w:rPr>
          <w:rFonts w:ascii="Times New Roman" w:hAnsi="Times New Roman" w:cs="Times New Roman"/>
        </w:rPr>
      </w:pPr>
      <w:r w:rsidRPr="0030720E">
        <w:rPr>
          <w:rFonts w:ascii="Times New Roman" w:hAnsi="Times New Roman" w:cs="Times New Roman"/>
        </w:rPr>
        <w:t>Simpson KN, Seamon BA, Hand BN, Roldan CO, Taber DJ, Moran WP, et al. Effect of frailty on resource use and cost for Medicare patients. J Comp Eff Res. 2018.</w:t>
      </w:r>
    </w:p>
    <w:p w14:paraId="2C977EE6" w14:textId="77777777" w:rsidR="00933E05" w:rsidRPr="00933E05" w:rsidRDefault="00933E05" w:rsidP="00933E05">
      <w:pPr>
        <w:pStyle w:val="ListParagraph"/>
        <w:jc w:val="both"/>
        <w:rPr>
          <w:rFonts w:ascii="Times New Roman" w:hAnsi="Times New Roman" w:cs="Times New Roman"/>
        </w:rPr>
      </w:pPr>
    </w:p>
    <w:p w14:paraId="42D12E18" w14:textId="7BB1A893" w:rsidR="0030720E" w:rsidRDefault="0030720E" w:rsidP="0030720E">
      <w:pPr>
        <w:pStyle w:val="ListParagraph"/>
        <w:numPr>
          <w:ilvl w:val="0"/>
          <w:numId w:val="1"/>
        </w:numPr>
        <w:jc w:val="both"/>
        <w:rPr>
          <w:rFonts w:ascii="Times New Roman" w:hAnsi="Times New Roman" w:cs="Times New Roman"/>
        </w:rPr>
      </w:pPr>
      <w:r w:rsidRPr="0030720E">
        <w:rPr>
          <w:rFonts w:ascii="Times New Roman" w:hAnsi="Times New Roman" w:cs="Times New Roman"/>
        </w:rPr>
        <w:t>Dent E, Dal Grande E, Price K, Taylor AW. Frailty and usage of health care systems: Results from the South Australian Monitoring and Surveillance System (SAMSS). Maturitas. 2017;104:36-43.</w:t>
      </w:r>
    </w:p>
    <w:p w14:paraId="699D09D5" w14:textId="77777777" w:rsidR="00933E05" w:rsidRDefault="00933E05" w:rsidP="00933E05">
      <w:pPr>
        <w:pStyle w:val="ListParagraph"/>
        <w:jc w:val="both"/>
        <w:rPr>
          <w:rFonts w:ascii="Times New Roman" w:hAnsi="Times New Roman" w:cs="Times New Roman"/>
        </w:rPr>
      </w:pPr>
    </w:p>
    <w:p w14:paraId="45403AB6" w14:textId="488F2917" w:rsidR="0030720E" w:rsidRDefault="0030720E" w:rsidP="0030720E">
      <w:pPr>
        <w:pStyle w:val="ListParagraph"/>
        <w:numPr>
          <w:ilvl w:val="0"/>
          <w:numId w:val="1"/>
        </w:numPr>
        <w:jc w:val="both"/>
        <w:rPr>
          <w:rFonts w:ascii="Times New Roman" w:hAnsi="Times New Roman" w:cs="Times New Roman"/>
        </w:rPr>
      </w:pPr>
      <w:r w:rsidRPr="0030720E">
        <w:rPr>
          <w:rFonts w:ascii="Times New Roman" w:hAnsi="Times New Roman" w:cs="Times New Roman"/>
        </w:rPr>
        <w:t>Roe L, Normand C, Wren M-A, Browne J, O'Halloran AM. The impact of frailty on healthcare utilisation in Ireland: evidence from the Irish longitudinal study on ageing. BMC Geriatr. 2017;17(1):203.</w:t>
      </w:r>
    </w:p>
    <w:p w14:paraId="372822BC" w14:textId="77777777" w:rsidR="00933E05" w:rsidRDefault="00933E05" w:rsidP="00933E05">
      <w:pPr>
        <w:pStyle w:val="ListParagraph"/>
        <w:jc w:val="both"/>
        <w:rPr>
          <w:rFonts w:ascii="Times New Roman" w:hAnsi="Times New Roman" w:cs="Times New Roman"/>
        </w:rPr>
      </w:pPr>
    </w:p>
    <w:p w14:paraId="1A8110DE" w14:textId="4870B4BE" w:rsidR="00AF3893" w:rsidRDefault="00AF3893" w:rsidP="0030720E">
      <w:pPr>
        <w:pStyle w:val="ListParagraph"/>
        <w:numPr>
          <w:ilvl w:val="0"/>
          <w:numId w:val="1"/>
        </w:numPr>
        <w:jc w:val="both"/>
        <w:rPr>
          <w:rFonts w:ascii="Times New Roman" w:hAnsi="Times New Roman" w:cs="Times New Roman"/>
        </w:rPr>
      </w:pPr>
      <w:r>
        <w:rPr>
          <w:rFonts w:ascii="Times New Roman" w:hAnsi="Times New Roman" w:cs="Times New Roman"/>
        </w:rPr>
        <w:t xml:space="preserve">Ilinca S and Calciolari s. The patterns of health care utilization by elderly Europeans: Frailty and its implications for health systems. Health Services Research. 2015;50:1. </w:t>
      </w:r>
    </w:p>
    <w:p w14:paraId="1300AC72" w14:textId="77777777" w:rsidR="00A651AB" w:rsidRPr="00931144" w:rsidRDefault="00A651AB" w:rsidP="00931144">
      <w:pPr>
        <w:pStyle w:val="ListParagraph"/>
        <w:rPr>
          <w:rFonts w:ascii="Times New Roman" w:hAnsi="Times New Roman" w:cs="Times New Roman"/>
        </w:rPr>
      </w:pPr>
    </w:p>
    <w:p w14:paraId="23305B0F" w14:textId="4B994659" w:rsidR="00540868" w:rsidRDefault="00A651AB" w:rsidP="00540868">
      <w:pPr>
        <w:pStyle w:val="ListParagraph"/>
        <w:numPr>
          <w:ilvl w:val="0"/>
          <w:numId w:val="1"/>
        </w:numPr>
        <w:jc w:val="both"/>
        <w:rPr>
          <w:rFonts w:ascii="Times New Roman" w:hAnsi="Times New Roman" w:cs="Times New Roman"/>
        </w:rPr>
      </w:pPr>
      <w:r>
        <w:rPr>
          <w:rFonts w:ascii="Times New Roman" w:hAnsi="Times New Roman" w:cs="Times New Roman"/>
        </w:rPr>
        <w:t xml:space="preserve">National Audit Office. Discharging older patients from hospital. 2016. </w:t>
      </w:r>
    </w:p>
    <w:p w14:paraId="522CA5E3" w14:textId="77777777" w:rsidR="00933E05" w:rsidRDefault="00933E05" w:rsidP="00933E05">
      <w:pPr>
        <w:pStyle w:val="ListParagraph"/>
        <w:jc w:val="both"/>
        <w:rPr>
          <w:rFonts w:ascii="Times New Roman" w:hAnsi="Times New Roman" w:cs="Times New Roman"/>
        </w:rPr>
      </w:pPr>
    </w:p>
    <w:p w14:paraId="1B42532A" w14:textId="58BEA5A6" w:rsidR="00CB69D3" w:rsidRDefault="00CB69D3" w:rsidP="00CB69D3">
      <w:pPr>
        <w:pStyle w:val="ListParagraph"/>
        <w:numPr>
          <w:ilvl w:val="0"/>
          <w:numId w:val="1"/>
        </w:numPr>
        <w:jc w:val="both"/>
        <w:rPr>
          <w:rFonts w:ascii="Times New Roman" w:hAnsi="Times New Roman" w:cs="Times New Roman"/>
        </w:rPr>
      </w:pPr>
      <w:r w:rsidRPr="00CB69D3">
        <w:rPr>
          <w:rFonts w:ascii="Times New Roman" w:hAnsi="Times New Roman" w:cs="Times New Roman"/>
        </w:rPr>
        <w:t>Bock J-O, Konig H-H, Brenner H, Haefeli WE, Quinzler R, Matschinger H, et al. Associations of frailty with health care costs--results of the ESTHER cohort study. BMC Health Serv Res. 2016;16:128.</w:t>
      </w:r>
    </w:p>
    <w:p w14:paraId="53786732" w14:textId="77777777" w:rsidR="00540868" w:rsidRPr="00540868" w:rsidRDefault="00540868" w:rsidP="00540868">
      <w:pPr>
        <w:pStyle w:val="ListParagraph"/>
        <w:jc w:val="both"/>
        <w:rPr>
          <w:rFonts w:ascii="Times New Roman" w:hAnsi="Times New Roman" w:cs="Times New Roman"/>
        </w:rPr>
      </w:pPr>
    </w:p>
    <w:p w14:paraId="1FFDBCB4" w14:textId="31B74E19" w:rsidR="00B42783" w:rsidRDefault="00B42783" w:rsidP="00B42783">
      <w:pPr>
        <w:pStyle w:val="ListParagraph"/>
        <w:numPr>
          <w:ilvl w:val="0"/>
          <w:numId w:val="1"/>
        </w:numPr>
        <w:rPr>
          <w:rFonts w:ascii="Times New Roman" w:hAnsi="Times New Roman" w:cs="Times New Roman"/>
        </w:rPr>
      </w:pPr>
      <w:r w:rsidRPr="00B42783">
        <w:rPr>
          <w:rFonts w:ascii="Times New Roman" w:hAnsi="Times New Roman" w:cs="Times New Roman"/>
        </w:rPr>
        <w:t>Office for National Statistics.</w:t>
      </w:r>
      <w:r w:rsidRPr="00B42783">
        <w:t xml:space="preserve"> </w:t>
      </w:r>
      <w:r w:rsidRPr="00B42783">
        <w:rPr>
          <w:rFonts w:ascii="Times New Roman" w:hAnsi="Times New Roman" w:cs="Times New Roman"/>
        </w:rPr>
        <w:t xml:space="preserve">Population estimates for the UK, England, Wales, Scotland and Northern Ireland: mid-2017. </w:t>
      </w:r>
      <w:r>
        <w:rPr>
          <w:rFonts w:ascii="Times New Roman" w:hAnsi="Times New Roman" w:cs="Times New Roman"/>
        </w:rPr>
        <w:t xml:space="preserve">2018. </w:t>
      </w:r>
      <w:hyperlink r:id="rId13" w:history="1">
        <w:r w:rsidR="00203969" w:rsidRPr="00203969">
          <w:rPr>
            <w:rStyle w:val="Hyperlink"/>
            <w:rFonts w:ascii="Times New Roman" w:hAnsi="Times New Roman" w:cs="Times New Roman"/>
          </w:rPr>
          <w:t>https://www.ons.gov.uk/peoplepopulationandcommunity/populationandmigration/populationestimates/bulletins/annualmidyearpopulationestimates/mid2017</w:t>
        </w:r>
      </w:hyperlink>
      <w:r w:rsidR="00203969">
        <w:rPr>
          <w:rFonts w:ascii="Times New Roman" w:hAnsi="Times New Roman" w:cs="Times New Roman"/>
        </w:rPr>
        <w:t>.</w:t>
      </w:r>
    </w:p>
    <w:p w14:paraId="603BD345" w14:textId="77777777" w:rsidR="00933E05" w:rsidRDefault="00933E05" w:rsidP="00933E05">
      <w:pPr>
        <w:pStyle w:val="ListParagraph"/>
        <w:rPr>
          <w:rFonts w:ascii="Times New Roman" w:hAnsi="Times New Roman" w:cs="Times New Roman"/>
        </w:rPr>
      </w:pPr>
    </w:p>
    <w:p w14:paraId="109CD063" w14:textId="4DFD5A24" w:rsidR="00CD1A97" w:rsidRDefault="00CD1A97" w:rsidP="00CD1A97">
      <w:pPr>
        <w:pStyle w:val="ListParagraph"/>
        <w:numPr>
          <w:ilvl w:val="0"/>
          <w:numId w:val="1"/>
        </w:numPr>
        <w:rPr>
          <w:rFonts w:ascii="Times New Roman" w:hAnsi="Times New Roman" w:cs="Times New Roman"/>
        </w:rPr>
      </w:pPr>
      <w:r w:rsidRPr="00CD1A97">
        <w:rPr>
          <w:rFonts w:ascii="Times New Roman" w:hAnsi="Times New Roman" w:cs="Times New Roman"/>
        </w:rPr>
        <w:t>Harrison JK, Clegg A, Conroy SP, Young J. Managing frailty as a long-term condition. Age Ageing. 2015;44(5):732-5.</w:t>
      </w:r>
    </w:p>
    <w:p w14:paraId="0B77EB73" w14:textId="77777777" w:rsidR="00933E05" w:rsidRDefault="00933E05" w:rsidP="00933E05">
      <w:pPr>
        <w:pStyle w:val="ListParagraph"/>
        <w:rPr>
          <w:rFonts w:ascii="Times New Roman" w:hAnsi="Times New Roman" w:cs="Times New Roman"/>
        </w:rPr>
      </w:pPr>
    </w:p>
    <w:p w14:paraId="66F46C5D" w14:textId="6CE56DE1" w:rsidR="00CD1A97" w:rsidRPr="00B42783" w:rsidRDefault="00CD1A97" w:rsidP="00CD1A97">
      <w:pPr>
        <w:pStyle w:val="ListParagraph"/>
        <w:numPr>
          <w:ilvl w:val="0"/>
          <w:numId w:val="1"/>
        </w:numPr>
        <w:rPr>
          <w:rFonts w:ascii="Times New Roman" w:hAnsi="Times New Roman" w:cs="Times New Roman"/>
        </w:rPr>
      </w:pPr>
      <w:r>
        <w:rPr>
          <w:rFonts w:ascii="Times New Roman" w:hAnsi="Times New Roman" w:cs="Times New Roman"/>
        </w:rPr>
        <w:t>NHS. The NHS long term plan. 2019.</w:t>
      </w:r>
    </w:p>
    <w:p w14:paraId="09D069D6" w14:textId="054B3BE7" w:rsidR="00B42783" w:rsidRPr="00931144" w:rsidRDefault="00B42783" w:rsidP="00931144">
      <w:pPr>
        <w:ind w:left="360"/>
        <w:jc w:val="both"/>
        <w:rPr>
          <w:rFonts w:ascii="Times New Roman" w:hAnsi="Times New Roman" w:cs="Times New Roman"/>
        </w:rPr>
      </w:pPr>
    </w:p>
    <w:p w14:paraId="38EA9191" w14:textId="77777777" w:rsidR="00556039" w:rsidRPr="00556039" w:rsidRDefault="00556039" w:rsidP="00556039">
      <w:pPr>
        <w:pStyle w:val="ListParagraph"/>
        <w:jc w:val="both"/>
        <w:rPr>
          <w:rFonts w:ascii="Times New Roman" w:hAnsi="Times New Roman" w:cs="Times New Roman"/>
        </w:rPr>
      </w:pPr>
    </w:p>
    <w:p w14:paraId="2DC3BB7E" w14:textId="77777777" w:rsidR="00E264AD" w:rsidRPr="00C63473" w:rsidRDefault="00E264AD" w:rsidP="00C63473">
      <w:pPr>
        <w:jc w:val="both"/>
        <w:rPr>
          <w:rFonts w:ascii="Times New Roman" w:hAnsi="Times New Roman" w:cs="Times New Roman"/>
        </w:rPr>
      </w:pPr>
    </w:p>
    <w:sectPr w:rsidR="00E264AD" w:rsidRPr="00C63473" w:rsidSect="00B5308D">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A0B324" w16cid:durableId="2035288F"/>
  <w16cid:commentId w16cid:paraId="5AB7974F" w16cid:durableId="20352890"/>
  <w16cid:commentId w16cid:paraId="61937B42" w16cid:durableId="203528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85E69" w14:textId="77777777" w:rsidR="00790982" w:rsidRDefault="00790982" w:rsidP="000A32A8">
      <w:pPr>
        <w:spacing w:after="0" w:line="240" w:lineRule="auto"/>
      </w:pPr>
      <w:r>
        <w:separator/>
      </w:r>
    </w:p>
  </w:endnote>
  <w:endnote w:type="continuationSeparator" w:id="0">
    <w:p w14:paraId="1644EBBD" w14:textId="77777777" w:rsidR="00790982" w:rsidRDefault="00790982" w:rsidP="000A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D448B" w14:textId="77777777" w:rsidR="00790982" w:rsidRDefault="00790982" w:rsidP="000A32A8">
      <w:pPr>
        <w:spacing w:after="0" w:line="240" w:lineRule="auto"/>
      </w:pPr>
      <w:r>
        <w:separator/>
      </w:r>
    </w:p>
  </w:footnote>
  <w:footnote w:type="continuationSeparator" w:id="0">
    <w:p w14:paraId="2E9C67EF" w14:textId="77777777" w:rsidR="00790982" w:rsidRDefault="00790982" w:rsidP="000A32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54F3D"/>
    <w:multiLevelType w:val="hybridMultilevel"/>
    <w:tmpl w:val="9A288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B84296"/>
    <w:multiLevelType w:val="hybridMultilevel"/>
    <w:tmpl w:val="739EF8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0A1C39"/>
    <w:multiLevelType w:val="hybridMultilevel"/>
    <w:tmpl w:val="E3D62CC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7387737"/>
    <w:multiLevelType w:val="hybridMultilevel"/>
    <w:tmpl w:val="D1EA8A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223E80"/>
    <w:multiLevelType w:val="hybridMultilevel"/>
    <w:tmpl w:val="179C154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5A83229"/>
    <w:multiLevelType w:val="hybridMultilevel"/>
    <w:tmpl w:val="5DF4C2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960"/>
    <w:rsid w:val="000015C8"/>
    <w:rsid w:val="00002430"/>
    <w:rsid w:val="00002A99"/>
    <w:rsid w:val="00002E22"/>
    <w:rsid w:val="00003993"/>
    <w:rsid w:val="00004070"/>
    <w:rsid w:val="00005486"/>
    <w:rsid w:val="0000657F"/>
    <w:rsid w:val="00006F81"/>
    <w:rsid w:val="0000742C"/>
    <w:rsid w:val="00007BC2"/>
    <w:rsid w:val="000105E8"/>
    <w:rsid w:val="00011D27"/>
    <w:rsid w:val="00013030"/>
    <w:rsid w:val="00013060"/>
    <w:rsid w:val="000146A2"/>
    <w:rsid w:val="0001580D"/>
    <w:rsid w:val="000158C6"/>
    <w:rsid w:val="00017C42"/>
    <w:rsid w:val="00021727"/>
    <w:rsid w:val="000234FE"/>
    <w:rsid w:val="00023954"/>
    <w:rsid w:val="000258B8"/>
    <w:rsid w:val="0002620A"/>
    <w:rsid w:val="00026533"/>
    <w:rsid w:val="00027661"/>
    <w:rsid w:val="0003017C"/>
    <w:rsid w:val="00032D97"/>
    <w:rsid w:val="00035900"/>
    <w:rsid w:val="00036492"/>
    <w:rsid w:val="00036CAB"/>
    <w:rsid w:val="00040180"/>
    <w:rsid w:val="000428C6"/>
    <w:rsid w:val="00043E84"/>
    <w:rsid w:val="00044C2D"/>
    <w:rsid w:val="00045955"/>
    <w:rsid w:val="00050066"/>
    <w:rsid w:val="0005029C"/>
    <w:rsid w:val="00050A74"/>
    <w:rsid w:val="0005178F"/>
    <w:rsid w:val="00051CEA"/>
    <w:rsid w:val="00053B04"/>
    <w:rsid w:val="0005651E"/>
    <w:rsid w:val="0006010A"/>
    <w:rsid w:val="00061E61"/>
    <w:rsid w:val="00063CA5"/>
    <w:rsid w:val="00064882"/>
    <w:rsid w:val="000648D0"/>
    <w:rsid w:val="0006559F"/>
    <w:rsid w:val="00067D6D"/>
    <w:rsid w:val="00070F9D"/>
    <w:rsid w:val="00074704"/>
    <w:rsid w:val="00081677"/>
    <w:rsid w:val="00083A9A"/>
    <w:rsid w:val="00091A3C"/>
    <w:rsid w:val="0009227E"/>
    <w:rsid w:val="0009254B"/>
    <w:rsid w:val="00092785"/>
    <w:rsid w:val="00092D52"/>
    <w:rsid w:val="00094A3A"/>
    <w:rsid w:val="000972F4"/>
    <w:rsid w:val="000A132A"/>
    <w:rsid w:val="000A32A8"/>
    <w:rsid w:val="000A40E9"/>
    <w:rsid w:val="000A5043"/>
    <w:rsid w:val="000B641B"/>
    <w:rsid w:val="000B6E0D"/>
    <w:rsid w:val="000B7893"/>
    <w:rsid w:val="000B78F6"/>
    <w:rsid w:val="000D13AC"/>
    <w:rsid w:val="000D4B0B"/>
    <w:rsid w:val="000D5207"/>
    <w:rsid w:val="000E471F"/>
    <w:rsid w:val="000F1067"/>
    <w:rsid w:val="000F140F"/>
    <w:rsid w:val="000F3896"/>
    <w:rsid w:val="000F7609"/>
    <w:rsid w:val="000F763A"/>
    <w:rsid w:val="001025AB"/>
    <w:rsid w:val="00103677"/>
    <w:rsid w:val="00103D4A"/>
    <w:rsid w:val="00104252"/>
    <w:rsid w:val="001063CA"/>
    <w:rsid w:val="00107FDC"/>
    <w:rsid w:val="00111F60"/>
    <w:rsid w:val="00112DF0"/>
    <w:rsid w:val="0011613F"/>
    <w:rsid w:val="00123B1D"/>
    <w:rsid w:val="00126E2D"/>
    <w:rsid w:val="001330BC"/>
    <w:rsid w:val="001338FA"/>
    <w:rsid w:val="00134E92"/>
    <w:rsid w:val="001414DB"/>
    <w:rsid w:val="0014226D"/>
    <w:rsid w:val="00142C4D"/>
    <w:rsid w:val="00144686"/>
    <w:rsid w:val="00146E73"/>
    <w:rsid w:val="00150CF7"/>
    <w:rsid w:val="0015446E"/>
    <w:rsid w:val="0015482B"/>
    <w:rsid w:val="00154CBF"/>
    <w:rsid w:val="00156E03"/>
    <w:rsid w:val="001613D8"/>
    <w:rsid w:val="00172526"/>
    <w:rsid w:val="00174B5A"/>
    <w:rsid w:val="001763A4"/>
    <w:rsid w:val="00180C12"/>
    <w:rsid w:val="00181711"/>
    <w:rsid w:val="00182FA0"/>
    <w:rsid w:val="00185BF2"/>
    <w:rsid w:val="00185F8B"/>
    <w:rsid w:val="00187488"/>
    <w:rsid w:val="00187971"/>
    <w:rsid w:val="00191467"/>
    <w:rsid w:val="0019278B"/>
    <w:rsid w:val="00194FFF"/>
    <w:rsid w:val="00195442"/>
    <w:rsid w:val="00197517"/>
    <w:rsid w:val="0019796C"/>
    <w:rsid w:val="001A2779"/>
    <w:rsid w:val="001A31D5"/>
    <w:rsid w:val="001B17D0"/>
    <w:rsid w:val="001B2A94"/>
    <w:rsid w:val="001B480D"/>
    <w:rsid w:val="001B6651"/>
    <w:rsid w:val="001C18A7"/>
    <w:rsid w:val="001C2018"/>
    <w:rsid w:val="001C3812"/>
    <w:rsid w:val="001C6BC5"/>
    <w:rsid w:val="001D0F53"/>
    <w:rsid w:val="001D0F7A"/>
    <w:rsid w:val="001D3828"/>
    <w:rsid w:val="001E15BF"/>
    <w:rsid w:val="001E3BA3"/>
    <w:rsid w:val="001E650F"/>
    <w:rsid w:val="001E6A03"/>
    <w:rsid w:val="001E7553"/>
    <w:rsid w:val="001F1786"/>
    <w:rsid w:val="001F303A"/>
    <w:rsid w:val="001F4F37"/>
    <w:rsid w:val="001F5A32"/>
    <w:rsid w:val="001F6214"/>
    <w:rsid w:val="001F7318"/>
    <w:rsid w:val="0020071E"/>
    <w:rsid w:val="00200B43"/>
    <w:rsid w:val="00200F21"/>
    <w:rsid w:val="0020245C"/>
    <w:rsid w:val="00203969"/>
    <w:rsid w:val="00203AC0"/>
    <w:rsid w:val="002061DF"/>
    <w:rsid w:val="00212FF2"/>
    <w:rsid w:val="00213A0F"/>
    <w:rsid w:val="00214F8B"/>
    <w:rsid w:val="0021540A"/>
    <w:rsid w:val="00215882"/>
    <w:rsid w:val="00220865"/>
    <w:rsid w:val="00221D8C"/>
    <w:rsid w:val="0022250E"/>
    <w:rsid w:val="00223F27"/>
    <w:rsid w:val="00226606"/>
    <w:rsid w:val="00227B10"/>
    <w:rsid w:val="002310B5"/>
    <w:rsid w:val="002312BB"/>
    <w:rsid w:val="00231925"/>
    <w:rsid w:val="002336B6"/>
    <w:rsid w:val="00234090"/>
    <w:rsid w:val="00235218"/>
    <w:rsid w:val="00240D96"/>
    <w:rsid w:val="00240F80"/>
    <w:rsid w:val="002419C0"/>
    <w:rsid w:val="00241F66"/>
    <w:rsid w:val="002426E2"/>
    <w:rsid w:val="0024445C"/>
    <w:rsid w:val="002462CF"/>
    <w:rsid w:val="00247D6B"/>
    <w:rsid w:val="00250051"/>
    <w:rsid w:val="0025260A"/>
    <w:rsid w:val="002615FA"/>
    <w:rsid w:val="00263AAB"/>
    <w:rsid w:val="002646AF"/>
    <w:rsid w:val="00265378"/>
    <w:rsid w:val="002668D3"/>
    <w:rsid w:val="002673B7"/>
    <w:rsid w:val="00273340"/>
    <w:rsid w:val="002734D7"/>
    <w:rsid w:val="00281440"/>
    <w:rsid w:val="002826E8"/>
    <w:rsid w:val="00284D81"/>
    <w:rsid w:val="00290A3B"/>
    <w:rsid w:val="0029252C"/>
    <w:rsid w:val="00292B63"/>
    <w:rsid w:val="00297DB7"/>
    <w:rsid w:val="002A6B80"/>
    <w:rsid w:val="002A6C63"/>
    <w:rsid w:val="002B1709"/>
    <w:rsid w:val="002B1BF7"/>
    <w:rsid w:val="002B41AC"/>
    <w:rsid w:val="002C1890"/>
    <w:rsid w:val="002C20AB"/>
    <w:rsid w:val="002C3054"/>
    <w:rsid w:val="002C3C70"/>
    <w:rsid w:val="002C5A3F"/>
    <w:rsid w:val="002D3395"/>
    <w:rsid w:val="002D5FA1"/>
    <w:rsid w:val="002E3839"/>
    <w:rsid w:val="002F2BDE"/>
    <w:rsid w:val="002F306D"/>
    <w:rsid w:val="002F62FE"/>
    <w:rsid w:val="002F630C"/>
    <w:rsid w:val="002F7857"/>
    <w:rsid w:val="00301369"/>
    <w:rsid w:val="003047FB"/>
    <w:rsid w:val="0030720E"/>
    <w:rsid w:val="00314C7A"/>
    <w:rsid w:val="00317014"/>
    <w:rsid w:val="00317B41"/>
    <w:rsid w:val="00321FFD"/>
    <w:rsid w:val="00322736"/>
    <w:rsid w:val="0032312A"/>
    <w:rsid w:val="00324704"/>
    <w:rsid w:val="0032656C"/>
    <w:rsid w:val="0033096B"/>
    <w:rsid w:val="00331611"/>
    <w:rsid w:val="00331806"/>
    <w:rsid w:val="00331A7B"/>
    <w:rsid w:val="0033693B"/>
    <w:rsid w:val="00340FCE"/>
    <w:rsid w:val="003418FA"/>
    <w:rsid w:val="00344E0A"/>
    <w:rsid w:val="003459D6"/>
    <w:rsid w:val="003504B7"/>
    <w:rsid w:val="00352991"/>
    <w:rsid w:val="00352D39"/>
    <w:rsid w:val="00357358"/>
    <w:rsid w:val="00363071"/>
    <w:rsid w:val="003648C7"/>
    <w:rsid w:val="00367D35"/>
    <w:rsid w:val="0037159F"/>
    <w:rsid w:val="0037522A"/>
    <w:rsid w:val="00377D13"/>
    <w:rsid w:val="003801D4"/>
    <w:rsid w:val="00381BD7"/>
    <w:rsid w:val="00382DAB"/>
    <w:rsid w:val="00383B96"/>
    <w:rsid w:val="00385891"/>
    <w:rsid w:val="00386EF5"/>
    <w:rsid w:val="0039041A"/>
    <w:rsid w:val="0039140C"/>
    <w:rsid w:val="003946DC"/>
    <w:rsid w:val="00396470"/>
    <w:rsid w:val="00396960"/>
    <w:rsid w:val="003A0CE1"/>
    <w:rsid w:val="003A3A30"/>
    <w:rsid w:val="003A5EB5"/>
    <w:rsid w:val="003A7578"/>
    <w:rsid w:val="003A7F76"/>
    <w:rsid w:val="003B04A8"/>
    <w:rsid w:val="003B073F"/>
    <w:rsid w:val="003B2C35"/>
    <w:rsid w:val="003B5B0C"/>
    <w:rsid w:val="003B6CE7"/>
    <w:rsid w:val="003B71A8"/>
    <w:rsid w:val="003C02C7"/>
    <w:rsid w:val="003C3921"/>
    <w:rsid w:val="003C668E"/>
    <w:rsid w:val="003D5339"/>
    <w:rsid w:val="003D6DAD"/>
    <w:rsid w:val="003D720E"/>
    <w:rsid w:val="003D7935"/>
    <w:rsid w:val="003E00AA"/>
    <w:rsid w:val="003E46D9"/>
    <w:rsid w:val="003E5261"/>
    <w:rsid w:val="003F1489"/>
    <w:rsid w:val="003F4E62"/>
    <w:rsid w:val="003F7AC6"/>
    <w:rsid w:val="00405893"/>
    <w:rsid w:val="00406D5D"/>
    <w:rsid w:val="00411E31"/>
    <w:rsid w:val="00413C09"/>
    <w:rsid w:val="0041618C"/>
    <w:rsid w:val="0041753A"/>
    <w:rsid w:val="00421C9A"/>
    <w:rsid w:val="004224D2"/>
    <w:rsid w:val="0042472B"/>
    <w:rsid w:val="004273F3"/>
    <w:rsid w:val="00432E51"/>
    <w:rsid w:val="004339B4"/>
    <w:rsid w:val="00435B0B"/>
    <w:rsid w:val="00435F62"/>
    <w:rsid w:val="00436981"/>
    <w:rsid w:val="0043710B"/>
    <w:rsid w:val="00442D60"/>
    <w:rsid w:val="00443E5C"/>
    <w:rsid w:val="00445095"/>
    <w:rsid w:val="00446365"/>
    <w:rsid w:val="00446987"/>
    <w:rsid w:val="0045207C"/>
    <w:rsid w:val="00454F96"/>
    <w:rsid w:val="00456698"/>
    <w:rsid w:val="00456C2E"/>
    <w:rsid w:val="00457479"/>
    <w:rsid w:val="00460A9F"/>
    <w:rsid w:val="00460B8A"/>
    <w:rsid w:val="00461A24"/>
    <w:rsid w:val="00461DF8"/>
    <w:rsid w:val="004624FD"/>
    <w:rsid w:val="004635A9"/>
    <w:rsid w:val="0046370F"/>
    <w:rsid w:val="0046624C"/>
    <w:rsid w:val="00466B41"/>
    <w:rsid w:val="00472DF2"/>
    <w:rsid w:val="004759A5"/>
    <w:rsid w:val="00482711"/>
    <w:rsid w:val="00483C9A"/>
    <w:rsid w:val="00485066"/>
    <w:rsid w:val="0048650F"/>
    <w:rsid w:val="004868C5"/>
    <w:rsid w:val="00487694"/>
    <w:rsid w:val="00487B35"/>
    <w:rsid w:val="0049086B"/>
    <w:rsid w:val="00492498"/>
    <w:rsid w:val="00494101"/>
    <w:rsid w:val="004945DE"/>
    <w:rsid w:val="00496C9D"/>
    <w:rsid w:val="00497F8B"/>
    <w:rsid w:val="004A571B"/>
    <w:rsid w:val="004A6F8C"/>
    <w:rsid w:val="004B065B"/>
    <w:rsid w:val="004B496D"/>
    <w:rsid w:val="004B6458"/>
    <w:rsid w:val="004B7F7C"/>
    <w:rsid w:val="004C09D4"/>
    <w:rsid w:val="004C1737"/>
    <w:rsid w:val="004C387A"/>
    <w:rsid w:val="004C570B"/>
    <w:rsid w:val="004D10FF"/>
    <w:rsid w:val="004D35E9"/>
    <w:rsid w:val="004D3B27"/>
    <w:rsid w:val="004D3F1C"/>
    <w:rsid w:val="004D433D"/>
    <w:rsid w:val="004D51FC"/>
    <w:rsid w:val="004D5863"/>
    <w:rsid w:val="004E0376"/>
    <w:rsid w:val="004E2298"/>
    <w:rsid w:val="004E6254"/>
    <w:rsid w:val="004F48A3"/>
    <w:rsid w:val="004F6666"/>
    <w:rsid w:val="004F6AB4"/>
    <w:rsid w:val="004F7171"/>
    <w:rsid w:val="00503C8E"/>
    <w:rsid w:val="00505EF9"/>
    <w:rsid w:val="00506C92"/>
    <w:rsid w:val="00512263"/>
    <w:rsid w:val="0051749D"/>
    <w:rsid w:val="005225AD"/>
    <w:rsid w:val="00523674"/>
    <w:rsid w:val="00523BB1"/>
    <w:rsid w:val="00527166"/>
    <w:rsid w:val="00531C96"/>
    <w:rsid w:val="00531CFC"/>
    <w:rsid w:val="005344D4"/>
    <w:rsid w:val="0053483A"/>
    <w:rsid w:val="0053588E"/>
    <w:rsid w:val="00535CD2"/>
    <w:rsid w:val="005378DE"/>
    <w:rsid w:val="00540868"/>
    <w:rsid w:val="0054277B"/>
    <w:rsid w:val="0054288A"/>
    <w:rsid w:val="005434B9"/>
    <w:rsid w:val="00543F5D"/>
    <w:rsid w:val="00546A71"/>
    <w:rsid w:val="00546CAC"/>
    <w:rsid w:val="00547820"/>
    <w:rsid w:val="0055267A"/>
    <w:rsid w:val="00555BE9"/>
    <w:rsid w:val="00555D0E"/>
    <w:rsid w:val="00556039"/>
    <w:rsid w:val="0056078F"/>
    <w:rsid w:val="00561A36"/>
    <w:rsid w:val="00561B07"/>
    <w:rsid w:val="00565604"/>
    <w:rsid w:val="00566377"/>
    <w:rsid w:val="00571796"/>
    <w:rsid w:val="00572928"/>
    <w:rsid w:val="00572E83"/>
    <w:rsid w:val="00573C03"/>
    <w:rsid w:val="00575B17"/>
    <w:rsid w:val="00582276"/>
    <w:rsid w:val="00595021"/>
    <w:rsid w:val="005A24BD"/>
    <w:rsid w:val="005A29E2"/>
    <w:rsid w:val="005A4D47"/>
    <w:rsid w:val="005B3C26"/>
    <w:rsid w:val="005B4407"/>
    <w:rsid w:val="005B764F"/>
    <w:rsid w:val="005C0351"/>
    <w:rsid w:val="005C2C70"/>
    <w:rsid w:val="005C6699"/>
    <w:rsid w:val="005C6E61"/>
    <w:rsid w:val="005C70FF"/>
    <w:rsid w:val="005C7C9F"/>
    <w:rsid w:val="005D1D3C"/>
    <w:rsid w:val="005D5B2A"/>
    <w:rsid w:val="005D5F50"/>
    <w:rsid w:val="005E15B9"/>
    <w:rsid w:val="005E3C05"/>
    <w:rsid w:val="005E54D6"/>
    <w:rsid w:val="005E58E2"/>
    <w:rsid w:val="005E6456"/>
    <w:rsid w:val="005E68E3"/>
    <w:rsid w:val="005F1221"/>
    <w:rsid w:val="005F1E6F"/>
    <w:rsid w:val="005F3095"/>
    <w:rsid w:val="005F3DF1"/>
    <w:rsid w:val="005F7C87"/>
    <w:rsid w:val="005F7ED0"/>
    <w:rsid w:val="00601E37"/>
    <w:rsid w:val="0060387C"/>
    <w:rsid w:val="00603D67"/>
    <w:rsid w:val="00604FB7"/>
    <w:rsid w:val="00606B24"/>
    <w:rsid w:val="006073DF"/>
    <w:rsid w:val="006124B3"/>
    <w:rsid w:val="00613B93"/>
    <w:rsid w:val="00614205"/>
    <w:rsid w:val="0061687F"/>
    <w:rsid w:val="00616B9A"/>
    <w:rsid w:val="006178DD"/>
    <w:rsid w:val="00626046"/>
    <w:rsid w:val="00626CB8"/>
    <w:rsid w:val="00631DD9"/>
    <w:rsid w:val="006353D7"/>
    <w:rsid w:val="006404BD"/>
    <w:rsid w:val="006412C8"/>
    <w:rsid w:val="00641DD6"/>
    <w:rsid w:val="00645779"/>
    <w:rsid w:val="00646587"/>
    <w:rsid w:val="00650D1D"/>
    <w:rsid w:val="00651452"/>
    <w:rsid w:val="006514B3"/>
    <w:rsid w:val="0065190C"/>
    <w:rsid w:val="00652393"/>
    <w:rsid w:val="00653E58"/>
    <w:rsid w:val="006578A4"/>
    <w:rsid w:val="00660518"/>
    <w:rsid w:val="0066054E"/>
    <w:rsid w:val="006632F4"/>
    <w:rsid w:val="00664448"/>
    <w:rsid w:val="00664FB9"/>
    <w:rsid w:val="006661EA"/>
    <w:rsid w:val="00666EAE"/>
    <w:rsid w:val="006720AA"/>
    <w:rsid w:val="00683382"/>
    <w:rsid w:val="00683A74"/>
    <w:rsid w:val="00685C80"/>
    <w:rsid w:val="0068697B"/>
    <w:rsid w:val="00690BC7"/>
    <w:rsid w:val="00691217"/>
    <w:rsid w:val="00693B20"/>
    <w:rsid w:val="006A286F"/>
    <w:rsid w:val="006B1E7F"/>
    <w:rsid w:val="006B22D4"/>
    <w:rsid w:val="006C094A"/>
    <w:rsid w:val="006C23AA"/>
    <w:rsid w:val="006C4421"/>
    <w:rsid w:val="006C4AD4"/>
    <w:rsid w:val="006C5C40"/>
    <w:rsid w:val="006C5CEF"/>
    <w:rsid w:val="006C6CE6"/>
    <w:rsid w:val="006D0B18"/>
    <w:rsid w:val="006D2EBA"/>
    <w:rsid w:val="006D309C"/>
    <w:rsid w:val="006D765B"/>
    <w:rsid w:val="006D7CAD"/>
    <w:rsid w:val="006E0634"/>
    <w:rsid w:val="006E23BC"/>
    <w:rsid w:val="006E3E13"/>
    <w:rsid w:val="006E5019"/>
    <w:rsid w:val="006F330F"/>
    <w:rsid w:val="006F3D73"/>
    <w:rsid w:val="006F675A"/>
    <w:rsid w:val="00701510"/>
    <w:rsid w:val="007015AB"/>
    <w:rsid w:val="00701681"/>
    <w:rsid w:val="00707F7F"/>
    <w:rsid w:val="0071146A"/>
    <w:rsid w:val="00711C6C"/>
    <w:rsid w:val="007120B6"/>
    <w:rsid w:val="00715F10"/>
    <w:rsid w:val="00716340"/>
    <w:rsid w:val="007163D3"/>
    <w:rsid w:val="0071709A"/>
    <w:rsid w:val="007216AA"/>
    <w:rsid w:val="0072329A"/>
    <w:rsid w:val="007247EA"/>
    <w:rsid w:val="00724C4E"/>
    <w:rsid w:val="00724F54"/>
    <w:rsid w:val="00730364"/>
    <w:rsid w:val="00732D45"/>
    <w:rsid w:val="00736908"/>
    <w:rsid w:val="0073770E"/>
    <w:rsid w:val="00737ED5"/>
    <w:rsid w:val="00740ACA"/>
    <w:rsid w:val="00742D1B"/>
    <w:rsid w:val="007433AF"/>
    <w:rsid w:val="00744C37"/>
    <w:rsid w:val="00751B95"/>
    <w:rsid w:val="00752EC1"/>
    <w:rsid w:val="00753174"/>
    <w:rsid w:val="007542A2"/>
    <w:rsid w:val="00757B98"/>
    <w:rsid w:val="00760D2F"/>
    <w:rsid w:val="007626A4"/>
    <w:rsid w:val="007628B1"/>
    <w:rsid w:val="00763ED5"/>
    <w:rsid w:val="00770132"/>
    <w:rsid w:val="00773101"/>
    <w:rsid w:val="00773D77"/>
    <w:rsid w:val="00775520"/>
    <w:rsid w:val="0077628B"/>
    <w:rsid w:val="007803CD"/>
    <w:rsid w:val="00781E5B"/>
    <w:rsid w:val="00783530"/>
    <w:rsid w:val="00783C38"/>
    <w:rsid w:val="00786B61"/>
    <w:rsid w:val="00786C65"/>
    <w:rsid w:val="00790982"/>
    <w:rsid w:val="00794420"/>
    <w:rsid w:val="00797061"/>
    <w:rsid w:val="0079757A"/>
    <w:rsid w:val="007A108F"/>
    <w:rsid w:val="007A12FF"/>
    <w:rsid w:val="007A25AE"/>
    <w:rsid w:val="007A394D"/>
    <w:rsid w:val="007A4B74"/>
    <w:rsid w:val="007A6564"/>
    <w:rsid w:val="007A6E61"/>
    <w:rsid w:val="007A76AB"/>
    <w:rsid w:val="007B0EE4"/>
    <w:rsid w:val="007B129E"/>
    <w:rsid w:val="007B16D9"/>
    <w:rsid w:val="007B2067"/>
    <w:rsid w:val="007B77E2"/>
    <w:rsid w:val="007B7E99"/>
    <w:rsid w:val="007C1972"/>
    <w:rsid w:val="007C4F65"/>
    <w:rsid w:val="007C6262"/>
    <w:rsid w:val="007C7BCA"/>
    <w:rsid w:val="007C7D42"/>
    <w:rsid w:val="007D0D67"/>
    <w:rsid w:val="007D355A"/>
    <w:rsid w:val="007D5FD1"/>
    <w:rsid w:val="007D65FC"/>
    <w:rsid w:val="007E1BE9"/>
    <w:rsid w:val="007E2762"/>
    <w:rsid w:val="007E3149"/>
    <w:rsid w:val="007E49D7"/>
    <w:rsid w:val="007E5475"/>
    <w:rsid w:val="007E6EA9"/>
    <w:rsid w:val="007E7B7E"/>
    <w:rsid w:val="007F1337"/>
    <w:rsid w:val="007F4836"/>
    <w:rsid w:val="007F4877"/>
    <w:rsid w:val="007F7C7A"/>
    <w:rsid w:val="0080115C"/>
    <w:rsid w:val="00801B05"/>
    <w:rsid w:val="00803C3C"/>
    <w:rsid w:val="00805977"/>
    <w:rsid w:val="0080669B"/>
    <w:rsid w:val="00806D86"/>
    <w:rsid w:val="00820D9C"/>
    <w:rsid w:val="00825C9C"/>
    <w:rsid w:val="008300D6"/>
    <w:rsid w:val="00830997"/>
    <w:rsid w:val="00832445"/>
    <w:rsid w:val="00834654"/>
    <w:rsid w:val="00834CE0"/>
    <w:rsid w:val="00836616"/>
    <w:rsid w:val="00836671"/>
    <w:rsid w:val="00840837"/>
    <w:rsid w:val="0084125A"/>
    <w:rsid w:val="00841F9A"/>
    <w:rsid w:val="00846793"/>
    <w:rsid w:val="008505BF"/>
    <w:rsid w:val="0085222A"/>
    <w:rsid w:val="00852DE0"/>
    <w:rsid w:val="00854A8A"/>
    <w:rsid w:val="00854AAC"/>
    <w:rsid w:val="00857409"/>
    <w:rsid w:val="00857E1F"/>
    <w:rsid w:val="00864E1F"/>
    <w:rsid w:val="00864EF5"/>
    <w:rsid w:val="008676AA"/>
    <w:rsid w:val="00867DE3"/>
    <w:rsid w:val="008704AE"/>
    <w:rsid w:val="0087088D"/>
    <w:rsid w:val="008743A3"/>
    <w:rsid w:val="00876E01"/>
    <w:rsid w:val="008821A4"/>
    <w:rsid w:val="008825D0"/>
    <w:rsid w:val="00882CE1"/>
    <w:rsid w:val="008835CC"/>
    <w:rsid w:val="00885C71"/>
    <w:rsid w:val="00886B76"/>
    <w:rsid w:val="00891133"/>
    <w:rsid w:val="00891D20"/>
    <w:rsid w:val="0089532E"/>
    <w:rsid w:val="00895ABE"/>
    <w:rsid w:val="008965A8"/>
    <w:rsid w:val="008A0CAD"/>
    <w:rsid w:val="008A343D"/>
    <w:rsid w:val="008A3D3A"/>
    <w:rsid w:val="008A4656"/>
    <w:rsid w:val="008A78EA"/>
    <w:rsid w:val="008B040D"/>
    <w:rsid w:val="008B328C"/>
    <w:rsid w:val="008B6CD4"/>
    <w:rsid w:val="008B71D3"/>
    <w:rsid w:val="008C2449"/>
    <w:rsid w:val="008C71BD"/>
    <w:rsid w:val="008D0A91"/>
    <w:rsid w:val="008D165E"/>
    <w:rsid w:val="008D217D"/>
    <w:rsid w:val="008D3B3A"/>
    <w:rsid w:val="008D4715"/>
    <w:rsid w:val="008D644B"/>
    <w:rsid w:val="008D7635"/>
    <w:rsid w:val="008E0FAA"/>
    <w:rsid w:val="008E1FC1"/>
    <w:rsid w:val="008E24A4"/>
    <w:rsid w:val="008E3274"/>
    <w:rsid w:val="008E3E5D"/>
    <w:rsid w:val="008E478B"/>
    <w:rsid w:val="008F2C67"/>
    <w:rsid w:val="008F5785"/>
    <w:rsid w:val="008F5CD4"/>
    <w:rsid w:val="00900668"/>
    <w:rsid w:val="00900FC6"/>
    <w:rsid w:val="00901E18"/>
    <w:rsid w:val="009043D5"/>
    <w:rsid w:val="009057B1"/>
    <w:rsid w:val="0091072C"/>
    <w:rsid w:val="00911AF2"/>
    <w:rsid w:val="00913D0D"/>
    <w:rsid w:val="009168F8"/>
    <w:rsid w:val="00916A76"/>
    <w:rsid w:val="009202EB"/>
    <w:rsid w:val="009203F3"/>
    <w:rsid w:val="00924805"/>
    <w:rsid w:val="009278DC"/>
    <w:rsid w:val="00931144"/>
    <w:rsid w:val="0093252A"/>
    <w:rsid w:val="00933422"/>
    <w:rsid w:val="00933E05"/>
    <w:rsid w:val="009424B2"/>
    <w:rsid w:val="009504A1"/>
    <w:rsid w:val="00951957"/>
    <w:rsid w:val="00951978"/>
    <w:rsid w:val="0095215D"/>
    <w:rsid w:val="009537C4"/>
    <w:rsid w:val="00955BCB"/>
    <w:rsid w:val="00956467"/>
    <w:rsid w:val="00956B34"/>
    <w:rsid w:val="009628E9"/>
    <w:rsid w:val="00972F15"/>
    <w:rsid w:val="0097497B"/>
    <w:rsid w:val="00976C34"/>
    <w:rsid w:val="00986281"/>
    <w:rsid w:val="00992698"/>
    <w:rsid w:val="00993D17"/>
    <w:rsid w:val="00996FAB"/>
    <w:rsid w:val="009A1D61"/>
    <w:rsid w:val="009A27F3"/>
    <w:rsid w:val="009A4D6F"/>
    <w:rsid w:val="009A5089"/>
    <w:rsid w:val="009A5283"/>
    <w:rsid w:val="009B18EC"/>
    <w:rsid w:val="009B196B"/>
    <w:rsid w:val="009B1C4C"/>
    <w:rsid w:val="009B369B"/>
    <w:rsid w:val="009B68E9"/>
    <w:rsid w:val="009B70F9"/>
    <w:rsid w:val="009B7238"/>
    <w:rsid w:val="009B736D"/>
    <w:rsid w:val="009C16D2"/>
    <w:rsid w:val="009C3718"/>
    <w:rsid w:val="009C7ED2"/>
    <w:rsid w:val="009D0EF6"/>
    <w:rsid w:val="009D2331"/>
    <w:rsid w:val="009D32F0"/>
    <w:rsid w:val="009D3AB0"/>
    <w:rsid w:val="009D4E3D"/>
    <w:rsid w:val="009E1754"/>
    <w:rsid w:val="009E7330"/>
    <w:rsid w:val="009E7DD2"/>
    <w:rsid w:val="009F03EF"/>
    <w:rsid w:val="009F0ADC"/>
    <w:rsid w:val="009F0C41"/>
    <w:rsid w:val="009F1C37"/>
    <w:rsid w:val="009F6BFB"/>
    <w:rsid w:val="00A0304F"/>
    <w:rsid w:val="00A063BE"/>
    <w:rsid w:val="00A11692"/>
    <w:rsid w:val="00A12AC3"/>
    <w:rsid w:val="00A17C4B"/>
    <w:rsid w:val="00A20288"/>
    <w:rsid w:val="00A20C11"/>
    <w:rsid w:val="00A21365"/>
    <w:rsid w:val="00A2192B"/>
    <w:rsid w:val="00A22C7F"/>
    <w:rsid w:val="00A25B58"/>
    <w:rsid w:val="00A30DD9"/>
    <w:rsid w:val="00A33305"/>
    <w:rsid w:val="00A3369B"/>
    <w:rsid w:val="00A357E6"/>
    <w:rsid w:val="00A40328"/>
    <w:rsid w:val="00A40879"/>
    <w:rsid w:val="00A423D2"/>
    <w:rsid w:val="00A43B07"/>
    <w:rsid w:val="00A44593"/>
    <w:rsid w:val="00A4605E"/>
    <w:rsid w:val="00A46A8C"/>
    <w:rsid w:val="00A47466"/>
    <w:rsid w:val="00A50F28"/>
    <w:rsid w:val="00A530AE"/>
    <w:rsid w:val="00A5682D"/>
    <w:rsid w:val="00A6324E"/>
    <w:rsid w:val="00A64C31"/>
    <w:rsid w:val="00A651AB"/>
    <w:rsid w:val="00A719E4"/>
    <w:rsid w:val="00A725AF"/>
    <w:rsid w:val="00A729A9"/>
    <w:rsid w:val="00A7461C"/>
    <w:rsid w:val="00A74769"/>
    <w:rsid w:val="00A74B0C"/>
    <w:rsid w:val="00A81043"/>
    <w:rsid w:val="00A85463"/>
    <w:rsid w:val="00A92298"/>
    <w:rsid w:val="00A932BE"/>
    <w:rsid w:val="00A93667"/>
    <w:rsid w:val="00A96A8A"/>
    <w:rsid w:val="00A97630"/>
    <w:rsid w:val="00A97AB3"/>
    <w:rsid w:val="00AA1F37"/>
    <w:rsid w:val="00AB1BC7"/>
    <w:rsid w:val="00AB232E"/>
    <w:rsid w:val="00AB5106"/>
    <w:rsid w:val="00AB5EAA"/>
    <w:rsid w:val="00AC04D4"/>
    <w:rsid w:val="00AC78F3"/>
    <w:rsid w:val="00AC7DD3"/>
    <w:rsid w:val="00AD1149"/>
    <w:rsid w:val="00AD2B85"/>
    <w:rsid w:val="00AD2E93"/>
    <w:rsid w:val="00AD320B"/>
    <w:rsid w:val="00AE38A2"/>
    <w:rsid w:val="00AE6C07"/>
    <w:rsid w:val="00AE77B9"/>
    <w:rsid w:val="00AF3893"/>
    <w:rsid w:val="00AF4BD4"/>
    <w:rsid w:val="00AF78A3"/>
    <w:rsid w:val="00B029DC"/>
    <w:rsid w:val="00B02DCE"/>
    <w:rsid w:val="00B053B8"/>
    <w:rsid w:val="00B05874"/>
    <w:rsid w:val="00B06707"/>
    <w:rsid w:val="00B11457"/>
    <w:rsid w:val="00B11D61"/>
    <w:rsid w:val="00B122A8"/>
    <w:rsid w:val="00B13449"/>
    <w:rsid w:val="00B13A31"/>
    <w:rsid w:val="00B1516E"/>
    <w:rsid w:val="00B16B2A"/>
    <w:rsid w:val="00B2472A"/>
    <w:rsid w:val="00B33B58"/>
    <w:rsid w:val="00B355EF"/>
    <w:rsid w:val="00B36AC4"/>
    <w:rsid w:val="00B4179D"/>
    <w:rsid w:val="00B42783"/>
    <w:rsid w:val="00B45DAD"/>
    <w:rsid w:val="00B47084"/>
    <w:rsid w:val="00B524CB"/>
    <w:rsid w:val="00B5308D"/>
    <w:rsid w:val="00B55BB8"/>
    <w:rsid w:val="00B627D0"/>
    <w:rsid w:val="00B65F10"/>
    <w:rsid w:val="00B6700D"/>
    <w:rsid w:val="00B75EF6"/>
    <w:rsid w:val="00B77406"/>
    <w:rsid w:val="00B81C31"/>
    <w:rsid w:val="00B8221F"/>
    <w:rsid w:val="00B82D03"/>
    <w:rsid w:val="00B834D9"/>
    <w:rsid w:val="00B87AC2"/>
    <w:rsid w:val="00B9362E"/>
    <w:rsid w:val="00B93D52"/>
    <w:rsid w:val="00B9591F"/>
    <w:rsid w:val="00BA08F0"/>
    <w:rsid w:val="00BA0C61"/>
    <w:rsid w:val="00BA7342"/>
    <w:rsid w:val="00BB0DAB"/>
    <w:rsid w:val="00BB4B05"/>
    <w:rsid w:val="00BB69C2"/>
    <w:rsid w:val="00BB6AA5"/>
    <w:rsid w:val="00BC563A"/>
    <w:rsid w:val="00BC5EBA"/>
    <w:rsid w:val="00BC7510"/>
    <w:rsid w:val="00BC7F90"/>
    <w:rsid w:val="00BD0D33"/>
    <w:rsid w:val="00BD1924"/>
    <w:rsid w:val="00BD218E"/>
    <w:rsid w:val="00BD2E07"/>
    <w:rsid w:val="00BD4F26"/>
    <w:rsid w:val="00BD6B63"/>
    <w:rsid w:val="00BD7EAD"/>
    <w:rsid w:val="00BE0018"/>
    <w:rsid w:val="00BE0A5E"/>
    <w:rsid w:val="00BE1BD6"/>
    <w:rsid w:val="00BE2E46"/>
    <w:rsid w:val="00BE3042"/>
    <w:rsid w:val="00BF3FEE"/>
    <w:rsid w:val="00BF6460"/>
    <w:rsid w:val="00C02ADF"/>
    <w:rsid w:val="00C057D0"/>
    <w:rsid w:val="00C07269"/>
    <w:rsid w:val="00C1259E"/>
    <w:rsid w:val="00C133FB"/>
    <w:rsid w:val="00C16262"/>
    <w:rsid w:val="00C17D60"/>
    <w:rsid w:val="00C221B3"/>
    <w:rsid w:val="00C224DC"/>
    <w:rsid w:val="00C2439B"/>
    <w:rsid w:val="00C24CA4"/>
    <w:rsid w:val="00C24EC9"/>
    <w:rsid w:val="00C307BE"/>
    <w:rsid w:val="00C321E2"/>
    <w:rsid w:val="00C324BE"/>
    <w:rsid w:val="00C32C1A"/>
    <w:rsid w:val="00C37107"/>
    <w:rsid w:val="00C40F41"/>
    <w:rsid w:val="00C41954"/>
    <w:rsid w:val="00C441B3"/>
    <w:rsid w:val="00C53355"/>
    <w:rsid w:val="00C54C4C"/>
    <w:rsid w:val="00C60CD0"/>
    <w:rsid w:val="00C61BC8"/>
    <w:rsid w:val="00C63473"/>
    <w:rsid w:val="00C67A0D"/>
    <w:rsid w:val="00C725CD"/>
    <w:rsid w:val="00C731FB"/>
    <w:rsid w:val="00C74108"/>
    <w:rsid w:val="00C74783"/>
    <w:rsid w:val="00C75227"/>
    <w:rsid w:val="00C86351"/>
    <w:rsid w:val="00C94C98"/>
    <w:rsid w:val="00C96159"/>
    <w:rsid w:val="00CA0419"/>
    <w:rsid w:val="00CA2CFF"/>
    <w:rsid w:val="00CA404F"/>
    <w:rsid w:val="00CA589E"/>
    <w:rsid w:val="00CA6AB8"/>
    <w:rsid w:val="00CB1246"/>
    <w:rsid w:val="00CB371F"/>
    <w:rsid w:val="00CB69D3"/>
    <w:rsid w:val="00CC0F86"/>
    <w:rsid w:val="00CC3099"/>
    <w:rsid w:val="00CC4758"/>
    <w:rsid w:val="00CC68C8"/>
    <w:rsid w:val="00CD1A97"/>
    <w:rsid w:val="00CD21A2"/>
    <w:rsid w:val="00CD321C"/>
    <w:rsid w:val="00CD732F"/>
    <w:rsid w:val="00CE2511"/>
    <w:rsid w:val="00CE4BD6"/>
    <w:rsid w:val="00CE5812"/>
    <w:rsid w:val="00CE7CF9"/>
    <w:rsid w:val="00CF00E4"/>
    <w:rsid w:val="00CF3C58"/>
    <w:rsid w:val="00CF3DCD"/>
    <w:rsid w:val="00CF44A0"/>
    <w:rsid w:val="00D00D6F"/>
    <w:rsid w:val="00D02E87"/>
    <w:rsid w:val="00D078EC"/>
    <w:rsid w:val="00D11C26"/>
    <w:rsid w:val="00D165DB"/>
    <w:rsid w:val="00D2004C"/>
    <w:rsid w:val="00D232C4"/>
    <w:rsid w:val="00D238B2"/>
    <w:rsid w:val="00D24D11"/>
    <w:rsid w:val="00D256E3"/>
    <w:rsid w:val="00D25A2F"/>
    <w:rsid w:val="00D32E7A"/>
    <w:rsid w:val="00D34247"/>
    <w:rsid w:val="00D3458E"/>
    <w:rsid w:val="00D346E2"/>
    <w:rsid w:val="00D37653"/>
    <w:rsid w:val="00D379A9"/>
    <w:rsid w:val="00D470BE"/>
    <w:rsid w:val="00D47F83"/>
    <w:rsid w:val="00D51963"/>
    <w:rsid w:val="00D55E35"/>
    <w:rsid w:val="00D56C88"/>
    <w:rsid w:val="00D6160D"/>
    <w:rsid w:val="00D61648"/>
    <w:rsid w:val="00D6241F"/>
    <w:rsid w:val="00D63829"/>
    <w:rsid w:val="00D644A0"/>
    <w:rsid w:val="00D65898"/>
    <w:rsid w:val="00D6638E"/>
    <w:rsid w:val="00D71BD3"/>
    <w:rsid w:val="00D72748"/>
    <w:rsid w:val="00D7476C"/>
    <w:rsid w:val="00D75B12"/>
    <w:rsid w:val="00D76720"/>
    <w:rsid w:val="00D816C0"/>
    <w:rsid w:val="00D8224D"/>
    <w:rsid w:val="00D839FE"/>
    <w:rsid w:val="00D9012A"/>
    <w:rsid w:val="00D94332"/>
    <w:rsid w:val="00D94B56"/>
    <w:rsid w:val="00D9533F"/>
    <w:rsid w:val="00D95A75"/>
    <w:rsid w:val="00D96725"/>
    <w:rsid w:val="00D96842"/>
    <w:rsid w:val="00DA015A"/>
    <w:rsid w:val="00DA1228"/>
    <w:rsid w:val="00DA3D76"/>
    <w:rsid w:val="00DB0C48"/>
    <w:rsid w:val="00DB3020"/>
    <w:rsid w:val="00DB422F"/>
    <w:rsid w:val="00DB551B"/>
    <w:rsid w:val="00DB5E68"/>
    <w:rsid w:val="00DC0066"/>
    <w:rsid w:val="00DC1904"/>
    <w:rsid w:val="00DD2B4B"/>
    <w:rsid w:val="00DD2DD9"/>
    <w:rsid w:val="00DD4304"/>
    <w:rsid w:val="00DD5954"/>
    <w:rsid w:val="00DD60D8"/>
    <w:rsid w:val="00DD748B"/>
    <w:rsid w:val="00DE07AD"/>
    <w:rsid w:val="00DF2210"/>
    <w:rsid w:val="00DF3F1B"/>
    <w:rsid w:val="00DF59E2"/>
    <w:rsid w:val="00DF6424"/>
    <w:rsid w:val="00DF713E"/>
    <w:rsid w:val="00E04044"/>
    <w:rsid w:val="00E041B8"/>
    <w:rsid w:val="00E0484B"/>
    <w:rsid w:val="00E05793"/>
    <w:rsid w:val="00E05E80"/>
    <w:rsid w:val="00E06229"/>
    <w:rsid w:val="00E1266E"/>
    <w:rsid w:val="00E144F3"/>
    <w:rsid w:val="00E15281"/>
    <w:rsid w:val="00E15E2B"/>
    <w:rsid w:val="00E15F08"/>
    <w:rsid w:val="00E24A73"/>
    <w:rsid w:val="00E262F5"/>
    <w:rsid w:val="00E264AD"/>
    <w:rsid w:val="00E30B08"/>
    <w:rsid w:val="00E36180"/>
    <w:rsid w:val="00E37BCF"/>
    <w:rsid w:val="00E43C4C"/>
    <w:rsid w:val="00E50C58"/>
    <w:rsid w:val="00E535FF"/>
    <w:rsid w:val="00E54B16"/>
    <w:rsid w:val="00E54D7A"/>
    <w:rsid w:val="00E54DD4"/>
    <w:rsid w:val="00E56579"/>
    <w:rsid w:val="00E6045F"/>
    <w:rsid w:val="00E62D50"/>
    <w:rsid w:val="00E63C02"/>
    <w:rsid w:val="00E64F94"/>
    <w:rsid w:val="00E665F5"/>
    <w:rsid w:val="00E672C5"/>
    <w:rsid w:val="00E672F8"/>
    <w:rsid w:val="00E72F4D"/>
    <w:rsid w:val="00E736DE"/>
    <w:rsid w:val="00E77683"/>
    <w:rsid w:val="00E80C77"/>
    <w:rsid w:val="00E82AC3"/>
    <w:rsid w:val="00E84F59"/>
    <w:rsid w:val="00E8584D"/>
    <w:rsid w:val="00E9111C"/>
    <w:rsid w:val="00E92337"/>
    <w:rsid w:val="00E95877"/>
    <w:rsid w:val="00E95E95"/>
    <w:rsid w:val="00EA1BD9"/>
    <w:rsid w:val="00EA2AE6"/>
    <w:rsid w:val="00EA33C8"/>
    <w:rsid w:val="00EA41B6"/>
    <w:rsid w:val="00EA5B09"/>
    <w:rsid w:val="00EA5D45"/>
    <w:rsid w:val="00EB0603"/>
    <w:rsid w:val="00EB2106"/>
    <w:rsid w:val="00EB2A7F"/>
    <w:rsid w:val="00EC0288"/>
    <w:rsid w:val="00EC2C47"/>
    <w:rsid w:val="00EC2EB8"/>
    <w:rsid w:val="00EC56F6"/>
    <w:rsid w:val="00EC7510"/>
    <w:rsid w:val="00ED167C"/>
    <w:rsid w:val="00ED215E"/>
    <w:rsid w:val="00ED24A9"/>
    <w:rsid w:val="00ED27E7"/>
    <w:rsid w:val="00ED29D7"/>
    <w:rsid w:val="00ED4028"/>
    <w:rsid w:val="00ED4B41"/>
    <w:rsid w:val="00ED4C05"/>
    <w:rsid w:val="00ED7E25"/>
    <w:rsid w:val="00EE060C"/>
    <w:rsid w:val="00EE12AE"/>
    <w:rsid w:val="00EE1984"/>
    <w:rsid w:val="00EE4D7C"/>
    <w:rsid w:val="00EE4F42"/>
    <w:rsid w:val="00EE757F"/>
    <w:rsid w:val="00EF02BB"/>
    <w:rsid w:val="00F01B5B"/>
    <w:rsid w:val="00F07F85"/>
    <w:rsid w:val="00F1236A"/>
    <w:rsid w:val="00F12669"/>
    <w:rsid w:val="00F12814"/>
    <w:rsid w:val="00F133D8"/>
    <w:rsid w:val="00F14548"/>
    <w:rsid w:val="00F1704E"/>
    <w:rsid w:val="00F17BD5"/>
    <w:rsid w:val="00F203ED"/>
    <w:rsid w:val="00F20C69"/>
    <w:rsid w:val="00F20E91"/>
    <w:rsid w:val="00F22E6A"/>
    <w:rsid w:val="00F24C7E"/>
    <w:rsid w:val="00F2629B"/>
    <w:rsid w:val="00F26CA1"/>
    <w:rsid w:val="00F321B8"/>
    <w:rsid w:val="00F36531"/>
    <w:rsid w:val="00F4272A"/>
    <w:rsid w:val="00F46D34"/>
    <w:rsid w:val="00F5279D"/>
    <w:rsid w:val="00F5454C"/>
    <w:rsid w:val="00F56A5E"/>
    <w:rsid w:val="00F578B5"/>
    <w:rsid w:val="00F578BD"/>
    <w:rsid w:val="00F60405"/>
    <w:rsid w:val="00F6172C"/>
    <w:rsid w:val="00F64A2B"/>
    <w:rsid w:val="00F67BD4"/>
    <w:rsid w:val="00F702DE"/>
    <w:rsid w:val="00F70E94"/>
    <w:rsid w:val="00F74B47"/>
    <w:rsid w:val="00F81321"/>
    <w:rsid w:val="00F82DA2"/>
    <w:rsid w:val="00F86793"/>
    <w:rsid w:val="00F9008A"/>
    <w:rsid w:val="00F95A31"/>
    <w:rsid w:val="00F97B35"/>
    <w:rsid w:val="00FA24FE"/>
    <w:rsid w:val="00FA5196"/>
    <w:rsid w:val="00FA68C4"/>
    <w:rsid w:val="00FA77BE"/>
    <w:rsid w:val="00FA7873"/>
    <w:rsid w:val="00FB0D1E"/>
    <w:rsid w:val="00FB23A2"/>
    <w:rsid w:val="00FB2CF1"/>
    <w:rsid w:val="00FB38DE"/>
    <w:rsid w:val="00FB489D"/>
    <w:rsid w:val="00FB65B0"/>
    <w:rsid w:val="00FC2BF6"/>
    <w:rsid w:val="00FC52F2"/>
    <w:rsid w:val="00FC592F"/>
    <w:rsid w:val="00FC7548"/>
    <w:rsid w:val="00FD0880"/>
    <w:rsid w:val="00FD470F"/>
    <w:rsid w:val="00FD5B05"/>
    <w:rsid w:val="00FD5B36"/>
    <w:rsid w:val="00FD77BA"/>
    <w:rsid w:val="00FD7ED1"/>
    <w:rsid w:val="00FE0BB7"/>
    <w:rsid w:val="00FE18DB"/>
    <w:rsid w:val="00FE542C"/>
    <w:rsid w:val="00FE58D4"/>
    <w:rsid w:val="00FE59F7"/>
    <w:rsid w:val="00FF1B18"/>
    <w:rsid w:val="00FF48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911C2B"/>
  <w15:docId w15:val="{B5498A14-6190-4FF6-BC42-C0AA6FE3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F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696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A32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32A8"/>
    <w:rPr>
      <w:sz w:val="20"/>
      <w:szCs w:val="20"/>
    </w:rPr>
  </w:style>
  <w:style w:type="character" w:styleId="FootnoteReference">
    <w:name w:val="footnote reference"/>
    <w:basedOn w:val="DefaultParagraphFont"/>
    <w:uiPriority w:val="99"/>
    <w:semiHidden/>
    <w:unhideWhenUsed/>
    <w:rsid w:val="000A32A8"/>
    <w:rPr>
      <w:vertAlign w:val="superscript"/>
    </w:rPr>
  </w:style>
  <w:style w:type="paragraph" w:styleId="Caption">
    <w:name w:val="caption"/>
    <w:basedOn w:val="Normal"/>
    <w:next w:val="Normal"/>
    <w:uiPriority w:val="35"/>
    <w:unhideWhenUsed/>
    <w:qFormat/>
    <w:rsid w:val="00367D35"/>
    <w:pPr>
      <w:spacing w:line="240" w:lineRule="auto"/>
    </w:pPr>
    <w:rPr>
      <w:b/>
      <w:bCs/>
      <w:color w:val="4F81BD" w:themeColor="accent1"/>
      <w:sz w:val="18"/>
      <w:szCs w:val="18"/>
    </w:rPr>
  </w:style>
  <w:style w:type="paragraph" w:styleId="ListParagraph">
    <w:name w:val="List Paragraph"/>
    <w:basedOn w:val="Normal"/>
    <w:uiPriority w:val="34"/>
    <w:qFormat/>
    <w:rsid w:val="00BE0A5E"/>
    <w:pPr>
      <w:ind w:left="720"/>
      <w:contextualSpacing/>
    </w:pPr>
  </w:style>
  <w:style w:type="character" w:styleId="CommentReference">
    <w:name w:val="annotation reference"/>
    <w:basedOn w:val="DefaultParagraphFont"/>
    <w:uiPriority w:val="99"/>
    <w:semiHidden/>
    <w:unhideWhenUsed/>
    <w:rsid w:val="00EE757F"/>
    <w:rPr>
      <w:sz w:val="18"/>
      <w:szCs w:val="18"/>
    </w:rPr>
  </w:style>
  <w:style w:type="paragraph" w:styleId="CommentText">
    <w:name w:val="annotation text"/>
    <w:basedOn w:val="Normal"/>
    <w:link w:val="CommentTextChar"/>
    <w:uiPriority w:val="99"/>
    <w:semiHidden/>
    <w:unhideWhenUsed/>
    <w:rsid w:val="00EE757F"/>
    <w:pPr>
      <w:spacing w:line="240" w:lineRule="auto"/>
    </w:pPr>
    <w:rPr>
      <w:sz w:val="24"/>
      <w:szCs w:val="24"/>
    </w:rPr>
  </w:style>
  <w:style w:type="character" w:customStyle="1" w:styleId="CommentTextChar">
    <w:name w:val="Comment Text Char"/>
    <w:basedOn w:val="DefaultParagraphFont"/>
    <w:link w:val="CommentText"/>
    <w:uiPriority w:val="99"/>
    <w:semiHidden/>
    <w:rsid w:val="00EE757F"/>
    <w:rPr>
      <w:sz w:val="24"/>
      <w:szCs w:val="24"/>
    </w:rPr>
  </w:style>
  <w:style w:type="paragraph" w:styleId="CommentSubject">
    <w:name w:val="annotation subject"/>
    <w:basedOn w:val="CommentText"/>
    <w:next w:val="CommentText"/>
    <w:link w:val="CommentSubjectChar"/>
    <w:uiPriority w:val="99"/>
    <w:semiHidden/>
    <w:unhideWhenUsed/>
    <w:rsid w:val="00EE757F"/>
    <w:rPr>
      <w:b/>
      <w:bCs/>
      <w:sz w:val="20"/>
      <w:szCs w:val="20"/>
    </w:rPr>
  </w:style>
  <w:style w:type="character" w:customStyle="1" w:styleId="CommentSubjectChar">
    <w:name w:val="Comment Subject Char"/>
    <w:basedOn w:val="CommentTextChar"/>
    <w:link w:val="CommentSubject"/>
    <w:uiPriority w:val="99"/>
    <w:semiHidden/>
    <w:rsid w:val="00EE757F"/>
    <w:rPr>
      <w:b/>
      <w:bCs/>
      <w:sz w:val="20"/>
      <w:szCs w:val="20"/>
    </w:rPr>
  </w:style>
  <w:style w:type="paragraph" w:styleId="BalloonText">
    <w:name w:val="Balloon Text"/>
    <w:basedOn w:val="Normal"/>
    <w:link w:val="BalloonTextChar"/>
    <w:uiPriority w:val="99"/>
    <w:semiHidden/>
    <w:unhideWhenUsed/>
    <w:rsid w:val="00EE757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E757F"/>
    <w:rPr>
      <w:rFonts w:ascii="Lucida Grande" w:hAnsi="Lucida Grande" w:cs="Lucida Grande"/>
      <w:sz w:val="18"/>
      <w:szCs w:val="18"/>
    </w:rPr>
  </w:style>
  <w:style w:type="paragraph" w:styleId="Revision">
    <w:name w:val="Revision"/>
    <w:hidden/>
    <w:uiPriority w:val="99"/>
    <w:semiHidden/>
    <w:rsid w:val="00AE6C07"/>
    <w:pPr>
      <w:spacing w:after="0" w:line="240" w:lineRule="auto"/>
    </w:pPr>
  </w:style>
  <w:style w:type="character" w:styleId="Hyperlink">
    <w:name w:val="Hyperlink"/>
    <w:basedOn w:val="DefaultParagraphFont"/>
    <w:uiPriority w:val="99"/>
    <w:unhideWhenUsed/>
    <w:rsid w:val="004E22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52647">
      <w:bodyDiv w:val="1"/>
      <w:marLeft w:val="0"/>
      <w:marRight w:val="0"/>
      <w:marTop w:val="0"/>
      <w:marBottom w:val="0"/>
      <w:divBdr>
        <w:top w:val="none" w:sz="0" w:space="0" w:color="auto"/>
        <w:left w:val="none" w:sz="0" w:space="0" w:color="auto"/>
        <w:bottom w:val="none" w:sz="0" w:space="0" w:color="auto"/>
        <w:right w:val="none" w:sz="0" w:space="0" w:color="auto"/>
      </w:divBdr>
    </w:div>
    <w:div w:id="65736000">
      <w:bodyDiv w:val="1"/>
      <w:marLeft w:val="0"/>
      <w:marRight w:val="0"/>
      <w:marTop w:val="0"/>
      <w:marBottom w:val="0"/>
      <w:divBdr>
        <w:top w:val="none" w:sz="0" w:space="0" w:color="auto"/>
        <w:left w:val="none" w:sz="0" w:space="0" w:color="auto"/>
        <w:bottom w:val="none" w:sz="0" w:space="0" w:color="auto"/>
        <w:right w:val="none" w:sz="0" w:space="0" w:color="auto"/>
      </w:divBdr>
    </w:div>
    <w:div w:id="104666268">
      <w:bodyDiv w:val="1"/>
      <w:marLeft w:val="0"/>
      <w:marRight w:val="0"/>
      <w:marTop w:val="0"/>
      <w:marBottom w:val="0"/>
      <w:divBdr>
        <w:top w:val="none" w:sz="0" w:space="0" w:color="auto"/>
        <w:left w:val="none" w:sz="0" w:space="0" w:color="auto"/>
        <w:bottom w:val="none" w:sz="0" w:space="0" w:color="auto"/>
        <w:right w:val="none" w:sz="0" w:space="0" w:color="auto"/>
      </w:divBdr>
    </w:div>
    <w:div w:id="323167663">
      <w:bodyDiv w:val="1"/>
      <w:marLeft w:val="0"/>
      <w:marRight w:val="0"/>
      <w:marTop w:val="0"/>
      <w:marBottom w:val="0"/>
      <w:divBdr>
        <w:top w:val="none" w:sz="0" w:space="0" w:color="auto"/>
        <w:left w:val="none" w:sz="0" w:space="0" w:color="auto"/>
        <w:bottom w:val="none" w:sz="0" w:space="0" w:color="auto"/>
        <w:right w:val="none" w:sz="0" w:space="0" w:color="auto"/>
      </w:divBdr>
    </w:div>
    <w:div w:id="358051017">
      <w:bodyDiv w:val="1"/>
      <w:marLeft w:val="0"/>
      <w:marRight w:val="0"/>
      <w:marTop w:val="0"/>
      <w:marBottom w:val="0"/>
      <w:divBdr>
        <w:top w:val="none" w:sz="0" w:space="0" w:color="auto"/>
        <w:left w:val="none" w:sz="0" w:space="0" w:color="auto"/>
        <w:bottom w:val="none" w:sz="0" w:space="0" w:color="auto"/>
        <w:right w:val="none" w:sz="0" w:space="0" w:color="auto"/>
      </w:divBdr>
    </w:div>
    <w:div w:id="405807517">
      <w:bodyDiv w:val="1"/>
      <w:marLeft w:val="0"/>
      <w:marRight w:val="0"/>
      <w:marTop w:val="0"/>
      <w:marBottom w:val="0"/>
      <w:divBdr>
        <w:top w:val="none" w:sz="0" w:space="0" w:color="auto"/>
        <w:left w:val="none" w:sz="0" w:space="0" w:color="auto"/>
        <w:bottom w:val="none" w:sz="0" w:space="0" w:color="auto"/>
        <w:right w:val="none" w:sz="0" w:space="0" w:color="auto"/>
      </w:divBdr>
    </w:div>
    <w:div w:id="442504361">
      <w:bodyDiv w:val="1"/>
      <w:marLeft w:val="0"/>
      <w:marRight w:val="0"/>
      <w:marTop w:val="0"/>
      <w:marBottom w:val="0"/>
      <w:divBdr>
        <w:top w:val="none" w:sz="0" w:space="0" w:color="auto"/>
        <w:left w:val="none" w:sz="0" w:space="0" w:color="auto"/>
        <w:bottom w:val="none" w:sz="0" w:space="0" w:color="auto"/>
        <w:right w:val="none" w:sz="0" w:space="0" w:color="auto"/>
      </w:divBdr>
    </w:div>
    <w:div w:id="489760991">
      <w:bodyDiv w:val="1"/>
      <w:marLeft w:val="0"/>
      <w:marRight w:val="0"/>
      <w:marTop w:val="0"/>
      <w:marBottom w:val="0"/>
      <w:divBdr>
        <w:top w:val="none" w:sz="0" w:space="0" w:color="auto"/>
        <w:left w:val="none" w:sz="0" w:space="0" w:color="auto"/>
        <w:bottom w:val="none" w:sz="0" w:space="0" w:color="auto"/>
        <w:right w:val="none" w:sz="0" w:space="0" w:color="auto"/>
      </w:divBdr>
    </w:div>
    <w:div w:id="498888709">
      <w:bodyDiv w:val="1"/>
      <w:marLeft w:val="0"/>
      <w:marRight w:val="0"/>
      <w:marTop w:val="0"/>
      <w:marBottom w:val="0"/>
      <w:divBdr>
        <w:top w:val="none" w:sz="0" w:space="0" w:color="auto"/>
        <w:left w:val="none" w:sz="0" w:space="0" w:color="auto"/>
        <w:bottom w:val="none" w:sz="0" w:space="0" w:color="auto"/>
        <w:right w:val="none" w:sz="0" w:space="0" w:color="auto"/>
      </w:divBdr>
    </w:div>
    <w:div w:id="507477118">
      <w:bodyDiv w:val="1"/>
      <w:marLeft w:val="0"/>
      <w:marRight w:val="0"/>
      <w:marTop w:val="0"/>
      <w:marBottom w:val="0"/>
      <w:divBdr>
        <w:top w:val="none" w:sz="0" w:space="0" w:color="auto"/>
        <w:left w:val="none" w:sz="0" w:space="0" w:color="auto"/>
        <w:bottom w:val="none" w:sz="0" w:space="0" w:color="auto"/>
        <w:right w:val="none" w:sz="0" w:space="0" w:color="auto"/>
      </w:divBdr>
    </w:div>
    <w:div w:id="515655183">
      <w:bodyDiv w:val="1"/>
      <w:marLeft w:val="0"/>
      <w:marRight w:val="0"/>
      <w:marTop w:val="0"/>
      <w:marBottom w:val="0"/>
      <w:divBdr>
        <w:top w:val="none" w:sz="0" w:space="0" w:color="auto"/>
        <w:left w:val="none" w:sz="0" w:space="0" w:color="auto"/>
        <w:bottom w:val="none" w:sz="0" w:space="0" w:color="auto"/>
        <w:right w:val="none" w:sz="0" w:space="0" w:color="auto"/>
      </w:divBdr>
    </w:div>
    <w:div w:id="584801403">
      <w:bodyDiv w:val="1"/>
      <w:marLeft w:val="0"/>
      <w:marRight w:val="0"/>
      <w:marTop w:val="0"/>
      <w:marBottom w:val="0"/>
      <w:divBdr>
        <w:top w:val="none" w:sz="0" w:space="0" w:color="auto"/>
        <w:left w:val="none" w:sz="0" w:space="0" w:color="auto"/>
        <w:bottom w:val="none" w:sz="0" w:space="0" w:color="auto"/>
        <w:right w:val="none" w:sz="0" w:space="0" w:color="auto"/>
      </w:divBdr>
    </w:div>
    <w:div w:id="721363526">
      <w:bodyDiv w:val="1"/>
      <w:marLeft w:val="0"/>
      <w:marRight w:val="0"/>
      <w:marTop w:val="0"/>
      <w:marBottom w:val="0"/>
      <w:divBdr>
        <w:top w:val="none" w:sz="0" w:space="0" w:color="auto"/>
        <w:left w:val="none" w:sz="0" w:space="0" w:color="auto"/>
        <w:bottom w:val="none" w:sz="0" w:space="0" w:color="auto"/>
        <w:right w:val="none" w:sz="0" w:space="0" w:color="auto"/>
      </w:divBdr>
    </w:div>
    <w:div w:id="747115847">
      <w:bodyDiv w:val="1"/>
      <w:marLeft w:val="0"/>
      <w:marRight w:val="0"/>
      <w:marTop w:val="0"/>
      <w:marBottom w:val="0"/>
      <w:divBdr>
        <w:top w:val="none" w:sz="0" w:space="0" w:color="auto"/>
        <w:left w:val="none" w:sz="0" w:space="0" w:color="auto"/>
        <w:bottom w:val="none" w:sz="0" w:space="0" w:color="auto"/>
        <w:right w:val="none" w:sz="0" w:space="0" w:color="auto"/>
      </w:divBdr>
    </w:div>
    <w:div w:id="890655275">
      <w:bodyDiv w:val="1"/>
      <w:marLeft w:val="0"/>
      <w:marRight w:val="0"/>
      <w:marTop w:val="0"/>
      <w:marBottom w:val="0"/>
      <w:divBdr>
        <w:top w:val="none" w:sz="0" w:space="0" w:color="auto"/>
        <w:left w:val="none" w:sz="0" w:space="0" w:color="auto"/>
        <w:bottom w:val="none" w:sz="0" w:space="0" w:color="auto"/>
        <w:right w:val="none" w:sz="0" w:space="0" w:color="auto"/>
      </w:divBdr>
    </w:div>
    <w:div w:id="921181281">
      <w:bodyDiv w:val="1"/>
      <w:marLeft w:val="0"/>
      <w:marRight w:val="0"/>
      <w:marTop w:val="0"/>
      <w:marBottom w:val="0"/>
      <w:divBdr>
        <w:top w:val="none" w:sz="0" w:space="0" w:color="auto"/>
        <w:left w:val="none" w:sz="0" w:space="0" w:color="auto"/>
        <w:bottom w:val="none" w:sz="0" w:space="0" w:color="auto"/>
        <w:right w:val="none" w:sz="0" w:space="0" w:color="auto"/>
      </w:divBdr>
    </w:div>
    <w:div w:id="1093472720">
      <w:bodyDiv w:val="1"/>
      <w:marLeft w:val="0"/>
      <w:marRight w:val="0"/>
      <w:marTop w:val="0"/>
      <w:marBottom w:val="0"/>
      <w:divBdr>
        <w:top w:val="none" w:sz="0" w:space="0" w:color="auto"/>
        <w:left w:val="none" w:sz="0" w:space="0" w:color="auto"/>
        <w:bottom w:val="none" w:sz="0" w:space="0" w:color="auto"/>
        <w:right w:val="none" w:sz="0" w:space="0" w:color="auto"/>
      </w:divBdr>
    </w:div>
    <w:div w:id="1152214520">
      <w:bodyDiv w:val="1"/>
      <w:marLeft w:val="0"/>
      <w:marRight w:val="0"/>
      <w:marTop w:val="0"/>
      <w:marBottom w:val="0"/>
      <w:divBdr>
        <w:top w:val="none" w:sz="0" w:space="0" w:color="auto"/>
        <w:left w:val="none" w:sz="0" w:space="0" w:color="auto"/>
        <w:bottom w:val="none" w:sz="0" w:space="0" w:color="auto"/>
        <w:right w:val="none" w:sz="0" w:space="0" w:color="auto"/>
      </w:divBdr>
    </w:div>
    <w:div w:id="1269578334">
      <w:bodyDiv w:val="1"/>
      <w:marLeft w:val="0"/>
      <w:marRight w:val="0"/>
      <w:marTop w:val="0"/>
      <w:marBottom w:val="0"/>
      <w:divBdr>
        <w:top w:val="none" w:sz="0" w:space="0" w:color="auto"/>
        <w:left w:val="none" w:sz="0" w:space="0" w:color="auto"/>
        <w:bottom w:val="none" w:sz="0" w:space="0" w:color="auto"/>
        <w:right w:val="none" w:sz="0" w:space="0" w:color="auto"/>
      </w:divBdr>
    </w:div>
    <w:div w:id="1287616225">
      <w:bodyDiv w:val="1"/>
      <w:marLeft w:val="0"/>
      <w:marRight w:val="0"/>
      <w:marTop w:val="0"/>
      <w:marBottom w:val="0"/>
      <w:divBdr>
        <w:top w:val="none" w:sz="0" w:space="0" w:color="auto"/>
        <w:left w:val="none" w:sz="0" w:space="0" w:color="auto"/>
        <w:bottom w:val="none" w:sz="0" w:space="0" w:color="auto"/>
        <w:right w:val="none" w:sz="0" w:space="0" w:color="auto"/>
      </w:divBdr>
    </w:div>
    <w:div w:id="1363634578">
      <w:bodyDiv w:val="1"/>
      <w:marLeft w:val="0"/>
      <w:marRight w:val="0"/>
      <w:marTop w:val="0"/>
      <w:marBottom w:val="0"/>
      <w:divBdr>
        <w:top w:val="none" w:sz="0" w:space="0" w:color="auto"/>
        <w:left w:val="none" w:sz="0" w:space="0" w:color="auto"/>
        <w:bottom w:val="none" w:sz="0" w:space="0" w:color="auto"/>
        <w:right w:val="none" w:sz="0" w:space="0" w:color="auto"/>
      </w:divBdr>
    </w:div>
    <w:div w:id="1409965319">
      <w:bodyDiv w:val="1"/>
      <w:marLeft w:val="0"/>
      <w:marRight w:val="0"/>
      <w:marTop w:val="0"/>
      <w:marBottom w:val="0"/>
      <w:divBdr>
        <w:top w:val="none" w:sz="0" w:space="0" w:color="auto"/>
        <w:left w:val="none" w:sz="0" w:space="0" w:color="auto"/>
        <w:bottom w:val="none" w:sz="0" w:space="0" w:color="auto"/>
        <w:right w:val="none" w:sz="0" w:space="0" w:color="auto"/>
      </w:divBdr>
    </w:div>
    <w:div w:id="1499541262">
      <w:bodyDiv w:val="1"/>
      <w:marLeft w:val="0"/>
      <w:marRight w:val="0"/>
      <w:marTop w:val="0"/>
      <w:marBottom w:val="0"/>
      <w:divBdr>
        <w:top w:val="none" w:sz="0" w:space="0" w:color="auto"/>
        <w:left w:val="none" w:sz="0" w:space="0" w:color="auto"/>
        <w:bottom w:val="none" w:sz="0" w:space="0" w:color="auto"/>
        <w:right w:val="none" w:sz="0" w:space="0" w:color="auto"/>
      </w:divBdr>
    </w:div>
    <w:div w:id="1529221401">
      <w:bodyDiv w:val="1"/>
      <w:marLeft w:val="0"/>
      <w:marRight w:val="0"/>
      <w:marTop w:val="0"/>
      <w:marBottom w:val="0"/>
      <w:divBdr>
        <w:top w:val="none" w:sz="0" w:space="0" w:color="auto"/>
        <w:left w:val="none" w:sz="0" w:space="0" w:color="auto"/>
        <w:bottom w:val="none" w:sz="0" w:space="0" w:color="auto"/>
        <w:right w:val="none" w:sz="0" w:space="0" w:color="auto"/>
      </w:divBdr>
    </w:div>
    <w:div w:id="1603798130">
      <w:bodyDiv w:val="1"/>
      <w:marLeft w:val="0"/>
      <w:marRight w:val="0"/>
      <w:marTop w:val="0"/>
      <w:marBottom w:val="0"/>
      <w:divBdr>
        <w:top w:val="none" w:sz="0" w:space="0" w:color="auto"/>
        <w:left w:val="none" w:sz="0" w:space="0" w:color="auto"/>
        <w:bottom w:val="none" w:sz="0" w:space="0" w:color="auto"/>
        <w:right w:val="none" w:sz="0" w:space="0" w:color="auto"/>
      </w:divBdr>
    </w:div>
    <w:div w:id="1607887623">
      <w:bodyDiv w:val="1"/>
      <w:marLeft w:val="0"/>
      <w:marRight w:val="0"/>
      <w:marTop w:val="0"/>
      <w:marBottom w:val="0"/>
      <w:divBdr>
        <w:top w:val="none" w:sz="0" w:space="0" w:color="auto"/>
        <w:left w:val="none" w:sz="0" w:space="0" w:color="auto"/>
        <w:bottom w:val="none" w:sz="0" w:space="0" w:color="auto"/>
        <w:right w:val="none" w:sz="0" w:space="0" w:color="auto"/>
      </w:divBdr>
    </w:div>
    <w:div w:id="1697005398">
      <w:bodyDiv w:val="1"/>
      <w:marLeft w:val="0"/>
      <w:marRight w:val="0"/>
      <w:marTop w:val="0"/>
      <w:marBottom w:val="0"/>
      <w:divBdr>
        <w:top w:val="none" w:sz="0" w:space="0" w:color="auto"/>
        <w:left w:val="none" w:sz="0" w:space="0" w:color="auto"/>
        <w:bottom w:val="none" w:sz="0" w:space="0" w:color="auto"/>
        <w:right w:val="none" w:sz="0" w:space="0" w:color="auto"/>
      </w:divBdr>
    </w:div>
    <w:div w:id="1710689236">
      <w:bodyDiv w:val="1"/>
      <w:marLeft w:val="0"/>
      <w:marRight w:val="0"/>
      <w:marTop w:val="0"/>
      <w:marBottom w:val="0"/>
      <w:divBdr>
        <w:top w:val="none" w:sz="0" w:space="0" w:color="auto"/>
        <w:left w:val="none" w:sz="0" w:space="0" w:color="auto"/>
        <w:bottom w:val="none" w:sz="0" w:space="0" w:color="auto"/>
        <w:right w:val="none" w:sz="0" w:space="0" w:color="auto"/>
      </w:divBdr>
    </w:div>
    <w:div w:id="1766150805">
      <w:bodyDiv w:val="1"/>
      <w:marLeft w:val="0"/>
      <w:marRight w:val="0"/>
      <w:marTop w:val="0"/>
      <w:marBottom w:val="0"/>
      <w:divBdr>
        <w:top w:val="none" w:sz="0" w:space="0" w:color="auto"/>
        <w:left w:val="none" w:sz="0" w:space="0" w:color="auto"/>
        <w:bottom w:val="none" w:sz="0" w:space="0" w:color="auto"/>
        <w:right w:val="none" w:sz="0" w:space="0" w:color="auto"/>
      </w:divBdr>
    </w:div>
    <w:div w:id="1783039539">
      <w:bodyDiv w:val="1"/>
      <w:marLeft w:val="0"/>
      <w:marRight w:val="0"/>
      <w:marTop w:val="0"/>
      <w:marBottom w:val="0"/>
      <w:divBdr>
        <w:top w:val="none" w:sz="0" w:space="0" w:color="auto"/>
        <w:left w:val="none" w:sz="0" w:space="0" w:color="auto"/>
        <w:bottom w:val="none" w:sz="0" w:space="0" w:color="auto"/>
        <w:right w:val="none" w:sz="0" w:space="0" w:color="auto"/>
      </w:divBdr>
    </w:div>
    <w:div w:id="1784573439">
      <w:bodyDiv w:val="1"/>
      <w:marLeft w:val="0"/>
      <w:marRight w:val="0"/>
      <w:marTop w:val="0"/>
      <w:marBottom w:val="0"/>
      <w:divBdr>
        <w:top w:val="none" w:sz="0" w:space="0" w:color="auto"/>
        <w:left w:val="none" w:sz="0" w:space="0" w:color="auto"/>
        <w:bottom w:val="none" w:sz="0" w:space="0" w:color="auto"/>
        <w:right w:val="none" w:sz="0" w:space="0" w:color="auto"/>
      </w:divBdr>
    </w:div>
    <w:div w:id="1795824838">
      <w:bodyDiv w:val="1"/>
      <w:marLeft w:val="0"/>
      <w:marRight w:val="0"/>
      <w:marTop w:val="0"/>
      <w:marBottom w:val="0"/>
      <w:divBdr>
        <w:top w:val="none" w:sz="0" w:space="0" w:color="auto"/>
        <w:left w:val="none" w:sz="0" w:space="0" w:color="auto"/>
        <w:bottom w:val="none" w:sz="0" w:space="0" w:color="auto"/>
        <w:right w:val="none" w:sz="0" w:space="0" w:color="auto"/>
      </w:divBdr>
    </w:div>
    <w:div w:id="1796219938">
      <w:bodyDiv w:val="1"/>
      <w:marLeft w:val="0"/>
      <w:marRight w:val="0"/>
      <w:marTop w:val="0"/>
      <w:marBottom w:val="0"/>
      <w:divBdr>
        <w:top w:val="none" w:sz="0" w:space="0" w:color="auto"/>
        <w:left w:val="none" w:sz="0" w:space="0" w:color="auto"/>
        <w:bottom w:val="none" w:sz="0" w:space="0" w:color="auto"/>
        <w:right w:val="none" w:sz="0" w:space="0" w:color="auto"/>
      </w:divBdr>
    </w:div>
    <w:div w:id="1819960728">
      <w:bodyDiv w:val="1"/>
      <w:marLeft w:val="0"/>
      <w:marRight w:val="0"/>
      <w:marTop w:val="0"/>
      <w:marBottom w:val="0"/>
      <w:divBdr>
        <w:top w:val="none" w:sz="0" w:space="0" w:color="auto"/>
        <w:left w:val="none" w:sz="0" w:space="0" w:color="auto"/>
        <w:bottom w:val="none" w:sz="0" w:space="0" w:color="auto"/>
        <w:right w:val="none" w:sz="0" w:space="0" w:color="auto"/>
      </w:divBdr>
    </w:div>
    <w:div w:id="1898319215">
      <w:bodyDiv w:val="1"/>
      <w:marLeft w:val="0"/>
      <w:marRight w:val="0"/>
      <w:marTop w:val="0"/>
      <w:marBottom w:val="0"/>
      <w:divBdr>
        <w:top w:val="none" w:sz="0" w:space="0" w:color="auto"/>
        <w:left w:val="none" w:sz="0" w:space="0" w:color="auto"/>
        <w:bottom w:val="none" w:sz="0" w:space="0" w:color="auto"/>
        <w:right w:val="none" w:sz="0" w:space="0" w:color="auto"/>
      </w:divBdr>
    </w:div>
    <w:div w:id="1923486253">
      <w:bodyDiv w:val="1"/>
      <w:marLeft w:val="0"/>
      <w:marRight w:val="0"/>
      <w:marTop w:val="0"/>
      <w:marBottom w:val="0"/>
      <w:divBdr>
        <w:top w:val="none" w:sz="0" w:space="0" w:color="auto"/>
        <w:left w:val="none" w:sz="0" w:space="0" w:color="auto"/>
        <w:bottom w:val="none" w:sz="0" w:space="0" w:color="auto"/>
        <w:right w:val="none" w:sz="0" w:space="0" w:color="auto"/>
      </w:divBdr>
    </w:div>
    <w:div w:id="1940215523">
      <w:bodyDiv w:val="1"/>
      <w:marLeft w:val="0"/>
      <w:marRight w:val="0"/>
      <w:marTop w:val="0"/>
      <w:marBottom w:val="0"/>
      <w:divBdr>
        <w:top w:val="none" w:sz="0" w:space="0" w:color="auto"/>
        <w:left w:val="none" w:sz="0" w:space="0" w:color="auto"/>
        <w:bottom w:val="none" w:sz="0" w:space="0" w:color="auto"/>
        <w:right w:val="none" w:sz="0" w:space="0" w:color="auto"/>
      </w:divBdr>
    </w:div>
    <w:div w:id="1989312381">
      <w:bodyDiv w:val="1"/>
      <w:marLeft w:val="0"/>
      <w:marRight w:val="0"/>
      <w:marTop w:val="0"/>
      <w:marBottom w:val="0"/>
      <w:divBdr>
        <w:top w:val="none" w:sz="0" w:space="0" w:color="auto"/>
        <w:left w:val="none" w:sz="0" w:space="0" w:color="auto"/>
        <w:bottom w:val="none" w:sz="0" w:space="0" w:color="auto"/>
        <w:right w:val="none" w:sz="0" w:space="0" w:color="auto"/>
      </w:divBdr>
    </w:div>
    <w:div w:id="211714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employers.org/gms201718" TargetMode="External"/><Relationship Id="rId13" Type="http://schemas.openxmlformats.org/officeDocument/2006/relationships/hyperlink" Target="https://www.ons.gov.uk/peoplepopulationandcommunity/populationandmigration/populationestimates/bulletins/annualmidyearpopulationestimates/mid20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tent.digital.nhs.uk/hrg" TargetMode="Externa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s.gov.uk/peoplepopulationandcommunity/birthsdeathsandmarriages/death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statistics/english-indices-of-deprivation-2015" TargetMode="External"/><Relationship Id="rId4" Type="http://schemas.openxmlformats.org/officeDocument/2006/relationships/settings" Target="settings.xml"/><Relationship Id="rId9" Type="http://schemas.openxmlformats.org/officeDocument/2006/relationships/hyperlink" Target="https://digital.nhs.uk/data-services/hospital-episode-statisti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84D8D-2945-4881-A073-6C5F2CCFD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4771</Words>
  <Characters>27201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31909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 L.</dc:creator>
  <cp:lastModifiedBy>Han, L.</cp:lastModifiedBy>
  <cp:revision>11</cp:revision>
  <cp:lastPrinted>2018-08-08T13:04:00Z</cp:lastPrinted>
  <dcterms:created xsi:type="dcterms:W3CDTF">2019-04-29T10:39:00Z</dcterms:created>
  <dcterms:modified xsi:type="dcterms:W3CDTF">2019-05-01T11:38:00Z</dcterms:modified>
</cp:coreProperties>
</file>