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2F1" w:rsidRDefault="005E12F1" w:rsidP="005E12F1">
      <w:pPr>
        <w:pStyle w:val="Heading1"/>
        <w:rPr>
          <w:rFonts w:eastAsia="Times New Roman"/>
          <w:lang w:eastAsia="en-GB"/>
        </w:rPr>
      </w:pPr>
      <w:r w:rsidRPr="00CC2C9B">
        <w:rPr>
          <w:rFonts w:eastAsia="Times New Roman"/>
          <w:lang w:eastAsia="en-GB"/>
        </w:rPr>
        <w:t>I</w:t>
      </w:r>
      <w:r>
        <w:rPr>
          <w:rFonts w:eastAsia="Times New Roman"/>
          <w:lang w:eastAsia="en-GB"/>
        </w:rPr>
        <w:t>ncorporat</w:t>
      </w:r>
      <w:r w:rsidRPr="00CC2C9B">
        <w:rPr>
          <w:rFonts w:eastAsia="Times New Roman"/>
          <w:lang w:eastAsia="en-GB"/>
        </w:rPr>
        <w:t>ing affordability concerns within cost-effectiveness analysis for health tech</w:t>
      </w:r>
      <w:r>
        <w:rPr>
          <w:rFonts w:eastAsia="Times New Roman"/>
          <w:lang w:eastAsia="en-GB"/>
        </w:rPr>
        <w:t>nology assessment</w:t>
      </w:r>
    </w:p>
    <w:p w:rsidR="005E12F1" w:rsidRPr="00D113E0" w:rsidRDefault="005E12F1" w:rsidP="005E12F1">
      <w:pPr>
        <w:rPr>
          <w:lang w:eastAsia="en-GB"/>
        </w:rPr>
      </w:pPr>
      <w:r>
        <w:rPr>
          <w:lang w:eastAsia="en-GB"/>
        </w:rPr>
        <w:t>James Lomas, Centre for Health Economics, University of York</w:t>
      </w:r>
    </w:p>
    <w:p w:rsidR="005E12F1" w:rsidRDefault="005E12F1" w:rsidP="005E12F1">
      <w:pPr>
        <w:pStyle w:val="Heading2"/>
      </w:pPr>
      <w:r>
        <w:t>Abstract</w:t>
      </w:r>
    </w:p>
    <w:p w:rsidR="005E12F1" w:rsidRPr="00B34684" w:rsidRDefault="005E12F1" w:rsidP="005E12F1">
      <w:r>
        <w:rPr>
          <w:rFonts w:ascii="Calibri" w:hAnsi="Calibri"/>
          <w:color w:val="000000"/>
          <w:shd w:val="clear" w:color="auto" w:fill="FFFFFF"/>
        </w:rPr>
        <w:t>Recent policy developments and journal articles have emphasised a divergence: when interventions are found to be cost-effective but unaffordable. From the perspective that being cost-effective implies producing a benefit over and above the opportunity cost we argue that these conflicting results make little sense. Rather, this apparent paradox reflects a conventional practice of cost-effectiveness analysis that does not properly evaluate the opportunity costs of an intervention that imposes non-marginal costs on the health care system. This paper presents a framework by which concerns for affordability can be appropriately incorporated within cost-effectiveness analysis and highlights important methodological and policy implications. In addition, key parameters and relationships are identified within this framework that require further empirical research.</w:t>
      </w:r>
    </w:p>
    <w:p w:rsidR="009E63E8" w:rsidRDefault="009E63E8" w:rsidP="009E6AC4">
      <w:pPr>
        <w:pStyle w:val="Heading2"/>
      </w:pPr>
      <w:r>
        <w:t>Background</w:t>
      </w:r>
    </w:p>
    <w:p w:rsidR="002151BD" w:rsidRDefault="00F12D30">
      <w:r>
        <w:t>A number of recent articles have highlighted concerns around affordability of new technologies as a challenge to the role of cost-effectiveness analysis (CEA) in informing health technology assessment (HTA), both in the context of low- and middle-income countries</w:t>
      </w:r>
      <w:r>
        <w:fldChar w:fldCharType="begin" w:fldLock="1"/>
      </w:r>
      <w:r w:rsidR="00DE3E86">
        <w:instrText>ADDIN CSL_CITATION {"citationItems":[{"id":"ITEM-1","itemData":{"DOI":"10.1371/journal.pmed.1002397","ISSN":"1549-1676","abstract":"Potential cost-effective barriers in cost-effectiveness studies mean that budgetary impact analyses should also be included in post-2015 Sustainable Development Goal projects says Joshua Salomon and colleagues.","author":[{"dropping-particle":"","family":"Bilinski","given":"Alyssa","non-dropping-particle":"","parse-names":false,"suffix":""},{"dropping-particle":"","family":"Neumann","given":"Peter","non-dropping-particle":"","parse-names":false,"suffix":""},{"dropping-particle":"","family":"Cohen","given":"Joshua","non-dropping-particle":"","parse-names":false,"suffix":""},{"dropping-particle":"","family":"Thorat","given":"Teja","non-dropping-particle":"","parse-names":false,"suffix":""},{"dropping-particle":"","family":"McDaniel","given":"Katherine","non-dropping-particle":"","parse-names":false,"suffix":""},{"dropping-particle":"","family":"Salomon","given":"Joshua A.","non-dropping-particle":"","parse-names":false,"suffix":""}],"container-title":"PLOS Medicine","id":"ITEM-1","issue":"10","issued":{"date-parts":[["2017","10","2"]]},"page":"e1002397","publisher":"Public Library of Science","title":"When cost-effective interventions are unaffordable: Integrating cost-effectiveness and budget impact in priority setting for global health programs","type":"article-journal","volume":"14"},"uris":["http://www.mendeley.com/documents/?uuid=b6c01a22-9836-3771-97e8-fe57851df627"]}],"mendeley":{"formattedCitation":"&lt;sup&gt;1&lt;/sup&gt;","plainTextFormattedCitation":"1","previouslyFormattedCitation":"&lt;sup&gt;1&lt;/sup&gt;"},"properties":{"noteIndex":0},"schema":"https://github.com/citation-style-language/schema/raw/master/csl-citation.json"}</w:instrText>
      </w:r>
      <w:r>
        <w:fldChar w:fldCharType="separate"/>
      </w:r>
      <w:r w:rsidR="00DE3E86" w:rsidRPr="00DE3E86">
        <w:rPr>
          <w:noProof/>
          <w:vertAlign w:val="superscript"/>
        </w:rPr>
        <w:t>1</w:t>
      </w:r>
      <w:r>
        <w:fldChar w:fldCharType="end"/>
      </w:r>
      <w:r>
        <w:t xml:space="preserve"> and high income countries, such as the UK and USA.</w:t>
      </w:r>
      <w:r w:rsidR="00DE3E86">
        <w:fldChar w:fldCharType="begin" w:fldLock="1"/>
      </w:r>
      <w:r w:rsidR="00DE3E86">
        <w:instrText>ADDIN CSL_CITATION {"citationItems":[{"id":"ITEM-1","itemData":{"DOI":"10.1136/BMJ.J1402","ISSN":"1756-1833","PMID":"28330879","abstract":"New “budget impact test” is an unpopular and flawed attempt to solve a fundamentally political problem\n\nWith hospital wards overflowing and trusts in deficit, the introduction of cost effective but expensive new technologies places increasing strain on NHS finances. The National Institute for Health and Care Excellence (NICE) and NHS England plan to tackle this problem by delaying the introduction of interventions with a “high budget impact.”1 The change may deliver short term savings but is flawed.\n\nWhat prompted the new policy? In 2015 NICE recommended the use of several new drugs for hepatitis C.2 Although they were judged clinically useful and cost effective, NHS England considered them unaffordable, with annual costs of between £700m and £1bn, and delayed adoption.34\n\nFrom 1 April 2017, the current requirement to fund NICE recommended technologies within 90 days will not apply for those with annual costs that exceed £20m (€23m; $24m).1 Instead, NHS England will be granted up to three years—longer in exceptional circumstances—to conduct commercial negotiations.1 As a result, patient access to some new technologies will be substantially slowed.\n\nViews expressed during the consultation on this policy were far from supportive. Respondents recognised the …","author":[{"dropping-particle":"","family":"Charlton","given":"Victoria","non-dropping-particle":"","parse-names":false,"suffix":""},{"dropping-particle":"","family":"Littlejohns","given":"Peter","non-dropping-particle":"","parse-names":false,"suffix":""},{"dropping-particle":"","family":"Kieslich","given":"Katharina","non-dropping-particle":"","parse-names":false,"suffix":""},{"dropping-particle":"","family":"Mitchell","given":"Polly","non-dropping-particle":"","parse-names":false,"suffix":""},{"dropping-particle":"","family":"Rumbold","given":"Benedict","non-dropping-particle":"","parse-names":false,"suffix":""},{"dropping-particle":"","family":"Weale","given":"Albert","non-dropping-particle":"","parse-names":false,"suffix":""},{"dropping-particle":"","family":"Wilson","given":"James","non-dropping-particle":"","parse-names":false,"suffix":""},{"dropping-particle":"","family":"Rid","given":"Annette","non-dropping-particle":"","parse-names":false,"suffix":""}],"container-title":"BMJ (Clinical research ed.)","id":"ITEM-1","issued":{"date-parts":[["2017","3","22"]]},"page":"j1402","publisher":"British Medical Journal Publishing Group","title":"Cost effective but unaffordable: an emerging challenge for health systems.","type":"article-journal","volume":"356"},"uris":["http://www.mendeley.com/documents/?uuid=4e2ecf49-94b2-30a6-a3df-b6e4129676a9"]},{"id":"ITEM-2","itemData":{"DOI":"10.1016/j.jval.2017.12.017","ISSN":"1524-4733","PMID":"29566831","abstract":"What should be the relationship between the concepts of cost effectiveness and affordability in value assessments for health care interventions? This question has received greater attention in recent years given increasing financial pressures on health systems, leading to different views on how assessment reports and decision-making processes can provide the best structure for considering both elements. In the United States, the advent of explicit value frameworks to guide drug assessments has also focused attention on this issue, driven in part by the prominent inclusion of affordability within the value framework used to guide reports from the Institute for Clinical and Economic Review. After providing a formal definition of affordability for health care systems, this article argues that, even after using empirical estimates of true health system opportunity cost, cost-effectiveness thresholds cannot by themselves be set in a way that subsumes questions about short-term affordability. The article then presents an analysis of different approaches to integrating cost effectiveness and budget impact assessments within information to guide decision making. The evolution and experience with the Institute for Clinical and Economic Review value framework are highlighted, providing lessons learned and guiding principles for future efforts to bring measures of affordability within the scope of value assessment.","author":[{"dropping-particle":"","family":"Pearson","given":"Steven D","non-dropping-particle":"","parse-names":false,"suffix":""}],"container-title":"Value in Health","id":"ITEM-2","issue":"3","issued":{"date-parts":[["2018","3","1"]]},"page":"258-265","publisher":"Elsevier","title":"The ICER Value Framework: Integrating Cost Effectiveness and Affordability in the Assessment of Health Care Value.","type":"article-journal","volume":"21"},"uris":["http://www.mendeley.com/documents/?uuid=a09e598f-9fd4-35ac-940d-0a71a5e061e4"]}],"mendeley":{"formattedCitation":"&lt;sup&gt;2,3&lt;/sup&gt;","plainTextFormattedCitation":"2,3","previouslyFormattedCitation":"&lt;sup&gt;2,3&lt;/sup&gt;"},"properties":{"noteIndex":0},"schema":"https://github.com/citation-style-language/schema/raw/master/csl-citation.json"}</w:instrText>
      </w:r>
      <w:r w:rsidR="00DE3E86">
        <w:fldChar w:fldCharType="separate"/>
      </w:r>
      <w:r w:rsidR="00DE3E86" w:rsidRPr="00DE3E86">
        <w:rPr>
          <w:noProof/>
          <w:vertAlign w:val="superscript"/>
        </w:rPr>
        <w:t>2,3</w:t>
      </w:r>
      <w:r w:rsidR="00DE3E86">
        <w:fldChar w:fldCharType="end"/>
      </w:r>
    </w:p>
    <w:p w:rsidR="004B418C" w:rsidRDefault="002151BD">
      <w:r>
        <w:t>While there is consensus that conventional practice in cost-effectiveness analysis does not explicitly incorporate concerns for affordability, beyond the consideration of incremental cost per patient and the use of a cost-effectiveness ‘threshold’, there is little consensus on how budget impact analysis (BIA) evidence should be used in informing HTA decisions alongside CEA.</w:t>
      </w:r>
      <w:r w:rsidR="00DE3E86">
        <w:fldChar w:fldCharType="begin" w:fldLock="1"/>
      </w:r>
      <w:r w:rsidR="00C07CA0">
        <w:instrText>ADDIN CSL_CITATION {"citationItems":[{"id":"ITEM-1","itemData":{"DOI":"10.1016/j.jval.2018.01.011","ISSN":"1524-4733","PMID":"29566829","author":[{"dropping-particle":"","family":"Towse","given":"Adrian","non-dropping-particle":"","parse-names":false,"suffix":""},{"dropping-particle":"","family":"Mauskopf","given":"Josephine A","non-dropping-particle":"","parse-names":false,"suffix":""}],"container-title":"Value in Health","id":"ITEM-1","issue":"3","issued":{"date-parts":[["2018","3","1"]]},"page":"249-251","publisher":"Elsevier","title":"Affordability of New Technologies: The Next Frontier.","type":"article-journal","volume":"21"},"uris":["http://www.mendeley.com/documents/?uuid=3a86df22-b55e-3d67-8341-1f95bf52abe6"]},{"id":"ITEM-2","itemData":{"DOI":"10.1016/j.jval.2017.12.008","ISSN":"1524-4733","PMID":"29477391","abstract":"The fourth section of our Special Task Force report focuses on a health plan or payer's technology adoption or reimbursement decision, given the array of technologies, on the basis of their different values and costs. We discuss the role of budgets, thresholds, opportunity costs, and affordability in making decisions. First, we discuss the use of budgets and thresholds in private and public health plans, their interdependence, and connection to opportunity cost. Essentially, each payer should adopt a decision rule about what is good value for money given their budget; consistent use of a cost-per-quality-adjusted life-year threshold will ensure the maximum health gain for the budget. In the United States, different public and private insurance programs could use different thresholds, reflecting the differing generosity of their budgets and implying different levels of access to technologies. In addition, different insurance plans could consider different additional elements to the quality-adjusted life-year metric discussed elsewhere in our Special Task Force report. We then define affordability and discuss approaches to deal with it, including consideration of disinvestment and related adjustment costs, the impact of delaying new technologies, and comparative cost effectiveness of technologies. Over time, the availability of new technologies may increase the amount that populations want to spend on health care. We then discuss potential modifiers to thresholds, including uncertainty about the evidence used in the decision-making process. This article concludes by discussing the application of these concepts in the context of the pluralistic US health care system, as well as the \"excess burden\" of tax-financed public programs versus private programs.","author":[{"dropping-particle":"","family":"Danzon","given":"Patricia M","non-dropping-particle":"","parse-names":false,"suffix":""},{"dropping-particle":"","family":"Drummond","given":"Michael F","non-dropping-particle":"","parse-names":false,"suffix":""},{"dropping-particle":"","family":"Towse","given":"Adrian","non-dropping-particle":"","parse-names":false,"suffix":""},{"dropping-particle":"V","family":"Pauly","given":"Mark","non-dropping-particle":"","parse-names":false,"suffix":""}],"container-title":"Value in health : the journal of the International Society for Pharmacoeconomics and Outcomes Research","id":"ITEM-2","issue":"2","issued":{"date-parts":[["2018","2","1"]]},"page":"140-145","publisher":"Elsevier","title":"Objectives, Budgets, Thresholds, and Opportunity Costs-A Health Economics Approach: An ISPOR Special Task Force Report [4].","type":"article-journal","volume":"21"},"uris":["http://www.mendeley.com/documents/?uuid=3014a0a1-44b7-3ac9-918a-85011a40a5b8"]}],"mendeley":{"formattedCitation":"&lt;sup&gt;4,5&lt;/sup&gt;","plainTextFormattedCitation":"4,5","previouslyFormattedCitation":"&lt;sup&gt;4,5&lt;/sup&gt;"},"properties":{"noteIndex":0},"schema":"https://github.com/citation-style-language/schema/raw/master/csl-citation.json"}</w:instrText>
      </w:r>
      <w:r w:rsidR="00DE3E86">
        <w:fldChar w:fldCharType="separate"/>
      </w:r>
      <w:r w:rsidR="00C07CA0" w:rsidRPr="00C07CA0">
        <w:rPr>
          <w:noProof/>
          <w:vertAlign w:val="superscript"/>
        </w:rPr>
        <w:t>4,5</w:t>
      </w:r>
      <w:r w:rsidR="00DE3E86">
        <w:fldChar w:fldCharType="end"/>
      </w:r>
      <w:r>
        <w:t xml:space="preserve"> A number of papers have called for evidence from CEA and  BIA</w:t>
      </w:r>
      <w:r w:rsidR="001850BE">
        <w:t xml:space="preserve"> be “integrated”, which</w:t>
      </w:r>
      <w:r w:rsidR="00AD54E9">
        <w:t xml:space="preserve"> is taken to mean</w:t>
      </w:r>
      <w:r w:rsidR="001850BE">
        <w:t xml:space="preserve"> that results from both should </w:t>
      </w:r>
      <w:r>
        <w:t>be presented to decision-makers</w:t>
      </w:r>
      <w:r w:rsidR="00AD54E9">
        <w:t>, implicitly</w:t>
      </w:r>
      <w:r>
        <w:t xml:space="preserve"> arguing that they</w:t>
      </w:r>
      <w:r w:rsidR="00503EC8">
        <w:t xml:space="preserve"> </w:t>
      </w:r>
      <w:r w:rsidR="001850BE">
        <w:t>independently</w:t>
      </w:r>
      <w:r>
        <w:t xml:space="preserve"> provide</w:t>
      </w:r>
      <w:r w:rsidR="00503EC8">
        <w:t xml:space="preserve"> useful information</w:t>
      </w:r>
      <w:r w:rsidR="00AD54E9">
        <w:t>.</w:t>
      </w:r>
      <w:r w:rsidR="00DE3E86">
        <w:fldChar w:fldCharType="begin" w:fldLock="1"/>
      </w:r>
      <w:r w:rsidR="00DE3E86">
        <w:instrText>ADDIN CSL_CITATION {"citationItems":[{"id":"ITEM-1","itemData":{"DOI":"10.1371/journal.pmed.1002397","ISSN":"1549-1676","abstract":"Potential cost-effective barriers in cost-effectiveness studies mean that budgetary impact analyses should also be included in post-2015 Sustainable Development Goal projects says Joshua Salomon and colleagues.","author":[{"dropping-particle":"","family":"Bilinski","given":"Alyssa","non-dropping-particle":"","parse-names":false,"suffix":""},{"dropping-particle":"","family":"Neumann","given":"Peter","non-dropping-particle":"","parse-names":false,"suffix":""},{"dropping-particle":"","family":"Cohen","given":"Joshua","non-dropping-particle":"","parse-names":false,"suffix":""},{"dropping-particle":"","family":"Thorat","given":"Teja","non-dropping-particle":"","parse-names":false,"suffix":""},{"dropping-particle":"","family":"McDaniel","given":"Katherine","non-dropping-particle":"","parse-names":false,"suffix":""},{"dropping-particle":"","family":"Salomon","given":"Joshua A.","non-dropping-particle":"","parse-names":false,"suffix":""}],"container-title":"PLOS Medicine","id":"ITEM-1","issue":"10","issued":{"date-parts":[["2017","10","2"]]},"page":"e1002397","publisher":"Public Library of Science","title":"When cost-effective interventions are unaffordable: Integrating cost-effectiveness and budget impact in priority setting for global health programs","type":"article-journal","volume":"14"},"uris":["http://www.mendeley.com/documents/?uuid=b6c01a22-9836-3771-97e8-fe57851df627"]},{"id":"ITEM-2","itemData":{"DOI":"10.1016/j.jval.2017.12.017","ISSN":"1524-4733","PMID":"29566831","abstract":"What should be the relationship between the concepts of cost effectiveness and affordability in value assessments for health care interventions? This question has received greater attention in recent years given increasing financial pressures on health systems, leading to different views on how assessment reports and decision-making processes can provide the best structure for considering both elements. In the United States, the advent of explicit value frameworks to guide drug assessments has also focused attention on this issue, driven in part by the prominent inclusion of affordability within the value framework used to guide reports from the Institute for Clinical and Economic Review. After providing a formal definition of affordability for health care systems, this article argues that, even after using empirical estimates of true health system opportunity cost, cost-effectiveness thresholds cannot by themselves be set in a way that subsumes questions about short-term affordability. The article then presents an analysis of different approaches to integrating cost effectiveness and budget impact assessments within information to guide decision making. The evolution and experience with the Institute for Clinical and Economic Review value framework are highlighted, providing lessons learned and guiding principles for future efforts to bring measures of affordability within the scope of value assessment.","author":[{"dropping-particle":"","family":"Pearson","given":"Steven D","non-dropping-particle":"","parse-names":false,"suffix":""}],"container-title":"Value in Health","id":"ITEM-2","issue":"3","issued":{"date-parts":[["2018","3","1"]]},"page":"258-265","publisher":"Elsevier","title":"The ICER Value Framework: Integrating Cost Effectiveness and Affordability in the Assessment of Health Care Value.","type":"article-journal","volume":"21"},"uris":["http://www.mendeley.com/documents/?uuid=a09e598f-9fd4-35ac-940d-0a71a5e061e4"]}],"mendeley":{"formattedCitation":"&lt;sup&gt;1,3&lt;/sup&gt;","plainTextFormattedCitation":"1,3","previouslyFormattedCitation":"&lt;sup&gt;1,3&lt;/sup&gt;"},"properties":{"noteIndex":0},"schema":"https://github.com/citation-style-language/schema/raw/master/csl-citation.json"}</w:instrText>
      </w:r>
      <w:r w:rsidR="00DE3E86">
        <w:fldChar w:fldCharType="separate"/>
      </w:r>
      <w:r w:rsidR="00DE3E86" w:rsidRPr="00DE3E86">
        <w:rPr>
          <w:noProof/>
          <w:vertAlign w:val="superscript"/>
        </w:rPr>
        <w:t>1,3</w:t>
      </w:r>
      <w:r w:rsidR="00DE3E86">
        <w:fldChar w:fldCharType="end"/>
      </w:r>
    </w:p>
    <w:p w:rsidR="00C13902" w:rsidRDefault="00AD54E9">
      <w:r>
        <w:t>O</w:t>
      </w:r>
      <w:r w:rsidR="00503EC8">
        <w:t>thers have argued that budget impact should be in</w:t>
      </w:r>
      <w:r w:rsidR="001850BE">
        <w:t>corpora</w:t>
      </w:r>
      <w:r w:rsidR="00503EC8">
        <w:t>ted within CEA through the use of a varying</w:t>
      </w:r>
      <w:r>
        <w:t xml:space="preserve"> cost-effectiveness</w:t>
      </w:r>
      <w:r w:rsidR="00503EC8">
        <w:t xml:space="preserve"> </w:t>
      </w:r>
      <w:r w:rsidR="001850BE">
        <w:t>‘</w:t>
      </w:r>
      <w:r w:rsidR="00503EC8">
        <w:t>threshold</w:t>
      </w:r>
      <w:r w:rsidR="001850BE">
        <w:t>’</w:t>
      </w:r>
      <w:r w:rsidR="00503EC8">
        <w:t xml:space="preserve"> against which incremental cost-effectiveness ratios (ICERs) are compared – reflecting the larger opportunity costs that would follow from larger budget impacts.</w:t>
      </w:r>
      <w:r w:rsidR="00DE3E86">
        <w:fldChar w:fldCharType="begin" w:fldLock="1"/>
      </w:r>
      <w:r w:rsidR="00C07CA0">
        <w:instrText>ADDIN CSL_CITATION {"citationItems":[{"id":"ITEM-1","itemData":{"ISSN":"1170-7690","PMID":"18767894","abstract":"The National Institute for Health and Clinical Excellence (NICE) has been using a cost-effectiveness threshold range between 20,000 pound sterling and 30,000 pound sterling for over 7 years. What the cost-effectiveness threshold represents, what the appropriate level is for NICE to use, and what the other factors are that NICE should consider have all been the subject of much discussion. In this article, we briefly review these questions, provide a critical assessment of NICE's utilization of the incremental cost-effectiveness ratio (ICER) threshold to inform its guidance, and suggest ways in which NICE's utilization of the ICER threshold could be developed to promote the efficient use of health service resources. We conclude that it is feasible and probably desirable to operate an explicit single threshold rather than the current range; the threshold should be seen as a threshold at which 'other' criteria beyond the ICER itself are taken into account; interventions with a large budgetary impact may need to be subject to a lower threshold as they are likely to displace more than the marginal activities; reimbursement at the threshold transfers the full value of an innovation to the manufacturer. Positive decisions above the threshold on the grounds of innovation reduce population health; the value of the threshold should be reconsidered regularly to ensure that it captures the impact of changes in efficiency and budget over time; the use of equity weights to sustain a positive recommendation when the ICER is above the threshold requires knowledge of the equity characteristics of those patients who bear the opportunity cost. Given the barriers to obtaining this knowledge and knowledge about the characteristics of typical beneficiaries of UK NHS care, caution is warranted before accepting claims from special pleaders; uncertainty in the evidence base should not be used to justify a positive recommendation when the ICER is above the threshold. The development of a programme of disinvestment guidance would enable NICE and the NHS to be more confident that the net health benefit of the Technology Appraisal Programme is positive.","author":[{"dropping-particle":"","family":"McCabe","given":"Christopher","non-dropping-particle":"","parse-names":false,"suffix":""},{"dropping-particle":"","family":"Claxton","given":"Karl","non-dropping-particle":"","parse-names":false,"suffix":""},{"dropping-particle":"","family":"Culyer","given":"Anthony J","non-dropping-particle":"","parse-names":false,"suffix":""}],"container-title":"PharmacoEconomics","id":"ITEM-1","issue":"9","issued":{"date-parts":[["2008","1"]]},"page":"733-44","title":"The NICE cost-effectiveness threshold: what it is and what that means.","type":"article-journal","volume":"26"},"uris":["http://www.mendeley.com/documents/?uuid=775f2316-ef6c-4a32-b2c1-b7fab266c830"]},{"id":"ITEM-2","itemData":{"DOI":"10.1017/S1744133116000049","ISSN":"1744-1331","PMID":"26906561","abstract":"&lt;p&gt; 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‘first best’ benchmark or threshold ratio of health gain to expenditure identifies the least effective intervention that should be included in a public insurance plan; the reciprocal of this ratio – the ‘first best’ cost-effectiveness threshold – will rise or fall as the health budget rises or falls ( &lt;italic&gt;ceteris paribus&lt;/italic&gt; );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 the two are equivalent only in a health-maximising equilibrium; the supply-side approach generates an estimate of a ‘second best’ cost-effectiveness threshold that is higher than the ‘first best’;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&lt;italic&gt;effective&lt;/italic&gt; technologies from the insured bundle; differential weighting of beneficiaries’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 but in health itself. &lt;/p&gt;","author":[{"dropping-particle":"","family":"Culyer","given":"Anthony J.","non-dropping-particle":"","parse-names":false,"suffix":""}],"container-title":"Health Economics, Policy and Law","id":"ITEM-2","issue":"04","issued":{"date-parts":[["2016","10","24"]]},"page":"415-432","title":"Cost-effectiveness thresholds in health care: a bookshelf guide to their meaning and use","type":"article-journal","volume":"11"},"uris":["http://www.mendeley.com/documents/?uuid=2b96e6bb-7100-3833-8c41-c8c8ad548e3b"]},{"id":"ITEM-3","itemData":{"DOI":"10.7939/R3M902D4P","author":[{"dropping-particle":"","family":"Paulden","given":"Michael D","non-dropping-particle":"","parse-names":false,"suffix":""}],"id":"ITEM-3","issued":{"date-parts":[["2016"]]},"title":"Opportunity cost and social values in health care resource allocation","type":"article-journal"},"uris":["http://www.mendeley.com/documents/?uuid=7c53f0c9-1f5a-3253-94eb-b122dfeb995d"]},{"id":"ITEM-4","itemData":{"DOI":"10.1177/0272989X16662242","ISSN":"0272-989X","PMID":"27553208","abstract":"The cost-effectiveness threshold in health care systems with a constrained budget should be determined by the cost-effectiveness of displacing health care services to fund new interventions. Using comparative statics, we review some potential determinants of the threshold, including the budget for health care, the demand for existing health care interventions, the technical efficiency of existing interventions, and the development of new health technologies. We consider the anticipated direction of impact that would affect the threshold following a change in each of these determinants. Where the health care system is technically efficient, an increase in the health care budget unambiguously raises the threshold, whereas an increase in the demand for existing, non-marginal health interventions unambiguously lowers the threshold. Improvements in the technical efficiency of existing interventions may raise or lower the threshold, depending on the cause of the improvement in efficiency, whether the intervention is already funded, and, if so, whether it is marginal. New technologies may also raise or lower the threshold, depending on whether the new technology is a substitute for an existing technology and, again, whether the existing technology is marginal. Our analysis permits health economists and decision makers to assess if and in what direction the threshold may change over time. This matters, as threshold changes impact the cost-effectiveness of interventions that require decisions now but have costs and effects that fall in future periods.","author":[{"dropping-particle":"","family":"Paulden","given":"Mike","non-dropping-particle":"","parse-names":false,"suffix":""},{"dropping-particle":"","family":"O’Mahony","given":"James","non-dropping-particle":"","parse-names":false,"suffix":""},{"dropping-particle":"","family":"McCabe","given":"Christopher","non-dropping-particle":"","parse-names":false,"suffix":""}],"container-title":"Medical Decision Making","id":"ITEM-4","issue":"2","issued":{"date-parts":[["2017","2"]]},"page":"264-276","title":"Determinants of Change in the Cost-effectiveness Threshold","type":"article-journal","volume":"37"},"uris":["http://www.mendeley.com/documents/?uuid=6a93b463-25ac-3080-b035-e239cb20078b"]}],"mendeley":{"formattedCitation":"&lt;sup&gt;6–9&lt;/sup&gt;","plainTextFormattedCitation":"6–9","previouslyFormattedCitation":"&lt;sup&gt;6–9&lt;/sup&gt;"},"properties":{"noteIndex":0},"schema":"https://github.com/citation-style-language/schema/raw/master/csl-citation.json"}</w:instrText>
      </w:r>
      <w:r w:rsidR="00DE3E86">
        <w:fldChar w:fldCharType="separate"/>
      </w:r>
      <w:r w:rsidR="00C07CA0" w:rsidRPr="00C07CA0">
        <w:rPr>
          <w:noProof/>
          <w:vertAlign w:val="superscript"/>
        </w:rPr>
        <w:t>6–9</w:t>
      </w:r>
      <w:r w:rsidR="00DE3E86">
        <w:fldChar w:fldCharType="end"/>
      </w:r>
      <w:r w:rsidR="00503EC8">
        <w:t xml:space="preserve"> </w:t>
      </w:r>
      <w:r w:rsidR="00C07CA0">
        <w:t>While largely accepted as a premise, some have questioned the</w:t>
      </w:r>
      <w:r w:rsidR="00287CD8">
        <w:t xml:space="preserve"> feasibility of </w:t>
      </w:r>
      <w:r w:rsidR="00C0133B">
        <w:t>determining</w:t>
      </w:r>
      <w:r w:rsidR="00287CD8">
        <w:t xml:space="preserve"> the relationship between the </w:t>
      </w:r>
      <w:r w:rsidR="00F30B0B">
        <w:t>‘</w:t>
      </w:r>
      <w:r w:rsidR="00287CD8">
        <w:t>threshold</w:t>
      </w:r>
      <w:r w:rsidR="00F30B0B">
        <w:t>’</w:t>
      </w:r>
      <w:r w:rsidR="00287CD8">
        <w:t xml:space="preserve"> and budget impact </w:t>
      </w:r>
      <w:r w:rsidR="00C07CA0">
        <w:t>and</w:t>
      </w:r>
      <w:r w:rsidR="00C0133B">
        <w:t xml:space="preserve"> employing and defending it</w:t>
      </w:r>
      <w:r w:rsidR="00287CD8">
        <w:t xml:space="preserve"> in practice.</w:t>
      </w:r>
      <w:r w:rsidR="00C07CA0">
        <w:fldChar w:fldCharType="begin" w:fldLock="1"/>
      </w:r>
      <w:r w:rsidR="00C0515C">
        <w:instrText>ADDIN CSL_CITATION {"citationItems":[{"id":"ITEM-1","itemData":{"DOI":"10.1016/j.jval.2017.12.017","ISSN":"1524-4733","PMID":"29566831","abstract":"What should be the relationship between the concepts of cost effectiveness and affordability in value assessments for health care interventions? This question has received greater attention in recent years given increasing financial pressures on health systems, leading to different views on how assessment reports and decision-making processes can provide the best structure for considering both elements. In the United States, the advent of explicit value frameworks to guide drug assessments has also focused attention on this issue, driven in part by the prominent inclusion of affordability within the value framework used to guide reports from the Institute for Clinical and Economic Review. After providing a formal definition of affordability for health care systems, this article argues that, even after using empirical estimates of true health system opportunity cost, cost-effectiveness thresholds cannot by themselves be set in a way that subsumes questions about short-term affordability. The article then presents an analysis of different approaches to integrating cost effectiveness and budget impact assessments within information to guide decision making. The evolution and experience with the Institute for Clinical and Economic Review value framework are highlighted, providing lessons learned and guiding principles for future efforts to bring measures of affordability within the scope of value assessment.","author":[{"dropping-particle":"","family":"Pearson","given":"Steven D","non-dropping-particle":"","parse-names":false,"suffix":""}],"container-title":"Value in Health","id":"ITEM-1","issue":"3","issued":{"date-parts":[["2018","3","1"]]},"page":"258-265","publisher":"Elsevier","title":"The ICER Value Framework: Integrating Cost Effectiveness and Affordability in the Assessment of Health Care Value.","type":"article-journal","volume":"21"},"uris":["http://www.mendeley.com/documents/?uuid=a09e598f-9fd4-35ac-940d-0a71a5e061e4"]}],"mendeley":{"formattedCitation":"&lt;sup&gt;3&lt;/sup&gt;","plainTextFormattedCitation":"3","previouslyFormattedCitation":"&lt;sup&gt;3&lt;/sup&gt;"},"properties":{"noteIndex":0},"schema":"https://github.com/citation-style-language/schema/raw/master/csl-citation.json"}</w:instrText>
      </w:r>
      <w:r w:rsidR="00C07CA0">
        <w:fldChar w:fldCharType="separate"/>
      </w:r>
      <w:r w:rsidR="00C07CA0" w:rsidRPr="00C07CA0">
        <w:rPr>
          <w:noProof/>
          <w:vertAlign w:val="superscript"/>
        </w:rPr>
        <w:t>3</w:t>
      </w:r>
      <w:r w:rsidR="00C07CA0">
        <w:fldChar w:fldCharType="end"/>
      </w:r>
      <w:r w:rsidR="00287CD8">
        <w:t xml:space="preserve"> Whilst these challenges are no doubt significant, there are examples of the logic being applied in practice, with the Australian Pharmaceutical Benefits Advisory Committee (PBAC) recommending a “lower acceptable cost per QALY” for new medications for Hepatitis C given the large budget impact</w:t>
      </w:r>
      <w:r w:rsidR="00C07CA0">
        <w:t>.</w:t>
      </w:r>
      <w:r w:rsidR="00287CD8">
        <w:fldChar w:fldCharType="begin" w:fldLock="1"/>
      </w:r>
      <w:r w:rsidR="00C07CA0">
        <w:instrText>ADDIN CSL_CITATION {"citationItems":[{"id":"ITEM-1","itemData":{"DOI":"10.1017/S1744133116000050","abstract":"The question of how to determine coverage in a national health insurance system involves issues of both principle and practice. What are these benefits that we are trying to achieve? Is it the maximisation of population health, assuring a right to health care, or maximising individual life potentials? In any of these are we able calculate the effectiveness of interventions or our marginal social willingness to pay with sufficient rigour to give us confidence in the wisdom of our decisions? Last, given vested interests how do we resolve the practical and political issues of covering new interventions in place of those that are covered now? Culyer approaches these questions with an elegantly illustrated lesson in the analytics of priority setting, and a clear focussed approach to decision making. The general theme is that weighing up the opportunities foregone in any funding decision, whatever the objective, is always subject to considerable error but a guide to decision making that is open and honest will improve health. He illustrates this lesson using the classic approach popularised by Weinstein and Stason (1977). This parable imagines a world in which the community has decided how much public money to spend on health improvement. The public funding agency then has to decide on what particular health interventions are covered by the insurance system. In this simple world, where the decision makers have access to complete information on the benefits and costs of all current and future perfectly divisible linear health programmes, ranking the programmes by total benefit per dollar and then running down the list until we run out of money will achieve the goal of maximising a unidimensional health gain [e.g. quality-adjusted life-years (QALYs)]. This is what Weinstein describes as a shopping spree and in Culyer this becomes a trip to the bookshop for a new book and a reorganisation of the older ones on the shelf at home. Culyer gives us a particularly clear exposition, not least because it unusually concentrates on the marginal gain per dollar. It starts with the idea that the health gain per dollar for the last funded programme reveals the health gains foregone from not spending that last dollar, as","author":[{"dropping-particle":"","family":"Harris","given":"Anthony H","non-dropping-particle":"","parse-names":false,"suffix":""}],"container-title":"Health Economics, Policy and Law","id":"ITEM-1","issued":{"date-parts":[["2016"]]},"page":"433-438","publisher":"Cambridge University Press","title":"Beyond the threshold","type":"article-journal","volume":"11"},"uris":["http://www.mendeley.com/documents/?uuid=f75ae421-39f8-393b-8cb9-9c8cae34702e"]}],"mendeley":{"formattedCitation":"&lt;sup&gt;10&lt;/sup&gt;","plainTextFormattedCitation":"10","previouslyFormattedCitation":"&lt;sup&gt;10&lt;/sup&gt;"},"properties":{"noteIndex":0},"schema":"https://github.com/citation-style-language/schema/raw/master/csl-citation.json"}</w:instrText>
      </w:r>
      <w:r w:rsidR="00287CD8">
        <w:fldChar w:fldCharType="separate"/>
      </w:r>
      <w:r w:rsidR="00C07CA0" w:rsidRPr="00C07CA0">
        <w:rPr>
          <w:noProof/>
          <w:vertAlign w:val="superscript"/>
        </w:rPr>
        <w:t>10</w:t>
      </w:r>
      <w:r w:rsidR="00287CD8">
        <w:fldChar w:fldCharType="end"/>
      </w:r>
      <w:r w:rsidR="00287CD8">
        <w:t xml:space="preserve"> </w:t>
      </w:r>
      <w:r w:rsidR="001850BE">
        <w:t>I</w:t>
      </w:r>
      <w:r w:rsidR="00287CD8">
        <w:t>n addition</w:t>
      </w:r>
      <w:r w:rsidR="001850BE">
        <w:t>,</w:t>
      </w:r>
      <w:r w:rsidR="00503EC8">
        <w:t xml:space="preserve"> </w:t>
      </w:r>
      <w:r w:rsidR="00287CD8">
        <w:t>a recent paper estimated the relationship</w:t>
      </w:r>
      <w:r w:rsidR="00200A47">
        <w:t xml:space="preserve"> between health opportunity costs and budget impact</w:t>
      </w:r>
      <w:r w:rsidR="00287CD8">
        <w:t xml:space="preserve"> empirically using UK administrative data</w:t>
      </w:r>
      <w:r w:rsidR="00C0515C">
        <w:t>.</w:t>
      </w:r>
      <w:r w:rsidR="00287CD8">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plainTextFormattedCitation":"11","previouslyFormattedCitation":"&lt;sup&gt;11&lt;/sup&gt;"},"properties":{"noteIndex":0},"schema":"https://github.com/citation-style-language/schema/raw/master/csl-citation.json"}</w:instrText>
      </w:r>
      <w:r w:rsidR="00287CD8">
        <w:fldChar w:fldCharType="separate"/>
      </w:r>
      <w:r w:rsidR="00C07CA0" w:rsidRPr="00C07CA0">
        <w:rPr>
          <w:noProof/>
          <w:vertAlign w:val="superscript"/>
        </w:rPr>
        <w:t>11</w:t>
      </w:r>
      <w:r w:rsidR="00287CD8">
        <w:fldChar w:fldCharType="end"/>
      </w:r>
      <w:r w:rsidR="00287CD8">
        <w:t xml:space="preserve"> </w:t>
      </w:r>
      <w:r w:rsidR="00C0515C">
        <w:t>Using the estimated relationship</w:t>
      </w:r>
      <w:r w:rsidR="00287CD8">
        <w:t xml:space="preserve">, </w:t>
      </w:r>
      <w:r w:rsidR="00C0515C">
        <w:t xml:space="preserve">it then </w:t>
      </w:r>
      <w:r w:rsidR="00287CD8">
        <w:t>illustrate</w:t>
      </w:r>
      <w:r w:rsidR="00C0515C">
        <w:t>s</w:t>
      </w:r>
      <w:r w:rsidR="00287CD8">
        <w:t xml:space="preserve"> </w:t>
      </w:r>
      <w:r w:rsidR="00C0515C">
        <w:t>implications</w:t>
      </w:r>
      <w:r w:rsidR="00287CD8">
        <w:t xml:space="preserve"> for estimating the health opportunity costs associated with treatments for Hepatitis C in England, which could then be used to inform an appropriate cost-effectiveness ‘threshold’ or be used as an input into the calculation of net health benefit.</w:t>
      </w:r>
      <w:r w:rsidR="00C0515C">
        <w:fldChar w:fldCharType="begin" w:fldLock="1"/>
      </w:r>
      <w:r w:rsidR="00C0515C">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plainTextFormattedCitation":"11","previouslyFormattedCitation":"&lt;sup&gt;11&lt;/sup&gt;"},"properties":{"noteIndex":0},"schema":"https://github.com/citation-style-language/schema/raw/master/csl-citation.json"}</w:instrText>
      </w:r>
      <w:r w:rsidR="00C0515C">
        <w:fldChar w:fldCharType="separate"/>
      </w:r>
      <w:r w:rsidR="00C0515C" w:rsidRPr="00C07CA0">
        <w:rPr>
          <w:noProof/>
          <w:vertAlign w:val="superscript"/>
        </w:rPr>
        <w:t>11</w:t>
      </w:r>
      <w:r w:rsidR="00C0515C">
        <w:fldChar w:fldCharType="end"/>
      </w:r>
    </w:p>
    <w:p w:rsidR="009E63E8" w:rsidRDefault="001850BE">
      <w:r>
        <w:t xml:space="preserve">In their paper, </w:t>
      </w:r>
      <w:r>
        <w:fldChar w:fldCharType="begin" w:fldLock="1"/>
      </w:r>
      <w:r w:rsidR="00DE3E86">
        <w:instrText>ADDIN CSL_CITATION {"citationItems":[{"id":"ITEM-1","itemData":{"DOI":"10.1371/journal.pmed.1002397","ISSN":"1549-1676","abstract":"Potential cost-effective barriers in cost-effectiveness studies mean that budgetary impact analyses should also be included in post-2015 Sustainable Development Goal projects says Joshua Salomon and colleagues.","author":[{"dropping-particle":"","family":"Bilinski","given":"Alyssa","non-dropping-particle":"","parse-names":false,"suffix":""},{"dropping-particle":"","family":"Neumann","given":"Peter","non-dropping-particle":"","parse-names":false,"suffix":""},{"dropping-particle":"","family":"Cohen","given":"Joshua","non-dropping-particle":"","parse-names":false,"suffix":""},{"dropping-particle":"","family":"Thorat","given":"Teja","non-dropping-particle":"","parse-names":false,"suffix":""},{"dropping-particle":"","family":"McDaniel","given":"Katherine","non-dropping-particle":"","parse-names":false,"suffix":""},{"dropping-particle":"","family":"Salomon","given":"Joshua A.","non-dropping-particle":"","parse-names":false,"suffix":""}],"container-title":"PLOS Medicine","id":"ITEM-1","issue":"10","issued":{"date-parts":[["2017","10","2"]]},"page":"e1002397","publisher":"Public Library of Science","title":"When cost-effective interventions are unaffordable: Integrating cost-effectiveness and budget impact in priority setting for global health programs","type":"article-journal","volume":"14"},"uris":["http://www.mendeley.com/documents/?uuid=b6c01a22-9836-3771-97e8-fe57851df627"]}],"mendeley":{"formattedCitation":"&lt;sup&gt;1&lt;/sup&gt;","manualFormatting":"Bilinski et al. (2017)","plainTextFormattedCitation":"1","previouslyFormattedCitation":"&lt;sup&gt;1&lt;/sup&gt;"},"properties":{"noteIndex":0},"schema":"https://github.com/citation-style-language/schema/raw/master/csl-citation.json"}</w:instrText>
      </w:r>
      <w:r>
        <w:fldChar w:fldCharType="separate"/>
      </w:r>
      <w:r w:rsidRPr="001850BE">
        <w:rPr>
          <w:noProof/>
        </w:rPr>
        <w:t xml:space="preserve">Bilinski et al. </w:t>
      </w:r>
      <w:r>
        <w:rPr>
          <w:noProof/>
        </w:rPr>
        <w:t>(</w:t>
      </w:r>
      <w:r w:rsidRPr="001850BE">
        <w:rPr>
          <w:noProof/>
        </w:rPr>
        <w:t>2017)</w:t>
      </w:r>
      <w:r>
        <w:fldChar w:fldCharType="end"/>
      </w:r>
      <w:r w:rsidR="00C0515C">
        <w:fldChar w:fldCharType="begin" w:fldLock="1"/>
      </w:r>
      <w:r w:rsidR="00C0515C">
        <w:instrText>ADDIN CSL_CITATION {"citationItems":[{"id":"ITEM-1","itemData":{"DOI":"10.1371/journal.pmed.1002397","ISSN":"1549-1676","abstract":"Potential cost-effective barriers in cost-effectiveness studies mean that budgetary impact analyses should also be included in post-2015 Sustainable Development Goal projects says Joshua Salomon and colleagues.","author":[{"dropping-particle":"","family":"Bilinski","given":"Alyssa","non-dropping-particle":"","parse-names":false,"suffix":""},{"dropping-particle":"","family":"Neumann","given":"Peter","non-dropping-particle":"","parse-names":false,"suffix":""},{"dropping-particle":"","family":"Cohen","given":"Joshua","non-dropping-particle":"","parse-names":false,"suffix":""},{"dropping-particle":"","family":"Thorat","given":"Teja","non-dropping-particle":"","parse-names":false,"suffix":""},{"dropping-particle":"","family":"McDaniel","given":"Katherine","non-dropping-particle":"","parse-names":false,"suffix":""},{"dropping-particle":"","family":"Salomon","given":"Joshua A.","non-dropping-particle":"","parse-names":false,"suffix":""}],"container-title":"PLOS Medicine","id":"ITEM-1","issue":"10","issued":{"date-parts":[["2017","10","2"]]},"page":"e1002397","publisher":"Public Library of Science","title":"When cost-effective interventions are unaffordable: Integrating cost-effectiveness and budget impact in priority setting for global health programs","type":"article-journal","volume":"14"},"uris":["http://www.mendeley.com/documents/?uuid=b6c01a22-9836-3771-97e8-fe57851df627"]}],"mendeley":{"formattedCitation":"&lt;sup&gt;1&lt;/sup&gt;","plainTextFormattedCitation":"1","previouslyFormattedCitation":"&lt;sup&gt;1&lt;/sup&gt;"},"properties":{"noteIndex":0},"schema":"https://github.com/citation-style-language/schema/raw/master/csl-citation.json"}</w:instrText>
      </w:r>
      <w:r w:rsidR="00C0515C">
        <w:fldChar w:fldCharType="separate"/>
      </w:r>
      <w:r w:rsidR="00C0515C" w:rsidRPr="00C0515C">
        <w:rPr>
          <w:noProof/>
          <w:vertAlign w:val="superscript"/>
        </w:rPr>
        <w:t>1</w:t>
      </w:r>
      <w:r w:rsidR="00C0515C">
        <w:fldChar w:fldCharType="end"/>
      </w:r>
      <w:r>
        <w:t xml:space="preserve"> outline four reasons </w:t>
      </w:r>
      <w:r w:rsidR="00DA377A">
        <w:t xml:space="preserve">why conventional CEA suggests that certain treatments are cost-effective but may be unaffordable in practice: </w:t>
      </w:r>
      <w:r w:rsidR="006219B6">
        <w:t xml:space="preserve">cost-effectiveness judged next to an inappropriate cost-effectiveness ‘threshold’, societal perspective that includes costs not falling on the payer’s budget, no explicit consideration of the distribution of costs over time and the use of an </w:t>
      </w:r>
      <w:r w:rsidR="006219B6">
        <w:lastRenderedPageBreak/>
        <w:t xml:space="preserve">inappropriate discount rate that may not accurately reflect the borrowing and investment opportunities facing the payer. In this paper, we </w:t>
      </w:r>
      <w:r w:rsidR="009E63E8">
        <w:t>outline a framework</w:t>
      </w:r>
      <w:r w:rsidR="00143622">
        <w:t xml:space="preserve"> illustrated from a healthcare sector perspective</w:t>
      </w:r>
      <w:r w:rsidR="009E63E8">
        <w:t xml:space="preserve"> that could in principle resolve all of these issues conditional on the successful estimation of health opportunity costs that vary with budget impact and the identification of an appropriate discount rate</w:t>
      </w:r>
      <w:r w:rsidR="006219B6">
        <w:t xml:space="preserve"> (a matter beyond the scope of this paper</w:t>
      </w:r>
      <w:r w:rsidR="009E63E8">
        <w:t>,</w:t>
      </w:r>
      <w:r w:rsidR="00C0515C">
        <w:t xml:space="preserve"> and considered elsewhere</w:t>
      </w:r>
      <w:r w:rsidR="008C0BC2">
        <w:fldChar w:fldCharType="begin" w:fldLock="1"/>
      </w:r>
      <w:r w:rsidR="00C0515C">
        <w:instrText>ADDIN CSL_CITATION {"citationItems":[{"id":"ITEM-1","itemData":{"DOI":"10.1002/hec.1612","ISSN":"10579230","author":[{"dropping-particle":"","family":"Claxton","given":"Karl","non-dropping-particle":"","parse-names":false,"suffix":""},{"dropping-particle":"","family":"Paulden","given":"Mike","non-dropping-particle":"","parse-names":false,"suffix":""},{"dropping-particle":"","family":"Gravelle","given":"Hugh","non-dropping-particle":"","parse-names":false,"suffix":""},{"dropping-particle":"","family":"Brouwer","given":"Werner","non-dropping-particle":"","parse-names":false,"suffix":""},{"dropping-particle":"","family":"Culyer","given":"Anthony J.","non-dropping-particle":"","parse-names":false,"suffix":""}],"container-title":"Health Economics","id":"ITEM-1","issue":"1","issued":{"date-parts":[["2011","1"]]},"page":"2-15","publisher":"John Wiley &amp; Sons, Ltd.","title":"Discounting and decision making in the economic evaluation of health-care technologies","type":"article-journal","volume":"20"},"uris":["http://www.mendeley.com/documents/?uuid=bfd775a0-dd56-3acb-a9dd-b1590aafe0c2"]},{"id":"ITEM-2","itemData":{"DOI":"10.1017/bca.2018.29","ISSN":"2194-5888","abstract":"&lt;p&gt;The primary focus of this paper is to offer guidance on the analysis of time streams of effects that a project may have so that they can be discounted appropriately. This requires a framework that identifies the common parameters that need to be assessed, whether conducting cost-effectiveness or benefit-cost analysis. The quantification and conversion of the time streams of different effects into their equivalent health, health care cost or consumption effects avoids embedding multiple arguments in discounting policies. This helps to identify where parameters are likely to differ in particular contexts, what type of evidence would be relevant, what is currently known and how this evidence might be strengthened. The current evidence available to support the assessment of the key parameters is discussed and possible estimates and default assumptions are suggested. Reporting the results in an extensive way is recommended. This makes the assessments required explicit so the impact of alternative assumptions can be explored and analysis updated as better estimates evolve. Some projects will have effects across different countries where some or all of these parameters will differ. Therefore, the net present value of a project will be the sum of the country specific net present values rather than the sum of effects across countries discounted at some common rate.&lt;/p&gt;","author":[{"dropping-particle":"","family":"Claxton","given":"Karl","non-dropping-particle":"","parse-names":false,"suffix":""},{"dropping-particle":"","family":"Asaria","given":"Miqdad","non-dropping-particle":"","parse-names":false,"suffix":""},{"dropping-particle":"","family":"Chansa","given":"Collins","non-dropping-particle":"","parse-names":false,"suffix":""},{"dropping-particle":"","family":"Jamison","given":"Julian","non-dropping-particle":"","parse-names":false,"suffix":""},{"dropping-particle":"","family":"Lomas","given":"James","non-dropping-particle":"","parse-names":false,"suffix":""},{"dropping-particle":"","family":"Ochalek","given":"Jessica","non-dropping-particle":"","parse-names":false,"suffix":""},{"dropping-particle":"","family":"Paulden","given":"Mike","non-dropping-particle":"","parse-names":false,"suffix":""}],"container-title":"Journal of Benefit-Cost Analysis","id":"ITEM-2","issued":{"date-parts":[["2019","1","26"]]},"page":"1-33","publisher":"Cambridge University Press","title":"Accounting for Timing when Assessing Health-Related Policies","type":"article-journal"},"uris":["http://www.mendeley.com/documents/?uuid=7aff019f-409e-3472-a2f6-7fba8537000b"]}],"mendeley":{"formattedCitation":"&lt;sup&gt;12,13&lt;/sup&gt;","plainTextFormattedCitation":"12,13","previouslyFormattedCitation":"&lt;sup&gt;12,13&lt;/sup&gt;"},"properties":{"noteIndex":0},"schema":"https://github.com/citation-style-language/schema/raw/master/csl-citation.json"}</w:instrText>
      </w:r>
      <w:r w:rsidR="008C0BC2">
        <w:fldChar w:fldCharType="separate"/>
      </w:r>
      <w:r w:rsidR="00C0515C" w:rsidRPr="00C0515C">
        <w:rPr>
          <w:noProof/>
          <w:vertAlign w:val="superscript"/>
        </w:rPr>
        <w:t>12,13</w:t>
      </w:r>
      <w:r w:rsidR="008C0BC2">
        <w:fldChar w:fldCharType="end"/>
      </w:r>
      <w:r w:rsidR="00C0515C">
        <w:t>)</w:t>
      </w:r>
      <w:r w:rsidR="009E63E8">
        <w:t>.</w:t>
      </w:r>
      <w:r w:rsidR="008C0BC2">
        <w:t xml:space="preserve"> </w:t>
      </w:r>
    </w:p>
    <w:p w:rsidR="001850BE" w:rsidRDefault="00CF4ABA" w:rsidP="009E6AC4">
      <w:pPr>
        <w:pStyle w:val="Heading2"/>
      </w:pPr>
      <w:r>
        <w:t>Perspective and d</w:t>
      </w:r>
      <w:r w:rsidR="009E63E8">
        <w:t>ecision rules</w:t>
      </w:r>
    </w:p>
    <w:p w:rsidR="00CF4ABA" w:rsidRDefault="00CF4ABA">
      <w:bookmarkStart w:id="0" w:name="_Hlk5830000"/>
      <w:r>
        <w:t xml:space="preserve">The analysis we present here considers a decision-maker who is interested in improving overall population health with constrained resources to </w:t>
      </w:r>
      <w:r w:rsidR="008E2AD1">
        <w:t xml:space="preserve">employ </w:t>
      </w:r>
      <w:r>
        <w:t xml:space="preserve">across competing potential uses. The resources available to the decision-maker are exogenous, assumed to be determined by </w:t>
      </w:r>
      <w:r w:rsidR="00C42B74">
        <w:t xml:space="preserve">some </w:t>
      </w:r>
      <w:r>
        <w:t>social process. Given these constraints, the decision-maker must consider the health opportunity costs</w:t>
      </w:r>
      <w:r w:rsidR="005B3DD7">
        <w:t xml:space="preserve"> (or shadow price)</w:t>
      </w:r>
      <w:r>
        <w:t xml:space="preserve"> of committing expenditure to a particular use</w:t>
      </w:r>
      <w:r w:rsidR="005B3DD7">
        <w:t xml:space="preserve">. Within this literature these are estimated using the parameter </w:t>
      </w:r>
      <m:oMath>
        <m:r>
          <w:rPr>
            <w:rFonts w:ascii="Cambria Math" w:hAnsi="Cambria Math"/>
          </w:rPr>
          <m:t>k</m:t>
        </m:r>
      </m:oMath>
      <w:r w:rsidR="005B3DD7">
        <w:rPr>
          <w:rFonts w:eastAsiaTheme="minorEastAsia"/>
        </w:rPr>
        <w:t>, which reflects the rate at which health opportunity costs are incurred with</w:t>
      </w:r>
      <w:r w:rsidR="0075606C">
        <w:rPr>
          <w:rFonts w:eastAsiaTheme="minorEastAsia"/>
        </w:rPr>
        <w:t xml:space="preserve"> health care</w:t>
      </w:r>
      <w:r w:rsidR="005B3DD7">
        <w:rPr>
          <w:rFonts w:eastAsiaTheme="minorEastAsia"/>
        </w:rPr>
        <w:t xml:space="preserve"> expenditure (expressed in terms of cost per QALY).</w:t>
      </w:r>
      <w:r w:rsidR="005B3DD7">
        <w:t xml:space="preserve"> From </w:t>
      </w:r>
      <w:r w:rsidR="00C0515C">
        <w:t>the perspective of the decision-</w:t>
      </w:r>
      <w:r w:rsidR="005B3DD7">
        <w:t xml:space="preserve">maker </w:t>
      </w:r>
      <m:oMath>
        <m:r>
          <w:rPr>
            <w:rFonts w:ascii="Cambria Math" w:hAnsi="Cambria Math"/>
          </w:rPr>
          <m:t>k</m:t>
        </m:r>
      </m:oMath>
      <w:r w:rsidR="005B3DD7">
        <w:rPr>
          <w:rFonts w:eastAsiaTheme="minorEastAsia"/>
        </w:rPr>
        <w:t xml:space="preserve"> is</w:t>
      </w:r>
      <w:r w:rsidR="00696720">
        <w:rPr>
          <w:rFonts w:eastAsiaTheme="minorEastAsia"/>
        </w:rPr>
        <w:t xml:space="preserve"> therefore</w:t>
      </w:r>
      <w:r w:rsidR="005B3DD7">
        <w:rPr>
          <w:rFonts w:eastAsiaTheme="minorEastAsia"/>
        </w:rPr>
        <w:t xml:space="preserve"> exogenously determined in any given time period</w:t>
      </w:r>
      <w:r w:rsidR="00C0515C">
        <w:rPr>
          <w:rFonts w:eastAsiaTheme="minorEastAsia"/>
        </w:rPr>
        <w:t xml:space="preserve"> as</w:t>
      </w:r>
      <w:r w:rsidR="005B3DD7">
        <w:rPr>
          <w:rFonts w:eastAsiaTheme="minorEastAsia"/>
        </w:rPr>
        <w:t xml:space="preserve"> a result of the social</w:t>
      </w:r>
      <w:r w:rsidR="002F3C38">
        <w:rPr>
          <w:rFonts w:eastAsiaTheme="minorEastAsia"/>
        </w:rPr>
        <w:t xml:space="preserve"> process by which</w:t>
      </w:r>
      <w:r w:rsidR="005B3DD7">
        <w:rPr>
          <w:rFonts w:eastAsiaTheme="minorEastAsia"/>
        </w:rPr>
        <w:t xml:space="preserve"> resource allocation </w:t>
      </w:r>
      <w:r w:rsidR="002F3C38">
        <w:rPr>
          <w:rFonts w:eastAsiaTheme="minorEastAsia"/>
        </w:rPr>
        <w:t>occurs</w:t>
      </w:r>
      <w:r w:rsidR="005B3DD7">
        <w:rPr>
          <w:rFonts w:eastAsiaTheme="minorEastAsia"/>
        </w:rPr>
        <w:t>.</w:t>
      </w:r>
      <w:r w:rsidR="0029797D">
        <w:rPr>
          <w:rFonts w:eastAsiaTheme="minorEastAsia"/>
        </w:rPr>
        <w:t xml:space="preserve"> </w:t>
      </w:r>
      <w:r w:rsidR="00E2270B">
        <w:rPr>
          <w:rFonts w:eastAsiaTheme="minorEastAsia"/>
        </w:rPr>
        <w:t>Our analysis adopts</w:t>
      </w:r>
      <w:r w:rsidR="0029797D">
        <w:rPr>
          <w:rFonts w:eastAsiaTheme="minorEastAsia"/>
        </w:rPr>
        <w:t xml:space="preserve"> the perspective of</w:t>
      </w:r>
      <w:r w:rsidR="00E2270B">
        <w:rPr>
          <w:rFonts w:eastAsiaTheme="minorEastAsia"/>
        </w:rPr>
        <w:t xml:space="preserve"> the exogenously constrained</w:t>
      </w:r>
      <w:r w:rsidR="0029797D">
        <w:rPr>
          <w:rFonts w:eastAsiaTheme="minorEastAsia"/>
        </w:rPr>
        <w:t xml:space="preserve"> decision-making agent, rather than the resource allocating principal</w:t>
      </w:r>
      <w:r w:rsidR="00E2270B">
        <w:rPr>
          <w:rFonts w:eastAsiaTheme="minorEastAsia"/>
        </w:rPr>
        <w:t>, and so does not directly answer questions regarding whether the available resources can themselves be considered optimal.</w:t>
      </w:r>
    </w:p>
    <w:bookmarkEnd w:id="0"/>
    <w:p w:rsidR="00E64B5F" w:rsidRDefault="00E64B5F">
      <w:r>
        <w:t xml:space="preserve">In </w:t>
      </w:r>
      <w:r w:rsidR="00C61022">
        <w:t>principle</w:t>
      </w:r>
      <w:r>
        <w:t>, mathematical programming could be employed to design the optimal portfolio of health care</w:t>
      </w:r>
      <w:r w:rsidR="00C61022">
        <w:t xml:space="preserve"> given scarce resources, however implementing this in practice would make infeasible informational demands on behalf of the decision maker and require impractical</w:t>
      </w:r>
      <w:r w:rsidR="00C61022" w:rsidRPr="00C61022">
        <w:t xml:space="preserve"> </w:t>
      </w:r>
      <w:r w:rsidR="00C61022">
        <w:t>constant funding and de-funding of services</w:t>
      </w:r>
      <w:r w:rsidR="00C0515C">
        <w:t>.</w:t>
      </w:r>
      <w:r w:rsidR="00C61022">
        <w:fldChar w:fldCharType="begin" w:fldLock="1"/>
      </w:r>
      <w:r w:rsidR="00C07CA0">
        <w:instrText>ADDIN CSL_CITATION {"citationItems":[{"id":"ITEM-1","itemData":{"DOI":"10.1177/0272989X06297396","ISSN":"0272-989X","PMID":"17409363","abstract":"The standard decision rules of cost-effectiveness analysis either require the decision maker to set a threshold willingness to pay for additional health care or to set an overall fixed budget. In practice, neither are generally taken, but instead an arbitrary decision rule is followed that may not be consistent with the overall budget, lead to an allocation of resources that is less than optimal, and is unable to identify the program that should be displaced at the margin. Recent work has shown how mathematical programming can be used as a generalization of the standard decision rules. The authors extend the use of mathematical programming, first to incorporate more complex budgetary rules about when expenditure can be incurred, and show the opportunity loss, in terms of health benefit forgone, of each budgetary policy. Second, the authors demonstrate that indivisibility in a patient population can be regarded as essentially a concern for horizontal equity and represent this and other equity concerns as constraints in the program. Third, the authors estimate the different opportunity costs of a range of equity concerns applied to particular patient populations, and when imposed on all patient populations. They apply this framework of analysis to a realistic and policy-relevant problem.","author":[{"dropping-particle":"","family":"Epstein","given":"David M","non-dropping-particle":"","parse-names":false,"suffix":""},{"dropping-particle":"","family":"Chalabi","given":"Zaid","non-dropping-particle":"","parse-names":false,"suffix":""},{"dropping-particle":"","family":"Claxton","given":"Karl","non-dropping-particle":"","parse-names":false,"suffix":""},{"dropping-particle":"","family":"Sculpher","given":"Mark","non-dropping-particle":"","parse-names":false,"suffix":""}],"container-title":"Medical decision making : an international journal of the Society for Medical Decision Making","id":"ITEM-1","issue":"2","issued":{"date-parts":[["2007","1"]]},"page":"128-37","title":"Efficiency, equity, and budgetary policies: informing decisions using mathematical programming.","type":"article-journal","volume":"27"},"uris":["http://www.mendeley.com/documents/?uuid=ae8e46a6-467f-4933-b101-65a99d02d57d"]}],"mendeley":{"formattedCitation":"&lt;sup&gt;14&lt;/sup&gt;","plainTextFormattedCitation":"14","previouslyFormattedCitation":"&lt;sup&gt;14&lt;/sup&gt;"},"properties":{"noteIndex":0},"schema":"https://github.com/citation-style-language/schema/raw/master/csl-citation.json"}</w:instrText>
      </w:r>
      <w:r w:rsidR="00C61022">
        <w:fldChar w:fldCharType="separate"/>
      </w:r>
      <w:r w:rsidR="00C07CA0" w:rsidRPr="00C07CA0">
        <w:rPr>
          <w:noProof/>
          <w:vertAlign w:val="superscript"/>
        </w:rPr>
        <w:t>14</w:t>
      </w:r>
      <w:r w:rsidR="00C61022">
        <w:fldChar w:fldCharType="end"/>
      </w:r>
      <w:r>
        <w:t xml:space="preserve"> </w:t>
      </w:r>
      <w:r w:rsidR="00C13F42">
        <w:t>The use of</w:t>
      </w:r>
      <w:r w:rsidR="0066263C">
        <w:t xml:space="preserve"> I</w:t>
      </w:r>
      <w:r w:rsidR="00CA1D67">
        <w:t>CER</w:t>
      </w:r>
      <w:r w:rsidR="00C13F42">
        <w:t>-based</w:t>
      </w:r>
      <w:r w:rsidR="00CA1D67">
        <w:t xml:space="preserve"> decision rule</w:t>
      </w:r>
      <w:r w:rsidR="00FB01AB">
        <w:t>s</w:t>
      </w:r>
      <w:r w:rsidR="00CA1D67">
        <w:t xml:space="preserve"> is widespread</w:t>
      </w:r>
      <w:r w:rsidR="00411AC7">
        <w:t xml:space="preserve"> and is held to reflect a pragmatic approximate solution of </w:t>
      </w:r>
      <w:r w:rsidR="00C61022">
        <w:t>the</w:t>
      </w:r>
      <w:r w:rsidR="00411AC7">
        <w:t xml:space="preserve"> ma</w:t>
      </w:r>
      <w:r w:rsidR="00C61022">
        <w:t xml:space="preserve">thematical programming solution to </w:t>
      </w:r>
      <w:proofErr w:type="gramStart"/>
      <w:r w:rsidR="00C61022">
        <w:t>this</w:t>
      </w:r>
      <w:r>
        <w:t xml:space="preserve"> </w:t>
      </w:r>
      <w:r w:rsidR="00C64789">
        <w:t xml:space="preserve"> optimisation</w:t>
      </w:r>
      <w:proofErr w:type="gramEnd"/>
      <w:r w:rsidR="00411AC7">
        <w:t xml:space="preserve"> problem. The degree to which the approximation is reasonable is affected b</w:t>
      </w:r>
      <w:r w:rsidR="00E708DF">
        <w:t>y key assumptions around</w:t>
      </w:r>
      <w:r w:rsidR="00411AC7">
        <w:t xml:space="preserve"> divisibility</w:t>
      </w:r>
      <w:r w:rsidR="00E708DF">
        <w:t xml:space="preserve"> (relative to total spend)</w:t>
      </w:r>
      <w:r w:rsidR="00411AC7">
        <w:t>, returns to scale</w:t>
      </w:r>
      <w:r w:rsidR="00E708DF">
        <w:t xml:space="preserve"> (conditional on observed heterogeneity)</w:t>
      </w:r>
      <w:r w:rsidR="00411AC7">
        <w:t xml:space="preserve"> and consequences of budget over-spends</w:t>
      </w:r>
      <w:r w:rsidR="00C0515C">
        <w:t>.</w:t>
      </w:r>
      <w:r w:rsidR="00411AC7">
        <w:fldChar w:fldCharType="begin" w:fldLock="1"/>
      </w:r>
      <w:r w:rsidR="00C07CA0">
        <w:instrText>ADDIN CSL_CITATION {"citationItems":[{"id":"ITEM-1","itemData":{"DOI":"10.1016/J.JHEALECO.2009.11.005","ISSN":"0167-6296","abstract":"The allocation problem in health care can be characterised as a mathematical programming problem but attempts to incorporate uncertainty in costs and effect have suffered from important limitations. A two-stage stochastic mathematical programming formulation is developed and applied to a numerical example to explore and demonstrate the implications of this more general and comprehensive approach. The solution to the allocation problem for different budgets, budgetary policies, and available actions are then demonstrated. This analysis is used to evaluate different budgetary policies and examine the adequacy of standard decision rules in cost-effectiveness analysis. The research decision is then considered alongside the allocation problem. This more general formulation demonstrates that the value of further research depends on: (i) the budgetary policy in place; (ii) the realisations revealed during the budget period; (iii) remedial actions that may be available; and (iv) variability in parameters values.","author":[{"dropping-particle":"","family":"McKenna","given":"Claire","non-dropping-particle":"","parse-names":false,"suffix":""},{"dropping-particle":"","family":"Chalabi","given":"Zaid","non-dropping-particle":"","parse-names":false,"suffix":""},{"dropping-particle":"","family":"Epstein","given":"David","non-dropping-particle":"","parse-names":false,"suffix":""},{"dropping-particle":"","family":"Claxton","given":"Karl","non-dropping-particle":"","parse-names":false,"suffix":""}],"container-title":"Journal of Health Economics","id":"ITEM-1","issue":"1","issued":{"date-parts":[["2010","1","1"]]},"page":"170-181","publisher":"North-Holland","title":"Budgetary policies and available actions: A generalisation of decision rules for allocation and research decisions","type":"article-journal","volume":"29"},"uris":["http://www.mendeley.com/documents/?uuid=e9a95365-a75f-3849-8775-857f1b978dda"]}],"mendeley":{"formattedCitation":"&lt;sup&gt;15&lt;/sup&gt;","plainTextFormattedCitation":"15","previouslyFormattedCitation":"&lt;sup&gt;15&lt;/sup&gt;"},"properties":{"noteIndex":0},"schema":"https://github.com/citation-style-language/schema/raw/master/csl-citation.json"}</w:instrText>
      </w:r>
      <w:r w:rsidR="00411AC7">
        <w:fldChar w:fldCharType="separate"/>
      </w:r>
      <w:r w:rsidR="00C07CA0" w:rsidRPr="00C07CA0">
        <w:rPr>
          <w:noProof/>
          <w:vertAlign w:val="superscript"/>
        </w:rPr>
        <w:t>15</w:t>
      </w:r>
      <w:r w:rsidR="00411AC7">
        <w:fldChar w:fldCharType="end"/>
      </w:r>
    </w:p>
    <w:p w:rsidR="0066263C" w:rsidRDefault="00AE066F">
      <w:pPr>
        <w:rPr>
          <w:rFonts w:eastAsiaTheme="minorEastAsia"/>
        </w:rPr>
      </w:pPr>
      <w:r>
        <w:t xml:space="preserve">Practically, the use of ICER-based decision rules is limited in other ways. First, </w:t>
      </w:r>
      <w:r w:rsidR="009E6AC4">
        <w:t>several versions of the decisio</w:t>
      </w:r>
      <w:r w:rsidR="00E708DF">
        <w:t xml:space="preserve">n rule are required depending </w:t>
      </w:r>
      <w:r w:rsidR="009E6AC4">
        <w:t>on whether the new intervention has a positive or negative incremental cost and whether or not the new intervention has a positive or negative incremental QALY in the patient population under consideration.</w:t>
      </w:r>
      <w:r w:rsidR="00EB52D4">
        <w:t xml:space="preserve"> </w:t>
      </w:r>
      <w:r>
        <w:t>Second</w:t>
      </w:r>
      <w:r w:rsidR="00EB52D4">
        <w:t>, using ICERs is challenging when trying to characterise the associated uncertainty given its alternative interpretations depending on direction of incremental cost and effect and its statistical properties as a ratio of two random variables.</w:t>
      </w:r>
      <w:r>
        <w:t xml:space="preserve"> </w:t>
      </w:r>
      <w:r>
        <w:rPr>
          <w:rFonts w:eastAsiaTheme="minorEastAsia"/>
        </w:rPr>
        <w:t xml:space="preserve">Third, ICER-based decision rules can only be used within </w:t>
      </w:r>
      <w:r>
        <w:t>the context where decisions are made only to approve in full or reject in full. This simplification means that we do not consider decisions to approve with research recommendations</w:t>
      </w:r>
      <w:r>
        <w:fldChar w:fldCharType="begin" w:fldLock="1"/>
      </w:r>
      <w:r w:rsidR="00C07CA0">
        <w:instrText>ADDIN CSL_CITATION {"citationItems":[{"id":"ITEM-1","itemData":{"DOI":"10.1016/j.jval.2016.03.2003","ISSN":"10983015","PMID":"27712718","abstract":"BACKGROUND The value of evidence about the performance of a technology and the value of access to a technology are central to policy decisions regarding coverage with, without, or only in research and managed entry (or risk-sharing) agreements. OBJECTIVES We aim to outline the key principles of what assessments are needed to inform \"only in research\" (OIR) or \"approval with research\" (AWR) recommendations, in addition to approval or rejection. METHODS We developed a comprehensive algorithm to inform the sequence of assessments and judgments that lead to different types of guidance: OIR, AWR, Approve, or Reject. This algorithm identifies the order in which assessments might be made, how similar guidance might be arrived at through different combinations of considerations, and when guidance might change. RESULTS The key principles are whether the technology is expected to be cost-effective; whether the technology has significant irrecoverable costs; whether additional research is needed; whether research is possible with approval and whether there are opportunity costs that once committed by approval cannot be recovered; and whether there are effective price reductions. Determining expected cost-effectiveness is only a first step. In addition to AWR for technologies expected to be cost-effective and OIR for those not expected to be cost-effective, there are other important circumstances when OIR should be considered. CONCLUSIONS These principles demonstrate that cost-effectiveness is a necessary but not sufficient condition for approval. Even when research is possible with approval, OIR may be appropriate when a technology is expected to be cost-effective due to significant irrecoverable costs.","author":[{"dropping-particle":"","family":"Claxton","given":"Karl","non-dropping-particle":"","parse-names":false,"suffix":""},{"dropping-particle":"","family":"Palmer","given":"Stephen","non-dropping-particle":"","parse-names":false,"suffix":""},{"dropping-particle":"","family":"Longworth","given":"Louise","non-dropping-particle":"","parse-names":false,"suffix":""},{"dropping-particle":"","family":"Bojke","given":"Laura","non-dropping-particle":"","parse-names":false,"suffix":""},{"dropping-particle":"","family":"Griffin","given":"Susan","non-dropping-particle":"","parse-names":false,"suffix":""},{"dropping-particle":"","family":"Soares","given":"Marta","non-dropping-particle":"","parse-names":false,"suffix":""},{"dropping-particle":"","family":"Spackman","given":"Eldon","non-dropping-particle":"","parse-names":false,"suffix":""},{"dropping-particle":"","family":"Rothery","given":"Claire","non-dropping-particle":"","parse-names":false,"suffix":""}],"container-title":"Value in Health","id":"ITEM-1","issue":"6","issued":{"date-parts":[["2016","9"]]},"page":"885-891","title":"A Comprehensive Algorithm for Approval of Health Technologies With, Without, or Only in Research: The Key Principles for Informing Coverage Decisions","type":"article-journal","volume":"19"},"uris":["http://www.mendeley.com/documents/?uuid=b697e243-fce2-3e05-a89d-33c7f829eff9"]}],"mendeley":{"formattedCitation":"&lt;sup&gt;16&lt;/sup&gt;","plainTextFormattedCitation":"16","previouslyFormattedCitation":"&lt;sup&gt;16&lt;/sup&gt;"},"properties":{"noteIndex":0},"schema":"https://github.com/citation-style-language/schema/raw/master/csl-citation.json"}</w:instrText>
      </w:r>
      <w:r>
        <w:fldChar w:fldCharType="separate"/>
      </w:r>
      <w:r w:rsidR="00C07CA0" w:rsidRPr="00C07CA0">
        <w:rPr>
          <w:noProof/>
          <w:vertAlign w:val="superscript"/>
        </w:rPr>
        <w:t>16</w:t>
      </w:r>
      <w:r>
        <w:fldChar w:fldCharType="end"/>
      </w:r>
      <w:r>
        <w:t xml:space="preserve"> or to only partially approve a technology.</w:t>
      </w:r>
      <w:r w:rsidR="00C13F42">
        <w:fldChar w:fldCharType="begin" w:fldLock="1"/>
      </w:r>
      <w:r w:rsidR="00C13F42">
        <w:instrText>ADDIN CSL_CITATION {"citationItems":[{"id":"ITEM-1","itemData":{"abstract":"This paper introduces a framework by which to conceptualise the decision-making process in health technology assessment when the quantity of health forgone by acceptance is high enough such that the use of a single threshold based on the marginal productivity of the health care system is inappropriate, and draws out the implications of this for pharmaceutical pricing. Under the condition of perfect divisibility, a large budgetary impact of a new treatment may imply that optimal implementation may be partial rather than full, even at a given incremental cost effectiveness ratio (ICER) that would nevertheless mean the decision to accept the treatment in full would not lead to a net reduction in health. In a one-shot price setting game, this seems to give rise to horizontal equity concerns which may be more apparent than real. When the assumption of fixity of the ICER (arising from the assumed exogeneity of the manufacturerâ€™s price) is relaxed, it can be shown that the threat of partial implementation may be sufficient to give rise to an ICER at which cost the entire potential population is treated, maximising health at an increased level, and with no contravention of the horizontal equity principle.","author":[{"dropping-particle":"","family":"Howdon","given":"Daniel","non-dropping-particle":"","parse-names":false,"suffix":""},{"dropping-particle":"","family":"Lomas","given":"James","non-dropping-particle":"","parse-names":false,"suffix":""}],"container-title":"CHE Research Paper","id":"ITEM-1","issue":"148","issued":{"date-parts":[["2017"]]},"publisher":"Centre for Health Economics, University of York","title":"Pricing implications of non-marginal budgetary impacts in health technology assessment: a conceptual model","type":"article-journal"},"uris":["http://www.mendeley.com/documents/?uuid=3d9b2faa-a984-37c9-ab8e-f2459ed2feb5"]}],"mendeley":{"formattedCitation":"&lt;sup&gt;17&lt;/sup&gt;","plainTextFormattedCitation":"17","previouslyFormattedCitation":"&lt;sup&gt;17&lt;/sup&gt;"},"properties":{"noteIndex":0},"schema":"https://github.com/citation-style-language/schema/raw/master/csl-citation.json"}</w:instrText>
      </w:r>
      <w:r w:rsidR="00C13F42">
        <w:fldChar w:fldCharType="separate"/>
      </w:r>
      <w:r w:rsidR="00C13F42" w:rsidRPr="00C13F42">
        <w:rPr>
          <w:noProof/>
          <w:vertAlign w:val="superscript"/>
        </w:rPr>
        <w:t>17</w:t>
      </w:r>
      <w:r w:rsidR="00C13F42">
        <w:fldChar w:fldCharType="end"/>
      </w:r>
      <w:r w:rsidR="00EB52D4">
        <w:t xml:space="preserve"> </w:t>
      </w:r>
      <w:r>
        <w:t>Fourth</w:t>
      </w:r>
      <w:r w:rsidR="00EB52D4">
        <w:t xml:space="preserve">, ICERs will take the same value regardless of whether the </w:t>
      </w:r>
      <m:oMath>
        <m:r>
          <w:rPr>
            <w:rFonts w:ascii="Cambria Math" w:eastAsiaTheme="minorEastAsia" w:hAnsi="Cambria Math"/>
          </w:rPr>
          <m:t>∆C</m:t>
        </m:r>
      </m:oMath>
      <w:r w:rsidR="00EB52D4">
        <w:rPr>
          <w:rFonts w:eastAsiaTheme="minorEastAsia"/>
        </w:rPr>
        <w:t xml:space="preserve"> and </w:t>
      </w:r>
      <m:oMath>
        <m:r>
          <w:rPr>
            <w:rFonts w:ascii="Cambria Math" w:eastAsiaTheme="minorEastAsia" w:hAnsi="Cambria Math"/>
          </w:rPr>
          <m:t>∆QALY</m:t>
        </m:r>
      </m:oMath>
      <w:r w:rsidR="00EB52D4">
        <w:rPr>
          <w:rFonts w:eastAsiaTheme="minorEastAsia"/>
        </w:rPr>
        <w:t xml:space="preserve"> are calculated at the population or the per-patient level. Finally, it is worth bearing in mind that the distribution of costs over time are not</w:t>
      </w:r>
      <w:r w:rsidR="00B34424">
        <w:rPr>
          <w:rFonts w:eastAsiaTheme="minorEastAsia"/>
        </w:rPr>
        <w:t xml:space="preserve"> at all</w:t>
      </w:r>
      <w:r w:rsidR="00EB52D4">
        <w:rPr>
          <w:rFonts w:eastAsiaTheme="minorEastAsia"/>
        </w:rPr>
        <w:t xml:space="preserve"> visible from </w:t>
      </w:r>
      <w:r w:rsidR="00B34424">
        <w:rPr>
          <w:rFonts w:eastAsiaTheme="minorEastAsia"/>
        </w:rPr>
        <w:t>the ICER, which collapses all information on the time series of costs down to one summary statistic</w:t>
      </w:r>
      <w:r w:rsidR="00EB52D4">
        <w:rPr>
          <w:rFonts w:eastAsiaTheme="minorEastAsia"/>
        </w:rPr>
        <w:t>.</w:t>
      </w:r>
      <w:r>
        <w:rPr>
          <w:rFonts w:eastAsiaTheme="minorEastAsia"/>
        </w:rPr>
        <w:t xml:space="preserve"> </w:t>
      </w:r>
    </w:p>
    <w:p w:rsidR="00EB52D4" w:rsidRDefault="00EB52D4">
      <w:pPr>
        <w:rPr>
          <w:rFonts w:eastAsiaTheme="minorEastAsia"/>
        </w:rPr>
      </w:pPr>
      <w:r>
        <w:rPr>
          <w:rFonts w:eastAsiaTheme="minorEastAsia"/>
        </w:rPr>
        <w:t>An alternative decision rule using net benefit is proposed</w:t>
      </w:r>
      <w:r w:rsidR="00424DC5">
        <w:rPr>
          <w:rFonts w:eastAsiaTheme="minorEastAsia"/>
        </w:rPr>
        <w:fldChar w:fldCharType="begin" w:fldLock="1"/>
      </w:r>
      <w:r w:rsidR="00C07CA0">
        <w:rPr>
          <w:rFonts w:eastAsiaTheme="minorEastAsia"/>
        </w:rPr>
        <w:instrText>ADDIN CSL_CITATION {"citationItems":[{"id":"ITEM-1","itemData":{"ISSN":"0266-4623","PMID":"1903360","abstract":"Many people believe that cost-effectiveness (CE) and cost-benefit (CB) analyses require different assumptions. However, when CE analysis supports decisions to use medical resources, it makes the same assumptions that CB analysis requires. They are mathematically equivalent. Differences between CE and CB hinge more on reporting style than on fundamental assumptions.","author":[{"dropping-particle":"","family":"Phelps","given":"C E","non-dropping-particle":"","parse-names":false,"suffix":""},{"dropping-particle":"","family":"Mushlin","given":"A I","non-dropping-particle":"","parse-names":false,"suffix":""}],"container-title":"International journal of technology assessment in health care","id":"ITEM-1","issue":"1","issued":{"date-parts":[["1991"]]},"page":"12-21","title":"On the (near) equivalence of cost-effectiveness and cost-benefit analyses.","type":"article-journal","volume":"7"},"uris":["http://www.mendeley.com/documents/?uuid=e27ed304-98cb-340f-91d4-5000a09cb54b"]},{"id":"ITEM-2","itemData":{"DOI":"10.1002/(SICI)1099-1050(199611)5:6&lt;513::AID-HEC237&gt;3.0.CO;2-9","ISSN":"1057-9230","PMID":"9003938","abstract":"Whilst significant advances have been made in persuading clinical researchers of the value of conducting economic evaluation alongside clinical trials, a number of problems remain. The most fundamental is the fact that economic principles are almost entirely ignored in the traditional approach to trial design. For example, in the selection of an optimal sample size no consideration is given to the marginal costs or benefits of sample information. In the traditional approach this can lead to either unbounded or arbitrary sample sizes. This paper presents a decision-analytic approach to trial design which takes explicit account of the costs of sampling, the benefits of sample information and the decision rules of cost-effectiveness analysis. It also provides a consistent framework for setting priorities in research funding and establishes a set of screens (or hurdles) to evaluate the potential cost-effectiveness of research proposals. The framework permits research priority setting based explicitly on the budget constraint faced by clinical practitioners and on the information available prior to prospective research. It demonstrates the link between the value of clinical research and the budgetary restrictions on service provision, and it provides practical tools to establish the optimal allocation of resources between areas of clinical research or between service provision and research.","author":[{"dropping-particle":"","family":"Claxton","given":"Karl","non-dropping-particle":"","parse-names":false,"suffix":""},{"dropping-particle":"","family":"Posnett","given":"John","non-dropping-particle":"","parse-names":false,"suffix":""}],"container-title":"Health Economics","id":"ITEM-2","issue":"6","issued":{"date-parts":[["1996","11"]]},"page":"513-524","title":"An economic approach to clinical trial design and research priority-setting","type":"article-journal","volume":"5"},"uris":["http://www.mendeley.com/documents/?uuid=55dd549e-3ea5-3612-8aa7-4dca0cf6a207"]},{"id":"ITEM-3","itemData":{"DOI":"10.1177/0272989X98018002S09","ISSN":"0272-989X","PMID":"9566468","abstract":"In recent years, considerable attention has been devoted to the development of statistical methods for the analysis of uncertainty in cost-effectiveness (CE) analysis, with a focus on situations in which the analyst has patient-level data on the costs and health effects of alternative interventions. To date, discussions have focused almost exclusively on addressing the practical challenges involved in estimating confidence intervals for CE ratios. However, the general approach of using confidence intervals to convey information about uncertainty around CE ratio estimates suffers from theoretical limitations that render it inappropriate in many situations. The authors present an alternative framework for analyzing uncertainty in the economic evaluation of health interventions (the \"net health benefits\" approach) that is more broadly applicable and that avoids some problems of prior methods. This approach offers several practical and theoretical advantages over the analysis of CE ratios, is straightforward to apply, and highlights some important principles in the theoretical underpinnings of CE analysis.","author":[{"dropping-particle":"","family":"Stinnett","given":"Aaron A.","non-dropping-particle":"","parse-names":false,"suffix":""},{"dropping-particle":"","family":"Mullahy","given":"John","non-dropping-particle":"","parse-names":false,"suffix":""}],"container-title":"Medical Decision Making","id":"ITEM-3","issue":"2_suppl","issued":{"date-parts":[["1998","4","25"]]},"page":"S68-S80","title":"Net Health Benefits","type":"article-journal","volume":"18"},"uris":["http://www.mendeley.com/documents/?uuid=4c915ae3-3806-3524-a6b5-d623a7d9ecbf"]},{"id":"ITEM-4","itemData":{"DOI":"10.1002/hec.678","ISSN":"1057-9230","PMID":"12112491","abstract":"Economic evaluation is often seen as a branch of health economics divorced from mainstream econometric techniques. Instead, it is perceived as relying on statistical methods for clinical trials. Furthermore, the statistic of interest in cost-effectiveness analysis, the incremental cost-effectiveness ratio is not amenable to regression-based methods, hence the traditional reliance on comparing aggregate measures across the arms of a clinical trial. In this paper, we explore the potential for health economists undertaking cost-effectiveness analysis to exploit the plethora of established econometric techniques through the use of the net-benefit framework - a recently suggested reformulation of the cost-effectiveness problem that avoids the reliance on cost-effectiveness ratios and their associated statistical problems. This allows the formulation of the cost-effectiveness problem within a standard regression type framework. We provide an example with empirical data to illustrate how a regression type framework can enhance the net-benefit method. We go on to suggest that practical advantages of the net-benefit regression approach include being able to use established econometric techniques, adjust for imperfect randomisation, and identify important subgroups in order to estimate the marginal cost-effectiveness of an intervention.","author":[{"dropping-particle":"","family":"Hoch","given":"Jeffrey S.","non-dropping-particle":"","parse-names":false,"suffix":""},{"dropping-particle":"","family":"Briggs","given":"Andrew H.","non-dropping-particle":"","parse-names":false,"suffix":""},{"dropping-particle":"","family":"Willan","given":"Andrew R.","non-dropping-particle":"","parse-names":false,"suffix":""}],"container-title":"Health Economics","id":"ITEM-4","issue":"5","issued":{"date-parts":[["2002","7"]]},"page":"415-430","title":"Something old, something new, something borrowed, something blue: a framework for the marriage of health econometrics and cost-effectiveness analysis","type":"article-journal","volume":"11"},"uris":["http://www.mendeley.com/documents/?uuid=2e881b04-f125-3581-b84a-50627a52d924"]}],"mendeley":{"formattedCitation":"&lt;sup&gt;18–21&lt;/sup&gt;","plainTextFormattedCitation":"18–21","previouslyFormattedCitation":"&lt;sup&gt;18–21&lt;/sup&gt;"},"properties":{"noteIndex":0},"schema":"https://github.com/citation-style-language/schema/raw/master/csl-citation.json"}</w:instrText>
      </w:r>
      <w:r w:rsidR="00424DC5">
        <w:rPr>
          <w:rFonts w:eastAsiaTheme="minorEastAsia"/>
        </w:rPr>
        <w:fldChar w:fldCharType="separate"/>
      </w:r>
      <w:r w:rsidR="00C07CA0" w:rsidRPr="00C07CA0">
        <w:rPr>
          <w:rFonts w:eastAsiaTheme="minorEastAsia"/>
          <w:noProof/>
          <w:vertAlign w:val="superscript"/>
        </w:rPr>
        <w:t>18–21</w:t>
      </w:r>
      <w:r w:rsidR="00424DC5">
        <w:rPr>
          <w:rFonts w:eastAsiaTheme="minorEastAsia"/>
        </w:rPr>
        <w:fldChar w:fldCharType="end"/>
      </w:r>
      <w:r>
        <w:rPr>
          <w:rFonts w:eastAsiaTheme="minorEastAsia"/>
        </w:rPr>
        <w:t xml:space="preserve">, which is mathematically equivalent and results in the same decision as a rule based on ICERs when </w:t>
      </w:r>
      <m:oMath>
        <m:r>
          <w:rPr>
            <w:rFonts w:ascii="Cambria Math" w:eastAsiaTheme="minorEastAsia" w:hAnsi="Cambria Math"/>
          </w:rPr>
          <m:t>k</m:t>
        </m:r>
      </m:oMath>
      <w:r w:rsidR="00424DC5">
        <w:rPr>
          <w:rFonts w:eastAsiaTheme="minorEastAsia"/>
        </w:rPr>
        <w:t xml:space="preserve"> is assumed constant</w:t>
      </w:r>
      <w:r w:rsidR="00AE066F">
        <w:rPr>
          <w:rFonts w:eastAsiaTheme="minorEastAsia"/>
        </w:rPr>
        <w:t xml:space="preserve"> </w:t>
      </w:r>
      <w:r w:rsidR="00AE066F">
        <w:t>(implicitly assuming constant returns to the scale of total expenditure)</w:t>
      </w:r>
      <w:r w:rsidR="00424DC5">
        <w:rPr>
          <w:rFonts w:eastAsiaTheme="minorEastAsia"/>
        </w:rPr>
        <w:t xml:space="preserve">. </w:t>
      </w:r>
      <w:r w:rsidR="00AE066F">
        <w:rPr>
          <w:rFonts w:eastAsiaTheme="minorEastAsia"/>
        </w:rPr>
        <w:t xml:space="preserve"> </w:t>
      </w:r>
      <w:r w:rsidR="00424DC5">
        <w:rPr>
          <w:rFonts w:eastAsiaTheme="minorEastAsia"/>
        </w:rPr>
        <w:t>The net health benefit (</w:t>
      </w:r>
      <m:oMath>
        <m:r>
          <w:rPr>
            <w:rFonts w:ascii="Cambria Math" w:eastAsiaTheme="minorEastAsia" w:hAnsi="Cambria Math"/>
          </w:rPr>
          <m:t>NHB</m:t>
        </m:r>
      </m:oMath>
      <w:r w:rsidR="00424DC5">
        <w:rPr>
          <w:rFonts w:eastAsiaTheme="minorEastAsia"/>
        </w:rPr>
        <w:t xml:space="preserve">) formulation allows results to reflect the overall gain to population health, which is comprised of the </w:t>
      </w:r>
      <m:oMath>
        <m:r>
          <w:rPr>
            <w:rFonts w:ascii="Cambria Math" w:eastAsiaTheme="minorEastAsia" w:hAnsi="Cambria Math"/>
          </w:rPr>
          <m:t>∆QALY</m:t>
        </m:r>
      </m:oMath>
      <w:r w:rsidR="00424DC5">
        <w:rPr>
          <w:rFonts w:eastAsiaTheme="minorEastAsia"/>
        </w:rPr>
        <w:t xml:space="preserve"> in the patient population receiving the intervention, the </w:t>
      </w:r>
      <m:oMath>
        <m:r>
          <w:rPr>
            <w:rFonts w:ascii="Cambria Math" w:eastAsiaTheme="minorEastAsia" w:hAnsi="Cambria Math"/>
          </w:rPr>
          <m:t>∆C</m:t>
        </m:r>
      </m:oMath>
      <w:r w:rsidR="00424DC5">
        <w:rPr>
          <w:rFonts w:eastAsiaTheme="minorEastAsia"/>
        </w:rPr>
        <w:t xml:space="preserve"> imposed upon the health care </w:t>
      </w:r>
      <w:r w:rsidR="00424DC5">
        <w:rPr>
          <w:rFonts w:eastAsiaTheme="minorEastAsia"/>
        </w:rPr>
        <w:lastRenderedPageBreak/>
        <w:t xml:space="preserve">system and the health opportunity costs that result from </w:t>
      </w:r>
      <m:oMath>
        <m:r>
          <w:rPr>
            <w:rFonts w:ascii="Cambria Math" w:eastAsiaTheme="minorEastAsia" w:hAnsi="Cambria Math"/>
          </w:rPr>
          <m:t>∆C</m:t>
        </m:r>
      </m:oMath>
      <w:r w:rsidR="00424DC5">
        <w:rPr>
          <w:rFonts w:eastAsiaTheme="minorEastAsia"/>
        </w:rPr>
        <w:t xml:space="preserve"> (here given by the function </w:t>
      </w:r>
      <m:oMath>
        <m:r>
          <w:rPr>
            <w:rFonts w:ascii="Cambria Math" w:eastAsiaTheme="minorEastAsia" w:hAnsi="Cambria Math"/>
          </w:rPr>
          <m:t>HOC(∆C)</m:t>
        </m:r>
      </m:oMath>
      <w:r w:rsidR="00424DC5">
        <w:rPr>
          <w:rFonts w:eastAsiaTheme="minorEastAsia"/>
        </w:rPr>
        <w:t xml:space="preserve"> and then related back to </w:t>
      </w:r>
      <m:oMath>
        <m:r>
          <w:rPr>
            <w:rFonts w:ascii="Cambria Math" w:eastAsiaTheme="minorEastAsia" w:hAnsi="Cambria Math"/>
          </w:rPr>
          <m:t>k</m:t>
        </m:r>
      </m:oMath>
      <w:r w:rsidR="00B34424">
        <w:rPr>
          <w:rFonts w:eastAsiaTheme="minorEastAsia"/>
        </w:rPr>
        <w:t xml:space="preserve"> in the manner in which CEA is conventionally practised</w:t>
      </w:r>
      <w:r w:rsidR="00F61551">
        <w:rPr>
          <w:rFonts w:eastAsiaTheme="minorEastAsia"/>
        </w:rPr>
        <w:t>, equation 1</w:t>
      </w:r>
      <w:r w:rsidR="00424DC5">
        <w:rPr>
          <w:rFonts w:eastAsiaTheme="minorEastAsia"/>
        </w:rPr>
        <w:t>).</w:t>
      </w:r>
    </w:p>
    <w:p w:rsidR="00424DC5" w:rsidRPr="00424DC5" w:rsidRDefault="00424DC5" w:rsidP="00424DC5">
      <w:pPr>
        <w:ind w:left="1440" w:firstLine="720"/>
        <w:rPr>
          <w:rFonts w:eastAsiaTheme="minorEastAsia"/>
        </w:rPr>
      </w:pPr>
      <m:oMath>
        <m:r>
          <w:rPr>
            <w:rFonts w:ascii="Cambria Math" w:hAnsi="Cambria Math"/>
          </w:rPr>
          <m:t>NHB</m:t>
        </m:r>
        <m:r>
          <w:rPr>
            <w:rFonts w:ascii="Cambria Math" w:eastAsiaTheme="minorEastAsia" w:hAnsi="Cambria Math"/>
          </w:rPr>
          <m:t>=∆QALY-HOC(∆C)=∆QALY-</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k</m:t>
            </m:r>
          </m:den>
        </m:f>
      </m:oMath>
      <w:r>
        <w:rPr>
          <w:rFonts w:eastAsiaTheme="minorEastAsia"/>
        </w:rPr>
        <w:tab/>
      </w:r>
      <w:r>
        <w:rPr>
          <w:rFonts w:eastAsiaTheme="minorEastAsia"/>
        </w:rPr>
        <w:tab/>
      </w:r>
      <w:r>
        <w:rPr>
          <w:rFonts w:eastAsiaTheme="minorEastAsia"/>
        </w:rPr>
        <w:tab/>
      </w:r>
      <w:r>
        <w:rPr>
          <w:rFonts w:eastAsiaTheme="minorEastAsia"/>
        </w:rPr>
        <w:tab/>
        <w:t>(1)</w:t>
      </w:r>
    </w:p>
    <w:p w:rsidR="00424DC5" w:rsidRDefault="00B34424">
      <w:pPr>
        <w:rPr>
          <w:rFonts w:eastAsiaTheme="minorEastAsia"/>
        </w:rPr>
      </w:pPr>
      <w:r>
        <w:rPr>
          <w:rFonts w:eastAsiaTheme="minorEastAsia"/>
        </w:rPr>
        <w:t xml:space="preserve">The key advantage of using this formulation for the </w:t>
      </w:r>
      <w:r w:rsidR="00F61551">
        <w:rPr>
          <w:rFonts w:eastAsiaTheme="minorEastAsia"/>
        </w:rPr>
        <w:t>purpose of this paper is</w:t>
      </w:r>
      <w:r>
        <w:rPr>
          <w:rFonts w:eastAsiaTheme="minorEastAsia"/>
        </w:rPr>
        <w:t xml:space="preserve"> that net health benefit has a natural measure (QALYs) and, unlike the ICER, can be aggregated and averaged in a meaningful way. This provides additional flexibility that is required to fully reflect health opportunity costs in a decision rule when </w:t>
      </w:r>
      <m:oMath>
        <m:r>
          <w:rPr>
            <w:rFonts w:ascii="Cambria Math" w:eastAsiaTheme="minorEastAsia" w:hAnsi="Cambria Math"/>
          </w:rPr>
          <m:t>k</m:t>
        </m:r>
      </m:oMath>
      <w:r>
        <w:rPr>
          <w:rFonts w:eastAsiaTheme="minorEastAsia"/>
        </w:rPr>
        <w:t xml:space="preserve"> is no longer assumed constant</w:t>
      </w:r>
      <w:r w:rsidR="00C61022">
        <w:rPr>
          <w:rFonts w:eastAsiaTheme="minorEastAsia"/>
        </w:rPr>
        <w:t xml:space="preserve"> (thereby relaxing the constant returns to scale assumption)</w:t>
      </w:r>
      <w:r>
        <w:rPr>
          <w:rFonts w:eastAsiaTheme="minorEastAsia"/>
        </w:rPr>
        <w:t>, but specified as a function of budget impact (</w:t>
      </w:r>
      <m:oMath>
        <m:r>
          <w:rPr>
            <w:rFonts w:ascii="Cambria Math" w:eastAsiaTheme="minorEastAsia" w:hAnsi="Cambria Math"/>
          </w:rPr>
          <m:t>k(∆C)</m:t>
        </m:r>
      </m:oMath>
      <w:r>
        <w:rPr>
          <w:rFonts w:eastAsiaTheme="minorEastAsia"/>
        </w:rPr>
        <w:t>).</w:t>
      </w:r>
      <w:r w:rsidR="00F61551">
        <w:rPr>
          <w:rFonts w:eastAsiaTheme="minorEastAsia"/>
        </w:rPr>
        <w:t xml:space="preserve"> This is illustrated in equation 2.</w:t>
      </w:r>
    </w:p>
    <w:p w:rsidR="00F61551" w:rsidRDefault="00F61551" w:rsidP="00F61551">
      <w:pPr>
        <w:ind w:left="1440" w:firstLine="720"/>
        <w:rPr>
          <w:rFonts w:eastAsiaTheme="minorEastAsia"/>
        </w:rPr>
      </w:pPr>
      <m:oMath>
        <m:r>
          <w:rPr>
            <w:rFonts w:ascii="Cambria Math" w:hAnsi="Cambria Math"/>
          </w:rPr>
          <m:t>NHB</m:t>
        </m:r>
        <m:r>
          <w:rPr>
            <w:rFonts w:ascii="Cambria Math" w:eastAsiaTheme="minorEastAsia" w:hAnsi="Cambria Math"/>
          </w:rPr>
          <m:t>=∆QALY-HOC(∆C)=∆QALY-</m:t>
        </m:r>
        <m:f>
          <m:fPr>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k(∆C)</m:t>
            </m:r>
          </m:den>
        </m:f>
      </m:oMath>
      <w:r>
        <w:rPr>
          <w:rFonts w:eastAsiaTheme="minorEastAsia"/>
        </w:rPr>
        <w:tab/>
      </w:r>
      <w:r>
        <w:rPr>
          <w:rFonts w:eastAsiaTheme="minorEastAsia"/>
        </w:rPr>
        <w:tab/>
      </w:r>
      <w:r>
        <w:rPr>
          <w:rFonts w:eastAsiaTheme="minorEastAsia"/>
        </w:rPr>
        <w:tab/>
      </w:r>
      <w:r>
        <w:rPr>
          <w:rFonts w:eastAsiaTheme="minorEastAsia"/>
        </w:rPr>
        <w:tab/>
        <w:t>(2)</w:t>
      </w:r>
    </w:p>
    <w:p w:rsidR="00B34424" w:rsidRDefault="00B34424" w:rsidP="00B34424">
      <w:pPr>
        <w:pStyle w:val="Heading2"/>
        <w:rPr>
          <w:rFonts w:eastAsiaTheme="minorEastAsia"/>
        </w:rPr>
      </w:pPr>
      <w:r>
        <w:rPr>
          <w:rFonts w:eastAsiaTheme="minorEastAsia"/>
        </w:rPr>
        <w:t>Motivating example</w:t>
      </w:r>
    </w:p>
    <w:p w:rsidR="00B34424" w:rsidRDefault="00107348" w:rsidP="00B34424">
      <w:r>
        <w:t>In recent years, a number of medications for the treatment of Hepatitis C have been made available to the English NHS. These pharmacological treatm</w:t>
      </w:r>
      <w:r w:rsidR="00471A46">
        <w:t xml:space="preserve">ents </w:t>
      </w:r>
      <w:r w:rsidR="00FB01AB">
        <w:t>have</w:t>
      </w:r>
      <w:r>
        <w:t xml:space="preserve"> often</w:t>
      </w:r>
      <w:r w:rsidR="00FB01AB">
        <w:t xml:space="preserve"> been</w:t>
      </w:r>
      <w:r>
        <w:t xml:space="preserve"> found to be cost-effective for many patients owing to their greater effectiveness, despite the large estimated incremental cost per patient because of the prices charged by the manufacturers</w:t>
      </w:r>
      <w:r w:rsidR="00C13F42">
        <w:t>.</w:t>
      </w:r>
      <w:r>
        <w:fldChar w:fldCharType="begin" w:fldLock="1"/>
      </w:r>
      <w:r w:rsidR="00C07CA0">
        <w:instrText>ADDIN CSL_CITATION {"citationItems":[{"id":"ITEM-1","itemData":{"URL":"https://www.nice.org.uk/guidance/ta364","accessed":{"date-parts":[["2015","12","6"]]},"author":[{"dropping-particle":"","family":"NICE","given":"","non-dropping-particle":"","parse-names":false,"suffix":""}],"id":"ITEM-1","issued":{"date-parts":[["2015"]]},"language":"eng","publisher":"NICE","title":"Daclatasvir for treating chronic hepatitis C","type":"webpage"},"uris":["http://www.mendeley.com/documents/?uuid=c2c59a6e-39c9-4fc9-b31b-e99ac0e0c1a8"]},{"id":"ITEM-2","itemData":{"URL":"https://www.nice.org.uk/guidance/ta363","accessed":{"date-parts":[["2015","12","6"]]},"author":[{"dropping-particle":"","family":"NICE","given":"","non-dropping-particle":"","parse-names":false,"suffix":""}],"id":"ITEM-2","issued":{"date-parts":[["2015"]]},"language":"eng","publisher":"NICE","title":"Ledipasvir–sofosbuvir for treating chronic hepatitis C","type":"webpage"},"uris":["http://www.mendeley.com/documents/?uuid=3b71c793-d52c-4e6e-bcb5-eaecd3197c1b"]},{"id":"ITEM-3","itemData":{"URL":"https://www.nice.org.uk/guidance/ta365","accessed":{"date-parts":[["2015","12","6"]]},"author":[{"dropping-particle":"","family":"NICE","given":"","non-dropping-particle":"","parse-names":false,"suffix":""}],"id":"ITEM-3","issued":{"date-parts":[["2015"]]},"language":"eng","publisher":"NICE","title":"Ombitasvir–paritaprevir–ritonavir with or without dasabuvir for treating chronic hepatitis C","type":"webpage"},"uris":["http://www.mendeley.com/documents/?uuid=3cc9528d-1f28-4ba8-9dcf-737d039047ef"]}],"mendeley":{"formattedCitation":"&lt;sup&gt;22–24&lt;/sup&gt;","plainTextFormattedCitation":"22–24","previouslyFormattedCitation":"&lt;sup&gt;22–24&lt;/sup&gt;"},"properties":{"noteIndex":0},"schema":"https://github.com/citation-style-language/schema/raw/master/csl-citation.json"}</w:instrText>
      </w:r>
      <w:r>
        <w:fldChar w:fldCharType="separate"/>
      </w:r>
      <w:r w:rsidR="00C07CA0" w:rsidRPr="00C07CA0">
        <w:rPr>
          <w:noProof/>
          <w:vertAlign w:val="superscript"/>
        </w:rPr>
        <w:t>22–24</w:t>
      </w:r>
      <w:r>
        <w:fldChar w:fldCharType="end"/>
      </w:r>
      <w:r>
        <w:t xml:space="preserve"> These high acquisition costs, coupled with the prevalence of Hepatitis C in England, led to projected budget impacts that resulted in serious concerns about the affordability of these new drugs</w:t>
      </w:r>
      <w:r w:rsidR="00471A46">
        <w:t xml:space="preserve"> from NHS England</w:t>
      </w:r>
      <w:r>
        <w:t>.</w:t>
      </w:r>
      <w:r w:rsidR="00471A46">
        <w:t xml:space="preserve"> Depending upon assumptions about the likely patient population, the budget impact on the NHS was estimated to be between £60</w:t>
      </w:r>
      <w:r w:rsidR="00BC2B26">
        <w:t>mn</w:t>
      </w:r>
      <w:r w:rsidR="00471A46">
        <w:t xml:space="preserve"> and £772</w:t>
      </w:r>
      <w:r w:rsidR="00BC2B26">
        <w:t>mn</w:t>
      </w:r>
      <w:r w:rsidR="00C13F42">
        <w:t>.</w:t>
      </w:r>
      <w:r w:rsidR="00471A46">
        <w:fldChar w:fldCharType="begin" w:fldLock="1"/>
      </w:r>
      <w:r w:rsidR="00C07CA0">
        <w:instrText>ADDIN CSL_CITATION {"citationItems":[{"id":"ITEM-1","itemData":{"URL":"https://www.nice.org.uk/guidance/ta363","accessed":{"date-parts":[["2015","12","6"]]},"author":[{"dropping-particle":"","family":"NICE","given":"","non-dropping-particle":"","parse-names":false,"suffix":""}],"id":"ITEM-1","issued":{"date-parts":[["2015"]]},"language":"eng","publisher":"NICE","title":"Ledipasvir–sofosbuvir for treating chronic hepatitis C","type":"webpage"},"uris":["http://www.mendeley.com/documents/?uuid=3b71c793-d52c-4e6e-bcb5-eaecd3197c1b"]}],"mendeley":{"formattedCitation":"&lt;sup&gt;23&lt;/sup&gt;","plainTextFormattedCitation":"23","previouslyFormattedCitation":"&lt;sup&gt;23&lt;/sup&gt;"},"properties":{"noteIndex":0},"schema":"https://github.com/citation-style-language/schema/raw/master/csl-citation.json"}</w:instrText>
      </w:r>
      <w:r w:rsidR="00471A46">
        <w:fldChar w:fldCharType="separate"/>
      </w:r>
      <w:r w:rsidR="00C07CA0" w:rsidRPr="00C07CA0">
        <w:rPr>
          <w:noProof/>
          <w:vertAlign w:val="superscript"/>
        </w:rPr>
        <w:t>23</w:t>
      </w:r>
      <w:r w:rsidR="00471A46">
        <w:fldChar w:fldCharType="end"/>
      </w:r>
      <w:r w:rsidRPr="00107348">
        <w:t xml:space="preserve"> As a result</w:t>
      </w:r>
      <w:r w:rsidR="00471A46">
        <w:t xml:space="preserve"> NHS England decided that</w:t>
      </w:r>
      <w:r w:rsidRPr="00107348">
        <w:t xml:space="preserve"> the implementation period of NICE guidance was</w:t>
      </w:r>
      <w:r w:rsidR="00471A46">
        <w:t xml:space="preserve"> to be</w:t>
      </w:r>
      <w:r w:rsidRPr="00107348">
        <w:t xml:space="preserve"> extended beyond the usual timeframe</w:t>
      </w:r>
      <w:r w:rsidR="00471A46">
        <w:t xml:space="preserve"> for these drugs</w:t>
      </w:r>
      <w:r w:rsidR="00A90300">
        <w:t>.</w:t>
      </w:r>
      <w:r w:rsidR="00C13F42">
        <w:fldChar w:fldCharType="begin" w:fldLock="1"/>
      </w:r>
      <w:r w:rsidR="00C13F42">
        <w:instrText>ADDIN CSL_CITATION {"citationItems":[{"id":"ITEM-1","itemData":{"URL":"https://www.nice.org.uk/guidance/ta363","accessed":{"date-parts":[["2015","12","6"]]},"author":[{"dropping-particle":"","family":"NICE","given":"","non-dropping-particle":"","parse-names":false,"suffix":""}],"id":"ITEM-1","issued":{"date-parts":[["2015"]]},"language":"eng","publisher":"NICE","title":"Ledipasvir–sofosbuvir for treating chronic hepatitis C","type":"webpage"},"uris":["http://www.mendeley.com/documents/?uuid=3b71c793-d52c-4e6e-bcb5-eaecd3197c1b"]}],"mendeley":{"formattedCitation":"&lt;sup&gt;23&lt;/sup&gt;","plainTextFormattedCitation":"23","previouslyFormattedCitation":"&lt;sup&gt;23&lt;/sup&gt;"},"properties":{"noteIndex":0},"schema":"https://github.com/citation-style-language/schema/raw/master/csl-citation.json"}</w:instrText>
      </w:r>
      <w:r w:rsidR="00C13F42">
        <w:fldChar w:fldCharType="separate"/>
      </w:r>
      <w:r w:rsidR="00C13F42" w:rsidRPr="00C13F42">
        <w:rPr>
          <w:noProof/>
          <w:vertAlign w:val="superscript"/>
        </w:rPr>
        <w:t>23</w:t>
      </w:r>
      <w:r w:rsidR="00C13F42">
        <w:fldChar w:fldCharType="end"/>
      </w:r>
    </w:p>
    <w:p w:rsidR="00F057CB" w:rsidRDefault="00A90300" w:rsidP="00B34424">
      <w:r>
        <w:t xml:space="preserve">In </w:t>
      </w:r>
      <w:r w:rsidR="00A431E9">
        <w:t>this</w:t>
      </w:r>
      <w:r>
        <w:t xml:space="preserve"> example there are three key components leading </w:t>
      </w:r>
      <w:r w:rsidR="00A431E9">
        <w:t>to concerns about affordability:</w:t>
      </w:r>
      <w:r>
        <w:t xml:space="preserve"> </w:t>
      </w:r>
      <w:proofErr w:type="spellStart"/>
      <w:r w:rsidR="00A431E9">
        <w:t>i</w:t>
      </w:r>
      <w:proofErr w:type="spellEnd"/>
      <w:r w:rsidR="00A431E9">
        <w:t>)</w:t>
      </w:r>
      <w:r>
        <w:t xml:space="preserve"> the scale of the budget impact, with the largest estimated budget impact represent</w:t>
      </w:r>
      <w:r w:rsidR="00FB01AB">
        <w:t>ing</w:t>
      </w:r>
      <w:r>
        <w:t xml:space="preserve"> arou</w:t>
      </w:r>
      <w:r w:rsidR="00A431E9">
        <w:t>nd 0.7% of the total NHS budget;</w:t>
      </w:r>
      <w:r>
        <w:t xml:space="preserve"> </w:t>
      </w:r>
      <w:r w:rsidR="00A431E9">
        <w:t>ii)</w:t>
      </w:r>
      <w:r>
        <w:t xml:space="preserve"> while some cost savings in future years might result from the new Hepatitis C treatment</w:t>
      </w:r>
      <w:r w:rsidR="00FB01AB">
        <w:t>s’ increased effectiveness</w:t>
      </w:r>
      <w:r>
        <w:t>, th</w:t>
      </w:r>
      <w:r w:rsidR="00FB01AB">
        <w:t>e</w:t>
      </w:r>
      <w:r>
        <w:t>s</w:t>
      </w:r>
      <w:r w:rsidR="00FB01AB">
        <w:t>e savings are</w:t>
      </w:r>
      <w:r>
        <w:t xml:space="preserve"> insignificant next to the up-front budget impact </w:t>
      </w:r>
      <w:r w:rsidR="00FB01AB">
        <w:t>from</w:t>
      </w:r>
      <w:r>
        <w:t xml:space="preserve"> approving the use of the new medications for all patients with Hepatitis C</w:t>
      </w:r>
      <w:r w:rsidR="00A431E9">
        <w:t>; and iii)</w:t>
      </w:r>
      <w:r>
        <w:t xml:space="preserve"> the budget impact</w:t>
      </w:r>
      <w:r w:rsidR="00FB01AB">
        <w:t xml:space="preserve"> is uncertain</w:t>
      </w:r>
      <w:r>
        <w:t xml:space="preserve"> and the estimates under different assumptions led to vastly different results.</w:t>
      </w:r>
      <w:r w:rsidR="00CD4690">
        <w:t xml:space="preserve"> These three factors make this an interesting and policy-relevant example for discussing a framework that can incorporate concern</w:t>
      </w:r>
      <w:r w:rsidR="00F057CB">
        <w:t>s for affordability within CEA.</w:t>
      </w:r>
    </w:p>
    <w:p w:rsidR="00A90300" w:rsidRDefault="00CD4690" w:rsidP="00B34424">
      <w:pPr>
        <w:rPr>
          <w:rFonts w:eastAsiaTheme="minorEastAsia"/>
        </w:rPr>
      </w:pPr>
      <w:r>
        <w:t xml:space="preserve">This context was also analysed in </w:t>
      </w:r>
      <w:r>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fldChar w:fldCharType="separate"/>
      </w:r>
      <w:r w:rsidRPr="00CD4690">
        <w:rPr>
          <w:noProof/>
        </w:rPr>
        <w:t xml:space="preserve">Lomas et al. </w:t>
      </w:r>
      <w:r>
        <w:rPr>
          <w:noProof/>
        </w:rPr>
        <w:t>(</w:t>
      </w:r>
      <w:r w:rsidRPr="00CD4690">
        <w:rPr>
          <w:noProof/>
        </w:rPr>
        <w:t>2018)</w:t>
      </w:r>
      <w:r>
        <w:fldChar w:fldCharType="end"/>
      </w:r>
      <w:r>
        <w:t xml:space="preserve"> where two scenarios were compared. One where the budget impact of £772</w:t>
      </w:r>
      <w:r w:rsidR="00BC2B26">
        <w:t>mn</w:t>
      </w:r>
      <w:r>
        <w:t xml:space="preserve"> was incurred in the first year of approval, and another scenario where this budget impact was spread over an infinite number of years in small instalments such that the net present value was £772</w:t>
      </w:r>
      <w:r w:rsidR="00BC2B26">
        <w:t>mn</w:t>
      </w:r>
      <w:r>
        <w:t xml:space="preserve">. In conventional CEA the health opportunity costs of these two cost schedules would be equal since </w:t>
      </w:r>
      <m:oMath>
        <m:r>
          <w:rPr>
            <w:rFonts w:ascii="Cambria Math" w:hAnsi="Cambria Math"/>
          </w:rPr>
          <m:t>k</m:t>
        </m:r>
      </m:oMath>
      <w:r>
        <w:rPr>
          <w:rFonts w:eastAsiaTheme="minorEastAsia"/>
        </w:rPr>
        <w:t xml:space="preserve"> is assumed to be constant</w:t>
      </w:r>
      <w:r w:rsidR="00FB01AB">
        <w:rPr>
          <w:rFonts w:eastAsiaTheme="minorEastAsia"/>
        </w:rPr>
        <w:t xml:space="preserve"> (equation 1)</w:t>
      </w:r>
      <w:r>
        <w:rPr>
          <w:rFonts w:eastAsiaTheme="minorEastAsia"/>
        </w:rPr>
        <w:t>. Using their estimated relationship</w:t>
      </w:r>
      <w:r w:rsidR="00FB01AB">
        <w:rPr>
          <w:rFonts w:eastAsiaTheme="minorEastAsia"/>
        </w:rPr>
        <w:t xml:space="preserve"> between budget impact and </w:t>
      </w:r>
      <m:oMath>
        <m:r>
          <w:rPr>
            <w:rFonts w:ascii="Cambria Math" w:hAnsi="Cambria Math"/>
          </w:rPr>
          <m:t>k</m:t>
        </m:r>
      </m:oMath>
      <w:r>
        <w:rPr>
          <w:rFonts w:eastAsiaTheme="minorEastAsia"/>
        </w:rPr>
        <w:t xml:space="preserve">, </w:t>
      </w:r>
      <w:r w:rsidR="00C13F42">
        <w:t>they</w:t>
      </w:r>
      <w:r>
        <w:t xml:space="preserve"> find that</w:t>
      </w:r>
      <w:r w:rsidR="00F057CB">
        <w:t xml:space="preserve"> for</w:t>
      </w:r>
      <w:r>
        <w:t xml:space="preserve"> the first of these</w:t>
      </w:r>
      <w:r w:rsidR="00F057CB">
        <w:t xml:space="preserve"> cost</w:t>
      </w:r>
      <w:r>
        <w:t xml:space="preserve"> schedules, where all budget impact occurs in year one, the appropriate value of </w:t>
      </w:r>
      <m:oMath>
        <m:r>
          <w:rPr>
            <w:rFonts w:ascii="Cambria Math" w:hAnsi="Cambria Math"/>
          </w:rPr>
          <m:t>k</m:t>
        </m:r>
      </m:oMath>
      <w:r w:rsidR="00EC0685">
        <w:rPr>
          <w:rFonts w:eastAsiaTheme="minorEastAsia"/>
        </w:rPr>
        <w:t xml:space="preserve"> would be £12,452</w:t>
      </w:r>
      <w:r>
        <w:rPr>
          <w:rFonts w:eastAsiaTheme="minorEastAsia"/>
        </w:rPr>
        <w:t xml:space="preserve"> per QALY rather than the </w:t>
      </w:r>
      <w:r w:rsidR="004A599A">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4A599A">
        <w:rPr>
          <w:rFonts w:eastAsiaTheme="minorEastAsia"/>
        </w:rPr>
        <w:fldChar w:fldCharType="separate"/>
      </w:r>
      <w:r w:rsidR="004A599A" w:rsidRPr="004A599A">
        <w:rPr>
          <w:rFonts w:eastAsiaTheme="minorEastAsia"/>
          <w:noProof/>
        </w:rPr>
        <w:t xml:space="preserve">Claxton et al. </w:t>
      </w:r>
      <w:r w:rsidR="004A599A">
        <w:rPr>
          <w:rFonts w:eastAsiaTheme="minorEastAsia"/>
          <w:noProof/>
        </w:rPr>
        <w:t>(</w:t>
      </w:r>
      <w:r w:rsidR="004A599A" w:rsidRPr="004A599A">
        <w:rPr>
          <w:rFonts w:eastAsiaTheme="minorEastAsia"/>
          <w:noProof/>
        </w:rPr>
        <w:t>2015)</w:t>
      </w:r>
      <w:r w:rsidR="004A599A">
        <w:rPr>
          <w:rFonts w:eastAsiaTheme="minorEastAsia"/>
        </w:rPr>
        <w:fldChar w:fldCharType="end"/>
      </w:r>
      <w:r w:rsidR="00C13F42">
        <w:rPr>
          <w:rFonts w:eastAsiaTheme="minorEastAsia"/>
        </w:rPr>
        <w:fldChar w:fldCharType="begin" w:fldLock="1"/>
      </w:r>
      <w:r w:rsidR="00EC0685">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plainTextFormattedCitation":"25","previouslyFormattedCitation":"&lt;sup&gt;25&lt;/sup&gt;"},"properties":{"noteIndex":0},"schema":"https://github.com/citation-style-language/schema/raw/master/csl-citation.json"}</w:instrText>
      </w:r>
      <w:r w:rsidR="00C13F42">
        <w:rPr>
          <w:rFonts w:eastAsiaTheme="minorEastAsia"/>
        </w:rPr>
        <w:fldChar w:fldCharType="separate"/>
      </w:r>
      <w:r w:rsidR="00C13F42" w:rsidRPr="00C13F42">
        <w:rPr>
          <w:rFonts w:eastAsiaTheme="minorEastAsia"/>
          <w:noProof/>
          <w:vertAlign w:val="superscript"/>
        </w:rPr>
        <w:t>25</w:t>
      </w:r>
      <w:r w:rsidR="00C13F42">
        <w:rPr>
          <w:rFonts w:eastAsiaTheme="minorEastAsia"/>
        </w:rPr>
        <w:fldChar w:fldCharType="end"/>
      </w:r>
      <w:r>
        <w:rPr>
          <w:rFonts w:eastAsiaTheme="minorEastAsia"/>
        </w:rPr>
        <w:t xml:space="preserve"> estimate of £12,936 per QALY for marginal investments. Estimating health opportunity costs using </w:t>
      </w:r>
      <w:r w:rsidR="00F057CB">
        <w:rPr>
          <w:rFonts w:eastAsiaTheme="minorEastAsia"/>
        </w:rPr>
        <w:t xml:space="preserve">this value of </w:t>
      </w:r>
      <m:oMath>
        <m:r>
          <w:rPr>
            <w:rFonts w:ascii="Cambria Math" w:hAnsi="Cambria Math"/>
          </w:rPr>
          <m:t>k</m:t>
        </m:r>
      </m:oMath>
      <w:r w:rsidR="00F057CB">
        <w:t xml:space="preserve"> </w:t>
      </w:r>
      <w:r>
        <w:t>resulted in a value</w:t>
      </w:r>
      <w:r w:rsidR="001211C7">
        <w:t xml:space="preserve"> roughly</w:t>
      </w:r>
      <w:r>
        <w:t xml:space="preserve"> 4% greater than when estimated using </w:t>
      </w:r>
      <w:r w:rsidR="004A599A">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4A599A">
        <w:rPr>
          <w:rFonts w:eastAsiaTheme="minorEastAsia"/>
        </w:rPr>
        <w:fldChar w:fldCharType="separate"/>
      </w:r>
      <w:r w:rsidR="004A599A" w:rsidRPr="004A599A">
        <w:rPr>
          <w:rFonts w:eastAsiaTheme="minorEastAsia"/>
          <w:noProof/>
        </w:rPr>
        <w:t xml:space="preserve">Claxton et al. </w:t>
      </w:r>
      <w:r w:rsidR="004A599A">
        <w:rPr>
          <w:rFonts w:eastAsiaTheme="minorEastAsia"/>
          <w:noProof/>
        </w:rPr>
        <w:t>(</w:t>
      </w:r>
      <w:r w:rsidR="004A599A" w:rsidRPr="004A599A">
        <w:rPr>
          <w:rFonts w:eastAsiaTheme="minorEastAsia"/>
          <w:noProof/>
        </w:rPr>
        <w:t>2015)</w:t>
      </w:r>
      <w:r w:rsidR="004A599A">
        <w:rPr>
          <w:rFonts w:eastAsiaTheme="minorEastAsia"/>
        </w:rPr>
        <w:fldChar w:fldCharType="end"/>
      </w:r>
      <w:r>
        <w:rPr>
          <w:rFonts w:eastAsiaTheme="minorEastAsia"/>
        </w:rPr>
        <w:t>.</w:t>
      </w:r>
    </w:p>
    <w:p w:rsidR="00244192" w:rsidRDefault="00A431E9" w:rsidP="00244192">
      <w:pPr>
        <w:pStyle w:val="Heading2"/>
        <w:rPr>
          <w:rFonts w:eastAsiaTheme="minorEastAsia"/>
        </w:rPr>
      </w:pPr>
      <w:r>
        <w:rPr>
          <w:rFonts w:eastAsiaTheme="minorEastAsia"/>
        </w:rPr>
        <w:t>I</w:t>
      </w:r>
      <w:r w:rsidR="00244192">
        <w:rPr>
          <w:rFonts w:eastAsiaTheme="minorEastAsia"/>
        </w:rPr>
        <w:t xml:space="preserve">mplications when the time profile of budget impacts is </w:t>
      </w:r>
      <w:r>
        <w:rPr>
          <w:rFonts w:eastAsiaTheme="minorEastAsia"/>
        </w:rPr>
        <w:t>significant</w:t>
      </w:r>
    </w:p>
    <w:p w:rsidR="00244192" w:rsidRDefault="00244192" w:rsidP="00244192">
      <w:pPr>
        <w:rPr>
          <w:rFonts w:eastAsiaTheme="minorEastAsia"/>
        </w:rPr>
      </w:pPr>
      <w:r>
        <w:t>Conventional practice in CEA is to collapse information on the time profile of costs and effects into a single summary measure</w:t>
      </w:r>
      <w:r w:rsidR="00A86582">
        <w:t>:</w:t>
      </w:r>
      <w:r>
        <w:t xml:space="preserve"> the net present value. </w:t>
      </w:r>
      <w:r w:rsidR="00A86582">
        <w:t>B</w:t>
      </w:r>
      <w:r>
        <w:t xml:space="preserve">udget impacts in the short term are given greater weight, </w:t>
      </w:r>
      <w:r w:rsidR="00A86582">
        <w:t>when</w:t>
      </w:r>
      <w:r>
        <w:t xml:space="preserve"> a positive discount rate is employed, which means that quantities in the future </w:t>
      </w:r>
      <w:r w:rsidR="00A86582">
        <w:t>are more heavily discounted</w:t>
      </w:r>
      <w:r>
        <w:t xml:space="preserve">. However, this doesn’t explicitly deal with the affordability of budget </w:t>
      </w:r>
      <w:r>
        <w:lastRenderedPageBreak/>
        <w:t xml:space="preserve">impacts in any given time period and the greater opportunity costs faced when the budget impact is larger. To illustrate, let us consider an example based upon the Hepatitis C </w:t>
      </w:r>
      <w:r w:rsidR="00C13F42">
        <w:t>context</w:t>
      </w:r>
      <w:r>
        <w:t xml:space="preserve"> and the </w:t>
      </w:r>
      <w:r w:rsidR="00C13F42">
        <w:t xml:space="preserve">published estimates of </w:t>
      </w:r>
      <m:oMath>
        <m:r>
          <w:rPr>
            <w:rFonts w:ascii="Cambria Math" w:hAnsi="Cambria Math"/>
          </w:rPr>
          <m:t>k</m:t>
        </m:r>
      </m:oMath>
      <w:r w:rsidR="00C13F42">
        <w:rPr>
          <w:rFonts w:eastAsiaTheme="minorEastAsia"/>
        </w:rPr>
        <w:t xml:space="preserve"> and </w:t>
      </w:r>
      <m:oMath>
        <m:r>
          <w:rPr>
            <w:rFonts w:ascii="Cambria Math" w:eastAsiaTheme="minorEastAsia" w:hAnsi="Cambria Math"/>
          </w:rPr>
          <m:t>k(∆C)</m:t>
        </m:r>
      </m:oMath>
      <w:r w:rsidR="00C13F42">
        <w:rPr>
          <w:rFonts w:eastAsiaTheme="minorEastAsia"/>
        </w:rPr>
        <w:t>.</w:t>
      </w:r>
      <w:r w:rsidR="00C13F42">
        <w:rPr>
          <w:rFonts w:eastAsiaTheme="minorEastAsia"/>
        </w:rPr>
        <w:fldChar w:fldCharType="begin" w:fldLock="1"/>
      </w:r>
      <w:r w:rsidR="00C13F42">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threshold.","type":"article-journal"},"uris":["http://www.mendeley.com/documents/?uuid=f50897fe-cb16-44b1-a777-9929195db4cb"]},{"id":"ITEM-2","itemData":{"DOI":"10.1016/J.JVAL.2017.10.006","ISSN":"1098-3015","abstract":"Considering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Health","id":"ITEM-2","issued":{"date-parts":[["2018","1","4"]]},"publisher":"Elsevier","title":"Resolving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11,25&lt;/sup&gt;","plainTextFormattedCitation":"11,25","previouslyFormattedCitation":"&lt;sup&gt;11,25&lt;/sup&gt;"},"properties":{"noteIndex":0},"schema":"https://github.com/citation-style-language/schema/raw/master/csl-citation.json"}</w:instrText>
      </w:r>
      <w:r w:rsidR="00C13F42">
        <w:rPr>
          <w:rFonts w:eastAsiaTheme="minorEastAsia"/>
        </w:rPr>
        <w:fldChar w:fldCharType="separate"/>
      </w:r>
      <w:r w:rsidR="00C13F42" w:rsidRPr="00C13F42">
        <w:rPr>
          <w:rFonts w:eastAsiaTheme="minorEastAsia"/>
          <w:noProof/>
          <w:vertAlign w:val="superscript"/>
        </w:rPr>
        <w:t>11,25</w:t>
      </w:r>
      <w:r w:rsidR="00C13F42">
        <w:rPr>
          <w:rFonts w:eastAsiaTheme="minorEastAsia"/>
        </w:rPr>
        <w:fldChar w:fldCharType="end"/>
      </w:r>
      <w:r>
        <w:t xml:space="preserve"> Note that the implications here are not limi</w:t>
      </w:r>
      <w:r w:rsidR="00C13F42">
        <w:t xml:space="preserve">ted to these specific estimates. </w:t>
      </w:r>
      <w:r>
        <w:rPr>
          <w:rFonts w:eastAsiaTheme="minorEastAsia"/>
        </w:rPr>
        <w:t xml:space="preserve">First, consider the general form in which results might be obtained from a decision model, and the conventional way in which </w:t>
      </w:r>
      <w:r w:rsidR="007F3014">
        <w:rPr>
          <w:rFonts w:eastAsiaTheme="minorEastAsia"/>
        </w:rPr>
        <w:t>these would be analysed in terms of informing a decision rule.</w:t>
      </w:r>
    </w:p>
    <w:p w:rsidR="00F61551" w:rsidRDefault="00F61551" w:rsidP="00F61551">
      <w:pPr>
        <w:pStyle w:val="Caption"/>
        <w:keepNext/>
      </w:pPr>
      <w:r>
        <w:t xml:space="preserve">Table </w:t>
      </w:r>
      <w:r w:rsidR="00E708DF">
        <w:rPr>
          <w:noProof/>
        </w:rPr>
        <w:fldChar w:fldCharType="begin"/>
      </w:r>
      <w:r w:rsidR="00E708DF">
        <w:rPr>
          <w:noProof/>
        </w:rPr>
        <w:instrText xml:space="preserve"> SEQ Table \* ARABIC </w:instrText>
      </w:r>
      <w:r w:rsidR="00E708DF">
        <w:rPr>
          <w:noProof/>
        </w:rPr>
        <w:fldChar w:fldCharType="separate"/>
      </w:r>
      <w:r w:rsidR="0072619E">
        <w:rPr>
          <w:noProof/>
        </w:rPr>
        <w:t>1</w:t>
      </w:r>
      <w:r w:rsidR="00E708DF">
        <w:rPr>
          <w:noProof/>
        </w:rPr>
        <w:fldChar w:fldCharType="end"/>
      </w:r>
      <w:r>
        <w:t xml:space="preserve"> - General form of time profile of costs and effects</w:t>
      </w:r>
    </w:p>
    <w:tbl>
      <w:tblPr>
        <w:tblStyle w:val="LightShading"/>
        <w:tblW w:w="6770" w:type="dxa"/>
        <w:tblLook w:val="04A0" w:firstRow="1" w:lastRow="0" w:firstColumn="1" w:lastColumn="0" w:noHBand="0" w:noVBand="1"/>
      </w:tblPr>
      <w:tblGrid>
        <w:gridCol w:w="2280"/>
        <w:gridCol w:w="2024"/>
        <w:gridCol w:w="2466"/>
      </w:tblGrid>
      <w:tr w:rsidR="0079152E" w:rsidTr="007915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Pr>
          <w:p w:rsidR="0079152E" w:rsidRDefault="0079152E" w:rsidP="0079152E">
            <w:r>
              <w:t>Time (t, years)</w:t>
            </w:r>
          </w:p>
        </w:tc>
        <w:tc>
          <w:tcPr>
            <w:tcW w:w="2024" w:type="dxa"/>
          </w:tcPr>
          <w:p w:rsidR="0079152E" w:rsidRDefault="0079152E" w:rsidP="0079152E">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oMath>
            </m:oMathPara>
          </w:p>
        </w:tc>
        <w:tc>
          <w:tcPr>
            <w:tcW w:w="2466" w:type="dxa"/>
          </w:tcPr>
          <w:p w:rsidR="0079152E" w:rsidRDefault="0079152E" w:rsidP="0079152E">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oMath>
            </m:oMathPara>
          </w:p>
        </w:tc>
      </w:tr>
      <w:tr w:rsidR="0079152E" w:rsidTr="0079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79152E" w:rsidRDefault="0079152E" w:rsidP="0079152E">
            <w:r>
              <w:t>1</w:t>
            </w:r>
          </w:p>
        </w:tc>
        <w:tc>
          <w:tcPr>
            <w:tcW w:w="2024" w:type="dxa"/>
            <w:tcBorders>
              <w:left w:val="single" w:sz="4" w:space="0" w:color="auto"/>
              <w:right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QALY</m:t>
                    </m:r>
                  </m:e>
                  <m:sub>
                    <m:r>
                      <w:rPr>
                        <w:rFonts w:ascii="Cambria Math" w:hAnsi="Cambria Math"/>
                      </w:rPr>
                      <m:t>1</m:t>
                    </m:r>
                  </m:sub>
                </m:sSub>
              </m:oMath>
            </m:oMathPara>
          </w:p>
        </w:tc>
        <w:tc>
          <w:tcPr>
            <w:tcW w:w="2466" w:type="dxa"/>
            <w:tcBorders>
              <w:left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1</m:t>
                    </m:r>
                  </m:sub>
                </m:sSub>
              </m:oMath>
            </m:oMathPara>
          </w:p>
        </w:tc>
      </w:tr>
      <w:tr w:rsidR="0079152E" w:rsidTr="0079152E">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79152E" w:rsidRDefault="0079152E" w:rsidP="0079152E">
            <w:r>
              <w:t>2</w:t>
            </w:r>
          </w:p>
        </w:tc>
        <w:tc>
          <w:tcPr>
            <w:tcW w:w="2024" w:type="dxa"/>
            <w:tcBorders>
              <w:left w:val="single" w:sz="4" w:space="0" w:color="auto"/>
              <w:right w:val="single" w:sz="4" w:space="0" w:color="auto"/>
            </w:tcBorders>
            <w:shd w:val="clear" w:color="auto" w:fill="auto"/>
          </w:tcPr>
          <w:p w:rsidR="0079152E" w:rsidRDefault="0079152E" w:rsidP="0079152E">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2</m:t>
                    </m:r>
                  </m:sub>
                </m:sSub>
              </m:oMath>
            </m:oMathPara>
          </w:p>
        </w:tc>
        <w:tc>
          <w:tcPr>
            <w:tcW w:w="2466" w:type="dxa"/>
            <w:tcBorders>
              <w:left w:val="single" w:sz="4" w:space="0" w:color="auto"/>
            </w:tcBorders>
            <w:shd w:val="clear" w:color="auto" w:fill="auto"/>
          </w:tcPr>
          <w:p w:rsidR="0079152E" w:rsidRDefault="0079152E" w:rsidP="0079152E">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2</m:t>
                    </m:r>
                  </m:sub>
                </m:sSub>
              </m:oMath>
            </m:oMathPara>
          </w:p>
        </w:tc>
      </w:tr>
      <w:tr w:rsidR="0079152E" w:rsidTr="0079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79152E" w:rsidRDefault="0079152E" w:rsidP="0079152E">
            <w:r>
              <w:t>3</w:t>
            </w:r>
          </w:p>
        </w:tc>
        <w:tc>
          <w:tcPr>
            <w:tcW w:w="2024" w:type="dxa"/>
            <w:tcBorders>
              <w:left w:val="single" w:sz="4" w:space="0" w:color="auto"/>
              <w:right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3</m:t>
                    </m:r>
                  </m:sub>
                </m:sSub>
              </m:oMath>
            </m:oMathPara>
          </w:p>
        </w:tc>
        <w:tc>
          <w:tcPr>
            <w:tcW w:w="2466" w:type="dxa"/>
            <w:tcBorders>
              <w:left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3</m:t>
                    </m:r>
                  </m:sub>
                </m:sSub>
              </m:oMath>
            </m:oMathPara>
          </w:p>
        </w:tc>
      </w:tr>
      <w:tr w:rsidR="0079152E" w:rsidTr="0079152E">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79152E" w:rsidRDefault="0079152E" w:rsidP="0079152E">
            <w:r>
              <w:t>…</w:t>
            </w:r>
          </w:p>
        </w:tc>
        <w:tc>
          <w:tcPr>
            <w:tcW w:w="2024" w:type="dxa"/>
            <w:tcBorders>
              <w:left w:val="single" w:sz="4" w:space="0" w:color="auto"/>
              <w:right w:val="single" w:sz="4" w:space="0" w:color="auto"/>
            </w:tcBorders>
            <w:shd w:val="clear" w:color="auto" w:fill="auto"/>
          </w:tcPr>
          <w:p w:rsidR="0079152E" w:rsidRDefault="0079152E" w:rsidP="0079152E">
            <w:pPr>
              <w:jc w:val="center"/>
              <w:cnfStyle w:val="000000000000" w:firstRow="0" w:lastRow="0" w:firstColumn="0" w:lastColumn="0" w:oddVBand="0" w:evenVBand="0" w:oddHBand="0" w:evenHBand="0" w:firstRowFirstColumn="0" w:firstRowLastColumn="0" w:lastRowFirstColumn="0" w:lastRowLastColumn="0"/>
            </w:pPr>
            <w:r>
              <w:t>…</w:t>
            </w:r>
          </w:p>
        </w:tc>
        <w:tc>
          <w:tcPr>
            <w:tcW w:w="2466" w:type="dxa"/>
            <w:tcBorders>
              <w:left w:val="single" w:sz="4" w:space="0" w:color="auto"/>
            </w:tcBorders>
            <w:shd w:val="clear" w:color="auto" w:fill="auto"/>
          </w:tcPr>
          <w:p w:rsidR="0079152E" w:rsidRDefault="0079152E" w:rsidP="0079152E">
            <w:pPr>
              <w:jc w:val="center"/>
              <w:cnfStyle w:val="000000000000" w:firstRow="0" w:lastRow="0" w:firstColumn="0" w:lastColumn="0" w:oddVBand="0" w:evenVBand="0" w:oddHBand="0" w:evenHBand="0" w:firstRowFirstColumn="0" w:firstRowLastColumn="0" w:lastRowFirstColumn="0" w:lastRowLastColumn="0"/>
            </w:pPr>
            <w:r>
              <w:t>…</w:t>
            </w:r>
          </w:p>
        </w:tc>
      </w:tr>
      <w:tr w:rsidR="0079152E" w:rsidTr="007915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bottom w:val="single" w:sz="4" w:space="0" w:color="auto"/>
              <w:right w:val="single" w:sz="4" w:space="0" w:color="auto"/>
            </w:tcBorders>
            <w:shd w:val="clear" w:color="auto" w:fill="auto"/>
          </w:tcPr>
          <w:p w:rsidR="0079152E" w:rsidRDefault="0079152E" w:rsidP="0079152E">
            <w:r>
              <w:t>T</w:t>
            </w:r>
          </w:p>
        </w:tc>
        <w:tc>
          <w:tcPr>
            <w:tcW w:w="2024" w:type="dxa"/>
            <w:tcBorders>
              <w:left w:val="single" w:sz="4" w:space="0" w:color="auto"/>
              <w:bottom w:val="single" w:sz="4" w:space="0" w:color="auto"/>
              <w:right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oMath>
            </m:oMathPara>
          </w:p>
        </w:tc>
        <w:tc>
          <w:tcPr>
            <w:tcW w:w="2466" w:type="dxa"/>
            <w:tcBorders>
              <w:left w:val="single" w:sz="4" w:space="0" w:color="auto"/>
              <w:bottom w:val="single" w:sz="4" w:space="0" w:color="auto"/>
            </w:tcBorders>
            <w:shd w:val="clear" w:color="auto" w:fill="auto"/>
          </w:tcPr>
          <w:p w:rsidR="0079152E" w:rsidRDefault="0079152E" w:rsidP="0079152E">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oMath>
            </m:oMathPara>
          </w:p>
        </w:tc>
      </w:tr>
      <w:tr w:rsidR="0079152E" w:rsidTr="0079152E">
        <w:tc>
          <w:tcPr>
            <w:cnfStyle w:val="001000000000" w:firstRow="0" w:lastRow="0" w:firstColumn="1" w:lastColumn="0" w:oddVBand="0" w:evenVBand="0" w:oddHBand="0" w:evenHBand="0" w:firstRowFirstColumn="0" w:firstRowLastColumn="0" w:lastRowFirstColumn="0" w:lastRowLastColumn="0"/>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152E" w:rsidRDefault="0079152E" w:rsidP="0079152E">
            <w:r>
              <w:t>Net present value</w:t>
            </w:r>
          </w:p>
        </w:tc>
        <w:tc>
          <w:tcPr>
            <w:tcW w:w="2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152E" w:rsidRDefault="0079152E" w:rsidP="0079152E">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t=1</m:t>
                    </m:r>
                  </m:sub>
                  <m:sup>
                    <m:r>
                      <w:rPr>
                        <w:rFonts w:ascii="Cambria Math" w:hAnsi="Cambria Math"/>
                      </w:rPr>
                      <m:t>T</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color w:val="auto"/>
                              </w:rPr>
                            </m:ctrlPr>
                          </m:sSupPr>
                          <m:e>
                            <m:r>
                              <w:rPr>
                                <w:rFonts w:ascii="Cambria Math" w:hAnsi="Cambria Math"/>
                              </w:rPr>
                              <m:t>(1+</m:t>
                            </m:r>
                            <m:sSub>
                              <m:sSubPr>
                                <m:ctrlPr>
                                  <w:rPr>
                                    <w:rFonts w:ascii="Cambria Math" w:hAnsi="Cambria Math"/>
                                    <w:i/>
                                    <w:iCs/>
                                    <w:color w:val="auto"/>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oMath>
            </m:oMathPara>
          </w:p>
        </w:tc>
        <w:tc>
          <w:tcPr>
            <w:tcW w:w="2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9152E" w:rsidRDefault="0079152E" w:rsidP="0079152E">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t=1</m:t>
                    </m:r>
                  </m:sub>
                  <m:sup>
                    <m:r>
                      <w:rPr>
                        <w:rFonts w:ascii="Cambria Math" w:hAnsi="Cambria Math"/>
                      </w:rPr>
                      <m:t>T</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num>
                      <m:den>
                        <m:sSup>
                          <m:sSupPr>
                            <m:ctrlPr>
                              <w:rPr>
                                <w:rFonts w:ascii="Cambria Math" w:hAnsi="Cambria Math"/>
                                <w:i/>
                                <w:iCs/>
                                <w:color w:val="auto"/>
                              </w:rPr>
                            </m:ctrlPr>
                          </m:sSupPr>
                          <m:e>
                            <m:r>
                              <w:rPr>
                                <w:rFonts w:ascii="Cambria Math" w:hAnsi="Cambria Math"/>
                              </w:rPr>
                              <m:t>(1+</m:t>
                            </m:r>
                            <m:sSub>
                              <m:sSubPr>
                                <m:ctrlPr>
                                  <w:rPr>
                                    <w:rFonts w:ascii="Cambria Math" w:hAnsi="Cambria Math"/>
                                    <w:i/>
                                    <w:iCs/>
                                    <w:color w:val="auto"/>
                                  </w:rPr>
                                </m:ctrlPr>
                              </m:sSubPr>
                              <m:e>
                                <m:r>
                                  <w:rPr>
                                    <w:rFonts w:ascii="Cambria Math" w:hAnsi="Cambria Math"/>
                                  </w:rPr>
                                  <m:t>d</m:t>
                                </m:r>
                              </m:e>
                              <m:sub>
                                <m:r>
                                  <w:rPr>
                                    <w:rFonts w:ascii="Cambria Math" w:hAnsi="Cambria Math"/>
                                  </w:rPr>
                                  <m:t>c</m:t>
                                </m:r>
                              </m:sub>
                            </m:sSub>
                            <m:r>
                              <w:rPr>
                                <w:rFonts w:ascii="Cambria Math" w:hAnsi="Cambria Math"/>
                              </w:rPr>
                              <m:t>)</m:t>
                            </m:r>
                          </m:e>
                          <m:sup>
                            <m:r>
                              <w:rPr>
                                <w:rFonts w:ascii="Cambria Math" w:hAnsi="Cambria Math"/>
                              </w:rPr>
                              <m:t>t</m:t>
                            </m:r>
                          </m:sup>
                        </m:sSup>
                      </m:den>
                    </m:f>
                  </m:e>
                </m:nary>
              </m:oMath>
            </m:oMathPara>
          </w:p>
        </w:tc>
      </w:tr>
    </w:tbl>
    <w:p w:rsidR="0072619E" w:rsidRDefault="00EE3AEC" w:rsidP="00F61551">
      <w:pPr>
        <w:rPr>
          <w:rFonts w:eastAsiaTheme="minorEastAsia"/>
          <w:iCs/>
        </w:rPr>
      </w:pPr>
      <w:r>
        <w:t xml:space="preserve">Where </w:t>
      </w:r>
      <m:oMath>
        <m:sSub>
          <m:sSubPr>
            <m:ctrlPr>
              <w:rPr>
                <w:rFonts w:ascii="Cambria Math" w:hAnsi="Cambria Math"/>
                <w:i/>
                <w:iCs/>
              </w:rPr>
            </m:ctrlPr>
          </m:sSubPr>
          <m:e>
            <m:r>
              <w:rPr>
                <w:rFonts w:ascii="Cambria Math" w:hAnsi="Cambria Math"/>
              </w:rPr>
              <m:t>d</m:t>
            </m:r>
          </m:e>
          <m:sub>
            <m:r>
              <w:rPr>
                <w:rFonts w:ascii="Cambria Math" w:hAnsi="Cambria Math"/>
              </w:rPr>
              <m:t>c</m:t>
            </m:r>
          </m:sub>
        </m:sSub>
      </m:oMath>
      <w:r>
        <w:rPr>
          <w:rFonts w:eastAsiaTheme="minorEastAsia"/>
          <w:iCs/>
        </w:rPr>
        <w:t xml:space="preserve"> is the discount rate used for costs and </w:t>
      </w:r>
      <m:oMath>
        <m:sSub>
          <m:sSubPr>
            <m:ctrlPr>
              <w:rPr>
                <w:rFonts w:ascii="Cambria Math" w:hAnsi="Cambria Math"/>
                <w:i/>
                <w:iCs/>
              </w:rPr>
            </m:ctrlPr>
          </m:sSubPr>
          <m:e>
            <m:r>
              <w:rPr>
                <w:rFonts w:ascii="Cambria Math" w:hAnsi="Cambria Math"/>
              </w:rPr>
              <m:t>d</m:t>
            </m:r>
          </m:e>
          <m:sub>
            <m:r>
              <w:rPr>
                <w:rFonts w:ascii="Cambria Math" w:hAnsi="Cambria Math"/>
              </w:rPr>
              <m:t>h</m:t>
            </m:r>
          </m:sub>
        </m:sSub>
      </m:oMath>
      <w:r>
        <w:rPr>
          <w:rFonts w:eastAsiaTheme="minorEastAsia"/>
          <w:iCs/>
        </w:rPr>
        <w:t xml:space="preserve"> is the discount rate used for health.</w:t>
      </w:r>
    </w:p>
    <w:p w:rsidR="0072619E" w:rsidRDefault="005B6677" w:rsidP="0072619E">
      <w:r>
        <w:t>Focusing for now on the costs column and how these might look under different schedules for the Hepatitis C example, assuming</w:t>
      </w:r>
      <w:r w:rsidR="00F61551">
        <w:t xml:space="preserve"> </w:t>
      </w:r>
      <m:oMath>
        <m:sSub>
          <m:sSubPr>
            <m:ctrlPr>
              <w:rPr>
                <w:rFonts w:ascii="Cambria Math" w:hAnsi="Cambria Math"/>
                <w:i/>
                <w:iCs/>
              </w:rPr>
            </m:ctrlPr>
          </m:sSubPr>
          <m:e>
            <m:r>
              <w:rPr>
                <w:rFonts w:ascii="Cambria Math" w:hAnsi="Cambria Math"/>
              </w:rPr>
              <m:t>d</m:t>
            </m:r>
          </m:e>
          <m:sub>
            <m:r>
              <w:rPr>
                <w:rFonts w:ascii="Cambria Math" w:hAnsi="Cambria Math"/>
              </w:rPr>
              <m:t>c</m:t>
            </m:r>
          </m:sub>
        </m:sSub>
        <m:r>
          <w:rPr>
            <w:rFonts w:ascii="Cambria Math" w:hAnsi="Cambria Math"/>
          </w:rPr>
          <m:t>=0</m:t>
        </m:r>
      </m:oMath>
      <w:r>
        <w:rPr>
          <w:rFonts w:eastAsiaTheme="minorEastAsia"/>
          <w:iCs/>
        </w:rPr>
        <w:t xml:space="preserve"> for simplicit</w:t>
      </w:r>
      <w:r w:rsidR="00F61551">
        <w:rPr>
          <w:rFonts w:eastAsiaTheme="minorEastAsia"/>
          <w:iCs/>
        </w:rPr>
        <w:t>y without loss of generality</w:t>
      </w:r>
      <w:r>
        <w:rPr>
          <w:rFonts w:eastAsiaTheme="minorEastAsia"/>
          <w:iCs/>
        </w:rPr>
        <w:t>, we consider three different scenarios</w:t>
      </w:r>
      <w:r w:rsidR="00F61551">
        <w:rPr>
          <w:rFonts w:eastAsiaTheme="minorEastAsia"/>
          <w:iCs/>
        </w:rPr>
        <w:t>.</w:t>
      </w:r>
      <w:r w:rsidR="0072619E">
        <w:rPr>
          <w:rFonts w:eastAsiaTheme="minorEastAsia"/>
          <w:iCs/>
        </w:rPr>
        <w:t xml:space="preserve"> </w:t>
      </w:r>
      <w:r w:rsidR="0072619E">
        <w:t xml:space="preserve">In all three scenarios the net present value of the incremental cost is £772mn, but each scenario represents quite a different time profile of budget impacts. Scenarios 1 and 2 correspond exactly to the examples in </w:t>
      </w:r>
      <w:r w:rsidR="0072619E">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rsidR="0072619E">
        <w:fldChar w:fldCharType="separate"/>
      </w:r>
      <w:r w:rsidR="0072619E" w:rsidRPr="004A599A">
        <w:rPr>
          <w:noProof/>
        </w:rPr>
        <w:t xml:space="preserve">Lomas et al. </w:t>
      </w:r>
      <w:r w:rsidR="0072619E">
        <w:rPr>
          <w:noProof/>
        </w:rPr>
        <w:t>(</w:t>
      </w:r>
      <w:r w:rsidR="0072619E" w:rsidRPr="004A599A">
        <w:rPr>
          <w:noProof/>
        </w:rPr>
        <w:t>2018)</w:t>
      </w:r>
      <w:r w:rsidR="0072619E">
        <w:fldChar w:fldCharType="end"/>
      </w:r>
      <w:r w:rsidR="0072619E">
        <w:t>. Scenario 1 is where the entire budget impact is faced in year 1, while scenario 2 is where the budget impact in any given year is small to the extent that they are marginal, but that the net present value of these spread over a sufficiently long time horizon to result in a net present value of £772mn. Finally, scenario 3 corresponds to somewhere in between scenarios 1 and 2 where the budget impact is spread over 3 years with half the impact in year 1 and the remaining impact split evenly over years 2 and 3.</w:t>
      </w:r>
    </w:p>
    <w:p w:rsidR="00F61551" w:rsidRDefault="00F61551" w:rsidP="00F61551">
      <w:pPr>
        <w:pStyle w:val="Heading3"/>
        <w:rPr>
          <w:rFonts w:eastAsiaTheme="minorEastAsia"/>
        </w:rPr>
      </w:pPr>
      <w:r>
        <w:rPr>
          <w:rFonts w:eastAsiaTheme="minorEastAsia"/>
        </w:rPr>
        <w:t>Conventional practice in CEA</w:t>
      </w:r>
    </w:p>
    <w:p w:rsidR="001658AC" w:rsidRDefault="00672A5D" w:rsidP="00244192">
      <w:pPr>
        <w:rPr>
          <w:rFonts w:eastAsiaTheme="minorEastAsia"/>
        </w:rPr>
      </w:pPr>
      <w:r>
        <w:rPr>
          <w:rFonts w:eastAsiaTheme="minorEastAsia"/>
        </w:rPr>
        <w:t xml:space="preserve">For all of these scenarios the health opportunity costs would be calculated to be the same using the conventional approach where </w:t>
      </w:r>
      <m:oMath>
        <m:r>
          <w:rPr>
            <w:rFonts w:ascii="Cambria Math" w:eastAsiaTheme="minorEastAsia" w:hAnsi="Cambria Math"/>
          </w:rPr>
          <m:t>k</m:t>
        </m:r>
      </m:oMath>
      <w:r>
        <w:rPr>
          <w:rFonts w:eastAsiaTheme="minorEastAsia"/>
        </w:rPr>
        <w:t xml:space="preserve"> is constant despite the very different time profile of costs. </w:t>
      </w:r>
      <w:r w:rsidR="001658AC">
        <w:rPr>
          <w:rFonts w:eastAsiaTheme="minorEastAsia"/>
        </w:rPr>
        <w:t>Adapting equation 1, the decision rule associated with these results would calculate NHB in the following manner</w:t>
      </w:r>
      <w:r>
        <w:rPr>
          <w:rFonts w:eastAsiaTheme="minorEastAsia"/>
        </w:rPr>
        <w:t xml:space="preserve"> for all three scenarios using </w:t>
      </w:r>
      <w:r w:rsidR="00CE5263">
        <w:rPr>
          <w:rFonts w:eastAsiaTheme="minorEastAsia"/>
        </w:rPr>
        <w:t>a constant value for</w:t>
      </w:r>
      <w:r>
        <w:rPr>
          <w:rFonts w:eastAsiaTheme="minorEastAsia"/>
        </w:rPr>
        <w:t xml:space="preserve"> </w:t>
      </w:r>
      <m:oMath>
        <m:r>
          <w:rPr>
            <w:rFonts w:ascii="Cambria Math" w:eastAsiaTheme="minorEastAsia" w:hAnsi="Cambria Math"/>
          </w:rPr>
          <m:t>k</m:t>
        </m:r>
      </m:oMath>
      <w:r w:rsidR="003C2531">
        <w:rPr>
          <w:rFonts w:eastAsiaTheme="minorEastAsia"/>
        </w:rPr>
        <w:t xml:space="preserve"> based on </w:t>
      </w:r>
      <w:r w:rsidR="003C2531">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3C2531">
        <w:rPr>
          <w:rFonts w:eastAsiaTheme="minorEastAsia"/>
        </w:rPr>
        <w:fldChar w:fldCharType="separate"/>
      </w:r>
      <w:r w:rsidR="003C2531" w:rsidRPr="003C2531">
        <w:rPr>
          <w:rFonts w:eastAsiaTheme="minorEastAsia"/>
          <w:noProof/>
        </w:rPr>
        <w:t xml:space="preserve">Claxton et al. </w:t>
      </w:r>
      <w:r w:rsidR="003C2531">
        <w:rPr>
          <w:rFonts w:eastAsiaTheme="minorEastAsia"/>
          <w:noProof/>
        </w:rPr>
        <w:t>(</w:t>
      </w:r>
      <w:r w:rsidR="003C2531" w:rsidRPr="003C2531">
        <w:rPr>
          <w:rFonts w:eastAsiaTheme="minorEastAsia"/>
          <w:noProof/>
        </w:rPr>
        <w:t>2015)</w:t>
      </w:r>
      <w:r w:rsidR="003C2531">
        <w:rPr>
          <w:rFonts w:eastAsiaTheme="minorEastAsia"/>
        </w:rPr>
        <w:fldChar w:fldCharType="end"/>
      </w:r>
      <w:r w:rsidR="001658AC">
        <w:rPr>
          <w:rFonts w:eastAsiaTheme="minorEastAsia"/>
        </w:rPr>
        <w:t>, where a value greater than zero would indicate that the intervention should be approved:</w:t>
      </w:r>
    </w:p>
    <w:p w:rsidR="007F3014" w:rsidRPr="001658AC" w:rsidRDefault="001658AC" w:rsidP="00C975EF">
      <w:pPr>
        <w:rPr>
          <w:rFonts w:eastAsiaTheme="minorEastAsia"/>
        </w:rPr>
      </w:pP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c</m:t>
                                </m:r>
                              </m:sub>
                            </m:sSub>
                          </m:e>
                        </m:d>
                      </m:e>
                      <m:sup>
                        <m:r>
                          <w:rPr>
                            <w:rFonts w:ascii="Cambria Math" w:hAnsi="Cambria Math"/>
                          </w:rPr>
                          <m:t>t</m:t>
                        </m:r>
                      </m:sup>
                    </m:sSup>
                  </m:den>
                </m:f>
              </m:e>
            </m:nary>
          </m:num>
          <m:den>
            <m:r>
              <w:rPr>
                <w:rFonts w:ascii="Cambria Math" w:eastAsiaTheme="minorEastAsia" w:hAnsi="Cambria Math"/>
              </w:rPr>
              <m:t>k</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£772mn</m:t>
            </m:r>
          </m:num>
          <m:den>
            <m:r>
              <w:rPr>
                <w:rFonts w:ascii="Cambria Math" w:eastAsiaTheme="minorEastAsia" w:hAnsi="Cambria Math"/>
              </w:rPr>
              <m:t>£12,936 per QALY</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-59,677&gt;0</m:t>
        </m:r>
      </m:oMath>
      <w:r>
        <w:rPr>
          <w:rFonts w:eastAsiaTheme="minorEastAsia"/>
        </w:rPr>
        <w:tab/>
        <w:t>(</w:t>
      </w:r>
      <w:r w:rsidR="00C975EF">
        <w:rPr>
          <w:rFonts w:eastAsiaTheme="minorEastAsia"/>
        </w:rPr>
        <w:t>3</w:t>
      </w:r>
      <w:r>
        <w:rPr>
          <w:rFonts w:eastAsiaTheme="minorEastAsia"/>
        </w:rPr>
        <w:t>)</w:t>
      </w:r>
    </w:p>
    <w:p w:rsidR="001658AC" w:rsidRDefault="00CE5263" w:rsidP="00244192">
      <w:pPr>
        <w:rPr>
          <w:rFonts w:eastAsiaTheme="minorEastAsia"/>
        </w:rPr>
      </w:pPr>
      <w:r>
        <w:rPr>
          <w:rFonts w:eastAsiaTheme="minorEastAsia"/>
        </w:rPr>
        <w:t>For all three scenarios, irrespective of the</w:t>
      </w:r>
      <w:r w:rsidR="00FE29F4">
        <w:rPr>
          <w:rFonts w:eastAsiaTheme="minorEastAsia"/>
        </w:rPr>
        <w:t xml:space="preserve"> large scale of the budget impact</w:t>
      </w:r>
      <w:r w:rsidR="00B603F0">
        <w:rPr>
          <w:rFonts w:eastAsiaTheme="minorEastAsia"/>
        </w:rPr>
        <w:t>s</w:t>
      </w:r>
      <w:r w:rsidR="00FE29F4">
        <w:rPr>
          <w:rFonts w:eastAsiaTheme="minorEastAsia"/>
        </w:rPr>
        <w:t xml:space="preserve"> and how they are distributed over time</w:t>
      </w:r>
      <w:r>
        <w:rPr>
          <w:rFonts w:eastAsiaTheme="minorEastAsia"/>
        </w:rPr>
        <w:t xml:space="preserve">, the </w:t>
      </w:r>
      <w:r w:rsidR="0028178B">
        <w:rPr>
          <w:rFonts w:eastAsiaTheme="minorEastAsia"/>
        </w:rPr>
        <w:t>intervention</w:t>
      </w:r>
      <w:r>
        <w:rPr>
          <w:rFonts w:eastAsiaTheme="minorEastAsia"/>
        </w:rPr>
        <w:t xml:space="preserve"> would be found to be cost-effective if the net present value of population health gains exceeded 59,677 QALYs. It is possible to re-formulate equation (3)</w:t>
      </w:r>
      <w:r w:rsidR="003C2531">
        <w:rPr>
          <w:rFonts w:eastAsiaTheme="minorEastAsia"/>
        </w:rPr>
        <w:t xml:space="preserve"> as an equivalent ICER-based </w:t>
      </w:r>
      <w:r w:rsidR="001658AC">
        <w:rPr>
          <w:rFonts w:eastAsiaTheme="minorEastAsia"/>
        </w:rPr>
        <w:t>decision rule</w:t>
      </w:r>
      <w:r w:rsidR="00D4769A">
        <w:rPr>
          <w:rFonts w:eastAsiaTheme="minorEastAsia"/>
        </w:rPr>
        <w:t>,</w:t>
      </w:r>
      <w:r w:rsidR="001658AC">
        <w:rPr>
          <w:rFonts w:eastAsiaTheme="minorEastAsia"/>
        </w:rPr>
        <w:t xml:space="preserve"> </w:t>
      </w:r>
      <w:r w:rsidR="00DE6662">
        <w:rPr>
          <w:rFonts w:eastAsiaTheme="minorEastAsia"/>
        </w:rPr>
        <w:t>assuming</w:t>
      </w:r>
      <w:r w:rsidR="001658AC">
        <w:rPr>
          <w:rFonts w:eastAsiaTheme="minorEastAsia"/>
        </w:rPr>
        <w:t xml:space="preserve"> both the net present value of incrementa</w:t>
      </w:r>
      <w:r w:rsidR="00DE6662">
        <w:rPr>
          <w:rFonts w:eastAsiaTheme="minorEastAsia"/>
        </w:rPr>
        <w:t>l costs and incremental QALYs a</w:t>
      </w:r>
      <w:r w:rsidR="001658AC">
        <w:rPr>
          <w:rFonts w:eastAsiaTheme="minorEastAsia"/>
        </w:rPr>
        <w:t>re positive,</w:t>
      </w:r>
      <w:r w:rsidR="00106297">
        <w:rPr>
          <w:rFonts w:eastAsiaTheme="minorEastAsia"/>
        </w:rPr>
        <w:t xml:space="preserve"> which indicates that the intervention should be approved if</w:t>
      </w:r>
      <w:r w:rsidR="005017D5">
        <w:rPr>
          <w:rFonts w:eastAsiaTheme="minorEastAsia"/>
        </w:rPr>
        <w:t xml:space="preserve"> the estimated ICER is less than the value of </w:t>
      </w:r>
      <m:oMath>
        <m:r>
          <w:rPr>
            <w:rFonts w:ascii="Cambria Math" w:eastAsiaTheme="minorEastAsia" w:hAnsi="Cambria Math"/>
          </w:rPr>
          <m:t>k</m:t>
        </m:r>
      </m:oMath>
      <w:r w:rsidR="005017D5">
        <w:rPr>
          <w:rFonts w:eastAsiaTheme="minorEastAsia"/>
        </w:rPr>
        <w:t xml:space="preserve"> adopted</w:t>
      </w:r>
      <w:r w:rsidR="001658AC">
        <w:rPr>
          <w:rFonts w:eastAsiaTheme="minorEastAsia"/>
        </w:rPr>
        <w:t>:</w:t>
      </w:r>
    </w:p>
    <w:p w:rsidR="001658AC" w:rsidRDefault="005017D5" w:rsidP="00106297">
      <w:pPr>
        <w:ind w:left="2160"/>
        <w:rPr>
          <w:rFonts w:eastAsiaTheme="minorEastAsia"/>
        </w:rPr>
      </w:pPr>
      <m:oMath>
        <m:r>
          <w:rPr>
            <w:rFonts w:ascii="Cambria Math" w:hAnsi="Cambria Math"/>
          </w:rPr>
          <m:t>ICER=</m:t>
        </m:r>
        <m:f>
          <m:fPr>
            <m:ctrlPr>
              <w:rPr>
                <w:rFonts w:ascii="Cambria Math" w:eastAsiaTheme="minorEastAsia" w:hAnsi="Cambria Math"/>
                <w:i/>
              </w:rPr>
            </m:ctrlPr>
          </m:fPr>
          <m:num>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c</m:t>
                                </m:r>
                              </m:sub>
                            </m:sSub>
                          </m:e>
                        </m:d>
                      </m:e>
                      <m:sup>
                        <m:r>
                          <w:rPr>
                            <w:rFonts w:ascii="Cambria Math" w:hAnsi="Cambria Math"/>
                          </w:rPr>
                          <m:t>t</m:t>
                        </m:r>
                      </m:sup>
                    </m:sSup>
                  </m:den>
                </m:f>
              </m:e>
            </m:nary>
          </m:num>
          <m:den>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£772mn</m:t>
            </m:r>
          </m:num>
          <m:den>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den>
        </m:f>
        <m:r>
          <w:rPr>
            <w:rFonts w:ascii="Cambria Math" w:eastAsiaTheme="minorEastAsia" w:hAnsi="Cambria Math"/>
          </w:rPr>
          <m:t>&lt;£12,936 per QALY</m:t>
        </m:r>
      </m:oMath>
      <w:r w:rsidR="00C975EF">
        <w:rPr>
          <w:rFonts w:eastAsiaTheme="minorEastAsia"/>
        </w:rPr>
        <w:tab/>
      </w:r>
      <w:r w:rsidR="00C975EF">
        <w:rPr>
          <w:rFonts w:eastAsiaTheme="minorEastAsia"/>
        </w:rPr>
        <w:tab/>
      </w:r>
      <w:r w:rsidR="00C975EF">
        <w:rPr>
          <w:rFonts w:eastAsiaTheme="minorEastAsia"/>
        </w:rPr>
        <w:tab/>
        <w:t>(4</w:t>
      </w:r>
      <w:r w:rsidR="001658AC">
        <w:rPr>
          <w:rFonts w:eastAsiaTheme="minorEastAsia"/>
        </w:rPr>
        <w:t>)</w:t>
      </w:r>
    </w:p>
    <w:p w:rsidR="003C2531" w:rsidRDefault="003C2531" w:rsidP="003C2531">
      <w:pPr>
        <w:rPr>
          <w:rFonts w:eastAsiaTheme="minorEastAsia"/>
        </w:rPr>
      </w:pPr>
      <w:r>
        <w:rPr>
          <w:rFonts w:eastAsiaTheme="minorEastAsia"/>
        </w:rPr>
        <w:lastRenderedPageBreak/>
        <w:t xml:space="preserve">The decision rules illustrated in (3) and (4) clearly show that </w:t>
      </w:r>
      <w:r w:rsidR="00642182">
        <w:rPr>
          <w:rFonts w:eastAsiaTheme="minorEastAsia"/>
        </w:rPr>
        <w:t>all three scenarios are estimated to have equal health opportunity costs, despite there likely being much greater concerns for affordability in scenarios 1 and 3 than in scenario 2</w:t>
      </w:r>
      <w:r w:rsidR="00B603F0">
        <w:rPr>
          <w:rFonts w:eastAsiaTheme="minorEastAsia"/>
        </w:rPr>
        <w:t xml:space="preserve"> </w:t>
      </w:r>
      <w:r w:rsidR="00A431E9">
        <w:rPr>
          <w:rFonts w:eastAsiaTheme="minorEastAsia"/>
        </w:rPr>
        <w:t>due to</w:t>
      </w:r>
      <w:r w:rsidR="00B603F0">
        <w:rPr>
          <w:rFonts w:eastAsiaTheme="minorEastAsia"/>
        </w:rPr>
        <w:t xml:space="preserve"> the</w:t>
      </w:r>
      <w:r w:rsidR="00A431E9">
        <w:rPr>
          <w:rFonts w:eastAsiaTheme="minorEastAsia"/>
        </w:rPr>
        <w:t xml:space="preserve"> differing time profiles of budget impact</w:t>
      </w:r>
      <w:r w:rsidR="00642182">
        <w:rPr>
          <w:rFonts w:eastAsiaTheme="minorEastAsia"/>
        </w:rPr>
        <w:t xml:space="preserve">. </w:t>
      </w:r>
      <w:r w:rsidR="00A431E9">
        <w:rPr>
          <w:rFonts w:eastAsiaTheme="minorEastAsia"/>
        </w:rPr>
        <w:t>Such concerns reflect the greater health opportunity costs associated with scenarios 1 and 3.</w:t>
      </w:r>
    </w:p>
    <w:p w:rsidR="00B603F0" w:rsidRDefault="002A495E" w:rsidP="003C2531">
      <w:pPr>
        <w:rPr>
          <w:rFonts w:eastAsiaTheme="minorEastAsia"/>
        </w:rPr>
      </w:pPr>
      <w:r>
        <w:rPr>
          <w:rFonts w:eastAsiaTheme="minorEastAsia"/>
        </w:rPr>
        <w:t xml:space="preserve">With the large overall scale of the investment required for this intervention, one approach to reflecting the expected health opportunity costs would be to use a lower value of </w:t>
      </w:r>
      <m:oMath>
        <m:r>
          <w:rPr>
            <w:rFonts w:ascii="Cambria Math" w:eastAsiaTheme="minorEastAsia" w:hAnsi="Cambria Math"/>
          </w:rPr>
          <m:t>k</m:t>
        </m:r>
      </m:oMath>
      <w:r>
        <w:rPr>
          <w:rFonts w:eastAsiaTheme="minorEastAsia"/>
        </w:rPr>
        <w:t xml:space="preserve">. The simplest way to do this would be to employ the relationship estimated by </w:t>
      </w:r>
      <w:r>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fldChar w:fldCharType="separate"/>
      </w:r>
      <w:r w:rsidRPr="004A599A">
        <w:rPr>
          <w:noProof/>
        </w:rPr>
        <w:t xml:space="preserve">Lomas et al. </w:t>
      </w:r>
      <w:r>
        <w:rPr>
          <w:noProof/>
        </w:rPr>
        <w:t>(</w:t>
      </w:r>
      <w:r w:rsidRPr="004A599A">
        <w:rPr>
          <w:noProof/>
        </w:rPr>
        <w:t>2018)</w:t>
      </w:r>
      <w:r>
        <w:fldChar w:fldCharType="end"/>
      </w:r>
      <w:r>
        <w:t xml:space="preserve">, inputting the net present value of the incremental costs. The resultant value of </w:t>
      </w:r>
      <m:oMath>
        <m:r>
          <w:rPr>
            <w:rFonts w:ascii="Cambria Math" w:eastAsiaTheme="minorEastAsia" w:hAnsi="Cambria Math"/>
          </w:rPr>
          <m:t>k</m:t>
        </m:r>
      </m:oMath>
      <w:r>
        <w:rPr>
          <w:rFonts w:eastAsiaTheme="minorEastAsia"/>
        </w:rPr>
        <w:t xml:space="preserve"> would be </w:t>
      </w:r>
      <w:r w:rsidR="005017D5">
        <w:rPr>
          <w:rFonts w:eastAsiaTheme="minorEastAsia"/>
        </w:rPr>
        <w:t>£12,452 per QALY. Using this approach, the decision rule would again be the same for all three scenarios given that they all share the same estimate of net present value of the incremental cost.</w:t>
      </w:r>
      <w:r w:rsidR="00A431E9">
        <w:rPr>
          <w:rFonts w:eastAsiaTheme="minorEastAsia"/>
        </w:rPr>
        <w:t xml:space="preserve"> This approach seems appropriate for scenario 1 where the health opportunity costs of the non-marginal impact in year 1 can be estimated in this way, but not appropriate for scenarios 2 and 3 where individual year budget impacts vary in size and non-marginality.</w:t>
      </w:r>
      <w:r w:rsidR="005017D5">
        <w:rPr>
          <w:rFonts w:eastAsiaTheme="minorEastAsia"/>
        </w:rPr>
        <w:t xml:space="preserve"> As with the earlier example, under conventional CEA, it is possible to write out this as a decision rule based on either net benefit or ICER (again assuming both the net present value of incremental costs and incremental QALYs are positive):</w:t>
      </w:r>
    </w:p>
    <w:p w:rsidR="005017D5" w:rsidRPr="001658AC" w:rsidRDefault="005017D5" w:rsidP="005017D5">
      <w:pPr>
        <w:rPr>
          <w:rFonts w:eastAsiaTheme="minorEastAsia"/>
        </w:rPr>
      </w:pP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c</m:t>
                                </m:r>
                              </m:sub>
                            </m:sSub>
                          </m:e>
                        </m:d>
                      </m:e>
                      <m:sup>
                        <m:r>
                          <w:rPr>
                            <w:rFonts w:ascii="Cambria Math" w:hAnsi="Cambria Math"/>
                          </w:rPr>
                          <m:t>t</m:t>
                        </m:r>
                      </m:sup>
                    </m:sSup>
                  </m:den>
                </m:f>
              </m:e>
            </m:nary>
          </m:num>
          <m:den>
            <m:r>
              <w:rPr>
                <w:rFonts w:ascii="Cambria Math" w:eastAsiaTheme="minorEastAsia" w:hAnsi="Cambria Math"/>
              </w:rPr>
              <m:t>k</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£772mn</m:t>
            </m:r>
          </m:num>
          <m:den>
            <m:r>
              <w:rPr>
                <w:rFonts w:ascii="Cambria Math" w:eastAsiaTheme="minorEastAsia" w:hAnsi="Cambria Math"/>
              </w:rPr>
              <m:t>£12,452 per QALY</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-61,997&gt;0</m:t>
        </m:r>
      </m:oMath>
      <w:r>
        <w:rPr>
          <w:rFonts w:eastAsiaTheme="minorEastAsia"/>
        </w:rPr>
        <w:tab/>
        <w:t>(5)</w:t>
      </w:r>
    </w:p>
    <w:p w:rsidR="005017D5" w:rsidRDefault="005017D5" w:rsidP="005017D5">
      <w:pPr>
        <w:ind w:left="1440" w:firstLine="720"/>
        <w:rPr>
          <w:rFonts w:eastAsiaTheme="minorEastAsia"/>
        </w:rPr>
      </w:pPr>
      <m:oMath>
        <m:r>
          <w:rPr>
            <w:rFonts w:ascii="Cambria Math" w:hAnsi="Cambria Math"/>
          </w:rPr>
          <m:t>ICER=</m:t>
        </m:r>
        <m:f>
          <m:fPr>
            <m:ctrlPr>
              <w:rPr>
                <w:rFonts w:ascii="Cambria Math" w:eastAsiaTheme="minorEastAsia" w:hAnsi="Cambria Math"/>
                <w:i/>
              </w:rPr>
            </m:ctrlPr>
          </m:fPr>
          <m:num>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c</m:t>
                                </m:r>
                              </m:sub>
                            </m:sSub>
                          </m:e>
                        </m:d>
                      </m:e>
                      <m:sup>
                        <m:r>
                          <w:rPr>
                            <w:rFonts w:ascii="Cambria Math" w:hAnsi="Cambria Math"/>
                          </w:rPr>
                          <m:t>t</m:t>
                        </m:r>
                      </m:sup>
                    </m:sSup>
                  </m:den>
                </m:f>
              </m:e>
            </m:nary>
          </m:num>
          <m:den>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den>
        </m:f>
        <m:r>
          <w:rPr>
            <w:rFonts w:ascii="Cambria Math" w:eastAsiaTheme="minorEastAsia" w:hAnsi="Cambria Math"/>
          </w:rPr>
          <m:t>=</m:t>
        </m:r>
        <m:f>
          <m:fPr>
            <m:ctrlPr>
              <w:rPr>
                <w:rFonts w:ascii="Cambria Math" w:eastAsiaTheme="minorEastAsia" w:hAnsi="Cambria Math"/>
                <w:i/>
              </w:rPr>
            </m:ctrlPr>
          </m:fPr>
          <m:num>
            <m:r>
              <w:rPr>
                <w:rFonts w:ascii="Cambria Math" w:hAnsi="Cambria Math"/>
              </w:rPr>
              <m:t>£772mn</m:t>
            </m:r>
          </m:num>
          <m:den>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den>
        </m:f>
        <m:r>
          <w:rPr>
            <w:rFonts w:ascii="Cambria Math" w:eastAsiaTheme="minorEastAsia" w:hAnsi="Cambria Math"/>
          </w:rPr>
          <m:t>&lt;£12,452 per QALY</m:t>
        </m:r>
      </m:oMath>
      <w:r>
        <w:rPr>
          <w:rFonts w:eastAsiaTheme="minorEastAsia"/>
        </w:rPr>
        <w:tab/>
      </w:r>
      <w:r>
        <w:rPr>
          <w:rFonts w:eastAsiaTheme="minorEastAsia"/>
        </w:rPr>
        <w:tab/>
      </w:r>
      <w:r>
        <w:rPr>
          <w:rFonts w:eastAsiaTheme="minorEastAsia"/>
        </w:rPr>
        <w:tab/>
        <w:t>(6)</w:t>
      </w:r>
    </w:p>
    <w:p w:rsidR="005017D5" w:rsidRDefault="005017D5" w:rsidP="005017D5">
      <w:r>
        <w:t>Using this</w:t>
      </w:r>
      <w:r w:rsidR="0028178B">
        <w:t xml:space="preserve"> single</w:t>
      </w:r>
      <w:r>
        <w:t xml:space="preserve"> value of </w:t>
      </w:r>
      <m:oMath>
        <m:r>
          <w:rPr>
            <w:rFonts w:ascii="Cambria Math" w:eastAsiaTheme="minorEastAsia" w:hAnsi="Cambria Math"/>
          </w:rPr>
          <m:t>k</m:t>
        </m:r>
      </m:oMath>
      <w:r w:rsidR="0028178B">
        <w:rPr>
          <w:rFonts w:eastAsiaTheme="minorEastAsia"/>
        </w:rPr>
        <w:t>, the intervention would be found to be cost-effective if the net present value of population health gains exceeded 61,997 QALYs. The ICER decision rule indicates that the estimated ICER would need to be lower than £12,452 per QALY. In summary, using this rule sets a higher bar for the intervention to be found cost-effective and explicitly incorporates the scale of the overall budget impact into the CEA decision rule. However, this approach does not differentiate between the different time profiles of the budget impacts from the 3 scenarios.</w:t>
      </w:r>
      <w:r w:rsidR="00F05CDA">
        <w:rPr>
          <w:rFonts w:eastAsiaTheme="minorEastAsia"/>
        </w:rPr>
        <w:t xml:space="preserve"> In particular, it is assumed that health opportunity costs will be greater for scenario 2 than for an intervention with a marginal budget impact, even though the budget impacts in each individual year are themselves are marginal. The decision rules in (3) – (6) might therefore be found to be unsatisfactory in that they do not reflect both the scale of the budget impacts and their distribution over time.</w:t>
      </w:r>
    </w:p>
    <w:p w:rsidR="00672A5D" w:rsidRDefault="00672A5D" w:rsidP="00672A5D">
      <w:pPr>
        <w:pStyle w:val="Heading3"/>
      </w:pPr>
      <w:r>
        <w:t>Explicitly accounting for the time profile of costs</w:t>
      </w:r>
    </w:p>
    <w:p w:rsidR="00470FE5" w:rsidRDefault="00F05CDA" w:rsidP="00470FE5">
      <w:r>
        <w:rPr>
          <w:rFonts w:eastAsiaTheme="minorEastAsia"/>
        </w:rPr>
        <w:t>By construction the net present values of the overall incremental costs of the intervention are the same across all three scenarios, but the distribution over time is different. To fully account for this, it is not sufficient</w:t>
      </w:r>
      <w:r w:rsidR="005A555C">
        <w:rPr>
          <w:rFonts w:eastAsiaTheme="minorEastAsia"/>
        </w:rPr>
        <w:t xml:space="preserve"> to</w:t>
      </w:r>
      <w:r>
        <w:rPr>
          <w:rFonts w:eastAsiaTheme="minorEastAsia"/>
        </w:rPr>
        <w:t xml:space="preserve"> calculate the net present value of health opportunity costs based on the net present value of incremental costs. Instead, it is necessary to</w:t>
      </w:r>
      <w:r w:rsidR="005A555C">
        <w:rPr>
          <w:rFonts w:eastAsiaTheme="minorEastAsia"/>
        </w:rPr>
        <w:t xml:space="preserve"> calculate the health opportunity cost in each time period and </w:t>
      </w:r>
      <w:r>
        <w:rPr>
          <w:rFonts w:eastAsiaTheme="minorEastAsia"/>
        </w:rPr>
        <w:t>then</w:t>
      </w:r>
      <w:r w:rsidR="005B6677">
        <w:rPr>
          <w:rFonts w:eastAsiaTheme="minorEastAsia"/>
        </w:rPr>
        <w:t xml:space="preserve"> to</w:t>
      </w:r>
      <w:r>
        <w:rPr>
          <w:rFonts w:eastAsiaTheme="minorEastAsia"/>
        </w:rPr>
        <w:t xml:space="preserve"> discount these to </w:t>
      </w:r>
      <w:r w:rsidR="005A555C">
        <w:rPr>
          <w:rFonts w:eastAsiaTheme="minorEastAsia"/>
        </w:rPr>
        <w:t xml:space="preserve">obtain the net present value. </w:t>
      </w:r>
      <w:r w:rsidR="005B6677">
        <w:rPr>
          <w:rFonts w:eastAsiaTheme="minorEastAsia"/>
        </w:rPr>
        <w:t>To visualise this, in Table 4, we add an additional column to</w:t>
      </w:r>
      <w:r w:rsidR="005A555C">
        <w:rPr>
          <w:rFonts w:eastAsiaTheme="minorEastAsia"/>
        </w:rPr>
        <w:t xml:space="preserve"> the general </w:t>
      </w:r>
      <w:r w:rsidR="005B6677">
        <w:rPr>
          <w:rFonts w:eastAsiaTheme="minorEastAsia"/>
        </w:rPr>
        <w:t>form of the time profile of costs and</w:t>
      </w:r>
      <w:r w:rsidR="005A555C">
        <w:rPr>
          <w:rFonts w:eastAsiaTheme="minorEastAsia"/>
        </w:rPr>
        <w:t xml:space="preserve"> effects </w:t>
      </w:r>
      <w:r w:rsidR="005B6677">
        <w:rPr>
          <w:rFonts w:eastAsiaTheme="minorEastAsia"/>
        </w:rPr>
        <w:t>from Table 3. This</w:t>
      </w:r>
      <w:r w:rsidR="005A555C">
        <w:rPr>
          <w:rFonts w:eastAsiaTheme="minorEastAsia"/>
        </w:rPr>
        <w:t xml:space="preserve"> additional column </w:t>
      </w:r>
      <w:r w:rsidR="005B6677">
        <w:rPr>
          <w:rFonts w:eastAsiaTheme="minorEastAsia"/>
        </w:rPr>
        <w:t>contains the time profile of</w:t>
      </w:r>
      <w:r w:rsidR="00353670">
        <w:rPr>
          <w:rFonts w:eastAsiaTheme="minorEastAsia"/>
        </w:rPr>
        <w:t xml:space="preserve"> health opportunity cost </w:t>
      </w:r>
      <w:r w:rsidR="005B6677">
        <w:rPr>
          <w:rFonts w:eastAsiaTheme="minorEastAsia"/>
        </w:rPr>
        <w:t xml:space="preserve">that are calculated by dividing the incremental cost in each time period by the relevant value of </w:t>
      </w:r>
      <m:oMath>
        <m:r>
          <w:rPr>
            <w:rFonts w:ascii="Cambria Math" w:eastAsiaTheme="minorEastAsia" w:hAnsi="Cambria Math"/>
          </w:rPr>
          <m:t>k</m:t>
        </m:r>
      </m:oMath>
      <w:r w:rsidR="005A555C">
        <w:rPr>
          <w:rFonts w:eastAsiaTheme="minorEastAsia"/>
        </w:rPr>
        <w:t>.</w:t>
      </w:r>
    </w:p>
    <w:p w:rsidR="00042314" w:rsidRDefault="00042314" w:rsidP="00042314">
      <w:pPr>
        <w:pStyle w:val="Caption"/>
        <w:keepNext/>
      </w:pPr>
      <w:r>
        <w:t xml:space="preserve">Table </w:t>
      </w:r>
      <w:r w:rsidR="00E708DF">
        <w:rPr>
          <w:noProof/>
        </w:rPr>
        <w:fldChar w:fldCharType="begin"/>
      </w:r>
      <w:r w:rsidR="00E708DF">
        <w:rPr>
          <w:noProof/>
        </w:rPr>
        <w:instrText xml:space="preserve"> SEQ Table \* ARABIC </w:instrText>
      </w:r>
      <w:r w:rsidR="00E708DF">
        <w:rPr>
          <w:noProof/>
        </w:rPr>
        <w:fldChar w:fldCharType="separate"/>
      </w:r>
      <w:r w:rsidR="0072619E">
        <w:rPr>
          <w:noProof/>
        </w:rPr>
        <w:t>2</w:t>
      </w:r>
      <w:r w:rsidR="00E708DF">
        <w:rPr>
          <w:noProof/>
        </w:rPr>
        <w:fldChar w:fldCharType="end"/>
      </w:r>
      <w:r>
        <w:t xml:space="preserve"> - General form of time profile of costs, effects and health opportunity costs</w:t>
      </w:r>
    </w:p>
    <w:tbl>
      <w:tblPr>
        <w:tblStyle w:val="LightShading"/>
        <w:tblW w:w="9236" w:type="dxa"/>
        <w:tblLook w:val="04A0" w:firstRow="1" w:lastRow="0" w:firstColumn="1" w:lastColumn="0" w:noHBand="0" w:noVBand="1"/>
      </w:tblPr>
      <w:tblGrid>
        <w:gridCol w:w="2280"/>
        <w:gridCol w:w="2024"/>
        <w:gridCol w:w="2466"/>
        <w:gridCol w:w="2466"/>
      </w:tblGrid>
      <w:tr w:rsidR="00BA0F7F" w:rsidRPr="00B22BA8" w:rsidTr="00300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Pr>
          <w:p w:rsidR="00BA0F7F" w:rsidRPr="00B22BA8" w:rsidRDefault="00BA0F7F" w:rsidP="00300D7D">
            <w:r w:rsidRPr="00B22BA8">
              <w:t>Time (t, years)</w:t>
            </w:r>
          </w:p>
        </w:tc>
        <w:tc>
          <w:tcPr>
            <w:tcW w:w="2024"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oMath>
            </m:oMathPara>
          </w:p>
        </w:tc>
        <w:tc>
          <w:tcPr>
            <w:tcW w:w="2466"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oMath>
            </m:oMathPara>
          </w:p>
        </w:tc>
        <w:tc>
          <w:tcPr>
            <w:tcW w:w="2466"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iCs/>
              </w:rPr>
            </w:pPr>
            <m:oMathPara>
              <m:oMath>
                <m:r>
                  <m:rPr>
                    <m:sty m:val="bi"/>
                  </m:rPr>
                  <w:rPr>
                    <w:rFonts w:ascii="Cambria Math" w:hAnsi="Cambria Math"/>
                  </w:rPr>
                  <m:t>HOC(∆</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t</m:t>
                    </m:r>
                  </m:sub>
                </m:sSub>
                <m:r>
                  <m:rPr>
                    <m:sty m:val="bi"/>
                  </m:rPr>
                  <w:rPr>
                    <w:rFonts w:ascii="Cambria Math" w:hAnsi="Cambria Math"/>
                  </w:rPr>
                  <m:t>)</m:t>
                </m:r>
              </m:oMath>
            </m:oMathPara>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1</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1</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1</m:t>
                    </m:r>
                  </m:sub>
                </m:sSub>
              </m:oMath>
            </m:oMathPara>
          </w:p>
        </w:tc>
        <w:tc>
          <w:tcPr>
            <w:tcW w:w="2466" w:type="dxa"/>
            <w:tcBorders>
              <w:lef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1</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1</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2</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2</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2</m:t>
                    </m:r>
                  </m:sub>
                </m:sSub>
              </m:oMath>
            </m:oMathPara>
          </w:p>
        </w:tc>
        <w:tc>
          <w:tcPr>
            <w:tcW w:w="2466" w:type="dxa"/>
            <w:tcBorders>
              <w:lef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2</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2</m:t>
                        </m:r>
                      </m:sub>
                    </m:sSub>
                    <m:r>
                      <w:rPr>
                        <w:rFonts w:ascii="Cambria Math" w:hAnsi="Cambria Math"/>
                      </w:rPr>
                      <m:t>)</m:t>
                    </m:r>
                  </m:den>
                </m:f>
              </m:oMath>
            </m:oMathPara>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3</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3</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3</m:t>
                    </m:r>
                  </m:sub>
                </m:sSub>
              </m:oMath>
            </m:oMathPara>
          </w:p>
        </w:tc>
        <w:tc>
          <w:tcPr>
            <w:tcW w:w="2466" w:type="dxa"/>
            <w:tcBorders>
              <w:lef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3</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3</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lastRenderedPageBreak/>
              <w:t>…</w:t>
            </w:r>
          </w:p>
        </w:tc>
        <w:tc>
          <w:tcPr>
            <w:tcW w:w="2024" w:type="dxa"/>
            <w:tcBorders>
              <w:left w:val="single" w:sz="4" w:space="0" w:color="auto"/>
              <w:righ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rsidRPr="00B22BA8">
              <w:t>…</w:t>
            </w:r>
          </w:p>
        </w:tc>
        <w:tc>
          <w:tcPr>
            <w:tcW w:w="2466" w:type="dxa"/>
            <w:tcBorders>
              <w:left w:val="single" w:sz="4" w:space="0" w:color="auto"/>
              <w:righ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rsidRPr="00B22BA8">
              <w:t>…</w:t>
            </w:r>
          </w:p>
        </w:tc>
        <w:tc>
          <w:tcPr>
            <w:tcW w:w="2466" w:type="dxa"/>
            <w:tcBorders>
              <w:lef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t>…</w:t>
            </w:r>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bottom w:val="single" w:sz="4" w:space="0" w:color="auto"/>
              <w:right w:val="single" w:sz="4" w:space="0" w:color="auto"/>
            </w:tcBorders>
            <w:shd w:val="clear" w:color="auto" w:fill="auto"/>
          </w:tcPr>
          <w:p w:rsidR="00BA0F7F" w:rsidRPr="00B22BA8" w:rsidRDefault="00BA0F7F" w:rsidP="00300D7D">
            <w:r w:rsidRPr="00B22BA8">
              <w:t>T</w:t>
            </w:r>
          </w:p>
        </w:tc>
        <w:tc>
          <w:tcPr>
            <w:tcW w:w="2024" w:type="dxa"/>
            <w:tcBorders>
              <w:left w:val="single" w:sz="4" w:space="0" w:color="auto"/>
              <w:bottom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T</m:t>
                    </m:r>
                  </m:sub>
                </m:sSub>
              </m:oMath>
            </m:oMathPara>
          </w:p>
        </w:tc>
        <w:tc>
          <w:tcPr>
            <w:tcW w:w="2466" w:type="dxa"/>
            <w:tcBorders>
              <w:left w:val="single" w:sz="4" w:space="0" w:color="auto"/>
              <w:bottom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T</m:t>
                    </m:r>
                  </m:sub>
                </m:sSub>
              </m:oMath>
            </m:oMathPara>
          </w:p>
        </w:tc>
        <w:tc>
          <w:tcPr>
            <w:tcW w:w="2466" w:type="dxa"/>
            <w:tcBorders>
              <w:left w:val="single" w:sz="4" w:space="0" w:color="auto"/>
              <w:bottom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T</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r w:rsidRPr="00B22BA8">
              <w:t>Net present value</w:t>
            </w:r>
          </w:p>
        </w:tc>
        <w:tc>
          <w:tcPr>
            <w:tcW w:w="2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t=1</m:t>
                    </m:r>
                  </m:sub>
                  <m:sup>
                    <m:r>
                      <w:rPr>
                        <w:rFonts w:ascii="Cambria Math" w:hAnsi="Cambria Math"/>
                      </w:rPr>
                      <m:t>T</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t</m:t>
                            </m:r>
                          </m:sub>
                        </m:sSub>
                      </m:num>
                      <m:den>
                        <m:sSup>
                          <m:sSupPr>
                            <m:ctrlPr>
                              <w:rPr>
                                <w:rFonts w:ascii="Cambria Math" w:hAnsi="Cambria Math"/>
                                <w:i/>
                                <w:iCs/>
                                <w:color w:val="auto"/>
                              </w:rPr>
                            </m:ctrlPr>
                          </m:sSupPr>
                          <m:e>
                            <m:r>
                              <w:rPr>
                                <w:rFonts w:ascii="Cambria Math" w:hAnsi="Cambria Math"/>
                              </w:rPr>
                              <m:t>(1+</m:t>
                            </m:r>
                            <m:sSub>
                              <m:sSubPr>
                                <m:ctrlPr>
                                  <w:rPr>
                                    <w:rFonts w:ascii="Cambria Math" w:hAnsi="Cambria Math"/>
                                    <w:i/>
                                    <w:iCs/>
                                    <w:color w:val="auto"/>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oMath>
            </m:oMathPara>
          </w:p>
        </w:tc>
        <w:tc>
          <w:tcPr>
            <w:tcW w:w="2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t=1</m:t>
                    </m:r>
                  </m:sub>
                  <m:sup>
                    <m:r>
                      <w:rPr>
                        <w:rFonts w:ascii="Cambria Math" w:hAnsi="Cambria Math"/>
                      </w:rPr>
                      <m:t>T</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t</m:t>
                            </m:r>
                          </m:sub>
                        </m:sSub>
                      </m:num>
                      <m:den>
                        <m:sSup>
                          <m:sSupPr>
                            <m:ctrlPr>
                              <w:rPr>
                                <w:rFonts w:ascii="Cambria Math" w:hAnsi="Cambria Math"/>
                                <w:i/>
                                <w:iCs/>
                                <w:color w:val="auto"/>
                              </w:rPr>
                            </m:ctrlPr>
                          </m:sSupPr>
                          <m:e>
                            <m:r>
                              <w:rPr>
                                <w:rFonts w:ascii="Cambria Math" w:hAnsi="Cambria Math"/>
                              </w:rPr>
                              <m:t>(1+</m:t>
                            </m:r>
                            <m:sSub>
                              <m:sSubPr>
                                <m:ctrlPr>
                                  <w:rPr>
                                    <w:rFonts w:ascii="Cambria Math" w:hAnsi="Cambria Math"/>
                                    <w:i/>
                                    <w:iCs/>
                                    <w:color w:val="auto"/>
                                  </w:rPr>
                                </m:ctrlPr>
                              </m:sSubPr>
                              <m:e>
                                <m:r>
                                  <w:rPr>
                                    <w:rFonts w:ascii="Cambria Math" w:hAnsi="Cambria Math"/>
                                  </w:rPr>
                                  <m:t>d</m:t>
                                </m:r>
                              </m:e>
                              <m:sub>
                                <m:r>
                                  <w:rPr>
                                    <w:rFonts w:ascii="Cambria Math" w:hAnsi="Cambria Math"/>
                                  </w:rPr>
                                  <m:t>c</m:t>
                                </m:r>
                              </m:sub>
                            </m:sSub>
                            <m:r>
                              <w:rPr>
                                <w:rFonts w:ascii="Cambria Math" w:hAnsi="Cambria Math"/>
                              </w:rPr>
                              <m:t>)</m:t>
                            </m:r>
                          </m:e>
                          <m:sup>
                            <m:r>
                              <w:rPr>
                                <w:rFonts w:ascii="Cambria Math" w:hAnsi="Cambria Math"/>
                              </w:rPr>
                              <m:t>t</m:t>
                            </m:r>
                          </m:sup>
                        </m:sSup>
                      </m:den>
                    </m:f>
                  </m:e>
                </m:nary>
              </m:oMath>
            </m:oMathPara>
          </w:p>
        </w:tc>
        <w:tc>
          <w:tcPr>
            <w:tcW w:w="2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rPr>
            </w:pPr>
            <m:oMathPara>
              <m:oMath>
                <m:nary>
                  <m:naryPr>
                    <m:chr m:val="∑"/>
                    <m:limLoc m:val="undOvr"/>
                    <m:ctrlPr>
                      <w:rPr>
                        <w:rFonts w:ascii="Cambria Math" w:hAnsi="Cambria Math"/>
                        <w:i/>
                        <w:iCs/>
                        <w:color w:val="auto"/>
                      </w:rPr>
                    </m:ctrlPr>
                  </m:naryPr>
                  <m:sub>
                    <m:r>
                      <w:rPr>
                        <w:rFonts w:ascii="Cambria Math" w:hAnsi="Cambria Math"/>
                      </w:rPr>
                      <m:t>t=1</m:t>
                    </m:r>
                  </m:sub>
                  <m:sup>
                    <m:r>
                      <w:rPr>
                        <w:rFonts w:ascii="Cambria Math" w:hAnsi="Cambria Math"/>
                      </w:rPr>
                      <m:t>T</m:t>
                    </m:r>
                  </m:sup>
                  <m:e>
                    <m:f>
                      <m:fPr>
                        <m:ctrlPr>
                          <w:rPr>
                            <w:rFonts w:ascii="Cambria Math" w:hAnsi="Cambria Math"/>
                            <w:i/>
                            <w:iCs/>
                            <w:color w:val="auto"/>
                          </w:rPr>
                        </m:ctrlPr>
                      </m:fPr>
                      <m:num>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t</m:t>
                                </m:r>
                              </m:sub>
                            </m:sSub>
                            <m:r>
                              <w:rPr>
                                <w:rFonts w:ascii="Cambria Math" w:hAnsi="Cambria Math"/>
                              </w:rPr>
                              <m:t>)</m:t>
                            </m:r>
                          </m:den>
                        </m:f>
                      </m:num>
                      <m:den>
                        <m:sSup>
                          <m:sSupPr>
                            <m:ctrlPr>
                              <w:rPr>
                                <w:rFonts w:ascii="Cambria Math" w:hAnsi="Cambria Math"/>
                                <w:i/>
                                <w:iCs/>
                                <w:color w:val="auto"/>
                              </w:rPr>
                            </m:ctrlPr>
                          </m:sSupPr>
                          <m:e>
                            <m:r>
                              <w:rPr>
                                <w:rFonts w:ascii="Cambria Math" w:hAnsi="Cambria Math"/>
                              </w:rPr>
                              <m:t>(1+</m:t>
                            </m:r>
                            <m:sSub>
                              <m:sSubPr>
                                <m:ctrlPr>
                                  <w:rPr>
                                    <w:rFonts w:ascii="Cambria Math" w:hAnsi="Cambria Math"/>
                                    <w:i/>
                                    <w:iCs/>
                                    <w:color w:val="auto"/>
                                  </w:rPr>
                                </m:ctrlPr>
                              </m:sSubPr>
                              <m:e>
                                <m:r>
                                  <w:rPr>
                                    <w:rFonts w:ascii="Cambria Math" w:hAnsi="Cambria Math"/>
                                  </w:rPr>
                                  <m:t>d</m:t>
                                </m:r>
                              </m:e>
                              <m:sub>
                                <m:r>
                                  <w:rPr>
                                    <w:rFonts w:ascii="Cambria Math" w:hAnsi="Cambria Math"/>
                                  </w:rPr>
                                  <m:t>hoc</m:t>
                                </m:r>
                              </m:sub>
                            </m:sSub>
                            <m:r>
                              <w:rPr>
                                <w:rFonts w:ascii="Cambria Math" w:hAnsi="Cambria Math"/>
                              </w:rPr>
                              <m:t>)</m:t>
                            </m:r>
                          </m:e>
                          <m:sup>
                            <m:r>
                              <w:rPr>
                                <w:rFonts w:ascii="Cambria Math" w:hAnsi="Cambria Math"/>
                              </w:rPr>
                              <m:t>t</m:t>
                            </m:r>
                          </m:sup>
                        </m:sSup>
                      </m:den>
                    </m:f>
                  </m:e>
                </m:nary>
              </m:oMath>
            </m:oMathPara>
          </w:p>
        </w:tc>
      </w:tr>
    </w:tbl>
    <w:p w:rsidR="00B22BA8" w:rsidRPr="00470FE5" w:rsidRDefault="00353670" w:rsidP="00470FE5">
      <w:r>
        <w:t xml:space="preserve">Using this framework we can estimate the health opportunity costs with a variable value of </w:t>
      </w:r>
      <m:oMath>
        <m:r>
          <w:rPr>
            <w:rFonts w:ascii="Cambria Math" w:hAnsi="Cambria Math"/>
          </w:rPr>
          <m:t>k</m:t>
        </m:r>
      </m:oMath>
      <w:r>
        <w:rPr>
          <w:rFonts w:eastAsiaTheme="minorEastAsia"/>
        </w:rPr>
        <w:t xml:space="preserve"> for each of the three different scenarios</w:t>
      </w:r>
      <w:r w:rsidR="00EC0685">
        <w:rPr>
          <w:rFonts w:eastAsiaTheme="minorEastAsia"/>
        </w:rPr>
        <w:t xml:space="preserve"> (depicted</w:t>
      </w:r>
      <w:r w:rsidR="00102AE1">
        <w:rPr>
          <w:rFonts w:eastAsiaTheme="minorEastAsia"/>
        </w:rPr>
        <w:t xml:space="preserve"> in Figure 1</w:t>
      </w:r>
      <w:r w:rsidR="00EC0685">
        <w:rPr>
          <w:rFonts w:eastAsiaTheme="minorEastAsia"/>
        </w:rPr>
        <w:t>)</w:t>
      </w:r>
      <w:r>
        <w:rPr>
          <w:rFonts w:eastAsiaTheme="minorEastAsia"/>
        </w:rPr>
        <w:t xml:space="preserve">. Health opportunity costs for scenario 2 are evaluated using the </w:t>
      </w:r>
      <w:r w:rsidR="004A599A">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4A599A">
        <w:rPr>
          <w:rFonts w:eastAsiaTheme="minorEastAsia"/>
        </w:rPr>
        <w:fldChar w:fldCharType="separate"/>
      </w:r>
      <w:r w:rsidR="004A599A" w:rsidRPr="004A599A">
        <w:rPr>
          <w:rFonts w:eastAsiaTheme="minorEastAsia"/>
          <w:noProof/>
        </w:rPr>
        <w:t xml:space="preserve">Claxton et al. </w:t>
      </w:r>
      <w:r w:rsidR="004A599A">
        <w:rPr>
          <w:rFonts w:eastAsiaTheme="minorEastAsia"/>
          <w:noProof/>
        </w:rPr>
        <w:t>(</w:t>
      </w:r>
      <w:r w:rsidR="004A599A" w:rsidRPr="004A599A">
        <w:rPr>
          <w:rFonts w:eastAsiaTheme="minorEastAsia"/>
          <w:noProof/>
        </w:rPr>
        <w:t>2015)</w:t>
      </w:r>
      <w:r w:rsidR="004A599A">
        <w:rPr>
          <w:rFonts w:eastAsiaTheme="minorEastAsia"/>
        </w:rPr>
        <w:fldChar w:fldCharType="end"/>
      </w:r>
      <w:r>
        <w:rPr>
          <w:rFonts w:eastAsiaTheme="minorEastAsia"/>
        </w:rPr>
        <w:t xml:space="preserve"> estimate of </w:t>
      </w:r>
      <m:oMath>
        <m:r>
          <w:rPr>
            <w:rFonts w:ascii="Cambria Math" w:hAnsi="Cambria Math"/>
          </w:rPr>
          <m:t>k=£12,936</m:t>
        </m:r>
      </m:oMath>
      <w:r>
        <w:rPr>
          <w:rFonts w:eastAsiaTheme="minorEastAsia"/>
        </w:rPr>
        <w:t xml:space="preserve"> per QALY as these expenditures would be considered marginal. For all other budget impacts the results from </w:t>
      </w:r>
      <w:r w:rsidR="004A599A">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rsidR="004A599A">
        <w:fldChar w:fldCharType="separate"/>
      </w:r>
      <w:r w:rsidR="004A599A" w:rsidRPr="004A599A">
        <w:rPr>
          <w:noProof/>
        </w:rPr>
        <w:t xml:space="preserve">Lomas et al. </w:t>
      </w:r>
      <w:r w:rsidR="004A599A">
        <w:rPr>
          <w:noProof/>
        </w:rPr>
        <w:t>(</w:t>
      </w:r>
      <w:r w:rsidR="004A599A" w:rsidRPr="004A599A">
        <w:rPr>
          <w:noProof/>
        </w:rPr>
        <w:t>2018)</w:t>
      </w:r>
      <w:r w:rsidR="004A599A">
        <w:fldChar w:fldCharType="end"/>
      </w:r>
      <w:r>
        <w:rPr>
          <w:rFonts w:eastAsiaTheme="minorEastAsia"/>
        </w:rPr>
        <w:t xml:space="preserve">are used to inform appropriate values of </w:t>
      </w:r>
      <m:oMath>
        <m:r>
          <w:rPr>
            <w:rFonts w:ascii="Cambria Math" w:hAnsi="Cambria Math"/>
          </w:rPr>
          <m:t>k(∆C)</m:t>
        </m:r>
      </m:oMath>
      <w:r>
        <w:rPr>
          <w:rFonts w:eastAsiaTheme="minorEastAsia"/>
        </w:rPr>
        <w:t>.</w:t>
      </w:r>
      <w:r w:rsidR="00066B65">
        <w:rPr>
          <w:rFonts w:eastAsiaTheme="minorEastAsia"/>
        </w:rPr>
        <w:t xml:space="preserve"> As before, we simplify by assuming </w:t>
      </w:r>
      <m:oMath>
        <m:sSub>
          <m:sSubPr>
            <m:ctrlPr>
              <w:rPr>
                <w:rFonts w:ascii="Cambria Math" w:hAnsi="Cambria Math"/>
                <w:i/>
                <w:iCs/>
              </w:rPr>
            </m:ctrlPr>
          </m:sSubPr>
          <m:e>
            <m:r>
              <w:rPr>
                <w:rFonts w:ascii="Cambria Math" w:hAnsi="Cambria Math"/>
              </w:rPr>
              <m:t>d</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hoc</m:t>
            </m:r>
          </m:sub>
        </m:sSub>
        <m:r>
          <w:rPr>
            <w:rFonts w:ascii="Cambria Math" w:hAnsi="Cambria Math"/>
          </w:rPr>
          <m:t>=0</m:t>
        </m:r>
      </m:oMath>
      <w:r w:rsidR="00066B65">
        <w:rPr>
          <w:rFonts w:eastAsiaTheme="minorEastAsia"/>
        </w:rPr>
        <w:t>.</w:t>
      </w:r>
    </w:p>
    <w:p w:rsidR="00925C89" w:rsidRDefault="00925C89" w:rsidP="00925C89">
      <w:pPr>
        <w:pStyle w:val="Caption"/>
        <w:keepNext/>
      </w:pPr>
      <w:r>
        <w:t xml:space="preserve">Table </w:t>
      </w:r>
      <w:r w:rsidR="00E708DF">
        <w:rPr>
          <w:noProof/>
        </w:rPr>
        <w:fldChar w:fldCharType="begin"/>
      </w:r>
      <w:r w:rsidR="00E708DF">
        <w:rPr>
          <w:noProof/>
        </w:rPr>
        <w:instrText xml:space="preserve"> SEQ Table \* ARABIC </w:instrText>
      </w:r>
      <w:r w:rsidR="00E708DF">
        <w:rPr>
          <w:noProof/>
        </w:rPr>
        <w:fldChar w:fldCharType="separate"/>
      </w:r>
      <w:r w:rsidR="0072619E">
        <w:rPr>
          <w:noProof/>
        </w:rPr>
        <w:t>3</w:t>
      </w:r>
      <w:r w:rsidR="00E708DF">
        <w:rPr>
          <w:noProof/>
        </w:rPr>
        <w:fldChar w:fldCharType="end"/>
      </w:r>
      <w:r>
        <w:t xml:space="preserve"> - Evaluating health opportunity costs for the three scenarios</w:t>
      </w:r>
    </w:p>
    <w:tbl>
      <w:tblPr>
        <w:tblStyle w:val="LightShading"/>
        <w:tblW w:w="0" w:type="auto"/>
        <w:tblLook w:val="04A0" w:firstRow="1" w:lastRow="0" w:firstColumn="1" w:lastColumn="0" w:noHBand="0" w:noVBand="1"/>
      </w:tblPr>
      <w:tblGrid>
        <w:gridCol w:w="1353"/>
        <w:gridCol w:w="795"/>
        <w:gridCol w:w="1436"/>
        <w:gridCol w:w="795"/>
        <w:gridCol w:w="1448"/>
        <w:gridCol w:w="795"/>
        <w:gridCol w:w="2404"/>
      </w:tblGrid>
      <w:tr w:rsidR="00BA0F7F" w:rsidRPr="00E7383D" w:rsidTr="00300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tcPr>
          <w:p w:rsidR="00BA0F7F" w:rsidRPr="00E7383D" w:rsidRDefault="00BA0F7F" w:rsidP="00300D7D">
            <w:pPr>
              <w:rPr>
                <w:sz w:val="14"/>
              </w:rPr>
            </w:pPr>
          </w:p>
        </w:tc>
        <w:tc>
          <w:tcPr>
            <w:tcW w:w="0" w:type="auto"/>
            <w:gridSpan w:val="2"/>
            <w:tcBorders>
              <w:top w:val="single" w:sz="4" w:space="0" w:color="auto"/>
              <w:left w:val="single" w:sz="4" w:space="0" w:color="auto"/>
              <w:bottom w:val="single" w:sz="4" w:space="0" w:color="auto"/>
              <w:right w:val="single" w:sz="4" w:space="0" w:color="auto"/>
            </w:tcBorders>
          </w:tcPr>
          <w:p w:rsidR="00BA0F7F" w:rsidRPr="00E7383D" w:rsidRDefault="00BA0F7F" w:rsidP="00300D7D">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iCs/>
                <w:sz w:val="14"/>
              </w:rPr>
            </w:pPr>
            <w:r w:rsidRPr="00E7383D">
              <w:rPr>
                <w:rFonts w:ascii="Calibri" w:eastAsia="Calibri" w:hAnsi="Calibri" w:cs="Times New Roman"/>
                <w:b w:val="0"/>
                <w:bCs w:val="0"/>
                <w:iCs/>
                <w:sz w:val="14"/>
              </w:rPr>
              <w:t>Scenario 1</w:t>
            </w:r>
          </w:p>
        </w:tc>
        <w:tc>
          <w:tcPr>
            <w:tcW w:w="0" w:type="auto"/>
            <w:gridSpan w:val="2"/>
            <w:tcBorders>
              <w:top w:val="single" w:sz="4" w:space="0" w:color="auto"/>
              <w:left w:val="single" w:sz="4" w:space="0" w:color="auto"/>
              <w:bottom w:val="single" w:sz="4" w:space="0" w:color="auto"/>
              <w:right w:val="single" w:sz="4" w:space="0" w:color="auto"/>
            </w:tcBorders>
          </w:tcPr>
          <w:p w:rsidR="00BA0F7F" w:rsidRPr="00E7383D" w:rsidRDefault="00BA0F7F" w:rsidP="00300D7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iCs/>
                <w:sz w:val="14"/>
              </w:rPr>
            </w:pPr>
            <w:r w:rsidRPr="00E7383D">
              <w:rPr>
                <w:rFonts w:ascii="Calibri Light" w:eastAsia="Times New Roman" w:hAnsi="Calibri Light" w:cs="Times New Roman"/>
                <w:b w:val="0"/>
                <w:bCs w:val="0"/>
                <w:iCs/>
                <w:sz w:val="14"/>
              </w:rPr>
              <w:t>Scenario 2</w:t>
            </w:r>
          </w:p>
        </w:tc>
        <w:tc>
          <w:tcPr>
            <w:tcW w:w="0" w:type="auto"/>
            <w:gridSpan w:val="2"/>
            <w:tcBorders>
              <w:left w:val="single" w:sz="4" w:space="0" w:color="auto"/>
            </w:tcBorders>
          </w:tcPr>
          <w:p w:rsidR="00BA0F7F" w:rsidRPr="00E7383D" w:rsidRDefault="00BA0F7F" w:rsidP="00300D7D">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 w:val="0"/>
                <w:bCs w:val="0"/>
                <w:iCs/>
                <w:sz w:val="14"/>
              </w:rPr>
            </w:pPr>
            <w:r w:rsidRPr="00E7383D">
              <w:rPr>
                <w:rFonts w:ascii="Calibri Light" w:eastAsia="Times New Roman" w:hAnsi="Calibri Light" w:cs="Times New Roman"/>
                <w:b w:val="0"/>
                <w:bCs w:val="0"/>
                <w:iCs/>
                <w:sz w:val="14"/>
              </w:rPr>
              <w:t>Scenario 3</w:t>
            </w:r>
          </w:p>
        </w:tc>
      </w:tr>
      <w:tr w:rsidR="00BA0F7F" w:rsidRPr="00E7383D"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rsidR="00BA0F7F" w:rsidRPr="00E7383D" w:rsidRDefault="00BA0F7F" w:rsidP="00300D7D">
            <w:pPr>
              <w:rPr>
                <w:sz w:val="14"/>
              </w:rPr>
            </w:pPr>
            <w:r w:rsidRPr="00E7383D">
              <w:rPr>
                <w:sz w:val="14"/>
              </w:rPr>
              <w:t>Time (t, years)</w:t>
            </w:r>
          </w:p>
        </w:tc>
        <w:tc>
          <w:tcPr>
            <w:tcW w:w="0" w:type="auto"/>
            <w:tcBorders>
              <w:top w:val="single" w:sz="4" w:space="0" w:color="auto"/>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m:rPr>
                    <m:sty m:val="bi"/>
                  </m:rPr>
                  <w:rPr>
                    <w:rFonts w:ascii="Cambria Math" w:hAnsi="Cambria Math"/>
                    <w:sz w:val="14"/>
                  </w:rPr>
                  <m:t>∆</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oMath>
            </m:oMathPara>
          </w:p>
        </w:tc>
        <w:tc>
          <w:tcPr>
            <w:tcW w:w="0" w:type="auto"/>
            <w:tcBorders>
              <w:top w:val="single" w:sz="4" w:space="0" w:color="auto"/>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iCs/>
                <w:sz w:val="14"/>
              </w:rPr>
            </w:pPr>
            <m:oMathPara>
              <m:oMath>
                <m:r>
                  <m:rPr>
                    <m:sty m:val="bi"/>
                  </m:rPr>
                  <w:rPr>
                    <w:rFonts w:ascii="Cambria Math" w:hAnsi="Cambria Math"/>
                    <w:sz w:val="14"/>
                  </w:rPr>
                  <m:t>HOC(∆</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r>
                  <w:rPr>
                    <w:rFonts w:ascii="Cambria Math" w:hAnsi="Cambria Math"/>
                    <w:sz w:val="14"/>
                  </w:rPr>
                  <m:t>)</m:t>
                </m:r>
              </m:oMath>
            </m:oMathPara>
          </w:p>
        </w:tc>
        <w:tc>
          <w:tcPr>
            <w:tcW w:w="0" w:type="auto"/>
            <w:tcBorders>
              <w:top w:val="single" w:sz="4" w:space="0" w:color="auto"/>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m:rPr>
                    <m:sty m:val="bi"/>
                  </m:rPr>
                  <w:rPr>
                    <w:rFonts w:ascii="Cambria Math" w:hAnsi="Cambria Math"/>
                    <w:sz w:val="14"/>
                  </w:rPr>
                  <m:t>∆</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oMath>
            </m:oMathPara>
          </w:p>
        </w:tc>
        <w:tc>
          <w:tcPr>
            <w:tcW w:w="0" w:type="auto"/>
            <w:tcBorders>
              <w:top w:val="single" w:sz="4" w:space="0" w:color="auto"/>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iCs/>
                <w:sz w:val="14"/>
              </w:rPr>
            </w:pPr>
            <m:oMathPara>
              <m:oMath>
                <m:r>
                  <m:rPr>
                    <m:sty m:val="bi"/>
                  </m:rPr>
                  <w:rPr>
                    <w:rFonts w:ascii="Cambria Math" w:hAnsi="Cambria Math"/>
                    <w:sz w:val="14"/>
                  </w:rPr>
                  <m:t>HOC(∆</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r>
                  <w:rPr>
                    <w:rFonts w:ascii="Cambria Math" w:hAnsi="Cambria Math"/>
                    <w:sz w:val="14"/>
                  </w:rPr>
                  <m:t>)</m:t>
                </m:r>
              </m:oMath>
            </m:oMathPara>
          </w:p>
        </w:tc>
        <w:tc>
          <w:tcPr>
            <w:tcW w:w="0" w:type="auto"/>
            <w:tcBorders>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m:rPr>
                    <m:sty m:val="bi"/>
                  </m:rPr>
                  <w:rPr>
                    <w:rFonts w:ascii="Cambria Math" w:hAnsi="Cambria Math"/>
                    <w:sz w:val="14"/>
                  </w:rPr>
                  <m:t>∆</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oMath>
            </m:oMathPara>
          </w:p>
        </w:tc>
        <w:tc>
          <w:tcPr>
            <w:tcW w:w="0" w:type="auto"/>
            <w:tcBorders>
              <w:bottom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b/>
                <w:bCs/>
                <w:iCs/>
                <w:sz w:val="14"/>
              </w:rPr>
            </w:pPr>
            <m:oMathPara>
              <m:oMath>
                <m:r>
                  <m:rPr>
                    <m:sty m:val="bi"/>
                  </m:rPr>
                  <w:rPr>
                    <w:rFonts w:ascii="Cambria Math" w:hAnsi="Cambria Math"/>
                    <w:sz w:val="14"/>
                  </w:rPr>
                  <m:t>HOC(∆</m:t>
                </m:r>
                <m:sSub>
                  <m:sSubPr>
                    <m:ctrlPr>
                      <w:rPr>
                        <w:rFonts w:ascii="Cambria Math" w:hAnsi="Cambria Math"/>
                        <w:b/>
                        <w:bCs/>
                        <w:i/>
                        <w:iCs/>
                        <w:sz w:val="14"/>
                      </w:rPr>
                    </m:ctrlPr>
                  </m:sSubPr>
                  <m:e>
                    <m:r>
                      <m:rPr>
                        <m:sty m:val="bi"/>
                      </m:rPr>
                      <w:rPr>
                        <w:rFonts w:ascii="Cambria Math" w:hAnsi="Cambria Math"/>
                        <w:sz w:val="14"/>
                      </w:rPr>
                      <m:t>C</m:t>
                    </m:r>
                  </m:e>
                  <m:sub>
                    <m:r>
                      <m:rPr>
                        <m:sty m:val="bi"/>
                      </m:rPr>
                      <w:rPr>
                        <w:rFonts w:ascii="Cambria Math" w:hAnsi="Cambria Math"/>
                        <w:sz w:val="14"/>
                      </w:rPr>
                      <m:t>t</m:t>
                    </m:r>
                  </m:sub>
                </m:sSub>
                <m:r>
                  <w:rPr>
                    <w:rFonts w:ascii="Cambria Math" w:hAnsi="Cambria Math"/>
                    <w:sz w:val="14"/>
                  </w:rPr>
                  <m:t>)</m:t>
                </m:r>
              </m:oMath>
            </m:oMathPara>
          </w:p>
        </w:tc>
      </w:tr>
      <w:tr w:rsidR="00BA0F7F" w:rsidRPr="00E7383D" w:rsidTr="00300D7D">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shd w:val="clear" w:color="auto" w:fill="auto"/>
          </w:tcPr>
          <w:p w:rsidR="00BA0F7F" w:rsidRPr="00E7383D" w:rsidRDefault="00BA0F7F" w:rsidP="00300D7D">
            <w:pPr>
              <w:rPr>
                <w:sz w:val="14"/>
              </w:rPr>
            </w:pPr>
            <w:r w:rsidRPr="00E7383D">
              <w:rPr>
                <w:sz w:val="14"/>
              </w:rPr>
              <w:t>1</w:t>
            </w:r>
          </w:p>
        </w:tc>
        <w:tc>
          <w:tcPr>
            <w:tcW w:w="0" w:type="auto"/>
            <w:tcBorders>
              <w:top w:val="single" w:sz="4" w:space="0" w:color="auto"/>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color w:val="auto"/>
                    <w:sz w:val="14"/>
                  </w:rPr>
                  <m:t>£772mn</m:t>
                </m:r>
              </m:oMath>
            </m:oMathPara>
          </w:p>
        </w:tc>
        <w:tc>
          <w:tcPr>
            <w:tcW w:w="0" w:type="auto"/>
            <w:tcBorders>
              <w:top w:val="single" w:sz="4" w:space="0" w:color="auto"/>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sz w:val="14"/>
              </w:rPr>
            </w:pPr>
            <m:oMathPara>
              <m:oMath>
                <m:r>
                  <w:rPr>
                    <w:rFonts w:ascii="Cambria Math" w:hAnsi="Cambria Math"/>
                    <w:sz w:val="14"/>
                  </w:rPr>
                  <m:t>£772mn/£12,452</m:t>
                </m:r>
              </m:oMath>
            </m:oMathPara>
          </w:p>
        </w:tc>
        <w:tc>
          <w:tcPr>
            <w:tcW w:w="0" w:type="auto"/>
            <w:tcBorders>
              <w:top w:val="single" w:sz="4" w:space="0" w:color="auto"/>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top w:val="single" w:sz="4" w:space="0" w:color="auto"/>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sz w:val="14"/>
              </w:rPr>
            </w:pPr>
            <m:oMathPara>
              <m:oMath>
                <m:f>
                  <m:fPr>
                    <m:type m:val="lin"/>
                    <m:ctrlPr>
                      <w:rPr>
                        <w:rFonts w:ascii="Cambria Math" w:hAnsi="Cambria Math"/>
                        <w:i/>
                        <w:sz w:val="14"/>
                      </w:rPr>
                    </m:ctrlPr>
                  </m:fPr>
                  <m:num>
                    <m:r>
                      <w:rPr>
                        <w:rFonts w:ascii="Cambria Math" w:hAnsi="Cambria Math"/>
                        <w:sz w:val="14"/>
                      </w:rPr>
                      <m:t>→0</m:t>
                    </m:r>
                  </m:num>
                  <m:den>
                    <m:r>
                      <w:rPr>
                        <w:rFonts w:ascii="Cambria Math" w:hAnsi="Cambria Math"/>
                        <w:sz w:val="14"/>
                      </w:rPr>
                      <m:t>£12,936</m:t>
                    </m:r>
                  </m:den>
                </m:f>
              </m:oMath>
            </m:oMathPara>
          </w:p>
        </w:tc>
        <w:tc>
          <w:tcPr>
            <w:tcW w:w="0" w:type="auto"/>
            <w:tcBorders>
              <w:top w:val="single" w:sz="4" w:space="0" w:color="auto"/>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£386mn</m:t>
                </m:r>
              </m:oMath>
            </m:oMathPara>
          </w:p>
        </w:tc>
        <w:tc>
          <w:tcPr>
            <w:tcW w:w="0" w:type="auto"/>
            <w:tcBorders>
              <w:top w:val="single" w:sz="4" w:space="0" w:color="auto"/>
              <w:lef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£386mn</m:t>
                    </m:r>
                  </m:num>
                  <m:den>
                    <m:r>
                      <w:rPr>
                        <w:rFonts w:ascii="Cambria Math" w:eastAsia="Times New Roman" w:hAnsi="Cambria Math" w:cs="Times New Roman"/>
                        <w:sz w:val="14"/>
                      </w:rPr>
                      <m:t>£12,</m:t>
                    </m:r>
                  </m:den>
                </m:f>
                <m:r>
                  <w:rPr>
                    <w:rFonts w:ascii="Cambria Math" w:eastAsia="Times New Roman" w:hAnsi="Cambria Math" w:cs="Times New Roman"/>
                    <w:sz w:val="14"/>
                  </w:rPr>
                  <m:t>518</m:t>
                </m:r>
              </m:oMath>
            </m:oMathPara>
          </w:p>
        </w:tc>
      </w:tr>
      <w:tr w:rsidR="00BA0F7F" w:rsidRPr="00E7383D"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BA0F7F" w:rsidRPr="00E7383D" w:rsidRDefault="00BA0F7F" w:rsidP="00300D7D">
            <w:pPr>
              <w:rPr>
                <w:sz w:val="14"/>
              </w:rPr>
            </w:pPr>
            <w:r w:rsidRPr="00E7383D">
              <w:rPr>
                <w:sz w:val="14"/>
              </w:rPr>
              <w:t>2</w:t>
            </w:r>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sz w:val="14"/>
              </w:rPr>
            </w:pPr>
            <m:oMathPara>
              <m:oMath>
                <m:f>
                  <m:fPr>
                    <m:type m:val="lin"/>
                    <m:ctrlPr>
                      <w:rPr>
                        <w:rFonts w:ascii="Cambria Math" w:hAnsi="Cambria Math"/>
                        <w:i/>
                        <w:sz w:val="14"/>
                      </w:rPr>
                    </m:ctrlPr>
                  </m:fPr>
                  <m:num>
                    <m:r>
                      <w:rPr>
                        <w:rFonts w:ascii="Cambria Math" w:hAnsi="Cambria Math"/>
                        <w:sz w:val="14"/>
                      </w:rPr>
                      <m:t>→0</m:t>
                    </m:r>
                  </m:num>
                  <m:den>
                    <m:r>
                      <w:rPr>
                        <w:rFonts w:ascii="Cambria Math" w:hAnsi="Cambria Math"/>
                        <w:sz w:val="14"/>
                      </w:rPr>
                      <m:t>£12,936</m:t>
                    </m:r>
                  </m:den>
                </m:f>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£193mn</m:t>
                </m:r>
              </m:oMath>
            </m:oMathPara>
          </w:p>
        </w:tc>
        <w:tc>
          <w:tcPr>
            <w:tcW w:w="0" w:type="auto"/>
            <w:tcBorders>
              <w:lef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£193mn</m:t>
                    </m:r>
                  </m:num>
                  <m:den>
                    <m:r>
                      <w:rPr>
                        <w:rFonts w:ascii="Cambria Math" w:eastAsia="Times New Roman" w:hAnsi="Cambria Math" w:cs="Times New Roman"/>
                        <w:sz w:val="14"/>
                      </w:rPr>
                      <m:t>£12,</m:t>
                    </m:r>
                  </m:den>
                </m:f>
                <m:r>
                  <w:rPr>
                    <w:rFonts w:ascii="Cambria Math" w:eastAsia="Times New Roman" w:hAnsi="Cambria Math" w:cs="Times New Roman"/>
                    <w:sz w:val="14"/>
                  </w:rPr>
                  <m:t>551</m:t>
                </m:r>
              </m:oMath>
            </m:oMathPara>
          </w:p>
        </w:tc>
      </w:tr>
      <w:tr w:rsidR="00BA0F7F" w:rsidRPr="00E7383D" w:rsidTr="00300D7D">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BA0F7F" w:rsidRPr="00E7383D" w:rsidRDefault="00BA0F7F" w:rsidP="00300D7D">
            <w:pPr>
              <w:rPr>
                <w:sz w:val="14"/>
              </w:rPr>
            </w:pPr>
            <w:r w:rsidRPr="00E7383D">
              <w:rPr>
                <w:sz w:val="14"/>
              </w:rPr>
              <w:t>3</w:t>
            </w:r>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sz w:val="14"/>
              </w:rPr>
            </w:pPr>
            <m:oMathPara>
              <m:oMath>
                <m:f>
                  <m:fPr>
                    <m:type m:val="lin"/>
                    <m:ctrlPr>
                      <w:rPr>
                        <w:rFonts w:ascii="Cambria Math" w:hAnsi="Cambria Math"/>
                        <w:i/>
                        <w:sz w:val="14"/>
                      </w:rPr>
                    </m:ctrlPr>
                  </m:fPr>
                  <m:num>
                    <m:r>
                      <w:rPr>
                        <w:rFonts w:ascii="Cambria Math" w:hAnsi="Cambria Math"/>
                        <w:sz w:val="14"/>
                      </w:rPr>
                      <m:t>→0</m:t>
                    </m:r>
                  </m:num>
                  <m:den>
                    <m:r>
                      <w:rPr>
                        <w:rFonts w:ascii="Cambria Math" w:hAnsi="Cambria Math"/>
                        <w:sz w:val="14"/>
                      </w:rPr>
                      <m:t>£12,936</m:t>
                    </m:r>
                  </m:den>
                </m:f>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£193mn</m:t>
                </m:r>
              </m:oMath>
            </m:oMathPara>
          </w:p>
        </w:tc>
        <w:tc>
          <w:tcPr>
            <w:tcW w:w="0" w:type="auto"/>
            <w:tcBorders>
              <w:lef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 w:val="14"/>
              </w:rPr>
            </w:pPr>
            <m:oMathPara>
              <m:oMath>
                <m:f>
                  <m:fPr>
                    <m:type m:val="lin"/>
                    <m:ctrlPr>
                      <w:rPr>
                        <w:rFonts w:ascii="Cambria Math" w:eastAsia="Times New Roman" w:hAnsi="Cambria Math" w:cs="Times New Roman"/>
                        <w:i/>
                        <w:sz w:val="14"/>
                      </w:rPr>
                    </m:ctrlPr>
                  </m:fPr>
                  <m:num>
                    <m:r>
                      <w:rPr>
                        <w:rFonts w:ascii="Cambria Math" w:eastAsia="Times New Roman" w:hAnsi="Cambria Math" w:cs="Times New Roman"/>
                        <w:sz w:val="14"/>
                      </w:rPr>
                      <m:t>£193mn</m:t>
                    </m:r>
                  </m:num>
                  <m:den>
                    <m:r>
                      <w:rPr>
                        <w:rFonts w:ascii="Cambria Math" w:eastAsia="Times New Roman" w:hAnsi="Cambria Math" w:cs="Times New Roman"/>
                        <w:sz w:val="14"/>
                      </w:rPr>
                      <m:t>£12,</m:t>
                    </m:r>
                  </m:den>
                </m:f>
                <m:r>
                  <w:rPr>
                    <w:rFonts w:ascii="Cambria Math" w:eastAsia="Times New Roman" w:hAnsi="Cambria Math" w:cs="Times New Roman"/>
                    <w:sz w:val="14"/>
                  </w:rPr>
                  <m:t>551</m:t>
                </m:r>
              </m:oMath>
            </m:oMathPara>
          </w:p>
        </w:tc>
      </w:tr>
      <w:tr w:rsidR="00BA0F7F" w:rsidRPr="00E7383D"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tcPr>
          <w:p w:rsidR="00BA0F7F" w:rsidRPr="00E7383D" w:rsidRDefault="00BA0F7F" w:rsidP="00300D7D">
            <w:pPr>
              <w:rPr>
                <w:sz w:val="14"/>
              </w:rPr>
            </w:pPr>
            <w:r w:rsidRPr="00E7383D">
              <w:rPr>
                <w:sz w:val="14"/>
              </w:rPr>
              <w:t>…</w:t>
            </w:r>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sz w:val="14"/>
              </w:rPr>
            </w:pPr>
            <m:oMathPara>
              <m:oMath>
                <m:f>
                  <m:fPr>
                    <m:type m:val="lin"/>
                    <m:ctrlPr>
                      <w:rPr>
                        <w:rFonts w:ascii="Cambria Math" w:hAnsi="Cambria Math"/>
                        <w:i/>
                        <w:sz w:val="14"/>
                      </w:rPr>
                    </m:ctrlPr>
                  </m:fPr>
                  <m:num>
                    <m:r>
                      <w:rPr>
                        <w:rFonts w:ascii="Cambria Math" w:hAnsi="Cambria Math"/>
                        <w:sz w:val="14"/>
                      </w:rPr>
                      <m:t>→0</m:t>
                    </m:r>
                  </m:num>
                  <m:den>
                    <m:r>
                      <w:rPr>
                        <w:rFonts w:ascii="Cambria Math" w:hAnsi="Cambria Math"/>
                        <w:sz w:val="14"/>
                      </w:rPr>
                      <m:t>£12,936</m:t>
                    </m:r>
                  </m:den>
                </m:f>
              </m:oMath>
            </m:oMathPara>
          </w:p>
        </w:tc>
        <w:tc>
          <w:tcPr>
            <w:tcW w:w="0" w:type="auto"/>
            <w:tcBorders>
              <w:left w:val="single" w:sz="4" w:space="0" w:color="auto"/>
              <w:righ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tcBorders>
            <w:shd w:val="clear" w:color="auto" w:fill="auto"/>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4"/>
              </w:rPr>
            </w:pPr>
            <m:oMathPara>
              <m:oMath>
                <m:r>
                  <w:rPr>
                    <w:rFonts w:ascii="Cambria Math" w:hAnsi="Cambria Math"/>
                    <w:sz w:val="14"/>
                  </w:rPr>
                  <m:t>0</m:t>
                </m:r>
              </m:oMath>
            </m:oMathPara>
          </w:p>
        </w:tc>
      </w:tr>
      <w:tr w:rsidR="00BA0F7F" w:rsidRPr="00E7383D" w:rsidTr="00300D7D">
        <w:trPr>
          <w:trHeight w:val="8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shd w:val="clear" w:color="auto" w:fill="auto"/>
          </w:tcPr>
          <w:p w:rsidR="00BA0F7F" w:rsidRPr="00E7383D" w:rsidRDefault="00BA0F7F" w:rsidP="00300D7D">
            <w:pPr>
              <w:rPr>
                <w:sz w:val="14"/>
              </w:rPr>
            </w:pPr>
            <w:r w:rsidRPr="00E7383D">
              <w:rPr>
                <w:sz w:val="14"/>
              </w:rPr>
              <w:t>T</w:t>
            </w:r>
          </w:p>
        </w:tc>
        <w:tc>
          <w:tcPr>
            <w:tcW w:w="0" w:type="auto"/>
            <w:tcBorders>
              <w:left w:val="single" w:sz="4" w:space="0" w:color="auto"/>
              <w:bottom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bottom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bottom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bottom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sz w:val="14"/>
              </w:rPr>
            </w:pPr>
            <m:oMathPara>
              <m:oMath>
                <m:f>
                  <m:fPr>
                    <m:type m:val="lin"/>
                    <m:ctrlPr>
                      <w:rPr>
                        <w:rFonts w:ascii="Cambria Math" w:hAnsi="Cambria Math"/>
                        <w:i/>
                        <w:sz w:val="14"/>
                      </w:rPr>
                    </m:ctrlPr>
                  </m:fPr>
                  <m:num>
                    <m:r>
                      <w:rPr>
                        <w:rFonts w:ascii="Cambria Math" w:hAnsi="Cambria Math"/>
                        <w:sz w:val="14"/>
                      </w:rPr>
                      <m:t>→0</m:t>
                    </m:r>
                  </m:num>
                  <m:den>
                    <m:r>
                      <w:rPr>
                        <w:rFonts w:ascii="Cambria Math" w:hAnsi="Cambria Math"/>
                        <w:sz w:val="14"/>
                      </w:rPr>
                      <m:t>£12,936</m:t>
                    </m:r>
                  </m:den>
                </m:f>
              </m:oMath>
            </m:oMathPara>
          </w:p>
        </w:tc>
        <w:tc>
          <w:tcPr>
            <w:tcW w:w="0" w:type="auto"/>
            <w:tcBorders>
              <w:left w:val="single" w:sz="4" w:space="0" w:color="auto"/>
              <w:bottom w:val="single" w:sz="4" w:space="0" w:color="auto"/>
              <w:right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c>
          <w:tcPr>
            <w:tcW w:w="0" w:type="auto"/>
            <w:tcBorders>
              <w:left w:val="single" w:sz="4" w:space="0" w:color="auto"/>
              <w:bottom w:val="single" w:sz="4" w:space="0" w:color="auto"/>
            </w:tcBorders>
            <w:shd w:val="clear" w:color="auto" w:fill="auto"/>
          </w:tcPr>
          <w:p w:rsidR="00BA0F7F" w:rsidRPr="00E7383D" w:rsidRDefault="00BA0F7F" w:rsidP="00300D7D">
            <w:pPr>
              <w:cnfStyle w:val="000000000000" w:firstRow="0" w:lastRow="0" w:firstColumn="0" w:lastColumn="0" w:oddVBand="0" w:evenVBand="0" w:oddHBand="0" w:evenHBand="0" w:firstRowFirstColumn="0" w:firstRowLastColumn="0" w:lastRowFirstColumn="0" w:lastRowLastColumn="0"/>
              <w:rPr>
                <w:sz w:val="14"/>
              </w:rPr>
            </w:pPr>
            <m:oMathPara>
              <m:oMath>
                <m:r>
                  <w:rPr>
                    <w:rFonts w:ascii="Cambria Math" w:hAnsi="Cambria Math"/>
                    <w:sz w:val="14"/>
                  </w:rPr>
                  <m:t>0</m:t>
                </m:r>
              </m:oMath>
            </m:oMathPara>
          </w:p>
        </w:tc>
      </w:tr>
      <w:tr w:rsidR="00BA0F7F" w:rsidRPr="00E7383D" w:rsidTr="00300D7D">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rPr>
                <w:sz w:val="16"/>
              </w:rPr>
            </w:pPr>
            <w:r w:rsidRPr="00E7383D">
              <w:rPr>
                <w:sz w:val="16"/>
              </w:rPr>
              <w:t>Net present value</w:t>
            </w:r>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6"/>
              </w:rPr>
            </w:pPr>
            <m:oMathPara>
              <m:oMath>
                <m:r>
                  <w:rPr>
                    <w:rFonts w:ascii="Cambria Math" w:hAnsi="Cambria Math"/>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16"/>
              </w:rPr>
            </w:pPr>
            <m:oMathPara>
              <m:oMath>
                <m:f>
                  <m:fPr>
                    <m:ctrlPr>
                      <w:rPr>
                        <w:rFonts w:ascii="Cambria Math" w:hAnsi="Cambria Math"/>
                        <w:i/>
                        <w:sz w:val="16"/>
                      </w:rPr>
                    </m:ctrlPr>
                  </m:fPr>
                  <m:num>
                    <m:r>
                      <w:rPr>
                        <w:rFonts w:ascii="Cambria Math" w:hAnsi="Cambria Math"/>
                        <w:sz w:val="16"/>
                      </w:rPr>
                      <m:t>£772mn</m:t>
                    </m:r>
                  </m:num>
                  <m:den>
                    <m:r>
                      <w:rPr>
                        <w:rFonts w:ascii="Cambria Math" w:hAnsi="Cambria Math"/>
                        <w:sz w:val="16"/>
                      </w:rPr>
                      <m:t>£12,452</m:t>
                    </m:r>
                  </m:den>
                </m:f>
                <m:r>
                  <w:rPr>
                    <w:rFonts w:ascii="Cambria Math" w:eastAsia="Times New Roman" w:hAnsi="Cambria Math" w:cs="Times New Roman"/>
                    <w:sz w:val="16"/>
                  </w:rPr>
                  <m:t>=61,997</m:t>
                </m:r>
              </m:oMath>
            </m:oMathPara>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sz w:val="16"/>
              </w:rPr>
            </w:pPr>
            <m:oMathPara>
              <m:oMath>
                <m:r>
                  <w:rPr>
                    <w:rFonts w:ascii="Cambria Math" w:hAnsi="Cambria Math"/>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sz w:val="16"/>
              </w:rPr>
            </w:pPr>
            <m:oMathPara>
              <m:oMath>
                <m:f>
                  <m:fPr>
                    <m:ctrlPr>
                      <w:rPr>
                        <w:rFonts w:ascii="Cambria Math" w:hAnsi="Cambria Math"/>
                        <w:i/>
                        <w:sz w:val="16"/>
                      </w:rPr>
                    </m:ctrlPr>
                  </m:fPr>
                  <m:num>
                    <m:r>
                      <w:rPr>
                        <w:rFonts w:ascii="Cambria Math" w:hAnsi="Cambria Math"/>
                        <w:sz w:val="16"/>
                      </w:rPr>
                      <m:t>£772mn</m:t>
                    </m:r>
                  </m:num>
                  <m:den>
                    <m:r>
                      <w:rPr>
                        <w:rFonts w:ascii="Cambria Math" w:hAnsi="Cambria Math"/>
                        <w:sz w:val="16"/>
                      </w:rPr>
                      <m:t>£12,936</m:t>
                    </m:r>
                  </m:den>
                </m:f>
                <m:r>
                  <w:rPr>
                    <w:rFonts w:ascii="Cambria Math" w:eastAsia="Times New Roman" w:hAnsi="Cambria Math" w:cs="Times New Roman"/>
                    <w:sz w:val="16"/>
                  </w:rPr>
                  <m:t>=59,677</m:t>
                </m:r>
              </m:oMath>
            </m:oMathPara>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16"/>
              </w:rPr>
            </w:pPr>
            <m:oMathPara>
              <m:oMath>
                <m:r>
                  <w:rPr>
                    <w:rFonts w:ascii="Cambria Math" w:hAnsi="Cambria Math"/>
                    <w:color w:val="auto"/>
                    <w:sz w:val="16"/>
                  </w:rPr>
                  <m:t>£772mn</m:t>
                </m:r>
              </m:oMath>
            </m:oMathPara>
          </w:p>
        </w:tc>
        <w:tc>
          <w:tcPr>
            <w:tcW w:w="0" w:type="auto"/>
            <w:tcBorders>
              <w:top w:val="single" w:sz="4" w:space="0" w:color="auto"/>
              <w:left w:val="single" w:sz="4" w:space="0" w:color="auto"/>
              <w:bottom w:val="single" w:sz="4" w:space="0" w:color="auto"/>
              <w:right w:val="single" w:sz="4" w:space="0" w:color="auto"/>
            </w:tcBorders>
          </w:tcPr>
          <w:p w:rsidR="00BA0F7F" w:rsidRPr="00E7383D" w:rsidRDefault="00BA0F7F" w:rsidP="00300D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sz w:val="16"/>
              </w:rPr>
            </w:pPr>
            <m:oMathPara>
              <m:oMath>
                <m:f>
                  <m:fPr>
                    <m:ctrlPr>
                      <w:rPr>
                        <w:rFonts w:ascii="Cambria Math" w:eastAsia="Calibri" w:hAnsi="Cambria Math" w:cs="Times New Roman"/>
                        <w:i/>
                        <w:iCs/>
                        <w:sz w:val="16"/>
                      </w:rPr>
                    </m:ctrlPr>
                  </m:fPr>
                  <m:num>
                    <m:r>
                      <w:rPr>
                        <w:rFonts w:ascii="Cambria Math" w:eastAsia="Calibri" w:hAnsi="Cambria Math" w:cs="Times New Roman"/>
                        <w:sz w:val="16"/>
                      </w:rPr>
                      <m:t>£386mn</m:t>
                    </m:r>
                  </m:num>
                  <m:den>
                    <m:r>
                      <w:rPr>
                        <w:rFonts w:ascii="Cambria Math" w:eastAsia="Calibri" w:hAnsi="Cambria Math" w:cs="Times New Roman"/>
                        <w:sz w:val="16"/>
                      </w:rPr>
                      <m:t>£12,518</m:t>
                    </m:r>
                  </m:den>
                </m:f>
                <m:r>
                  <w:rPr>
                    <w:rFonts w:ascii="Cambria Math" w:eastAsia="Calibri" w:hAnsi="Cambria Math" w:cs="Times New Roman"/>
                    <w:sz w:val="16"/>
                  </w:rPr>
                  <m:t>+2*</m:t>
                </m:r>
                <m:f>
                  <m:fPr>
                    <m:ctrlPr>
                      <w:rPr>
                        <w:rFonts w:ascii="Cambria Math" w:eastAsia="Calibri" w:hAnsi="Cambria Math" w:cs="Times New Roman"/>
                        <w:i/>
                        <w:iCs/>
                        <w:sz w:val="16"/>
                      </w:rPr>
                    </m:ctrlPr>
                  </m:fPr>
                  <m:num>
                    <m:r>
                      <w:rPr>
                        <w:rFonts w:ascii="Cambria Math" w:eastAsia="Calibri" w:hAnsi="Cambria Math" w:cs="Times New Roman"/>
                        <w:sz w:val="16"/>
                      </w:rPr>
                      <m:t>£193mn</m:t>
                    </m:r>
                  </m:num>
                  <m:den>
                    <m:r>
                      <w:rPr>
                        <w:rFonts w:ascii="Cambria Math" w:eastAsia="Calibri" w:hAnsi="Cambria Math" w:cs="Times New Roman"/>
                        <w:sz w:val="16"/>
                      </w:rPr>
                      <m:t>£12,551</m:t>
                    </m:r>
                  </m:den>
                </m:f>
                <m:r>
                  <w:rPr>
                    <w:rFonts w:ascii="Cambria Math" w:eastAsia="Calibri" w:hAnsi="Cambria Math" w:cs="Times New Roman"/>
                    <w:sz w:val="16"/>
                  </w:rPr>
                  <m:t>=61,589</m:t>
                </m:r>
              </m:oMath>
            </m:oMathPara>
          </w:p>
        </w:tc>
      </w:tr>
    </w:tbl>
    <w:p w:rsidR="00102AE1" w:rsidRDefault="00102AE1" w:rsidP="00102AE1">
      <w:pPr>
        <w:keepNext/>
      </w:pPr>
    </w:p>
    <w:p w:rsidR="00BA0F7F" w:rsidRDefault="00BA0F7F" w:rsidP="00102AE1">
      <w:pPr>
        <w:keepNext/>
      </w:pPr>
      <w:r>
        <w:rPr>
          <w:noProof/>
          <w:lang w:eastAsia="en-GB"/>
        </w:rPr>
        <w:drawing>
          <wp:inline distT="0" distB="0" distL="0" distR="0" wp14:anchorId="6BF1BAAF" wp14:editId="3393ACB8">
            <wp:extent cx="4962525" cy="7115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62525" cy="7115175"/>
                    </a:xfrm>
                    <a:prstGeom prst="rect">
                      <a:avLst/>
                    </a:prstGeom>
                  </pic:spPr>
                </pic:pic>
              </a:graphicData>
            </a:graphic>
          </wp:inline>
        </w:drawing>
      </w:r>
    </w:p>
    <w:p w:rsidR="00102AE1" w:rsidRDefault="00102AE1" w:rsidP="00102AE1">
      <w:pPr>
        <w:pStyle w:val="Caption"/>
      </w:pPr>
      <w:r>
        <w:t xml:space="preserve">Figure </w:t>
      </w:r>
      <w:r w:rsidR="00E708DF">
        <w:rPr>
          <w:noProof/>
        </w:rPr>
        <w:fldChar w:fldCharType="begin"/>
      </w:r>
      <w:r w:rsidR="00E708DF">
        <w:rPr>
          <w:noProof/>
        </w:rPr>
        <w:instrText xml:space="preserve"> SEQ Figure \* ARABIC </w:instrText>
      </w:r>
      <w:r w:rsidR="00E708DF">
        <w:rPr>
          <w:noProof/>
        </w:rPr>
        <w:fldChar w:fldCharType="separate"/>
      </w:r>
      <w:r>
        <w:rPr>
          <w:noProof/>
        </w:rPr>
        <w:t>1</w:t>
      </w:r>
      <w:r w:rsidR="00E708DF">
        <w:rPr>
          <w:noProof/>
        </w:rPr>
        <w:fldChar w:fldCharType="end"/>
      </w:r>
      <w:r>
        <w:t xml:space="preserve"> - Evaluating the time profile of health opportunity costs</w:t>
      </w:r>
    </w:p>
    <w:p w:rsidR="001211C7" w:rsidRDefault="00925C89" w:rsidP="00BC2B26">
      <w:pPr>
        <w:rPr>
          <w:rFonts w:eastAsiaTheme="minorEastAsia"/>
        </w:rPr>
      </w:pPr>
      <w:r>
        <w:t>The estimate of the net present value of health opportunity costs for scenario 2 is the s</w:t>
      </w:r>
      <w:r w:rsidR="00371CAA">
        <w:t xml:space="preserve">ame as calculated in equation 3, </w:t>
      </w:r>
      <w:r w:rsidR="00601708">
        <w:t>because</w:t>
      </w:r>
      <w:r w:rsidR="00811ABC">
        <w:rPr>
          <w:rFonts w:eastAsiaTheme="minorEastAsia"/>
          <w:iCs/>
        </w:rPr>
        <w:t xml:space="preserve"> it is mathematically</w:t>
      </w:r>
      <w:r>
        <w:t xml:space="preserve"> equivalent</w:t>
      </w:r>
      <w:r w:rsidR="00371CAA">
        <w:t xml:space="preserve"> (assuming </w:t>
      </w:r>
      <m:oMath>
        <m:sSub>
          <m:sSubPr>
            <m:ctrlPr>
              <w:rPr>
                <w:rFonts w:ascii="Cambria Math" w:hAnsi="Cambria Math"/>
                <w:i/>
                <w:iCs/>
              </w:rPr>
            </m:ctrlPr>
          </m:sSubPr>
          <m:e>
            <m:r>
              <w:rPr>
                <w:rFonts w:ascii="Cambria Math" w:hAnsi="Cambria Math"/>
              </w:rPr>
              <m:t>d</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hoc</m:t>
            </m:r>
          </m:sub>
        </m:sSub>
      </m:oMath>
      <w:r w:rsidR="00371CAA">
        <w:rPr>
          <w:rFonts w:eastAsiaTheme="minorEastAsia"/>
          <w:iCs/>
        </w:rPr>
        <w:t>)</w:t>
      </w:r>
      <w:r w:rsidR="00811ABC">
        <w:t>.</w:t>
      </w:r>
      <w:r w:rsidR="00811ABC">
        <w:rPr>
          <w:rStyle w:val="FootnoteReference"/>
        </w:rPr>
        <w:footnoteReference w:id="1"/>
      </w:r>
      <w:r>
        <w:t xml:space="preserve"> </w:t>
      </w:r>
      <w:r w:rsidR="00371CAA">
        <w:t xml:space="preserve">Evaluating </w:t>
      </w:r>
      <w:r w:rsidR="00371CAA">
        <w:lastRenderedPageBreak/>
        <w:t>the health opportunity costs in this way for s</w:t>
      </w:r>
      <w:r w:rsidR="00066B65">
        <w:rPr>
          <w:rFonts w:eastAsiaTheme="minorEastAsia"/>
        </w:rPr>
        <w:t xml:space="preserve">cenario 1 </w:t>
      </w:r>
      <w:r w:rsidR="00371CAA">
        <w:rPr>
          <w:rFonts w:eastAsiaTheme="minorEastAsia"/>
        </w:rPr>
        <w:t>yields</w:t>
      </w:r>
      <w:r w:rsidR="00066B65">
        <w:rPr>
          <w:rFonts w:eastAsiaTheme="minorEastAsia"/>
        </w:rPr>
        <w:t xml:space="preserve"> the same result as</w:t>
      </w:r>
      <w:r w:rsidR="00371CAA">
        <w:rPr>
          <w:rFonts w:eastAsiaTheme="minorEastAsia"/>
        </w:rPr>
        <w:t xml:space="preserve"> equation 5. This is straightforward as a result of all budget impact being concentrated in the present time period. The comparison between scenarios 1 and 2 here is the same as the comparison in</w:t>
      </w:r>
      <w:r w:rsidR="00066B65">
        <w:rPr>
          <w:rFonts w:eastAsiaTheme="minorEastAsia"/>
        </w:rPr>
        <w:t xml:space="preserve"> </w:t>
      </w:r>
      <w:r w:rsidR="004A599A">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rsidR="004A599A">
        <w:fldChar w:fldCharType="separate"/>
      </w:r>
      <w:r w:rsidR="004A599A" w:rsidRPr="004A599A">
        <w:rPr>
          <w:noProof/>
        </w:rPr>
        <w:t xml:space="preserve">Lomas et al. </w:t>
      </w:r>
      <w:r w:rsidR="004A599A">
        <w:rPr>
          <w:noProof/>
        </w:rPr>
        <w:t>(</w:t>
      </w:r>
      <w:r w:rsidR="004A599A" w:rsidRPr="004A599A">
        <w:rPr>
          <w:noProof/>
        </w:rPr>
        <w:t>2018)</w:t>
      </w:r>
      <w:r w:rsidR="004A599A">
        <w:fldChar w:fldCharType="end"/>
      </w:r>
      <w:r w:rsidR="00066B65">
        <w:rPr>
          <w:rFonts w:eastAsiaTheme="minorEastAsia"/>
        </w:rPr>
        <w:t xml:space="preserve"> showing that if the whole £772mn budget impact is faced in year 1 then accounting for that through </w:t>
      </w:r>
      <m:oMath>
        <m:r>
          <w:rPr>
            <w:rFonts w:ascii="Cambria Math" w:hAnsi="Cambria Math"/>
          </w:rPr>
          <m:t>k(∆C)</m:t>
        </m:r>
      </m:oMath>
      <w:r w:rsidR="00066B65">
        <w:rPr>
          <w:rFonts w:eastAsiaTheme="minorEastAsia"/>
        </w:rPr>
        <w:t xml:space="preserve"> results in health opportunity costs that are </w:t>
      </w:r>
      <w:r w:rsidR="001211C7">
        <w:rPr>
          <w:rFonts w:eastAsiaTheme="minorEastAsia"/>
        </w:rPr>
        <w:t>3.9</w:t>
      </w:r>
      <w:r w:rsidR="00066B65">
        <w:rPr>
          <w:rFonts w:eastAsiaTheme="minorEastAsia"/>
        </w:rPr>
        <w:t>% higher</w:t>
      </w:r>
      <w:r w:rsidR="001211C7">
        <w:rPr>
          <w:rFonts w:eastAsiaTheme="minorEastAsia"/>
        </w:rPr>
        <w:t xml:space="preserve"> than if its non-marginality in the first year was ignored</w:t>
      </w:r>
      <w:r w:rsidR="00371CAA">
        <w:rPr>
          <w:rFonts w:eastAsiaTheme="minorEastAsia"/>
        </w:rPr>
        <w:t xml:space="preserve"> (using a value of </w:t>
      </w:r>
      <m:oMath>
        <m:r>
          <w:rPr>
            <w:rFonts w:ascii="Cambria Math" w:hAnsi="Cambria Math"/>
          </w:rPr>
          <m:t>k</m:t>
        </m:r>
      </m:oMath>
      <w:r w:rsidR="00371CAA">
        <w:rPr>
          <w:rFonts w:eastAsiaTheme="minorEastAsia"/>
        </w:rPr>
        <w:t xml:space="preserve"> that is appropriate for marginal interventions</w:t>
      </w:r>
      <w:r w:rsidR="002E5B61">
        <w:rPr>
          <w:rFonts w:eastAsiaTheme="minorEastAsia"/>
        </w:rPr>
        <w:t>, see equation 3</w:t>
      </w:r>
      <w:r w:rsidR="00371CAA">
        <w:rPr>
          <w:rFonts w:eastAsiaTheme="minorEastAsia"/>
        </w:rPr>
        <w:t>)</w:t>
      </w:r>
      <w:r w:rsidR="00066B65">
        <w:rPr>
          <w:rFonts w:eastAsiaTheme="minorEastAsia"/>
        </w:rPr>
        <w:t>.</w:t>
      </w:r>
      <w:r w:rsidR="001211C7">
        <w:rPr>
          <w:rFonts w:eastAsiaTheme="minorEastAsia"/>
        </w:rPr>
        <w:t xml:space="preserve"> </w:t>
      </w:r>
      <w:r w:rsidR="002D64C8">
        <w:rPr>
          <w:rFonts w:eastAsiaTheme="minorEastAsia"/>
        </w:rPr>
        <w:t>Unlike scenarios 1 and 2, it is not possible to evaluate the time profile of health opportunity costs of s</w:t>
      </w:r>
      <w:r w:rsidR="00371CAA">
        <w:rPr>
          <w:rFonts w:eastAsiaTheme="minorEastAsia"/>
        </w:rPr>
        <w:t>cenario 3</w:t>
      </w:r>
      <w:r w:rsidR="002D64C8">
        <w:rPr>
          <w:rFonts w:eastAsiaTheme="minorEastAsia"/>
        </w:rPr>
        <w:t xml:space="preserve"> with a single value of </w:t>
      </w:r>
      <m:oMath>
        <m:r>
          <w:rPr>
            <w:rFonts w:ascii="Cambria Math" w:hAnsi="Cambria Math"/>
          </w:rPr>
          <m:t>k</m:t>
        </m:r>
      </m:oMath>
      <w:r w:rsidR="002D64C8">
        <w:rPr>
          <w:rFonts w:eastAsiaTheme="minorEastAsia"/>
        </w:rPr>
        <w:t xml:space="preserve"> or </w:t>
      </w:r>
      <m:oMath>
        <m:r>
          <w:rPr>
            <w:rFonts w:ascii="Cambria Math" w:hAnsi="Cambria Math"/>
          </w:rPr>
          <m:t>k(∆C)</m:t>
        </m:r>
      </m:oMath>
      <w:r w:rsidR="002D64C8">
        <w:rPr>
          <w:rFonts w:eastAsiaTheme="minorEastAsia"/>
        </w:rPr>
        <w:t>. Instead, because there is</w:t>
      </w:r>
      <w:r w:rsidR="00EC0685">
        <w:rPr>
          <w:rFonts w:eastAsiaTheme="minorEastAsia"/>
        </w:rPr>
        <w:t xml:space="preserve"> a</w:t>
      </w:r>
      <w:r w:rsidR="002D64C8">
        <w:rPr>
          <w:rFonts w:eastAsiaTheme="minorEastAsia"/>
        </w:rPr>
        <w:t xml:space="preserve"> no</w:t>
      </w:r>
      <w:r w:rsidR="00EC0685">
        <w:rPr>
          <w:rFonts w:eastAsiaTheme="minorEastAsia"/>
        </w:rPr>
        <w:t>n-</w:t>
      </w:r>
      <w:r w:rsidR="002D64C8">
        <w:rPr>
          <w:rFonts w:eastAsiaTheme="minorEastAsia"/>
        </w:rPr>
        <w:t xml:space="preserve">uniform time profile of incremental costs, </w:t>
      </w:r>
      <m:oMath>
        <m:r>
          <w:rPr>
            <w:rFonts w:ascii="Cambria Math" w:hAnsi="Cambria Math"/>
          </w:rPr>
          <m:t>k(∆C)</m:t>
        </m:r>
      </m:oMath>
      <w:r w:rsidR="002D64C8">
        <w:rPr>
          <w:rFonts w:eastAsiaTheme="minorEastAsia"/>
        </w:rPr>
        <w:t xml:space="preserve"> will take different values in the different time periods</w:t>
      </w:r>
      <w:r w:rsidR="006075C4">
        <w:rPr>
          <w:rFonts w:eastAsiaTheme="minorEastAsia"/>
        </w:rPr>
        <w:t xml:space="preserve"> as shown in Table 5</w:t>
      </w:r>
      <w:r w:rsidR="002D64C8">
        <w:rPr>
          <w:rFonts w:eastAsiaTheme="minorEastAsia"/>
        </w:rPr>
        <w:t>. The resulting health opportunity costs</w:t>
      </w:r>
      <w:r w:rsidR="006075C4">
        <w:rPr>
          <w:rFonts w:eastAsiaTheme="minorEastAsia"/>
        </w:rPr>
        <w:t xml:space="preserve"> for scenario 3</w:t>
      </w:r>
      <w:r w:rsidR="001211C7">
        <w:rPr>
          <w:rFonts w:eastAsiaTheme="minorEastAsia"/>
        </w:rPr>
        <w:t xml:space="preserve"> </w:t>
      </w:r>
      <w:r w:rsidR="006075C4">
        <w:rPr>
          <w:rFonts w:eastAsiaTheme="minorEastAsia"/>
        </w:rPr>
        <w:t>are</w:t>
      </w:r>
      <w:r w:rsidR="001211C7">
        <w:rPr>
          <w:rFonts w:eastAsiaTheme="minorEastAsia"/>
        </w:rPr>
        <w:t xml:space="preserve"> 3.2% greater </w:t>
      </w:r>
      <w:r w:rsidR="006075C4">
        <w:rPr>
          <w:rFonts w:eastAsiaTheme="minorEastAsia"/>
        </w:rPr>
        <w:t xml:space="preserve">compared to when a value of </w:t>
      </w:r>
      <m:oMath>
        <m:r>
          <w:rPr>
            <w:rFonts w:ascii="Cambria Math" w:hAnsi="Cambria Math"/>
          </w:rPr>
          <m:t>k</m:t>
        </m:r>
      </m:oMath>
      <w:r w:rsidR="006075C4">
        <w:rPr>
          <w:rFonts w:eastAsiaTheme="minorEastAsia"/>
        </w:rPr>
        <w:t xml:space="preserve"> that is appropriate for marginal interventions is used</w:t>
      </w:r>
      <w:r w:rsidR="001211C7">
        <w:rPr>
          <w:rFonts w:eastAsiaTheme="minorEastAsia"/>
        </w:rPr>
        <w:t>.</w:t>
      </w:r>
      <w:r w:rsidR="00066B65">
        <w:rPr>
          <w:rFonts w:eastAsiaTheme="minorEastAsia"/>
        </w:rPr>
        <w:t xml:space="preserve"> </w:t>
      </w:r>
      <w:r w:rsidR="001211C7">
        <w:rPr>
          <w:rFonts w:eastAsiaTheme="minorEastAsia"/>
        </w:rPr>
        <w:t>This means that there are three different decision rules for each of the scenarios because of the differences in the time profiles of costs:</w:t>
      </w:r>
    </w:p>
    <w:p w:rsidR="001211C7" w:rsidRDefault="001211C7" w:rsidP="001211C7">
      <w:pPr>
        <w:rPr>
          <w:rFonts w:eastAsiaTheme="minorEastAsia"/>
        </w:rPr>
      </w:pPr>
      <w:r>
        <w:rPr>
          <w:rFonts w:eastAsiaTheme="minorEastAsia"/>
        </w:rPr>
        <w:t>Scenario 1:</w:t>
      </w:r>
      <w:r>
        <w:rPr>
          <w:rFonts w:eastAsiaTheme="minorEastAsia"/>
        </w:rPr>
        <w:tab/>
      </w: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t</m:t>
                        </m:r>
                      </m:sub>
                    </m:sSub>
                    <m:r>
                      <w:rPr>
                        <w:rFonts w:ascii="Cambria Math" w:hAnsi="Cambria Math"/>
                      </w:rPr>
                      <m:t>)</m:t>
                    </m:r>
                  </m:den>
                </m:f>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hoc</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-61,997&gt;0</m:t>
        </m:r>
      </m:oMath>
      <w:r>
        <w:rPr>
          <w:rFonts w:eastAsiaTheme="minorEastAsia"/>
        </w:rPr>
        <w:tab/>
      </w:r>
      <w:r>
        <w:rPr>
          <w:rFonts w:eastAsiaTheme="minorEastAsia"/>
        </w:rPr>
        <w:tab/>
        <w:t>(</w:t>
      </w:r>
      <w:r w:rsidR="002E5B61">
        <w:rPr>
          <w:rFonts w:eastAsiaTheme="minorEastAsia"/>
        </w:rPr>
        <w:t>7</w:t>
      </w:r>
      <w:r>
        <w:rPr>
          <w:rFonts w:eastAsiaTheme="minorEastAsia"/>
        </w:rPr>
        <w:t>)</w:t>
      </w:r>
    </w:p>
    <w:p w:rsidR="001211C7" w:rsidRPr="001658AC" w:rsidRDefault="001211C7" w:rsidP="001211C7">
      <w:pPr>
        <w:rPr>
          <w:rFonts w:eastAsiaTheme="minorEastAsia"/>
        </w:rPr>
      </w:pPr>
      <w:r>
        <w:rPr>
          <w:rFonts w:eastAsiaTheme="minorEastAsia"/>
        </w:rPr>
        <w:t>Scenario 2:</w:t>
      </w:r>
      <w:r>
        <w:rPr>
          <w:rFonts w:eastAsiaTheme="minorEastAsia"/>
        </w:rPr>
        <w:tab/>
      </w: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den>
                </m:f>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hoc</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-59,677&gt;0</m:t>
        </m:r>
      </m:oMath>
      <w:r w:rsidR="002E5B61">
        <w:rPr>
          <w:rFonts w:eastAsiaTheme="minorEastAsia"/>
        </w:rPr>
        <w:tab/>
      </w:r>
      <w:r w:rsidR="002E5B61">
        <w:rPr>
          <w:rFonts w:eastAsiaTheme="minorEastAsia"/>
        </w:rPr>
        <w:tab/>
        <w:t>(8</w:t>
      </w:r>
      <w:r>
        <w:rPr>
          <w:rFonts w:eastAsiaTheme="minorEastAsia"/>
        </w:rPr>
        <w:t>)</w:t>
      </w:r>
    </w:p>
    <w:p w:rsidR="001211C7" w:rsidRPr="001658AC" w:rsidRDefault="001211C7" w:rsidP="001211C7">
      <w:pPr>
        <w:rPr>
          <w:rFonts w:eastAsiaTheme="minorEastAsia"/>
        </w:rPr>
      </w:pPr>
      <w:r>
        <w:rPr>
          <w:rFonts w:eastAsiaTheme="minorEastAsia"/>
        </w:rPr>
        <w:t>Scenario 3:</w:t>
      </w:r>
      <w:r>
        <w:rPr>
          <w:rFonts w:eastAsiaTheme="minorEastAsia"/>
        </w:rPr>
        <w:tab/>
      </w: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t</m:t>
                        </m:r>
                      </m:sub>
                    </m:sSub>
                    <m:r>
                      <w:rPr>
                        <w:rFonts w:ascii="Cambria Math" w:hAnsi="Cambria Math"/>
                      </w:rPr>
                      <m:t>)</m:t>
                    </m:r>
                  </m:den>
                </m:f>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hoc</m:t>
                        </m:r>
                      </m:sub>
                    </m:sSub>
                    <m:r>
                      <w:rPr>
                        <w:rFonts w:ascii="Cambria Math" w:hAnsi="Cambria Math"/>
                      </w:rPr>
                      <m:t>)</m:t>
                    </m:r>
                  </m:e>
                  <m:sup>
                    <m:r>
                      <w:rPr>
                        <w:rFonts w:ascii="Cambria Math" w:hAnsi="Cambria Math"/>
                      </w:rPr>
                      <m:t>t</m:t>
                    </m:r>
                  </m:sup>
                </m:sSup>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t</m:t>
                    </m:r>
                  </m:sub>
                </m:sSub>
              </m:num>
              <m:den>
                <m:sSup>
                  <m:sSupPr>
                    <m:ctrlPr>
                      <w:rPr>
                        <w:rFonts w:ascii="Cambria Math" w:hAnsi="Cambria Math"/>
                        <w:i/>
                        <w:iCs/>
                      </w:rPr>
                    </m:ctrlPr>
                  </m:sSupPr>
                  <m:e>
                    <m:d>
                      <m:dPr>
                        <m:ctrlPr>
                          <w:rPr>
                            <w:rFonts w:ascii="Cambria Math" w:hAnsi="Cambria Math"/>
                            <w:i/>
                            <w:iCs/>
                          </w:rPr>
                        </m:ctrlPr>
                      </m:d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m:t>
                            </m:r>
                          </m:sub>
                        </m:sSub>
                      </m:e>
                    </m:d>
                  </m:e>
                  <m:sup>
                    <m:r>
                      <w:rPr>
                        <w:rFonts w:ascii="Cambria Math" w:hAnsi="Cambria Math"/>
                      </w:rPr>
                      <m:t>t</m:t>
                    </m:r>
                  </m:sup>
                </m:sSup>
              </m:den>
            </m:f>
          </m:e>
        </m:nary>
        <m:r>
          <w:rPr>
            <w:rFonts w:ascii="Cambria Math" w:eastAsiaTheme="minorEastAsia" w:hAnsi="Cambria Math"/>
          </w:rPr>
          <m:t>-61,589&gt;0</m:t>
        </m:r>
      </m:oMath>
      <w:r w:rsidR="002E5B61">
        <w:rPr>
          <w:rFonts w:eastAsiaTheme="minorEastAsia"/>
        </w:rPr>
        <w:tab/>
      </w:r>
      <w:r w:rsidR="002E5B61">
        <w:rPr>
          <w:rFonts w:eastAsiaTheme="minorEastAsia"/>
        </w:rPr>
        <w:tab/>
        <w:t>(9</w:t>
      </w:r>
      <w:r>
        <w:rPr>
          <w:rFonts w:eastAsiaTheme="minorEastAsia"/>
        </w:rPr>
        <w:t>)</w:t>
      </w:r>
    </w:p>
    <w:p w:rsidR="001211C7" w:rsidRPr="001658AC" w:rsidRDefault="00106297" w:rsidP="001211C7">
      <w:pPr>
        <w:rPr>
          <w:rFonts w:eastAsiaTheme="minorEastAsia"/>
        </w:rPr>
      </w:pPr>
      <w:r>
        <w:rPr>
          <w:rFonts w:eastAsiaTheme="minorEastAsia"/>
        </w:rPr>
        <w:t>For the reasons stated above, namely that there is no need to account for non-marginality of budget impact, equations</w:t>
      </w:r>
      <w:r w:rsidR="002E5B61">
        <w:rPr>
          <w:rFonts w:eastAsiaTheme="minorEastAsia"/>
        </w:rPr>
        <w:t xml:space="preserve"> 8</w:t>
      </w:r>
      <w:r>
        <w:rPr>
          <w:rFonts w:eastAsiaTheme="minorEastAsia"/>
        </w:rPr>
        <w:t xml:space="preserve"> and 3 are identical, which in turn means that the use of an ICER-based decision rule is suitable and given in equation 4. Given the simplicity of scenario 1, where all budget impact is faced in the first year, it is also possible to design an ICER-based decision rule for this case</w:t>
      </w:r>
      <w:r w:rsidR="002E5B61">
        <w:rPr>
          <w:rFonts w:eastAsiaTheme="minorEastAsia"/>
        </w:rPr>
        <w:t xml:space="preserve"> (equation 6).</w:t>
      </w:r>
      <w:r w:rsidR="00EC0685">
        <w:rPr>
          <w:rFonts w:eastAsiaTheme="minorEastAsia"/>
        </w:rPr>
        <w:t xml:space="preserve"> </w:t>
      </w:r>
      <w:r w:rsidR="002E5B61">
        <w:rPr>
          <w:rFonts w:eastAsiaTheme="minorEastAsia"/>
        </w:rPr>
        <w:t>F</w:t>
      </w:r>
      <w:r w:rsidR="00D4769A">
        <w:rPr>
          <w:rFonts w:eastAsiaTheme="minorEastAsia"/>
        </w:rPr>
        <w:t>or more complicated scenarios like scenario 3, it is not clear how an ICER-based decision rule could be created without having gone through the steps to generate a time profile of health opportunity costs.</w:t>
      </w:r>
      <w:r w:rsidR="002E5B61">
        <w:rPr>
          <w:rFonts w:eastAsiaTheme="minorEastAsia"/>
        </w:rPr>
        <w:t xml:space="preserve"> In line with expectations, the net present value of health benefits will need to be greatest for the scenario 1 where the greatest concerns for affordability arise, and least for scenario 2 where the individual instalments are marginal, in order for the intervention to be found cost-effective.</w:t>
      </w:r>
    </w:p>
    <w:p w:rsidR="001211C7" w:rsidRDefault="00A431E9" w:rsidP="00D4769A">
      <w:pPr>
        <w:pStyle w:val="Heading2"/>
        <w:rPr>
          <w:rFonts w:eastAsiaTheme="minorEastAsia"/>
        </w:rPr>
      </w:pPr>
      <w:r>
        <w:rPr>
          <w:rFonts w:eastAsiaTheme="minorEastAsia"/>
        </w:rPr>
        <w:t>Implications</w:t>
      </w:r>
      <w:r w:rsidR="00D4769A">
        <w:rPr>
          <w:rFonts w:eastAsiaTheme="minorEastAsia"/>
        </w:rPr>
        <w:t xml:space="preserve"> when uncertainty </w:t>
      </w:r>
      <w:r>
        <w:rPr>
          <w:rFonts w:eastAsiaTheme="minorEastAsia"/>
        </w:rPr>
        <w:t>in budget impact</w:t>
      </w:r>
      <w:r w:rsidR="00D4769A">
        <w:rPr>
          <w:rFonts w:eastAsiaTheme="minorEastAsia"/>
        </w:rPr>
        <w:t xml:space="preserve"> is </w:t>
      </w:r>
      <w:r w:rsidR="0009504D">
        <w:rPr>
          <w:rFonts w:eastAsiaTheme="minorEastAsia"/>
        </w:rPr>
        <w:t>significant</w:t>
      </w:r>
    </w:p>
    <w:p w:rsidR="00102AE1" w:rsidRDefault="00D4769A" w:rsidP="00BC2B26">
      <w:pPr>
        <w:rPr>
          <w:rFonts w:eastAsiaTheme="minorEastAsia"/>
        </w:rPr>
      </w:pPr>
      <w:r>
        <w:rPr>
          <w:rFonts w:eastAsiaTheme="minorEastAsia"/>
        </w:rPr>
        <w:t>Another aspect of the motivating example</w:t>
      </w:r>
      <w:r w:rsidR="00F448F2">
        <w:rPr>
          <w:rFonts w:eastAsiaTheme="minorEastAsia"/>
        </w:rPr>
        <w:t xml:space="preserve"> that has been discussed less in the</w:t>
      </w:r>
      <w:r w:rsidR="00EC0685">
        <w:rPr>
          <w:rFonts w:eastAsiaTheme="minorEastAsia"/>
        </w:rPr>
        <w:t xml:space="preserve"> health economics</w:t>
      </w:r>
      <w:r w:rsidR="00F448F2">
        <w:rPr>
          <w:rFonts w:eastAsiaTheme="minorEastAsia"/>
        </w:rPr>
        <w:t xml:space="preserve"> literature on affordability is the financial uncertainty facing the NHS following the approval of</w:t>
      </w:r>
      <w:r w:rsidR="00EC0685">
        <w:rPr>
          <w:rFonts w:eastAsiaTheme="minorEastAsia"/>
        </w:rPr>
        <w:t xml:space="preserve"> the new drugs for Hepatitis C where</w:t>
      </w:r>
      <w:r w:rsidR="00F448F2">
        <w:rPr>
          <w:rFonts w:eastAsiaTheme="minorEastAsia"/>
        </w:rPr>
        <w:t xml:space="preserve"> budget impacts</w:t>
      </w:r>
      <w:r w:rsidR="00861433">
        <w:rPr>
          <w:rFonts w:eastAsiaTheme="minorEastAsia"/>
        </w:rPr>
        <w:t xml:space="preserve"> for the NHS</w:t>
      </w:r>
      <w:r w:rsidR="00F448F2">
        <w:rPr>
          <w:rFonts w:eastAsiaTheme="minorEastAsia"/>
        </w:rPr>
        <w:t xml:space="preserve"> </w:t>
      </w:r>
      <w:r w:rsidR="00861433">
        <w:t>were</w:t>
      </w:r>
      <w:r w:rsidR="00F448F2">
        <w:t xml:space="preserve"> estimated to fall between £60mn and £772mn</w:t>
      </w:r>
      <w:r w:rsidR="00861433">
        <w:t xml:space="preserve"> depending on assumptions about uptake in the patient population</w:t>
      </w:r>
      <w:r w:rsidR="00EC0685">
        <w:t>.</w:t>
      </w:r>
      <w:r w:rsidR="00F448F2">
        <w:fldChar w:fldCharType="begin" w:fldLock="1"/>
      </w:r>
      <w:r w:rsidR="00C07CA0">
        <w:instrText>ADDIN CSL_CITATION {"citationItems":[{"id":"ITEM-1","itemData":{"URL":"https://www.nice.org.uk/guidance/ta363","accessed":{"date-parts":[["2015","12","6"]]},"author":[{"dropping-particle":"","family":"NICE","given":"","non-dropping-particle":"","parse-names":false,"suffix":""}],"id":"ITEM-1","issued":{"date-parts":[["2015"]]},"language":"eng","publisher":"NICE","title":"Ledipasvir–sofosbuvir for treating chronic hepatitis C","type":"webpage"},"uris":["http://www.mendeley.com/documents/?uuid=3b71c793-d52c-4e6e-bcb5-eaecd3197c1b"]}],"mendeley":{"formattedCitation":"&lt;sup&gt;23&lt;/sup&gt;","plainTextFormattedCitation":"23","previouslyFormattedCitation":"&lt;sup&gt;23&lt;/sup&gt;"},"properties":{"noteIndex":0},"schema":"https://github.com/citation-style-language/schema/raw/master/csl-citation.json"}</w:instrText>
      </w:r>
      <w:r w:rsidR="00F448F2">
        <w:fldChar w:fldCharType="separate"/>
      </w:r>
      <w:r w:rsidR="00C07CA0" w:rsidRPr="00C07CA0">
        <w:rPr>
          <w:noProof/>
          <w:vertAlign w:val="superscript"/>
        </w:rPr>
        <w:t>23</w:t>
      </w:r>
      <w:r w:rsidR="00F448F2">
        <w:fldChar w:fldCharType="end"/>
      </w:r>
      <w:r w:rsidR="00F448F2">
        <w:t xml:space="preserve"> To illustrate the importance of this, let us again consider an example based upon the Hepatitis C example and the</w:t>
      </w:r>
      <w:r w:rsidR="00EC0685">
        <w:t xml:space="preserve"> published</w:t>
      </w:r>
      <w:r w:rsidR="00F448F2">
        <w:t xml:space="preserve"> </w:t>
      </w:r>
      <w:r w:rsidR="00EC0685">
        <w:t xml:space="preserve">estimates of </w:t>
      </w:r>
      <m:oMath>
        <m:r>
          <w:rPr>
            <w:rFonts w:ascii="Cambria Math" w:hAnsi="Cambria Math"/>
          </w:rPr>
          <m:t>k</m:t>
        </m:r>
      </m:oMath>
      <w:r w:rsidR="00EC0685">
        <w:rPr>
          <w:rFonts w:eastAsiaTheme="minorEastAsia"/>
        </w:rPr>
        <w:t xml:space="preserve"> and </w:t>
      </w:r>
      <m:oMath>
        <m:r>
          <w:rPr>
            <w:rFonts w:ascii="Cambria Math" w:eastAsiaTheme="minorEastAsia" w:hAnsi="Cambria Math"/>
          </w:rPr>
          <m:t>k(∆C)</m:t>
        </m:r>
      </m:oMath>
      <w:r w:rsidR="00EC0685">
        <w:rPr>
          <w:rFonts w:eastAsiaTheme="minorEastAsia"/>
        </w:rPr>
        <w:t>.</w:t>
      </w:r>
      <w:r w:rsidR="00EC0685">
        <w:rPr>
          <w:rFonts w:eastAsiaTheme="minorEastAsia"/>
        </w:rPr>
        <w:fldChar w:fldCharType="begin" w:fldLock="1"/>
      </w:r>
      <w:r w:rsidR="00EA57AD">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threshold.","type":"article-journal"},"uris":["http://www.mendeley.com/documents/?uuid=f50897fe-cb16-44b1-a777-9929195db4cb"]},{"id":"ITEM-2","itemData":{"DOI":"10.1016/J.JVAL.2017.10.006","ISSN":"1098-3015","abstract":"Considering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Health","id":"ITEM-2","issued":{"date-parts":[["2018","1","4"]]},"publisher":"Elsevier","title":"Resolving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11,25&lt;/sup&gt;","plainTextFormattedCitation":"11,25","previouslyFormattedCitation":"&lt;sup&gt;11,25&lt;/sup&gt;"},"properties":{"noteIndex":0},"schema":"https://github.com/citation-style-language/schema/raw/master/csl-citation.json"}</w:instrText>
      </w:r>
      <w:r w:rsidR="00EC0685">
        <w:rPr>
          <w:rFonts w:eastAsiaTheme="minorEastAsia"/>
        </w:rPr>
        <w:fldChar w:fldCharType="separate"/>
      </w:r>
      <w:r w:rsidR="00EC0685" w:rsidRPr="00EC0685">
        <w:rPr>
          <w:rFonts w:eastAsiaTheme="minorEastAsia"/>
          <w:noProof/>
          <w:vertAlign w:val="superscript"/>
        </w:rPr>
        <w:t>11,25</w:t>
      </w:r>
      <w:r w:rsidR="00EC0685">
        <w:rPr>
          <w:rFonts w:eastAsiaTheme="minorEastAsia"/>
        </w:rPr>
        <w:fldChar w:fldCharType="end"/>
      </w:r>
      <w:r w:rsidR="00EC0685">
        <w:rPr>
          <w:rFonts w:eastAsiaTheme="minorEastAsia"/>
        </w:rPr>
        <w:t xml:space="preserve"> </w:t>
      </w:r>
      <w:r w:rsidR="00F448F2">
        <w:t xml:space="preserve"> Once again the implications here are not limi</w:t>
      </w:r>
      <w:r w:rsidR="00EC0685">
        <w:t xml:space="preserve">ted to these specific estimates. </w:t>
      </w:r>
      <w:r w:rsidR="00F448F2">
        <w:rPr>
          <w:rFonts w:eastAsiaTheme="minorEastAsia"/>
        </w:rPr>
        <w:t>To explore this issue, we consider the kind of output that is generated when using a probabilistic decision model, a number of simulation results each corresponding to iterations of running the model with</w:t>
      </w:r>
      <w:r w:rsidR="00EC0685">
        <w:rPr>
          <w:rFonts w:eastAsiaTheme="minorEastAsia"/>
        </w:rPr>
        <w:t xml:space="preserve"> randomly-drawn</w:t>
      </w:r>
      <w:r w:rsidR="00EA57AD">
        <w:rPr>
          <w:rFonts w:eastAsiaTheme="minorEastAsia"/>
        </w:rPr>
        <w:t xml:space="preserve"> parameter values</w:t>
      </w:r>
      <w:r w:rsidR="00F448F2">
        <w:rPr>
          <w:rFonts w:eastAsiaTheme="minorEastAsia"/>
        </w:rPr>
        <w:t xml:space="preserve"> from</w:t>
      </w:r>
      <w:r w:rsidR="00EC0685">
        <w:rPr>
          <w:rFonts w:eastAsiaTheme="minorEastAsia"/>
        </w:rPr>
        <w:t xml:space="preserve"> pre-specified</w:t>
      </w:r>
      <w:r w:rsidR="00EA57AD">
        <w:rPr>
          <w:rFonts w:eastAsiaTheme="minorEastAsia"/>
        </w:rPr>
        <w:t xml:space="preserve"> probability</w:t>
      </w:r>
      <w:r w:rsidR="00F448F2">
        <w:rPr>
          <w:rFonts w:eastAsiaTheme="minorEastAsia"/>
        </w:rPr>
        <w:t xml:space="preserve"> distributions.</w:t>
      </w:r>
    </w:p>
    <w:p w:rsidR="00102AE1" w:rsidRDefault="00102AE1" w:rsidP="00102AE1">
      <w:r>
        <w:br w:type="page"/>
      </w:r>
    </w:p>
    <w:p w:rsidR="00870BA5" w:rsidRDefault="00870BA5" w:rsidP="00870BA5">
      <w:pPr>
        <w:pStyle w:val="Caption"/>
        <w:keepNext/>
      </w:pPr>
      <w:r>
        <w:lastRenderedPageBreak/>
        <w:t xml:space="preserve">Table </w:t>
      </w:r>
      <w:r w:rsidR="00E708DF">
        <w:rPr>
          <w:noProof/>
        </w:rPr>
        <w:fldChar w:fldCharType="begin"/>
      </w:r>
      <w:r w:rsidR="00E708DF">
        <w:rPr>
          <w:noProof/>
        </w:rPr>
        <w:instrText xml:space="preserve"> SEQ Table \* ARABIC </w:instrText>
      </w:r>
      <w:r w:rsidR="00E708DF">
        <w:rPr>
          <w:noProof/>
        </w:rPr>
        <w:fldChar w:fldCharType="separate"/>
      </w:r>
      <w:r w:rsidR="0072619E">
        <w:rPr>
          <w:noProof/>
        </w:rPr>
        <w:t>4</w:t>
      </w:r>
      <w:r w:rsidR="00E708DF">
        <w:rPr>
          <w:noProof/>
        </w:rPr>
        <w:fldChar w:fldCharType="end"/>
      </w:r>
      <w:r>
        <w:t xml:space="preserve"> </w:t>
      </w:r>
      <w:r w:rsidRPr="00F610B2">
        <w:t xml:space="preserve">- General form of </w:t>
      </w:r>
      <w:r>
        <w:t>probabilistic output</w:t>
      </w:r>
      <w:r w:rsidRPr="00F610B2">
        <w:t xml:space="preserve"> of costs, effects and health opportunity costs</w:t>
      </w:r>
    </w:p>
    <w:tbl>
      <w:tblPr>
        <w:tblStyle w:val="LightShading"/>
        <w:tblW w:w="9236" w:type="dxa"/>
        <w:tblLook w:val="04A0" w:firstRow="1" w:lastRow="0" w:firstColumn="1" w:lastColumn="0" w:noHBand="0" w:noVBand="1"/>
      </w:tblPr>
      <w:tblGrid>
        <w:gridCol w:w="2280"/>
        <w:gridCol w:w="2024"/>
        <w:gridCol w:w="2466"/>
        <w:gridCol w:w="2466"/>
      </w:tblGrid>
      <w:tr w:rsidR="00BA0F7F" w:rsidRPr="00B22BA8" w:rsidTr="00300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Pr>
          <w:p w:rsidR="00BA0F7F" w:rsidRPr="00B22BA8" w:rsidRDefault="00BA0F7F" w:rsidP="00300D7D">
            <w:r>
              <w:t>Iteration no.</w:t>
            </w:r>
            <w:r w:rsidRPr="00B22BA8">
              <w:t xml:space="preserve"> (</w:t>
            </w:r>
            <w:proofErr w:type="spellStart"/>
            <w:r>
              <w:t>i</w:t>
            </w:r>
            <w:proofErr w:type="spellEnd"/>
            <w:r w:rsidRPr="00B22BA8">
              <w:t>)</w:t>
            </w:r>
          </w:p>
        </w:tc>
        <w:tc>
          <w:tcPr>
            <w:tcW w:w="2024"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oMath>
            </m:oMathPara>
          </w:p>
        </w:tc>
        <w:tc>
          <w:tcPr>
            <w:tcW w:w="2466"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pPr>
            <m:oMathPara>
              <m:oMath>
                <m:r>
                  <m:rPr>
                    <m:sty m:val="bi"/>
                  </m:rP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i</m:t>
                    </m:r>
                  </m:sub>
                </m:sSub>
              </m:oMath>
            </m:oMathPara>
          </w:p>
        </w:tc>
        <w:tc>
          <w:tcPr>
            <w:tcW w:w="2466" w:type="dxa"/>
          </w:tcPr>
          <w:p w:rsidR="00BA0F7F" w:rsidRPr="00B22BA8" w:rsidRDefault="00BA0F7F" w:rsidP="00300D7D">
            <w:pP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Times New Roman"/>
                <w:bCs w:val="0"/>
                <w:iCs/>
              </w:rPr>
            </w:pPr>
            <m:oMathPara>
              <m:oMath>
                <m:r>
                  <m:rPr>
                    <m:sty m:val="bi"/>
                  </m:rPr>
                  <w:rPr>
                    <w:rFonts w:ascii="Cambria Math" w:hAnsi="Cambria Math"/>
                  </w:rPr>
                  <m:t>HOC(∆</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i</m:t>
                    </m:r>
                  </m:sub>
                </m:sSub>
                <m:r>
                  <m:rPr>
                    <m:sty m:val="bi"/>
                  </m:rPr>
                  <w:rPr>
                    <w:rFonts w:ascii="Cambria Math" w:hAnsi="Cambria Math"/>
                  </w:rPr>
                  <m:t>)</m:t>
                </m:r>
              </m:oMath>
            </m:oMathPara>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1</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1</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1</m:t>
                    </m:r>
                  </m:sub>
                </m:sSub>
              </m:oMath>
            </m:oMathPara>
          </w:p>
        </w:tc>
        <w:tc>
          <w:tcPr>
            <w:tcW w:w="2466" w:type="dxa"/>
            <w:tcBorders>
              <w:lef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1</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1</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2</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2</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2</m:t>
                    </m:r>
                  </m:sub>
                </m:sSub>
              </m:oMath>
            </m:oMathPara>
          </w:p>
        </w:tc>
        <w:tc>
          <w:tcPr>
            <w:tcW w:w="2466" w:type="dxa"/>
            <w:tcBorders>
              <w:left w:val="single" w:sz="4" w:space="0" w:color="auto"/>
            </w:tcBorders>
            <w:shd w:val="clear" w:color="auto" w:fill="auto"/>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2</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2</m:t>
                        </m:r>
                      </m:sub>
                    </m:sSub>
                    <m:r>
                      <w:rPr>
                        <w:rFonts w:ascii="Cambria Math" w:hAnsi="Cambria Math"/>
                      </w:rPr>
                      <m:t>)</m:t>
                    </m:r>
                  </m:den>
                </m:f>
              </m:oMath>
            </m:oMathPara>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3</w:t>
            </w:r>
          </w:p>
        </w:tc>
        <w:tc>
          <w:tcPr>
            <w:tcW w:w="2024"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3</m:t>
                    </m:r>
                  </m:sub>
                </m:sSub>
              </m:oMath>
            </m:oMathPara>
          </w:p>
        </w:tc>
        <w:tc>
          <w:tcPr>
            <w:tcW w:w="2466" w:type="dxa"/>
            <w:tcBorders>
              <w:left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3</m:t>
                    </m:r>
                  </m:sub>
                </m:sSub>
              </m:oMath>
            </m:oMathPara>
          </w:p>
        </w:tc>
        <w:tc>
          <w:tcPr>
            <w:tcW w:w="2466" w:type="dxa"/>
            <w:tcBorders>
              <w:lef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3</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3</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right w:val="single" w:sz="4" w:space="0" w:color="auto"/>
            </w:tcBorders>
            <w:shd w:val="clear" w:color="auto" w:fill="auto"/>
          </w:tcPr>
          <w:p w:rsidR="00BA0F7F" w:rsidRPr="00B22BA8" w:rsidRDefault="00BA0F7F" w:rsidP="00300D7D">
            <w:r w:rsidRPr="00B22BA8">
              <w:t>…</w:t>
            </w:r>
          </w:p>
        </w:tc>
        <w:tc>
          <w:tcPr>
            <w:tcW w:w="2024" w:type="dxa"/>
            <w:tcBorders>
              <w:left w:val="single" w:sz="4" w:space="0" w:color="auto"/>
              <w:righ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rsidRPr="00B22BA8">
              <w:t>…</w:t>
            </w:r>
          </w:p>
        </w:tc>
        <w:tc>
          <w:tcPr>
            <w:tcW w:w="2466" w:type="dxa"/>
            <w:tcBorders>
              <w:left w:val="single" w:sz="4" w:space="0" w:color="auto"/>
              <w:righ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rsidRPr="00B22BA8">
              <w:t>…</w:t>
            </w:r>
          </w:p>
        </w:tc>
        <w:tc>
          <w:tcPr>
            <w:tcW w:w="2466" w:type="dxa"/>
            <w:tcBorders>
              <w:left w:val="single" w:sz="4" w:space="0" w:color="auto"/>
            </w:tcBorders>
            <w:shd w:val="clear" w:color="auto" w:fill="auto"/>
          </w:tcPr>
          <w:p w:rsidR="00BA0F7F" w:rsidRPr="00B22BA8" w:rsidRDefault="00BA0F7F" w:rsidP="00300D7D">
            <w:pPr>
              <w:jc w:val="center"/>
              <w:cnfStyle w:val="000000000000" w:firstRow="0" w:lastRow="0" w:firstColumn="0" w:lastColumn="0" w:oddVBand="0" w:evenVBand="0" w:oddHBand="0" w:evenHBand="0" w:firstRowFirstColumn="0" w:firstRowLastColumn="0" w:lastRowFirstColumn="0" w:lastRowLastColumn="0"/>
            </w:pPr>
            <w:r>
              <w:t>…</w:t>
            </w:r>
          </w:p>
        </w:tc>
      </w:tr>
      <w:tr w:rsidR="00BA0F7F" w:rsidRPr="00B22BA8" w:rsidTr="00300D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0" w:type="dxa"/>
            <w:tcBorders>
              <w:bottom w:val="single" w:sz="4" w:space="0" w:color="auto"/>
              <w:right w:val="single" w:sz="4" w:space="0" w:color="auto"/>
            </w:tcBorders>
            <w:shd w:val="clear" w:color="auto" w:fill="auto"/>
          </w:tcPr>
          <w:p w:rsidR="00BA0F7F" w:rsidRPr="00B22BA8" w:rsidRDefault="00BA0F7F" w:rsidP="00300D7D">
            <w:r>
              <w:t>N</w:t>
            </w:r>
          </w:p>
        </w:tc>
        <w:tc>
          <w:tcPr>
            <w:tcW w:w="2024" w:type="dxa"/>
            <w:tcBorders>
              <w:left w:val="single" w:sz="4" w:space="0" w:color="auto"/>
              <w:bottom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N</m:t>
                    </m:r>
                  </m:sub>
                </m:sSub>
              </m:oMath>
            </m:oMathPara>
          </w:p>
        </w:tc>
        <w:tc>
          <w:tcPr>
            <w:tcW w:w="2466" w:type="dxa"/>
            <w:tcBorders>
              <w:left w:val="single" w:sz="4" w:space="0" w:color="auto"/>
              <w:bottom w:val="single" w:sz="4" w:space="0" w:color="auto"/>
              <w:right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pPr>
            <m:oMathPara>
              <m:oMath>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T</m:t>
                    </m:r>
                  </m:sub>
                </m:sSub>
              </m:oMath>
            </m:oMathPara>
          </w:p>
        </w:tc>
        <w:tc>
          <w:tcPr>
            <w:tcW w:w="2466" w:type="dxa"/>
            <w:tcBorders>
              <w:left w:val="single" w:sz="4" w:space="0" w:color="auto"/>
              <w:bottom w:val="single" w:sz="4" w:space="0" w:color="auto"/>
            </w:tcBorders>
            <w:shd w:val="clear" w:color="auto" w:fill="auto"/>
          </w:tcPr>
          <w:p w:rsidR="00BA0F7F" w:rsidRPr="00B22BA8" w:rsidRDefault="00BA0F7F" w:rsidP="00300D7D">
            <w:pP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iCs/>
              </w:rPr>
            </w:pPr>
            <m:oMathPara>
              <m:oMath>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T</m:t>
                        </m:r>
                      </m:sub>
                    </m:sSub>
                    <m:r>
                      <w:rPr>
                        <w:rFonts w:ascii="Cambria Math" w:hAnsi="Cambria Math"/>
                      </w:rPr>
                      <m:t>)</m:t>
                    </m:r>
                  </m:den>
                </m:f>
              </m:oMath>
            </m:oMathPara>
          </w:p>
        </w:tc>
      </w:tr>
      <w:tr w:rsidR="00BA0F7F" w:rsidRPr="00B22BA8" w:rsidTr="00300D7D">
        <w:tc>
          <w:tcPr>
            <w:cnfStyle w:val="001000000000" w:firstRow="0" w:lastRow="0" w:firstColumn="1" w:lastColumn="0" w:oddVBand="0" w:evenVBand="0" w:oddHBand="0" w:evenHBand="0" w:firstRowFirstColumn="0" w:firstRowLastColumn="0" w:lastRowFirstColumn="0" w:lastRowLastColumn="0"/>
            <w:tcW w:w="22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r>
              <w:t>Expected</w:t>
            </w:r>
            <w:r w:rsidRPr="00B22BA8">
              <w:t xml:space="preserve"> value</w:t>
            </w:r>
          </w:p>
        </w:tc>
        <w:tc>
          <w:tcPr>
            <w:tcW w:w="20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i=1</m:t>
                    </m:r>
                  </m:sub>
                  <m:sup>
                    <m:r>
                      <w:rPr>
                        <w:rFonts w:ascii="Cambria Math" w:hAnsi="Cambria Math"/>
                      </w:rPr>
                      <m:t>N</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w:rPr>
                                <w:rFonts w:ascii="Cambria Math" w:hAnsi="Cambria Math"/>
                              </w:rPr>
                              <m:t>QALY</m:t>
                            </m:r>
                          </m:e>
                          <m:sub>
                            <m:r>
                              <w:rPr>
                                <w:rFonts w:ascii="Cambria Math" w:hAnsi="Cambria Math"/>
                              </w:rPr>
                              <m:t>i</m:t>
                            </m:r>
                          </m:sub>
                        </m:sSub>
                      </m:num>
                      <m:den>
                        <m:r>
                          <w:rPr>
                            <w:rFonts w:ascii="Cambria Math" w:hAnsi="Cambria Math"/>
                            <w:color w:val="auto"/>
                          </w:rPr>
                          <m:t>N</m:t>
                        </m:r>
                      </m:den>
                    </m:f>
                  </m:e>
                </m:nary>
              </m:oMath>
            </m:oMathPara>
          </w:p>
        </w:tc>
        <w:tc>
          <w:tcPr>
            <w:tcW w:w="2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pPr>
            <m:oMathPara>
              <m:oMath>
                <m:nary>
                  <m:naryPr>
                    <m:chr m:val="∑"/>
                    <m:limLoc m:val="undOvr"/>
                    <m:ctrlPr>
                      <w:rPr>
                        <w:rFonts w:ascii="Cambria Math" w:hAnsi="Cambria Math"/>
                        <w:i/>
                        <w:iCs/>
                        <w:color w:val="auto"/>
                      </w:rPr>
                    </m:ctrlPr>
                  </m:naryPr>
                  <m:sub>
                    <m:r>
                      <w:rPr>
                        <w:rFonts w:ascii="Cambria Math" w:hAnsi="Cambria Math"/>
                      </w:rPr>
                      <m:t>i=1</m:t>
                    </m:r>
                  </m:sub>
                  <m:sup>
                    <m:r>
                      <w:rPr>
                        <w:rFonts w:ascii="Cambria Math" w:hAnsi="Cambria Math"/>
                      </w:rPr>
                      <m:t>N</m:t>
                    </m:r>
                  </m:sup>
                  <m:e>
                    <m:f>
                      <m:fPr>
                        <m:ctrlPr>
                          <w:rPr>
                            <w:rFonts w:ascii="Cambria Math" w:hAnsi="Cambria Math"/>
                            <w:i/>
                            <w:iCs/>
                            <w:color w:val="auto"/>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i</m:t>
                            </m:r>
                          </m:sub>
                        </m:sSub>
                      </m:num>
                      <m:den>
                        <m:r>
                          <w:rPr>
                            <w:rFonts w:ascii="Cambria Math" w:hAnsi="Cambria Math"/>
                            <w:color w:val="auto"/>
                          </w:rPr>
                          <m:t>N</m:t>
                        </m:r>
                      </m:den>
                    </m:f>
                  </m:e>
                </m:nary>
              </m:oMath>
            </m:oMathPara>
          </w:p>
        </w:tc>
        <w:tc>
          <w:tcPr>
            <w:tcW w:w="246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0F7F" w:rsidRPr="00B22BA8" w:rsidRDefault="00BA0F7F" w:rsidP="00300D7D">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Cs/>
              </w:rPr>
            </w:pPr>
            <m:oMathPara>
              <m:oMath>
                <m:nary>
                  <m:naryPr>
                    <m:chr m:val="∑"/>
                    <m:limLoc m:val="undOvr"/>
                    <m:ctrlPr>
                      <w:rPr>
                        <w:rFonts w:ascii="Cambria Math" w:hAnsi="Cambria Math"/>
                        <w:i/>
                        <w:iCs/>
                        <w:color w:val="auto"/>
                      </w:rPr>
                    </m:ctrlPr>
                  </m:naryPr>
                  <m:sub>
                    <m:r>
                      <w:rPr>
                        <w:rFonts w:ascii="Cambria Math" w:hAnsi="Cambria Math"/>
                      </w:rPr>
                      <m:t>i=1</m:t>
                    </m:r>
                  </m:sub>
                  <m:sup>
                    <m:r>
                      <w:rPr>
                        <w:rFonts w:ascii="Cambria Math" w:hAnsi="Cambria Math"/>
                      </w:rPr>
                      <m:t>N</m:t>
                    </m:r>
                  </m:sup>
                  <m:e>
                    <m:f>
                      <m:fPr>
                        <m:ctrlPr>
                          <w:rPr>
                            <w:rFonts w:ascii="Cambria Math" w:hAnsi="Cambria Math"/>
                            <w:i/>
                            <w:iCs/>
                            <w:color w:val="auto"/>
                          </w:rPr>
                        </m:ctrlPr>
                      </m:fPr>
                      <m:num>
                        <m:f>
                          <m:fPr>
                            <m:type m:val="lin"/>
                            <m:ctrlPr>
                              <w:rPr>
                                <w:rFonts w:ascii="Cambria Math" w:hAnsi="Cambria Math"/>
                                <w:i/>
                                <w:iCs/>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i</m:t>
                                </m:r>
                              </m:sub>
                            </m:sSub>
                          </m:num>
                          <m:den>
                            <m:r>
                              <w:rPr>
                                <w:rFonts w:ascii="Cambria Math" w:hAnsi="Cambria Math"/>
                              </w:rPr>
                              <m:t>k(∆</m:t>
                            </m:r>
                            <m:sSub>
                              <m:sSubPr>
                                <m:ctrlPr>
                                  <w:rPr>
                                    <w:rFonts w:ascii="Cambria Math" w:hAnsi="Cambria Math"/>
                                    <w:bCs/>
                                    <w:i/>
                                    <w:iCs/>
                                  </w:rPr>
                                </m:ctrlPr>
                              </m:sSubPr>
                              <m:e>
                                <m:r>
                                  <w:rPr>
                                    <w:rFonts w:ascii="Cambria Math" w:hAnsi="Cambria Math"/>
                                  </w:rPr>
                                  <m:t>C</m:t>
                                </m:r>
                              </m:e>
                              <m:sub>
                                <m:r>
                                  <w:rPr>
                                    <w:rFonts w:ascii="Cambria Math" w:hAnsi="Cambria Math"/>
                                  </w:rPr>
                                  <m:t>i</m:t>
                                </m:r>
                              </m:sub>
                            </m:sSub>
                            <m:r>
                              <w:rPr>
                                <w:rFonts w:ascii="Cambria Math" w:hAnsi="Cambria Math"/>
                              </w:rPr>
                              <m:t>)</m:t>
                            </m:r>
                          </m:den>
                        </m:f>
                      </m:num>
                      <m:den>
                        <m:r>
                          <w:rPr>
                            <w:rFonts w:ascii="Cambria Math" w:hAnsi="Cambria Math"/>
                            <w:color w:val="auto"/>
                          </w:rPr>
                          <m:t>N</m:t>
                        </m:r>
                      </m:den>
                    </m:f>
                  </m:e>
                </m:nary>
              </m:oMath>
            </m:oMathPara>
          </w:p>
        </w:tc>
      </w:tr>
    </w:tbl>
    <w:p w:rsidR="00F448F2" w:rsidRDefault="00A82160" w:rsidP="00BC2B26">
      <w:pPr>
        <w:rPr>
          <w:rFonts w:eastAsiaTheme="minorEastAsia"/>
        </w:rPr>
      </w:pPr>
      <w:bookmarkStart w:id="1" w:name="_GoBack"/>
      <w:bookmarkEnd w:id="1"/>
      <w:r>
        <w:rPr>
          <w:rFonts w:eastAsiaTheme="minorEastAsia"/>
        </w:rPr>
        <w:t>To consider the impact of uncertainty on decisions within this framework, we consider two scenarios based on the</w:t>
      </w:r>
      <w:r w:rsidR="00D8124D">
        <w:rPr>
          <w:rFonts w:eastAsiaTheme="minorEastAsia"/>
        </w:rPr>
        <w:t xml:space="preserve"> Hepatitis C example. Scenario 4</w:t>
      </w:r>
      <w:r>
        <w:rPr>
          <w:rFonts w:eastAsiaTheme="minorEastAsia"/>
        </w:rPr>
        <w:t xml:space="preserve"> is where the budget impact</w:t>
      </w:r>
      <w:r w:rsidR="002B2ECE">
        <w:rPr>
          <w:rFonts w:eastAsiaTheme="minorEastAsia"/>
        </w:rPr>
        <w:t xml:space="preserve"> (the mean incremental cost)</w:t>
      </w:r>
      <w:r>
        <w:rPr>
          <w:rFonts w:eastAsiaTheme="minorEastAsia"/>
        </w:rPr>
        <w:t xml:space="preserve"> of £772mn is kno</w:t>
      </w:r>
      <w:r w:rsidR="00D8124D">
        <w:rPr>
          <w:rFonts w:eastAsiaTheme="minorEastAsia"/>
        </w:rPr>
        <w:t>wn with certainty. In scenario 5</w:t>
      </w:r>
      <w:r>
        <w:rPr>
          <w:rFonts w:eastAsiaTheme="minorEastAsia"/>
        </w:rPr>
        <w:t xml:space="preserve"> the budget impact follows a gamma distribution with a mean of £772mn and a beta parameter of 200 reflecting that there is uncertainty around how big the</w:t>
      </w:r>
      <w:r w:rsidR="000B7381">
        <w:rPr>
          <w:rFonts w:eastAsiaTheme="minorEastAsia"/>
        </w:rPr>
        <w:t xml:space="preserve"> expected</w:t>
      </w:r>
      <w:r>
        <w:rPr>
          <w:rFonts w:eastAsiaTheme="minorEastAsia"/>
        </w:rPr>
        <w:t xml:space="preserve"> budget impact is likely to be.</w:t>
      </w:r>
    </w:p>
    <w:p w:rsidR="001D24B8" w:rsidRDefault="001D24B8" w:rsidP="001D24B8">
      <w:pPr>
        <w:pStyle w:val="Heading3"/>
        <w:rPr>
          <w:rFonts w:eastAsiaTheme="minorEastAsia"/>
        </w:rPr>
      </w:pPr>
      <w:r>
        <w:rPr>
          <w:rFonts w:eastAsiaTheme="minorEastAsia"/>
        </w:rPr>
        <w:t>Conventional practice in CEA</w:t>
      </w:r>
    </w:p>
    <w:p w:rsidR="001D24B8" w:rsidRDefault="001D24B8" w:rsidP="001D24B8">
      <w:pPr>
        <w:rPr>
          <w:rFonts w:eastAsiaTheme="minorEastAsia"/>
        </w:rPr>
      </w:pPr>
      <w:r>
        <w:rPr>
          <w:rFonts w:eastAsiaTheme="minorEastAsia"/>
        </w:rPr>
        <w:t xml:space="preserve">For both of these scenarios the health opportunity costs would be calculated to be the same using the conventional approach where </w:t>
      </w:r>
      <m:oMath>
        <m:r>
          <w:rPr>
            <w:rFonts w:ascii="Cambria Math" w:eastAsiaTheme="minorEastAsia" w:hAnsi="Cambria Math"/>
          </w:rPr>
          <m:t>k</m:t>
        </m:r>
      </m:oMath>
      <w:r>
        <w:rPr>
          <w:rFonts w:eastAsiaTheme="minorEastAsia"/>
        </w:rPr>
        <w:t xml:space="preserve"> is constant despite the very different uncertainty distribution of budget impacts. As with the time profile of costs, the uncertainty surrounding the budget impact is not explicitly incorporated into decision rules through impacts on opportunity costs. Adapting equation 3, the decision rule associated with these results would calculate NHB in the following manner for both scenarios using the </w:t>
      </w:r>
      <w:r w:rsidR="004A599A">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4A599A">
        <w:rPr>
          <w:rFonts w:eastAsiaTheme="minorEastAsia"/>
        </w:rPr>
        <w:fldChar w:fldCharType="separate"/>
      </w:r>
      <w:r w:rsidR="004A599A" w:rsidRPr="004A599A">
        <w:rPr>
          <w:rFonts w:eastAsiaTheme="minorEastAsia"/>
          <w:noProof/>
        </w:rPr>
        <w:t xml:space="preserve">Claxton et al. </w:t>
      </w:r>
      <w:r w:rsidR="004A599A">
        <w:rPr>
          <w:rFonts w:eastAsiaTheme="minorEastAsia"/>
          <w:noProof/>
        </w:rPr>
        <w:t>(</w:t>
      </w:r>
      <w:r w:rsidR="004A599A" w:rsidRPr="004A599A">
        <w:rPr>
          <w:rFonts w:eastAsiaTheme="minorEastAsia"/>
          <w:noProof/>
        </w:rPr>
        <w:t>2015)</w:t>
      </w:r>
      <w:r w:rsidR="004A599A">
        <w:rPr>
          <w:rFonts w:eastAsiaTheme="minorEastAsia"/>
        </w:rPr>
        <w:fldChar w:fldCharType="end"/>
      </w:r>
      <w:r>
        <w:rPr>
          <w:rFonts w:eastAsiaTheme="minorEastAsia"/>
        </w:rPr>
        <w:t xml:space="preserve"> estimate of </w:t>
      </w:r>
      <m:oMath>
        <m:r>
          <w:rPr>
            <w:rFonts w:ascii="Cambria Math" w:eastAsiaTheme="minorEastAsia" w:hAnsi="Cambria Math"/>
          </w:rPr>
          <m:t>k</m:t>
        </m:r>
      </m:oMath>
      <w:r>
        <w:rPr>
          <w:rFonts w:eastAsiaTheme="minorEastAsia"/>
        </w:rPr>
        <w:t>, where a value greater than zero would indicates that the intervention should be approved:</w:t>
      </w:r>
    </w:p>
    <w:p w:rsidR="00F448F2" w:rsidRDefault="001D24B8" w:rsidP="001D24B8">
      <w:pPr>
        <w:rPr>
          <w:rFonts w:eastAsiaTheme="minorEastAsia"/>
        </w:rPr>
      </w:pP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num>
              <m:den>
                <m:r>
                  <w:rPr>
                    <w:rFonts w:ascii="Cambria Math" w:hAnsi="Cambria Math"/>
                  </w:rPr>
                  <m:t>N</m:t>
                </m:r>
              </m:den>
            </m:f>
          </m:e>
        </m:nary>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C</m:t>
                        </m:r>
                      </m:e>
                      <m:sub>
                        <m:r>
                          <m:rPr>
                            <m:sty m:val="bi"/>
                          </m:rPr>
                          <w:rPr>
                            <w:rFonts w:ascii="Cambria Math" w:hAnsi="Cambria Math"/>
                          </w:rPr>
                          <m:t>i</m:t>
                        </m:r>
                      </m:sub>
                    </m:sSub>
                  </m:num>
                  <m:den>
                    <m:r>
                      <w:rPr>
                        <w:rFonts w:ascii="Cambria Math" w:hAnsi="Cambria Math"/>
                      </w:rPr>
                      <m:t>N</m:t>
                    </m:r>
                  </m:den>
                </m:f>
              </m:e>
            </m:nary>
          </m:num>
          <m:den>
            <m:r>
              <w:rPr>
                <w:rFonts w:ascii="Cambria Math" w:eastAsiaTheme="minorEastAsia" w:hAnsi="Cambria Math"/>
              </w:rPr>
              <m:t>k</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num>
              <m:den>
                <m:r>
                  <w:rPr>
                    <w:rFonts w:ascii="Cambria Math" w:hAnsi="Cambria Math"/>
                  </w:rPr>
                  <m:t>N</m:t>
                </m:r>
              </m:den>
            </m:f>
          </m:e>
        </m:nary>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£772mn</m:t>
            </m:r>
          </m:num>
          <m:den>
            <m:r>
              <w:rPr>
                <w:rFonts w:ascii="Cambria Math" w:eastAsiaTheme="minorEastAsia" w:hAnsi="Cambria Math"/>
              </w:rPr>
              <m:t>£12,936 per QALY</m:t>
            </m:r>
          </m:den>
        </m:f>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num>
              <m:den>
                <m:r>
                  <w:rPr>
                    <w:rFonts w:ascii="Cambria Math" w:hAnsi="Cambria Math"/>
                  </w:rPr>
                  <m:t>N</m:t>
                </m:r>
              </m:den>
            </m:f>
          </m:e>
        </m:nary>
        <m:r>
          <w:rPr>
            <w:rFonts w:ascii="Cambria Math" w:eastAsiaTheme="minorEastAsia" w:hAnsi="Cambria Math"/>
          </w:rPr>
          <m:t>-59,677&gt;0</m:t>
        </m:r>
      </m:oMath>
      <w:r>
        <w:rPr>
          <w:rFonts w:eastAsiaTheme="minorEastAsia"/>
        </w:rPr>
        <w:tab/>
        <w:t>(10)</w:t>
      </w:r>
    </w:p>
    <w:p w:rsidR="001D24B8" w:rsidRDefault="00132D69" w:rsidP="001D24B8">
      <w:pPr>
        <w:rPr>
          <w:rFonts w:eastAsiaTheme="minorEastAsia"/>
        </w:rPr>
      </w:pPr>
      <w:r>
        <w:rPr>
          <w:rFonts w:eastAsiaTheme="minorEastAsia"/>
        </w:rPr>
        <w:t>An equivalent ICER-based decision rule can be derived analogous to equation 4. The</w:t>
      </w:r>
      <w:r w:rsidR="001D24B8">
        <w:rPr>
          <w:rFonts w:eastAsiaTheme="minorEastAsia"/>
        </w:rPr>
        <w:t xml:space="preserve"> formulation</w:t>
      </w:r>
      <w:r>
        <w:rPr>
          <w:rFonts w:eastAsiaTheme="minorEastAsia"/>
        </w:rPr>
        <w:t xml:space="preserve"> in equation 10</w:t>
      </w:r>
      <w:r w:rsidR="001D24B8">
        <w:rPr>
          <w:rFonts w:eastAsiaTheme="minorEastAsia"/>
        </w:rPr>
        <w:t xml:space="preserve"> reflects that with a constant value used for </w:t>
      </w:r>
      <m:oMath>
        <m:r>
          <w:rPr>
            <w:rFonts w:ascii="Cambria Math" w:eastAsiaTheme="minorEastAsia" w:hAnsi="Cambria Math"/>
          </w:rPr>
          <m:t>k</m:t>
        </m:r>
      </m:oMath>
      <w:r w:rsidR="001D24B8">
        <w:rPr>
          <w:rFonts w:eastAsiaTheme="minorEastAsia"/>
        </w:rPr>
        <w:t xml:space="preserve"> it is sufficient to use the expectation of incremental cost to estimate expected health opportunity costs. This follows from the equality of </w:t>
      </w:r>
      <m:oMath>
        <m:f>
          <m:fPr>
            <m:type m:val="lin"/>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k</m:t>
            </m:r>
          </m:den>
        </m:f>
        <m:r>
          <w:rPr>
            <w:rFonts w:ascii="Cambria Math" w:eastAsiaTheme="minorEastAsia" w:hAnsi="Cambria Math"/>
          </w:rPr>
          <m:t>=E(</m:t>
        </m:r>
        <m:f>
          <m:fPr>
            <m:type m:val="lin"/>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k</m:t>
            </m:r>
          </m:den>
        </m:f>
        <m:r>
          <w:rPr>
            <w:rFonts w:ascii="Cambria Math" w:eastAsiaTheme="minorEastAsia" w:hAnsi="Cambria Math"/>
          </w:rPr>
          <m:t>)</m:t>
        </m:r>
      </m:oMath>
      <w:r w:rsidR="001D24B8">
        <w:rPr>
          <w:rFonts w:eastAsiaTheme="minorEastAsia"/>
        </w:rPr>
        <w:t xml:space="preserve"> when </w:t>
      </w:r>
      <m:oMath>
        <m:r>
          <w:rPr>
            <w:rFonts w:ascii="Cambria Math" w:eastAsiaTheme="minorEastAsia" w:hAnsi="Cambria Math"/>
          </w:rPr>
          <m:t>k</m:t>
        </m:r>
      </m:oMath>
      <w:r w:rsidR="001D24B8">
        <w:rPr>
          <w:rFonts w:eastAsiaTheme="minorEastAsia"/>
        </w:rPr>
        <w:t xml:space="preserve"> is constant</w:t>
      </w:r>
      <w:r>
        <w:rPr>
          <w:rFonts w:eastAsiaTheme="minorEastAsia"/>
        </w:rPr>
        <w:t>.</w:t>
      </w:r>
    </w:p>
    <w:p w:rsidR="00132D69" w:rsidRDefault="00132D69" w:rsidP="00132D69">
      <w:pPr>
        <w:pStyle w:val="Heading3"/>
      </w:pPr>
      <w:r>
        <w:t>Explicitly accounting for the uncertainty in projected budget impact</w:t>
      </w:r>
    </w:p>
    <w:p w:rsidR="00132D69" w:rsidRDefault="00132D69" w:rsidP="001D24B8">
      <w:pPr>
        <w:rPr>
          <w:rFonts w:eastAsiaTheme="minorEastAsia"/>
        </w:rPr>
      </w:pPr>
      <w:r>
        <w:t xml:space="preserve">In using equation 10, no account has been taken of the scale of the expected budget impact through the use </w:t>
      </w:r>
      <w:proofErr w:type="gramStart"/>
      <w:r>
        <w:t xml:space="preserve">of </w:t>
      </w:r>
      <w:proofErr w:type="gramEnd"/>
      <m:oMath>
        <m:r>
          <w:rPr>
            <w:rFonts w:ascii="Cambria Math" w:eastAsiaTheme="minorEastAsia" w:hAnsi="Cambria Math"/>
          </w:rPr>
          <m:t>k(∆C)</m:t>
        </m:r>
      </m:oMath>
      <w:r>
        <w:rPr>
          <w:rFonts w:eastAsiaTheme="minorEastAsia"/>
        </w:rPr>
        <w:t xml:space="preserve">. This could be done by using the appropriate estimate of </w:t>
      </w:r>
      <m:oMath>
        <m:r>
          <w:rPr>
            <w:rFonts w:ascii="Cambria Math" w:eastAsiaTheme="minorEastAsia" w:hAnsi="Cambria Math"/>
          </w:rPr>
          <m:t>k(∆C)</m:t>
        </m:r>
      </m:oMath>
      <w:r>
        <w:rPr>
          <w:rFonts w:eastAsiaTheme="minorEastAsia"/>
        </w:rPr>
        <w:t xml:space="preserve"> from </w:t>
      </w:r>
      <w:r w:rsidR="004A599A">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rsidR="004A599A">
        <w:fldChar w:fldCharType="separate"/>
      </w:r>
      <w:r w:rsidR="004A599A" w:rsidRPr="004A599A">
        <w:rPr>
          <w:noProof/>
        </w:rPr>
        <w:t xml:space="preserve">Lomas et al. </w:t>
      </w:r>
      <w:r w:rsidR="004A599A">
        <w:rPr>
          <w:noProof/>
        </w:rPr>
        <w:t>(</w:t>
      </w:r>
      <w:r w:rsidR="004A599A" w:rsidRPr="004A599A">
        <w:rPr>
          <w:noProof/>
        </w:rPr>
        <w:t>2018)</w:t>
      </w:r>
      <w:r w:rsidR="004A599A">
        <w:fldChar w:fldCharType="end"/>
      </w:r>
      <w:r w:rsidR="002E5B61">
        <w:rPr>
          <w:rFonts w:eastAsiaTheme="minorEastAsia"/>
        </w:rPr>
        <w:t>, £12,452</w:t>
      </w:r>
      <w:r>
        <w:rPr>
          <w:rFonts w:eastAsiaTheme="minorEastAsia"/>
        </w:rPr>
        <w:t xml:space="preserve"> per QALY for </w:t>
      </w:r>
      <m:oMath>
        <m:r>
          <w:rPr>
            <w:rFonts w:ascii="Cambria Math" w:eastAsiaTheme="minorEastAsia" w:hAnsi="Cambria Math"/>
          </w:rPr>
          <m:t>∆C=£772mn</m:t>
        </m:r>
      </m:oMath>
      <w:r>
        <w:rPr>
          <w:rFonts w:eastAsiaTheme="minorEastAsia"/>
        </w:rPr>
        <w:t xml:space="preserve">, as opposed to the </w:t>
      </w:r>
      <w:r w:rsidR="004A599A">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4A599A">
        <w:rPr>
          <w:rFonts w:eastAsiaTheme="minorEastAsia"/>
        </w:rPr>
        <w:fldChar w:fldCharType="separate"/>
      </w:r>
      <w:r w:rsidR="004A599A" w:rsidRPr="004A599A">
        <w:rPr>
          <w:rFonts w:eastAsiaTheme="minorEastAsia"/>
          <w:noProof/>
        </w:rPr>
        <w:t xml:space="preserve">Claxton et al. </w:t>
      </w:r>
      <w:r w:rsidR="004A599A">
        <w:rPr>
          <w:rFonts w:eastAsiaTheme="minorEastAsia"/>
          <w:noProof/>
        </w:rPr>
        <w:t>(</w:t>
      </w:r>
      <w:r w:rsidR="004A599A" w:rsidRPr="004A599A">
        <w:rPr>
          <w:rFonts w:eastAsiaTheme="minorEastAsia"/>
          <w:noProof/>
        </w:rPr>
        <w:t>2015)</w:t>
      </w:r>
      <w:r w:rsidR="004A599A">
        <w:rPr>
          <w:rFonts w:eastAsiaTheme="minorEastAsia"/>
        </w:rPr>
        <w:fldChar w:fldCharType="end"/>
      </w:r>
      <w:r w:rsidR="004A599A">
        <w:rPr>
          <w:rFonts w:eastAsiaTheme="minorEastAsia"/>
        </w:rPr>
        <w:t xml:space="preserve"> </w:t>
      </w:r>
      <w:r>
        <w:rPr>
          <w:rFonts w:eastAsiaTheme="minorEastAsia"/>
        </w:rPr>
        <w:t>estimate of £12,936 per QALY.</w:t>
      </w:r>
      <w:r w:rsidR="00270699">
        <w:rPr>
          <w:rFonts w:eastAsiaTheme="minorEastAsia"/>
        </w:rPr>
        <w:t xml:space="preserve"> This gives the correct evaluation of health </w:t>
      </w:r>
      <w:r w:rsidR="00D8124D">
        <w:rPr>
          <w:rFonts w:eastAsiaTheme="minorEastAsia"/>
        </w:rPr>
        <w:t>opportunity costs for scenario 4</w:t>
      </w:r>
      <w:r w:rsidR="00270699">
        <w:rPr>
          <w:rFonts w:eastAsiaTheme="minorEastAsia"/>
        </w:rPr>
        <w:t xml:space="preserve"> where </w:t>
      </w:r>
      <m:oMath>
        <m:r>
          <w:rPr>
            <w:rFonts w:ascii="Cambria Math" w:eastAsiaTheme="minorEastAsia" w:hAnsi="Cambria Math"/>
          </w:rPr>
          <m:t>∆C</m:t>
        </m:r>
      </m:oMath>
      <w:r w:rsidR="00270699">
        <w:rPr>
          <w:rFonts w:eastAsiaTheme="minorEastAsia"/>
        </w:rPr>
        <w:t xml:space="preserve"> is known with certainty: 61,997 QALYs.</w:t>
      </w:r>
      <w:r>
        <w:rPr>
          <w:rFonts w:eastAsiaTheme="minorEastAsia"/>
        </w:rPr>
        <w:t xml:space="preserve"> </w:t>
      </w:r>
      <w:r w:rsidR="00270699">
        <w:rPr>
          <w:rFonts w:eastAsiaTheme="minorEastAsia"/>
        </w:rPr>
        <w:t>However</w:t>
      </w:r>
      <w:r>
        <w:rPr>
          <w:rFonts w:eastAsiaTheme="minorEastAsia"/>
        </w:rPr>
        <w:t xml:space="preserve">, it is important to note that health opportunity costs will usually not be linear in </w:t>
      </w:r>
      <m:oMath>
        <m:r>
          <w:rPr>
            <w:rFonts w:ascii="Cambria Math" w:eastAsiaTheme="minorEastAsia" w:hAnsi="Cambria Math"/>
          </w:rPr>
          <m:t>∆C</m:t>
        </m:r>
      </m:oMath>
      <w:r>
        <w:rPr>
          <w:rFonts w:eastAsiaTheme="minorEastAsia"/>
        </w:rPr>
        <w:t xml:space="preserve">, which means that </w:t>
      </w:r>
      <m:oMath>
        <m:f>
          <m:fPr>
            <m:type m:val="lin"/>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k(E</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den>
        </m:f>
        <m:r>
          <w:rPr>
            <w:rFonts w:ascii="Cambria Math" w:eastAsiaTheme="minorEastAsia" w:hAnsi="Cambria Math"/>
          </w:rPr>
          <m:t>≠E(</m:t>
        </m:r>
        <m:f>
          <m:fPr>
            <m:type m:val="lin"/>
            <m:ctrlPr>
              <w:rPr>
                <w:rFonts w:ascii="Cambria Math" w:eastAsiaTheme="minorEastAsia" w:hAnsi="Cambria Math"/>
                <w:i/>
              </w:rPr>
            </m:ctrlPr>
          </m:fPr>
          <m:num>
            <m:r>
              <w:rPr>
                <w:rFonts w:ascii="Cambria Math" w:eastAsiaTheme="minorEastAsia" w:hAnsi="Cambria Math"/>
              </w:rPr>
              <m:t>∆C</m:t>
            </m:r>
          </m:num>
          <m:den>
            <m:r>
              <w:rPr>
                <w:rFonts w:ascii="Cambria Math" w:eastAsiaTheme="minorEastAsia" w:hAnsi="Cambria Math"/>
              </w:rPr>
              <m:t>k(∆C)</m:t>
            </m:r>
          </m:den>
        </m:f>
        <m:r>
          <w:rPr>
            <w:rFonts w:ascii="Cambria Math" w:eastAsiaTheme="minorEastAsia" w:hAnsi="Cambria Math"/>
          </w:rPr>
          <m:t>)</m:t>
        </m:r>
      </m:oMath>
      <w:r w:rsidR="00270699">
        <w:rPr>
          <w:rFonts w:eastAsiaTheme="minorEastAsia"/>
        </w:rPr>
        <w:t>. This is the case when using the Lomas et al. (2018) estimates, for w</w:t>
      </w:r>
      <w:r w:rsidR="00CF1C26">
        <w:rPr>
          <w:rFonts w:eastAsiaTheme="minorEastAsia"/>
        </w:rPr>
        <w:t>hich health opportunity costs are</w:t>
      </w:r>
      <w:r w:rsidR="00270699">
        <w:rPr>
          <w:rFonts w:eastAsiaTheme="minorEastAsia"/>
        </w:rPr>
        <w:t xml:space="preserve"> quadratic in </w:t>
      </w:r>
      <m:oMath>
        <m:r>
          <w:rPr>
            <w:rFonts w:ascii="Cambria Math" w:eastAsiaTheme="minorEastAsia" w:hAnsi="Cambria Math"/>
          </w:rPr>
          <m:t>∆C</m:t>
        </m:r>
      </m:oMath>
      <w:r w:rsidR="00270699">
        <w:rPr>
          <w:rFonts w:eastAsiaTheme="minorEastAsia"/>
        </w:rPr>
        <w:t xml:space="preserve">, </w:t>
      </w:r>
      <w:r w:rsidR="00EA57AD">
        <w:rPr>
          <w:rFonts w:eastAsiaTheme="minorEastAsia"/>
        </w:rPr>
        <w:t>meaning that</w:t>
      </w:r>
      <w:r w:rsidR="00270699">
        <w:rPr>
          <w:rFonts w:eastAsiaTheme="minorEastAsia"/>
        </w:rPr>
        <w:t xml:space="preserve"> it is necessary to calculate health opportunity costs for each iteration from the probabilistic simulation before calculating the expected health opportunity costs.</w:t>
      </w:r>
    </w:p>
    <w:p w:rsidR="00270699" w:rsidRPr="00CF1C26" w:rsidRDefault="00270699" w:rsidP="00CF1C26">
      <w:pPr>
        <w:ind w:left="720" w:firstLine="720"/>
        <w:rPr>
          <w:rFonts w:eastAsiaTheme="minorEastAsia"/>
        </w:rPr>
      </w:pPr>
      <m:oMath>
        <m:r>
          <w:rPr>
            <w:rFonts w:ascii="Cambria Math" w:hAnsi="Cambria Math"/>
          </w:rPr>
          <m:t>NHB</m:t>
        </m:r>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num>
              <m:den>
                <m:r>
                  <w:rPr>
                    <w:rFonts w:ascii="Cambria Math" w:hAnsi="Cambria Math"/>
                  </w:rPr>
                  <m:t>N</m:t>
                </m:r>
              </m:den>
            </m:f>
          </m:e>
        </m:nary>
        <m:r>
          <w:rPr>
            <w:rFonts w:ascii="Cambria Math" w:eastAsiaTheme="minorEastAsia" w:hAnsi="Cambria Math"/>
          </w:rPr>
          <m:t>-</m:t>
        </m:r>
        <m:nary>
          <m:naryPr>
            <m:chr m:val="∑"/>
            <m:ctrlPr>
              <w:rPr>
                <w:rFonts w:ascii="Cambria Math" w:eastAsiaTheme="minorEastAsia" w:hAnsi="Cambria Math"/>
                <w:i/>
                <w:iCs/>
              </w:rPr>
            </m:ctrlPr>
          </m:naryPr>
          <m:sub>
            <m:r>
              <w:rPr>
                <w:rFonts w:ascii="Cambria Math" w:eastAsiaTheme="minorEastAsia" w:hAnsi="Cambria Math"/>
              </w:rPr>
              <m:t>i=1</m:t>
            </m:r>
          </m:sub>
          <m:sup>
            <m:r>
              <w:rPr>
                <w:rFonts w:ascii="Cambria Math" w:eastAsiaTheme="minorEastAsia" w:hAnsi="Cambria Math"/>
              </w:rPr>
              <m:t>N</m:t>
            </m:r>
          </m:sup>
          <m:e>
            <m:f>
              <m:fPr>
                <m:ctrlPr>
                  <w:rPr>
                    <w:rFonts w:ascii="Cambria Math" w:eastAsiaTheme="minorEastAsia" w:hAnsi="Cambria Math"/>
                    <w:i/>
                    <w:iCs/>
                  </w:rPr>
                </m:ctrlPr>
              </m:fPr>
              <m:num>
                <m:f>
                  <m:fPr>
                    <m:type m:val="lin"/>
                    <m:ctrlPr>
                      <w:rPr>
                        <w:rFonts w:ascii="Cambria Math" w:eastAsiaTheme="minorEastAsia" w:hAnsi="Cambria Math"/>
                        <w:i/>
                        <w:iCs/>
                      </w:rPr>
                    </m:ctrlPr>
                  </m:fPr>
                  <m:num>
                    <m:r>
                      <w:rPr>
                        <w:rFonts w:ascii="Cambria Math" w:eastAsiaTheme="minorEastAsia" w:hAnsi="Cambria Math"/>
                      </w:rPr>
                      <m:t>∆</m:t>
                    </m:r>
                    <m:sSub>
                      <m:sSubPr>
                        <m:ctrlPr>
                          <w:rPr>
                            <w:rFonts w:ascii="Cambria Math" w:eastAsiaTheme="minorEastAsia" w:hAnsi="Cambria Math"/>
                            <w:i/>
                            <w:iCs/>
                          </w:rPr>
                        </m:ctrlPr>
                      </m:sSubPr>
                      <m:e>
                        <m:r>
                          <m:rPr>
                            <m:sty m:val="bi"/>
                          </m:rPr>
                          <w:rPr>
                            <w:rFonts w:ascii="Cambria Math" w:eastAsiaTheme="minorEastAsia" w:hAnsi="Cambria Math"/>
                          </w:rPr>
                          <m:t>C</m:t>
                        </m:r>
                      </m:e>
                      <m:sub>
                        <m:r>
                          <m:rPr>
                            <m:sty m:val="bi"/>
                          </m:rPr>
                          <w:rPr>
                            <w:rFonts w:ascii="Cambria Math" w:eastAsiaTheme="minorEastAsia" w:hAnsi="Cambria Math"/>
                          </w:rPr>
                          <m:t>i</m:t>
                        </m:r>
                      </m:sub>
                    </m:sSub>
                  </m:num>
                  <m:den>
                    <m:r>
                      <w:rPr>
                        <w:rFonts w:ascii="Cambria Math" w:eastAsiaTheme="minorEastAsia" w:hAnsi="Cambria Math"/>
                      </w:rPr>
                      <m:t>k(∆</m:t>
                    </m:r>
                    <m:sSub>
                      <m:sSubPr>
                        <m:ctrlPr>
                          <w:rPr>
                            <w:rFonts w:ascii="Cambria Math" w:eastAsiaTheme="minorEastAsia" w:hAnsi="Cambria Math"/>
                            <w:i/>
                            <w:iCs/>
                          </w:rPr>
                        </m:ctrlPr>
                      </m:sSubPr>
                      <m:e>
                        <m:r>
                          <m:rPr>
                            <m:sty m:val="bi"/>
                          </m:rPr>
                          <w:rPr>
                            <w:rFonts w:ascii="Cambria Math" w:eastAsiaTheme="minorEastAsia" w:hAnsi="Cambria Math"/>
                          </w:rPr>
                          <m:t>C</m:t>
                        </m:r>
                      </m:e>
                      <m:sub>
                        <m:r>
                          <m:rPr>
                            <m:sty m:val="bi"/>
                          </m:rPr>
                          <w:rPr>
                            <w:rFonts w:ascii="Cambria Math" w:eastAsiaTheme="minorEastAsia" w:hAnsi="Cambria Math"/>
                          </w:rPr>
                          <m:t>i</m:t>
                        </m:r>
                      </m:sub>
                    </m:sSub>
                    <m:r>
                      <m:rPr>
                        <m:sty m:val="bi"/>
                      </m:rPr>
                      <w:rPr>
                        <w:rFonts w:ascii="Cambria Math" w:eastAsiaTheme="minorEastAsia" w:hAnsi="Cambria Math"/>
                      </w:rPr>
                      <m:t>)</m:t>
                    </m:r>
                  </m:den>
                </m:f>
              </m:num>
              <m:den>
                <m:r>
                  <w:rPr>
                    <w:rFonts w:ascii="Cambria Math" w:eastAsiaTheme="minorEastAsia" w:hAnsi="Cambria Math"/>
                  </w:rPr>
                  <m:t>N</m:t>
                </m:r>
              </m:den>
            </m:f>
          </m:e>
        </m:nary>
        <m:r>
          <w:rPr>
            <w:rFonts w:ascii="Cambria Math" w:eastAsiaTheme="minorEastAsia" w:hAnsi="Cambria Math"/>
          </w:rPr>
          <m:t>=</m:t>
        </m:r>
        <m:nary>
          <m:naryPr>
            <m:chr m:val="∑"/>
            <m:limLoc m:val="undOvr"/>
            <m:ctrlPr>
              <w:rPr>
                <w:rFonts w:ascii="Cambria Math" w:hAnsi="Cambria Math"/>
                <w:i/>
                <w:iCs/>
              </w:rPr>
            </m:ctrlPr>
          </m:naryPr>
          <m:sub>
            <m:r>
              <w:rPr>
                <w:rFonts w:ascii="Cambria Math" w:hAnsi="Cambria Math"/>
              </w:rPr>
              <m:t>i=1</m:t>
            </m:r>
          </m:sub>
          <m:sup>
            <m:r>
              <w:rPr>
                <w:rFonts w:ascii="Cambria Math" w:hAnsi="Cambria Math"/>
              </w:rPr>
              <m:t>N</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m:rPr>
                        <m:sty m:val="bi"/>
                      </m:rPr>
                      <w:rPr>
                        <w:rFonts w:ascii="Cambria Math" w:hAnsi="Cambria Math"/>
                      </w:rPr>
                      <m:t>QALY</m:t>
                    </m:r>
                  </m:e>
                  <m:sub>
                    <m:r>
                      <m:rPr>
                        <m:sty m:val="bi"/>
                      </m:rPr>
                      <w:rPr>
                        <w:rFonts w:ascii="Cambria Math" w:hAnsi="Cambria Math"/>
                      </w:rPr>
                      <m:t>i</m:t>
                    </m:r>
                  </m:sub>
                </m:sSub>
              </m:num>
              <m:den>
                <m:r>
                  <w:rPr>
                    <w:rFonts w:ascii="Cambria Math" w:hAnsi="Cambria Math"/>
                  </w:rPr>
                  <m:t>N</m:t>
                </m:r>
              </m:den>
            </m:f>
          </m:e>
        </m:nary>
        <m:r>
          <w:rPr>
            <w:rFonts w:ascii="Cambria Math" w:eastAsiaTheme="minorEastAsia" w:hAnsi="Cambria Math"/>
          </w:rPr>
          <m:t>-62,200&gt;0</m:t>
        </m:r>
      </m:oMath>
      <w:r w:rsidR="00CF1C26">
        <w:rPr>
          <w:rFonts w:eastAsiaTheme="minorEastAsia"/>
        </w:rPr>
        <w:tab/>
      </w:r>
      <w:r w:rsidR="00CF1C26">
        <w:rPr>
          <w:rFonts w:eastAsiaTheme="minorEastAsia"/>
        </w:rPr>
        <w:tab/>
        <w:t>(11)</w:t>
      </w:r>
    </w:p>
    <w:p w:rsidR="00CF1C26" w:rsidRDefault="00CF1C26" w:rsidP="001D24B8">
      <w:pPr>
        <w:rPr>
          <w:rFonts w:eastAsiaTheme="minorEastAsia"/>
        </w:rPr>
      </w:pPr>
      <w:r>
        <w:rPr>
          <w:rFonts w:eastAsiaTheme="minorEastAsia"/>
        </w:rPr>
        <w:t>10,000 draws were taken from the distribution specified in</w:t>
      </w:r>
      <w:r w:rsidR="00D8124D">
        <w:rPr>
          <w:rFonts w:eastAsiaTheme="minorEastAsia"/>
        </w:rPr>
        <w:t xml:space="preserve"> scenario 5</w:t>
      </w:r>
      <w:r>
        <w:rPr>
          <w:rFonts w:eastAsiaTheme="minorEastAsia"/>
        </w:rPr>
        <w:t xml:space="preserve"> giving the decision rule in equation 11 and health opportunity costs were calculated on the basis of the Lomas et al. (2018) estimates. The result is that</w:t>
      </w:r>
      <w:r w:rsidR="00D8124D">
        <w:rPr>
          <w:rFonts w:eastAsiaTheme="minorEastAsia"/>
        </w:rPr>
        <w:t xml:space="preserve"> the expected</w:t>
      </w:r>
      <w:r>
        <w:rPr>
          <w:rFonts w:eastAsiaTheme="minorEastAsia"/>
        </w:rPr>
        <w:t xml:space="preserve"> health opportunity costs of an uncertain distribution</w:t>
      </w:r>
      <w:r w:rsidR="00D8124D">
        <w:rPr>
          <w:rFonts w:eastAsiaTheme="minorEastAsia"/>
        </w:rPr>
        <w:t xml:space="preserve"> of </w:t>
      </w:r>
      <w:r w:rsidR="00D8124D">
        <w:rPr>
          <w:rFonts w:eastAsiaTheme="minorEastAsia"/>
        </w:rPr>
        <w:lastRenderedPageBreak/>
        <w:t>incremental costs, as specified in scenario 5</w:t>
      </w:r>
      <w:r>
        <w:rPr>
          <w:rFonts w:eastAsiaTheme="minorEastAsia"/>
        </w:rPr>
        <w:t>, are greater than the health opportunity costs when the budget impact is kn</w:t>
      </w:r>
      <w:r w:rsidR="00D8124D">
        <w:rPr>
          <w:rFonts w:eastAsiaTheme="minorEastAsia"/>
        </w:rPr>
        <w:t>own with certainty in scenario 4</w:t>
      </w:r>
      <w:r>
        <w:rPr>
          <w:rFonts w:eastAsiaTheme="minorEastAsia"/>
        </w:rPr>
        <w:t>.</w:t>
      </w:r>
    </w:p>
    <w:p w:rsidR="0043205F" w:rsidRDefault="0043205F" w:rsidP="0043205F">
      <w:pPr>
        <w:pStyle w:val="Heading2"/>
        <w:rPr>
          <w:rFonts w:eastAsiaTheme="minorEastAsia"/>
        </w:rPr>
      </w:pPr>
      <w:r>
        <w:rPr>
          <w:rFonts w:eastAsiaTheme="minorEastAsia"/>
        </w:rPr>
        <w:t>Discussion</w:t>
      </w:r>
    </w:p>
    <w:p w:rsidR="00F01E90" w:rsidRDefault="004A599A">
      <w:r>
        <w:t xml:space="preserve">This paper explores some of the criticisms of </w:t>
      </w:r>
      <w:r w:rsidR="00F01E90">
        <w:t xml:space="preserve">conventional </w:t>
      </w:r>
      <w:r>
        <w:t xml:space="preserve">CEA, in particular findings that interventions are ‘cost-effective’ but unaffordable. </w:t>
      </w:r>
      <w:r w:rsidR="000D0378">
        <w:t>While some papers have argued that CEA and BIA provide different kinds of information and should be “integrated” – i.e. both presented to decision makers,</w:t>
      </w:r>
      <w:r w:rsidR="00EA57AD">
        <w:fldChar w:fldCharType="begin" w:fldLock="1"/>
      </w:r>
      <w:r w:rsidR="00EA57AD">
        <w:instrText>ADDIN CSL_CITATION {"citationItems":[{"id":"ITEM-1","itemData":{"DOI":"10.1371/journal.pmed.1002397","ISSN":"1549-1676","abstract":"Potential cost-effective barriers in cost-effectiveness studies mean that budgetary impact analyses should also be included in post-2015 Sustainable Development Goal projects says Joshua Salomon and colleagues.","author":[{"dropping-particle":"","family":"Bilinski","given":"Alyssa","non-dropping-particle":"","parse-names":false,"suffix":""},{"dropping-particle":"","family":"Neumann","given":"Peter","non-dropping-particle":"","parse-names":false,"suffix":""},{"dropping-particle":"","family":"Cohen","given":"Joshua","non-dropping-particle":"","parse-names":false,"suffix":""},{"dropping-particle":"","family":"Thorat","given":"Teja","non-dropping-particle":"","parse-names":false,"suffix":""},{"dropping-particle":"","family":"McDaniel","given":"Katherine","non-dropping-particle":"","parse-names":false,"suffix":""},{"dropping-particle":"","family":"Salomon","given":"Joshua A.","non-dropping-particle":"","parse-names":false,"suffix":""}],"container-title":"PLOS Medicine","id":"ITEM-1","issue":"10","issued":{"date-parts":[["2017","10","2"]]},"page":"e1002397","publisher":"Public Library of Science","title":"When cost-effective interventions are unaffordable: Integrating cost-effectiveness and budget impact in priority setting for global health programs","type":"article-journal","volume":"14"},"uris":["http://www.mendeley.com/documents/?uuid=b6c01a22-9836-3771-97e8-fe57851df627"]},{"id":"ITEM-2","itemData":{"DOI":"10.1016/j.jval.2017.12.017","ISSN":"1524-4733","PMID":"29566831","abstract":"What should be the relationship between the concepts of cost effectiveness and affordability in value assessments for health care interventions? This question has received greater attention in recent years given increasing financial pressures on health systems, leading to different views on how assessment reports and decision-making processes can provide the best structure for considering both elements. In the United States, the advent of explicit value frameworks to guide drug assessments has also focused attention on this issue, driven in part by the prominent inclusion of affordability within the value framework used to guide reports from the Institute for Clinical and Economic Review. After providing a formal definition of affordability for health care systems, this article argues that, even after using empirical estimates of true health system opportunity cost, cost-effectiveness thresholds cannot by themselves be set in a way that subsumes questions about short-term affordability. The article then presents an analysis of different approaches to integrating cost effectiveness and budget impact assessments within information to guide decision making. The evolution and experience with the Institute for Clinical and Economic Review value framework are highlighted, providing lessons learned and guiding principles for future efforts to bring measures of affordability within the scope of value assessment.","author":[{"dropping-particle":"","family":"Pearson","given":"Steven D","non-dropping-particle":"","parse-names":false,"suffix":""}],"container-title":"Value in Health","id":"ITEM-2","issue":"3","issued":{"date-parts":[["2018","3","1"]]},"page":"258-265","publisher":"Elsevier","title":"The ICER Value Framework: Integrating Cost Effectiveness and Affordability in the Assessment of Health Care Value.","type":"article-journal","volume":"21"},"uris":["http://www.mendeley.com/documents/?uuid=a09e598f-9fd4-35ac-940d-0a71a5e061e4"]}],"mendeley":{"formattedCitation":"&lt;sup&gt;1,3&lt;/sup&gt;","plainTextFormattedCitation":"1,3","previouslyFormattedCitation":"&lt;sup&gt;1,3&lt;/sup&gt;"},"properties":{"noteIndex":0},"schema":"https://github.com/citation-style-language/schema/raw/master/csl-citation.json"}</w:instrText>
      </w:r>
      <w:r w:rsidR="00EA57AD">
        <w:fldChar w:fldCharType="separate"/>
      </w:r>
      <w:r w:rsidR="00EA57AD" w:rsidRPr="00DE3E86">
        <w:rPr>
          <w:noProof/>
          <w:vertAlign w:val="superscript"/>
        </w:rPr>
        <w:t>1,3</w:t>
      </w:r>
      <w:r w:rsidR="00EA57AD">
        <w:fldChar w:fldCharType="end"/>
      </w:r>
      <w:r w:rsidR="000D0378">
        <w:t xml:space="preserve"> other papers have called for information on budget impact to be incorporated within CEA.</w:t>
      </w:r>
      <w:r w:rsidR="00EA57AD">
        <w:fldChar w:fldCharType="begin" w:fldLock="1"/>
      </w:r>
      <w:r w:rsidR="00EA57AD">
        <w:instrText>ADDIN CSL_CITATION {"citationItems":[{"id":"ITEM-1","itemData":{"ISSN":"1170-7690","PMID":"18767894","abstract":"The National Institute for Health and Clinical Excellence (NICE) has been using a cost-effectiveness threshold range between 20,000 pound sterling and 30,000 pound sterling for over 7 years. What the cost-effectiveness threshold represents, what the appropriate level is for NICE to use, and what the other factors are that NICE should consider have all been the subject of much discussion. In this article, we briefly review these questions, provide a critical assessment of NICE's utilization of the incremental cost-effectiveness ratio (ICER) threshold to inform its guidance, and suggest ways in which NICE's utilization of the ICER threshold could be developed to promote the efficient use of health service resources. We conclude that it is feasible and probably desirable to operate an explicit single threshold rather than the current range; the threshold should be seen as a threshold at which 'other' criteria beyond the ICER itself are taken into account; interventions with a large budgetary impact may need to be subject to a lower threshold as they are likely to displace more than the marginal activities; reimbursement at the threshold transfers the full value of an innovation to the manufacturer. Positive decisions above the threshold on the grounds of innovation reduce population health; the value of the threshold should be reconsidered regularly to ensure that it captures the impact of changes in efficiency and budget over time; the use of equity weights to sustain a positive recommendation when the ICER is above the threshold requires knowledge of the equity characteristics of those patients who bear the opportunity cost. Given the barriers to obtaining this knowledge and knowledge about the characteristics of typical beneficiaries of UK NHS care, caution is warranted before accepting claims from special pleaders; uncertainty in the evidence base should not be used to justify a positive recommendation when the ICER is above the threshold. The development of a programme of disinvestment guidance would enable NICE and the NHS to be more confident that the net health benefit of the Technology Appraisal Programme is positive.","author":[{"dropping-particle":"","family":"McCabe","given":"Christopher","non-dropping-particle":"","parse-names":false,"suffix":""},{"dropping-particle":"","family":"Claxton","given":"Karl","non-dropping-particle":"","parse-names":false,"suffix":""},{"dropping-particle":"","family":"Culyer","given":"Anthony J","non-dropping-particle":"","parse-names":false,"suffix":""}],"container-title":"PharmacoEconomics","id":"ITEM-1","issue":"9","issued":{"date-parts":[["2008","1"]]},"page":"733-44","title":"The NICE cost-effectiveness threshold: what it is and what that means.","type":"article-journal","volume":"26"},"uris":["http://www.mendeley.com/documents/?uuid=775f2316-ef6c-4a32-b2c1-b7fab266c830"]},{"id":"ITEM-2","itemData":{"DOI":"10.1017/S1744133116000049","ISSN":"1744-1331","PMID":"26906561","abstract":"&lt;p&gt; There is misunderstanding about both the meaning and the role of cost-effectiveness thresholds in policy decision making. This article dissects the main issues by use of a bookshelf metaphor. Its main conclusions are as follows: it must be possible to compare interventions in terms of their impact on a common measure of health; mere effectiveness is not a persuasive case for inclusion in public insurance plans; public health advocates need to address issues of relative effectiveness; a ‘first best’ benchmark or threshold ratio of health gain to expenditure identifies the least effective intervention that should be included in a public insurance plan; the reciprocal of this ratio – the ‘first best’ cost-effectiveness threshold – will rise or fall as the health budget rises or falls ( &lt;italic&gt;ceteris paribus&lt;/italic&gt; ); setting thresholds too high or too low costs lives; failure to set any cost-effectiveness threshold at all also involves avertable deaths and morbidity; the threshold cannot be set independently of the health budget; the threshold can be approached from either the demand side or the supply side – the two are equivalent only in a health-maximising equilibrium; the supply-side approach generates an estimate of a ‘second best’ cost-effectiveness threshold that is higher than the ‘first best’; the second best threshold is the one generally to be preferred in decisions about adding or subtracting interventions in an established public insurance package; multiple thresholds are implied by systems having distinct and separable health budgets; disinvestment involves eliminating &lt;italic&gt;effective&lt;/italic&gt; technologies from the insured bundle; differential weighting of beneficiaries’ health gains may affect the threshold; anonymity and identity are factors that may affect the interpretation of the threshold; the true opportunity cost of health care in a community, where the effectiveness of interventions is determined by their impact on health, is not to be measured in money – but in health itself. &lt;/p&gt;","author":[{"dropping-particle":"","family":"Culyer","given":"Anthony J.","non-dropping-particle":"","parse-names":false,"suffix":""}],"container-title":"Health Economics, Policy and Law","id":"ITEM-2","issue":"04","issued":{"date-parts":[["2016","10","24"]]},"page":"415-432","title":"Cost-effectiveness thresholds in health care: a bookshelf guide to their meaning and use","type":"article-journal","volume":"11"},"uris":["http://www.mendeley.com/documents/?uuid=2b96e6bb-7100-3833-8c41-c8c8ad548e3b"]},{"id":"ITEM-3","itemData":{"DOI":"10.1177/0272989X16662242","ISSN":"0272-989X","PMID":"27553208","abstract":"The cost-effectiveness threshold in health care systems with a constrained budget should be determined by the cost-effectiveness of displacing health care services to fund new interventions. Using comparative statics, we review some potential determinants of the threshold, including the budget for health care, the demand for existing health care interventions, the technical efficiency of existing interventions, and the development of new health technologies. We consider the anticipated direction of impact that would affect the threshold following a change in each of these determinants. Where the health care system is technically efficient, an increase in the health care budget unambiguously raises the threshold, whereas an increase in the demand for existing, non-marginal health interventions unambiguously lowers the threshold. Improvements in the technical efficiency of existing interventions may raise or lower the threshold, depending on the cause of the improvement in efficiency, whether the intervention is already funded, and, if so, whether it is marginal. New technologies may also raise or lower the threshold, depending on whether the new technology is a substitute for an existing technology and, again, whether the existing technology is marginal. Our analysis permits health economists and decision makers to assess if and in what direction the threshold may change over time. This matters, as threshold changes impact the cost-effectiveness of interventions that require decisions now but have costs and effects that fall in future periods.","author":[{"dropping-particle":"","family":"Paulden","given":"Mike","non-dropping-particle":"","parse-names":false,"suffix":""},{"dropping-particle":"","family":"O’Mahony","given":"James","non-dropping-particle":"","parse-names":false,"suffix":""},{"dropping-particle":"","family":"McCabe","given":"Christopher","non-dropping-particle":"","parse-names":false,"suffix":""}],"container-title":"Medical Decision Making","id":"ITEM-3","issue":"2","issued":{"date-parts":[["2017","2"]]},"page":"264-276","title":"Determinants of Change in the Cost-effectiveness Threshold","type":"article-journal","volume":"37"},"uris":["http://www.mendeley.com/documents/?uuid=6a93b463-25ac-3080-b035-e239cb20078b"]},{"id":"ITEM-4","itemData":{"DOI":"10.1016/J.JVAL.2017.10.006","ISSN":"1098-3015","abstract":"Considering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Health","id":"ITEM-4","issued":{"date-parts":[["2018","1","4"]]},"publisher":"Elsevier","title":"Resolving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6,7,9,11&lt;/sup&gt;","plainTextFormattedCitation":"6,7,9,11","previouslyFormattedCitation":"&lt;sup&gt;6,7,9,11&lt;/sup&gt;"},"properties":{"noteIndex":0},"schema":"https://github.com/citation-style-language/schema/raw/master/csl-citation.json"}</w:instrText>
      </w:r>
      <w:r w:rsidR="00EA57AD">
        <w:fldChar w:fldCharType="separate"/>
      </w:r>
      <w:r w:rsidR="00EA57AD" w:rsidRPr="00C07CA0">
        <w:rPr>
          <w:noProof/>
          <w:vertAlign w:val="superscript"/>
        </w:rPr>
        <w:t>6,7,9,11</w:t>
      </w:r>
      <w:r w:rsidR="00EA57AD">
        <w:fldChar w:fldCharType="end"/>
      </w:r>
      <w:r w:rsidR="000D0378">
        <w:t xml:space="preserve"> </w:t>
      </w:r>
      <w:r w:rsidR="003A6220">
        <w:t>In particular, it has been argued that CEA could in principle incorporate information on budget impacts into the appropriate decision rules used to inform decision makers of the cost-effectiveness of an intervention</w:t>
      </w:r>
      <w:r w:rsidR="00EA57AD">
        <w:t>.</w:t>
      </w:r>
      <w:r w:rsidR="003A6220">
        <w:fldChar w:fldCharType="begin" w:fldLock="1"/>
      </w:r>
      <w:r w:rsidR="00DE3E86">
        <w:instrText>ADDIN CSL_CITATION {"citationItems":[{"id":"ITEM-1","itemData":{"DOI":"10.1016/j.jval.2017.12.017","ISSN":"1524-4733","PMID":"29566831","abstract":"What should be the relationship between the concepts of cost effectiveness and affordability in value assessments for health care interventions? This question has received greater attention in recent years given increasing financial pressures on health systems, leading to different views on how assessment reports and decision-making processes can provide the best structure for considering both elements. In the United States, the advent of explicit value frameworks to guide drug assessments has also focused attention on this issue, driven in part by the prominent inclusion of affordability within the value framework used to guide reports from the Institute for Clinical and Economic Review. After providing a formal definition of affordability for health care systems, this article argues that, even after using empirical estimates of true health system opportunity cost, cost-effectiveness thresholds cannot by themselves be set in a way that subsumes questions about short-term affordability. The article then presents an analysis of different approaches to integrating cost effectiveness and budget impact assessments within information to guide decision making. The evolution and experience with the Institute for Clinical and Economic Review value framework are highlighted, providing lessons learned and guiding principles for future efforts to bring measures of affordability within the scope of value assessment.","author":[{"dropping-particle":"","family":"Pearson","given":"Steven D","non-dropping-particle":"","parse-names":false,"suffix":""}],"container-title":"Value in Health","id":"ITEM-1","issue":"3","issued":{"date-parts":[["2018","3","1"]]},"page":"258-265","publisher":"Elsevier","title":"The ICER Value Framework: Integrating Cost Effectiveness and Affordability in the Assessment of Health Care Value.","type":"article-journal","volume":"21"},"uris":["http://www.mendeley.com/documents/?uuid=a09e598f-9fd4-35ac-940d-0a71a5e061e4"]}],"mendeley":{"formattedCitation":"&lt;sup&gt;3&lt;/sup&gt;","plainTextFormattedCitation":"3","previouslyFormattedCitation":"&lt;sup&gt;3&lt;/sup&gt;"},"properties":{"noteIndex":0},"schema":"https://github.com/citation-style-language/schema/raw/master/csl-citation.json"}</w:instrText>
      </w:r>
      <w:r w:rsidR="003A6220">
        <w:fldChar w:fldCharType="separate"/>
      </w:r>
      <w:r w:rsidR="00DE3E86" w:rsidRPr="00DE3E86">
        <w:rPr>
          <w:noProof/>
          <w:vertAlign w:val="superscript"/>
        </w:rPr>
        <w:t>3</w:t>
      </w:r>
      <w:r w:rsidR="003A6220">
        <w:fldChar w:fldCharType="end"/>
      </w:r>
      <w:r w:rsidR="003A6220">
        <w:t xml:space="preserve"> </w:t>
      </w:r>
      <w:bookmarkStart w:id="2" w:name="_Hlk535848657"/>
      <w:bookmarkStart w:id="3" w:name="_Hlk535853304"/>
      <w:r w:rsidR="00F01E90">
        <w:t>Th</w:t>
      </w:r>
      <w:r w:rsidR="00D01B66">
        <w:t>is</w:t>
      </w:r>
      <w:r w:rsidR="00F01E90">
        <w:t xml:space="preserve"> is</w:t>
      </w:r>
      <w:r w:rsidR="00D01B66">
        <w:t xml:space="preserve"> consistent with </w:t>
      </w:r>
      <w:r w:rsidR="00F01E90">
        <w:t>CEA be</w:t>
      </w:r>
      <w:r w:rsidR="00D01B66">
        <w:t>ing</w:t>
      </w:r>
      <w:r w:rsidR="00F01E90">
        <w:t xml:space="preserve"> used to inform whether or not an intervention will produce a net gain or loss in population health, given the opportunity costs that will arise from resources not being available</w:t>
      </w:r>
      <w:r w:rsidR="00EA57AD">
        <w:t xml:space="preserve"> for other</w:t>
      </w:r>
      <w:r w:rsidR="00F01E90">
        <w:t xml:space="preserve"> </w:t>
      </w:r>
      <w:r w:rsidR="00EC0B9A">
        <w:t>purposes. This paper adopts a health care perspective with</w:t>
      </w:r>
      <w:r w:rsidR="00F01E90">
        <w:t xml:space="preserve"> a const</w:t>
      </w:r>
      <w:r w:rsidR="00E95566">
        <w:t xml:space="preserve">rained decision maker for whom </w:t>
      </w:r>
      <m:oMath>
        <m:r>
          <w:rPr>
            <w:rFonts w:ascii="Cambria Math" w:hAnsi="Cambria Math"/>
          </w:rPr>
          <m:t>k</m:t>
        </m:r>
      </m:oMath>
      <w:r w:rsidR="00F01E90">
        <w:t xml:space="preserve"> is exogenous</w:t>
      </w:r>
      <w:r w:rsidR="00EC0B9A">
        <w:t>, but its relevance extends to analysis that adopts a broader societal perspective</w:t>
      </w:r>
      <w:r w:rsidR="00EA57AD">
        <w:t>.</w:t>
      </w:r>
      <w:r w:rsidR="00545730">
        <w:fldChar w:fldCharType="begin" w:fldLock="1"/>
      </w:r>
      <w:r w:rsidR="00C07CA0">
        <w:instrText>ADDIN CSL_CITATION {"citationItems":[{"id":"ITEM-1","itemData":{"DOI":"10.1007/s10198-018-1000-4","ISSN":"1618-7598","author":[{"dropping-particle":"","family":"Brouwer","given":"Werner","non-dropping-particle":"","parse-names":false,"suffix":""},{"dropping-particle":"","family":"Baal","given":"Pieter","non-dropping-particle":"van","parse-names":false,"suffix":""},{"dropping-particle":"","family":"Exel","given":"Job","non-dropping-particle":"van","parse-names":false,"suffix":""},{"dropping-particle":"","family":"Versteegh","given":"Matthijs","non-dropping-particle":"","parse-names":false,"suffix":""}],"container-title":"The European Journal of Health Economics","id":"ITEM-1","issued":{"date-parts":[["2018","9","5"]]},"page":"1-6","publisher":"Springer Berlin Heidelberg","title":"When is it too expensive? Cost-effectiveness thresholds and health care decision-making","type":"article-journal"},"uris":["http://www.mendeley.com/documents/?uuid=23e3da32-b248-3af9-9852-9dcae3dedeb0"]},{"id":"ITEM-2","itemData":{"abstract":"NICE uses cost-effectiveness analysis to compare the health benefits expected to be gained by using a technology with the health that is likely to be forgone due to additional costs falling on the health care budget and displacing other activities that improve health. This approach to informing decisions will be appropriate if the social objective is to improve health, the measure of health is adequate and the budget for health care can reasonably be regarded as fixed. If NICE were to recommend a broader =societal perspective‘, wider effects impacting on other areas of the public sector and the wider economy would be formally incorporated into analyses and decisions. The problem for policy is that, in the face of budgets legitimately set by government, it is not clear how or whether a societal perspective can be implemented, particularly if transfers between sectors are not possible. It poses the question of how the trade-offs between health, consumption and other social arguments, as well as the valuation of market and non market activities, ought to be undertaken.","author":[{"dropping-particle":"","family":"Claxton","given":"Karl","non-dropping-particle":"","parse-names":false,"suffix":""},{"dropping-particle":"","family":"Walker","given":"Simon","non-dropping-particle":"","parse-names":false,"suffix":""},{"dropping-particle":"","family":"Palmer","given":"Steven","non-dropping-particle":"","parse-names":false,"suffix":""},{"dropping-particle":"","family":"Sculpher","given":"Mark","non-dropping-particle":"","parse-names":false,"suffix":""}],"genre":"Working Paper","id":"ITEM-2","issued":{"date-parts":[["2010"]]},"number":"CHE RP 54","publisher":"Centre for Health Economics, University of York","title":"Appropriate Perspectives for Health Care Decisions","type":"report"},"uris":["http://www.mendeley.com/documents/?uuid=17f73508-a659-473d-a04f-06a482408eaf"]}],"mendeley":{"formattedCitation":"&lt;sup&gt;26,27&lt;/sup&gt;","plainTextFormattedCitation":"26,27","previouslyFormattedCitation":"&lt;sup&gt;26,27&lt;/sup&gt;"},"properties":{"noteIndex":0},"schema":"https://github.com/citation-style-language/schema/raw/master/csl-citation.json"}</w:instrText>
      </w:r>
      <w:r w:rsidR="00545730">
        <w:fldChar w:fldCharType="separate"/>
      </w:r>
      <w:r w:rsidR="00C07CA0" w:rsidRPr="00C07CA0">
        <w:rPr>
          <w:noProof/>
          <w:vertAlign w:val="superscript"/>
        </w:rPr>
        <w:t>26,27</w:t>
      </w:r>
      <w:r w:rsidR="00545730">
        <w:fldChar w:fldCharType="end"/>
      </w:r>
      <w:bookmarkEnd w:id="2"/>
      <w:r w:rsidR="0029797D">
        <w:t xml:space="preserve"> In particular, f</w:t>
      </w:r>
      <w:r w:rsidR="0029797D">
        <w:rPr>
          <w:rFonts w:eastAsiaTheme="minorEastAsia"/>
        </w:rPr>
        <w:t xml:space="preserve">uture work should consider the implications for health opportunity costs that arise from non-marginal costs falling outside of the health sector, such as effects on private consumption, which will necessitate the estimation of additional parameters </w:t>
      </w:r>
      <w:r w:rsidR="00E2270B">
        <w:rPr>
          <w:rFonts w:eastAsiaTheme="minorEastAsia"/>
        </w:rPr>
        <w:t>including</w:t>
      </w:r>
      <w:r w:rsidR="0029797D">
        <w:rPr>
          <w:rFonts w:eastAsiaTheme="minorEastAsia"/>
        </w:rPr>
        <w:t xml:space="preserve"> the consumption value of health, </w:t>
      </w:r>
      <m:oMath>
        <m:r>
          <w:rPr>
            <w:rFonts w:ascii="Cambria Math" w:eastAsiaTheme="minorEastAsia" w:hAnsi="Cambria Math"/>
          </w:rPr>
          <m:t>v</m:t>
        </m:r>
      </m:oMath>
      <w:r w:rsidR="0029797D">
        <w:rPr>
          <w:rFonts w:eastAsiaTheme="minorEastAsia"/>
        </w:rPr>
        <w:t>.</w:t>
      </w:r>
      <w:r w:rsidR="00F30B0B">
        <w:rPr>
          <w:rFonts w:eastAsiaTheme="minorEastAsia"/>
        </w:rPr>
        <w:fldChar w:fldCharType="begin" w:fldLock="1"/>
      </w:r>
      <w:r w:rsidR="00F30B0B">
        <w:rPr>
          <w:rFonts w:eastAsiaTheme="minorEastAsia"/>
        </w:rPr>
        <w:instrText>ADDIN CSL_CITATION {"citationItems":[{"id":"ITEM-1","itemData":{"DOI":"10.1017/bca.2018.29","ISSN":"2194-5888","abstract":"&lt;p&gt;The primary focus of this paper is to offer guidance on the analysis of time streams of effects that a project may have so that they can be discounted appropriately. This requires a framework that identifies the common parameters that need to be assessed, whether conducting cost-effectiveness or benefit-cost analysis. The quantification and conversion of the time streams of different effects into their equivalent health, health care cost or consumption effects avoids embedding multiple arguments in discounting policies. This helps to identify where parameters are likely to differ in particular contexts, what type of evidence would be relevant, what is currently known and how this evidence might be strengthened. The current evidence available to support the assessment of the key parameters is discussed and possible estimates and default assumptions are suggested. Reporting the results in an extensive way is recommended. This makes the assessments required explicit so the impact of alternative assumptions can be explored and analysis updated as better estimates evolve. Some projects will have effects across different countries where some or all of these parameters will differ. Therefore, the net present value of a project will be the sum of the country specific net present values rather than the sum of effects across countries discounted at some common rate.&lt;/p&gt;","author":[{"dropping-particle":"","family":"Claxton","given":"Karl","non-dropping-particle":"","parse-names":false,"suffix":""},{"dropping-particle":"","family":"Asaria","given":"Miqdad","non-dropping-particle":"","parse-names":false,"suffix":""},{"dropping-particle":"","family":"Chansa","given":"Collins","non-dropping-particle":"","parse-names":false,"suffix":""},{"dropping-particle":"","family":"Jamison","given":"Julian","non-dropping-particle":"","parse-names":false,"suffix":""},{"dropping-particle":"","family":"Lomas","given":"James","non-dropping-particle":"","parse-names":false,"suffix":""},{"dropping-particle":"","family":"Ochalek","given":"Jessica","non-dropping-particle":"","parse-names":false,"suffix":""},{"dropping-particle":"","family":"Paulden","given":"Mike","non-dropping-particle":"","parse-names":false,"suffix":""}],"container-title":"Journal of Benefit-Cost Analysis","id":"ITEM-1","issued":{"date-parts":[["2019","1","26"]]},"page":"1-33","publisher":"Cambridge University Press","title":"Accounting for Timing when Assessing Health-Related Policies","type":"article-journal"},"uris":["http://www.mendeley.com/documents/?uuid=7aff019f-409e-3472-a2f6-7fba8537000b"]}],"mendeley":{"formattedCitation":"&lt;sup&gt;13&lt;/sup&gt;","plainTextFormattedCitation":"13","previouslyFormattedCitation":"&lt;sup&gt;13&lt;/sup&gt;"},"properties":{"noteIndex":0},"schema":"https://github.com/citation-style-language/schema/raw/master/csl-citation.json"}</w:instrText>
      </w:r>
      <w:r w:rsidR="00F30B0B">
        <w:rPr>
          <w:rFonts w:eastAsiaTheme="minorEastAsia"/>
        </w:rPr>
        <w:fldChar w:fldCharType="separate"/>
      </w:r>
      <w:r w:rsidR="00F30B0B" w:rsidRPr="00F30B0B">
        <w:rPr>
          <w:rFonts w:eastAsiaTheme="minorEastAsia"/>
          <w:noProof/>
          <w:vertAlign w:val="superscript"/>
        </w:rPr>
        <w:t>13</w:t>
      </w:r>
      <w:r w:rsidR="00F30B0B">
        <w:rPr>
          <w:rFonts w:eastAsiaTheme="minorEastAsia"/>
        </w:rPr>
        <w:fldChar w:fldCharType="end"/>
      </w:r>
      <w:r w:rsidR="00E2270B" w:rsidRPr="00E2270B">
        <w:t xml:space="preserve"> </w:t>
      </w:r>
      <w:r w:rsidR="0094397B">
        <w:t>Further, having e</w:t>
      </w:r>
      <w:r w:rsidR="00F30B0B">
        <w:t>stimates</w:t>
      </w:r>
      <w:r w:rsidR="00E2270B">
        <w:t xml:space="preserve"> of</w:t>
      </w:r>
      <w:r w:rsidR="0094397B">
        <w:t xml:space="preserve"> both</w:t>
      </w:r>
      <w:r w:rsidR="00E2270B">
        <w:t xml:space="preserve"> </w:t>
      </w:r>
      <m:oMath>
        <m:r>
          <w:rPr>
            <w:rFonts w:ascii="Cambria Math" w:eastAsiaTheme="minorEastAsia" w:hAnsi="Cambria Math"/>
          </w:rPr>
          <m:t>v</m:t>
        </m:r>
      </m:oMath>
      <w:r w:rsidR="00E2270B">
        <w:rPr>
          <w:rFonts w:eastAsiaTheme="minorEastAsia"/>
        </w:rPr>
        <w:t xml:space="preserve"> and </w:t>
      </w:r>
      <m:oMath>
        <m:r>
          <w:rPr>
            <w:rFonts w:ascii="Cambria Math" w:eastAsiaTheme="minorEastAsia" w:hAnsi="Cambria Math"/>
          </w:rPr>
          <m:t>k</m:t>
        </m:r>
      </m:oMath>
      <w:r w:rsidR="00E2270B">
        <w:rPr>
          <w:rFonts w:eastAsiaTheme="minorEastAsia"/>
        </w:rPr>
        <w:t xml:space="preserve"> can help to address other higher-level questions </w:t>
      </w:r>
      <w:r w:rsidR="00F30B0B">
        <w:rPr>
          <w:rFonts w:eastAsiaTheme="minorEastAsia"/>
        </w:rPr>
        <w:t xml:space="preserve">such as whether or not the level of resources allocated to health care </w:t>
      </w:r>
      <w:r w:rsidR="0094397B">
        <w:rPr>
          <w:rFonts w:eastAsiaTheme="minorEastAsia"/>
        </w:rPr>
        <w:t>could be considered</w:t>
      </w:r>
      <w:r w:rsidR="00F30B0B">
        <w:rPr>
          <w:rFonts w:eastAsiaTheme="minorEastAsia"/>
        </w:rPr>
        <w:t xml:space="preserve"> optimal</w:t>
      </w:r>
      <w:r w:rsidR="00200A47">
        <w:rPr>
          <w:rFonts w:eastAsiaTheme="minorEastAsia"/>
        </w:rPr>
        <w:t>.</w:t>
      </w:r>
      <w:r w:rsidR="00F30B0B">
        <w:rPr>
          <w:rFonts w:eastAsiaTheme="minorEastAsia"/>
        </w:rPr>
        <w:fldChar w:fldCharType="begin" w:fldLock="1"/>
      </w:r>
      <w:r w:rsidR="00F30B0B">
        <w:rPr>
          <w:rFonts w:eastAsiaTheme="minorEastAsia"/>
        </w:rPr>
        <w:instrText>ADDIN CSL_CITATION {"citationItems":[{"id":"ITEM-1","itemData":{"DOI":"10.1017/bca.2018.29","ISSN":"2194-5888","abstract":"&lt;p&gt;The primary focus of this paper is to offer guidance on the analysis of time streams of effects that a project may have so that they can be discounted appropriately. This requires a framework that identifies the common parameters that need to be assessed, whether conducting cost-effectiveness or benefit-cost analysis. The quantification and conversion of the time streams of different effects into their equivalent health, health care cost or consumption effects avoids embedding multiple arguments in discounting policies. This helps to identify where parameters are likely to differ in particular contexts, what type of evidence would be relevant, what is currently known and how this evidence might be strengthened. The current evidence available to support the assessment of the key parameters is discussed and possible estimates and default assumptions are suggested. Reporting the results in an extensive way is recommended. This makes the assessments required explicit so the impact of alternative assumptions can be explored and analysis updated as better estimates evolve. Some projects will have effects across different countries where some or all of these parameters will differ. Therefore, the net present value of a project will be the sum of the country specific net present values rather than the sum of effects across countries discounted at some common rate.&lt;/p&gt;","author":[{"dropping-particle":"","family":"Claxton","given":"Karl","non-dropping-particle":"","parse-names":false,"suffix":""},{"dropping-particle":"","family":"Asaria","given":"Miqdad","non-dropping-particle":"","parse-names":false,"suffix":""},{"dropping-particle":"","family":"Chansa","given":"Collins","non-dropping-particle":"","parse-names":false,"suffix":""},{"dropping-particle":"","family":"Jamison","given":"Julian","non-dropping-particle":"","parse-names":false,"suffix":""},{"dropping-particle":"","family":"Lomas","given":"James","non-dropping-particle":"","parse-names":false,"suffix":""},{"dropping-particle":"","family":"Ochalek","given":"Jessica","non-dropping-particle":"","parse-names":false,"suffix":""},{"dropping-particle":"","family":"Paulden","given":"Mike","non-dropping-particle":"","parse-names":false,"suffix":""}],"container-title":"Journal of Benefit-Cost Analysis","id":"ITEM-1","issued":{"date-parts":[["2019","1","26"]]},"page":"1-33","publisher":"Cambridge University Press","title":"Accounting for Timing when Assessing Health-Related Policies","type":"article-journal"},"uris":["http://www.mendeley.com/documents/?uuid=7aff019f-409e-3472-a2f6-7fba8537000b"]}],"mendeley":{"formattedCitation":"&lt;sup&gt;13&lt;/sup&gt;","plainTextFormattedCitation":"13"},"properties":{"noteIndex":0},"schema":"https://github.com/citation-style-language/schema/raw/master/csl-citation.json"}</w:instrText>
      </w:r>
      <w:r w:rsidR="00F30B0B">
        <w:rPr>
          <w:rFonts w:eastAsiaTheme="minorEastAsia"/>
        </w:rPr>
        <w:fldChar w:fldCharType="separate"/>
      </w:r>
      <w:r w:rsidR="00F30B0B" w:rsidRPr="00F30B0B">
        <w:rPr>
          <w:rFonts w:eastAsiaTheme="minorEastAsia"/>
          <w:noProof/>
          <w:vertAlign w:val="superscript"/>
        </w:rPr>
        <w:t>13</w:t>
      </w:r>
      <w:r w:rsidR="00F30B0B">
        <w:rPr>
          <w:rFonts w:eastAsiaTheme="minorEastAsia"/>
        </w:rPr>
        <w:fldChar w:fldCharType="end"/>
      </w:r>
    </w:p>
    <w:bookmarkEnd w:id="3"/>
    <w:p w:rsidR="00580495" w:rsidRDefault="003A6220">
      <w:pPr>
        <w:rPr>
          <w:rFonts w:eastAsiaTheme="minorEastAsia"/>
        </w:rPr>
      </w:pPr>
      <w:r>
        <w:t xml:space="preserve">In this paper we have investigated the implications for conducting CEA when </w:t>
      </w:r>
      <w:r w:rsidR="00D8124D">
        <w:t>health opportunity costs are non-linear with respect</w:t>
      </w:r>
      <w:r>
        <w:rPr>
          <w:rFonts w:eastAsiaTheme="minorEastAsia"/>
        </w:rPr>
        <w:t xml:space="preserve"> </w:t>
      </w:r>
      <w:r w:rsidR="00F01E90">
        <w:rPr>
          <w:rFonts w:eastAsiaTheme="minorEastAsia"/>
        </w:rPr>
        <w:t xml:space="preserve">to </w:t>
      </w:r>
      <w:r>
        <w:rPr>
          <w:rFonts w:eastAsiaTheme="minorEastAsia"/>
        </w:rPr>
        <w:t>budget impact</w:t>
      </w:r>
      <w:r w:rsidR="00D8124D">
        <w:rPr>
          <w:rFonts w:eastAsiaTheme="minorEastAsia"/>
        </w:rPr>
        <w:t xml:space="preserve"> (implying non-constant returns to scale)</w:t>
      </w:r>
      <w:r>
        <w:rPr>
          <w:rFonts w:eastAsiaTheme="minorEastAsia"/>
        </w:rPr>
        <w:t>. We find that it is</w:t>
      </w:r>
      <w:r w:rsidR="006722E4">
        <w:rPr>
          <w:rFonts w:eastAsiaTheme="minorEastAsia"/>
        </w:rPr>
        <w:t xml:space="preserve"> </w:t>
      </w:r>
      <w:r>
        <w:rPr>
          <w:rFonts w:eastAsiaTheme="minorEastAsia"/>
        </w:rPr>
        <w:t xml:space="preserve">conceptually </w:t>
      </w:r>
      <w:r w:rsidR="00580495">
        <w:rPr>
          <w:rFonts w:eastAsiaTheme="minorEastAsia"/>
        </w:rPr>
        <w:t>difficult</w:t>
      </w:r>
      <w:r>
        <w:rPr>
          <w:rFonts w:eastAsiaTheme="minorEastAsia"/>
        </w:rPr>
        <w:t xml:space="preserve"> to incorporate this</w:t>
      </w:r>
      <w:r w:rsidR="006722E4">
        <w:rPr>
          <w:rFonts w:eastAsiaTheme="minorEastAsia"/>
        </w:rPr>
        <w:t xml:space="preserve"> additional flexibility</w:t>
      </w:r>
      <w:r>
        <w:rPr>
          <w:rFonts w:eastAsiaTheme="minorEastAsia"/>
        </w:rPr>
        <w:t xml:space="preserve"> into a decision rule based on the calculation of an ICER and prefer the net</w:t>
      </w:r>
      <w:r w:rsidR="00A66305">
        <w:rPr>
          <w:rFonts w:eastAsiaTheme="minorEastAsia"/>
        </w:rPr>
        <w:t xml:space="preserve"> health benefit framework, where net benefit is a variable that can be aggregated, averaged and interpreted on a natural level scale</w:t>
      </w:r>
      <w:r>
        <w:rPr>
          <w:rFonts w:eastAsiaTheme="minorEastAsia"/>
        </w:rPr>
        <w:t>.</w:t>
      </w:r>
      <w:r w:rsidR="00580495">
        <w:rPr>
          <w:rFonts w:eastAsiaTheme="minorEastAsia"/>
        </w:rPr>
        <w:t xml:space="preserve"> Once </w:t>
      </w:r>
      <m:oMath>
        <m:r>
          <w:rPr>
            <w:rFonts w:ascii="Cambria Math" w:hAnsi="Cambria Math"/>
          </w:rPr>
          <m:t>k</m:t>
        </m:r>
      </m:oMath>
      <w:r w:rsidR="00580495">
        <w:rPr>
          <w:rFonts w:eastAsiaTheme="minorEastAsia"/>
        </w:rPr>
        <w:t xml:space="preserve"> is thought of as </w:t>
      </w:r>
      <m:oMath>
        <m:r>
          <w:rPr>
            <w:rFonts w:ascii="Cambria Math" w:hAnsi="Cambria Math"/>
          </w:rPr>
          <m:t>k</m:t>
        </m:r>
        <m:r>
          <w:rPr>
            <w:rFonts w:ascii="Cambria Math" w:eastAsiaTheme="minorEastAsia" w:hAnsi="Cambria Math"/>
          </w:rPr>
          <m:t>(∆C)</m:t>
        </m:r>
      </m:oMath>
      <w:r w:rsidR="00580495">
        <w:rPr>
          <w:rFonts w:eastAsiaTheme="minorEastAsia"/>
        </w:rPr>
        <w:t xml:space="preserve"> there are a number of implications for CEA:</w:t>
      </w:r>
    </w:p>
    <w:p w:rsidR="00580495" w:rsidRDefault="00580495" w:rsidP="00580495">
      <w:pPr>
        <w:pStyle w:val="ListParagraph"/>
        <w:numPr>
          <w:ilvl w:val="0"/>
          <w:numId w:val="1"/>
        </w:numPr>
        <w:rPr>
          <w:rFonts w:eastAsiaTheme="minorEastAsia"/>
        </w:rPr>
      </w:pPr>
      <w:r>
        <w:rPr>
          <w:rFonts w:eastAsiaTheme="minorEastAsia"/>
        </w:rPr>
        <w:t>The scale of budget impact matters</w:t>
      </w:r>
    </w:p>
    <w:p w:rsidR="00580495" w:rsidRDefault="00580495" w:rsidP="00580495">
      <w:pPr>
        <w:pStyle w:val="ListParagraph"/>
        <w:numPr>
          <w:ilvl w:val="0"/>
          <w:numId w:val="1"/>
        </w:numPr>
        <w:rPr>
          <w:rFonts w:eastAsiaTheme="minorEastAsia"/>
        </w:rPr>
      </w:pPr>
      <w:r>
        <w:rPr>
          <w:rFonts w:eastAsiaTheme="minorEastAsia"/>
        </w:rPr>
        <w:t>The time profile of budget impacts matters</w:t>
      </w:r>
      <w:r w:rsidR="00D8124D">
        <w:rPr>
          <w:rFonts w:eastAsiaTheme="minorEastAsia"/>
        </w:rPr>
        <w:t xml:space="preserve"> (the net present value of the incremental cost is not enough)</w:t>
      </w:r>
    </w:p>
    <w:p w:rsidR="00580495" w:rsidRDefault="00580495" w:rsidP="00580495">
      <w:pPr>
        <w:pStyle w:val="ListParagraph"/>
        <w:numPr>
          <w:ilvl w:val="0"/>
          <w:numId w:val="1"/>
        </w:numPr>
        <w:rPr>
          <w:rFonts w:eastAsiaTheme="minorEastAsia"/>
        </w:rPr>
      </w:pPr>
      <w:r>
        <w:rPr>
          <w:rFonts w:eastAsiaTheme="minorEastAsia"/>
        </w:rPr>
        <w:t xml:space="preserve">The uncertainty of budget impacts matter </w:t>
      </w:r>
      <w:r w:rsidR="00D8124D">
        <w:rPr>
          <w:rFonts w:eastAsiaTheme="minorEastAsia"/>
        </w:rPr>
        <w:t>(</w:t>
      </w:r>
      <w:r>
        <w:rPr>
          <w:rFonts w:eastAsiaTheme="minorEastAsia"/>
        </w:rPr>
        <w:t>the expected value</w:t>
      </w:r>
      <w:r w:rsidR="000B7381">
        <w:rPr>
          <w:rFonts w:eastAsiaTheme="minorEastAsia"/>
        </w:rPr>
        <w:t xml:space="preserve"> of the </w:t>
      </w:r>
      <w:r w:rsidR="00D8124D">
        <w:rPr>
          <w:rFonts w:eastAsiaTheme="minorEastAsia"/>
        </w:rPr>
        <w:t>incremental cost is not enough)</w:t>
      </w:r>
    </w:p>
    <w:p w:rsidR="00580495" w:rsidRDefault="00580495" w:rsidP="00580495">
      <w:pPr>
        <w:rPr>
          <w:rFonts w:eastAsiaTheme="minorEastAsia"/>
        </w:rPr>
      </w:pPr>
      <w:r>
        <w:rPr>
          <w:rFonts w:eastAsiaTheme="minorEastAsia"/>
        </w:rPr>
        <w:t xml:space="preserve">All three of these implications mean that CEA that uses </w:t>
      </w:r>
      <m:oMath>
        <m:r>
          <w:rPr>
            <w:rFonts w:ascii="Cambria Math" w:hAnsi="Cambria Math"/>
          </w:rPr>
          <m:t>k</m:t>
        </m:r>
        <m:r>
          <w:rPr>
            <w:rFonts w:ascii="Cambria Math" w:eastAsiaTheme="minorEastAsia" w:hAnsi="Cambria Math"/>
          </w:rPr>
          <m:t>(∆C)</m:t>
        </m:r>
      </m:oMath>
      <w:r>
        <w:rPr>
          <w:rFonts w:eastAsiaTheme="minorEastAsia"/>
        </w:rPr>
        <w:t xml:space="preserve"> rather than </w:t>
      </w:r>
      <m:oMath>
        <m:r>
          <w:rPr>
            <w:rFonts w:ascii="Cambria Math" w:hAnsi="Cambria Math"/>
          </w:rPr>
          <m:t>k</m:t>
        </m:r>
      </m:oMath>
      <w:r>
        <w:rPr>
          <w:rFonts w:eastAsiaTheme="minorEastAsia"/>
        </w:rPr>
        <w:t xml:space="preserve"> should be better able to reflect concerns around affordability that tend to centre on these three issues, compared to the practice of conventional CEA that does not explicitly take any of these factors into account.</w:t>
      </w:r>
    </w:p>
    <w:p w:rsidR="00A832D4" w:rsidRDefault="00580495" w:rsidP="00580495">
      <w:pPr>
        <w:rPr>
          <w:rFonts w:eastAsiaTheme="minorEastAsia"/>
        </w:rPr>
      </w:pPr>
      <w:r>
        <w:rPr>
          <w:rFonts w:eastAsiaTheme="minorEastAsia"/>
        </w:rPr>
        <w:t>In addition to better estimation of health opportunity costs for use in CEA, this paper demonstrates how a number of key quantities can be estimated that can have important policy implicati</w:t>
      </w:r>
      <w:r w:rsidR="00A832D4">
        <w:rPr>
          <w:rFonts w:eastAsiaTheme="minorEastAsia"/>
        </w:rPr>
        <w:t xml:space="preserve">ons for </w:t>
      </w:r>
      <w:r w:rsidR="00EA57AD">
        <w:rPr>
          <w:rFonts w:eastAsiaTheme="minorEastAsia"/>
        </w:rPr>
        <w:t>payment</w:t>
      </w:r>
      <w:r w:rsidR="00A832D4">
        <w:rPr>
          <w:rFonts w:eastAsiaTheme="minorEastAsia"/>
        </w:rPr>
        <w:t xml:space="preserve"> arrangements.</w:t>
      </w:r>
    </w:p>
    <w:p w:rsidR="00580495" w:rsidRPr="00580495" w:rsidRDefault="00580495" w:rsidP="00580495">
      <w:pPr>
        <w:rPr>
          <w:rFonts w:eastAsiaTheme="minorEastAsia"/>
        </w:rPr>
      </w:pPr>
      <w:r>
        <w:rPr>
          <w:rFonts w:eastAsiaTheme="minorEastAsia"/>
        </w:rPr>
        <w:t>The first of these</w:t>
      </w:r>
      <w:r w:rsidR="00D8124D">
        <w:rPr>
          <w:rFonts w:eastAsiaTheme="minorEastAsia"/>
        </w:rPr>
        <w:t xml:space="preserve"> quantities</w:t>
      </w:r>
      <w:r>
        <w:rPr>
          <w:rFonts w:eastAsiaTheme="minorEastAsia"/>
        </w:rPr>
        <w:t xml:space="preserve"> is</w:t>
      </w:r>
      <w:r w:rsidR="00D8124D">
        <w:rPr>
          <w:rFonts w:eastAsiaTheme="minorEastAsia"/>
        </w:rPr>
        <w:t xml:space="preserve"> obtained by</w:t>
      </w:r>
      <w:r>
        <w:rPr>
          <w:rFonts w:eastAsiaTheme="minorEastAsia"/>
        </w:rPr>
        <w:t xml:space="preserve"> comparing the health opportunity costs</w:t>
      </w:r>
      <w:r w:rsidR="00D8124D">
        <w:rPr>
          <w:rFonts w:eastAsiaTheme="minorEastAsia"/>
        </w:rPr>
        <w:t xml:space="preserve"> estimated when</w:t>
      </w:r>
      <w:r>
        <w:rPr>
          <w:rFonts w:eastAsiaTheme="minorEastAsia"/>
        </w:rPr>
        <w:t xml:space="preserve"> </w:t>
      </w:r>
      <m:oMath>
        <m:r>
          <w:rPr>
            <w:rFonts w:ascii="Cambria Math" w:hAnsi="Cambria Math"/>
          </w:rPr>
          <m:t>k</m:t>
        </m:r>
        <m:r>
          <w:rPr>
            <w:rFonts w:ascii="Cambria Math" w:eastAsiaTheme="minorEastAsia" w:hAnsi="Cambria Math"/>
          </w:rPr>
          <m:t>(∆C)</m:t>
        </m:r>
      </m:oMath>
      <w:r>
        <w:rPr>
          <w:rFonts w:eastAsiaTheme="minorEastAsia"/>
        </w:rPr>
        <w:t xml:space="preserve"> </w:t>
      </w:r>
      <w:r w:rsidR="00D8124D">
        <w:rPr>
          <w:rFonts w:eastAsiaTheme="minorEastAsia"/>
        </w:rPr>
        <w:t>is used as opp</w:t>
      </w:r>
      <w:r w:rsidR="00EA57AD">
        <w:rPr>
          <w:rFonts w:eastAsiaTheme="minorEastAsia"/>
        </w:rPr>
        <w:t>osed to a single constant value</w:t>
      </w:r>
      <w:r>
        <w:rPr>
          <w:rFonts w:eastAsiaTheme="minorEastAsia"/>
        </w:rPr>
        <w:t xml:space="preserve"> </w:t>
      </w:r>
      <m:oMath>
        <m:r>
          <w:rPr>
            <w:rFonts w:ascii="Cambria Math" w:hAnsi="Cambria Math"/>
          </w:rPr>
          <m:t>k</m:t>
        </m:r>
      </m:oMath>
      <w:r>
        <w:rPr>
          <w:rFonts w:eastAsiaTheme="minorEastAsia"/>
        </w:rPr>
        <w:t>. This informs the potential gain in health</w:t>
      </w:r>
      <w:r w:rsidR="004F5A5A">
        <w:rPr>
          <w:rFonts w:eastAsiaTheme="minorEastAsia"/>
        </w:rPr>
        <w:t xml:space="preserve"> available to the decision maker</w:t>
      </w:r>
      <w:r>
        <w:rPr>
          <w:rFonts w:eastAsiaTheme="minorEastAsia"/>
        </w:rPr>
        <w:t xml:space="preserve"> </w:t>
      </w:r>
      <w:r w:rsidR="00A832D4">
        <w:rPr>
          <w:rFonts w:eastAsiaTheme="minorEastAsia"/>
        </w:rPr>
        <w:t>by smoothing the budget impact faced by the NHS over time.</w:t>
      </w:r>
      <w:r w:rsidR="004F5A5A">
        <w:rPr>
          <w:rFonts w:eastAsiaTheme="minorEastAsia"/>
        </w:rPr>
        <w:t xml:space="preserve"> </w:t>
      </w:r>
      <w:r w:rsidR="00E95566">
        <w:rPr>
          <w:rFonts w:eastAsiaTheme="minorEastAsia"/>
        </w:rPr>
        <w:t>That is, while t</w:t>
      </w:r>
      <w:r w:rsidR="004F5A5A">
        <w:rPr>
          <w:rFonts w:eastAsiaTheme="minorEastAsia"/>
        </w:rPr>
        <w:t>he decision maker is unable to set their own budget in each time period</w:t>
      </w:r>
      <w:r w:rsidR="00E95566">
        <w:rPr>
          <w:rFonts w:eastAsiaTheme="minorEastAsia"/>
        </w:rPr>
        <w:t xml:space="preserve">, </w:t>
      </w:r>
      <w:r w:rsidR="005A7151">
        <w:rPr>
          <w:rFonts w:eastAsiaTheme="minorEastAsia"/>
        </w:rPr>
        <w:t>they</w:t>
      </w:r>
      <w:r w:rsidR="00E95566">
        <w:rPr>
          <w:rFonts w:eastAsiaTheme="minorEastAsia"/>
        </w:rPr>
        <w:t xml:space="preserve"> may be able to come to an agreement with the manufacturer about how the payment</w:t>
      </w:r>
      <w:r w:rsidR="005A7151">
        <w:rPr>
          <w:rFonts w:eastAsiaTheme="minorEastAsia"/>
        </w:rPr>
        <w:t xml:space="preserve"> for the intervention</w:t>
      </w:r>
      <w:r w:rsidR="00E95566">
        <w:rPr>
          <w:rFonts w:eastAsiaTheme="minorEastAsia"/>
        </w:rPr>
        <w:t xml:space="preserve"> is to be made over time.</w:t>
      </w:r>
      <w:r w:rsidR="00A832D4">
        <w:rPr>
          <w:rFonts w:eastAsiaTheme="minorEastAsia"/>
        </w:rPr>
        <w:t xml:space="preserve"> In the motivating example analysed, using estimates of </w:t>
      </w:r>
      <m:oMath>
        <m:r>
          <w:rPr>
            <w:rFonts w:ascii="Cambria Math" w:hAnsi="Cambria Math"/>
          </w:rPr>
          <m:t>k</m:t>
        </m:r>
        <m:r>
          <w:rPr>
            <w:rFonts w:ascii="Cambria Math" w:eastAsiaTheme="minorEastAsia" w:hAnsi="Cambria Math"/>
          </w:rPr>
          <m:t>(∆C)</m:t>
        </m:r>
      </m:oMath>
      <w:r w:rsidR="00A832D4">
        <w:rPr>
          <w:rFonts w:eastAsiaTheme="minorEastAsia"/>
        </w:rPr>
        <w:t xml:space="preserve"> from </w:t>
      </w:r>
      <w:r w:rsidR="00ED4DD7">
        <w:fldChar w:fldCharType="begin" w:fldLock="1"/>
      </w:r>
      <w:r w:rsidR="00C07CA0">
        <w:instrText>ADDIN CSL_CITATION {"citationItems":[{"id":"ITEM-1","itemData":{"DOI":"10.1016/J.JVAL.2017.10.006","ISSN":"1098-3015","abstract":"Considering whether or not a proposed investment (an intervention, technology, or program of care) is affordable is really asking whether the benefits it offers are greater than its opportunity cost. To say that an investment is cost-effective but not affordable must mean that the (implicit or explicit) “threshold” used to judge cost-effectiveness does not reflect the scale and value of the opportunity costs. Existing empirical estimates of health opportunity costs are based on cross-sectional variation in expenditure and mortality outcomes by program budget categories (PBCs) and do not reflect the likely effect of nonmarginal budget impacts on health opportunity costs. The UK Department of Health regularly updates the needs-based target allocation of resources to local areas of the National Health Service (NHS), creating two subgroups of local areas (those under target allocation and those over). These data provide the opportunity to explore how the effects of changes in health care expenditure differ with available resources. We use 2008–2009 data to evaluate two econometric approaches to estimation and explore a range of criteria for accepting subgroup specific effects for differences in expenditure and outcome elasticities across the 23 PBCs. Our results indicate that health opportunity costs arising from an investment imposing net increases in expenditure are underestimated unless account is taken of likely nonmarginal effects. They also indicate the benefits (reduced health opportunity costs or increased value-based price of a technology) of being able to “smooth” these nonmarginal budget impacts by health care systems borrowing against future budgets or from manufacturers offering “mortgage” type arrangements.","author":[{"dropping-particle":"","family":"Lomas","given":"James","non-dropping-particle":"","parse-names":false,"suffix":""},{"dropping-particle":"","family":"Claxton","given":"Karl","non-dropping-particle":"","parse-names":false,"suffix":""},{"dropping-particle":"","family":"Martin","given":"Stephen","non-dropping-particle":"","parse-names":false,"suffix":""},{"dropping-particle":"","family":"Soares","given":"Marta","non-dropping-particle":"","parse-names":false,"suffix":""}],"container-title":"Value in Health","id":"ITEM-1","issued":{"date-parts":[["2018","1","4"]]},"publisher":"Elsevier","title":"Resolving the “Cost-Effective but Unaffordable” Paradox: Estimating the Health Opportunity Costs of Nonmarginal Budget Impacts","type":"article-journal"},"uris":["http://www.mendeley.com/documents/?uuid=22471ff9-3159-3d63-bd0d-f5f53abc02b8"]}],"mendeley":{"formattedCitation":"&lt;sup&gt;11&lt;/sup&gt;","manualFormatting":"Lomas et al. (2018)","plainTextFormattedCitation":"11","previouslyFormattedCitation":"&lt;sup&gt;11&lt;/sup&gt;"},"properties":{"noteIndex":0},"schema":"https://github.com/citation-style-language/schema/raw/master/csl-citation.json"}</w:instrText>
      </w:r>
      <w:r w:rsidR="00ED4DD7">
        <w:fldChar w:fldCharType="separate"/>
      </w:r>
      <w:r w:rsidR="00ED4DD7" w:rsidRPr="004A599A">
        <w:rPr>
          <w:noProof/>
        </w:rPr>
        <w:t xml:space="preserve">Lomas et al. </w:t>
      </w:r>
      <w:r w:rsidR="00ED4DD7">
        <w:rPr>
          <w:noProof/>
        </w:rPr>
        <w:t>(</w:t>
      </w:r>
      <w:r w:rsidR="00ED4DD7" w:rsidRPr="004A599A">
        <w:rPr>
          <w:noProof/>
        </w:rPr>
        <w:t>2018)</w:t>
      </w:r>
      <w:r w:rsidR="00ED4DD7">
        <w:fldChar w:fldCharType="end"/>
      </w:r>
      <w:r w:rsidR="00A832D4">
        <w:rPr>
          <w:rFonts w:eastAsiaTheme="minorEastAsia"/>
        </w:rPr>
        <w:t xml:space="preserve"> and </w:t>
      </w:r>
      <m:oMath>
        <m:r>
          <w:rPr>
            <w:rFonts w:ascii="Cambria Math" w:hAnsi="Cambria Math"/>
          </w:rPr>
          <m:t>k</m:t>
        </m:r>
      </m:oMath>
      <w:r w:rsidR="00A832D4">
        <w:rPr>
          <w:rFonts w:eastAsiaTheme="minorEastAsia"/>
        </w:rPr>
        <w:t xml:space="preserve"> from </w:t>
      </w:r>
      <w:r w:rsidR="00ED4DD7">
        <w:rPr>
          <w:rFonts w:eastAsiaTheme="minorEastAsia"/>
        </w:rPr>
        <w:fldChar w:fldCharType="begin" w:fldLock="1"/>
      </w:r>
      <w:r w:rsidR="00C07CA0">
        <w:rPr>
          <w:rFonts w:eastAsiaTheme="minorEastAsia"/>
        </w:rPr>
        <w:instrText>ADDIN CSL_CITATION {"citationItems":[{"id":"ITEM-1","itemData":{"DOI":"10.3310/hta19140","ISSN":"2046-4924","PMID":"25692211","abstract":"BACKGROUND: Cost-effectiveness analysis involves the comparison of the incremental cost-effectiveness ratio of a new technology, which is more costly than existing alternatives, with the cost-effectiveness threshold. This indicates whether or not the health expected to be gained from its use exceeds the health expected to be lost elsewhere as other health-care activities are displaced. The threshold therefore represents the additional cost that has to be imposed on the system to forgo 1 quality-adjusted life-year (QALY) of health through displacement. There are no empirical estimates of the cost-effectiveness threshold used by the National Institute for Health and Care Excellence.\n\nOBJECTIVES: (1) To provide a conceptual framework to define the cost-effectiveness threshold and to provide the basis for its empirical estimation. (2) Using programme budgeting data for the English NHS, to estimate the relationship between changes in overall NHS expenditure and changes in mortality. (3) To extend this mortality measure of the health effects of a change in expenditure to life-years and to QALYs by estimating the quality-of-life (QoL) associated with effects on years of life and the additional direct impact on QoL itself. (4) To present the best estimate of the cost-effectiveness threshold for policy purposes.\n\nMETHODS: Earlier econometric analysis estimated the relationship between differences in primary care trust (PCT) spending, across programme budget categories (PBCs), and associated disease-specific mortality. This research is extended in several ways including estimating the impact of marginal increases or decreases in overall NHS expenditure on spending in each of the 23 PBCs. Further stages of work link the econometrics to broader health effects in terms of QALYs.\n\nRESULTS: The most relevant 'central' threshold is estimated to be £12,936 per QALY (2008 expenditure, 2008-10 mortality). Uncertainty analysis indicates that the probability that the threshold is &lt; £20,000 per QALY is 0.89 and the probability that it is &lt; £30,000 per QALY is 0.97. Additional 'structural' uncertainty suggests, on balance, that the central or best estimate is, if anything, likely to be an overestimate. The health effects of changes in expenditure are greater when PCTs are under more financial pressure and are more likely to be disinvesting than investing. This indicates that the central estimate of the threshold is likely to be an overestimate for all technologies which impos…","author":[{"dropping-particle":"","family":"Claxton","given":"Karl","non-dropping-particle":"","parse-names":false,"suffix":""},{"dropping-particle":"","family":"Martin","given":"Steve","non-dropping-particle":"","parse-names":false,"suffix":""},{"dropping-particle":"","family":"Soares","given":"Marta","non-dropping-particle":"","parse-names":false,"suffix":""},{"dropping-particle":"","family":"Rice","given":"Nigel","non-dropping-particle":"","parse-names":false,"suffix":""},{"dropping-particle":"","family":"Spackman","given":"Eldon","non-dropping-particle":"","parse-names":false,"suffix":""},{"dropping-particle":"","family":"Hinde","given":"Sebastian","non-dropping-particle":"","parse-names":false,"suffix":""},{"dropping-particle":"","family":"Devlin","given":"Nancy","non-dropping-particle":"","parse-names":false,"suffix":""},{"dropping-particle":"","family":"Smith","given":"Peter C","non-dropping-particle":"","parse-names":false,"suffix":""},{"dropping-particle":"","family":"Sculpher","given":"Mark","non-dropping-particle":"","parse-names":false,"suffix":""}],"container-title":"Health technology assessment (Winchester, England)","id":"ITEM-1","issued":{"date-parts":[["2015"]]},"title":"Methods for the estimation of the National Institute for Health and Care Excellence cost-effectiveness threshold.","type":"article-journal"},"uris":["http://www.mendeley.com/documents/?uuid=f50897fe-cb16-44b1-a777-9929195db4cb"]}],"mendeley":{"formattedCitation":"&lt;sup&gt;25&lt;/sup&gt;","manualFormatting":"Claxton et al. (2015)","plainTextFormattedCitation":"25","previouslyFormattedCitation":"&lt;sup&gt;25&lt;/sup&gt;"},"properties":{"noteIndex":0},"schema":"https://github.com/citation-style-language/schema/raw/master/csl-citation.json"}</w:instrText>
      </w:r>
      <w:r w:rsidR="00ED4DD7">
        <w:rPr>
          <w:rFonts w:eastAsiaTheme="minorEastAsia"/>
        </w:rPr>
        <w:fldChar w:fldCharType="separate"/>
      </w:r>
      <w:r w:rsidR="00ED4DD7" w:rsidRPr="004A599A">
        <w:rPr>
          <w:rFonts w:eastAsiaTheme="minorEastAsia"/>
          <w:noProof/>
        </w:rPr>
        <w:t xml:space="preserve">Claxton et al. </w:t>
      </w:r>
      <w:r w:rsidR="00ED4DD7">
        <w:rPr>
          <w:rFonts w:eastAsiaTheme="minorEastAsia"/>
          <w:noProof/>
        </w:rPr>
        <w:t>(</w:t>
      </w:r>
      <w:r w:rsidR="00ED4DD7" w:rsidRPr="004A599A">
        <w:rPr>
          <w:rFonts w:eastAsiaTheme="minorEastAsia"/>
          <w:noProof/>
        </w:rPr>
        <w:t>2015)</w:t>
      </w:r>
      <w:r w:rsidR="00ED4DD7">
        <w:rPr>
          <w:rFonts w:eastAsiaTheme="minorEastAsia"/>
        </w:rPr>
        <w:fldChar w:fldCharType="end"/>
      </w:r>
      <w:r w:rsidR="00A832D4">
        <w:rPr>
          <w:rFonts w:eastAsiaTheme="minorEastAsia"/>
        </w:rPr>
        <w:t xml:space="preserve">, it was found that the health opportunity costs from a budget impact of £772mn </w:t>
      </w:r>
      <w:r w:rsidR="00D8124D">
        <w:rPr>
          <w:rFonts w:eastAsiaTheme="minorEastAsia"/>
        </w:rPr>
        <w:t>in</w:t>
      </w:r>
      <w:r w:rsidR="00A832D4">
        <w:rPr>
          <w:rFonts w:eastAsiaTheme="minorEastAsia"/>
        </w:rPr>
        <w:t xml:space="preserve"> year</w:t>
      </w:r>
      <w:r w:rsidR="00D8124D">
        <w:rPr>
          <w:rFonts w:eastAsiaTheme="minorEastAsia"/>
        </w:rPr>
        <w:t xml:space="preserve"> 1</w:t>
      </w:r>
      <w:r w:rsidR="00A832D4">
        <w:rPr>
          <w:rFonts w:eastAsiaTheme="minorEastAsia"/>
        </w:rPr>
        <w:t xml:space="preserve"> were</w:t>
      </w:r>
      <w:r w:rsidR="00EA57AD">
        <w:rPr>
          <w:rFonts w:eastAsiaTheme="minorEastAsia"/>
        </w:rPr>
        <w:t xml:space="preserve"> roughly</w:t>
      </w:r>
      <w:r w:rsidR="00A832D4">
        <w:rPr>
          <w:rFonts w:eastAsiaTheme="minorEastAsia"/>
        </w:rPr>
        <w:t xml:space="preserve"> 4% higher than a comparator with the same net present </w:t>
      </w:r>
      <w:r w:rsidR="00A832D4">
        <w:rPr>
          <w:rFonts w:eastAsiaTheme="minorEastAsia"/>
        </w:rPr>
        <w:lastRenderedPageBreak/>
        <w:t>value budget impact but spread over time such that the budget impacts in each year were marginal. This difference in health provides a valuable input into considering financing arrangements where borrowing to smooth the budget impact would be costly.</w:t>
      </w:r>
      <w:r w:rsidR="00E95566">
        <w:rPr>
          <w:rStyle w:val="FootnoteReference"/>
          <w:rFonts w:eastAsiaTheme="minorEastAsia"/>
        </w:rPr>
        <w:footnoteReference w:id="2"/>
      </w:r>
      <w:r w:rsidR="00D01B66">
        <w:rPr>
          <w:rFonts w:eastAsiaTheme="minorEastAsia"/>
        </w:rPr>
        <w:t xml:space="preserve"> </w:t>
      </w:r>
      <w:bookmarkStart w:id="5" w:name="_Hlk535853445"/>
      <w:r w:rsidR="00D01B66">
        <w:rPr>
          <w:rFonts w:eastAsiaTheme="minorEastAsia"/>
        </w:rPr>
        <w:t>If the costs of smoothing impacts over</w:t>
      </w:r>
      <w:r w:rsidR="005A7151">
        <w:rPr>
          <w:rFonts w:eastAsiaTheme="minorEastAsia"/>
        </w:rPr>
        <w:t xml:space="preserve"> a range of </w:t>
      </w:r>
      <w:r w:rsidR="00D01B66">
        <w:rPr>
          <w:rFonts w:eastAsiaTheme="minorEastAsia"/>
        </w:rPr>
        <w:t>different time horizons</w:t>
      </w:r>
      <w:r w:rsidR="00F869C2">
        <w:rPr>
          <w:rFonts w:eastAsiaTheme="minorEastAsia"/>
        </w:rPr>
        <w:t xml:space="preserve"> were known</w:t>
      </w:r>
      <w:r w:rsidR="00D01B66">
        <w:rPr>
          <w:rFonts w:eastAsiaTheme="minorEastAsia"/>
        </w:rPr>
        <w:t xml:space="preserve"> then these could be used</w:t>
      </w:r>
      <w:r w:rsidR="00F869C2">
        <w:rPr>
          <w:rFonts w:eastAsiaTheme="minorEastAsia"/>
        </w:rPr>
        <w:t>,</w:t>
      </w:r>
      <w:r w:rsidR="00D01B66">
        <w:rPr>
          <w:rFonts w:eastAsiaTheme="minorEastAsia"/>
        </w:rPr>
        <w:t xml:space="preserve"> in conjunction with the value of</w:t>
      </w:r>
      <w:r w:rsidR="002A5C94">
        <w:rPr>
          <w:rFonts w:eastAsiaTheme="minorEastAsia"/>
        </w:rPr>
        <w:t xml:space="preserve"> different</w:t>
      </w:r>
      <w:r w:rsidR="00D01B66">
        <w:rPr>
          <w:rFonts w:eastAsiaTheme="minorEastAsia"/>
        </w:rPr>
        <w:t xml:space="preserve"> smoothing</w:t>
      </w:r>
      <w:r w:rsidR="002A5C94">
        <w:rPr>
          <w:rFonts w:eastAsiaTheme="minorEastAsia"/>
        </w:rPr>
        <w:t xml:space="preserve"> arrangements</w:t>
      </w:r>
      <w:r w:rsidR="00D01B66">
        <w:rPr>
          <w:rFonts w:eastAsiaTheme="minorEastAsia"/>
        </w:rPr>
        <w:t xml:space="preserve"> derived using the framework in this paper</w:t>
      </w:r>
      <w:r w:rsidR="00F869C2">
        <w:rPr>
          <w:rFonts w:eastAsiaTheme="minorEastAsia"/>
        </w:rPr>
        <w:t>,</w:t>
      </w:r>
      <w:r w:rsidR="00D01B66">
        <w:rPr>
          <w:rFonts w:eastAsiaTheme="minorEastAsia"/>
        </w:rPr>
        <w:t xml:space="preserve"> to ascertain the optimal time horizon over which costs are spread.</w:t>
      </w:r>
      <w:bookmarkEnd w:id="5"/>
      <w:r w:rsidR="00D01B66">
        <w:rPr>
          <w:rFonts w:eastAsiaTheme="minorEastAsia"/>
        </w:rPr>
        <w:t xml:space="preserve"> </w:t>
      </w:r>
      <w:r w:rsidR="00A832D4">
        <w:rPr>
          <w:rFonts w:eastAsiaTheme="minorEastAsia"/>
        </w:rPr>
        <w:t>While 4% may seem a somewhat modest difference</w:t>
      </w:r>
      <w:r w:rsidR="00F869C2">
        <w:rPr>
          <w:rFonts w:eastAsiaTheme="minorEastAsia"/>
        </w:rPr>
        <w:t xml:space="preserve"> between the two most extreme time horizons presented here</w:t>
      </w:r>
      <w:r w:rsidR="00A832D4">
        <w:rPr>
          <w:rFonts w:eastAsiaTheme="minorEastAsia"/>
        </w:rPr>
        <w:t>, it is important to note that the effects could be greater in magnitude for different contexts,</w:t>
      </w:r>
      <w:r w:rsidR="00175FA3">
        <w:rPr>
          <w:rFonts w:eastAsiaTheme="minorEastAsia"/>
        </w:rPr>
        <w:t xml:space="preserve"> profile</w:t>
      </w:r>
      <w:r w:rsidR="002B2ECE">
        <w:rPr>
          <w:rFonts w:eastAsiaTheme="minorEastAsia"/>
        </w:rPr>
        <w:t>s</w:t>
      </w:r>
      <w:r w:rsidR="00175FA3">
        <w:rPr>
          <w:rFonts w:eastAsiaTheme="minorEastAsia"/>
        </w:rPr>
        <w:t xml:space="preserve"> of</w:t>
      </w:r>
      <w:r w:rsidR="00A832D4">
        <w:rPr>
          <w:rFonts w:eastAsiaTheme="minorEastAsia"/>
        </w:rPr>
        <w:t xml:space="preserve"> budget impacts and estimates of </w:t>
      </w:r>
      <m:oMath>
        <m:r>
          <w:rPr>
            <w:rFonts w:ascii="Cambria Math" w:hAnsi="Cambria Math"/>
          </w:rPr>
          <m:t>k</m:t>
        </m:r>
      </m:oMath>
      <w:r w:rsidR="00A832D4">
        <w:rPr>
          <w:rFonts w:eastAsiaTheme="minorEastAsia"/>
        </w:rPr>
        <w:t xml:space="preserve"> and </w:t>
      </w:r>
      <m:oMath>
        <m:r>
          <w:rPr>
            <w:rFonts w:ascii="Cambria Math" w:hAnsi="Cambria Math"/>
          </w:rPr>
          <m:t>k</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oMath>
    </w:p>
    <w:p w:rsidR="00175FA3" w:rsidRDefault="00A832D4">
      <w:pPr>
        <w:rPr>
          <w:rFonts w:eastAsiaTheme="minorEastAsia"/>
        </w:rPr>
      </w:pPr>
      <w:r>
        <w:rPr>
          <w:rFonts w:eastAsiaTheme="minorEastAsia"/>
        </w:rPr>
        <w:t xml:space="preserve">The second quantity that can be calculated in a similar manner is calculated by comparing the health opportunity costs of a certain budget impact </w:t>
      </w:r>
      <w:r w:rsidR="002B2ECE">
        <w:rPr>
          <w:rFonts w:eastAsiaTheme="minorEastAsia"/>
        </w:rPr>
        <w:t>with the health opportunity costs of</w:t>
      </w:r>
      <w:r>
        <w:rPr>
          <w:rFonts w:eastAsiaTheme="minorEastAsia"/>
        </w:rPr>
        <w:t xml:space="preserve"> an uncertain budget impact. In the motivating example illustrated in this paper, again the difference is quite modest at </w:t>
      </w:r>
      <w:r w:rsidR="00175FA3">
        <w:rPr>
          <w:rFonts w:eastAsiaTheme="minorEastAsia"/>
        </w:rPr>
        <w:t>0.3% but this may vary</w:t>
      </w:r>
      <w:r w:rsidR="002B2ECE">
        <w:rPr>
          <w:rFonts w:eastAsiaTheme="minorEastAsia"/>
        </w:rPr>
        <w:t xml:space="preserve"> depending upon the context,</w:t>
      </w:r>
      <w:r w:rsidR="00175FA3">
        <w:rPr>
          <w:rFonts w:eastAsiaTheme="minorEastAsia"/>
        </w:rPr>
        <w:t xml:space="preserve"> uncertainty distribution of budget impact and estimates of </w:t>
      </w:r>
      <m:oMath>
        <m:r>
          <w:rPr>
            <w:rFonts w:ascii="Cambria Math" w:hAnsi="Cambria Math"/>
          </w:rPr>
          <m:t>k</m:t>
        </m:r>
      </m:oMath>
      <w:r w:rsidR="00175FA3">
        <w:rPr>
          <w:rFonts w:eastAsiaTheme="minorEastAsia"/>
        </w:rPr>
        <w:t xml:space="preserve"> and </w:t>
      </w:r>
      <m:oMath>
        <m:r>
          <w:rPr>
            <w:rFonts w:ascii="Cambria Math" w:hAnsi="Cambria Math"/>
          </w:rPr>
          <m:t>k</m:t>
        </m:r>
        <m:d>
          <m:dPr>
            <m:ctrlPr>
              <w:rPr>
                <w:rFonts w:ascii="Cambria Math" w:eastAsiaTheme="minorEastAsia" w:hAnsi="Cambria Math"/>
                <w:i/>
              </w:rPr>
            </m:ctrlPr>
          </m:dPr>
          <m:e>
            <m:r>
              <w:rPr>
                <w:rFonts w:ascii="Cambria Math" w:eastAsiaTheme="minorEastAsia" w:hAnsi="Cambria Math"/>
              </w:rPr>
              <m:t>∆C</m:t>
            </m:r>
          </m:e>
        </m:d>
        <m:r>
          <w:rPr>
            <w:rFonts w:ascii="Cambria Math" w:eastAsiaTheme="minorEastAsia" w:hAnsi="Cambria Math"/>
          </w:rPr>
          <m:t>.</m:t>
        </m:r>
      </m:oMath>
      <w:r w:rsidR="00175FA3">
        <w:rPr>
          <w:rFonts w:eastAsiaTheme="minorEastAsia"/>
        </w:rPr>
        <w:t xml:space="preserve"> This quantity could also be used to inform financial arrangements in negotiating sharing of financial risk between the health care payer and the manufacturer of the new intervention. This paper has shown that</w:t>
      </w:r>
      <w:r w:rsidR="00EA57AD">
        <w:rPr>
          <w:rFonts w:eastAsiaTheme="minorEastAsia"/>
        </w:rPr>
        <w:t>, even in the context of a risk-</w:t>
      </w:r>
      <w:r w:rsidR="00175FA3">
        <w:rPr>
          <w:rFonts w:eastAsiaTheme="minorEastAsia"/>
        </w:rPr>
        <w:t>neutral health-maximising decision maker, the distribution of</w:t>
      </w:r>
      <w:r w:rsidR="002B2ECE">
        <w:rPr>
          <w:rFonts w:eastAsiaTheme="minorEastAsia"/>
        </w:rPr>
        <w:t xml:space="preserve"> the mean incremental cost</w:t>
      </w:r>
      <w:r w:rsidR="00175FA3">
        <w:rPr>
          <w:rFonts w:eastAsiaTheme="minorEastAsia"/>
        </w:rPr>
        <w:t xml:space="preserve"> </w:t>
      </w:r>
      <w:r w:rsidR="002B2ECE">
        <w:rPr>
          <w:rFonts w:eastAsiaTheme="minorEastAsia"/>
        </w:rPr>
        <w:t>(</w:t>
      </w:r>
      <m:oMath>
        <m:r>
          <w:rPr>
            <w:rFonts w:ascii="Cambria Math" w:eastAsiaTheme="minorEastAsia" w:hAnsi="Cambria Math"/>
          </w:rPr>
          <m:t>∆C</m:t>
        </m:r>
      </m:oMath>
      <w:r w:rsidR="002B2ECE">
        <w:rPr>
          <w:rFonts w:eastAsiaTheme="minorEastAsia"/>
        </w:rPr>
        <w:t>)</w:t>
      </w:r>
      <w:r w:rsidR="00175FA3">
        <w:rPr>
          <w:rFonts w:eastAsiaTheme="minorEastAsia"/>
        </w:rPr>
        <w:t xml:space="preserve"> and not just its expected value are </w:t>
      </w:r>
      <w:r w:rsidR="00EA57AD">
        <w:rPr>
          <w:rFonts w:eastAsiaTheme="minorEastAsia"/>
        </w:rPr>
        <w:t>relevant</w:t>
      </w:r>
      <w:r w:rsidR="00175FA3">
        <w:rPr>
          <w:rFonts w:eastAsiaTheme="minorEastAsia"/>
        </w:rPr>
        <w:t xml:space="preserve">. </w:t>
      </w:r>
      <w:r w:rsidR="00EA57AD">
        <w:rPr>
          <w:rFonts w:eastAsiaTheme="minorEastAsia"/>
        </w:rPr>
        <w:t>P</w:t>
      </w:r>
      <w:r w:rsidR="00175FA3">
        <w:rPr>
          <w:rFonts w:eastAsiaTheme="minorEastAsia"/>
        </w:rPr>
        <w:t>revious work in health economics that discussed</w:t>
      </w:r>
      <w:r w:rsidR="00EA57AD">
        <w:rPr>
          <w:rFonts w:eastAsiaTheme="minorEastAsia"/>
        </w:rPr>
        <w:t xml:space="preserve"> the relevance of</w:t>
      </w:r>
      <w:r w:rsidR="00175FA3">
        <w:rPr>
          <w:rFonts w:eastAsiaTheme="minorEastAsia"/>
        </w:rPr>
        <w:t xml:space="preserve"> the distribution of </w:t>
      </w:r>
      <m:oMath>
        <m:r>
          <w:rPr>
            <w:rFonts w:ascii="Cambria Math" w:eastAsiaTheme="minorEastAsia" w:hAnsi="Cambria Math"/>
          </w:rPr>
          <m:t>∆C</m:t>
        </m:r>
      </m:oMath>
      <w:r w:rsidR="00175FA3">
        <w:rPr>
          <w:rFonts w:eastAsiaTheme="minorEastAsia"/>
        </w:rPr>
        <w:t xml:space="preserve"> </w:t>
      </w:r>
      <w:r w:rsidR="00EA57AD">
        <w:rPr>
          <w:rFonts w:eastAsiaTheme="minorEastAsia"/>
        </w:rPr>
        <w:t>considered risk-</w:t>
      </w:r>
      <w:r w:rsidR="00175FA3">
        <w:rPr>
          <w:rFonts w:eastAsiaTheme="minorEastAsia"/>
        </w:rPr>
        <w:t>averse social decision makers</w:t>
      </w:r>
      <w:r w:rsidR="00EA57AD">
        <w:rPr>
          <w:rFonts w:eastAsiaTheme="minorEastAsia"/>
        </w:rPr>
        <w:t>.</w:t>
      </w:r>
      <w:r w:rsidR="00ED4DD7">
        <w:rPr>
          <w:rFonts w:eastAsiaTheme="minorEastAsia"/>
        </w:rPr>
        <w:fldChar w:fldCharType="begin" w:fldLock="1"/>
      </w:r>
      <w:r w:rsidR="00F30B0B">
        <w:rPr>
          <w:rFonts w:eastAsiaTheme="minorEastAsia"/>
        </w:rPr>
        <w:instrText>ADDIN CSL_CITATION {"citationItems":[{"id":"ITEM-1","itemData":{"DOI":"10.2307/3767027","abstract":"Background. Current principles of cost-effectiveness analysis emphasize the rank ordering of programs by expected economic return (eg, quality-adjusted life-years gained per dollar expended). This criterion ignores the variance associated with the cost-effectiveness of a program, yet variance is a common measure of risk when financial investment options are appraised. Variation in health care program return is likely to be a criterion of program selection for health care managers with fixed budgets and outcome performance targets. Methods. Characterizing health care resource allocation as a risky investment problem, we show how concepts of portfolio analysis from financial economics can be adopted as a conceptual framework for presenting cost-effectiveness data from multiple programs as mean-variance data. Results. Two specific propositions emerge: (1) the current convention of ranking programs by expected return is a special case of the portfolio selection problem in which the decision maker is assumed to be indifferent to risk, and (2) for risk-averse decision makers, the degree of joint risk or covariation in cost-effectiveness between programs will create incentives to diversify an investment portfolio. Conclusions. The conventional normative assumption of risk neutrality for social-level public investment decisions does not apply to a large number of health care resource allocation decisions in which health care managers seek to maximize returns subject to budget constraints and performance targets. Portfolio theory offers a useful framework for studying mean-variance tradeoffs in cost-effectiveness and offers some positive predictions (and explanations) of actual decision making in the health care sector.","author":[{"dropping-particle":"","family":"O'Brien","given":"Bernie J.","non-dropping-particle":"","parse-names":false,"suffix":""},{"dropping-particle":"","family":"Sculpher","given":"Mark J.","non-dropping-particle":"","parse-names":false,"suffix":""}],"container-title":"Medical Care","id":"ITEM-1","issued":{"date-parts":[["2000"]]},"page":"460-468","publisher":"Lippincott Williams &amp; Wilkins","title":"Building Uncertainty into Cost-Effectiveness Rankings: Portfolio Risk-Return Tradeoffs and Implications for Decision Rules","type":"article-journal","volume":"38"},"uris":["http://www.mendeley.com/documents/?uuid=c4ca1042-e5fd-382e-9a25-d9aaaf02bcfa"]},{"id":"ITEM-2","itemData":{"ISSN":"1057-9230","PMID":"11550291","abstract":"This paper discusses why, in a medical context, the standard assumption of a risk-neutral social planner is inappropriate and develops a framework for conducting cost-effectiveness (CE) analysis when social planners are risk-averse. This framework demonstrates that if new medical interventions are variance increasing (decreasing), the risk-neutral approach will approve (reject) projects that should be rejected (accepted). This methodology is applied to two medical interventions that have been previously evaluated and considered cost-effective in the published literature. Since both conclusions assumed risk neutrality we determine the level of societal risk-aversion that would be necessary to reject these new interventions and compare these levels to previous estimates of risk-aversion in the economics literature. We find that for reasonable values of the risk-aversion parameter, only one of the two interventions should be approved. It is our recommendation that the cut-off risk aversion parameter (the level of risk-aversion above which a project would be rejected) should become a standard reported figure in future CE studies.","author":[{"dropping-particle":"","family":"Zivin","given":"J G","non-dropping-particle":"","parse-names":false,"suffix":""}],"container-title":"Health economics","id":"ITEM-2","issue":"6","issued":{"date-parts":[["2001","9"]]},"page":"499-508","title":"Cost-effectiveness analysis with risk aversion.","type":"article-journal","volume":"10"},"uris":["http://www.mendeley.com/documents/?uuid=1a8c271c-2d7e-3136-830d-fce90f39698c"]},{"id":"ITEM-3","itemData":{"DOI":"10.1080/1369857042000275669","ISSN":"1369-8575","abstract":"While a number of health economists have recently applied portfolio theory to the economic evaluation of health care, its importance for resource allocation and medical decision making has not been well illustrated. Portfolio theory is concerned with optimal investment strategies, based on both return and risk, and demonstrates the potential benefits from pooling different investments into a single portfolio. Portfolio theory differs from other methods that focus on risk in medicine as it focuses on the variance around the mean for a single aggregated health outcome measure. This paper demonstrates the importance of using a portfolio theory framework when evaluating a number of health interventions from the perspective of a representative individual and it expands upon the existing literature on portfolio theory in several ways. First, it highlights the importance of distinguishing between risk and uncertainty. Next, it demonstrates that portfolio theory has implications for all types of statistical analy...","author":[{"dropping-particle":"","family":"Bridges","given":"John","non-dropping-particle":"","parse-names":false,"suffix":""}],"container-title":"Health, Risk &amp; Society","id":"ITEM-3","issue":"3","issued":{"date-parts":[["2004","9"]]},"page":"257-275","publisher":" Taylor &amp; Francis Group ","title":"Understanding the risks associated with resource allocation decisions in health: An illustration of the importance of portfolio theory","type":"article-journal","volume":"6"},"uris":["http://www.mendeley.com/documents/?uuid=5169fc3b-6cc7-3655-93cf-186dab5e4c25"]},{"id":"ITEM-4","itemData":{"abstract":"This comprehensive collection brings together more than 50 contributions from some of the most influential researchers in health economics. It authoritatively covers theoretical and empirical issues in health economics, with a balanced range of material on equity and efficiency in health care systems, health technology assessment and issues of concern for developing countries. This thoroughly revised second edition is expanded to include four new chapters, while all existing chapters have been extensively updated.","author":[{"dropping-particle":"","family":"Vanness","given":"David J.","non-dropping-particle":"","parse-names":false,"suffix":""},{"dropping-particle":"","family":"Mullahy","given":"John","non-dropping-particle":"","parse-names":false,"suffix":""}],"chapter-number":"52","container-title":" The Elgar Companion to Health Economics","edition":"Second","editor":[{"dropping-particle":"","family":"Jones","given":"A. M.","non-dropping-particle":"","parse-names":false,"suffix":""}],"id":"ITEM-4","issued":{"date-parts":[["2012"]]},"publisher":"Edward Elgar Publishing","title":"Moving Beyond Mean-based Evaluation of Health Care","type":"chapter"},"uris":["http://www.mendeley.com/documents/?uuid=dff9984e-3223-385f-aa64-70aa806eea1d"]}],"mendeley":{"formattedCitation":"&lt;sup&gt;28–31&lt;/sup&gt;","plainTextFormattedCitation":"28–31","previouslyFormattedCitation":"&lt;sup&gt;28–31&lt;/sup&gt;"},"properties":{"noteIndex":0},"schema":"https://github.com/citation-style-language/schema/raw/master/csl-citation.json"}</w:instrText>
      </w:r>
      <w:r w:rsidR="00ED4DD7">
        <w:rPr>
          <w:rFonts w:eastAsiaTheme="minorEastAsia"/>
        </w:rPr>
        <w:fldChar w:fldCharType="separate"/>
      </w:r>
      <w:r w:rsidR="00F30B0B" w:rsidRPr="00F30B0B">
        <w:rPr>
          <w:rFonts w:eastAsiaTheme="minorEastAsia"/>
          <w:noProof/>
          <w:vertAlign w:val="superscript"/>
        </w:rPr>
        <w:t>28–31</w:t>
      </w:r>
      <w:r w:rsidR="00ED4DD7">
        <w:rPr>
          <w:rFonts w:eastAsiaTheme="minorEastAsia"/>
        </w:rPr>
        <w:fldChar w:fldCharType="end"/>
      </w:r>
      <w:r w:rsidR="00175FA3">
        <w:rPr>
          <w:rFonts w:eastAsiaTheme="minorEastAsia"/>
        </w:rPr>
        <w:t xml:space="preserve"> In any case, </w:t>
      </w:r>
      <w:r w:rsidR="000B7381">
        <w:rPr>
          <w:rFonts w:eastAsiaTheme="minorEastAsia"/>
        </w:rPr>
        <w:t>more thought may need to be given to the</w:t>
      </w:r>
      <w:r w:rsidR="00175FA3">
        <w:rPr>
          <w:rFonts w:eastAsiaTheme="minorEastAsia"/>
        </w:rPr>
        <w:t xml:space="preserve"> distribution</w:t>
      </w:r>
      <w:r w:rsidR="000B7381">
        <w:rPr>
          <w:rFonts w:eastAsiaTheme="minorEastAsia"/>
        </w:rPr>
        <w:t xml:space="preserve"> assigned to mean costs, which</w:t>
      </w:r>
      <w:r w:rsidR="00175FA3">
        <w:rPr>
          <w:rFonts w:eastAsiaTheme="minorEastAsia"/>
        </w:rPr>
        <w:t xml:space="preserve"> may require statistical techniques</w:t>
      </w:r>
      <w:r w:rsidR="000B7381">
        <w:rPr>
          <w:rFonts w:eastAsiaTheme="minorEastAsia"/>
        </w:rPr>
        <w:t xml:space="preserve"> focused on understanding the distribution of the underlying data</w:t>
      </w:r>
      <w:r w:rsidR="00175FA3">
        <w:rPr>
          <w:rFonts w:eastAsiaTheme="minorEastAsia"/>
        </w:rPr>
        <w:t xml:space="preserve"> previously unused in economic evaluation such as those discussed and compared </w:t>
      </w:r>
      <w:r w:rsidR="00EA57AD">
        <w:rPr>
          <w:rFonts w:eastAsiaTheme="minorEastAsia"/>
        </w:rPr>
        <w:t>elsewhere</w:t>
      </w:r>
      <w:r w:rsidR="00EA57AD">
        <w:rPr>
          <w:rFonts w:eastAsiaTheme="minorEastAsia"/>
        </w:rPr>
        <w:fldChar w:fldCharType="begin" w:fldLock="1"/>
      </w:r>
      <w:r w:rsidR="00F30B0B">
        <w:rPr>
          <w:rFonts w:eastAsiaTheme="minorEastAsia"/>
        </w:rPr>
        <w:instrText>ADDIN CSL_CITATION {"citationItems":[{"id":"ITEM-1","itemData":{"DOI":"10.1002/hec.3178","ISSN":"10991050 10579230","abstract":"© 2015 John Wiley &amp; Sons, Ltd. Understanding the data generating process behind healthcare costs remains a key empirical issue. Although much research to date has focused on the prediction of the conditional mean cost, this can potentially miss important features of the full distribution such as tail probabilities. We conduct a quasi-Monte Carlo experiment using the English National Health Service inpatient data to compare 14 approaches in modelling the distribution of healthcare costs: nine of which are parametric and have commonly been used to fit healthcare costs, and five others are designed specifically to construct a counterfactual distribution. Our results indicate that no one method is clearly dominant and that there is a trade-off between bias and precision of tail probability forecasts. We find that distributional methods demonstrate significant potential, particularly with larger sample sizes where the variability of predictions is reduced. Parametric distributions such as log-normal, generalised gamma and generalised beta of the second kind are found to estimate tail probabilities with high precision but with varying bias depending upon the cost threshold being considered.","author":[{"dropping-particle":"","family":"Jones","given":"A.M.","non-dropping-particle":"","parse-names":false,"suffix":""},{"dropping-particle":"","family":"Lomas","given":"J.","non-dropping-particle":"","parse-names":false,"suffix":""},{"dropping-particle":"","family":"Rice","given":"N.","non-dropping-particle":"","parse-names":false,"suffix":""}],"container-title":"Health Economics (United Kingdom)","id":"ITEM-1","issue":"9","issued":{"date-parts":[["2015"]]},"page":"1192-1212","title":"Healthcare Cost Regressions: Going beyond the Mean to Estimate the Full Distribution","type":"article-journal","volume":"24"},"uris":["http://www.mendeley.com/documents/?uuid=484bef07-5f6b-379b-93c6-ffddc053621e"]}],"mendeley":{"formattedCitation":"&lt;sup&gt;32&lt;/sup&gt;","plainTextFormattedCitation":"32","previouslyFormattedCitation":"&lt;sup&gt;32&lt;/sup&gt;"},"properties":{"noteIndex":0},"schema":"https://github.com/citation-style-language/schema/raw/master/csl-citation.json"}</w:instrText>
      </w:r>
      <w:r w:rsidR="00EA57AD">
        <w:rPr>
          <w:rFonts w:eastAsiaTheme="minorEastAsia"/>
        </w:rPr>
        <w:fldChar w:fldCharType="separate"/>
      </w:r>
      <w:r w:rsidR="00F30B0B" w:rsidRPr="00F30B0B">
        <w:rPr>
          <w:rFonts w:eastAsiaTheme="minorEastAsia"/>
          <w:noProof/>
          <w:vertAlign w:val="superscript"/>
        </w:rPr>
        <w:t>32</w:t>
      </w:r>
      <w:r w:rsidR="00EA57AD">
        <w:rPr>
          <w:rFonts w:eastAsiaTheme="minorEastAsia"/>
        </w:rPr>
        <w:fldChar w:fldCharType="end"/>
      </w:r>
      <w:r w:rsidR="00664FA7">
        <w:rPr>
          <w:rFonts w:eastAsiaTheme="minorEastAsia"/>
        </w:rPr>
        <w:t xml:space="preserve"> </w:t>
      </w:r>
      <w:r w:rsidR="00175FA3">
        <w:rPr>
          <w:rFonts w:eastAsiaTheme="minorEastAsia"/>
        </w:rPr>
        <w:t>and other approaches used within actuarial sciences.</w:t>
      </w:r>
    </w:p>
    <w:p w:rsidR="00D966E3" w:rsidRDefault="00D966E3" w:rsidP="00D966E3">
      <w:pPr>
        <w:pStyle w:val="Heading2"/>
        <w:rPr>
          <w:rFonts w:eastAsiaTheme="minorEastAsia"/>
        </w:rPr>
      </w:pPr>
      <w:r>
        <w:rPr>
          <w:rFonts w:eastAsiaTheme="minorEastAsia"/>
        </w:rPr>
        <w:t>Conclusion</w:t>
      </w:r>
    </w:p>
    <w:p w:rsidR="005E12F1" w:rsidRDefault="00175FA3">
      <w:pPr>
        <w:rPr>
          <w:rFonts w:eastAsiaTheme="minorEastAsia"/>
        </w:rPr>
      </w:pPr>
      <w:r>
        <w:rPr>
          <w:rFonts w:eastAsiaTheme="minorEastAsia"/>
        </w:rPr>
        <w:t xml:space="preserve">We have shown in this paper that some of the concerns outlined in </w:t>
      </w:r>
      <w:r w:rsidR="00C1509F">
        <w:rPr>
          <w:rFonts w:eastAsiaTheme="minorEastAsia"/>
        </w:rPr>
        <w:t>the literature</w:t>
      </w:r>
      <w:r w:rsidR="00664FA7">
        <w:rPr>
          <w:rFonts w:eastAsiaTheme="minorEastAsia"/>
        </w:rPr>
        <w:t xml:space="preserve"> </w:t>
      </w:r>
      <w:r>
        <w:rPr>
          <w:rFonts w:eastAsiaTheme="minorEastAsia"/>
        </w:rPr>
        <w:t>about the conduct of conventional CEA are valid. CEA does not typically explicitly account for the distribution of costs, nor is an appropriate ‘threshold’ used that reflect</w:t>
      </w:r>
      <w:r w:rsidR="00D966E3">
        <w:rPr>
          <w:rFonts w:eastAsiaTheme="minorEastAsia"/>
        </w:rPr>
        <w:t>s</w:t>
      </w:r>
      <w:r>
        <w:rPr>
          <w:rFonts w:eastAsiaTheme="minorEastAsia"/>
        </w:rPr>
        <w:t xml:space="preserve"> opportunity costs and how they vary for different sized budget impacts. Rather than </w:t>
      </w:r>
      <w:r w:rsidR="00D966E3">
        <w:rPr>
          <w:rFonts w:eastAsiaTheme="minorEastAsia"/>
        </w:rPr>
        <w:t>suggesting that CEA should not reflect these matters, we here present a framework for CEA that means that the scale, time profile and uncertainty of budget impacts do matter and are explicitly incorporated through the effects that they each h</w:t>
      </w:r>
      <w:r w:rsidR="002B2ECE">
        <w:rPr>
          <w:rFonts w:eastAsiaTheme="minorEastAsia"/>
        </w:rPr>
        <w:t>ave on health opportunity costs.</w:t>
      </w:r>
    </w:p>
    <w:p w:rsidR="005E12F1" w:rsidRDefault="005E12F1" w:rsidP="005E12F1">
      <w:pPr>
        <w:pStyle w:val="Heading2"/>
      </w:pPr>
      <w:r>
        <w:t>Acknowledgements</w:t>
      </w:r>
    </w:p>
    <w:p w:rsidR="005E12F1" w:rsidRPr="00776D6E" w:rsidRDefault="005E12F1" w:rsidP="005E12F1">
      <w:r>
        <w:t>I am extremely grateful to Karl Claxton for his insightful discussions regarding this research. In addition, I would like to thank participants at the June 2018 Manchester Centre for Health Economics Seminar for their feedback on an earlier version of this work.</w:t>
      </w:r>
    </w:p>
    <w:p w:rsidR="004A599A" w:rsidRDefault="004A599A">
      <w:r>
        <w:br w:type="page"/>
      </w:r>
    </w:p>
    <w:p w:rsidR="004A599A" w:rsidRDefault="004A599A" w:rsidP="004A599A">
      <w:pPr>
        <w:pStyle w:val="Heading2"/>
      </w:pPr>
      <w:r>
        <w:lastRenderedPageBreak/>
        <w:t>References</w:t>
      </w:r>
    </w:p>
    <w:p w:rsidR="00F30B0B" w:rsidRPr="00F30B0B" w:rsidRDefault="004A599A" w:rsidP="00F30B0B">
      <w:pPr>
        <w:widowControl w:val="0"/>
        <w:autoSpaceDE w:val="0"/>
        <w:autoSpaceDN w:val="0"/>
        <w:adjustRightInd w:val="0"/>
        <w:spacing w:line="240" w:lineRule="auto"/>
        <w:ind w:left="640" w:hanging="640"/>
        <w:rPr>
          <w:rFonts w:ascii="Calibri" w:hAnsi="Calibri" w:cs="Times New Roman"/>
          <w:noProof/>
          <w:szCs w:val="24"/>
        </w:rPr>
      </w:pPr>
      <w:r>
        <w:fldChar w:fldCharType="begin" w:fldLock="1"/>
      </w:r>
      <w:r>
        <w:instrText xml:space="preserve">ADDIN Mendeley Bibliography CSL_BIBLIOGRAPHY </w:instrText>
      </w:r>
      <w:r>
        <w:fldChar w:fldCharType="separate"/>
      </w:r>
      <w:r w:rsidR="00F30B0B" w:rsidRPr="00F30B0B">
        <w:rPr>
          <w:rFonts w:ascii="Calibri" w:hAnsi="Calibri" w:cs="Times New Roman"/>
          <w:noProof/>
          <w:szCs w:val="24"/>
        </w:rPr>
        <w:t xml:space="preserve">1. </w:t>
      </w:r>
      <w:r w:rsidR="00F30B0B" w:rsidRPr="00F30B0B">
        <w:rPr>
          <w:rFonts w:ascii="Calibri" w:hAnsi="Calibri" w:cs="Times New Roman"/>
          <w:noProof/>
          <w:szCs w:val="24"/>
        </w:rPr>
        <w:tab/>
        <w:t xml:space="preserve">Bilinski A, Neumann P, Cohen J, Thorat T, McDaniel K, Salomon JA. When cost-effective interventions are unaffordable: Integrating cost-effectiveness and budget impact in priority setting for global health programs. </w:t>
      </w:r>
      <w:r w:rsidR="00F30B0B" w:rsidRPr="00F30B0B">
        <w:rPr>
          <w:rFonts w:ascii="Calibri" w:hAnsi="Calibri" w:cs="Times New Roman"/>
          <w:i/>
          <w:iCs/>
          <w:noProof/>
          <w:szCs w:val="24"/>
        </w:rPr>
        <w:t>PLOS Med</w:t>
      </w:r>
      <w:r w:rsidR="00F30B0B" w:rsidRPr="00F30B0B">
        <w:rPr>
          <w:rFonts w:ascii="Calibri" w:hAnsi="Calibri" w:cs="Times New Roman"/>
          <w:noProof/>
          <w:szCs w:val="24"/>
        </w:rPr>
        <w:t>. 2017;14(10):e1002397. doi:10.1371/journal.pmed.1002397</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 </w:t>
      </w:r>
      <w:r w:rsidRPr="00F30B0B">
        <w:rPr>
          <w:rFonts w:ascii="Calibri" w:hAnsi="Calibri" w:cs="Times New Roman"/>
          <w:noProof/>
          <w:szCs w:val="24"/>
        </w:rPr>
        <w:tab/>
        <w:t xml:space="preserve">Charlton V, Littlejohns P, Kieslich K, et al. Cost effective but unaffordable: an emerging challenge for health systems. </w:t>
      </w:r>
      <w:r w:rsidRPr="00F30B0B">
        <w:rPr>
          <w:rFonts w:ascii="Calibri" w:hAnsi="Calibri" w:cs="Times New Roman"/>
          <w:i/>
          <w:iCs/>
          <w:noProof/>
          <w:szCs w:val="24"/>
        </w:rPr>
        <w:t>BMJ</w:t>
      </w:r>
      <w:r w:rsidRPr="00F30B0B">
        <w:rPr>
          <w:rFonts w:ascii="Calibri" w:hAnsi="Calibri" w:cs="Times New Roman"/>
          <w:noProof/>
          <w:szCs w:val="24"/>
        </w:rPr>
        <w:t>. 2017;356:j1402. doi:10.1136/BMJ.J1402</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3. </w:t>
      </w:r>
      <w:r w:rsidRPr="00F30B0B">
        <w:rPr>
          <w:rFonts w:ascii="Calibri" w:hAnsi="Calibri" w:cs="Times New Roman"/>
          <w:noProof/>
          <w:szCs w:val="24"/>
        </w:rPr>
        <w:tab/>
        <w:t xml:space="preserve">Pearson SD. The ICER Value Framework: Integrating Cost Effectiveness and Affordability in the Assessment of Health Care Value. </w:t>
      </w:r>
      <w:r w:rsidRPr="00F30B0B">
        <w:rPr>
          <w:rFonts w:ascii="Calibri" w:hAnsi="Calibri" w:cs="Times New Roman"/>
          <w:i/>
          <w:iCs/>
          <w:noProof/>
          <w:szCs w:val="24"/>
        </w:rPr>
        <w:t>Value Heal</w:t>
      </w:r>
      <w:r w:rsidRPr="00F30B0B">
        <w:rPr>
          <w:rFonts w:ascii="Calibri" w:hAnsi="Calibri" w:cs="Times New Roman"/>
          <w:noProof/>
          <w:szCs w:val="24"/>
        </w:rPr>
        <w:t>. 2018;21(3):258-265. doi:10.1016/j.jval.2017.12.017</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4. </w:t>
      </w:r>
      <w:r w:rsidRPr="00F30B0B">
        <w:rPr>
          <w:rFonts w:ascii="Calibri" w:hAnsi="Calibri" w:cs="Times New Roman"/>
          <w:noProof/>
          <w:szCs w:val="24"/>
        </w:rPr>
        <w:tab/>
        <w:t xml:space="preserve">Towse A, Mauskopf JA. Affordability of New Technologies: The Next Frontier. </w:t>
      </w:r>
      <w:r w:rsidRPr="00F30B0B">
        <w:rPr>
          <w:rFonts w:ascii="Calibri" w:hAnsi="Calibri" w:cs="Times New Roman"/>
          <w:i/>
          <w:iCs/>
          <w:noProof/>
          <w:szCs w:val="24"/>
        </w:rPr>
        <w:t>Value Heal</w:t>
      </w:r>
      <w:r w:rsidRPr="00F30B0B">
        <w:rPr>
          <w:rFonts w:ascii="Calibri" w:hAnsi="Calibri" w:cs="Times New Roman"/>
          <w:noProof/>
          <w:szCs w:val="24"/>
        </w:rPr>
        <w:t>. 2018;21(3):249-251. doi:10.1016/j.jval.2018.01.011</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5. </w:t>
      </w:r>
      <w:r w:rsidRPr="00F30B0B">
        <w:rPr>
          <w:rFonts w:ascii="Calibri" w:hAnsi="Calibri" w:cs="Times New Roman"/>
          <w:noProof/>
          <w:szCs w:val="24"/>
        </w:rPr>
        <w:tab/>
        <w:t xml:space="preserve">Danzon PM, Drummond MF, Towse A, Pauly M V. Objectives, Budgets, Thresholds, and Opportunity Costs-A Health Economics Approach: An ISPOR Special Task Force Report [4]. </w:t>
      </w:r>
      <w:r w:rsidRPr="00F30B0B">
        <w:rPr>
          <w:rFonts w:ascii="Calibri" w:hAnsi="Calibri" w:cs="Times New Roman"/>
          <w:i/>
          <w:iCs/>
          <w:noProof/>
          <w:szCs w:val="24"/>
        </w:rPr>
        <w:t>Value Health</w:t>
      </w:r>
      <w:r w:rsidRPr="00F30B0B">
        <w:rPr>
          <w:rFonts w:ascii="Calibri" w:hAnsi="Calibri" w:cs="Times New Roman"/>
          <w:noProof/>
          <w:szCs w:val="24"/>
        </w:rPr>
        <w:t>. 2018;21(2):140-145. doi:10.1016/j.jval.2017.12.008</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6. </w:t>
      </w:r>
      <w:r w:rsidRPr="00F30B0B">
        <w:rPr>
          <w:rFonts w:ascii="Calibri" w:hAnsi="Calibri" w:cs="Times New Roman"/>
          <w:noProof/>
          <w:szCs w:val="24"/>
        </w:rPr>
        <w:tab/>
        <w:t xml:space="preserve">McCabe C, Claxton K, Culyer AJ. The NICE cost-effectiveness threshold: what it is and what that means. </w:t>
      </w:r>
      <w:r w:rsidRPr="00F30B0B">
        <w:rPr>
          <w:rFonts w:ascii="Calibri" w:hAnsi="Calibri" w:cs="Times New Roman"/>
          <w:i/>
          <w:iCs/>
          <w:noProof/>
          <w:szCs w:val="24"/>
        </w:rPr>
        <w:t>Pharmacoeconomics</w:t>
      </w:r>
      <w:r w:rsidRPr="00F30B0B">
        <w:rPr>
          <w:rFonts w:ascii="Calibri" w:hAnsi="Calibri" w:cs="Times New Roman"/>
          <w:noProof/>
          <w:szCs w:val="24"/>
        </w:rPr>
        <w:t>. 2008;26(9):733-744. http://www.ncbi.nlm.nih.gov/pubmed/18767894. Accessed November 17, 2015.</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7. </w:t>
      </w:r>
      <w:r w:rsidRPr="00F30B0B">
        <w:rPr>
          <w:rFonts w:ascii="Calibri" w:hAnsi="Calibri" w:cs="Times New Roman"/>
          <w:noProof/>
          <w:szCs w:val="24"/>
        </w:rPr>
        <w:tab/>
        <w:t xml:space="preserve">Culyer AJ. Cost-effectiveness thresholds in health care: a bookshelf guide to their meaning and use. </w:t>
      </w:r>
      <w:r w:rsidRPr="00F30B0B">
        <w:rPr>
          <w:rFonts w:ascii="Calibri" w:hAnsi="Calibri" w:cs="Times New Roman"/>
          <w:i/>
          <w:iCs/>
          <w:noProof/>
          <w:szCs w:val="24"/>
        </w:rPr>
        <w:t>Heal Econ Policy Law</w:t>
      </w:r>
      <w:r w:rsidRPr="00F30B0B">
        <w:rPr>
          <w:rFonts w:ascii="Calibri" w:hAnsi="Calibri" w:cs="Times New Roman"/>
          <w:noProof/>
          <w:szCs w:val="24"/>
        </w:rPr>
        <w:t>. 2016;11(04):415-432. doi:10.1017/S1744133116000049</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8. </w:t>
      </w:r>
      <w:r w:rsidRPr="00F30B0B">
        <w:rPr>
          <w:rFonts w:ascii="Calibri" w:hAnsi="Calibri" w:cs="Times New Roman"/>
          <w:noProof/>
          <w:szCs w:val="24"/>
        </w:rPr>
        <w:tab/>
        <w:t>Paulden MD. Opportunity cost and social values in health care resource allocation. 2016. doi:10.7939/R3M902D4P</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9. </w:t>
      </w:r>
      <w:r w:rsidRPr="00F30B0B">
        <w:rPr>
          <w:rFonts w:ascii="Calibri" w:hAnsi="Calibri" w:cs="Times New Roman"/>
          <w:noProof/>
          <w:szCs w:val="24"/>
        </w:rPr>
        <w:tab/>
        <w:t xml:space="preserve">Paulden M, O’Mahony J, McCabe C. Determinants of Change in the Cost-effectiveness Threshold. </w:t>
      </w:r>
      <w:r w:rsidRPr="00F30B0B">
        <w:rPr>
          <w:rFonts w:ascii="Calibri" w:hAnsi="Calibri" w:cs="Times New Roman"/>
          <w:i/>
          <w:iCs/>
          <w:noProof/>
          <w:szCs w:val="24"/>
        </w:rPr>
        <w:t>Med Decis Mak</w:t>
      </w:r>
      <w:r w:rsidRPr="00F30B0B">
        <w:rPr>
          <w:rFonts w:ascii="Calibri" w:hAnsi="Calibri" w:cs="Times New Roman"/>
          <w:noProof/>
          <w:szCs w:val="24"/>
        </w:rPr>
        <w:t>. 2017;37(2):264-276. doi:10.1177/0272989X16662242</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10. </w:t>
      </w:r>
      <w:r w:rsidRPr="00F30B0B">
        <w:rPr>
          <w:rFonts w:ascii="Calibri" w:hAnsi="Calibri" w:cs="Times New Roman"/>
          <w:noProof/>
          <w:szCs w:val="24"/>
        </w:rPr>
        <w:tab/>
        <w:t xml:space="preserve">Harris AH. Beyond the threshold. </w:t>
      </w:r>
      <w:r w:rsidRPr="00F30B0B">
        <w:rPr>
          <w:rFonts w:ascii="Calibri" w:hAnsi="Calibri" w:cs="Times New Roman"/>
          <w:i/>
          <w:iCs/>
          <w:noProof/>
          <w:szCs w:val="24"/>
        </w:rPr>
        <w:t>Heal Econ Policy Law</w:t>
      </w:r>
      <w:r w:rsidRPr="00F30B0B">
        <w:rPr>
          <w:rFonts w:ascii="Calibri" w:hAnsi="Calibri" w:cs="Times New Roman"/>
          <w:noProof/>
          <w:szCs w:val="24"/>
        </w:rPr>
        <w:t>. 2016;11:433-438. doi:10.1017/S1744133116000050</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11. </w:t>
      </w:r>
      <w:r w:rsidRPr="00F30B0B">
        <w:rPr>
          <w:rFonts w:ascii="Calibri" w:hAnsi="Calibri" w:cs="Times New Roman"/>
          <w:noProof/>
          <w:szCs w:val="24"/>
        </w:rPr>
        <w:tab/>
        <w:t xml:space="preserve">Lomas J, Claxton K, Martin S, Soares M. Resolving the “Cost-Effective but Unaffordable” Paradox: Estimating the Health Opportunity Costs of Nonmarginal Budget Impacts. </w:t>
      </w:r>
      <w:r w:rsidRPr="00F30B0B">
        <w:rPr>
          <w:rFonts w:ascii="Calibri" w:hAnsi="Calibri" w:cs="Times New Roman"/>
          <w:i/>
          <w:iCs/>
          <w:noProof/>
          <w:szCs w:val="24"/>
        </w:rPr>
        <w:t>Value Heal</w:t>
      </w:r>
      <w:r w:rsidRPr="00F30B0B">
        <w:rPr>
          <w:rFonts w:ascii="Calibri" w:hAnsi="Calibri" w:cs="Times New Roman"/>
          <w:noProof/>
          <w:szCs w:val="24"/>
        </w:rPr>
        <w:t>. January 2018. doi:10.1016/J.JVAL.2017.10.006</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12. </w:t>
      </w:r>
      <w:r w:rsidRPr="00F30B0B">
        <w:rPr>
          <w:rFonts w:ascii="Calibri" w:hAnsi="Calibri" w:cs="Times New Roman"/>
          <w:noProof/>
          <w:szCs w:val="24"/>
        </w:rPr>
        <w:tab/>
        <w:t xml:space="preserve">Claxton K, Paulden M, Gravelle H, Brouwer W, Culyer AJ. Discounting and decision making in the economic evaluation of health-care technologies. </w:t>
      </w:r>
      <w:r w:rsidRPr="00F30B0B">
        <w:rPr>
          <w:rFonts w:ascii="Calibri" w:hAnsi="Calibri" w:cs="Times New Roman"/>
          <w:i/>
          <w:iCs/>
          <w:noProof/>
          <w:szCs w:val="24"/>
        </w:rPr>
        <w:t>Health Econ</w:t>
      </w:r>
      <w:r w:rsidRPr="00F30B0B">
        <w:rPr>
          <w:rFonts w:ascii="Calibri" w:hAnsi="Calibri" w:cs="Times New Roman"/>
          <w:noProof/>
          <w:szCs w:val="24"/>
        </w:rPr>
        <w:t>. 2011;20(1):2-15. doi:10.1002/hec.1612</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13. </w:t>
      </w:r>
      <w:r w:rsidRPr="00F30B0B">
        <w:rPr>
          <w:rFonts w:ascii="Calibri" w:hAnsi="Calibri" w:cs="Times New Roman"/>
          <w:noProof/>
          <w:szCs w:val="24"/>
        </w:rPr>
        <w:tab/>
        <w:t xml:space="preserve">Claxton K, Asaria M, Chansa C, et al. Accounting for Timing when Assessing Health-Related Policies. </w:t>
      </w:r>
      <w:r w:rsidRPr="00F30B0B">
        <w:rPr>
          <w:rFonts w:ascii="Calibri" w:hAnsi="Calibri" w:cs="Times New Roman"/>
          <w:i/>
          <w:iCs/>
          <w:noProof/>
          <w:szCs w:val="24"/>
        </w:rPr>
        <w:t>J Benefit-Cost Anal</w:t>
      </w:r>
      <w:r w:rsidRPr="00F30B0B">
        <w:rPr>
          <w:rFonts w:ascii="Calibri" w:hAnsi="Calibri" w:cs="Times New Roman"/>
          <w:noProof/>
          <w:szCs w:val="24"/>
        </w:rPr>
        <w:t>. January 2019:1-33. doi:10.1017/bca.2018.29</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14. </w:t>
      </w:r>
      <w:r w:rsidRPr="00F30B0B">
        <w:rPr>
          <w:rFonts w:ascii="Calibri" w:hAnsi="Calibri" w:cs="Times New Roman"/>
          <w:noProof/>
          <w:szCs w:val="24"/>
        </w:rPr>
        <w:tab/>
        <w:t xml:space="preserve">Epstein DM, Chalabi Z, Claxton K, Sculpher M. Efficiency, equity, and budgetary policies: informing decisions using mathematical programming. </w:t>
      </w:r>
      <w:r w:rsidRPr="00F30B0B">
        <w:rPr>
          <w:rFonts w:ascii="Calibri" w:hAnsi="Calibri" w:cs="Times New Roman"/>
          <w:i/>
          <w:iCs/>
          <w:noProof/>
          <w:szCs w:val="24"/>
        </w:rPr>
        <w:t>Med Decis Making</w:t>
      </w:r>
      <w:r w:rsidRPr="00F30B0B">
        <w:rPr>
          <w:rFonts w:ascii="Calibri" w:hAnsi="Calibri" w:cs="Times New Roman"/>
          <w:noProof/>
          <w:szCs w:val="24"/>
        </w:rPr>
        <w:t>. 2007;27(2):128-137. doi:10.1177/0272989X06297396</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15. </w:t>
      </w:r>
      <w:r w:rsidRPr="00F30B0B">
        <w:rPr>
          <w:rFonts w:ascii="Calibri" w:hAnsi="Calibri" w:cs="Times New Roman"/>
          <w:noProof/>
          <w:szCs w:val="24"/>
        </w:rPr>
        <w:tab/>
        <w:t xml:space="preserve">McKenna C, Chalabi Z, Epstein D, Claxton K. Budgetary policies and available actions: A generalisation of decision rules for allocation and research decisions. </w:t>
      </w:r>
      <w:r w:rsidRPr="00F30B0B">
        <w:rPr>
          <w:rFonts w:ascii="Calibri" w:hAnsi="Calibri" w:cs="Times New Roman"/>
          <w:i/>
          <w:iCs/>
          <w:noProof/>
          <w:szCs w:val="24"/>
        </w:rPr>
        <w:t>J Health Econ</w:t>
      </w:r>
      <w:r w:rsidRPr="00F30B0B">
        <w:rPr>
          <w:rFonts w:ascii="Calibri" w:hAnsi="Calibri" w:cs="Times New Roman"/>
          <w:noProof/>
          <w:szCs w:val="24"/>
        </w:rPr>
        <w:t>. 2010;29(1):170-181. doi:10.1016/J.JHEALECO.2009.11.005</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16. </w:t>
      </w:r>
      <w:r w:rsidRPr="00F30B0B">
        <w:rPr>
          <w:rFonts w:ascii="Calibri" w:hAnsi="Calibri" w:cs="Times New Roman"/>
          <w:noProof/>
          <w:szCs w:val="24"/>
        </w:rPr>
        <w:tab/>
        <w:t xml:space="preserve">Claxton K, Palmer S, Longworth L, et al. A Comprehensive Algorithm for Approval of Health Technologies With, Without, or Only in Research: The Key Principles for Informing Coverage </w:t>
      </w:r>
      <w:r w:rsidRPr="00F30B0B">
        <w:rPr>
          <w:rFonts w:ascii="Calibri" w:hAnsi="Calibri" w:cs="Times New Roman"/>
          <w:noProof/>
          <w:szCs w:val="24"/>
        </w:rPr>
        <w:lastRenderedPageBreak/>
        <w:t xml:space="preserve">Decisions. </w:t>
      </w:r>
      <w:r w:rsidRPr="00F30B0B">
        <w:rPr>
          <w:rFonts w:ascii="Calibri" w:hAnsi="Calibri" w:cs="Times New Roman"/>
          <w:i/>
          <w:iCs/>
          <w:noProof/>
          <w:szCs w:val="24"/>
        </w:rPr>
        <w:t>Value Heal</w:t>
      </w:r>
      <w:r w:rsidRPr="00F30B0B">
        <w:rPr>
          <w:rFonts w:ascii="Calibri" w:hAnsi="Calibri" w:cs="Times New Roman"/>
          <w:noProof/>
          <w:szCs w:val="24"/>
        </w:rPr>
        <w:t>. 2016;19(6):885-891. doi:10.1016/j.jval.2016.03.2003</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17. </w:t>
      </w:r>
      <w:r w:rsidRPr="00F30B0B">
        <w:rPr>
          <w:rFonts w:ascii="Calibri" w:hAnsi="Calibri" w:cs="Times New Roman"/>
          <w:noProof/>
          <w:szCs w:val="24"/>
        </w:rPr>
        <w:tab/>
        <w:t xml:space="preserve">Howdon D, Lomas J. Pricing implications of non-marginal budgetary impacts in health technology assessment: a conceptual model. </w:t>
      </w:r>
      <w:r w:rsidRPr="00F30B0B">
        <w:rPr>
          <w:rFonts w:ascii="Calibri" w:hAnsi="Calibri" w:cs="Times New Roman"/>
          <w:i/>
          <w:iCs/>
          <w:noProof/>
          <w:szCs w:val="24"/>
        </w:rPr>
        <w:t>CHE Res Pap</w:t>
      </w:r>
      <w:r w:rsidRPr="00F30B0B">
        <w:rPr>
          <w:rFonts w:ascii="Calibri" w:hAnsi="Calibri" w:cs="Times New Roman"/>
          <w:noProof/>
          <w:szCs w:val="24"/>
        </w:rPr>
        <w:t>. 2017;(148). https://ideas.repec.org/p/chy/respap/148cherp.html. Accessed April 30, 2018.</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18. </w:t>
      </w:r>
      <w:r w:rsidRPr="00F30B0B">
        <w:rPr>
          <w:rFonts w:ascii="Calibri" w:hAnsi="Calibri" w:cs="Times New Roman"/>
          <w:noProof/>
          <w:szCs w:val="24"/>
        </w:rPr>
        <w:tab/>
        <w:t xml:space="preserve">Phelps CE, Mushlin AI. On the (near) equivalence of cost-effectiveness and cost-benefit analyses. </w:t>
      </w:r>
      <w:r w:rsidRPr="00F30B0B">
        <w:rPr>
          <w:rFonts w:ascii="Calibri" w:hAnsi="Calibri" w:cs="Times New Roman"/>
          <w:i/>
          <w:iCs/>
          <w:noProof/>
          <w:szCs w:val="24"/>
        </w:rPr>
        <w:t>Int J Technol Assess Health Care</w:t>
      </w:r>
      <w:r w:rsidRPr="00F30B0B">
        <w:rPr>
          <w:rFonts w:ascii="Calibri" w:hAnsi="Calibri" w:cs="Times New Roman"/>
          <w:noProof/>
          <w:szCs w:val="24"/>
        </w:rPr>
        <w:t>. 1991;7(1):12-21. http://www.ncbi.nlm.nih.gov/pubmed/1903360. Accessed August 20, 2018.</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19. </w:t>
      </w:r>
      <w:r w:rsidRPr="00F30B0B">
        <w:rPr>
          <w:rFonts w:ascii="Calibri" w:hAnsi="Calibri" w:cs="Times New Roman"/>
          <w:noProof/>
          <w:szCs w:val="24"/>
        </w:rPr>
        <w:tab/>
        <w:t xml:space="preserve">Claxton K, Posnett J. An economic approach to clinical trial design and research priority-setting. </w:t>
      </w:r>
      <w:r w:rsidRPr="00F30B0B">
        <w:rPr>
          <w:rFonts w:ascii="Calibri" w:hAnsi="Calibri" w:cs="Times New Roman"/>
          <w:i/>
          <w:iCs/>
          <w:noProof/>
          <w:szCs w:val="24"/>
        </w:rPr>
        <w:t>Health Econ</w:t>
      </w:r>
      <w:r w:rsidRPr="00F30B0B">
        <w:rPr>
          <w:rFonts w:ascii="Calibri" w:hAnsi="Calibri" w:cs="Times New Roman"/>
          <w:noProof/>
          <w:szCs w:val="24"/>
        </w:rPr>
        <w:t>. 1996;5(6):513-524. doi:10.1002/(SICI)1099-1050(199611)5:6&lt;513::AID-HEC237&gt;3.0.CO;2-9</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20. </w:t>
      </w:r>
      <w:r w:rsidRPr="00F30B0B">
        <w:rPr>
          <w:rFonts w:ascii="Calibri" w:hAnsi="Calibri" w:cs="Times New Roman"/>
          <w:noProof/>
          <w:szCs w:val="24"/>
        </w:rPr>
        <w:tab/>
        <w:t xml:space="preserve">Stinnett AA, Mullahy J. Net Health Benefits. </w:t>
      </w:r>
      <w:r w:rsidRPr="00F30B0B">
        <w:rPr>
          <w:rFonts w:ascii="Calibri" w:hAnsi="Calibri" w:cs="Times New Roman"/>
          <w:i/>
          <w:iCs/>
          <w:noProof/>
          <w:szCs w:val="24"/>
        </w:rPr>
        <w:t>Med Decis Mak</w:t>
      </w:r>
      <w:r w:rsidRPr="00F30B0B">
        <w:rPr>
          <w:rFonts w:ascii="Calibri" w:hAnsi="Calibri" w:cs="Times New Roman"/>
          <w:noProof/>
          <w:szCs w:val="24"/>
        </w:rPr>
        <w:t>. 1998;18(2_suppl):S68-S80. doi:10.1177/0272989X98018002S09</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21. </w:t>
      </w:r>
      <w:r w:rsidRPr="00F30B0B">
        <w:rPr>
          <w:rFonts w:ascii="Calibri" w:hAnsi="Calibri" w:cs="Times New Roman"/>
          <w:noProof/>
          <w:szCs w:val="24"/>
        </w:rPr>
        <w:tab/>
        <w:t xml:space="preserve">Hoch JS, Briggs AH, Willan AR. Something old, something new, something borrowed, something blue: a framework for the marriage of health econometrics and cost-effectiveness analysis. </w:t>
      </w:r>
      <w:r w:rsidRPr="00F30B0B">
        <w:rPr>
          <w:rFonts w:ascii="Calibri" w:hAnsi="Calibri" w:cs="Times New Roman"/>
          <w:i/>
          <w:iCs/>
          <w:noProof/>
          <w:szCs w:val="24"/>
        </w:rPr>
        <w:t>Health Econ</w:t>
      </w:r>
      <w:r w:rsidRPr="00F30B0B">
        <w:rPr>
          <w:rFonts w:ascii="Calibri" w:hAnsi="Calibri" w:cs="Times New Roman"/>
          <w:noProof/>
          <w:szCs w:val="24"/>
        </w:rPr>
        <w:t>. 2002;11(5):415-430. doi:10.1002/hec.678</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22. </w:t>
      </w:r>
      <w:r w:rsidRPr="00F30B0B">
        <w:rPr>
          <w:rFonts w:ascii="Calibri" w:hAnsi="Calibri" w:cs="Times New Roman"/>
          <w:noProof/>
          <w:szCs w:val="24"/>
        </w:rPr>
        <w:tab/>
        <w:t>NICE. Daclatasvir for treating chronic hepatitis C. https://www.nice.org.uk/guidance/ta364. Published 2015. Accessed December 6, 2015.</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23. </w:t>
      </w:r>
      <w:r w:rsidRPr="00F30B0B">
        <w:rPr>
          <w:rFonts w:ascii="Calibri" w:hAnsi="Calibri" w:cs="Times New Roman"/>
          <w:noProof/>
          <w:szCs w:val="24"/>
        </w:rPr>
        <w:tab/>
        <w:t>NICE. Ledipasvir–sofosbuvir for treating chronic hepatitis C. https://www.nice.org.uk/guidance/ta363. Published 2015. Accessed December 6, 2015.</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24. </w:t>
      </w:r>
      <w:r w:rsidRPr="00F30B0B">
        <w:rPr>
          <w:rFonts w:ascii="Calibri" w:hAnsi="Calibri" w:cs="Times New Roman"/>
          <w:noProof/>
          <w:szCs w:val="24"/>
        </w:rPr>
        <w:tab/>
        <w:t>NICE. Ombitasvir–paritaprevir–ritonavir with or without dasabuvir for treating chronic hepatitis C. https://www.nice.org.uk/guidance/ta365. Published 2015. Accessed December 6, 2015.</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25. </w:t>
      </w:r>
      <w:r w:rsidRPr="00F30B0B">
        <w:rPr>
          <w:rFonts w:ascii="Calibri" w:hAnsi="Calibri" w:cs="Times New Roman"/>
          <w:noProof/>
          <w:szCs w:val="24"/>
        </w:rPr>
        <w:tab/>
        <w:t xml:space="preserve">Claxton K, Martin S, Soares M, et al. Methods for the estimation of the National Institute for Health and Care Excellence cost-effectiveness threshold. </w:t>
      </w:r>
      <w:r w:rsidRPr="00F30B0B">
        <w:rPr>
          <w:rFonts w:ascii="Calibri" w:hAnsi="Calibri" w:cs="Times New Roman"/>
          <w:i/>
          <w:iCs/>
          <w:noProof/>
          <w:szCs w:val="24"/>
        </w:rPr>
        <w:t>Health Technol Assess</w:t>
      </w:r>
      <w:r w:rsidRPr="00F30B0B">
        <w:rPr>
          <w:rFonts w:ascii="Calibri" w:hAnsi="Calibri" w:cs="Times New Roman"/>
          <w:noProof/>
          <w:szCs w:val="24"/>
        </w:rPr>
        <w:t>. 2015. doi:10.3310/hta19140</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26. </w:t>
      </w:r>
      <w:r w:rsidRPr="00F30B0B">
        <w:rPr>
          <w:rFonts w:ascii="Calibri" w:hAnsi="Calibri" w:cs="Times New Roman"/>
          <w:noProof/>
          <w:szCs w:val="24"/>
        </w:rPr>
        <w:tab/>
        <w:t xml:space="preserve">Brouwer W, van Baal P, van Exel J, Versteegh M. When is it too expensive? Cost-effectiveness thresholds and health care decision-making. </w:t>
      </w:r>
      <w:r w:rsidRPr="00F30B0B">
        <w:rPr>
          <w:rFonts w:ascii="Calibri" w:hAnsi="Calibri" w:cs="Times New Roman"/>
          <w:i/>
          <w:iCs/>
          <w:noProof/>
          <w:szCs w:val="24"/>
        </w:rPr>
        <w:t>Eur J Heal Econ</w:t>
      </w:r>
      <w:r w:rsidRPr="00F30B0B">
        <w:rPr>
          <w:rFonts w:ascii="Calibri" w:hAnsi="Calibri" w:cs="Times New Roman"/>
          <w:noProof/>
          <w:szCs w:val="24"/>
        </w:rPr>
        <w:t>. September 2018:1-6. doi:10.1007/s10198-018-1000-4</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27. </w:t>
      </w:r>
      <w:r w:rsidRPr="00F30B0B">
        <w:rPr>
          <w:rFonts w:ascii="Calibri" w:hAnsi="Calibri" w:cs="Times New Roman"/>
          <w:noProof/>
          <w:szCs w:val="24"/>
        </w:rPr>
        <w:tab/>
        <w:t xml:space="preserve">Claxton K, Walker S, Palmer S, Sculpher M. </w:t>
      </w:r>
      <w:r w:rsidRPr="00F30B0B">
        <w:rPr>
          <w:rFonts w:ascii="Calibri" w:hAnsi="Calibri" w:cs="Times New Roman"/>
          <w:i/>
          <w:iCs/>
          <w:noProof/>
          <w:szCs w:val="24"/>
        </w:rPr>
        <w:t>Appropriate Perspectives for Health Care Decisions</w:t>
      </w:r>
      <w:r w:rsidRPr="00F30B0B">
        <w:rPr>
          <w:rFonts w:ascii="Calibri" w:hAnsi="Calibri" w:cs="Times New Roman"/>
          <w:noProof/>
          <w:szCs w:val="24"/>
        </w:rPr>
        <w:t>. Centre for Health Economics, University of York; 2010.</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28. </w:t>
      </w:r>
      <w:r w:rsidRPr="00F30B0B">
        <w:rPr>
          <w:rFonts w:ascii="Calibri" w:hAnsi="Calibri" w:cs="Times New Roman"/>
          <w:noProof/>
          <w:szCs w:val="24"/>
        </w:rPr>
        <w:tab/>
        <w:t xml:space="preserve">O’Brien BJ, Sculpher MJ. Building Uncertainty into Cost-Effectiveness Rankings: Portfolio Risk-Return Tradeoffs and Implications for Decision Rules. </w:t>
      </w:r>
      <w:r w:rsidRPr="00F30B0B">
        <w:rPr>
          <w:rFonts w:ascii="Calibri" w:hAnsi="Calibri" w:cs="Times New Roman"/>
          <w:i/>
          <w:iCs/>
          <w:noProof/>
          <w:szCs w:val="24"/>
        </w:rPr>
        <w:t>Med Care</w:t>
      </w:r>
      <w:r w:rsidRPr="00F30B0B">
        <w:rPr>
          <w:rFonts w:ascii="Calibri" w:hAnsi="Calibri" w:cs="Times New Roman"/>
          <w:noProof/>
          <w:szCs w:val="24"/>
        </w:rPr>
        <w:t>. 2000;38:460-468. doi:10.2307/3767027</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29. </w:t>
      </w:r>
      <w:r w:rsidRPr="00F30B0B">
        <w:rPr>
          <w:rFonts w:ascii="Calibri" w:hAnsi="Calibri" w:cs="Times New Roman"/>
          <w:noProof/>
          <w:szCs w:val="24"/>
        </w:rPr>
        <w:tab/>
        <w:t xml:space="preserve">Zivin JG. Cost-effectiveness analysis with risk aversion. </w:t>
      </w:r>
      <w:r w:rsidRPr="00F30B0B">
        <w:rPr>
          <w:rFonts w:ascii="Calibri" w:hAnsi="Calibri" w:cs="Times New Roman"/>
          <w:i/>
          <w:iCs/>
          <w:noProof/>
          <w:szCs w:val="24"/>
        </w:rPr>
        <w:t>Health Econ</w:t>
      </w:r>
      <w:r w:rsidRPr="00F30B0B">
        <w:rPr>
          <w:rFonts w:ascii="Calibri" w:hAnsi="Calibri" w:cs="Times New Roman"/>
          <w:noProof/>
          <w:szCs w:val="24"/>
        </w:rPr>
        <w:t>. 2001;10(6):499-508. http://www.ncbi.nlm.nih.gov/pubmed/11550291. Accessed May 3, 2018.</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30. </w:t>
      </w:r>
      <w:r w:rsidRPr="00F30B0B">
        <w:rPr>
          <w:rFonts w:ascii="Calibri" w:hAnsi="Calibri" w:cs="Times New Roman"/>
          <w:noProof/>
          <w:szCs w:val="24"/>
        </w:rPr>
        <w:tab/>
        <w:t xml:space="preserve">Bridges J. Understanding the risks associated with resource allocation decisions in health: An illustration of the importance of portfolio theory. </w:t>
      </w:r>
      <w:r w:rsidRPr="00F30B0B">
        <w:rPr>
          <w:rFonts w:ascii="Calibri" w:hAnsi="Calibri" w:cs="Times New Roman"/>
          <w:i/>
          <w:iCs/>
          <w:noProof/>
          <w:szCs w:val="24"/>
        </w:rPr>
        <w:t>Health Risk Soc</w:t>
      </w:r>
      <w:r w:rsidRPr="00F30B0B">
        <w:rPr>
          <w:rFonts w:ascii="Calibri" w:hAnsi="Calibri" w:cs="Times New Roman"/>
          <w:noProof/>
          <w:szCs w:val="24"/>
        </w:rPr>
        <w:t>. 2004;6(3):257-275. doi:10.1080/1369857042000275669</w:t>
      </w:r>
    </w:p>
    <w:p w:rsidR="00F30B0B" w:rsidRPr="00F30B0B" w:rsidRDefault="00F30B0B" w:rsidP="00F30B0B">
      <w:pPr>
        <w:widowControl w:val="0"/>
        <w:autoSpaceDE w:val="0"/>
        <w:autoSpaceDN w:val="0"/>
        <w:adjustRightInd w:val="0"/>
        <w:spacing w:line="240" w:lineRule="auto"/>
        <w:ind w:left="640" w:hanging="640"/>
        <w:rPr>
          <w:rFonts w:ascii="Calibri" w:hAnsi="Calibri" w:cs="Times New Roman"/>
          <w:noProof/>
          <w:szCs w:val="24"/>
        </w:rPr>
      </w:pPr>
      <w:r w:rsidRPr="00F30B0B">
        <w:rPr>
          <w:rFonts w:ascii="Calibri" w:hAnsi="Calibri" w:cs="Times New Roman"/>
          <w:noProof/>
          <w:szCs w:val="24"/>
        </w:rPr>
        <w:t xml:space="preserve">31. </w:t>
      </w:r>
      <w:r w:rsidRPr="00F30B0B">
        <w:rPr>
          <w:rFonts w:ascii="Calibri" w:hAnsi="Calibri" w:cs="Times New Roman"/>
          <w:noProof/>
          <w:szCs w:val="24"/>
        </w:rPr>
        <w:tab/>
        <w:t xml:space="preserve">Vanness DJ, Mullahy J. Moving Beyond Mean-based Evaluation of Health Care. In: Jones AM, ed. </w:t>
      </w:r>
      <w:r w:rsidRPr="00F30B0B">
        <w:rPr>
          <w:rFonts w:ascii="Calibri" w:hAnsi="Calibri" w:cs="Times New Roman"/>
          <w:i/>
          <w:iCs/>
          <w:noProof/>
          <w:szCs w:val="24"/>
        </w:rPr>
        <w:t xml:space="preserve"> The Elgar Companion to Health Economics</w:t>
      </w:r>
      <w:r w:rsidRPr="00F30B0B">
        <w:rPr>
          <w:rFonts w:ascii="Calibri" w:hAnsi="Calibri" w:cs="Times New Roman"/>
          <w:noProof/>
          <w:szCs w:val="24"/>
        </w:rPr>
        <w:t>. Second. Edward Elgar Publishing; 2012. https://econpapers.repec.org/bookchap/elgeechap/14021_5f52.htm. Accessed May 3, 2018.</w:t>
      </w:r>
    </w:p>
    <w:p w:rsidR="00F30B0B" w:rsidRPr="00F30B0B" w:rsidRDefault="00F30B0B" w:rsidP="00F30B0B">
      <w:pPr>
        <w:widowControl w:val="0"/>
        <w:autoSpaceDE w:val="0"/>
        <w:autoSpaceDN w:val="0"/>
        <w:adjustRightInd w:val="0"/>
        <w:spacing w:line="240" w:lineRule="auto"/>
        <w:ind w:left="640" w:hanging="640"/>
        <w:rPr>
          <w:rFonts w:ascii="Calibri" w:hAnsi="Calibri"/>
          <w:noProof/>
        </w:rPr>
      </w:pPr>
      <w:r w:rsidRPr="00F30B0B">
        <w:rPr>
          <w:rFonts w:ascii="Calibri" w:hAnsi="Calibri" w:cs="Times New Roman"/>
          <w:noProof/>
          <w:szCs w:val="24"/>
        </w:rPr>
        <w:t xml:space="preserve">32. </w:t>
      </w:r>
      <w:r w:rsidRPr="00F30B0B">
        <w:rPr>
          <w:rFonts w:ascii="Calibri" w:hAnsi="Calibri" w:cs="Times New Roman"/>
          <w:noProof/>
          <w:szCs w:val="24"/>
        </w:rPr>
        <w:tab/>
        <w:t xml:space="preserve">Jones AM, Lomas J, Rice N. Healthcare Cost Regressions: Going beyond the Mean to Estimate </w:t>
      </w:r>
      <w:r w:rsidRPr="00F30B0B">
        <w:rPr>
          <w:rFonts w:ascii="Calibri" w:hAnsi="Calibri" w:cs="Times New Roman"/>
          <w:noProof/>
          <w:szCs w:val="24"/>
        </w:rPr>
        <w:lastRenderedPageBreak/>
        <w:t xml:space="preserve">the Full Distribution. </w:t>
      </w:r>
      <w:r w:rsidRPr="00F30B0B">
        <w:rPr>
          <w:rFonts w:ascii="Calibri" w:hAnsi="Calibri" w:cs="Times New Roman"/>
          <w:i/>
          <w:iCs/>
          <w:noProof/>
          <w:szCs w:val="24"/>
        </w:rPr>
        <w:t>Heal Econ (United Kingdom)</w:t>
      </w:r>
      <w:r w:rsidRPr="00F30B0B">
        <w:rPr>
          <w:rFonts w:ascii="Calibri" w:hAnsi="Calibri" w:cs="Times New Roman"/>
          <w:noProof/>
          <w:szCs w:val="24"/>
        </w:rPr>
        <w:t>. 2015;24(9):1192-1212. doi:10.1002/hec.3178</w:t>
      </w:r>
    </w:p>
    <w:p w:rsidR="004A599A" w:rsidRPr="004A599A" w:rsidRDefault="004A599A" w:rsidP="003C2531">
      <w:pPr>
        <w:widowControl w:val="0"/>
        <w:autoSpaceDE w:val="0"/>
        <w:autoSpaceDN w:val="0"/>
        <w:adjustRightInd w:val="0"/>
        <w:spacing w:line="240" w:lineRule="auto"/>
        <w:ind w:left="480" w:hanging="480"/>
      </w:pPr>
      <w:r>
        <w:fldChar w:fldCharType="end"/>
      </w:r>
    </w:p>
    <w:sectPr w:rsidR="004A599A" w:rsidRPr="004A59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2E" w:rsidRDefault="0079152E" w:rsidP="00CA1D67">
      <w:pPr>
        <w:spacing w:after="0" w:line="240" w:lineRule="auto"/>
      </w:pPr>
      <w:r>
        <w:separator/>
      </w:r>
    </w:p>
  </w:endnote>
  <w:endnote w:type="continuationSeparator" w:id="0">
    <w:p w:rsidR="0079152E" w:rsidRDefault="0079152E" w:rsidP="00CA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2E" w:rsidRDefault="0079152E" w:rsidP="00CA1D67">
      <w:pPr>
        <w:spacing w:after="0" w:line="240" w:lineRule="auto"/>
      </w:pPr>
      <w:r>
        <w:separator/>
      </w:r>
    </w:p>
  </w:footnote>
  <w:footnote w:type="continuationSeparator" w:id="0">
    <w:p w:rsidR="0079152E" w:rsidRDefault="0079152E" w:rsidP="00CA1D67">
      <w:pPr>
        <w:spacing w:after="0" w:line="240" w:lineRule="auto"/>
      </w:pPr>
      <w:r>
        <w:continuationSeparator/>
      </w:r>
    </w:p>
  </w:footnote>
  <w:footnote w:id="1">
    <w:p w:rsidR="0079152E" w:rsidRDefault="0079152E">
      <w:pPr>
        <w:pStyle w:val="FootnoteText"/>
      </w:pPr>
      <w:r>
        <w:rPr>
          <w:rStyle w:val="FootnoteReference"/>
        </w:rPr>
        <w:footnoteRef/>
      </w:r>
      <w:r>
        <w:t xml:space="preserve"> </w:t>
      </w:r>
      <w:r>
        <w:rPr>
          <w:rFonts w:eastAsiaTheme="minorEastAsia"/>
        </w:rPr>
        <w:t xml:space="preserve">Algebraically this can be written as </w:t>
      </w:r>
      <m:oMath>
        <m:f>
          <m:fPr>
            <m:ctrlPr>
              <w:rPr>
                <w:rFonts w:ascii="Cambria Math" w:hAnsi="Cambria Math"/>
                <w:i/>
              </w:rPr>
            </m:ctrlPr>
          </m:fPr>
          <m:num>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t</m:t>
                        </m:r>
                      </m:sub>
                    </m:sSub>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c</m:t>
                            </m:r>
                          </m:sub>
                        </m:sSub>
                        <m:r>
                          <w:rPr>
                            <w:rFonts w:ascii="Cambria Math" w:hAnsi="Cambria Math"/>
                          </w:rPr>
                          <m:t>)</m:t>
                        </m:r>
                      </m:e>
                      <m:sup>
                        <m:r>
                          <w:rPr>
                            <w:rFonts w:ascii="Cambria Math" w:hAnsi="Cambria Math"/>
                          </w:rPr>
                          <m:t>t</m:t>
                        </m:r>
                      </m:sup>
                    </m:sSup>
                  </m:den>
                </m:f>
              </m:e>
            </m:nary>
          </m:num>
          <m:den>
            <m:r>
              <w:rPr>
                <w:rFonts w:ascii="Cambria Math" w:hAnsi="Cambria Math"/>
              </w:rPr>
              <m:t>k</m:t>
            </m:r>
          </m:den>
        </m:f>
        <m:r>
          <w:rPr>
            <w:rFonts w:ascii="Cambria Math" w:hAnsi="Cambria Math"/>
          </w:rPr>
          <m:t>=</m:t>
        </m:r>
        <m:nary>
          <m:naryPr>
            <m:chr m:val="∑"/>
            <m:limLoc m:val="undOvr"/>
            <m:ctrlPr>
              <w:rPr>
                <w:rFonts w:ascii="Cambria Math" w:hAnsi="Cambria Math"/>
                <w:i/>
                <w:iCs/>
              </w:rPr>
            </m:ctrlPr>
          </m:naryPr>
          <m:sub>
            <m:r>
              <w:rPr>
                <w:rFonts w:ascii="Cambria Math" w:hAnsi="Cambria Math"/>
              </w:rPr>
              <m:t>t=1</m:t>
            </m:r>
          </m:sub>
          <m:sup>
            <m:r>
              <w:rPr>
                <w:rFonts w:ascii="Cambria Math" w:hAnsi="Cambria Math"/>
              </w:rPr>
              <m:t>T</m:t>
            </m:r>
          </m:sup>
          <m:e>
            <m:f>
              <m:fPr>
                <m:ctrlPr>
                  <w:rPr>
                    <w:rFonts w:ascii="Cambria Math" w:hAnsi="Cambria Math"/>
                    <w:i/>
                    <w:iCs/>
                  </w:rPr>
                </m:ctrlPr>
              </m:fPr>
              <m:num>
                <m:f>
                  <m:fPr>
                    <m:type m:val="lin"/>
                    <m:ctrlPr>
                      <w:rPr>
                        <w:rFonts w:ascii="Cambria Math" w:hAnsi="Cambria Math"/>
                        <w:i/>
                        <w:iCs/>
                        <w:color w:val="000000" w:themeColor="text1" w:themeShade="BF"/>
                      </w:rPr>
                    </m:ctrlPr>
                  </m:fPr>
                  <m:num>
                    <m:r>
                      <w:rPr>
                        <w:rFonts w:ascii="Cambria Math" w:hAnsi="Cambria Math"/>
                      </w:rPr>
                      <m:t>∆</m:t>
                    </m:r>
                    <m:sSub>
                      <m:sSubPr>
                        <m:ctrlPr>
                          <w:rPr>
                            <w:rFonts w:ascii="Cambria Math" w:hAnsi="Cambria Math"/>
                            <w:bCs/>
                            <w:i/>
                            <w:iCs/>
                          </w:rPr>
                        </m:ctrlPr>
                      </m:sSubPr>
                      <m:e>
                        <m:r>
                          <w:rPr>
                            <w:rFonts w:ascii="Cambria Math" w:hAnsi="Cambria Math"/>
                          </w:rPr>
                          <m:t>C</m:t>
                        </m:r>
                      </m:e>
                      <m:sub>
                        <m:r>
                          <w:rPr>
                            <w:rFonts w:ascii="Cambria Math" w:hAnsi="Cambria Math"/>
                          </w:rPr>
                          <m:t>t</m:t>
                        </m:r>
                      </m:sub>
                    </m:sSub>
                  </m:num>
                  <m:den>
                    <m:r>
                      <w:rPr>
                        <w:rFonts w:ascii="Cambria Math" w:hAnsi="Cambria Math"/>
                      </w:rPr>
                      <m:t>k</m:t>
                    </m:r>
                  </m:den>
                </m:f>
              </m:num>
              <m:den>
                <m:sSup>
                  <m:sSupPr>
                    <m:ctrlPr>
                      <w:rPr>
                        <w:rFonts w:ascii="Cambria Math" w:hAnsi="Cambria Math"/>
                        <w:i/>
                        <w:iCs/>
                      </w:rPr>
                    </m:ctrlPr>
                  </m:sSupPr>
                  <m:e>
                    <m:r>
                      <w:rPr>
                        <w:rFonts w:ascii="Cambria Math" w:hAnsi="Cambria Math"/>
                      </w:rPr>
                      <m:t>(1+</m:t>
                    </m:r>
                    <m:sSub>
                      <m:sSubPr>
                        <m:ctrlPr>
                          <w:rPr>
                            <w:rFonts w:ascii="Cambria Math" w:hAnsi="Cambria Math"/>
                            <w:i/>
                            <w:iCs/>
                          </w:rPr>
                        </m:ctrlPr>
                      </m:sSubPr>
                      <m:e>
                        <m:r>
                          <w:rPr>
                            <w:rFonts w:ascii="Cambria Math" w:hAnsi="Cambria Math"/>
                          </w:rPr>
                          <m:t>d</m:t>
                        </m:r>
                      </m:e>
                      <m:sub>
                        <m:r>
                          <w:rPr>
                            <w:rFonts w:ascii="Cambria Math" w:hAnsi="Cambria Math"/>
                          </w:rPr>
                          <m:t>hoc</m:t>
                        </m:r>
                      </m:sub>
                    </m:sSub>
                    <m:r>
                      <w:rPr>
                        <w:rFonts w:ascii="Cambria Math" w:hAnsi="Cambria Math"/>
                      </w:rPr>
                      <m:t>)</m:t>
                    </m:r>
                  </m:e>
                  <m:sup>
                    <m:r>
                      <w:rPr>
                        <w:rFonts w:ascii="Cambria Math" w:hAnsi="Cambria Math"/>
                      </w:rPr>
                      <m:t>t</m:t>
                    </m:r>
                  </m:sup>
                </m:sSup>
              </m:den>
            </m:f>
          </m:e>
        </m:nary>
      </m:oMath>
      <w:r>
        <w:rPr>
          <w:rFonts w:eastAsiaTheme="minorEastAsia"/>
          <w:iCs/>
        </w:rPr>
        <w:t>. When the discount rates for costs and health opportunity costs are the same (</w:t>
      </w:r>
      <m:oMath>
        <m:sSub>
          <m:sSubPr>
            <m:ctrlPr>
              <w:rPr>
                <w:rFonts w:ascii="Cambria Math" w:hAnsi="Cambria Math"/>
                <w:i/>
                <w:iCs/>
              </w:rPr>
            </m:ctrlPr>
          </m:sSubPr>
          <m:e>
            <m:r>
              <w:rPr>
                <w:rFonts w:ascii="Cambria Math" w:hAnsi="Cambria Math"/>
              </w:rPr>
              <m:t>d</m:t>
            </m:r>
          </m:e>
          <m:sub>
            <m:r>
              <w:rPr>
                <w:rFonts w:ascii="Cambria Math" w:hAnsi="Cambria Math"/>
              </w:rPr>
              <m:t>c</m:t>
            </m:r>
          </m:sub>
        </m:sSub>
        <m:r>
          <w:rPr>
            <w:rFonts w:ascii="Cambria Math" w:hAnsi="Cambria Math"/>
          </w:rPr>
          <m:t>=</m:t>
        </m:r>
        <m:sSub>
          <m:sSubPr>
            <m:ctrlPr>
              <w:rPr>
                <w:rFonts w:ascii="Cambria Math" w:hAnsi="Cambria Math"/>
                <w:i/>
                <w:iCs/>
              </w:rPr>
            </m:ctrlPr>
          </m:sSubPr>
          <m:e>
            <m:r>
              <w:rPr>
                <w:rFonts w:ascii="Cambria Math" w:hAnsi="Cambria Math"/>
              </w:rPr>
              <m:t>d</m:t>
            </m:r>
          </m:e>
          <m:sub>
            <m:r>
              <w:rPr>
                <w:rFonts w:ascii="Cambria Math" w:hAnsi="Cambria Math"/>
              </w:rPr>
              <m:t>hoc</m:t>
            </m:r>
          </m:sub>
        </m:sSub>
      </m:oMath>
      <w:r>
        <w:rPr>
          <w:rFonts w:eastAsiaTheme="minorEastAsia"/>
          <w:iCs/>
        </w:rPr>
        <w:t xml:space="preserve">) and there is a constant value of </w:t>
      </w:r>
      <m:oMath>
        <m:r>
          <w:rPr>
            <w:rFonts w:ascii="Cambria Math" w:hAnsi="Cambria Math"/>
          </w:rPr>
          <m:t>k</m:t>
        </m:r>
      </m:oMath>
      <w:r>
        <w:rPr>
          <w:rFonts w:eastAsiaTheme="minorEastAsia"/>
        </w:rPr>
        <w:t xml:space="preserve"> regardless of budget impact</w:t>
      </w:r>
      <w:r>
        <w:rPr>
          <w:rFonts w:eastAsiaTheme="minorEastAsia"/>
          <w:iCs/>
        </w:rPr>
        <w:t xml:space="preserve">, calculating the net present value of health opportunity costs can be done, equivalently, either from the time profile of health opportunity costs or by dividing the net present value of costs by </w:t>
      </w:r>
      <m:oMath>
        <m:r>
          <w:rPr>
            <w:rFonts w:ascii="Cambria Math" w:hAnsi="Cambria Math"/>
          </w:rPr>
          <m:t>k</m:t>
        </m:r>
      </m:oMath>
      <w:r>
        <w:rPr>
          <w:rFonts w:eastAsiaTheme="minorEastAsia"/>
        </w:rPr>
        <w:t>.</w:t>
      </w:r>
    </w:p>
  </w:footnote>
  <w:footnote w:id="2">
    <w:p w:rsidR="0079152E" w:rsidRDefault="0079152E">
      <w:pPr>
        <w:pStyle w:val="FootnoteText"/>
      </w:pPr>
      <w:bookmarkStart w:id="4" w:name="_Hlk535850081"/>
      <w:r>
        <w:rPr>
          <w:rStyle w:val="FootnoteReference"/>
        </w:rPr>
        <w:footnoteRef/>
      </w:r>
      <w:r>
        <w:t xml:space="preserve"> This analysis assumes that the borrowing can only be used for one purpose, offsetting the budget impact of the intervention, and does not consider how inter-temporal financing might be used more generally by the decision maker.</w:t>
      </w:r>
      <w:bookmarkEnd w:id="4"/>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40D01"/>
    <w:multiLevelType w:val="hybridMultilevel"/>
    <w:tmpl w:val="93189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9B"/>
    <w:rsid w:val="000110F8"/>
    <w:rsid w:val="00023C0F"/>
    <w:rsid w:val="00042314"/>
    <w:rsid w:val="00066B65"/>
    <w:rsid w:val="0009040A"/>
    <w:rsid w:val="0009504D"/>
    <w:rsid w:val="000B7381"/>
    <w:rsid w:val="000D0378"/>
    <w:rsid w:val="00102AE1"/>
    <w:rsid w:val="00106297"/>
    <w:rsid w:val="00107348"/>
    <w:rsid w:val="001211C7"/>
    <w:rsid w:val="0012476A"/>
    <w:rsid w:val="00132D69"/>
    <w:rsid w:val="00143622"/>
    <w:rsid w:val="001658AC"/>
    <w:rsid w:val="00175FA3"/>
    <w:rsid w:val="001850BE"/>
    <w:rsid w:val="00187C79"/>
    <w:rsid w:val="001C5034"/>
    <w:rsid w:val="001C67E0"/>
    <w:rsid w:val="001D24B8"/>
    <w:rsid w:val="00200A47"/>
    <w:rsid w:val="002151BD"/>
    <w:rsid w:val="00244192"/>
    <w:rsid w:val="00270699"/>
    <w:rsid w:val="0028178B"/>
    <w:rsid w:val="00287CD8"/>
    <w:rsid w:val="0029797D"/>
    <w:rsid w:val="002A46DE"/>
    <w:rsid w:val="002A495E"/>
    <w:rsid w:val="002A504D"/>
    <w:rsid w:val="002A5C94"/>
    <w:rsid w:val="002B2E82"/>
    <w:rsid w:val="002B2ECE"/>
    <w:rsid w:val="002D64C8"/>
    <w:rsid w:val="002D7464"/>
    <w:rsid w:val="002E5B61"/>
    <w:rsid w:val="002F3C38"/>
    <w:rsid w:val="00353670"/>
    <w:rsid w:val="00371CAA"/>
    <w:rsid w:val="003A6220"/>
    <w:rsid w:val="003B4768"/>
    <w:rsid w:val="003C2531"/>
    <w:rsid w:val="00411AC7"/>
    <w:rsid w:val="00424DC5"/>
    <w:rsid w:val="0043205F"/>
    <w:rsid w:val="0043367B"/>
    <w:rsid w:val="00470FE5"/>
    <w:rsid w:val="00471A46"/>
    <w:rsid w:val="004944A4"/>
    <w:rsid w:val="00495F97"/>
    <w:rsid w:val="004A599A"/>
    <w:rsid w:val="004B418C"/>
    <w:rsid w:val="004F5A5A"/>
    <w:rsid w:val="005017D5"/>
    <w:rsid w:val="00503EC8"/>
    <w:rsid w:val="00545730"/>
    <w:rsid w:val="00580495"/>
    <w:rsid w:val="005A555C"/>
    <w:rsid w:val="005A7151"/>
    <w:rsid w:val="005B3DD7"/>
    <w:rsid w:val="005B6677"/>
    <w:rsid w:val="005E12F1"/>
    <w:rsid w:val="00601708"/>
    <w:rsid w:val="006075C4"/>
    <w:rsid w:val="00615138"/>
    <w:rsid w:val="006219B6"/>
    <w:rsid w:val="00642182"/>
    <w:rsid w:val="0064665C"/>
    <w:rsid w:val="0066263C"/>
    <w:rsid w:val="00664FA7"/>
    <w:rsid w:val="006722E4"/>
    <w:rsid w:val="00672A5D"/>
    <w:rsid w:val="00696720"/>
    <w:rsid w:val="006B2FAE"/>
    <w:rsid w:val="0072619E"/>
    <w:rsid w:val="0075606C"/>
    <w:rsid w:val="00757B51"/>
    <w:rsid w:val="0079152E"/>
    <w:rsid w:val="007F3014"/>
    <w:rsid w:val="007F5330"/>
    <w:rsid w:val="00811ABC"/>
    <w:rsid w:val="00861433"/>
    <w:rsid w:val="00870BA5"/>
    <w:rsid w:val="008C0BC2"/>
    <w:rsid w:val="008E2AD1"/>
    <w:rsid w:val="00925C89"/>
    <w:rsid w:val="0094397B"/>
    <w:rsid w:val="00995677"/>
    <w:rsid w:val="009D1574"/>
    <w:rsid w:val="009D28D7"/>
    <w:rsid w:val="009E63E8"/>
    <w:rsid w:val="009E6AC4"/>
    <w:rsid w:val="00A032FD"/>
    <w:rsid w:val="00A431E9"/>
    <w:rsid w:val="00A66305"/>
    <w:rsid w:val="00A82160"/>
    <w:rsid w:val="00A832D4"/>
    <w:rsid w:val="00A86582"/>
    <w:rsid w:val="00A90300"/>
    <w:rsid w:val="00AD50DD"/>
    <w:rsid w:val="00AD54E9"/>
    <w:rsid w:val="00AE066F"/>
    <w:rsid w:val="00B22BA8"/>
    <w:rsid w:val="00B34424"/>
    <w:rsid w:val="00B34684"/>
    <w:rsid w:val="00B603F0"/>
    <w:rsid w:val="00BA0F7F"/>
    <w:rsid w:val="00BC2B26"/>
    <w:rsid w:val="00C0133B"/>
    <w:rsid w:val="00C0515C"/>
    <w:rsid w:val="00C07CA0"/>
    <w:rsid w:val="00C13521"/>
    <w:rsid w:val="00C13902"/>
    <w:rsid w:val="00C13F42"/>
    <w:rsid w:val="00C1509F"/>
    <w:rsid w:val="00C42B74"/>
    <w:rsid w:val="00C61022"/>
    <w:rsid w:val="00C64789"/>
    <w:rsid w:val="00C975EF"/>
    <w:rsid w:val="00CA1D67"/>
    <w:rsid w:val="00CC2C9B"/>
    <w:rsid w:val="00CD4690"/>
    <w:rsid w:val="00CE5263"/>
    <w:rsid w:val="00CF1C26"/>
    <w:rsid w:val="00CF4ABA"/>
    <w:rsid w:val="00D01B66"/>
    <w:rsid w:val="00D113E0"/>
    <w:rsid w:val="00D4769A"/>
    <w:rsid w:val="00D8124D"/>
    <w:rsid w:val="00D966E3"/>
    <w:rsid w:val="00DA377A"/>
    <w:rsid w:val="00DA4E5B"/>
    <w:rsid w:val="00DB2F10"/>
    <w:rsid w:val="00DB49B3"/>
    <w:rsid w:val="00DE3E86"/>
    <w:rsid w:val="00DE65EA"/>
    <w:rsid w:val="00DE6662"/>
    <w:rsid w:val="00E11516"/>
    <w:rsid w:val="00E212AD"/>
    <w:rsid w:val="00E2270B"/>
    <w:rsid w:val="00E3718E"/>
    <w:rsid w:val="00E64B5F"/>
    <w:rsid w:val="00E708DF"/>
    <w:rsid w:val="00E7383D"/>
    <w:rsid w:val="00E95566"/>
    <w:rsid w:val="00EA57AD"/>
    <w:rsid w:val="00EB52D4"/>
    <w:rsid w:val="00EC0685"/>
    <w:rsid w:val="00EC0B9A"/>
    <w:rsid w:val="00ED4DD7"/>
    <w:rsid w:val="00EE3AEC"/>
    <w:rsid w:val="00F01E90"/>
    <w:rsid w:val="00F057CB"/>
    <w:rsid w:val="00F05CDA"/>
    <w:rsid w:val="00F12D30"/>
    <w:rsid w:val="00F30B0B"/>
    <w:rsid w:val="00F448F2"/>
    <w:rsid w:val="00F61551"/>
    <w:rsid w:val="00F869C2"/>
    <w:rsid w:val="00FB01AB"/>
    <w:rsid w:val="00FD338D"/>
    <w:rsid w:val="00FE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AB6BB"/>
  <w15:docId w15:val="{47EC2458-5671-4833-B16A-082B16D4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2C9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E6AC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F6155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CC2C9B"/>
  </w:style>
  <w:style w:type="character" w:customStyle="1" w:styleId="Heading1Char">
    <w:name w:val="Heading 1 Char"/>
    <w:basedOn w:val="DefaultParagraphFont"/>
    <w:link w:val="Heading1"/>
    <w:uiPriority w:val="9"/>
    <w:rsid w:val="00CC2C9B"/>
    <w:rPr>
      <w:rFonts w:asciiTheme="majorHAnsi" w:eastAsiaTheme="majorEastAsia" w:hAnsiTheme="majorHAnsi" w:cstheme="majorBidi"/>
      <w:b/>
      <w:bCs/>
      <w:color w:val="2E74B5" w:themeColor="accent1" w:themeShade="BF"/>
      <w:sz w:val="28"/>
      <w:szCs w:val="28"/>
    </w:rPr>
  </w:style>
  <w:style w:type="character" w:styleId="PlaceholderText">
    <w:name w:val="Placeholder Text"/>
    <w:basedOn w:val="DefaultParagraphFont"/>
    <w:uiPriority w:val="99"/>
    <w:semiHidden/>
    <w:rsid w:val="0066263C"/>
    <w:rPr>
      <w:color w:val="808080"/>
    </w:rPr>
  </w:style>
  <w:style w:type="paragraph" w:styleId="BalloonText">
    <w:name w:val="Balloon Text"/>
    <w:basedOn w:val="Normal"/>
    <w:link w:val="BalloonTextChar"/>
    <w:uiPriority w:val="99"/>
    <w:semiHidden/>
    <w:unhideWhenUsed/>
    <w:rsid w:val="00662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63C"/>
    <w:rPr>
      <w:rFonts w:ascii="Tahoma" w:hAnsi="Tahoma" w:cs="Tahoma"/>
      <w:sz w:val="16"/>
      <w:szCs w:val="16"/>
    </w:rPr>
  </w:style>
  <w:style w:type="table" w:styleId="TableGrid">
    <w:name w:val="Table Grid"/>
    <w:basedOn w:val="TableNormal"/>
    <w:uiPriority w:val="39"/>
    <w:rsid w:val="00CA1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1D67"/>
    <w:pPr>
      <w:spacing w:after="200" w:line="240" w:lineRule="auto"/>
    </w:pPr>
    <w:rPr>
      <w:b/>
      <w:bCs/>
      <w:color w:val="5B9BD5" w:themeColor="accent1"/>
      <w:sz w:val="18"/>
      <w:szCs w:val="18"/>
    </w:rPr>
  </w:style>
  <w:style w:type="paragraph" w:styleId="FootnoteText">
    <w:name w:val="footnote text"/>
    <w:basedOn w:val="Normal"/>
    <w:link w:val="FootnoteTextChar"/>
    <w:uiPriority w:val="99"/>
    <w:semiHidden/>
    <w:unhideWhenUsed/>
    <w:rsid w:val="00CA1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D67"/>
    <w:rPr>
      <w:sz w:val="20"/>
      <w:szCs w:val="20"/>
    </w:rPr>
  </w:style>
  <w:style w:type="character" w:styleId="FootnoteReference">
    <w:name w:val="footnote reference"/>
    <w:basedOn w:val="DefaultParagraphFont"/>
    <w:uiPriority w:val="99"/>
    <w:semiHidden/>
    <w:unhideWhenUsed/>
    <w:rsid w:val="00CA1D67"/>
    <w:rPr>
      <w:vertAlign w:val="superscript"/>
    </w:rPr>
  </w:style>
  <w:style w:type="character" w:customStyle="1" w:styleId="Heading2Char">
    <w:name w:val="Heading 2 Char"/>
    <w:basedOn w:val="DefaultParagraphFont"/>
    <w:link w:val="Heading2"/>
    <w:uiPriority w:val="9"/>
    <w:rsid w:val="009E6AC4"/>
    <w:rPr>
      <w:rFonts w:asciiTheme="majorHAnsi" w:eastAsiaTheme="majorEastAsia" w:hAnsiTheme="majorHAnsi" w:cstheme="majorBidi"/>
      <w:b/>
      <w:bCs/>
      <w:color w:val="5B9BD5" w:themeColor="accent1"/>
      <w:sz w:val="26"/>
      <w:szCs w:val="26"/>
    </w:rPr>
  </w:style>
  <w:style w:type="table" w:styleId="LightShading">
    <w:name w:val="Light Shading"/>
    <w:basedOn w:val="TableNormal"/>
    <w:uiPriority w:val="60"/>
    <w:rsid w:val="00EB52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F61551"/>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5804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47123">
      <w:bodyDiv w:val="1"/>
      <w:marLeft w:val="0"/>
      <w:marRight w:val="0"/>
      <w:marTop w:val="0"/>
      <w:marBottom w:val="0"/>
      <w:divBdr>
        <w:top w:val="none" w:sz="0" w:space="0" w:color="auto"/>
        <w:left w:val="none" w:sz="0" w:space="0" w:color="auto"/>
        <w:bottom w:val="none" w:sz="0" w:space="0" w:color="auto"/>
        <w:right w:val="none" w:sz="0" w:space="0" w:color="auto"/>
      </w:divBdr>
    </w:div>
    <w:div w:id="1649044680">
      <w:bodyDiv w:val="1"/>
      <w:marLeft w:val="0"/>
      <w:marRight w:val="0"/>
      <w:marTop w:val="0"/>
      <w:marBottom w:val="0"/>
      <w:divBdr>
        <w:top w:val="none" w:sz="0" w:space="0" w:color="auto"/>
        <w:left w:val="none" w:sz="0" w:space="0" w:color="auto"/>
        <w:bottom w:val="none" w:sz="0" w:space="0" w:color="auto"/>
        <w:right w:val="none" w:sz="0" w:space="0" w:color="auto"/>
      </w:divBdr>
    </w:div>
    <w:div w:id="1665818389">
      <w:bodyDiv w:val="1"/>
      <w:marLeft w:val="0"/>
      <w:marRight w:val="0"/>
      <w:marTop w:val="0"/>
      <w:marBottom w:val="0"/>
      <w:divBdr>
        <w:top w:val="none" w:sz="0" w:space="0" w:color="auto"/>
        <w:left w:val="none" w:sz="0" w:space="0" w:color="auto"/>
        <w:bottom w:val="none" w:sz="0" w:space="0" w:color="auto"/>
        <w:right w:val="none" w:sz="0" w:space="0" w:color="auto"/>
      </w:divBdr>
    </w:div>
    <w:div w:id="1751657333">
      <w:bodyDiv w:val="1"/>
      <w:marLeft w:val="0"/>
      <w:marRight w:val="0"/>
      <w:marTop w:val="0"/>
      <w:marBottom w:val="0"/>
      <w:divBdr>
        <w:top w:val="none" w:sz="0" w:space="0" w:color="auto"/>
        <w:left w:val="none" w:sz="0" w:space="0" w:color="auto"/>
        <w:bottom w:val="none" w:sz="0" w:space="0" w:color="auto"/>
        <w:right w:val="none" w:sz="0" w:space="0" w:color="auto"/>
      </w:divBdr>
    </w:div>
    <w:div w:id="20959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2C6A-49D1-4CDF-A71E-1AFA4325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31576</Words>
  <Characters>179985</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Lomas</dc:creator>
  <cp:lastModifiedBy>James Lomas</cp:lastModifiedBy>
  <cp:revision>3</cp:revision>
  <dcterms:created xsi:type="dcterms:W3CDTF">2019-05-16T13:29:00Z</dcterms:created>
  <dcterms:modified xsi:type="dcterms:W3CDTF">2019-05-16T13:33:00Z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583143d4-a619-329f-846e-d7d99637fe1a</vt:lpwstr>
  </property>
  <property fmtid="{D5CDD505-2E9C-101B-9397-08002B2CF9AE}" pid="24" name="Mendeley Citation Style_1">
    <vt:lpwstr>http://www.zotero.org/styles/american-medical-association</vt:lpwstr>
  </property>
</Properties>
</file>