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73CB" w14:textId="6C6FE34D" w:rsidR="00555E9F" w:rsidRPr="00555E9F" w:rsidRDefault="006724C2" w:rsidP="008C1EC2">
      <w:pPr>
        <w:spacing w:after="0" w:line="276" w:lineRule="auto"/>
        <w:jc w:val="both"/>
        <w:rPr>
          <w:rFonts w:eastAsia="Times New Roman" w:cstheme="minorHAnsi"/>
          <w:b/>
          <w:color w:val="000000"/>
          <w:sz w:val="24"/>
          <w:lang w:eastAsia="en-GB"/>
        </w:rPr>
      </w:pPr>
      <w:bookmarkStart w:id="0" w:name="_GoBack"/>
      <w:bookmarkEnd w:id="0"/>
      <w:r>
        <w:rPr>
          <w:rFonts w:eastAsia="Times New Roman" w:cstheme="minorHAnsi"/>
          <w:b/>
          <w:color w:val="000000"/>
          <w:sz w:val="24"/>
          <w:lang w:eastAsia="en-GB"/>
        </w:rPr>
        <w:t>i</w:t>
      </w:r>
      <w:r w:rsidR="00555E9F" w:rsidRPr="00555E9F">
        <w:rPr>
          <w:rFonts w:eastAsia="Times New Roman" w:cstheme="minorHAnsi"/>
          <w:b/>
          <w:color w:val="000000"/>
          <w:sz w:val="24"/>
          <w:lang w:eastAsia="en-GB"/>
        </w:rPr>
        <w:t xml:space="preserve">dentification of novel </w:t>
      </w:r>
      <w:r w:rsidR="001F2AD4">
        <w:rPr>
          <w:rFonts w:eastAsia="Times New Roman" w:cstheme="minorHAnsi"/>
          <w:b/>
          <w:color w:val="000000"/>
          <w:sz w:val="24"/>
          <w:lang w:eastAsia="en-GB"/>
        </w:rPr>
        <w:t>pathogenic</w:t>
      </w:r>
      <w:r w:rsidR="00555E9F" w:rsidRPr="00555E9F">
        <w:rPr>
          <w:rFonts w:eastAsia="Times New Roman" w:cstheme="minorHAnsi"/>
          <w:b/>
          <w:color w:val="000000"/>
          <w:sz w:val="24"/>
          <w:lang w:eastAsia="en-GB"/>
        </w:rPr>
        <w:t xml:space="preserve"> variants </w:t>
      </w:r>
      <w:r w:rsidR="001F2AD4">
        <w:rPr>
          <w:rFonts w:eastAsia="Times New Roman" w:cstheme="minorHAnsi"/>
          <w:b/>
          <w:color w:val="000000"/>
          <w:sz w:val="24"/>
          <w:lang w:eastAsia="en-GB"/>
        </w:rPr>
        <w:t xml:space="preserve">and features </w:t>
      </w:r>
      <w:r w:rsidR="00555E9F" w:rsidRPr="00555E9F">
        <w:rPr>
          <w:rFonts w:eastAsia="Times New Roman" w:cstheme="minorHAnsi"/>
          <w:b/>
          <w:color w:val="000000"/>
          <w:sz w:val="24"/>
          <w:lang w:eastAsia="en-GB"/>
        </w:rPr>
        <w:t xml:space="preserve">in patients with pseudohypoparathyroidism and acrodysostosis, subtypes of the newly classified inactivating PTH/PTHrP signalling disorders (iPPSD)    </w:t>
      </w:r>
    </w:p>
    <w:p w14:paraId="66A8B188" w14:textId="77777777" w:rsidR="00555E9F" w:rsidRPr="00555E9F" w:rsidRDefault="00555E9F" w:rsidP="008C1EC2">
      <w:pPr>
        <w:spacing w:after="0" w:line="276" w:lineRule="auto"/>
        <w:jc w:val="both"/>
        <w:rPr>
          <w:rFonts w:eastAsia="Times New Roman" w:cstheme="minorHAnsi"/>
          <w:b/>
          <w:color w:val="000000"/>
          <w:lang w:eastAsia="en-GB"/>
        </w:rPr>
      </w:pPr>
    </w:p>
    <w:p w14:paraId="22363D1E" w14:textId="70AF8F83" w:rsidR="00555E9F" w:rsidRDefault="00F10675" w:rsidP="008C1EC2">
      <w:pPr>
        <w:spacing w:after="0" w:line="276" w:lineRule="auto"/>
        <w:jc w:val="both"/>
        <w:rPr>
          <w:rFonts w:eastAsia="Times New Roman" w:cstheme="minorHAnsi"/>
          <w:color w:val="000000"/>
          <w:vertAlign w:val="superscript"/>
          <w:lang w:eastAsia="en-GB"/>
        </w:rPr>
      </w:pPr>
      <w:r w:rsidRPr="008C1EC2">
        <w:rPr>
          <w:rFonts w:eastAsia="Times New Roman" w:cstheme="minorHAnsi"/>
          <w:color w:val="000000"/>
          <w:lang w:eastAsia="en-GB"/>
        </w:rPr>
        <w:t xml:space="preserve">Akhilesh </w:t>
      </w:r>
      <w:r w:rsidR="006777F8" w:rsidRPr="008C1EC2">
        <w:rPr>
          <w:rFonts w:eastAsia="Times New Roman" w:cstheme="minorHAnsi"/>
          <w:color w:val="000000"/>
          <w:lang w:eastAsia="en-GB"/>
        </w:rPr>
        <w:t>Mulay</w:t>
      </w:r>
      <w:r w:rsidRPr="008C1EC2">
        <w:rPr>
          <w:rFonts w:eastAsia="Times New Roman" w:cstheme="minorHAnsi"/>
          <w:color w:val="000000"/>
          <w:vertAlign w:val="superscript"/>
          <w:lang w:eastAsia="en-GB"/>
        </w:rPr>
        <w:t>1</w:t>
      </w:r>
      <w:r w:rsidR="006777F8" w:rsidRPr="008C1EC2">
        <w:rPr>
          <w:rFonts w:eastAsia="Times New Roman" w:cstheme="minorHAnsi"/>
          <w:color w:val="000000"/>
          <w:lang w:eastAsia="en-GB"/>
        </w:rPr>
        <w:t>*</w:t>
      </w:r>
      <w:r w:rsidR="00AC227F" w:rsidRPr="008C1EC2">
        <w:rPr>
          <w:rFonts w:eastAsia="Times New Roman" w:cstheme="minorHAnsi"/>
          <w:color w:val="000000"/>
          <w:lang w:eastAsia="en-GB"/>
        </w:rPr>
        <w:t xml:space="preserve">, </w:t>
      </w:r>
      <w:r w:rsidRPr="008C1EC2">
        <w:rPr>
          <w:rFonts w:eastAsia="Times New Roman" w:cstheme="minorHAnsi"/>
          <w:color w:val="000000"/>
          <w:lang w:eastAsia="en-GB"/>
        </w:rPr>
        <w:t xml:space="preserve">Adam </w:t>
      </w:r>
      <w:r w:rsidR="006777F8" w:rsidRPr="008C1EC2">
        <w:rPr>
          <w:rFonts w:eastAsia="Times New Roman" w:cstheme="minorHAnsi"/>
          <w:color w:val="000000"/>
          <w:lang w:eastAsia="en-GB"/>
        </w:rPr>
        <w:t>Truelove</w:t>
      </w:r>
      <w:r w:rsidRPr="008C1EC2">
        <w:rPr>
          <w:rFonts w:eastAsia="Times New Roman" w:cstheme="minorHAnsi"/>
          <w:color w:val="000000"/>
          <w:vertAlign w:val="superscript"/>
          <w:lang w:eastAsia="en-GB"/>
        </w:rPr>
        <w:t>1</w:t>
      </w:r>
      <w:r w:rsidR="006777F8" w:rsidRPr="008C1EC2">
        <w:rPr>
          <w:rFonts w:eastAsia="Times New Roman" w:cstheme="minorHAnsi"/>
          <w:color w:val="000000"/>
          <w:lang w:eastAsia="en-GB"/>
        </w:rPr>
        <w:t>*</w:t>
      </w:r>
      <w:r w:rsidR="00AC227F" w:rsidRPr="008C1EC2">
        <w:rPr>
          <w:rFonts w:eastAsia="Times New Roman" w:cstheme="minorHAnsi"/>
          <w:color w:val="000000"/>
          <w:lang w:eastAsia="en-GB"/>
        </w:rPr>
        <w:t xml:space="preserve">, </w:t>
      </w:r>
      <w:r w:rsidR="002A373D" w:rsidRPr="008C1EC2">
        <w:rPr>
          <w:rFonts w:eastAsia="Times New Roman" w:cstheme="minorHAnsi"/>
          <w:color w:val="000000"/>
          <w:lang w:eastAsia="en-GB"/>
        </w:rPr>
        <w:t>Matina</w:t>
      </w:r>
      <w:r w:rsidRPr="008C1EC2">
        <w:rPr>
          <w:rFonts w:eastAsia="Times New Roman" w:cstheme="minorHAnsi"/>
          <w:color w:val="000000"/>
          <w:lang w:eastAsia="en-GB"/>
        </w:rPr>
        <w:t xml:space="preserve"> </w:t>
      </w:r>
      <w:r w:rsidR="00AC227F" w:rsidRPr="008C1EC2">
        <w:rPr>
          <w:rFonts w:eastAsia="Times New Roman" w:cstheme="minorHAnsi"/>
          <w:color w:val="000000"/>
          <w:lang w:eastAsia="en-GB"/>
        </w:rPr>
        <w:t>Prapa</w:t>
      </w:r>
      <w:r w:rsidRPr="008C1EC2">
        <w:rPr>
          <w:rFonts w:eastAsia="Times New Roman" w:cstheme="minorHAnsi"/>
          <w:color w:val="000000"/>
          <w:vertAlign w:val="superscript"/>
          <w:lang w:eastAsia="en-GB"/>
        </w:rPr>
        <w:t>2</w:t>
      </w:r>
      <w:r w:rsidR="00AC227F" w:rsidRPr="008C1EC2">
        <w:rPr>
          <w:rFonts w:eastAsia="Times New Roman" w:cstheme="minorHAnsi"/>
          <w:color w:val="000000"/>
          <w:lang w:eastAsia="en-GB"/>
        </w:rPr>
        <w:t xml:space="preserve">, </w:t>
      </w:r>
      <w:r w:rsidRPr="008C1EC2">
        <w:rPr>
          <w:rFonts w:eastAsia="Times New Roman" w:cstheme="minorHAnsi"/>
          <w:color w:val="000000"/>
          <w:lang w:eastAsia="en-GB"/>
        </w:rPr>
        <w:t>Ruth</w:t>
      </w:r>
      <w:r w:rsidR="002F51FD">
        <w:rPr>
          <w:rFonts w:eastAsia="Times New Roman" w:cstheme="minorHAnsi"/>
          <w:color w:val="000000"/>
          <w:lang w:eastAsia="en-GB"/>
        </w:rPr>
        <w:t xml:space="preserve"> T</w:t>
      </w:r>
      <w:r w:rsidRPr="008C1EC2">
        <w:rPr>
          <w:rFonts w:eastAsia="Times New Roman" w:cstheme="minorHAnsi"/>
          <w:color w:val="000000"/>
          <w:lang w:eastAsia="en-GB"/>
        </w:rPr>
        <w:t xml:space="preserve"> </w:t>
      </w:r>
      <w:r w:rsidR="006D7662" w:rsidRPr="008C1EC2">
        <w:rPr>
          <w:rFonts w:eastAsia="Times New Roman" w:cstheme="minorHAnsi"/>
          <w:color w:val="000000"/>
          <w:lang w:eastAsia="en-GB"/>
        </w:rPr>
        <w:t>Casey</w:t>
      </w:r>
      <w:r w:rsidR="002A373D" w:rsidRPr="008C1EC2">
        <w:rPr>
          <w:rFonts w:eastAsia="Times New Roman" w:cstheme="minorHAnsi"/>
          <w:color w:val="000000"/>
          <w:vertAlign w:val="superscript"/>
          <w:lang w:eastAsia="en-GB"/>
        </w:rPr>
        <w:t>3</w:t>
      </w:r>
      <w:r w:rsidR="006D7662" w:rsidRPr="008C1EC2">
        <w:rPr>
          <w:rFonts w:eastAsia="Times New Roman" w:cstheme="minorHAnsi"/>
          <w:color w:val="000000"/>
          <w:lang w:eastAsia="en-GB"/>
        </w:rPr>
        <w:t xml:space="preserve">, </w:t>
      </w:r>
      <w:r w:rsidRPr="008C1EC2">
        <w:rPr>
          <w:rFonts w:eastAsia="Times New Roman" w:cstheme="minorHAnsi"/>
          <w:color w:val="000000"/>
          <w:lang w:eastAsia="en-GB"/>
        </w:rPr>
        <w:t xml:space="preserve">Amanda </w:t>
      </w:r>
      <w:r w:rsidR="00557B0A">
        <w:rPr>
          <w:rFonts w:eastAsia="Times New Roman" w:cstheme="minorHAnsi"/>
          <w:color w:val="000000"/>
          <w:lang w:eastAsia="en-GB"/>
        </w:rPr>
        <w:t xml:space="preserve">I </w:t>
      </w:r>
      <w:r w:rsidR="00FA25EC" w:rsidRPr="008C1EC2">
        <w:rPr>
          <w:rFonts w:eastAsia="Times New Roman" w:cstheme="minorHAnsi"/>
          <w:color w:val="000000"/>
          <w:lang w:eastAsia="en-GB"/>
        </w:rPr>
        <w:t>Adler</w:t>
      </w:r>
      <w:r w:rsidR="00531315">
        <w:rPr>
          <w:rFonts w:eastAsia="Times New Roman" w:cstheme="minorHAnsi"/>
          <w:color w:val="000000"/>
          <w:vertAlign w:val="superscript"/>
          <w:lang w:eastAsia="en-GB"/>
        </w:rPr>
        <w:t>3</w:t>
      </w:r>
      <w:r w:rsidR="00FA25EC" w:rsidRPr="008C1EC2">
        <w:rPr>
          <w:rFonts w:eastAsia="Times New Roman" w:cstheme="minorHAnsi"/>
          <w:color w:val="000000"/>
          <w:lang w:eastAsia="en-GB"/>
        </w:rPr>
        <w:t xml:space="preserve">, </w:t>
      </w:r>
      <w:r w:rsidRPr="008C1EC2">
        <w:rPr>
          <w:rFonts w:eastAsia="Times New Roman" w:cstheme="minorHAnsi"/>
          <w:color w:val="000000"/>
          <w:lang w:eastAsia="en-GB"/>
        </w:rPr>
        <w:t xml:space="preserve">Amaka </w:t>
      </w:r>
      <w:r w:rsidR="007157F2">
        <w:rPr>
          <w:rFonts w:eastAsia="Times New Roman" w:cstheme="minorHAnsi"/>
          <w:color w:val="000000"/>
          <w:lang w:eastAsia="en-GB"/>
        </w:rPr>
        <w:t xml:space="preserve">C </w:t>
      </w:r>
      <w:r w:rsidR="003A3478" w:rsidRPr="008C1EC2">
        <w:rPr>
          <w:rFonts w:eastAsia="Times New Roman" w:cstheme="minorHAnsi"/>
          <w:color w:val="000000"/>
          <w:lang w:eastAsia="en-GB"/>
        </w:rPr>
        <w:t>Offiah</w:t>
      </w:r>
      <w:r w:rsidR="00531315">
        <w:rPr>
          <w:rFonts w:eastAsia="Times New Roman" w:cstheme="minorHAnsi"/>
          <w:color w:val="000000"/>
          <w:vertAlign w:val="superscript"/>
          <w:lang w:eastAsia="en-GB"/>
        </w:rPr>
        <w:t>4</w:t>
      </w:r>
      <w:r w:rsidR="00C9475B" w:rsidRPr="008C1EC2">
        <w:rPr>
          <w:rFonts w:eastAsia="Times New Roman" w:cstheme="minorHAnsi"/>
          <w:color w:val="000000"/>
          <w:lang w:eastAsia="en-GB"/>
        </w:rPr>
        <w:t>,</w:t>
      </w:r>
      <w:r w:rsidR="003A3478" w:rsidRPr="008C1EC2">
        <w:rPr>
          <w:rFonts w:eastAsia="Times New Roman" w:cstheme="minorHAnsi"/>
          <w:color w:val="000000"/>
          <w:lang w:eastAsia="en-GB"/>
        </w:rPr>
        <w:t xml:space="preserve"> </w:t>
      </w:r>
      <w:r w:rsidRPr="008C1EC2">
        <w:rPr>
          <w:rFonts w:eastAsia="Times New Roman" w:cstheme="minorHAnsi"/>
          <w:color w:val="000000"/>
          <w:lang w:eastAsia="en-GB"/>
        </w:rPr>
        <w:t xml:space="preserve">Kenneth </w:t>
      </w:r>
      <w:r w:rsidR="003A3478" w:rsidRPr="008C1EC2">
        <w:rPr>
          <w:rFonts w:eastAsia="Times New Roman" w:cstheme="minorHAnsi"/>
          <w:color w:val="000000"/>
          <w:lang w:eastAsia="en-GB"/>
        </w:rPr>
        <w:t>Poole</w:t>
      </w:r>
      <w:r w:rsidR="00531315">
        <w:rPr>
          <w:rFonts w:eastAsia="Times New Roman" w:cstheme="minorHAnsi"/>
          <w:color w:val="000000"/>
          <w:vertAlign w:val="superscript"/>
          <w:lang w:eastAsia="en-GB"/>
        </w:rPr>
        <w:t>5</w:t>
      </w:r>
      <w:r w:rsidR="003A3478" w:rsidRPr="008C1EC2">
        <w:rPr>
          <w:rFonts w:eastAsia="Times New Roman" w:cstheme="minorHAnsi"/>
          <w:color w:val="000000"/>
          <w:lang w:eastAsia="en-GB"/>
        </w:rPr>
        <w:t>,</w:t>
      </w:r>
      <w:r w:rsidRPr="008C1EC2">
        <w:rPr>
          <w:rFonts w:eastAsia="Times New Roman" w:cstheme="minorHAnsi"/>
          <w:color w:val="000000"/>
          <w:lang w:eastAsia="en-GB"/>
        </w:rPr>
        <w:t xml:space="preserve"> Jamie Trotman</w:t>
      </w:r>
      <w:r w:rsidR="008C1EC2">
        <w:rPr>
          <w:rFonts w:eastAsia="Times New Roman" w:cstheme="minorHAnsi"/>
          <w:color w:val="000000"/>
          <w:vertAlign w:val="superscript"/>
          <w:lang w:eastAsia="en-GB"/>
        </w:rPr>
        <w:t>2</w:t>
      </w:r>
      <w:r w:rsidR="00ED2CAE" w:rsidRPr="008C1EC2">
        <w:rPr>
          <w:rFonts w:eastAsia="Times New Roman" w:cstheme="minorHAnsi"/>
          <w:color w:val="000000"/>
          <w:lang w:eastAsia="en-GB"/>
        </w:rPr>
        <w:t>, Namir Al Ha</w:t>
      </w:r>
      <w:r w:rsidRPr="008C1EC2">
        <w:rPr>
          <w:rFonts w:eastAsia="Times New Roman" w:cstheme="minorHAnsi"/>
          <w:color w:val="000000"/>
          <w:lang w:eastAsia="en-GB"/>
        </w:rPr>
        <w:t>sso</w:t>
      </w:r>
      <w:r w:rsidR="008C1EC2">
        <w:rPr>
          <w:rFonts w:eastAsia="Times New Roman" w:cstheme="minorHAnsi"/>
          <w:color w:val="000000"/>
          <w:vertAlign w:val="superscript"/>
          <w:lang w:eastAsia="en-GB"/>
        </w:rPr>
        <w:t>2</w:t>
      </w:r>
      <w:r w:rsidRPr="008C1EC2">
        <w:rPr>
          <w:rFonts w:eastAsia="Times New Roman" w:cstheme="minorHAnsi"/>
          <w:color w:val="000000"/>
          <w:lang w:eastAsia="en-GB"/>
        </w:rPr>
        <w:t>,</w:t>
      </w:r>
      <w:r w:rsidR="003A3478" w:rsidRPr="008C1EC2">
        <w:rPr>
          <w:rFonts w:eastAsia="Times New Roman" w:cstheme="minorHAnsi"/>
          <w:color w:val="000000"/>
          <w:lang w:eastAsia="en-GB"/>
        </w:rPr>
        <w:t xml:space="preserve"> </w:t>
      </w:r>
      <w:r w:rsidRPr="008C1EC2">
        <w:rPr>
          <w:rFonts w:eastAsia="Times New Roman" w:cstheme="minorHAnsi"/>
          <w:color w:val="000000"/>
          <w:lang w:eastAsia="en-GB"/>
        </w:rPr>
        <w:t xml:space="preserve">Soo-Mi </w:t>
      </w:r>
      <w:r w:rsidR="00AC227F" w:rsidRPr="008C1EC2">
        <w:rPr>
          <w:rFonts w:eastAsia="Times New Roman" w:cstheme="minorHAnsi"/>
          <w:color w:val="000000"/>
          <w:lang w:eastAsia="en-GB"/>
        </w:rPr>
        <w:t>Park</w:t>
      </w:r>
      <w:r w:rsidRPr="008C1EC2">
        <w:rPr>
          <w:rFonts w:eastAsia="Times New Roman" w:cstheme="minorHAnsi"/>
          <w:color w:val="000000"/>
          <w:vertAlign w:val="superscript"/>
          <w:lang w:eastAsia="en-GB"/>
        </w:rPr>
        <w:t>2</w:t>
      </w:r>
    </w:p>
    <w:p w14:paraId="1A217E04" w14:textId="77777777" w:rsidR="00555E9F" w:rsidRPr="008C1EC2" w:rsidRDefault="00555E9F" w:rsidP="008C1EC2">
      <w:pPr>
        <w:spacing w:after="0" w:line="276" w:lineRule="auto"/>
        <w:jc w:val="both"/>
        <w:rPr>
          <w:rFonts w:eastAsia="Times New Roman" w:cstheme="minorHAnsi"/>
          <w:color w:val="000000"/>
          <w:vertAlign w:val="superscript"/>
          <w:lang w:eastAsia="en-GB"/>
        </w:rPr>
      </w:pPr>
    </w:p>
    <w:p w14:paraId="67F51120" w14:textId="169A67C4" w:rsidR="00B178BB" w:rsidRDefault="00F10675" w:rsidP="00B178BB">
      <w:pPr>
        <w:pStyle w:val="PlainText"/>
        <w:rPr>
          <w:sz w:val="20"/>
        </w:rPr>
      </w:pPr>
      <w:r w:rsidRPr="008C1EC2">
        <w:rPr>
          <w:rFonts w:eastAsia="Times New Roman" w:cstheme="minorHAnsi"/>
          <w:color w:val="000000"/>
          <w:sz w:val="20"/>
          <w:szCs w:val="22"/>
          <w:vertAlign w:val="superscript"/>
          <w:lang w:eastAsia="en-GB"/>
        </w:rPr>
        <w:t>1</w:t>
      </w:r>
      <w:r w:rsidRPr="008C1EC2">
        <w:rPr>
          <w:rFonts w:eastAsia="Times New Roman" w:cstheme="minorHAnsi"/>
          <w:color w:val="000000"/>
          <w:sz w:val="20"/>
          <w:szCs w:val="22"/>
          <w:lang w:eastAsia="en-GB"/>
        </w:rPr>
        <w:t xml:space="preserve">School of Clinical Medicine, University of Cambridge, UK; </w:t>
      </w:r>
      <w:r w:rsidRPr="008C1EC2">
        <w:rPr>
          <w:rFonts w:eastAsia="Times New Roman" w:cstheme="minorHAnsi"/>
          <w:color w:val="000000"/>
          <w:sz w:val="20"/>
          <w:szCs w:val="22"/>
          <w:vertAlign w:val="superscript"/>
          <w:lang w:eastAsia="en-GB"/>
        </w:rPr>
        <w:t>2</w:t>
      </w:r>
      <w:r w:rsidR="008C1EC2" w:rsidRPr="008C1EC2">
        <w:rPr>
          <w:sz w:val="20"/>
        </w:rPr>
        <w:t>East Anglian Medical Genetics Service, Cambridge University Hospital</w:t>
      </w:r>
      <w:r w:rsidR="00682035">
        <w:rPr>
          <w:sz w:val="20"/>
        </w:rPr>
        <w:t>s</w:t>
      </w:r>
      <w:r w:rsidR="008C1EC2" w:rsidRPr="008C1EC2">
        <w:rPr>
          <w:sz w:val="20"/>
        </w:rPr>
        <w:t xml:space="preserve"> NHS Foundation Trust, Cambridge Biomedical Campus, Cambridge</w:t>
      </w:r>
      <w:r w:rsidR="00682035">
        <w:rPr>
          <w:sz w:val="20"/>
        </w:rPr>
        <w:t>,</w:t>
      </w:r>
      <w:r w:rsidR="008C1EC2" w:rsidRPr="008C1EC2">
        <w:rPr>
          <w:sz w:val="20"/>
        </w:rPr>
        <w:t xml:space="preserve"> UK</w:t>
      </w:r>
      <w:r w:rsidRPr="008C1EC2">
        <w:rPr>
          <w:rFonts w:eastAsia="Times New Roman" w:cstheme="minorHAnsi"/>
          <w:color w:val="000000"/>
          <w:sz w:val="20"/>
          <w:szCs w:val="22"/>
          <w:lang w:eastAsia="en-GB"/>
        </w:rPr>
        <w:t xml:space="preserve">; </w:t>
      </w:r>
      <w:r w:rsidRPr="008C1EC2">
        <w:rPr>
          <w:rFonts w:eastAsia="Times New Roman" w:cstheme="minorHAnsi"/>
          <w:color w:val="000000"/>
          <w:sz w:val="20"/>
          <w:szCs w:val="22"/>
          <w:vertAlign w:val="superscript"/>
          <w:lang w:eastAsia="en-GB"/>
        </w:rPr>
        <w:t>3</w:t>
      </w:r>
      <w:r w:rsidR="00531315" w:rsidRPr="00531315">
        <w:rPr>
          <w:rFonts w:eastAsia="Times New Roman" w:cstheme="minorHAnsi"/>
          <w:color w:val="000000"/>
          <w:sz w:val="20"/>
          <w:szCs w:val="22"/>
          <w:lang w:eastAsia="en-GB"/>
        </w:rPr>
        <w:t xml:space="preserve"> </w:t>
      </w:r>
      <w:r w:rsidR="00531315" w:rsidRPr="00002204">
        <w:rPr>
          <w:rFonts w:eastAsia="Times New Roman" w:cstheme="minorHAnsi"/>
          <w:color w:val="000000"/>
          <w:sz w:val="20"/>
          <w:szCs w:val="22"/>
          <w:lang w:eastAsia="en-GB"/>
        </w:rPr>
        <w:t>Wolfson Diabetes and Endocrine Clinic</w:t>
      </w:r>
      <w:r w:rsidR="00531315">
        <w:rPr>
          <w:rFonts w:eastAsia="Times New Roman" w:cstheme="minorHAnsi"/>
          <w:color w:val="000000"/>
          <w:sz w:val="20"/>
          <w:szCs w:val="22"/>
          <w:lang w:eastAsia="en-GB"/>
        </w:rPr>
        <w:t xml:space="preserve">, </w:t>
      </w:r>
      <w:r w:rsidRPr="008C1EC2">
        <w:rPr>
          <w:rFonts w:eastAsia="Times New Roman" w:cstheme="minorHAnsi"/>
          <w:color w:val="000000"/>
          <w:sz w:val="20"/>
          <w:szCs w:val="22"/>
          <w:lang w:eastAsia="en-GB"/>
        </w:rPr>
        <w:t xml:space="preserve">Department of Endocrinology, </w:t>
      </w:r>
      <w:r w:rsidR="008C1EC2" w:rsidRPr="008C1EC2">
        <w:rPr>
          <w:sz w:val="20"/>
        </w:rPr>
        <w:t>Cambridge University Hospital</w:t>
      </w:r>
      <w:r w:rsidR="00682035">
        <w:rPr>
          <w:sz w:val="20"/>
        </w:rPr>
        <w:t>s</w:t>
      </w:r>
      <w:r w:rsidR="008C1EC2" w:rsidRPr="008C1EC2">
        <w:rPr>
          <w:sz w:val="20"/>
        </w:rPr>
        <w:t xml:space="preserve"> NHS Foundation Trust, </w:t>
      </w:r>
      <w:r w:rsidR="00682035" w:rsidRPr="008C1EC2">
        <w:rPr>
          <w:sz w:val="20"/>
        </w:rPr>
        <w:t>Cambridge Biomedical Campus</w:t>
      </w:r>
      <w:r w:rsidR="00682035">
        <w:rPr>
          <w:sz w:val="20"/>
        </w:rPr>
        <w:t xml:space="preserve">, </w:t>
      </w:r>
      <w:r w:rsidR="008C1EC2" w:rsidRPr="008C1EC2">
        <w:rPr>
          <w:sz w:val="20"/>
        </w:rPr>
        <w:t>Cambridge</w:t>
      </w:r>
      <w:r w:rsidR="00682035">
        <w:rPr>
          <w:sz w:val="20"/>
        </w:rPr>
        <w:t>,</w:t>
      </w:r>
      <w:r w:rsidR="008C1EC2" w:rsidRPr="008C1EC2">
        <w:rPr>
          <w:sz w:val="20"/>
        </w:rPr>
        <w:t xml:space="preserve"> UK</w:t>
      </w:r>
      <w:r w:rsidR="00ED2CAE" w:rsidRPr="008C1EC2">
        <w:rPr>
          <w:rFonts w:eastAsia="Times New Roman" w:cstheme="minorHAnsi"/>
          <w:color w:val="000000"/>
          <w:sz w:val="20"/>
          <w:szCs w:val="22"/>
          <w:lang w:eastAsia="en-GB"/>
        </w:rPr>
        <w:t>;</w:t>
      </w:r>
      <w:r w:rsidR="00002204" w:rsidRPr="008C1EC2">
        <w:rPr>
          <w:rFonts w:eastAsia="Times New Roman" w:cstheme="minorHAnsi"/>
          <w:color w:val="000000"/>
          <w:sz w:val="20"/>
          <w:szCs w:val="22"/>
          <w:lang w:eastAsia="en-GB"/>
        </w:rPr>
        <w:t xml:space="preserve"> </w:t>
      </w:r>
      <w:r w:rsidR="00002204">
        <w:rPr>
          <w:rFonts w:eastAsia="Times New Roman" w:cstheme="minorHAnsi"/>
          <w:color w:val="000000"/>
          <w:sz w:val="20"/>
          <w:szCs w:val="22"/>
          <w:vertAlign w:val="superscript"/>
          <w:lang w:eastAsia="en-GB"/>
        </w:rPr>
        <w:t>5</w:t>
      </w:r>
      <w:r w:rsidR="00ED2CAE" w:rsidRPr="008C1EC2">
        <w:rPr>
          <w:rFonts w:eastAsia="Times New Roman" w:cstheme="minorHAnsi"/>
          <w:color w:val="000000"/>
          <w:sz w:val="20"/>
          <w:szCs w:val="22"/>
          <w:lang w:eastAsia="en-GB"/>
        </w:rPr>
        <w:t>University of Sheffield,</w:t>
      </w:r>
      <w:r w:rsidR="007E063A">
        <w:rPr>
          <w:rFonts w:eastAsia="Times New Roman" w:cstheme="minorHAnsi"/>
          <w:color w:val="000000"/>
          <w:sz w:val="20"/>
          <w:szCs w:val="22"/>
          <w:lang w:eastAsia="en-GB"/>
        </w:rPr>
        <w:t xml:space="preserve"> </w:t>
      </w:r>
      <w:r w:rsidR="007E063A">
        <w:rPr>
          <w:rFonts w:eastAsia="Times New Roman"/>
          <w:color w:val="000000"/>
          <w:sz w:val="20"/>
          <w:szCs w:val="20"/>
        </w:rPr>
        <w:t>Academic Unit of Child Health, Sheffield Children's NHS Foundation Trust</w:t>
      </w:r>
      <w:r w:rsidR="00682035">
        <w:rPr>
          <w:rFonts w:eastAsia="Times New Roman"/>
          <w:color w:val="000000"/>
          <w:sz w:val="20"/>
          <w:szCs w:val="20"/>
        </w:rPr>
        <w:t>,</w:t>
      </w:r>
      <w:r w:rsidR="00ED2CAE" w:rsidRPr="008C1EC2">
        <w:rPr>
          <w:rFonts w:eastAsia="Times New Roman" w:cstheme="minorHAnsi"/>
          <w:color w:val="000000"/>
          <w:sz w:val="20"/>
          <w:szCs w:val="22"/>
          <w:lang w:eastAsia="en-GB"/>
        </w:rPr>
        <w:t xml:space="preserve"> Sheffield, UK; </w:t>
      </w:r>
      <w:r w:rsidR="00002204">
        <w:rPr>
          <w:rFonts w:eastAsia="Times New Roman" w:cstheme="minorHAnsi"/>
          <w:color w:val="000000"/>
          <w:sz w:val="20"/>
          <w:szCs w:val="22"/>
          <w:vertAlign w:val="superscript"/>
          <w:lang w:eastAsia="en-GB"/>
        </w:rPr>
        <w:t>6</w:t>
      </w:r>
      <w:r w:rsidR="00ED2CAE" w:rsidRPr="008C1EC2">
        <w:rPr>
          <w:rFonts w:eastAsia="Times New Roman" w:cstheme="minorHAnsi"/>
          <w:color w:val="000000"/>
          <w:sz w:val="20"/>
          <w:szCs w:val="22"/>
          <w:lang w:eastAsia="en-GB"/>
        </w:rPr>
        <w:t xml:space="preserve">Department of Rheumatology, </w:t>
      </w:r>
      <w:r w:rsidR="008C1EC2" w:rsidRPr="008C1EC2">
        <w:rPr>
          <w:sz w:val="20"/>
        </w:rPr>
        <w:t>Cambridge University Hospital</w:t>
      </w:r>
      <w:r w:rsidR="00682035">
        <w:rPr>
          <w:sz w:val="20"/>
        </w:rPr>
        <w:t>s</w:t>
      </w:r>
      <w:r w:rsidR="008C1EC2" w:rsidRPr="008C1EC2">
        <w:rPr>
          <w:sz w:val="20"/>
        </w:rPr>
        <w:t xml:space="preserve"> NHS Foundation Trust,</w:t>
      </w:r>
      <w:r w:rsidR="00682035">
        <w:rPr>
          <w:sz w:val="20"/>
        </w:rPr>
        <w:t xml:space="preserve"> </w:t>
      </w:r>
      <w:r w:rsidR="00682035" w:rsidRPr="008C1EC2">
        <w:rPr>
          <w:sz w:val="20"/>
        </w:rPr>
        <w:t>Cambridge Biomedical Campus</w:t>
      </w:r>
      <w:r w:rsidR="00682035">
        <w:rPr>
          <w:sz w:val="20"/>
        </w:rPr>
        <w:t>,</w:t>
      </w:r>
      <w:r w:rsidR="008C1EC2" w:rsidRPr="008C1EC2">
        <w:rPr>
          <w:sz w:val="20"/>
        </w:rPr>
        <w:t xml:space="preserve"> Cambridge</w:t>
      </w:r>
      <w:r w:rsidR="00682035">
        <w:rPr>
          <w:sz w:val="20"/>
        </w:rPr>
        <w:t>,</w:t>
      </w:r>
      <w:r w:rsidR="008C1EC2" w:rsidRPr="008C1EC2">
        <w:rPr>
          <w:sz w:val="20"/>
        </w:rPr>
        <w:t xml:space="preserve"> UK</w:t>
      </w:r>
    </w:p>
    <w:p w14:paraId="590C6FF9" w14:textId="77777777" w:rsidR="00B178BB" w:rsidRPr="00B178BB" w:rsidRDefault="00B178BB" w:rsidP="00B178BB">
      <w:pPr>
        <w:pStyle w:val="PlainText"/>
        <w:rPr>
          <w:sz w:val="20"/>
        </w:rPr>
      </w:pPr>
    </w:p>
    <w:p w14:paraId="36D8D698" w14:textId="77777777" w:rsidR="00C80DFF" w:rsidRPr="008C1EC2" w:rsidRDefault="00C80DFF" w:rsidP="006256D2">
      <w:pPr>
        <w:spacing w:after="0" w:line="480" w:lineRule="auto"/>
        <w:jc w:val="both"/>
        <w:outlineLvl w:val="0"/>
        <w:rPr>
          <w:rFonts w:eastAsia="Times New Roman" w:cstheme="minorHAnsi"/>
          <w:b/>
          <w:lang w:eastAsia="en-GB"/>
        </w:rPr>
      </w:pPr>
      <w:r w:rsidRPr="008C1EC2">
        <w:rPr>
          <w:rFonts w:eastAsia="Times New Roman" w:cstheme="minorHAnsi"/>
          <w:b/>
          <w:color w:val="000000"/>
          <w:lang w:eastAsia="en-GB"/>
        </w:rPr>
        <w:t>Abstract</w:t>
      </w:r>
    </w:p>
    <w:p w14:paraId="3ECC5A73" w14:textId="259AD7EC" w:rsidR="0027355B" w:rsidRPr="008C1EC2" w:rsidRDefault="00D43A84" w:rsidP="004C3BF7">
      <w:pPr>
        <w:spacing w:after="0" w:line="480" w:lineRule="auto"/>
        <w:rPr>
          <w:rFonts w:eastAsia="Times New Roman" w:cstheme="minorHAnsi"/>
          <w:lang w:eastAsia="en-GB"/>
        </w:rPr>
      </w:pPr>
      <w:r w:rsidRPr="008C1EC2">
        <w:rPr>
          <w:rFonts w:eastAsia="Times New Roman" w:cstheme="minorHAnsi"/>
          <w:lang w:eastAsia="en-GB"/>
        </w:rPr>
        <w:t>Albright Hereditary Ost</w:t>
      </w:r>
      <w:r w:rsidR="00493FC3" w:rsidRPr="008C1EC2">
        <w:rPr>
          <w:rFonts w:eastAsia="Times New Roman" w:cstheme="minorHAnsi"/>
          <w:lang w:eastAsia="en-GB"/>
        </w:rPr>
        <w:t xml:space="preserve">eodystrophy (AHO) is a </w:t>
      </w:r>
      <w:r w:rsidR="00BD08B2" w:rsidRPr="008C1EC2">
        <w:rPr>
          <w:rFonts w:eastAsia="Times New Roman" w:cstheme="minorHAnsi"/>
          <w:lang w:eastAsia="en-GB"/>
        </w:rPr>
        <w:t xml:space="preserve">complex disorder </w:t>
      </w:r>
      <w:r w:rsidR="004E5F0F">
        <w:rPr>
          <w:rFonts w:eastAsia="Times New Roman" w:cstheme="minorHAnsi"/>
          <w:lang w:eastAsia="en-GB"/>
        </w:rPr>
        <w:t>defined by the presence of</w:t>
      </w:r>
      <w:r w:rsidR="00BD08B2" w:rsidRPr="008C1EC2">
        <w:rPr>
          <w:rFonts w:eastAsia="Times New Roman" w:cstheme="minorHAnsi"/>
          <w:lang w:eastAsia="en-GB"/>
        </w:rPr>
        <w:t xml:space="preserve"> short adult stature</w:t>
      </w:r>
      <w:r w:rsidR="004E5F0F">
        <w:rPr>
          <w:rFonts w:eastAsia="Times New Roman" w:cstheme="minorHAnsi"/>
          <w:lang w:eastAsia="en-GB"/>
        </w:rPr>
        <w:t xml:space="preserve"> relative to the height of an unaffected parent and</w:t>
      </w:r>
      <w:r w:rsidR="00BD08B2" w:rsidRPr="008C1EC2">
        <w:rPr>
          <w:rFonts w:eastAsia="Times New Roman" w:cstheme="minorHAnsi"/>
          <w:lang w:eastAsia="en-GB"/>
        </w:rPr>
        <w:t xml:space="preserve"> brachydactyly</w:t>
      </w:r>
      <w:r w:rsidR="004E5F0F">
        <w:rPr>
          <w:rFonts w:eastAsia="Times New Roman" w:cstheme="minorHAnsi"/>
          <w:lang w:eastAsia="en-GB"/>
        </w:rPr>
        <w:t xml:space="preserve"> type E</w:t>
      </w:r>
      <w:r w:rsidR="00BD08B2" w:rsidRPr="008C1EC2">
        <w:rPr>
          <w:rFonts w:eastAsia="Times New Roman" w:cstheme="minorHAnsi"/>
          <w:lang w:eastAsia="en-GB"/>
        </w:rPr>
        <w:t>,</w:t>
      </w:r>
      <w:r w:rsidR="004E5F0F">
        <w:rPr>
          <w:rFonts w:eastAsia="Times New Roman" w:cstheme="minorHAnsi"/>
          <w:lang w:eastAsia="en-GB"/>
        </w:rPr>
        <w:t xml:space="preserve"> as well as</w:t>
      </w:r>
      <w:r w:rsidR="00BD08B2" w:rsidRPr="008C1EC2">
        <w:rPr>
          <w:rFonts w:eastAsia="Times New Roman" w:cstheme="minorHAnsi"/>
          <w:lang w:eastAsia="en-GB"/>
        </w:rPr>
        <w:t xml:space="preserve"> </w:t>
      </w:r>
      <w:r w:rsidR="004E5F0F">
        <w:rPr>
          <w:rFonts w:eastAsia="Times New Roman" w:cstheme="minorHAnsi"/>
          <w:lang w:eastAsia="en-GB"/>
        </w:rPr>
        <w:t>a stocky build, round face</w:t>
      </w:r>
      <w:r w:rsidR="00BD08B2" w:rsidRPr="008C1EC2">
        <w:rPr>
          <w:rFonts w:eastAsia="Times New Roman" w:cstheme="minorHAnsi"/>
          <w:lang w:eastAsia="en-GB"/>
        </w:rPr>
        <w:t xml:space="preserve">, and </w:t>
      </w:r>
      <w:r w:rsidR="004E5F0F">
        <w:rPr>
          <w:rFonts w:eastAsia="Times New Roman" w:cstheme="minorHAnsi"/>
          <w:lang w:eastAsia="en-GB"/>
        </w:rPr>
        <w:t>ectopic</w:t>
      </w:r>
      <w:r w:rsidR="004E5F0F" w:rsidRPr="008C1EC2">
        <w:rPr>
          <w:rFonts w:eastAsia="Times New Roman" w:cstheme="minorHAnsi"/>
          <w:lang w:eastAsia="en-GB"/>
        </w:rPr>
        <w:t xml:space="preserve"> </w:t>
      </w:r>
      <w:r w:rsidR="00BD08B2" w:rsidRPr="008C1EC2">
        <w:rPr>
          <w:rFonts w:eastAsia="Times New Roman" w:cstheme="minorHAnsi"/>
          <w:lang w:eastAsia="en-GB"/>
        </w:rPr>
        <w:t xml:space="preserve">calcifications. AHO and </w:t>
      </w:r>
      <w:r w:rsidR="00D048AF" w:rsidRPr="008C1EC2">
        <w:rPr>
          <w:rFonts w:eastAsia="Times New Roman" w:cstheme="minorHAnsi"/>
          <w:lang w:eastAsia="en-GB"/>
        </w:rPr>
        <w:t xml:space="preserve">pseudohypoparathyroidism (PHP) </w:t>
      </w:r>
      <w:r w:rsidR="00BD08B2" w:rsidRPr="008C1EC2">
        <w:rPr>
          <w:rFonts w:eastAsia="Times New Roman" w:cstheme="minorHAnsi"/>
          <w:lang w:eastAsia="en-GB"/>
        </w:rPr>
        <w:t xml:space="preserve">have been used interchangeably in the past. </w:t>
      </w:r>
      <w:r w:rsidR="00345B7A" w:rsidRPr="008C1EC2">
        <w:rPr>
          <w:rFonts w:eastAsia="Times New Roman" w:cstheme="minorHAnsi"/>
          <w:lang w:eastAsia="en-GB"/>
        </w:rPr>
        <w:t>The term PHP</w:t>
      </w:r>
      <w:r w:rsidR="00855FCB" w:rsidRPr="008C1EC2">
        <w:rPr>
          <w:rFonts w:eastAsia="Times New Roman" w:cstheme="minorHAnsi"/>
          <w:lang w:eastAsia="en-GB"/>
        </w:rPr>
        <w:t xml:space="preserve"> is used to describe </w:t>
      </w:r>
      <w:r w:rsidR="00D048AF" w:rsidRPr="008C1EC2">
        <w:rPr>
          <w:rFonts w:eastAsia="Times New Roman" w:cstheme="minorHAnsi"/>
          <w:lang w:eastAsia="en-GB"/>
        </w:rPr>
        <w:t xml:space="preserve">end-organ resistance to parathyroid hormone (PTH) and may occur with or without </w:t>
      </w:r>
      <w:r w:rsidR="004C3BF7" w:rsidRPr="004C3BF7">
        <w:rPr>
          <w:rFonts w:eastAsia="Times New Roman" w:cstheme="minorHAnsi"/>
          <w:lang w:eastAsia="en-GB"/>
        </w:rPr>
        <w:t>the physical features</w:t>
      </w:r>
      <w:r w:rsidR="004C3BF7">
        <w:rPr>
          <w:rFonts w:eastAsia="Times New Roman" w:cstheme="minorHAnsi"/>
          <w:lang w:eastAsia="en-GB"/>
        </w:rPr>
        <w:t xml:space="preserve"> </w:t>
      </w:r>
      <w:r w:rsidR="004C3BF7" w:rsidRPr="004C3BF7">
        <w:rPr>
          <w:rFonts w:eastAsia="Times New Roman" w:cstheme="minorHAnsi"/>
          <w:lang w:eastAsia="en-GB"/>
        </w:rPr>
        <w:t>of AHO</w:t>
      </w:r>
      <w:r w:rsidR="00D048AF" w:rsidRPr="008C1EC2">
        <w:rPr>
          <w:rFonts w:eastAsia="Times New Roman" w:cstheme="minorHAnsi"/>
          <w:lang w:eastAsia="en-GB"/>
        </w:rPr>
        <w:t xml:space="preserve">. </w:t>
      </w:r>
      <w:r w:rsidR="007632DF" w:rsidRPr="008C1EC2">
        <w:rPr>
          <w:rFonts w:eastAsia="Times New Roman" w:cstheme="minorHAnsi"/>
          <w:lang w:eastAsia="en-GB"/>
        </w:rPr>
        <w:t>Conversely</w:t>
      </w:r>
      <w:r w:rsidR="00D048AF" w:rsidRPr="008C1EC2">
        <w:rPr>
          <w:rFonts w:eastAsia="Times New Roman" w:cstheme="minorHAnsi"/>
          <w:lang w:eastAsia="en-GB"/>
        </w:rPr>
        <w:t xml:space="preserve">, pseudopseudohypoparathyroidism (PPHP) </w:t>
      </w:r>
      <w:r w:rsidR="007632DF" w:rsidRPr="008C1EC2">
        <w:rPr>
          <w:rFonts w:eastAsia="Times New Roman" w:cstheme="minorHAnsi"/>
          <w:lang w:eastAsia="en-GB"/>
        </w:rPr>
        <w:t xml:space="preserve">is used to describe individuals with AHO features in the absence of PTH resistance.  </w:t>
      </w:r>
      <w:r w:rsidR="008E402C" w:rsidRPr="008C1EC2">
        <w:rPr>
          <w:rFonts w:eastAsia="Times New Roman" w:cstheme="minorHAnsi"/>
          <w:lang w:eastAsia="en-GB"/>
        </w:rPr>
        <w:t xml:space="preserve">PHP and PPHP are aetiologically linked and caused </w:t>
      </w:r>
      <w:r w:rsidR="00CC29BF" w:rsidRPr="008C1EC2">
        <w:rPr>
          <w:rFonts w:eastAsia="Times New Roman" w:cstheme="minorHAnsi"/>
          <w:lang w:eastAsia="en-GB"/>
        </w:rPr>
        <w:t>by</w:t>
      </w:r>
      <w:r w:rsidR="008E402C" w:rsidRPr="008C1EC2">
        <w:rPr>
          <w:rFonts w:eastAsia="Times New Roman" w:cstheme="minorHAnsi"/>
          <w:lang w:eastAsia="en-GB"/>
        </w:rPr>
        <w:t xml:space="preserve"> </w:t>
      </w:r>
      <w:r w:rsidR="00382837" w:rsidRPr="008C1EC2">
        <w:rPr>
          <w:rFonts w:eastAsia="Times New Roman" w:cstheme="minorHAnsi"/>
          <w:lang w:eastAsia="en-GB"/>
        </w:rPr>
        <w:t>genetic and/or epigenetic alterations</w:t>
      </w:r>
      <w:r w:rsidR="008E402C" w:rsidRPr="008C1EC2">
        <w:rPr>
          <w:rFonts w:eastAsia="Times New Roman" w:cstheme="minorHAnsi"/>
          <w:lang w:eastAsia="en-GB"/>
        </w:rPr>
        <w:t xml:space="preserve"> in the </w:t>
      </w:r>
      <w:r w:rsidR="00382837" w:rsidRPr="008C1EC2">
        <w:t>guanine nucleotide-binding protein alpha-stimulating (G</w:t>
      </w:r>
      <w:r w:rsidR="00382837" w:rsidRPr="00555E9F">
        <w:rPr>
          <w:vertAlign w:val="subscript"/>
        </w:rPr>
        <w:t>s</w:t>
      </w:r>
      <w:r w:rsidR="00382837" w:rsidRPr="008C1EC2">
        <w:t>α) locus (</w:t>
      </w:r>
      <w:r w:rsidR="00382837" w:rsidRPr="008C1EC2">
        <w:rPr>
          <w:rStyle w:val="Emphasis"/>
        </w:rPr>
        <w:t>GNAS</w:t>
      </w:r>
      <w:r w:rsidR="00382837" w:rsidRPr="008C1EC2">
        <w:t>)</w:t>
      </w:r>
      <w:r w:rsidR="0083350D" w:rsidRPr="008C1EC2">
        <w:t xml:space="preserve"> in chromosome 20q13</w:t>
      </w:r>
      <w:r w:rsidR="00077590" w:rsidRPr="008C1EC2">
        <w:rPr>
          <w:rFonts w:eastAsia="Times New Roman" w:cstheme="minorHAnsi"/>
          <w:lang w:eastAsia="en-GB"/>
        </w:rPr>
        <w:t xml:space="preserve">. </w:t>
      </w:r>
      <w:r w:rsidR="0083350D" w:rsidRPr="008C1EC2">
        <w:rPr>
          <w:rFonts w:eastAsia="Times New Roman" w:cstheme="minorHAnsi"/>
          <w:lang w:eastAsia="en-GB"/>
        </w:rPr>
        <w:t xml:space="preserve"> </w:t>
      </w:r>
      <w:r w:rsidR="00077590" w:rsidRPr="008C1EC2">
        <w:rPr>
          <w:rFonts w:eastAsia="Times New Roman" w:cstheme="minorHAnsi"/>
          <w:lang w:eastAsia="en-GB"/>
        </w:rPr>
        <w:t xml:space="preserve">Another </w:t>
      </w:r>
      <w:r w:rsidR="00EC1D31" w:rsidRPr="008C1EC2">
        <w:rPr>
          <w:rFonts w:eastAsia="Times New Roman" w:cstheme="minorHAnsi"/>
          <w:lang w:eastAsia="en-GB"/>
        </w:rPr>
        <w:t>less-</w:t>
      </w:r>
      <w:r w:rsidR="00077590" w:rsidRPr="008C1EC2">
        <w:rPr>
          <w:rFonts w:eastAsia="Times New Roman" w:cstheme="minorHAnsi"/>
          <w:lang w:eastAsia="en-GB"/>
        </w:rPr>
        <w:t xml:space="preserve">recognised </w:t>
      </w:r>
      <w:r w:rsidR="00EC1D31" w:rsidRPr="008C1EC2">
        <w:rPr>
          <w:rFonts w:eastAsia="Times New Roman" w:cstheme="minorHAnsi"/>
          <w:lang w:eastAsia="en-GB"/>
        </w:rPr>
        <w:t>group</w:t>
      </w:r>
      <w:r w:rsidR="00F2010A" w:rsidRPr="008C1EC2">
        <w:rPr>
          <w:rFonts w:eastAsia="Times New Roman" w:cstheme="minorHAnsi"/>
          <w:lang w:eastAsia="en-GB"/>
        </w:rPr>
        <w:t xml:space="preserve"> of</w:t>
      </w:r>
      <w:r w:rsidR="00077590" w:rsidRPr="008C1EC2">
        <w:rPr>
          <w:rFonts w:eastAsia="Times New Roman" w:cstheme="minorHAnsi"/>
          <w:lang w:eastAsia="en-GB"/>
        </w:rPr>
        <w:t xml:space="preserve"> skeletal dysplasias</w:t>
      </w:r>
      <w:r w:rsidR="00F2010A" w:rsidRPr="008C1EC2">
        <w:rPr>
          <w:rFonts w:eastAsia="Times New Roman" w:cstheme="minorHAnsi"/>
          <w:lang w:eastAsia="en-GB"/>
        </w:rPr>
        <w:t xml:space="preserve">, termed acrodysostosis, </w:t>
      </w:r>
      <w:r w:rsidR="00077590" w:rsidRPr="008C1EC2">
        <w:rPr>
          <w:rFonts w:eastAsia="Times New Roman" w:cstheme="minorHAnsi"/>
          <w:lang w:eastAsia="en-GB"/>
        </w:rPr>
        <w:t>partially overlap</w:t>
      </w:r>
      <w:r w:rsidR="000E54AE" w:rsidRPr="008C1EC2">
        <w:rPr>
          <w:rFonts w:eastAsia="Times New Roman" w:cstheme="minorHAnsi"/>
          <w:lang w:eastAsia="en-GB"/>
        </w:rPr>
        <w:t>s</w:t>
      </w:r>
      <w:r w:rsidR="00077590" w:rsidRPr="008C1EC2">
        <w:rPr>
          <w:rFonts w:eastAsia="Times New Roman" w:cstheme="minorHAnsi"/>
          <w:lang w:eastAsia="en-GB"/>
        </w:rPr>
        <w:t xml:space="preserve"> with skeletal</w:t>
      </w:r>
      <w:r w:rsidR="00314222">
        <w:rPr>
          <w:rFonts w:eastAsia="Times New Roman" w:cstheme="minorHAnsi"/>
          <w:lang w:eastAsia="en-GB"/>
        </w:rPr>
        <w:t>,</w:t>
      </w:r>
      <w:r w:rsidR="00077590" w:rsidRPr="008C1EC2">
        <w:rPr>
          <w:rFonts w:eastAsia="Times New Roman" w:cstheme="minorHAnsi"/>
          <w:lang w:eastAsia="en-GB"/>
        </w:rPr>
        <w:t xml:space="preserve"> </w:t>
      </w:r>
      <w:r w:rsidR="00CD1E69" w:rsidRPr="008C1EC2">
        <w:rPr>
          <w:rFonts w:eastAsia="Times New Roman" w:cstheme="minorHAnsi"/>
          <w:lang w:eastAsia="en-GB"/>
        </w:rPr>
        <w:t>endocrin</w:t>
      </w:r>
      <w:r w:rsidR="00CD1E69">
        <w:rPr>
          <w:rFonts w:eastAsia="Times New Roman" w:cstheme="minorHAnsi"/>
          <w:lang w:eastAsia="en-GB"/>
        </w:rPr>
        <w:t>e</w:t>
      </w:r>
      <w:r w:rsidR="00CD1E69" w:rsidRPr="008C1EC2">
        <w:rPr>
          <w:rFonts w:eastAsia="Times New Roman" w:cstheme="minorHAnsi"/>
          <w:lang w:eastAsia="en-GB"/>
        </w:rPr>
        <w:t xml:space="preserve"> </w:t>
      </w:r>
      <w:r w:rsidR="00314222" w:rsidRPr="008C1EC2">
        <w:rPr>
          <w:rFonts w:eastAsia="Times New Roman" w:cstheme="minorHAnsi"/>
          <w:lang w:eastAsia="en-GB"/>
        </w:rPr>
        <w:t xml:space="preserve">and </w:t>
      </w:r>
      <w:r w:rsidR="00314222">
        <w:rPr>
          <w:rFonts w:eastAsia="Times New Roman" w:cstheme="minorHAnsi"/>
          <w:lang w:eastAsia="en-GB"/>
        </w:rPr>
        <w:t xml:space="preserve">neurodevelopmental </w:t>
      </w:r>
      <w:r w:rsidR="00077590" w:rsidRPr="008C1EC2">
        <w:rPr>
          <w:rFonts w:eastAsia="Times New Roman" w:cstheme="minorHAnsi"/>
          <w:lang w:eastAsia="en-GB"/>
        </w:rPr>
        <w:t xml:space="preserve">features of AHO/PHP </w:t>
      </w:r>
      <w:r w:rsidR="0089399F" w:rsidRPr="008C1EC2">
        <w:rPr>
          <w:rFonts w:eastAsia="Times New Roman" w:cstheme="minorHAnsi"/>
          <w:lang w:eastAsia="en-GB"/>
        </w:rPr>
        <w:t xml:space="preserve">and can be overlooked </w:t>
      </w:r>
      <w:r w:rsidR="000E54AE" w:rsidRPr="008C1EC2">
        <w:rPr>
          <w:rFonts w:eastAsia="Times New Roman" w:cstheme="minorHAnsi"/>
          <w:lang w:eastAsia="en-GB"/>
        </w:rPr>
        <w:t>in clinical practice, causing confusion in the literature</w:t>
      </w:r>
      <w:r w:rsidR="0089399F" w:rsidRPr="008C1EC2">
        <w:rPr>
          <w:rFonts w:eastAsia="Times New Roman" w:cstheme="minorHAnsi"/>
          <w:lang w:eastAsia="en-GB"/>
        </w:rPr>
        <w:t xml:space="preserve">. </w:t>
      </w:r>
      <w:r w:rsidR="00077590" w:rsidRPr="008C1EC2">
        <w:rPr>
          <w:rFonts w:eastAsia="Times New Roman" w:cstheme="minorHAnsi"/>
          <w:lang w:eastAsia="en-GB"/>
        </w:rPr>
        <w:t xml:space="preserve">Acrodysostosis is caused by defects in two genes, </w:t>
      </w:r>
      <w:r w:rsidR="00077590" w:rsidRPr="008C1EC2">
        <w:rPr>
          <w:rFonts w:eastAsia="Times New Roman" w:cstheme="minorHAnsi"/>
          <w:i/>
          <w:lang w:eastAsia="en-GB"/>
        </w:rPr>
        <w:t>PRKAR1A</w:t>
      </w:r>
      <w:r w:rsidR="00077590" w:rsidRPr="008C1EC2">
        <w:rPr>
          <w:rFonts w:eastAsia="Times New Roman" w:cstheme="minorHAnsi"/>
          <w:lang w:eastAsia="en-GB"/>
        </w:rPr>
        <w:t xml:space="preserve"> and </w:t>
      </w:r>
      <w:r w:rsidR="00077590" w:rsidRPr="008C1EC2">
        <w:rPr>
          <w:rFonts w:eastAsia="Times New Roman" w:cstheme="minorHAnsi"/>
          <w:i/>
          <w:lang w:eastAsia="en-GB"/>
        </w:rPr>
        <w:t>PDE4D</w:t>
      </w:r>
      <w:r w:rsidR="00077590" w:rsidRPr="008C1EC2">
        <w:rPr>
          <w:rFonts w:eastAsia="Times New Roman" w:cstheme="minorHAnsi"/>
          <w:lang w:eastAsia="en-GB"/>
        </w:rPr>
        <w:t>,</w:t>
      </w:r>
      <w:r w:rsidR="00077590" w:rsidRPr="008C1EC2">
        <w:rPr>
          <w:rFonts w:eastAsia="Times New Roman" w:cstheme="minorHAnsi"/>
          <w:i/>
          <w:lang w:eastAsia="en-GB"/>
        </w:rPr>
        <w:t xml:space="preserve"> </w:t>
      </w:r>
      <w:r w:rsidR="000E54AE" w:rsidRPr="008C1EC2">
        <w:rPr>
          <w:rFonts w:eastAsia="Times New Roman" w:cstheme="minorHAnsi"/>
          <w:lang w:eastAsia="en-GB"/>
        </w:rPr>
        <w:t xml:space="preserve">both encoding for important components of the </w:t>
      </w:r>
      <w:r w:rsidR="000E54AE" w:rsidRPr="008C1EC2">
        <w:t>G</w:t>
      </w:r>
      <w:r w:rsidR="000E54AE" w:rsidRPr="00555E9F">
        <w:rPr>
          <w:vertAlign w:val="subscript"/>
        </w:rPr>
        <w:t>s</w:t>
      </w:r>
      <w:r w:rsidR="000E54AE" w:rsidRPr="008C1EC2">
        <w:t>α-</w:t>
      </w:r>
      <w:r w:rsidR="000E54AE" w:rsidRPr="008C1EC2">
        <w:rPr>
          <w:rFonts w:eastAsia="Times New Roman" w:cstheme="minorHAnsi"/>
          <w:lang w:eastAsia="en-GB"/>
        </w:rPr>
        <w:t xml:space="preserve"> cyclic adenosine monophosphate (cAMP)-protein kinase A (PKA) signalling pathway. </w:t>
      </w:r>
      <w:r w:rsidR="00345B7A" w:rsidRPr="008C1EC2">
        <w:rPr>
          <w:rFonts w:eastAsia="Times New Roman" w:cstheme="minorHAnsi"/>
          <w:lang w:eastAsia="en-GB"/>
        </w:rPr>
        <w:t>Here, we describe the clinical course and</w:t>
      </w:r>
      <w:r w:rsidR="009E73D5" w:rsidRPr="008C1EC2">
        <w:rPr>
          <w:rFonts w:eastAsia="Times New Roman" w:cstheme="minorHAnsi"/>
          <w:lang w:eastAsia="en-GB"/>
        </w:rPr>
        <w:t xml:space="preserve"> genotype of two </w:t>
      </w:r>
      <w:r w:rsidR="00807D80">
        <w:rPr>
          <w:rFonts w:eastAsia="Times New Roman" w:cstheme="minorHAnsi"/>
          <w:lang w:eastAsia="en-GB"/>
        </w:rPr>
        <w:t xml:space="preserve">adult </w:t>
      </w:r>
      <w:r w:rsidR="009E73D5" w:rsidRPr="008C1EC2">
        <w:rPr>
          <w:rFonts w:eastAsia="Times New Roman" w:cstheme="minorHAnsi"/>
          <w:lang w:eastAsia="en-GB"/>
        </w:rPr>
        <w:t>patients with</w:t>
      </w:r>
      <w:r w:rsidR="00345B7A" w:rsidRPr="008C1EC2">
        <w:rPr>
          <w:rFonts w:eastAsia="Times New Roman" w:cstheme="minorHAnsi"/>
          <w:lang w:eastAsia="en-GB"/>
        </w:rPr>
        <w:t xml:space="preserve"> </w:t>
      </w:r>
      <w:r w:rsidR="00CD1E69">
        <w:rPr>
          <w:rFonts w:eastAsia="Times New Roman" w:cstheme="minorHAnsi"/>
          <w:lang w:eastAsia="en-GB"/>
        </w:rPr>
        <w:t xml:space="preserve">overlapping </w:t>
      </w:r>
      <w:r w:rsidR="00345B7A" w:rsidRPr="008C1EC2">
        <w:rPr>
          <w:rFonts w:eastAsia="Times New Roman" w:cstheme="minorHAnsi"/>
          <w:lang w:eastAsia="en-GB"/>
        </w:rPr>
        <w:t xml:space="preserve">AHO </w:t>
      </w:r>
      <w:r w:rsidR="009E73D5" w:rsidRPr="008C1EC2">
        <w:rPr>
          <w:rFonts w:eastAsia="Times New Roman" w:cstheme="minorHAnsi"/>
          <w:lang w:eastAsia="en-GB"/>
        </w:rPr>
        <w:t>features</w:t>
      </w:r>
      <w:r w:rsidR="00345B7A" w:rsidRPr="008C1EC2">
        <w:rPr>
          <w:rFonts w:eastAsia="Times New Roman" w:cstheme="minorHAnsi"/>
          <w:lang w:eastAsia="en-GB"/>
        </w:rPr>
        <w:t xml:space="preserve"> who </w:t>
      </w:r>
      <w:r w:rsidR="000E54AE" w:rsidRPr="008C1EC2">
        <w:rPr>
          <w:rFonts w:eastAsia="Times New Roman" w:cstheme="minorHAnsi"/>
          <w:lang w:eastAsia="en-GB"/>
        </w:rPr>
        <w:t>harboured</w:t>
      </w:r>
      <w:r w:rsidR="00345B7A" w:rsidRPr="008C1EC2">
        <w:rPr>
          <w:rFonts w:eastAsia="Times New Roman" w:cstheme="minorHAnsi"/>
          <w:lang w:eastAsia="en-GB"/>
        </w:rPr>
        <w:t xml:space="preserve"> novel </w:t>
      </w:r>
      <w:r w:rsidR="001346CB" w:rsidRPr="008C1EC2">
        <w:rPr>
          <w:rFonts w:eastAsia="Times New Roman" w:cstheme="minorHAnsi"/>
          <w:lang w:eastAsia="en-GB"/>
        </w:rPr>
        <w:t xml:space="preserve">pathogenic </w:t>
      </w:r>
      <w:r w:rsidR="00345B7A" w:rsidRPr="008C1EC2">
        <w:rPr>
          <w:rFonts w:eastAsia="Times New Roman" w:cstheme="minorHAnsi"/>
          <w:lang w:eastAsia="en-GB"/>
        </w:rPr>
        <w:t xml:space="preserve">variants in the </w:t>
      </w:r>
      <w:r w:rsidR="00345B7A" w:rsidRPr="008C1EC2">
        <w:rPr>
          <w:rFonts w:eastAsia="Times New Roman" w:cstheme="minorHAnsi"/>
          <w:i/>
          <w:lang w:eastAsia="en-GB"/>
        </w:rPr>
        <w:t>GNAS</w:t>
      </w:r>
      <w:r w:rsidR="00345B7A" w:rsidRPr="008C1EC2">
        <w:rPr>
          <w:rFonts w:eastAsia="Times New Roman" w:cstheme="minorHAnsi"/>
          <w:lang w:eastAsia="en-GB"/>
        </w:rPr>
        <w:t xml:space="preserve"> </w:t>
      </w:r>
      <w:r w:rsidR="000E54AE" w:rsidRPr="008C1EC2">
        <w:rPr>
          <w:rFonts w:eastAsia="Times New Roman" w:cstheme="minorHAnsi"/>
          <w:lang w:eastAsia="en-GB"/>
        </w:rPr>
        <w:t>(</w:t>
      </w:r>
      <w:r w:rsidR="000E54AE" w:rsidRPr="008C1EC2">
        <w:rPr>
          <w:rFonts w:eastAsia="Times New Roman" w:cstheme="minorHAnsi"/>
          <w:iCs/>
          <w:color w:val="000000"/>
          <w:lang w:eastAsia="en-GB"/>
        </w:rPr>
        <w:t xml:space="preserve">c.2273C&gt;G, p.Pro758Arg, </w:t>
      </w:r>
      <w:r w:rsidR="00783D07" w:rsidRPr="008C1EC2">
        <w:rPr>
          <w:rFonts w:eastAsia="Times New Roman" w:cstheme="minorHAnsi"/>
          <w:iCs/>
          <w:color w:val="000000"/>
          <w:lang w:eastAsia="en-GB"/>
        </w:rPr>
        <w:t>NM_080425.2</w:t>
      </w:r>
      <w:r w:rsidR="000E54AE" w:rsidRPr="008C1EC2">
        <w:rPr>
          <w:rFonts w:eastAsia="Times New Roman" w:cstheme="minorHAnsi"/>
          <w:iCs/>
          <w:color w:val="000000"/>
          <w:lang w:eastAsia="en-GB"/>
        </w:rPr>
        <w:t xml:space="preserve">) </w:t>
      </w:r>
      <w:r w:rsidR="00345B7A" w:rsidRPr="008C1EC2">
        <w:rPr>
          <w:rFonts w:eastAsia="Times New Roman" w:cstheme="minorHAnsi"/>
          <w:lang w:eastAsia="en-GB"/>
        </w:rPr>
        <w:t xml:space="preserve">and </w:t>
      </w:r>
      <w:r w:rsidR="00345B7A" w:rsidRPr="008C1EC2">
        <w:rPr>
          <w:rFonts w:eastAsia="Times New Roman" w:cstheme="minorHAnsi"/>
          <w:i/>
          <w:lang w:eastAsia="en-GB"/>
        </w:rPr>
        <w:t>PRKAR1A</w:t>
      </w:r>
      <w:r w:rsidR="00345B7A" w:rsidRPr="008C1EC2">
        <w:rPr>
          <w:rFonts w:eastAsia="Times New Roman" w:cstheme="minorHAnsi"/>
          <w:lang w:eastAsia="en-GB"/>
        </w:rPr>
        <w:t xml:space="preserve"> </w:t>
      </w:r>
      <w:r w:rsidR="009E73D5" w:rsidRPr="008C1EC2">
        <w:rPr>
          <w:rFonts w:eastAsia="Times New Roman" w:cstheme="minorHAnsi"/>
          <w:lang w:eastAsia="en-GB"/>
        </w:rPr>
        <w:t>(</w:t>
      </w:r>
      <w:r w:rsidR="009E73D5" w:rsidRPr="008C1EC2">
        <w:rPr>
          <w:rFonts w:eastAsia="Times New Roman" w:cstheme="minorHAnsi"/>
          <w:color w:val="000000"/>
          <w:lang w:eastAsia="en-GB"/>
        </w:rPr>
        <w:t>c.803C&gt;T</w:t>
      </w:r>
      <w:r w:rsidR="009E73D5" w:rsidRPr="008C1EC2">
        <w:t xml:space="preserve">, </w:t>
      </w:r>
      <w:r w:rsidR="009E73D5" w:rsidRPr="008C1EC2">
        <w:rPr>
          <w:rFonts w:eastAsia="Times New Roman" w:cstheme="minorHAnsi"/>
          <w:color w:val="000000"/>
          <w:lang w:eastAsia="en-GB"/>
        </w:rPr>
        <w:t xml:space="preserve">p.Ala268Val, </w:t>
      </w:r>
      <w:r w:rsidR="00783D07" w:rsidRPr="008C1EC2">
        <w:rPr>
          <w:rFonts w:eastAsia="Times New Roman" w:cstheme="minorHAnsi"/>
          <w:color w:val="000000"/>
          <w:lang w:eastAsia="en-GB"/>
        </w:rPr>
        <w:t>NM_002734.4</w:t>
      </w:r>
      <w:r w:rsidR="009E73D5" w:rsidRPr="008C1EC2">
        <w:rPr>
          <w:rFonts w:eastAsia="Times New Roman" w:cstheme="minorHAnsi"/>
          <w:color w:val="000000"/>
          <w:lang w:eastAsia="en-GB"/>
        </w:rPr>
        <w:t xml:space="preserve">) </w:t>
      </w:r>
      <w:r w:rsidR="00345B7A" w:rsidRPr="008C1EC2">
        <w:rPr>
          <w:rFonts w:eastAsia="Times New Roman" w:cstheme="minorHAnsi"/>
          <w:lang w:eastAsia="en-GB"/>
        </w:rPr>
        <w:t>genes</w:t>
      </w:r>
      <w:r w:rsidR="0001313F" w:rsidRPr="008C1EC2">
        <w:rPr>
          <w:rFonts w:eastAsia="Times New Roman" w:cstheme="minorHAnsi"/>
          <w:lang w:eastAsia="en-GB"/>
        </w:rPr>
        <w:t xml:space="preserve">, </w:t>
      </w:r>
      <w:r w:rsidR="00345B7A" w:rsidRPr="008C1EC2">
        <w:rPr>
          <w:rFonts w:eastAsia="Times New Roman" w:cstheme="minorHAnsi"/>
          <w:lang w:eastAsia="en-GB"/>
        </w:rPr>
        <w:t>respectively.</w:t>
      </w:r>
      <w:r w:rsidR="0001313F" w:rsidRPr="008C1EC2">
        <w:t xml:space="preserve"> </w:t>
      </w:r>
      <w:r w:rsidR="00245A90" w:rsidRPr="008C1EC2">
        <w:t xml:space="preserve">We </w:t>
      </w:r>
      <w:r w:rsidR="00351902" w:rsidRPr="008C1EC2">
        <w:t>highlight</w:t>
      </w:r>
      <w:r w:rsidR="00245A90" w:rsidRPr="008C1EC2">
        <w:t xml:space="preserve"> the value of </w:t>
      </w:r>
      <w:r w:rsidR="00314222">
        <w:t xml:space="preserve">expert radiological opinion and </w:t>
      </w:r>
      <w:r w:rsidR="0001313F" w:rsidRPr="008C1EC2">
        <w:t xml:space="preserve">molecular testing </w:t>
      </w:r>
      <w:r w:rsidR="00245A90" w:rsidRPr="008C1EC2">
        <w:t xml:space="preserve">in </w:t>
      </w:r>
      <w:r w:rsidR="00807D80">
        <w:t xml:space="preserve">establishing the correct diagnoses </w:t>
      </w:r>
      <w:r w:rsidR="00351902" w:rsidRPr="008C1EC2">
        <w:t xml:space="preserve">and discuss </w:t>
      </w:r>
      <w:r w:rsidR="003D1E44">
        <w:t>phenotypic features</w:t>
      </w:r>
      <w:r w:rsidR="004C3BF7">
        <w:t xml:space="preserve"> </w:t>
      </w:r>
      <w:r w:rsidR="00FB4508">
        <w:rPr>
          <w:rFonts w:eastAsia="Times New Roman" w:cstheme="minorHAnsi"/>
          <w:lang w:eastAsia="en-GB"/>
        </w:rPr>
        <w:t xml:space="preserve">of </w:t>
      </w:r>
      <w:r w:rsidR="003D1E44">
        <w:rPr>
          <w:rFonts w:eastAsia="Times New Roman" w:cstheme="minorHAnsi"/>
          <w:lang w:eastAsia="en-GB"/>
        </w:rPr>
        <w:t>our patients</w:t>
      </w:r>
      <w:r w:rsidR="007E0BA3">
        <w:rPr>
          <w:rFonts w:eastAsia="Times New Roman" w:cstheme="minorHAnsi"/>
          <w:lang w:eastAsia="en-GB"/>
        </w:rPr>
        <w:t>,</w:t>
      </w:r>
      <w:r w:rsidR="00807D80">
        <w:rPr>
          <w:rFonts w:eastAsia="Times New Roman" w:cstheme="minorHAnsi"/>
          <w:lang w:eastAsia="en-GB"/>
        </w:rPr>
        <w:t xml:space="preserve"> includ</w:t>
      </w:r>
      <w:r w:rsidR="00E97056">
        <w:rPr>
          <w:rFonts w:eastAsia="Times New Roman" w:cstheme="minorHAnsi"/>
          <w:lang w:eastAsia="en-GB"/>
        </w:rPr>
        <w:t>ing</w:t>
      </w:r>
      <w:r w:rsidR="00807D80">
        <w:rPr>
          <w:rFonts w:eastAsia="Times New Roman" w:cstheme="minorHAnsi"/>
          <w:lang w:eastAsia="en-GB"/>
        </w:rPr>
        <w:t xml:space="preserve"> the first description of subcutaneous ossification</w:t>
      </w:r>
      <w:r w:rsidR="00807D80" w:rsidRPr="00807D80">
        <w:rPr>
          <w:rFonts w:eastAsia="Times New Roman" w:cstheme="minorHAnsi"/>
          <w:lang w:eastAsia="en-GB"/>
        </w:rPr>
        <w:t xml:space="preserve"> </w:t>
      </w:r>
      <w:r w:rsidR="00807D80">
        <w:rPr>
          <w:rFonts w:eastAsia="Times New Roman" w:cstheme="minorHAnsi"/>
          <w:lang w:eastAsia="en-GB"/>
        </w:rPr>
        <w:t xml:space="preserve">and spina bifida occulta in a patient with </w:t>
      </w:r>
      <w:r w:rsidR="00807D80" w:rsidRPr="008C1EC2">
        <w:rPr>
          <w:rFonts w:eastAsia="Times New Roman" w:cstheme="minorHAnsi"/>
          <w:i/>
          <w:lang w:eastAsia="en-GB"/>
        </w:rPr>
        <w:t>PRKAR1A</w:t>
      </w:r>
      <w:r w:rsidR="00807D80">
        <w:rPr>
          <w:rFonts w:eastAsia="Times New Roman" w:cstheme="minorHAnsi"/>
          <w:lang w:eastAsia="en-GB"/>
        </w:rPr>
        <w:t>-releated acrodysostosis</w:t>
      </w:r>
      <w:r w:rsidR="007E0BA3">
        <w:rPr>
          <w:rFonts w:eastAsia="Times New Roman" w:cstheme="minorHAnsi"/>
          <w:lang w:eastAsia="en-GB"/>
        </w:rPr>
        <w:t>, in</w:t>
      </w:r>
      <w:r w:rsidR="003D1E44">
        <w:rPr>
          <w:rFonts w:eastAsia="Times New Roman" w:cstheme="minorHAnsi"/>
          <w:lang w:eastAsia="en-GB"/>
        </w:rPr>
        <w:t xml:space="preserve"> the </w:t>
      </w:r>
      <w:r w:rsidR="00555E9F" w:rsidRPr="00555E9F">
        <w:rPr>
          <w:rFonts w:eastAsia="Times New Roman" w:cstheme="minorHAnsi"/>
          <w:lang w:eastAsia="en-GB"/>
        </w:rPr>
        <w:t xml:space="preserve">context of the novel inactivating PTH/PTH related peptide (PTHrP) signalling disorder (iPPSD) classification system.  </w:t>
      </w:r>
    </w:p>
    <w:p w14:paraId="10753C03" w14:textId="77777777" w:rsidR="00C80DFF" w:rsidRPr="008C1EC2" w:rsidRDefault="00C80DFF" w:rsidP="006256D2">
      <w:pPr>
        <w:spacing w:after="0" w:line="480" w:lineRule="auto"/>
        <w:jc w:val="both"/>
        <w:outlineLvl w:val="0"/>
        <w:rPr>
          <w:rFonts w:eastAsia="Times New Roman" w:cstheme="minorHAnsi"/>
          <w:b/>
          <w:lang w:eastAsia="en-GB"/>
        </w:rPr>
      </w:pPr>
      <w:r w:rsidRPr="008C1EC2">
        <w:rPr>
          <w:rFonts w:eastAsia="Times New Roman" w:cstheme="minorHAnsi"/>
          <w:b/>
          <w:color w:val="000000"/>
          <w:lang w:eastAsia="en-GB"/>
        </w:rPr>
        <w:lastRenderedPageBreak/>
        <w:t>Key Words</w:t>
      </w:r>
    </w:p>
    <w:p w14:paraId="5746A904" w14:textId="7C405607" w:rsidR="000B495D" w:rsidRPr="008C1EC2" w:rsidRDefault="005F4416" w:rsidP="00ED1F1B">
      <w:pPr>
        <w:spacing w:after="0" w:line="480" w:lineRule="auto"/>
        <w:rPr>
          <w:rFonts w:eastAsia="Times New Roman" w:cstheme="minorHAnsi"/>
          <w:color w:val="000000"/>
          <w:lang w:eastAsia="en-GB"/>
        </w:rPr>
      </w:pPr>
      <w:r w:rsidRPr="008C1EC2">
        <w:rPr>
          <w:rFonts w:eastAsia="Times New Roman" w:cstheme="minorHAnsi"/>
          <w:color w:val="000000"/>
          <w:lang w:eastAsia="en-GB"/>
        </w:rPr>
        <w:t>Acrodysostosis</w:t>
      </w:r>
      <w:r w:rsidR="00C80DFF" w:rsidRPr="008C1EC2">
        <w:rPr>
          <w:rFonts w:eastAsia="Times New Roman" w:cstheme="minorHAnsi"/>
          <w:color w:val="000000"/>
          <w:lang w:eastAsia="en-GB"/>
        </w:rPr>
        <w:t>, pseudohypoparathyroidism, pseudopseu</w:t>
      </w:r>
      <w:r w:rsidR="00130807" w:rsidRPr="008C1EC2">
        <w:rPr>
          <w:rFonts w:eastAsia="Times New Roman" w:cstheme="minorHAnsi"/>
          <w:color w:val="000000"/>
          <w:lang w:eastAsia="en-GB"/>
        </w:rPr>
        <w:t>dohypoparathyroidism, Albright</w:t>
      </w:r>
      <w:r w:rsidR="00C80DFF" w:rsidRPr="008C1EC2">
        <w:rPr>
          <w:rFonts w:eastAsia="Times New Roman" w:cstheme="minorHAnsi"/>
          <w:color w:val="000000"/>
          <w:lang w:eastAsia="en-GB"/>
        </w:rPr>
        <w:t xml:space="preserve"> Hereditary Osteodystrophy</w:t>
      </w:r>
      <w:r w:rsidR="00CD4257" w:rsidRPr="008C1EC2">
        <w:rPr>
          <w:rFonts w:eastAsia="Times New Roman" w:cstheme="minorHAnsi"/>
          <w:color w:val="000000"/>
          <w:lang w:eastAsia="en-GB"/>
        </w:rPr>
        <w:t xml:space="preserve">, </w:t>
      </w:r>
      <w:r w:rsidR="004570A9">
        <w:rPr>
          <w:rFonts w:eastAsia="Times New Roman" w:cstheme="minorHAnsi"/>
          <w:color w:val="000000"/>
          <w:lang w:eastAsia="en-GB"/>
        </w:rPr>
        <w:t>iPPSD</w:t>
      </w:r>
    </w:p>
    <w:p w14:paraId="243BB70E" w14:textId="77777777" w:rsidR="00D81C06" w:rsidRPr="008C1EC2" w:rsidRDefault="002B02B6" w:rsidP="006256D2">
      <w:pPr>
        <w:spacing w:after="0" w:line="480" w:lineRule="auto"/>
        <w:outlineLvl w:val="0"/>
        <w:rPr>
          <w:rFonts w:eastAsia="Times New Roman" w:cstheme="minorHAnsi"/>
          <w:b/>
          <w:iCs/>
          <w:lang w:eastAsia="en-GB"/>
        </w:rPr>
      </w:pPr>
      <w:r w:rsidRPr="008C1EC2">
        <w:rPr>
          <w:rFonts w:eastAsia="Times New Roman" w:cstheme="minorHAnsi"/>
          <w:b/>
          <w:iCs/>
          <w:lang w:eastAsia="en-GB"/>
        </w:rPr>
        <w:t xml:space="preserve">Introduction </w:t>
      </w:r>
    </w:p>
    <w:p w14:paraId="5B8E6664" w14:textId="7838CB42" w:rsidR="002F2DEE" w:rsidRDefault="00D81C06" w:rsidP="00ED1F1B">
      <w:pPr>
        <w:spacing w:after="0" w:line="480" w:lineRule="auto"/>
        <w:rPr>
          <w:rFonts w:eastAsia="Times New Roman" w:cstheme="minorHAnsi"/>
          <w:lang w:eastAsia="en-GB"/>
        </w:rPr>
      </w:pPr>
      <w:r w:rsidRPr="008C1EC2">
        <w:rPr>
          <w:rFonts w:eastAsia="Times New Roman" w:cstheme="minorHAnsi"/>
          <w:lang w:eastAsia="en-GB"/>
        </w:rPr>
        <w:t xml:space="preserve">Albright Hereditary </w:t>
      </w:r>
      <w:r w:rsidR="001110EB" w:rsidRPr="008C1EC2">
        <w:rPr>
          <w:rFonts w:eastAsia="Times New Roman" w:cstheme="minorHAnsi"/>
          <w:lang w:eastAsia="en-GB"/>
        </w:rPr>
        <w:t>Osteodystrophy</w:t>
      </w:r>
      <w:r w:rsidRPr="008C1EC2">
        <w:rPr>
          <w:rFonts w:eastAsia="Times New Roman" w:cstheme="minorHAnsi"/>
          <w:lang w:eastAsia="en-GB"/>
        </w:rPr>
        <w:t xml:space="preserve"> </w:t>
      </w:r>
      <w:r w:rsidR="004C3BF7">
        <w:rPr>
          <w:rFonts w:eastAsia="Times New Roman" w:cstheme="minorHAnsi"/>
          <w:lang w:eastAsia="en-GB"/>
        </w:rPr>
        <w:t>(</w:t>
      </w:r>
      <w:r w:rsidRPr="008C1EC2">
        <w:rPr>
          <w:rFonts w:eastAsia="Times New Roman" w:cstheme="minorHAnsi"/>
          <w:lang w:eastAsia="en-GB"/>
        </w:rPr>
        <w:t>AHO</w:t>
      </w:r>
      <w:r w:rsidR="00053D45">
        <w:rPr>
          <w:rFonts w:eastAsia="Times New Roman" w:cstheme="minorHAnsi"/>
          <w:lang w:eastAsia="en-GB"/>
        </w:rPr>
        <w:t>;</w:t>
      </w:r>
      <w:r w:rsidR="0080263A">
        <w:rPr>
          <w:rFonts w:eastAsia="Times New Roman" w:cstheme="minorHAnsi"/>
          <w:lang w:eastAsia="en-GB"/>
        </w:rPr>
        <w:t xml:space="preserve"> </w:t>
      </w:r>
      <w:r w:rsidR="00053D45">
        <w:rPr>
          <w:rFonts w:eastAsia="Times New Roman" w:cstheme="minorHAnsi"/>
          <w:lang w:eastAsia="en-GB"/>
        </w:rPr>
        <w:t>OMIM #103580</w:t>
      </w:r>
      <w:r w:rsidR="004C3BF7">
        <w:rPr>
          <w:rFonts w:eastAsia="Times New Roman" w:cstheme="minorHAnsi"/>
          <w:lang w:eastAsia="en-GB"/>
        </w:rPr>
        <w:t>)</w:t>
      </w:r>
      <w:r w:rsidR="0023492B">
        <w:rPr>
          <w:rFonts w:eastAsia="Times New Roman" w:cstheme="minorHAnsi"/>
          <w:lang w:eastAsia="en-GB"/>
        </w:rPr>
        <w:t xml:space="preserve">, first described </w:t>
      </w:r>
      <w:r w:rsidR="00555E9F">
        <w:rPr>
          <w:rFonts w:eastAsia="Times New Roman" w:cstheme="minorHAnsi"/>
          <w:lang w:eastAsia="en-GB"/>
        </w:rPr>
        <w:t xml:space="preserve">in 1942 </w:t>
      </w:r>
      <w:r w:rsidR="0023492B">
        <w:rPr>
          <w:rFonts w:eastAsia="Times New Roman" w:cstheme="minorHAnsi"/>
          <w:lang w:eastAsia="en-GB"/>
        </w:rPr>
        <w:t>by Albright and colleagues</w:t>
      </w:r>
      <w:r w:rsidR="00555E9F">
        <w:rPr>
          <w:rFonts w:eastAsia="Times New Roman" w:cstheme="minorHAnsi"/>
          <w:lang w:eastAsia="en-GB"/>
        </w:rPr>
        <w:t xml:space="preserve">, </w:t>
      </w:r>
      <w:r w:rsidRPr="008C1EC2">
        <w:rPr>
          <w:rFonts w:eastAsia="Times New Roman" w:cstheme="minorHAnsi"/>
          <w:lang w:eastAsia="en-GB"/>
        </w:rPr>
        <w:t xml:space="preserve">is </w:t>
      </w:r>
      <w:r w:rsidR="00CD01DB" w:rsidRPr="008C1EC2">
        <w:rPr>
          <w:rFonts w:eastAsia="Times New Roman" w:cstheme="minorHAnsi"/>
          <w:lang w:eastAsia="en-GB"/>
        </w:rPr>
        <w:t xml:space="preserve">a syndrome characterised by short adult stature, round face, brachydactyly, </w:t>
      </w:r>
      <w:r w:rsidR="008513AC">
        <w:rPr>
          <w:rFonts w:eastAsia="Times New Roman" w:cstheme="minorHAnsi"/>
          <w:lang w:eastAsia="en-GB"/>
        </w:rPr>
        <w:t xml:space="preserve">a stocky habitus and </w:t>
      </w:r>
      <w:r w:rsidR="00CD01DB" w:rsidRPr="008C1EC2">
        <w:rPr>
          <w:rFonts w:eastAsia="Times New Roman" w:cstheme="minorHAnsi"/>
          <w:lang w:eastAsia="en-GB"/>
        </w:rPr>
        <w:t xml:space="preserve"> </w:t>
      </w:r>
      <w:r w:rsidR="008513AC">
        <w:rPr>
          <w:rFonts w:eastAsia="Times New Roman" w:cstheme="minorHAnsi"/>
          <w:lang w:eastAsia="en-GB"/>
        </w:rPr>
        <w:t xml:space="preserve">ectopic </w:t>
      </w:r>
      <w:r w:rsidR="00CD01DB" w:rsidRPr="008C1EC2">
        <w:rPr>
          <w:rFonts w:eastAsia="Times New Roman" w:cstheme="minorHAnsi"/>
          <w:lang w:eastAsia="en-GB"/>
        </w:rPr>
        <w:t>calcifications</w:t>
      </w:r>
      <w:r w:rsidR="008513AC">
        <w:rPr>
          <w:rFonts w:eastAsia="Times New Roman" w:cstheme="minorHAnsi"/>
          <w:lang w:eastAsia="en-GB"/>
        </w:rPr>
        <w:t xml:space="preserve"> </w:t>
      </w:r>
      <w:r w:rsidR="008513AC">
        <w:rPr>
          <w:rFonts w:eastAsia="Times New Roman" w:cstheme="minorHAnsi"/>
          <w:lang w:eastAsia="en-GB"/>
        </w:rPr>
        <w:fldChar w:fldCharType="begin" w:fldLock="1"/>
      </w:r>
      <w:r w:rsidR="008513AC">
        <w:rPr>
          <w:rFonts w:eastAsia="Times New Roman" w:cstheme="minorHAnsi"/>
          <w:lang w:eastAsia="en-GB"/>
        </w:rPr>
        <w:instrText>ADDIN CSL_CITATION {"citationItems":[{"id":"ITEM-1","itemData":{"DOI":"10.1038/s41574-018-0042-0","ISSN":"17595037","PMID":"29959430","abstract":"This Consensus Statement covers recommendations for the diagnosis and management of patients with pseudohypoparathyroidism (PHP) and related disorders, which comprise metabolic disorders characterized by physical findings that variably include short bones, short stature, a stocky build, early-onset obesity and ectopic ossifications, as well as endocrine defects that often include resistance to parathyroid hormone (PTH) and TSH. The presentation and severity of PHP and its related disorders vary between affected individuals with considerable clinical and molecular overlap between the different types. A specific diagnosis is often delayed owing to lack of recognition of the syndrome and associated features. The participants in this Consensus Statement agreed that the diagnosis of PHP should be based on major criteria, including resistance to PTH, ectopic ossifications, brachydactyly and early-onset obesity. The clinical and laboratory diagnosis should be confirmed by a molecular genetic analysis. Patients should be screened at diagnosis and during follow-up for specific features, such as PTH resistance, TSH resistance, growth hormone deficiency, hypogonadism, skeletal deformities, oral health, weight gain, glucose intolerance or type 2 diabetes mellitus, and hypertension, as well as subcutaneous and/or deeper ectopic ossifications and neurocognitive impairment. Overall, a coordinated and multidisciplinary approach from infancy through adulthood, including a transition programme, should help us to improve the care of patients affected by these disorders.","author":[{"dropping-particle":"","family":"Mantovani","given":"Giovanna","non-dropping-particle":"","parse-names":false,"suffix":""},{"dropping-particle":"","family":"Bastepe","given":"Murat","non-dropping-particle":"","parse-names":false,"suffix":""},{"dropping-particle":"","family":"Monk","given":"David","non-dropping-particle":"","parse-names":false,"suffix":""},{"dropping-particle":"","family":"Sanctis","given":"Luisa","non-dropping-particle":"De","parse-names":false,"suffix":""},{"dropping-particle":"","family":"Thiele","given":"Susanne","non-dropping-particle":"","parse-names":false,"suffix":""},{"dropping-particle":"","family":"Usardi","given":"Alessia","non-dropping-particle":"","parse-names":false,"suffix":""},{"dropping-particle":"","family":"Ahmed","given":"S. Faisal","non-dropping-particle":"","parse-names":false,"suffix":""},{"dropping-particle":"","family":"Bufo","given":"Roberto","non-dropping-particle":"","parse-names":false,"suffix":""},{"dropping-particle":"","family":"Choplin","given":"Timothée","non-dropping-particle":"","parse-names":false,"suffix":""},{"dropping-particle":"","family":"Filippo","given":"Gianpaolo","non-dropping-particle":"De","parse-names":false,"suffix":""},{"dropping-particle":"","family":"Devernois","given":"Guillemette","non-dropping-particle":"","parse-names":false,"suffix":""},{"dropping-particle":"","family":"Eggermann","given":"Thomas","non-dropping-particle":"","parse-names":false,"suffix":""},{"dropping-particle":"","family":"Elli","given":"Francesca M.","non-dropping-particle":"","parse-names":false,"suffix":""},{"dropping-particle":"","family":"Freson","given":"Kathleen","non-dropping-particle":"","parse-names":false,"suffix":""},{"dropping-particle":"","family":"García Ramirez","given":"Aurora","non-dropping-particle":"","parse-names":false,"suffix":""},{"dropping-particle":"","family":"Germain-Lee","given":"Emily L.","non-dropping-particle":"","parse-names":false,"suffix":""},{"dropping-particle":"","family":"Groussin","given":"Lionel","non-dropping-particle":"","parse-names":false,"suffix":""},{"dropping-particle":"","family":"Hamdy","given":"Neveen","non-dropping-particle":"","parse-names":false,"suffix":""},{"dropping-particle":"","family":"Hanna","given":"Patrick","non-dropping-particle":"","parse-names":false,"suffix":""},{"dropping-particle":"","family":"Hiort","given":"Olaf","non-dropping-particle":"","parse-names":false,"suffix":""},{"dropping-particle":"","family":"Jüppner","given":"Harald","non-dropping-particle":"","parse-names":false,"suffix":""},{"dropping-particle":"","family":"Kamenický","given":"Peter","non-dropping-particle":"","parse-names":false,"suffix":""},{"dropping-particle":"","family":"Knight","given":"Nina","non-dropping-particle":"","parse-names":false,"suffix":""},{"dropping-particle":"","family":"Kottler","given":"Marie Laure","non-dropping-particle":"","parse-names":false,"suffix":""},{"dropping-particle":"","family":"Norcy","given":"Elvire","non-dropping-particle":"Le","parse-names":false,"suffix":""},{"dropping-particle":"","family":"Lecumberri","given":"Beatriz","non-dropping-particle":"","parse-names":false,"suffix":""},{"dropping-particle":"","family":"Levine","given":"Michael A.","non-dropping-particle":"","parse-names":false,"suffix":""},{"dropping-particle":"","family":"Mäkitie","given":"Outi","non-dropping-particle":"","parse-names":false,"suffix":""},{"dropping-particle":"","family":"Martin","given":"Regina","non-dropping-particle":"","parse-names":false,"suffix":""},{"dropping-particle":"","family":"Martos-Moreno","given":"Gabriel Ángel","non-dropping-particle":"","parse-names":false,"suffix":""},{"dropping-particle":"","family":"Minagawa","given":"Masanori","non-dropping-particle":"","parse-names":false,"suffix":""},{"dropping-particle":"","family":"Murray","given":"Philip","non-dropping-particle":"","parse-names":false,"suffix":""},{"dropping-particle":"","family":"Pereda","given":"Arrate","non-dropping-particle":"","parse-names":false,"suffix":""},{"dropping-particle":"","family":"Pignolo","given":"Robert","non-dropping-particle":"","parse-names":false,"suffix":""},{"dropping-particle":"","family":"Rejnmark","given":"Lars","non-dropping-particle":"","parse-names":false,"suffix":""},{"dropping-particle":"","family":"Rodado","given":"Rebecca","non-dropping-particle":"","parse-names":false,"suffix":""},{"dropping-particle":"","family":"Rothenbuhler","given":"Anya","non-dropping-particle":"","parse-names":false,"suffix":""},{"dropping-particle":"","family":"Saraff","given":"Vrinda","non-dropping-particle":"","parse-names":false,"suffix":""},{"dropping-particle":"","family":"Shoemaker","given":"Ashley H.","non-dropping-particle":"","parse-names":false,"suffix":""},{"dropping-particle":"","family":"Shore","given":"Eileen M.","non-dropping-particle":"","parse-names":false,"suffix":""},{"dropping-particle":"","family":"Silve","given":"Caroline","non-dropping-particle":"","parse-names":false,"suffix":""},{"dropping-particle":"","family":"Turan","given":"Serap","non-dropping-particle":"","parse-names":false,"suffix":""},{"dropping-particle":"","family":"Woods","given":"Philip","non-dropping-particle":"","parse-names":false,"suffix":""},{"dropping-particle":"","family":"Carola Zillikens","given":"M.","non-dropping-particle":"","parse-names":false,"suffix":""},{"dropping-particle":"","family":"Nanclares","given":"Guiomar Perez","non-dropping-particle":"De","parse-names":false,"suffix":""},{"dropping-particle":"","family":"Linglart","given":"Agnès","non-dropping-particle":"","parse-names":false,"suffix":""}],"container-title":"Nature Reviews Endocrinology","id":"ITEM-1","issue":"8","issued":{"date-parts":[["2018"]]},"page":"476-500","publisher":"Springer US","title":"Diagnosis and management of pseudohypoparathyroidism and related disorders: First international Consensus Statement","type":"article-journal","volume":"14"},"uris":["http://www.mendeley.com/documents/?uuid=d03de5be-d81d-4986-9c94-7d543dfee407"]}],"mendeley":{"formattedCitation":"(Mantovani et al., 2018)","plainTextFormattedCitation":"(Mantovani et al., 2018)","previouslyFormattedCitation":"(Mantovani et al., 2018)"},"properties":{"noteIndex":0},"schema":"https://github.com/citation-style-language/schema/raw/master/csl-citation.json"}</w:instrText>
      </w:r>
      <w:r w:rsidR="008513AC">
        <w:rPr>
          <w:rFonts w:eastAsia="Times New Roman" w:cstheme="minorHAnsi"/>
          <w:lang w:eastAsia="en-GB"/>
        </w:rPr>
        <w:fldChar w:fldCharType="separate"/>
      </w:r>
      <w:r w:rsidR="008513AC" w:rsidRPr="008513AC">
        <w:rPr>
          <w:rFonts w:eastAsia="Times New Roman" w:cstheme="minorHAnsi"/>
          <w:noProof/>
          <w:lang w:eastAsia="en-GB"/>
        </w:rPr>
        <w:t>(Mantovani et al., 2018)</w:t>
      </w:r>
      <w:r w:rsidR="008513AC">
        <w:rPr>
          <w:rFonts w:eastAsia="Times New Roman" w:cstheme="minorHAnsi"/>
          <w:lang w:eastAsia="en-GB"/>
        </w:rPr>
        <w:fldChar w:fldCharType="end"/>
      </w:r>
      <w:r w:rsidR="008513AC">
        <w:rPr>
          <w:rFonts w:eastAsia="Times New Roman" w:cstheme="minorHAnsi"/>
          <w:lang w:eastAsia="en-GB"/>
        </w:rPr>
        <w:fldChar w:fldCharType="begin" w:fldLock="1"/>
      </w:r>
      <w:r w:rsidR="00F91D0E">
        <w:rPr>
          <w:rFonts w:eastAsia="Times New Roman" w:cstheme="minorHAnsi"/>
          <w:lang w:eastAsia="en-GB"/>
        </w:rPr>
        <w:instrText>ADDIN CSL_CITATION {"citationItems":[{"id":"ITEM-1","itemData":{"DOI":"10.1038/nrendo.2016.52","ISSN":"17595037","abstract":"© 2016 Macmillan Publishers Limited. Pseudohypoparathyroidism exemplifies an unusual form of hormone resistance as the underlying molecular defect is a partial deficiency of the α subunit of the stimulatory G protein (G s α), a key regulator of the cAMP signalling pathway, rather than of the parathyroid hormone (PTH) receptor itself. Despite the first description of this disorder dating back to 1942, later findings have unveiled complex epigenetic alterations in addition to classic mutations in GNAS underpining the molecular basis of the main subtypes of pseudohypoparathyroidism. Moreover, mutations in PRKAR1A and PDE4D, which encode proteins crucial for G s α-cAMP-mediated signalling, have been found in patients with acrodysostosis. As acrodysostosis, a disease characterized by skeletal malformations and endocrine disturbances, shares clinical and molecular characteristics with pseudohypoparathyroidism, making a differential diagnosis and providing genetic counselling to patients and families is a challenge for endocrinologists. Accumulating data on the genetic and clinical aspects of this group of diseases highlight the limitation of the current classification system and prompt the need for a new definition as well as for new diagnostic and/or therapeutic algorithms. This Review discusses both the current understanding and future challenges for the clinical and molecular diagnosis, classification and treatment of pseudohypoparathyroidism.","author":[{"dropping-particle":"","family":"Mantovani","given":"Giovanna","non-dropping-particle":"","parse-names":false,"suffix":""},{"dropping-particle":"","family":"Spada","given":"Anna","non-dropping-particle":"","parse-names":false,"suffix":""},{"dropping-particle":"","family":"Elli","given":"Francesca Marta","non-dropping-particle":"","parse-names":false,"suffix":""}],"container-title":"Nature Reviews Endocrinology","id":"ITEM-1","issue":"6","issued":{"date-parts":[["2016"]]},"page":"347-356","publisher":"Nature Publishing Group","title":"Pseudohypoparathyroidism and G s α-cAMP-linked disorders: Current view and open issues","type":"article-journal","volume":"12"},"uris":["http://www.mendeley.com/documents/?uuid=5b9d66da-1c2c-4b07-b028-5a82ec4a7d07"]}],"mendeley":{"formattedCitation":"(Mantovani, Spada, &amp; Elli, 2016)","plainTextFormattedCitation":"(Mantovani, Spada, &amp; Elli, 2016)","previouslyFormattedCitation":"(Mantovani, Spada, &amp; Elli, 2016)"},"properties":{"noteIndex":0},"schema":"https://github.com/citation-style-language/schema/raw/master/csl-citation.json"}</w:instrText>
      </w:r>
      <w:r w:rsidR="008513AC">
        <w:rPr>
          <w:rFonts w:eastAsia="Times New Roman" w:cstheme="minorHAnsi"/>
          <w:lang w:eastAsia="en-GB"/>
        </w:rPr>
        <w:fldChar w:fldCharType="separate"/>
      </w:r>
      <w:r w:rsidR="008513AC" w:rsidRPr="008513AC">
        <w:rPr>
          <w:rFonts w:eastAsia="Times New Roman" w:cstheme="minorHAnsi"/>
          <w:noProof/>
          <w:lang w:eastAsia="en-GB"/>
        </w:rPr>
        <w:t>(Mantovani, Spada, &amp; Elli, 2016)</w:t>
      </w:r>
      <w:r w:rsidR="008513AC">
        <w:rPr>
          <w:rFonts w:eastAsia="Times New Roman" w:cstheme="minorHAnsi"/>
          <w:lang w:eastAsia="en-GB"/>
        </w:rPr>
        <w:fldChar w:fldCharType="end"/>
      </w:r>
      <w:r w:rsidR="008513AC">
        <w:rPr>
          <w:rFonts w:eastAsia="Times New Roman" w:cstheme="minorHAnsi"/>
          <w:lang w:eastAsia="en-GB"/>
        </w:rPr>
        <w:t>.</w:t>
      </w:r>
      <w:r w:rsidR="00555E9F">
        <w:rPr>
          <w:rFonts w:eastAsia="Times New Roman" w:cstheme="minorHAnsi"/>
          <w:lang w:eastAsia="en-GB"/>
        </w:rPr>
        <w:t xml:space="preserve"> </w:t>
      </w:r>
      <w:r w:rsidR="00122549" w:rsidRPr="008C1EC2">
        <w:rPr>
          <w:rFonts w:eastAsia="Times New Roman" w:cstheme="minorHAnsi"/>
          <w:lang w:eastAsia="en-GB"/>
        </w:rPr>
        <w:t xml:space="preserve">Parathyroid hormone (PTH) resistance was initially considered an obligatory manifestation of AHO with </w:t>
      </w:r>
      <w:r w:rsidR="00750071" w:rsidRPr="008C1EC2">
        <w:rPr>
          <w:rFonts w:eastAsia="Times New Roman" w:cstheme="minorHAnsi"/>
          <w:lang w:eastAsia="en-GB"/>
        </w:rPr>
        <w:t>the</w:t>
      </w:r>
      <w:r w:rsidR="00122549" w:rsidRPr="008C1EC2">
        <w:rPr>
          <w:rFonts w:eastAsia="Times New Roman" w:cstheme="minorHAnsi"/>
          <w:lang w:eastAsia="en-GB"/>
        </w:rPr>
        <w:t xml:space="preserve"> term</w:t>
      </w:r>
      <w:r w:rsidR="00750071" w:rsidRPr="008C1EC2">
        <w:rPr>
          <w:rFonts w:eastAsia="Times New Roman" w:cstheme="minorHAnsi"/>
          <w:lang w:eastAsia="en-GB"/>
        </w:rPr>
        <w:t>s AHO</w:t>
      </w:r>
      <w:r w:rsidR="00122549" w:rsidRPr="008C1EC2">
        <w:rPr>
          <w:rFonts w:eastAsia="Times New Roman" w:cstheme="minorHAnsi"/>
          <w:lang w:eastAsia="en-GB"/>
        </w:rPr>
        <w:t xml:space="preserve"> and pseudohypoparathyroidism (PHP) </w:t>
      </w:r>
      <w:r w:rsidR="00750071" w:rsidRPr="008C1EC2">
        <w:rPr>
          <w:rFonts w:eastAsia="Times New Roman" w:cstheme="minorHAnsi"/>
          <w:lang w:eastAsia="en-GB"/>
        </w:rPr>
        <w:t xml:space="preserve">being used </w:t>
      </w:r>
      <w:r w:rsidR="00122549" w:rsidRPr="008C1EC2">
        <w:rPr>
          <w:rFonts w:eastAsia="Times New Roman" w:cstheme="minorHAnsi"/>
          <w:lang w:eastAsia="en-GB"/>
        </w:rPr>
        <w:t>interchangeably. However, it was later recognised that AHO can occur in the absence of PTH resistance, described as pseudopseudohypoparathyroidism (PPHP</w:t>
      </w:r>
      <w:r w:rsidR="004C58BB">
        <w:rPr>
          <w:rFonts w:eastAsia="Times New Roman" w:cstheme="minorHAnsi"/>
          <w:lang w:eastAsia="en-GB"/>
        </w:rPr>
        <w:t>; OMIM #612463</w:t>
      </w:r>
      <w:r w:rsidR="00122549" w:rsidRPr="008C1EC2">
        <w:rPr>
          <w:rFonts w:eastAsia="Times New Roman" w:cstheme="minorHAnsi"/>
          <w:lang w:eastAsia="en-GB"/>
        </w:rPr>
        <w:t xml:space="preserve">). Both PHP and PPHP result from genetic and/or epigenetic alterations </w:t>
      </w:r>
      <w:r w:rsidR="00AE3064" w:rsidRPr="008C1EC2">
        <w:t>at the guanine nucleotide-binding protein alpha-stimulating (G</w:t>
      </w:r>
      <w:r w:rsidR="00AE3064" w:rsidRPr="00555E9F">
        <w:rPr>
          <w:vertAlign w:val="subscript"/>
        </w:rPr>
        <w:t>s</w:t>
      </w:r>
      <w:r w:rsidR="00AE3064" w:rsidRPr="008C1EC2">
        <w:t>α) locus (</w:t>
      </w:r>
      <w:r w:rsidR="00AE3064" w:rsidRPr="008C1EC2">
        <w:rPr>
          <w:rStyle w:val="Emphasis"/>
        </w:rPr>
        <w:t>GNAS</w:t>
      </w:r>
      <w:r w:rsidR="00053D45">
        <w:rPr>
          <w:rStyle w:val="Emphasis"/>
          <w:i w:val="0"/>
        </w:rPr>
        <w:t>; OMIM</w:t>
      </w:r>
      <w:r w:rsidR="001F2AD4">
        <w:rPr>
          <w:rFonts w:eastAsia="Times New Roman" w:cstheme="minorHAnsi"/>
          <w:lang w:eastAsia="en-GB"/>
        </w:rPr>
        <w:t>*</w:t>
      </w:r>
      <w:r w:rsidR="00053D45">
        <w:rPr>
          <w:rStyle w:val="Emphasis"/>
          <w:i w:val="0"/>
        </w:rPr>
        <w:t>139320</w:t>
      </w:r>
      <w:r w:rsidR="00AE3064" w:rsidRPr="008C1EC2">
        <w:t>) subject to imprinting.</w:t>
      </w:r>
      <w:r w:rsidR="00483529" w:rsidRPr="008C1EC2">
        <w:t xml:space="preserve"> The G</w:t>
      </w:r>
      <w:r w:rsidR="00483529" w:rsidRPr="00555E9F">
        <w:rPr>
          <w:vertAlign w:val="subscript"/>
        </w:rPr>
        <w:t>s</w:t>
      </w:r>
      <w:r w:rsidR="00483529" w:rsidRPr="008C1EC2">
        <w:t xml:space="preserve">α protein is an essential component of the </w:t>
      </w:r>
      <w:r w:rsidR="00483529" w:rsidRPr="008C1EC2">
        <w:rPr>
          <w:rFonts w:eastAsia="Times New Roman" w:cstheme="minorHAnsi"/>
          <w:lang w:eastAsia="en-GB"/>
        </w:rPr>
        <w:t xml:space="preserve">cyclic adenosine monophosphate (cAMP) signalling pathway </w:t>
      </w:r>
      <w:r w:rsidR="007F1BD6" w:rsidRPr="008C1EC2">
        <w:rPr>
          <w:rFonts w:eastAsia="Times New Roman" w:cstheme="minorHAnsi"/>
          <w:lang w:eastAsia="en-GB"/>
        </w:rPr>
        <w:t>mediating</w:t>
      </w:r>
      <w:r w:rsidR="00483529" w:rsidRPr="008C1EC2">
        <w:rPr>
          <w:rFonts w:eastAsia="Times New Roman" w:cstheme="minorHAnsi"/>
          <w:lang w:eastAsia="en-GB"/>
        </w:rPr>
        <w:t xml:space="preserve"> physiological responses to hormones</w:t>
      </w:r>
      <w:r w:rsidR="007F1BD6" w:rsidRPr="008C1EC2">
        <w:rPr>
          <w:rFonts w:eastAsia="Times New Roman" w:cstheme="minorHAnsi"/>
          <w:lang w:eastAsia="en-GB"/>
        </w:rPr>
        <w:t xml:space="preserve"> that bind G-protein-coupled receptors (GPCR), including PTH (Figure 1). </w:t>
      </w:r>
      <w:r w:rsidR="007F1BD6" w:rsidRPr="008C1EC2">
        <w:t>The resulting cAMP acts as a secondary messenger interacting with and regulating other proteins, including protein kinase A</w:t>
      </w:r>
      <w:r w:rsidR="007F1BD6" w:rsidRPr="008C1EC2">
        <w:rPr>
          <w:rFonts w:eastAsia="Times New Roman" w:cstheme="minorHAnsi"/>
          <w:lang w:eastAsia="en-GB"/>
        </w:rPr>
        <w:t xml:space="preserve"> (PKA), with phosphorylation of downstream targets.</w:t>
      </w:r>
      <w:r w:rsidR="00F91D0E">
        <w:rPr>
          <w:rFonts w:eastAsia="Times New Roman" w:cstheme="minorHAnsi"/>
          <w:lang w:eastAsia="en-GB"/>
        </w:rPr>
        <w:t xml:space="preserve"> </w:t>
      </w:r>
    </w:p>
    <w:p w14:paraId="5990CC56" w14:textId="2A144FBA" w:rsidR="009019C4" w:rsidRDefault="00D105CD" w:rsidP="00CF657B">
      <w:pPr>
        <w:spacing w:after="0" w:line="480" w:lineRule="auto"/>
      </w:pPr>
      <w:r>
        <w:rPr>
          <w:rFonts w:eastAsia="Times New Roman" w:cstheme="minorHAnsi"/>
          <w:lang w:eastAsia="en-GB"/>
        </w:rPr>
        <w:t>There are several forms</w:t>
      </w:r>
      <w:r w:rsidR="00CF657B">
        <w:rPr>
          <w:rFonts w:eastAsia="Times New Roman" w:cstheme="minorHAnsi"/>
          <w:lang w:eastAsia="en-GB"/>
        </w:rPr>
        <w:t xml:space="preserve"> of PHP</w:t>
      </w:r>
      <w:r w:rsidR="00DD7C57">
        <w:rPr>
          <w:rFonts w:eastAsia="Times New Roman" w:cstheme="minorHAnsi"/>
          <w:lang w:eastAsia="en-GB"/>
        </w:rPr>
        <w:t xml:space="preserve">, all sharing biochemical features of </w:t>
      </w:r>
      <w:r w:rsidR="00DD7C57" w:rsidRPr="00DD7C57">
        <w:rPr>
          <w:rFonts w:eastAsia="Times New Roman" w:cstheme="minorHAnsi"/>
          <w:lang w:eastAsia="en-GB"/>
        </w:rPr>
        <w:t>end-organ resistance to the action of PTH</w:t>
      </w:r>
      <w:r w:rsidR="00DD7C57">
        <w:rPr>
          <w:rFonts w:eastAsia="Times New Roman" w:cstheme="minorHAnsi"/>
          <w:lang w:eastAsia="en-GB"/>
        </w:rPr>
        <w:t xml:space="preserve"> (</w:t>
      </w:r>
      <w:r>
        <w:rPr>
          <w:rFonts w:eastAsia="Times New Roman" w:cstheme="minorHAnsi"/>
          <w:lang w:eastAsia="en-GB"/>
        </w:rPr>
        <w:t xml:space="preserve">elevated PTH levels </w:t>
      </w:r>
      <w:r w:rsidR="00314222">
        <w:rPr>
          <w:rFonts w:eastAsia="Times New Roman" w:cstheme="minorHAnsi"/>
          <w:lang w:eastAsia="en-GB"/>
        </w:rPr>
        <w:t xml:space="preserve">which in some cases are associated with hypocalcaemia and hyperphosphataemia </w:t>
      </w:r>
      <w:r>
        <w:rPr>
          <w:rFonts w:eastAsia="Times New Roman" w:cstheme="minorHAnsi"/>
          <w:lang w:eastAsia="en-GB"/>
        </w:rPr>
        <w:t xml:space="preserve">in the </w:t>
      </w:r>
      <w:r w:rsidR="00DD7C57">
        <w:rPr>
          <w:rFonts w:eastAsia="Times New Roman" w:cstheme="minorHAnsi"/>
          <w:lang w:eastAsia="en-GB"/>
        </w:rPr>
        <w:t xml:space="preserve">absence of vitamin D deficiency) </w:t>
      </w:r>
      <w:r w:rsidR="00DD7C57">
        <w:rPr>
          <w:rFonts w:eastAsia="Times New Roman" w:cstheme="minorHAnsi"/>
          <w:lang w:eastAsia="en-GB"/>
        </w:rPr>
        <w:fldChar w:fldCharType="begin" w:fldLock="1"/>
      </w:r>
      <w:r w:rsidR="00DD7C57">
        <w:rPr>
          <w:rFonts w:eastAsia="Times New Roman" w:cstheme="minorHAnsi"/>
          <w:lang w:eastAsia="en-GB"/>
        </w:rPr>
        <w:instrText>ADDIN CSL_CITATION {"citationItems":[{"id":"ITEM-1","itemData":{"DOI":"10.1038/s41574-018-0042-0","ISSN":"17595037","PMID":"29959430","abstract":"This Consensus Statement covers recommendations for the diagnosis and management of patients with pseudohypoparathyroidism (PHP) and related disorders, which comprise metabolic disorders characterized by physical findings that variably include short bones, short stature, a stocky build, early-onset obesity and ectopic ossifications, as well as endocrine defects that often include resistance to parathyroid hormone (PTH) and TSH. The presentation and severity of PHP and its related disorders vary between affected individuals with considerable clinical and molecular overlap between the different types. A specific diagnosis is often delayed owing to lack of recognition of the syndrome and associated features. The participants in this Consensus Statement agreed that the diagnosis of PHP should be based on major criteria, including resistance to PTH, ectopic ossifications, brachydactyly and early-onset obesity. The clinical and laboratory diagnosis should be confirmed by a molecular genetic analysis. Patients should be screened at diagnosis and during follow-up for specific features, such as PTH resistance, TSH resistance, growth hormone deficiency, hypogonadism, skeletal deformities, oral health, weight gain, glucose intolerance or type 2 diabetes mellitus, and hypertension, as well as subcutaneous and/or deeper ectopic ossifications and neurocognitive impairment. Overall, a coordinated and multidisciplinary approach from infancy through adulthood, including a transition programme, should help us to improve the care of patients affected by these disorders.","author":[{"dropping-particle":"","family":"Mantovani","given":"Giovanna","non-dropping-particle":"","parse-names":false,"suffix":""},{"dropping-particle":"","family":"Bastepe","given":"Murat","non-dropping-particle":"","parse-names":false,"suffix":""},{"dropping-particle":"","family":"Monk","given":"David","non-dropping-particle":"","parse-names":false,"suffix":""},{"dropping-particle":"","family":"Sanctis","given":"Luisa","non-dropping-particle":"De","parse-names":false,"suffix":""},{"dropping-particle":"","family":"Thiele","given":"Susanne","non-dropping-particle":"","parse-names":false,"suffix":""},{"dropping-particle":"","family":"Usardi","given":"Alessia","non-dropping-particle":"","parse-names":false,"suffix":""},{"dropping-particle":"","family":"Ahmed","given":"S. Faisal","non-dropping-particle":"","parse-names":false,"suffix":""},{"dropping-particle":"","family":"Bufo","given":"Roberto","non-dropping-particle":"","parse-names":false,"suffix":""},{"dropping-particle":"","family":"Choplin","given":"Timothée","non-dropping-particle":"","parse-names":false,"suffix":""},{"dropping-particle":"","family":"Filippo","given":"Gianpaolo","non-dropping-particle":"De","parse-names":false,"suffix":""},{"dropping-particle":"","family":"Devernois","given":"Guillemette","non-dropping-particle":"","parse-names":false,"suffix":""},{"dropping-particle":"","family":"Eggermann","given":"Thomas","non-dropping-particle":"","parse-names":false,"suffix":""},{"dropping-particle":"","family":"Elli","given":"Francesca M.","non-dropping-particle":"","parse-names":false,"suffix":""},{"dropping-particle":"","family":"Freson","given":"Kathleen","non-dropping-particle":"","parse-names":false,"suffix":""},{"dropping-particle":"","family":"García Ramirez","given":"Aurora","non-dropping-particle":"","parse-names":false,"suffix":""},{"dropping-particle":"","family":"Germain-Lee","given":"Emily L.","non-dropping-particle":"","parse-names":false,"suffix":""},{"dropping-particle":"","family":"Groussin","given":"Lionel","non-dropping-particle":"","parse-names":false,"suffix":""},{"dropping-particle":"","family":"Hamdy","given":"Neveen","non-dropping-particle":"","parse-names":false,"suffix":""},{"dropping-particle":"","family":"Hanna","given":"Patrick","non-dropping-particle":"","parse-names":false,"suffix":""},{"dropping-particle":"","family":"Hiort","given":"Olaf","non-dropping-particle":"","parse-names":false,"suffix":""},{"dropping-particle":"","family":"Jüppner","given":"Harald","non-dropping-particle":"","parse-names":false,"suffix":""},{"dropping-particle":"","family":"Kamenický","given":"Peter","non-dropping-particle":"","parse-names":false,"suffix":""},{"dropping-particle":"","family":"Knight","given":"Nina","non-dropping-particle":"","parse-names":false,"suffix":""},{"dropping-particle":"","family":"Kottler","given":"Marie Laure","non-dropping-particle":"","parse-names":false,"suffix":""},{"dropping-particle":"","family":"Norcy","given":"Elvire","non-dropping-particle":"Le","parse-names":false,"suffix":""},{"dropping-particle":"","family":"Lecumberri","given":"Beatriz","non-dropping-particle":"","parse-names":false,"suffix":""},{"dropping-particle":"","family":"Levine","given":"Michael A.","non-dropping-particle":"","parse-names":false,"suffix":""},{"dropping-particle":"","family":"Mäkitie","given":"Outi","non-dropping-particle":"","parse-names":false,"suffix":""},{"dropping-particle":"","family":"Martin","given":"Regina","non-dropping-particle":"","parse-names":false,"suffix":""},{"dropping-particle":"","family":"Martos-Moreno","given":"Gabriel Ángel","non-dropping-particle":"","parse-names":false,"suffix":""},{"dropping-particle":"","family":"Minagawa","given":"Masanori","non-dropping-particle":"","parse-names":false,"suffix":""},{"dropping-particle":"","family":"Murray","given":"Philip","non-dropping-particle":"","parse-names":false,"suffix":""},{"dropping-particle":"","family":"Pereda","given":"Arrate","non-dropping-particle":"","parse-names":false,"suffix":""},{"dropping-particle":"","family":"Pignolo","given":"Robert","non-dropping-particle":"","parse-names":false,"suffix":""},{"dropping-particle":"","family":"Rejnmark","given":"Lars","non-dropping-particle":"","parse-names":false,"suffix":""},{"dropping-particle":"","family":"Rodado","given":"Rebecca","non-dropping-particle":"","parse-names":false,"suffix":""},{"dropping-particle":"","family":"Rothenbuhler","given":"Anya","non-dropping-particle":"","parse-names":false,"suffix":""},{"dropping-particle":"","family":"Saraff","given":"Vrinda","non-dropping-particle":"","parse-names":false,"suffix":""},{"dropping-particle":"","family":"Shoemaker","given":"Ashley H.","non-dropping-particle":"","parse-names":false,"suffix":""},{"dropping-particle":"","family":"Shore","given":"Eileen M.","non-dropping-particle":"","parse-names":false,"suffix":""},{"dropping-particle":"","family":"Silve","given":"Caroline","non-dropping-particle":"","parse-names":false,"suffix":""},{"dropping-particle":"","family":"Turan","given":"Serap","non-dropping-particle":"","parse-names":false,"suffix":""},{"dropping-particle":"","family":"Woods","given":"Philip","non-dropping-particle":"","parse-names":false,"suffix":""},{"dropping-particle":"","family":"Carola Zillikens","given":"M.","non-dropping-particle":"","parse-names":false,"suffix":""},{"dropping-particle":"","family":"Nanclares","given":"Guiomar Perez","non-dropping-particle":"De","parse-names":false,"suffix":""},{"dropping-particle":"","family":"Linglart","given":"Agnès","non-dropping-particle":"","parse-names":false,"suffix":""}],"container-title":"Nature Reviews Endocrinology","id":"ITEM-1","issue":"8","issued":{"date-parts":[["2018"]]},"page":"476-500","publisher":"Springer US","title":"Diagnosis and management of pseudohypoparathyroidism and related disorders: First international Consensus Statement","type":"article-journal","volume":"14"},"uris":["http://www.mendeley.com/documents/?uuid=d03de5be-d81d-4986-9c94-7d543dfee407"]}],"mendeley":{"formattedCitation":"(Mantovani et al., 2018)","plainTextFormattedCitation":"(Mantovani et al., 2018)","previouslyFormattedCitation":"(Mantovani et al., 2018)"},"properties":{"noteIndex":0},"schema":"https://github.com/citation-style-language/schema/raw/master/csl-citation.json"}</w:instrText>
      </w:r>
      <w:r w:rsidR="00DD7C57">
        <w:rPr>
          <w:rFonts w:eastAsia="Times New Roman" w:cstheme="minorHAnsi"/>
          <w:lang w:eastAsia="en-GB"/>
        </w:rPr>
        <w:fldChar w:fldCharType="separate"/>
      </w:r>
      <w:r w:rsidR="00DD7C57" w:rsidRPr="00F91D0E">
        <w:rPr>
          <w:rFonts w:eastAsia="Times New Roman" w:cstheme="minorHAnsi"/>
          <w:noProof/>
          <w:lang w:eastAsia="en-GB"/>
        </w:rPr>
        <w:t>(Mantovani et al., 2018)</w:t>
      </w:r>
      <w:r w:rsidR="00DD7C57">
        <w:rPr>
          <w:rFonts w:eastAsia="Times New Roman" w:cstheme="minorHAnsi"/>
          <w:lang w:eastAsia="en-GB"/>
        </w:rPr>
        <w:fldChar w:fldCharType="end"/>
      </w:r>
      <w:r w:rsidR="00DD7C57">
        <w:rPr>
          <w:rFonts w:eastAsia="Times New Roman" w:cstheme="minorHAnsi"/>
          <w:lang w:eastAsia="en-GB"/>
        </w:rPr>
        <w:t xml:space="preserve">. PHP type </w:t>
      </w:r>
      <w:r w:rsidR="009019C4">
        <w:rPr>
          <w:rFonts w:eastAsia="Times New Roman" w:cstheme="minorHAnsi"/>
          <w:lang w:eastAsia="en-GB"/>
        </w:rPr>
        <w:t>I</w:t>
      </w:r>
      <w:r w:rsidR="00DD7C57">
        <w:rPr>
          <w:rFonts w:eastAsia="Times New Roman" w:cstheme="minorHAnsi"/>
          <w:lang w:eastAsia="en-GB"/>
        </w:rPr>
        <w:t xml:space="preserve"> is characterised by a blunted </w:t>
      </w:r>
      <w:r w:rsidR="002E497A">
        <w:rPr>
          <w:rFonts w:eastAsia="Times New Roman" w:cstheme="minorHAnsi"/>
          <w:lang w:eastAsia="en-GB"/>
        </w:rPr>
        <w:t xml:space="preserve">cAMP response to exogenous PTH whereas in PHP type </w:t>
      </w:r>
      <w:r w:rsidR="009019C4">
        <w:rPr>
          <w:rFonts w:eastAsia="Times New Roman" w:cstheme="minorHAnsi"/>
          <w:lang w:eastAsia="en-GB"/>
        </w:rPr>
        <w:t>II</w:t>
      </w:r>
      <w:r w:rsidR="002E497A">
        <w:rPr>
          <w:rFonts w:eastAsia="Times New Roman" w:cstheme="minorHAnsi"/>
          <w:lang w:eastAsia="en-GB"/>
        </w:rPr>
        <w:t xml:space="preserve"> (PHP2; OMIM #203330), increased cAMP is observed but with a deficient </w:t>
      </w:r>
      <w:r w:rsidR="002E497A">
        <w:t xml:space="preserve">phosphaturic response. PHP type </w:t>
      </w:r>
      <w:r w:rsidR="009019C4">
        <w:t>I</w:t>
      </w:r>
      <w:r w:rsidR="002E497A">
        <w:t xml:space="preserve"> is further subclassified </w:t>
      </w:r>
      <w:r w:rsidR="009019C4">
        <w:t>into PHPIa (</w:t>
      </w:r>
      <w:r w:rsidR="009019C4">
        <w:rPr>
          <w:rFonts w:eastAsia="Times New Roman" w:cstheme="minorHAnsi"/>
          <w:lang w:eastAsia="en-GB"/>
        </w:rPr>
        <w:t>OMIM #103580) and PHPIc (OMIM #</w:t>
      </w:r>
      <w:r w:rsidR="009019C4" w:rsidRPr="002E497A">
        <w:rPr>
          <w:rFonts w:eastAsia="Times New Roman" w:cstheme="minorHAnsi"/>
          <w:lang w:eastAsia="en-GB"/>
        </w:rPr>
        <w:t>612462</w:t>
      </w:r>
      <w:r w:rsidR="009019C4">
        <w:rPr>
          <w:rFonts w:eastAsia="Times New Roman" w:cstheme="minorHAnsi"/>
          <w:lang w:eastAsia="en-GB"/>
        </w:rPr>
        <w:t xml:space="preserve">) with </w:t>
      </w:r>
      <w:r w:rsidR="00985335">
        <w:rPr>
          <w:rFonts w:eastAsia="Times New Roman" w:cstheme="minorHAnsi"/>
          <w:lang w:eastAsia="en-GB"/>
        </w:rPr>
        <w:t xml:space="preserve">concomitant </w:t>
      </w:r>
      <w:r w:rsidR="009019C4">
        <w:rPr>
          <w:rFonts w:eastAsia="Times New Roman" w:cstheme="minorHAnsi"/>
          <w:lang w:eastAsia="en-GB"/>
        </w:rPr>
        <w:t>AHO features and PHPIb (OMIM #</w:t>
      </w:r>
      <w:r w:rsidR="009019C4" w:rsidRPr="009019C4">
        <w:t>603233</w:t>
      </w:r>
      <w:r w:rsidR="009019C4">
        <w:t xml:space="preserve">) </w:t>
      </w:r>
      <w:r w:rsidR="00314222">
        <w:t xml:space="preserve">generally </w:t>
      </w:r>
      <w:r w:rsidR="009019C4">
        <w:t xml:space="preserve">without AHO. </w:t>
      </w:r>
      <w:r w:rsidR="00985335">
        <w:t>The phenotypes and underlying molecular mechanisms of PHP and PPHP</w:t>
      </w:r>
      <w:r w:rsidR="00023A53">
        <w:t xml:space="preserve">, including other </w:t>
      </w:r>
      <w:r w:rsidR="00023A53" w:rsidRPr="00023A53">
        <w:rPr>
          <w:i/>
        </w:rPr>
        <w:t>GNAS</w:t>
      </w:r>
      <w:r w:rsidR="00023A53" w:rsidRPr="00023A53">
        <w:t>-related disorder</w:t>
      </w:r>
      <w:r w:rsidR="00023A53">
        <w:t>s such as progressive osseous heteroplasia (OMIM #166350),</w:t>
      </w:r>
      <w:r w:rsidR="00985335">
        <w:t xml:space="preserve"> are summarised in Figure 1. </w:t>
      </w:r>
    </w:p>
    <w:p w14:paraId="080E6679" w14:textId="77777777" w:rsidR="00A523FA" w:rsidRDefault="00A523FA" w:rsidP="006B410D">
      <w:pPr>
        <w:autoSpaceDE w:val="0"/>
        <w:autoSpaceDN w:val="0"/>
        <w:adjustRightInd w:val="0"/>
        <w:spacing w:after="0" w:line="240" w:lineRule="auto"/>
        <w:rPr>
          <w:rFonts w:ascii="Times New Roman" w:hAnsi="Times New Roman" w:cs="Times New Roman"/>
          <w:sz w:val="19"/>
          <w:szCs w:val="19"/>
          <w:lang w:val="en-US"/>
        </w:rPr>
      </w:pPr>
    </w:p>
    <w:p w14:paraId="509E5F83" w14:textId="677B632D" w:rsidR="00023A53" w:rsidRPr="00CC0216" w:rsidRDefault="007F1BD6" w:rsidP="00CE2682">
      <w:pPr>
        <w:spacing w:after="0" w:line="480" w:lineRule="auto"/>
        <w:rPr>
          <w:rFonts w:eastAsia="Times New Roman" w:cstheme="minorHAnsi"/>
          <w:lang w:eastAsia="en-GB"/>
        </w:rPr>
      </w:pPr>
      <w:r w:rsidRPr="008C1EC2">
        <w:rPr>
          <w:rFonts w:eastAsia="Times New Roman" w:cstheme="minorHAnsi"/>
          <w:lang w:eastAsia="en-GB"/>
        </w:rPr>
        <w:t xml:space="preserve">The AHO phenotype is not unique to </w:t>
      </w:r>
      <w:r w:rsidR="009449D2" w:rsidRPr="008C1EC2">
        <w:rPr>
          <w:rFonts w:eastAsia="Times New Roman" w:cstheme="minorHAnsi"/>
          <w:lang w:eastAsia="en-GB"/>
        </w:rPr>
        <w:t>the above conditions</w:t>
      </w:r>
      <w:r w:rsidRPr="008C1EC2">
        <w:rPr>
          <w:rFonts w:eastAsia="Times New Roman" w:cstheme="minorHAnsi"/>
          <w:lang w:eastAsia="en-GB"/>
        </w:rPr>
        <w:t xml:space="preserve"> and </w:t>
      </w:r>
      <w:r w:rsidR="007F52FB" w:rsidRPr="008C1EC2">
        <w:rPr>
          <w:rFonts w:eastAsia="Times New Roman" w:cstheme="minorHAnsi"/>
          <w:lang w:eastAsia="en-GB"/>
        </w:rPr>
        <w:t>can lead</w:t>
      </w:r>
      <w:r w:rsidRPr="008C1EC2">
        <w:rPr>
          <w:rFonts w:eastAsia="Times New Roman" w:cstheme="minorHAnsi"/>
          <w:lang w:eastAsia="en-GB"/>
        </w:rPr>
        <w:t xml:space="preserve"> to </w:t>
      </w:r>
      <w:r w:rsidR="009449D2" w:rsidRPr="008C1EC2">
        <w:rPr>
          <w:rFonts w:eastAsia="Times New Roman" w:cstheme="minorHAnsi"/>
          <w:lang w:eastAsia="en-GB"/>
        </w:rPr>
        <w:t>an incorrectly assigned clinical diagnosis of P</w:t>
      </w:r>
      <w:r w:rsidR="007F52FB" w:rsidRPr="008C1EC2">
        <w:rPr>
          <w:rFonts w:eastAsia="Times New Roman" w:cstheme="minorHAnsi"/>
          <w:lang w:eastAsia="en-GB"/>
        </w:rPr>
        <w:t xml:space="preserve">HP </w:t>
      </w:r>
      <w:r w:rsidR="009449D2" w:rsidRPr="008C1EC2">
        <w:rPr>
          <w:rFonts w:eastAsia="Times New Roman" w:cstheme="minorHAnsi"/>
          <w:lang w:eastAsia="en-GB"/>
        </w:rPr>
        <w:t xml:space="preserve">in individuals who tested negative for </w:t>
      </w:r>
      <w:r w:rsidR="009449D2" w:rsidRPr="008C1EC2">
        <w:rPr>
          <w:rFonts w:eastAsia="Times New Roman" w:cstheme="minorHAnsi"/>
          <w:i/>
          <w:lang w:eastAsia="en-GB"/>
        </w:rPr>
        <w:t>GNAS</w:t>
      </w:r>
      <w:r w:rsidR="009449D2" w:rsidRPr="008C1EC2">
        <w:rPr>
          <w:rFonts w:eastAsia="Times New Roman" w:cstheme="minorHAnsi"/>
          <w:lang w:eastAsia="en-GB"/>
        </w:rPr>
        <w:t xml:space="preserve"> molecular defects</w:t>
      </w:r>
      <w:r w:rsidR="00FC00F3" w:rsidRPr="008C1EC2">
        <w:rPr>
          <w:rFonts w:eastAsia="Times New Roman" w:cstheme="minorHAnsi"/>
          <w:lang w:eastAsia="en-GB"/>
        </w:rPr>
        <w:t xml:space="preserve"> </w:t>
      </w:r>
      <w:r w:rsidR="00FC00F3" w:rsidRPr="008C1EC2">
        <w:rPr>
          <w:rFonts w:eastAsia="Times New Roman" w:cstheme="minorHAnsi"/>
          <w:lang w:eastAsia="en-GB"/>
        </w:rPr>
        <w:fldChar w:fldCharType="begin" w:fldLock="1"/>
      </w:r>
      <w:r w:rsidR="00580851">
        <w:rPr>
          <w:rFonts w:eastAsia="Times New Roman" w:cstheme="minorHAnsi"/>
          <w:lang w:eastAsia="en-GB"/>
        </w:rPr>
        <w:instrText>ADDIN CSL_CITATION {"citationItems":[{"id":"ITEM-1","itemData":{"DOI":"10.1002/jbmr.2785","ISSN":"15234681","PMID":"26763073","abstract":"The cyclic adenosine monophosphate (cAMP) intracellular signaling pathway mediates the physiological effects of several hormones and neurotransmitters, acting by the activation of G-protein coupled receptors (GPCRs) and several downstream intracellular effectors, including the heterotrimeric stimulatory G-protein (Gs), the cAMP-dependent protein kinase A (PKA) and cAMP-specific phosphodiesterases (PDEs). Defective G protein-mediated signaling has been associated to an increasing number of disorders, including Albright hereditary osteodistrophy (AHO) and pseudohypoparathyroidism (PHP), a heterogeneous group of rare genetic metabolic disorders due to molecular defects at the GNAS locus. Moreover, mutations in PRKAR1A and PDE4D genes have been recently detected in patients with acrodysostosis (ACRDYS), showing a skeletal and endocrinological phenotype partially overlapping with AHO/PHP. Despite the high detection rate of molecular defects by currently available molecular approaches, about 30% of AHO/PHP patients still lack a molecular diagnosis, hence the need to screen patients negative for GNAS epi/genetic defects also for chromosomal regions and genes associated to diseases that undergo differential diagnosis with PHP. According to the growing knowledge on Gsα-cAMP signaling-linked disorders, we investigated our series of patients (n = 81) with a clinical diagnosis of PHP/AHO but negative for GNAS anomalies for the presence of novel genetic variants at PRKAR1A and PDE4D genes. Our work allowed the detection of 8 novel missense variants affecting genes so far associated to ACRDYS in 9 patients. Our data further confirm the molecular and clinical overlap among these disorders; we present the data collected from a large series of patients and a brief review of the literature, in order to compare our findings with already published data, to look for PRKAR1A/PDE4D mutation spectrum, recurrent mutations and mutation hot spots, and to identify specific clinical features associated to ACRDYS, that deserve surveillance during follow-up. This article is protected by copyright. All rights reserved.","author":[{"dropping-particle":"","family":"Elli","given":"Francesca Marta","non-dropping-particle":"","parse-names":false,"suffix":""},{"dropping-particle":"","family":"Bordogna","given":"Paolo","non-dropping-particle":"","parse-names":false,"suffix":""},{"dropping-particle":"","family":"Sanctis","given":"Luisa","non-dropping-particle":"De","parse-names":false,"suffix":""},{"dropping-particle":"","family":"Giachero","given":"Federica","non-dropping-particle":"","parse-names":false,"suffix":""},{"dropping-particle":"","family":"Verrua","given":"Elisa","non-dropping-particle":"","parse-names":false,"suffix":""},{"dropping-particle":"","family":"Segni","given":"Maria","non-dropping-particle":"","parse-names":false,"suffix":""},{"dropping-particle":"","family":"Mazzanti","given":"Laura","non-dropping-particle":"","parse-names":false,"suffix":""},{"dropping-particle":"","family":"Boldrin","given":"Valentina","non-dropping-particle":"","parse-names":false,"suffix":""},{"dropping-particle":"","family":"Toromanovic","given":"Alma","non-dropping-particle":"","parse-names":false,"suffix":""},{"dropping-particle":"","family":"Spada","given":"Anna","non-dropping-particle":"","parse-names":false,"suffix":""},{"dropping-particle":"","family":"Mantovani","given":"Giovanna","non-dropping-particle":"","parse-names":false,"suffix":""}],"container-title":"Journal of Bone and Mineral Research","id":"ITEM-1","issue":"6","issued":{"date-parts":[["2016"]]},"page":"1215-1224","title":"Screening of PRKAR1A and PDE4D in a Large Italian Series of Patients Clinically Diagnosed with Albright Hereditary Osteodystrophy and/or Pseudohypoparathyroidism","type":"article-journal","volume":"31"},"uris":["http://www.mendeley.com/documents/?uuid=7fc71214-b830-4659-9719-921f1333ff27"]}],"mendeley":{"formattedCitation":"(Francesca Marta Elli et al., 2016)","plainTextFormattedCitation":"(Francesca Marta Elli et al., 2016)","previouslyFormattedCitation":"(Francesca Marta Elli et al., 2016)"},"properties":{"noteIndex":0},"schema":"https://github.com/citation-style-language/schema/raw/master/csl-citation.json"}</w:instrText>
      </w:r>
      <w:r w:rsidR="00FC00F3" w:rsidRPr="008C1EC2">
        <w:rPr>
          <w:rFonts w:eastAsia="Times New Roman" w:cstheme="minorHAnsi"/>
          <w:lang w:eastAsia="en-GB"/>
        </w:rPr>
        <w:fldChar w:fldCharType="separate"/>
      </w:r>
      <w:r w:rsidR="00580851" w:rsidRPr="00580851">
        <w:rPr>
          <w:rFonts w:eastAsia="Times New Roman" w:cstheme="minorHAnsi"/>
          <w:noProof/>
          <w:lang w:eastAsia="en-GB"/>
        </w:rPr>
        <w:t>(Francesca Marta Elli et al., 2016)</w:t>
      </w:r>
      <w:r w:rsidR="00FC00F3" w:rsidRPr="008C1EC2">
        <w:rPr>
          <w:rFonts w:eastAsia="Times New Roman" w:cstheme="minorHAnsi"/>
          <w:lang w:eastAsia="en-GB"/>
        </w:rPr>
        <w:fldChar w:fldCharType="end"/>
      </w:r>
      <w:r w:rsidR="00A33BE5" w:rsidRPr="008C1EC2">
        <w:rPr>
          <w:rFonts w:eastAsia="Times New Roman" w:cstheme="minorHAnsi"/>
          <w:lang w:eastAsia="en-GB"/>
        </w:rPr>
        <w:t xml:space="preserve">. A common source of confusion in prior literature is that of acrodysostosis, otherwise known as </w:t>
      </w:r>
      <w:r w:rsidR="00A33BE5" w:rsidRPr="008C1EC2">
        <w:rPr>
          <w:rFonts w:eastAsia="Times New Roman" w:cstheme="minorHAnsi"/>
          <w:lang w:eastAsia="en-GB"/>
        </w:rPr>
        <w:lastRenderedPageBreak/>
        <w:t xml:space="preserve">Maroteaux-Malamut syndrome, initially described in the 1970s as a clinical and radiological entity </w:t>
      </w:r>
      <w:r w:rsidR="00A33BE5" w:rsidRPr="008C1EC2">
        <w:rPr>
          <w:rFonts w:eastAsia="Times New Roman" w:cstheme="minorHAnsi"/>
          <w:lang w:eastAsia="en-GB"/>
        </w:rPr>
        <w:fldChar w:fldCharType="begin" w:fldLock="1"/>
      </w:r>
      <w:r w:rsidR="00F06F0B" w:rsidRPr="008C1EC2">
        <w:rPr>
          <w:rFonts w:eastAsia="Times New Roman" w:cstheme="minorHAnsi"/>
          <w:lang w:eastAsia="en-GB"/>
        </w:rPr>
        <w:instrText>ADDIN CSL_CITATION {"citationItems":[{"id":"ITEM-1","itemData":{"ISSN":"0032-7867","PMID":"5305130","author":[{"dropping-particle":"","family":"Maroteaux","given":"P","non-dropping-particle":"","parse-names":false,"suffix":""},{"dropping-particle":"","family":"Malamut","given":"G","non-dropping-particle":"","parse-names":false,"suffix":""}],"container-title":"La Presse medicale","id":"ITEM-1","issue":"46","issued":{"date-parts":[["1968","11","27"]]},"page":"2189-92","title":"[Acrodysostosis].","type":"article-journal","volume":"76"},"uris":["http://www.mendeley.com/documents/?uuid=49dd71f5-1160-3173-8f53-5806d32f1b80","http://www.mendeley.com/documents/?uuid=e3aec015-e381-445a-8ab3-8b12b37ad7eb"]},{"id":"ITEM-2","itemData":{"DOI":"10.1038/bonekey.2012.225","ISBN":"2047-6396","ISSN":"20476396","PMID":"24363928","abstract":"Acrodysostosis (ADO) refers to a heterogeneous group of rare skeletal dysplasia that share characteristic features including severe brachydactyly, facial dysostosis and nasal hypoplasia. The literature describing acrodysostosis cases has been confusing because some reported patients may have had other phenotypically related diseases presenting with Albright Hereditary Osteodystrophy (AHO) such as pseudohypoparathyroidism type 1a (PHP1a) or pseudopseudohypoparathyroidism (PPHP). A question has been whether patients display or not abnormal mineral metabolism associated with resistance to PTH and/or resistance to other hormones that bind G-protein coupled receptors (GPCR) linked to Gsα, as observed in PHP1a. The recent identification in patients affected with acrodysostosis of defects in two genes, PRKAR1A and PDE4D, both important players in the GPCR-Gsα-cAMP-PKA signaling, has helped clarify some issues regarding the heterogeneity of acrodysostosis, in particular the presence of hormonal resistance. Two different genetic and phenotypic syndromes are now identified, both with a similar bone dysplasia: ADOHR, due to PRKAR1A defects, and ADOP4 (our denomination), due to PDE4D defects. The existence of GPCR-hormone resistance is typical of the ADOHR syndrome. We review here the PRKAR1A and PDE4D gene defects and phenotypes identified in acrodysostosis syndromes, and discuss them in view of phenotypically related diseases caused by defects in the same signaling pathway.","author":[{"dropping-particle":"","family":"Silve","given":"C","non-dropping-particle":"","parse-names":false,"suffix":""},{"dropping-particle":"","family":"Le-Stunff","given":"C","non-dropping-particle":"","parse-names":false,"suffix":""},{"dropping-particle":"","family":"Motte","given":"E","non-dropping-particle":"","parse-names":false,"suffix":""},{"dropping-particle":"","family":"Gunes","given":"Y","non-dropping-particle":"","parse-names":false,"suffix":""},{"dropping-particle":"","family":"Linglart","given":"A","non-dropping-particle":"","parse-names":false,"suffix":""},{"dropping-particle":"","family":"Clauser","given":"E","non-dropping-particle":"","parse-names":false,"suffix":""}],"container-title":"BoneKEy Reports","id":"ITEM-2","issue":"September","issued":{"date-parts":[["2012"]]},"page":"225","publisher":"Nature Publishing Group","title":"Acrodysostosis syndromes","type":"article-journal","volume":"1"},"uris":["http://www.mendeley.com/documents/?uuid=1c188965-fedd-4c2a-b137-341b9f028f6b"]}],"mendeley":{"formattedCitation":"(Maroteaux &amp; Malamut, 1968; Silve et al., 2012)","plainTextFormattedCitation":"(Maroteaux &amp; Malamut, 1968; Silve et al., 2012)","previouslyFormattedCitation":"(Maroteaux &amp; Malamut, 1968; Silve et al., 2012)"},"properties":{"noteIndex":0},"schema":"https://github.com/citation-style-language/schema/raw/master/csl-citation.json"}</w:instrText>
      </w:r>
      <w:r w:rsidR="00A33BE5" w:rsidRPr="008C1EC2">
        <w:rPr>
          <w:rFonts w:eastAsia="Times New Roman" w:cstheme="minorHAnsi"/>
          <w:lang w:eastAsia="en-GB"/>
        </w:rPr>
        <w:fldChar w:fldCharType="separate"/>
      </w:r>
      <w:r w:rsidR="00FC00F3" w:rsidRPr="008C1EC2">
        <w:rPr>
          <w:rFonts w:eastAsia="Times New Roman" w:cstheme="minorHAnsi"/>
          <w:noProof/>
          <w:lang w:eastAsia="en-GB"/>
        </w:rPr>
        <w:t>(Maroteaux &amp; Malamut, 1968; Silve et al., 2012)</w:t>
      </w:r>
      <w:r w:rsidR="00A33BE5" w:rsidRPr="008C1EC2">
        <w:rPr>
          <w:rFonts w:eastAsia="Times New Roman" w:cstheme="minorHAnsi"/>
          <w:lang w:eastAsia="en-GB"/>
        </w:rPr>
        <w:fldChar w:fldCharType="end"/>
      </w:r>
      <w:r w:rsidR="00A33BE5" w:rsidRPr="008C1EC2">
        <w:rPr>
          <w:rFonts w:eastAsia="Times New Roman" w:cstheme="minorHAnsi"/>
          <w:lang w:eastAsia="en-GB"/>
        </w:rPr>
        <w:t xml:space="preserve">. Acrodysostosis </w:t>
      </w:r>
      <w:r w:rsidR="00F93457">
        <w:rPr>
          <w:rFonts w:eastAsia="Times New Roman" w:cstheme="minorHAnsi"/>
          <w:lang w:eastAsia="en-GB"/>
        </w:rPr>
        <w:t>is defined as ‘</w:t>
      </w:r>
      <w:r w:rsidR="003B0F86">
        <w:rPr>
          <w:rFonts w:eastAsia="Times New Roman" w:cstheme="minorHAnsi"/>
          <w:lang w:eastAsia="en-GB"/>
        </w:rPr>
        <w:t xml:space="preserve">the association of severe brachydactyly, facial dysostosis and nasal hypoplasia’ </w:t>
      </w:r>
      <w:r w:rsidR="003B0F86">
        <w:rPr>
          <w:rFonts w:eastAsia="Times New Roman" w:cstheme="minorHAnsi"/>
          <w:lang w:eastAsia="en-GB"/>
        </w:rPr>
        <w:fldChar w:fldCharType="begin" w:fldLock="1"/>
      </w:r>
      <w:r w:rsidR="005627B6">
        <w:rPr>
          <w:rFonts w:eastAsia="Times New Roman" w:cstheme="minorHAnsi"/>
          <w:lang w:eastAsia="en-GB"/>
        </w:rPr>
        <w:instrText>ADDIN CSL_CITATION {"citationItems":[{"id":"ITEM-1","itemData":{"DOI":"10.1038/s41574-018-0042-0","ISSN":"17595037","PMID":"29959430","abstract":"This Consensus Statement covers recommendations for the diagnosis and management of patients with pseudohypoparathyroidism (PHP) and related disorders, which comprise metabolic disorders characterized by physical findings that variably include short bones, short stature, a stocky build, early-onset obesity and ectopic ossifications, as well as endocrine defects that often include resistance to parathyroid hormone (PTH) and TSH. The presentation and severity of PHP and its related disorders vary between affected individuals with considerable clinical and molecular overlap between the different types. A specific diagnosis is often delayed owing to lack of recognition of the syndrome and associated features. The participants in this Consensus Statement agreed that the diagnosis of PHP should be based on major criteria, including resistance to PTH, ectopic ossifications, brachydactyly and early-onset obesity. The clinical and laboratory diagnosis should be confirmed by a molecular genetic analysis. Patients should be screened at diagnosis and during follow-up for specific features, such as PTH resistance, TSH resistance, growth hormone deficiency, hypogonadism, skeletal deformities, oral health, weight gain, glucose intolerance or type 2 diabetes mellitus, and hypertension, as well as subcutaneous and/or deeper ectopic ossifications and neurocognitive impairment. Overall, a coordinated and multidisciplinary approach from infancy through adulthood, including a transition programme, should help us to improve the care of patients affected by these disorders.","author":[{"dropping-particle":"","family":"Mantovani","given":"Giovanna","non-dropping-particle":"","parse-names":false,"suffix":""},{"dropping-particle":"","family":"Bastepe","given":"Murat","non-dropping-particle":"","parse-names":false,"suffix":""},{"dropping-particle":"","family":"Monk","given":"David","non-dropping-particle":"","parse-names":false,"suffix":""},{"dropping-particle":"","family":"Sanctis","given":"Luisa","non-dropping-particle":"De","parse-names":false,"suffix":""},{"dropping-particle":"","family":"Thiele","given":"Susanne","non-dropping-particle":"","parse-names":false,"suffix":""},{"dropping-particle":"","family":"Usardi","given":"Alessia","non-dropping-particle":"","parse-names":false,"suffix":""},{"dropping-particle":"","family":"Ahmed","given":"S. Faisal","non-dropping-particle":"","parse-names":false,"suffix":""},{"dropping-particle":"","family":"Bufo","given":"Roberto","non-dropping-particle":"","parse-names":false,"suffix":""},{"dropping-particle":"","family":"Choplin","given":"Timothée","non-dropping-particle":"","parse-names":false,"suffix":""},{"dropping-particle":"","family":"Filippo","given":"Gianpaolo","non-dropping-particle":"De","parse-names":false,"suffix":""},{"dropping-particle":"","family":"Devernois","given":"Guillemette","non-dropping-particle":"","parse-names":false,"suffix":""},{"dropping-particle":"","family":"Eggermann","given":"Thomas","non-dropping-particle":"","parse-names":false,"suffix":""},{"dropping-particle":"","family":"Elli","given":"Francesca M.","non-dropping-particle":"","parse-names":false,"suffix":""},{"dropping-particle":"","family":"Freson","given":"Kathleen","non-dropping-particle":"","parse-names":false,"suffix":""},{"dropping-particle":"","family":"García Ramirez","given":"Aurora","non-dropping-particle":"","parse-names":false,"suffix":""},{"dropping-particle":"","family":"Germain-Lee","given":"Emily L.","non-dropping-particle":"","parse-names":false,"suffix":""},{"dropping-particle":"","family":"Groussin","given":"Lionel","non-dropping-particle":"","parse-names":false,"suffix":""},{"dropping-particle":"","family":"Hamdy","given":"Neveen","non-dropping-particle":"","parse-names":false,"suffix":""},{"dropping-particle":"","family":"Hanna","given":"Patrick","non-dropping-particle":"","parse-names":false,"suffix":""},{"dropping-particle":"","family":"Hiort","given":"Olaf","non-dropping-particle":"","parse-names":false,"suffix":""},{"dropping-particle":"","family":"Jüppner","given":"Harald","non-dropping-particle":"","parse-names":false,"suffix":""},{"dropping-particle":"","family":"Kamenický","given":"Peter","non-dropping-particle":"","parse-names":false,"suffix":""},{"dropping-particle":"","family":"Knight","given":"Nina","non-dropping-particle":"","parse-names":false,"suffix":""},{"dropping-particle":"","family":"Kottler","given":"Marie Laure","non-dropping-particle":"","parse-names":false,"suffix":""},{"dropping-particle":"","family":"Norcy","given":"Elvire","non-dropping-particle":"Le","parse-names":false,"suffix":""},{"dropping-particle":"","family":"Lecumberri","given":"Beatriz","non-dropping-particle":"","parse-names":false,"suffix":""},{"dropping-particle":"","family":"Levine","given":"Michael A.","non-dropping-particle":"","parse-names":false,"suffix":""},{"dropping-particle":"","family":"Mäkitie","given":"Outi","non-dropping-particle":"","parse-names":false,"suffix":""},{"dropping-particle":"","family":"Martin","given":"Regina","non-dropping-particle":"","parse-names":false,"suffix":""},{"dropping-particle":"","family":"Martos-Moreno","given":"Gabriel Ángel","non-dropping-particle":"","parse-names":false,"suffix":""},{"dropping-particle":"","family":"Minagawa","given":"Masanori","non-dropping-particle":"","parse-names":false,"suffix":""},{"dropping-particle":"","family":"Murray","given":"Philip","non-dropping-particle":"","parse-names":false,"suffix":""},{"dropping-particle":"","family":"Pereda","given":"Arrate","non-dropping-particle":"","parse-names":false,"suffix":""},{"dropping-particle":"","family":"Pignolo","given":"Robert","non-dropping-particle":"","parse-names":false,"suffix":""},{"dropping-particle":"","family":"Rejnmark","given":"Lars","non-dropping-particle":"","parse-names":false,"suffix":""},{"dropping-particle":"","family":"Rodado","given":"Rebecca","non-dropping-particle":"","parse-names":false,"suffix":""},{"dropping-particle":"","family":"Rothenbuhler","given":"Anya","non-dropping-particle":"","parse-names":false,"suffix":""},{"dropping-particle":"","family":"Saraff","given":"Vrinda","non-dropping-particle":"","parse-names":false,"suffix":""},{"dropping-particle":"","family":"Shoemaker","given":"Ashley H.","non-dropping-particle":"","parse-names":false,"suffix":""},{"dropping-particle":"","family":"Shore","given":"Eileen M.","non-dropping-particle":"","parse-names":false,"suffix":""},{"dropping-particle":"","family":"Silve","given":"Caroline","non-dropping-particle":"","parse-names":false,"suffix":""},{"dropping-particle":"","family":"Turan","given":"Serap","non-dropping-particle":"","parse-names":false,"suffix":""},{"dropping-particle":"","family":"Woods","given":"Philip","non-dropping-particle":"","parse-names":false,"suffix":""},{"dropping-particle":"","family":"Carola Zillikens","given":"M.","non-dropping-particle":"","parse-names":false,"suffix":""},{"dropping-particle":"","family":"Nanclares","given":"Guiomar Perez","non-dropping-particle":"De","parse-names":false,"suffix":""},{"dropping-particle":"","family":"Linglart","given":"Agnès","non-dropping-particle":"","parse-names":false,"suffix":""}],"container-title":"Nature Reviews Endocrinology","id":"ITEM-1","issue":"8","issued":{"date-parts":[["2018"]]},"page":"476-500","publisher":"Springer US","title":"Diagnosis and management of pseudohypoparathyroidism and related disorders: First international Consensus Statement","type":"article-journal","volume":"14"},"uris":["http://www.mendeley.com/documents/?uuid=d03de5be-d81d-4986-9c94-7d543dfee407"]}],"mendeley":{"formattedCitation":"(Mantovani et al., 2018)","plainTextFormattedCitation":"(Mantovani et al., 2018)","previouslyFormattedCitation":"(Mantovani et al., 2018)"},"properties":{"noteIndex":0},"schema":"https://github.com/citation-style-language/schema/raw/master/csl-citation.json"}</w:instrText>
      </w:r>
      <w:r w:rsidR="003B0F86">
        <w:rPr>
          <w:rFonts w:eastAsia="Times New Roman" w:cstheme="minorHAnsi"/>
          <w:lang w:eastAsia="en-GB"/>
        </w:rPr>
        <w:fldChar w:fldCharType="separate"/>
      </w:r>
      <w:r w:rsidR="003B0F86" w:rsidRPr="003B0F86">
        <w:rPr>
          <w:rFonts w:eastAsia="Times New Roman" w:cstheme="minorHAnsi"/>
          <w:noProof/>
          <w:lang w:eastAsia="en-GB"/>
        </w:rPr>
        <w:t>(Mantovani et al., 2018)</w:t>
      </w:r>
      <w:r w:rsidR="003B0F86">
        <w:rPr>
          <w:rFonts w:eastAsia="Times New Roman" w:cstheme="minorHAnsi"/>
          <w:lang w:eastAsia="en-GB"/>
        </w:rPr>
        <w:fldChar w:fldCharType="end"/>
      </w:r>
      <w:r w:rsidR="003B0F86">
        <w:rPr>
          <w:rFonts w:eastAsia="Times New Roman" w:cstheme="minorHAnsi"/>
          <w:lang w:eastAsia="en-GB"/>
        </w:rPr>
        <w:t xml:space="preserve">. The bony abnormalities of acrodysostosis are </w:t>
      </w:r>
      <w:r w:rsidR="005627B6">
        <w:rPr>
          <w:rFonts w:eastAsia="Times New Roman" w:cstheme="minorHAnsi"/>
          <w:lang w:eastAsia="en-GB"/>
        </w:rPr>
        <w:t>of</w:t>
      </w:r>
      <w:r w:rsidR="003B0F86">
        <w:rPr>
          <w:rFonts w:eastAsia="Times New Roman" w:cstheme="minorHAnsi"/>
          <w:lang w:eastAsia="en-GB"/>
        </w:rPr>
        <w:t xml:space="preserve">ten indistinguishable from AHO. </w:t>
      </w:r>
      <w:r w:rsidR="00A33BE5" w:rsidRPr="008C1EC2">
        <w:rPr>
          <w:rFonts w:eastAsia="Times New Roman" w:cstheme="minorHAnsi"/>
          <w:lang w:eastAsia="en-GB"/>
        </w:rPr>
        <w:fldChar w:fldCharType="begin" w:fldLock="1"/>
      </w:r>
      <w:r w:rsidR="00F91D0E">
        <w:rPr>
          <w:rFonts w:eastAsia="Times New Roman" w:cstheme="minorHAnsi"/>
          <w:lang w:eastAsia="en-GB"/>
        </w:rPr>
        <w:instrText>ADDIN CSL_CITATION {"citationItems":[{"id":"ITEM-1","itemData":{"DOI":"10.1038/nrendo.2016.52","ISSN":"17595037","abstract":"© 2016 Macmillan Publishers Limited. Pseudohypoparathyroidism exemplifies an unusual form of hormone resistance as the underlying molecular defect is a partial deficiency of the α subunit of the stimulatory G protein (G s α), a key regulator of the cAMP signalling pathway, rather than of the parathyroid hormone (PTH) receptor itself. Despite the first description of this disorder dating back to 1942, later findings have unveiled complex epigenetic alterations in addition to classic mutations in GNAS underpining the molecular basis of the main subtypes of pseudohypoparathyroidism. Moreover, mutations in PRKAR1A and PDE4D, which encode proteins crucial for G s α-cAMP-mediated signalling, have been found in patients with acrodysostosis. As acrodysostosis, a disease characterized by skeletal malformations and endocrine disturbances, shares clinical and molecular characteristics with pseudohypoparathyroidism, making a differential diagnosis and providing genetic counselling to patients and families is a challenge for endocrinologists. Accumulating data on the genetic and clinical aspects of this group of diseases highlight the limitation of the current classification system and prompt the need for a new definition as well as for new diagnostic and/or therapeutic algorithms. This Review discusses both the current understanding and future challenges for the clinical and molecular diagnosis, classification and treatment of pseudohypoparathyroidism.","author":[{"dropping-particle":"","family":"Mantovani","given":"Giovanna","non-dropping-particle":"","parse-names":false,"suffix":""},{"dropping-particle":"","family":"Spada","given":"Anna","non-dropping-particle":"","parse-names":false,"suffix":""},{"dropping-particle":"","family":"Elli","given":"Francesca Marta","non-dropping-particle":"","parse-names":false,"suffix":""}],"container-title":"Nature Reviews Endocrinology","id":"ITEM-1","issue":"6","issued":{"date-parts":[["2016"]]},"page":"347-356","publisher":"Nature Publishing Group","title":"Pseudohypoparathyroidism and G s α-cAMP-linked disorders: Current view and open issues","type":"article-journal","volume":"12"},"uris":["http://www.mendeley.com/documents/?uuid=5b9d66da-1c2c-4b07-b028-5a82ec4a7d07","http://www.mendeley.com/documents/?uuid=a87795c8-9e10-4bb5-9b4f-259239ac3ce9"]}],"mendeley":{"formattedCitation":"(Mantovani et al., 2016)","plainTextFormattedCitation":"(Mantovani et al., 2016)","previouslyFormattedCitation":"(Mantovani et al., 2016)"},"properties":{"noteIndex":0},"schema":"https://github.com/citation-style-language/schema/raw/master/csl-citation.json"}</w:instrText>
      </w:r>
      <w:r w:rsidR="00A33BE5" w:rsidRPr="008C1EC2">
        <w:rPr>
          <w:rFonts w:eastAsia="Times New Roman" w:cstheme="minorHAnsi"/>
          <w:lang w:eastAsia="en-GB"/>
        </w:rPr>
        <w:fldChar w:fldCharType="separate"/>
      </w:r>
      <w:r w:rsidR="008513AC" w:rsidRPr="008513AC">
        <w:rPr>
          <w:rFonts w:eastAsia="Times New Roman" w:cstheme="minorHAnsi"/>
          <w:noProof/>
          <w:lang w:eastAsia="en-GB"/>
        </w:rPr>
        <w:t>(Mantovani et al., 2016)</w:t>
      </w:r>
      <w:r w:rsidR="00A33BE5" w:rsidRPr="008C1EC2">
        <w:rPr>
          <w:rFonts w:eastAsia="Times New Roman" w:cstheme="minorHAnsi"/>
          <w:lang w:eastAsia="en-GB"/>
        </w:rPr>
        <w:fldChar w:fldCharType="end"/>
      </w:r>
      <w:r w:rsidR="00A33BE5" w:rsidRPr="008C1EC2">
        <w:rPr>
          <w:rFonts w:eastAsia="Times New Roman" w:cstheme="minorHAnsi"/>
          <w:lang w:eastAsia="en-GB"/>
        </w:rPr>
        <w:t>. Other observed features include advanced bone age</w:t>
      </w:r>
      <w:r w:rsidR="00A962DE" w:rsidRPr="008C1EC2">
        <w:rPr>
          <w:rFonts w:eastAsia="Times New Roman" w:cstheme="minorHAnsi"/>
          <w:lang w:eastAsia="en-GB"/>
        </w:rPr>
        <w:t xml:space="preserve">, </w:t>
      </w:r>
      <w:r w:rsidR="00A33BE5" w:rsidRPr="008C1EC2">
        <w:rPr>
          <w:rFonts w:eastAsia="Times New Roman" w:cstheme="minorHAnsi"/>
          <w:lang w:eastAsia="en-GB"/>
        </w:rPr>
        <w:t>developmental delay, obesity, hearing loss</w:t>
      </w:r>
      <w:r w:rsidR="003B0F86">
        <w:rPr>
          <w:rFonts w:eastAsia="Times New Roman" w:cstheme="minorHAnsi"/>
          <w:lang w:eastAsia="en-GB"/>
        </w:rPr>
        <w:t xml:space="preserve"> and progressive growth failure with short stature</w:t>
      </w:r>
      <w:r w:rsidR="00A33BE5" w:rsidRPr="008C1EC2">
        <w:rPr>
          <w:rFonts w:eastAsia="Times New Roman" w:cstheme="minorHAnsi"/>
          <w:lang w:eastAsia="en-GB"/>
        </w:rPr>
        <w:t>. On biochemical testing, resistance to multiple hormones</w:t>
      </w:r>
      <w:r w:rsidR="00A962DE" w:rsidRPr="008C1EC2">
        <w:rPr>
          <w:rFonts w:eastAsia="Times New Roman" w:cstheme="minorHAnsi"/>
          <w:lang w:eastAsia="en-GB"/>
        </w:rPr>
        <w:t xml:space="preserve">, including PTH, thyroid stimulating hormone (TSH) and </w:t>
      </w:r>
      <w:r w:rsidR="00704745" w:rsidRPr="008C1EC2">
        <w:rPr>
          <w:rFonts w:eastAsia="Times New Roman" w:cstheme="minorHAnsi"/>
          <w:lang w:eastAsia="en-GB"/>
        </w:rPr>
        <w:t>the gonadotropins</w:t>
      </w:r>
      <w:r w:rsidR="00A962DE" w:rsidRPr="008C1EC2">
        <w:rPr>
          <w:rFonts w:eastAsia="Times New Roman" w:cstheme="minorHAnsi"/>
          <w:lang w:eastAsia="en-GB"/>
        </w:rPr>
        <w:t xml:space="preserve">, </w:t>
      </w:r>
      <w:r w:rsidR="00A33BE5" w:rsidRPr="008C1EC2">
        <w:rPr>
          <w:rFonts w:eastAsia="Times New Roman" w:cstheme="minorHAnsi"/>
          <w:lang w:eastAsia="en-GB"/>
        </w:rPr>
        <w:t xml:space="preserve">that utilise the cAMP signalling pathway </w:t>
      </w:r>
      <w:r w:rsidR="00A33BE5" w:rsidRPr="008C1EC2">
        <w:t xml:space="preserve">can be detected in a proportion of affected individuals. </w:t>
      </w:r>
      <w:r w:rsidR="009023C9" w:rsidRPr="008C1EC2">
        <w:t xml:space="preserve">The condition is sub-classified into </w:t>
      </w:r>
      <w:r w:rsidR="009023C9" w:rsidRPr="008C1EC2">
        <w:rPr>
          <w:rFonts w:eastAsia="Times New Roman" w:cstheme="minorHAnsi"/>
          <w:lang w:eastAsia="en-GB"/>
        </w:rPr>
        <w:t>acrodysostosis types 1</w:t>
      </w:r>
      <w:r w:rsidR="004C58BB">
        <w:rPr>
          <w:rFonts w:eastAsia="Times New Roman" w:cstheme="minorHAnsi"/>
          <w:lang w:eastAsia="en-GB"/>
        </w:rPr>
        <w:t xml:space="preserve"> (OMIM #101800)</w:t>
      </w:r>
      <w:r w:rsidR="009023C9" w:rsidRPr="008C1EC2">
        <w:rPr>
          <w:rFonts w:eastAsia="Times New Roman" w:cstheme="minorHAnsi"/>
          <w:lang w:eastAsia="en-GB"/>
        </w:rPr>
        <w:t xml:space="preserve"> and 2</w:t>
      </w:r>
      <w:r w:rsidR="004C58BB">
        <w:rPr>
          <w:rFonts w:eastAsia="Times New Roman" w:cstheme="minorHAnsi"/>
          <w:lang w:eastAsia="en-GB"/>
        </w:rPr>
        <w:t xml:space="preserve"> (OMIM #614613)</w:t>
      </w:r>
      <w:r w:rsidR="009023C9" w:rsidRPr="008C1EC2">
        <w:rPr>
          <w:rFonts w:eastAsia="Times New Roman" w:cstheme="minorHAnsi"/>
          <w:lang w:eastAsia="en-GB"/>
        </w:rPr>
        <w:t xml:space="preserve">, involving </w:t>
      </w:r>
      <w:r w:rsidR="009023C9" w:rsidRPr="008C1EC2">
        <w:rPr>
          <w:rFonts w:eastAsia="Times New Roman" w:cstheme="minorHAnsi"/>
          <w:i/>
          <w:lang w:eastAsia="en-GB"/>
        </w:rPr>
        <w:t>PRKAR1A</w:t>
      </w:r>
      <w:r w:rsidR="004C58BB">
        <w:rPr>
          <w:rFonts w:eastAsia="Times New Roman" w:cstheme="minorHAnsi"/>
          <w:lang w:eastAsia="en-GB"/>
        </w:rPr>
        <w:t xml:space="preserve"> (OMIM *188830)</w:t>
      </w:r>
      <w:r w:rsidR="009023C9" w:rsidRPr="008C1EC2">
        <w:rPr>
          <w:rFonts w:eastAsia="Times New Roman" w:cstheme="minorHAnsi"/>
          <w:lang w:eastAsia="en-GB"/>
        </w:rPr>
        <w:t xml:space="preserve"> and </w:t>
      </w:r>
      <w:r w:rsidR="009023C9" w:rsidRPr="008C1EC2">
        <w:rPr>
          <w:rFonts w:eastAsia="Times New Roman" w:cstheme="minorHAnsi"/>
          <w:i/>
          <w:lang w:eastAsia="en-GB"/>
        </w:rPr>
        <w:t>PDE4D</w:t>
      </w:r>
      <w:r w:rsidR="009023C9" w:rsidRPr="008C1EC2">
        <w:rPr>
          <w:rFonts w:eastAsia="Times New Roman" w:cstheme="minorHAnsi"/>
          <w:lang w:eastAsia="en-GB"/>
        </w:rPr>
        <w:t xml:space="preserve"> </w:t>
      </w:r>
      <w:r w:rsidR="004C58BB">
        <w:rPr>
          <w:rFonts w:eastAsia="Times New Roman" w:cstheme="minorHAnsi"/>
          <w:lang w:eastAsia="en-GB"/>
        </w:rPr>
        <w:t xml:space="preserve">(OMIM *600129) </w:t>
      </w:r>
      <w:r w:rsidR="009023C9" w:rsidRPr="008C1EC2">
        <w:rPr>
          <w:rFonts w:eastAsia="Times New Roman" w:cstheme="minorHAnsi"/>
          <w:lang w:eastAsia="en-GB"/>
        </w:rPr>
        <w:t xml:space="preserve">genes respectively, </w:t>
      </w:r>
      <w:r w:rsidR="00023A53">
        <w:rPr>
          <w:rFonts w:eastAsia="Times New Roman" w:cstheme="minorHAnsi"/>
          <w:lang w:eastAsia="en-GB"/>
        </w:rPr>
        <w:t>encoding</w:t>
      </w:r>
      <w:r w:rsidR="00A6186B" w:rsidRPr="008C1EC2">
        <w:rPr>
          <w:rFonts w:eastAsia="Times New Roman" w:cstheme="minorHAnsi"/>
          <w:lang w:eastAsia="en-GB"/>
        </w:rPr>
        <w:t xml:space="preserve"> </w:t>
      </w:r>
      <w:r w:rsidR="009023C9" w:rsidRPr="008C1EC2">
        <w:rPr>
          <w:rFonts w:eastAsia="Times New Roman" w:cstheme="minorHAnsi"/>
          <w:lang w:eastAsia="en-GB"/>
        </w:rPr>
        <w:t>for</w:t>
      </w:r>
      <w:r w:rsidR="00A33BE5" w:rsidRPr="008C1EC2">
        <w:rPr>
          <w:rFonts w:eastAsia="Times New Roman" w:cstheme="minorHAnsi"/>
          <w:lang w:eastAsia="en-GB"/>
        </w:rPr>
        <w:t xml:space="preserve"> key players of the GPCR-</w:t>
      </w:r>
      <w:r w:rsidR="00A33BE5" w:rsidRPr="008C1EC2">
        <w:t xml:space="preserve"> G</w:t>
      </w:r>
      <w:r w:rsidR="00A33BE5" w:rsidRPr="00023A53">
        <w:rPr>
          <w:vertAlign w:val="subscript"/>
        </w:rPr>
        <w:t>s</w:t>
      </w:r>
      <w:r w:rsidR="00A33BE5" w:rsidRPr="008C1EC2">
        <w:t>α</w:t>
      </w:r>
      <w:r w:rsidR="009023C9" w:rsidRPr="008C1EC2">
        <w:rPr>
          <w:rFonts w:eastAsia="Times New Roman" w:cstheme="minorHAnsi"/>
          <w:lang w:eastAsia="en-GB"/>
        </w:rPr>
        <w:t>-cAMP-PKA pathway</w:t>
      </w:r>
      <w:r w:rsidR="00CC0216">
        <w:rPr>
          <w:rFonts w:eastAsia="Times New Roman" w:cstheme="minorHAnsi"/>
          <w:lang w:eastAsia="en-GB"/>
        </w:rPr>
        <w:t xml:space="preserve"> (Figure 1)</w:t>
      </w:r>
      <w:r w:rsidR="00023A53">
        <w:rPr>
          <w:rFonts w:eastAsia="Times New Roman" w:cstheme="minorHAnsi"/>
          <w:lang w:eastAsia="en-GB"/>
        </w:rPr>
        <w:t>.</w:t>
      </w:r>
      <w:r w:rsidR="009023C9" w:rsidRPr="008C1EC2">
        <w:rPr>
          <w:rFonts w:eastAsia="Times New Roman" w:cstheme="minorHAnsi"/>
          <w:lang w:eastAsia="en-GB"/>
        </w:rPr>
        <w:t xml:space="preserve"> </w:t>
      </w:r>
    </w:p>
    <w:p w14:paraId="240E8A6D" w14:textId="0AD249E0" w:rsidR="00A33BE5" w:rsidRPr="008C1EC2" w:rsidRDefault="001C52E0" w:rsidP="00ED1F1B">
      <w:pPr>
        <w:spacing w:after="0" w:line="480" w:lineRule="auto"/>
        <w:rPr>
          <w:rFonts w:eastAsia="Times New Roman" w:cstheme="minorHAnsi"/>
          <w:lang w:eastAsia="en-GB"/>
        </w:rPr>
      </w:pPr>
      <w:r>
        <w:rPr>
          <w:rFonts w:eastAsia="Times New Roman" w:cstheme="minorHAnsi"/>
          <w:lang w:eastAsia="en-GB"/>
        </w:rPr>
        <w:t xml:space="preserve">Overall, </w:t>
      </w:r>
      <w:r w:rsidR="00DC28DC">
        <w:rPr>
          <w:rFonts w:eastAsia="Times New Roman" w:cstheme="minorHAnsi"/>
          <w:lang w:eastAsia="en-GB"/>
        </w:rPr>
        <w:t>the above</w:t>
      </w:r>
      <w:r>
        <w:rPr>
          <w:rFonts w:eastAsia="Times New Roman" w:cstheme="minorHAnsi"/>
          <w:lang w:eastAsia="en-GB"/>
        </w:rPr>
        <w:t xml:space="preserve"> disorders result from an impairment in the PTH-receptor signalling pathway at the molecular level</w:t>
      </w:r>
      <w:r w:rsidR="00CC0216">
        <w:rPr>
          <w:rFonts w:eastAsia="Times New Roman" w:cstheme="minorHAnsi"/>
          <w:lang w:eastAsia="en-GB"/>
        </w:rPr>
        <w:t xml:space="preserve"> with some overlapping </w:t>
      </w:r>
      <w:r>
        <w:rPr>
          <w:rFonts w:eastAsia="Times New Roman" w:cstheme="minorHAnsi"/>
          <w:lang w:eastAsia="en-GB"/>
        </w:rPr>
        <w:t>clinical and biochemical features</w:t>
      </w:r>
      <w:r w:rsidR="00CC0216">
        <w:rPr>
          <w:rFonts w:eastAsia="Times New Roman" w:cstheme="minorHAnsi"/>
          <w:lang w:eastAsia="en-GB"/>
        </w:rPr>
        <w:t xml:space="preserve">. </w:t>
      </w:r>
      <w:r>
        <w:rPr>
          <w:rFonts w:eastAsia="Times New Roman" w:cstheme="minorHAnsi"/>
          <w:lang w:eastAsia="en-GB"/>
        </w:rPr>
        <w:t xml:space="preserve">Past classification systems for PHP have failed to include the underlying molecular defect of PHP </w:t>
      </w:r>
      <w:r w:rsidR="00DC28DC">
        <w:rPr>
          <w:rFonts w:eastAsia="Times New Roman" w:cstheme="minorHAnsi"/>
          <w:lang w:eastAsia="en-GB"/>
        </w:rPr>
        <w:t>subtypes</w:t>
      </w:r>
      <w:r w:rsidR="00CC0216">
        <w:rPr>
          <w:rFonts w:eastAsia="Times New Roman" w:cstheme="minorHAnsi"/>
          <w:lang w:eastAsia="en-GB"/>
        </w:rPr>
        <w:t xml:space="preserve"> </w:t>
      </w:r>
      <w:r>
        <w:rPr>
          <w:rFonts w:eastAsia="Times New Roman" w:cstheme="minorHAnsi"/>
          <w:lang w:eastAsia="en-GB"/>
        </w:rPr>
        <w:t xml:space="preserve">and have not been inclusive of </w:t>
      </w:r>
      <w:r w:rsidR="00FA1F83">
        <w:rPr>
          <w:rFonts w:eastAsia="Times New Roman" w:cstheme="minorHAnsi"/>
          <w:lang w:eastAsia="en-GB"/>
        </w:rPr>
        <w:t>their</w:t>
      </w:r>
      <w:r w:rsidR="00DC28DC">
        <w:rPr>
          <w:rFonts w:eastAsia="Times New Roman" w:cstheme="minorHAnsi"/>
          <w:lang w:eastAsia="en-GB"/>
        </w:rPr>
        <w:t xml:space="preserve"> phenocopies,</w:t>
      </w:r>
      <w:r>
        <w:rPr>
          <w:rFonts w:eastAsia="Times New Roman" w:cstheme="minorHAnsi"/>
          <w:lang w:eastAsia="en-GB"/>
        </w:rPr>
        <w:t xml:space="preserve"> such as </w:t>
      </w:r>
      <w:r w:rsidR="00DC28DC">
        <w:t>progressive osseous heteroplasia</w:t>
      </w:r>
      <w:r>
        <w:rPr>
          <w:rFonts w:eastAsia="Times New Roman" w:cstheme="minorHAnsi"/>
          <w:lang w:eastAsia="en-GB"/>
        </w:rPr>
        <w:t xml:space="preserve"> and acrodysostosis. The EuroPHP network thus suggested a new classification system under the term inactivating PTH/PTHrP signalling disorders (iPPSD) </w:t>
      </w:r>
      <w:r>
        <w:rPr>
          <w:rFonts w:eastAsia="Times New Roman" w:cstheme="minorHAnsi"/>
          <w:lang w:eastAsia="en-GB"/>
        </w:rPr>
        <w:fldChar w:fldCharType="begin" w:fldLock="1"/>
      </w:r>
      <w:r w:rsidR="003F2443">
        <w:rPr>
          <w:rFonts w:eastAsia="Times New Roman" w:cstheme="minorHAnsi"/>
          <w:lang w:eastAsia="en-GB"/>
        </w:rPr>
        <w:instrText>ADDIN CSL_CITATION {"citationItems":[{"id":"ITEM-1","itemData":{"DOI":"10.1530/EJE-16-0107","ISBN":"0804-4643","ISSN":"1479683X","PMID":"27401862","abstract":"OBJECTIVE Disorders caused by impairments in the parathyroid hormone (PTH) signalling pathway are historically classified under the term pseudohypoparathyroidism (PHP), which encompasses rare, related and highly heterogeneous diseases with demonstrated (epi)genetic causes. The actual classification is based on the presence or absence of specific clinical and biochemical signs together with an in vivo response to exogenous PTH and the results of an in vitro assay to measure Gsa protein activity. However, this classification disregards other related diseases such as acrodysostosis (ACRDYS) or progressive osseous heteroplasia (POH), as well as recent findings of clinical and genetic/epigenetic background of the different subtypes. Therefore, the EuroPHP network decided to develop a new classification that encompasses all disorders with impairments in PTH and/or PTHrP cAMP-mediated pathway. DESIGN AND METHODS Extensive review of the literature was performed. Several meetings were organised to discuss about a new, more effective and accurate way to describe disorders caused by abnormalities of the PTH/PTHrP signalling pathway. RESULTS AND CONCLUSIONS After determining the major and minor criteria to be considered for the diagnosis of these disorders, we proposed to group them under the term 'inactivating PTH/PTHrP signalling disorder' (iPPSD). This terminology: (i) defines the common mechanism responsible for all diseases; (ii) does not require a confirmed genetic defect; (iii) avoids ambiguous terms like 'pseudo' and (iv) eliminates the clinical or molecular overlap between diseases. We believe that the use of this nomenclature and classification will facilitate the development of rationale and comprehensive international guidelines for the diagnosis and treatment of iPPSDs.","author":[{"dropping-particle":"","family":"Thiele","given":"Susanne","non-dropping-particle":"","parse-names":false,"suffix":""},{"dropping-particle":"","family":"Mantovani","given":"Giovanna","non-dropping-particle":"","parse-names":false,"suffix":""},{"dropping-particle":"","family":"Barlier","given":"Anne","non-dropping-particle":"","parse-names":false,"suffix":""},{"dropping-particle":"","family":"Boldrin","given":"Valentina","non-dropping-particle":"","parse-names":false,"suffix":""},{"dropping-particle":"","family":"Bordogna","given":"Paolo","non-dropping-particle":"","parse-names":false,"suffix":""},{"dropping-particle":"","family":"Sanctis","given":"Luisa","non-dropping-particle":"De","parse-names":false,"suffix":""},{"dropping-particle":"","family":"Elli","given":"Francesca M.","non-dropping-particle":"","parse-names":false,"suffix":""},{"dropping-particle":"","family":"Freson","given":"Kathleen","non-dropping-particle":"","parse-names":false,"suffix":""},{"dropping-particle":"","family":"Garin","given":"Intza","non-dropping-particle":"","parse-names":false,"suffix":""},{"dropping-particle":"","family":"Grybek","given":"Virginie","non-dropping-particle":"","parse-names":false,"suffix":""},{"dropping-particle":"","family":"Hanna","given":"Patrick","non-dropping-particle":"","parse-names":false,"suffix":""},{"dropping-particle":"","family":"Izzi","given":"Benedetta","non-dropping-particle":"","parse-names":false,"suffix":""},{"dropping-particle":"","family":"Hiort","given":"Olaf","non-dropping-particle":"","parse-names":false,"suffix":""},{"dropping-particle":"","family":"Lecumberri","given":"Beatriz","non-dropping-particle":"","parse-names":false,"suffix":""},{"dropping-particle":"","family":"Pereda","given":"Arrate","non-dropping-particle":"","parse-names":false,"suffix":""},{"dropping-particle":"","family":"Saraff","given":"Vrinda","non-dropping-particle":"","parse-names":false,"suffix":""},{"dropping-particle":"","family":"Silve","given":"Caroline","non-dropping-particle":"","parse-names":false,"suffix":""},{"dropping-particle":"","family":"Turan","given":"Serap","non-dropping-particle":"","parse-names":false,"suffix":""},{"dropping-particle":"","family":"Usardi","given":"Alessia","non-dropping-particle":"","parse-names":false,"suffix":""},{"dropping-particle":"","family":"Werner","given":"Ralf","non-dropping-particle":"","parse-names":false,"suffix":""},{"dropping-particle":"","family":"Nanclares","given":"Guiomar Perez","non-dropping-particle":"De","parse-names":false,"suffix":""},{"dropping-particle":"","family":"Linglart","given":"Agnès","non-dropping-particle":"","parse-names":false,"suffix":""}],"container-title":"European Journal of Endocrinology","id":"ITEM-1","issue":"6","issued":{"date-parts":[["2016"]]},"page":"P1-P17","title":"From pseudohypoparathyroidism to inactivating PTH/PTHrP signalling disorder (iPPSD), a novel classification proposed by the EuroPHP network","type":"article-journal","volume":"175"},"uris":["http://www.mendeley.com/documents/?uuid=81e10d7f-0966-4035-ba91-1113c0244abe"]}],"mendeley":{"formattedCitation":"(Thiele et al., 2016)","plainTextFormattedCitation":"(Thiele et al., 2016)","previouslyFormattedCitation":"(Thiele et al., 2016)"},"properties":{"noteIndex":0},"schema":"https://github.com/citation-style-language/schema/raw/master/csl-citation.json"}</w:instrText>
      </w:r>
      <w:r>
        <w:rPr>
          <w:rFonts w:eastAsia="Times New Roman" w:cstheme="minorHAnsi"/>
          <w:lang w:eastAsia="en-GB"/>
        </w:rPr>
        <w:fldChar w:fldCharType="separate"/>
      </w:r>
      <w:r w:rsidRPr="001C52E0">
        <w:rPr>
          <w:rFonts w:eastAsia="Times New Roman" w:cstheme="minorHAnsi"/>
          <w:noProof/>
          <w:lang w:eastAsia="en-GB"/>
        </w:rPr>
        <w:t>(Thiele et al., 2016)</w:t>
      </w:r>
      <w:r>
        <w:rPr>
          <w:rFonts w:eastAsia="Times New Roman" w:cstheme="minorHAnsi"/>
          <w:lang w:eastAsia="en-GB"/>
        </w:rPr>
        <w:fldChar w:fldCharType="end"/>
      </w:r>
      <w:r>
        <w:rPr>
          <w:rFonts w:eastAsia="Times New Roman" w:cstheme="minorHAnsi"/>
          <w:lang w:eastAsia="en-GB"/>
        </w:rPr>
        <w:t xml:space="preserve">. This allows for </w:t>
      </w:r>
      <w:r w:rsidR="00DC28DC">
        <w:rPr>
          <w:rFonts w:eastAsia="Times New Roman" w:cstheme="minorHAnsi"/>
          <w:lang w:eastAsia="en-GB"/>
        </w:rPr>
        <w:t xml:space="preserve">a </w:t>
      </w:r>
      <w:r>
        <w:rPr>
          <w:rFonts w:eastAsia="Times New Roman" w:cstheme="minorHAnsi"/>
          <w:lang w:eastAsia="en-GB"/>
        </w:rPr>
        <w:t xml:space="preserve">greater appreciation of the </w:t>
      </w:r>
      <w:r w:rsidRPr="008C1EC2">
        <w:t xml:space="preserve">phenotypic and molecular parallels between disorders of the </w:t>
      </w:r>
      <w:r>
        <w:t xml:space="preserve">PTH-receptor’s </w:t>
      </w:r>
      <w:r w:rsidRPr="008C1EC2">
        <w:rPr>
          <w:rFonts w:eastAsia="Times New Roman" w:cstheme="minorHAnsi"/>
          <w:lang w:eastAsia="en-GB"/>
        </w:rPr>
        <w:t>GPCR-</w:t>
      </w:r>
      <w:r w:rsidRPr="008C1EC2">
        <w:t xml:space="preserve"> G</w:t>
      </w:r>
      <w:r w:rsidRPr="00DC28DC">
        <w:rPr>
          <w:vertAlign w:val="subscript"/>
        </w:rPr>
        <w:t>s</w:t>
      </w:r>
      <w:r w:rsidRPr="008C1EC2">
        <w:t>α</w:t>
      </w:r>
      <w:r w:rsidRPr="008C1EC2">
        <w:rPr>
          <w:rFonts w:eastAsia="Times New Roman" w:cstheme="minorHAnsi"/>
          <w:lang w:eastAsia="en-GB"/>
        </w:rPr>
        <w:t>-cAMP-PKA pathway</w:t>
      </w:r>
      <w:r w:rsidRPr="008C1EC2">
        <w:t xml:space="preserve"> and the diagnostic challenge they can represent.</w:t>
      </w:r>
    </w:p>
    <w:p w14:paraId="10329748" w14:textId="3734A3C1" w:rsidR="00B9745A" w:rsidRPr="008C1EC2" w:rsidRDefault="003F2443" w:rsidP="00ED1F1B">
      <w:pPr>
        <w:spacing w:after="0" w:line="480" w:lineRule="auto"/>
        <w:rPr>
          <w:rFonts w:eastAsia="Times New Roman" w:cstheme="minorHAnsi"/>
          <w:lang w:eastAsia="en-GB"/>
        </w:rPr>
      </w:pPr>
      <w:r>
        <w:rPr>
          <w:rFonts w:eastAsia="Times New Roman" w:cstheme="minorHAnsi"/>
          <w:lang w:eastAsia="en-GB"/>
        </w:rPr>
        <w:t>This report</w:t>
      </w:r>
      <w:r w:rsidR="00D92033" w:rsidRPr="008C1EC2">
        <w:rPr>
          <w:rFonts w:eastAsia="Times New Roman" w:cstheme="minorHAnsi"/>
          <w:lang w:eastAsia="en-GB"/>
        </w:rPr>
        <w:t xml:space="preserve"> describe</w:t>
      </w:r>
      <w:r>
        <w:rPr>
          <w:rFonts w:eastAsia="Times New Roman" w:cstheme="minorHAnsi"/>
          <w:lang w:eastAsia="en-GB"/>
        </w:rPr>
        <w:t>s</w:t>
      </w:r>
      <w:r w:rsidR="00D92033" w:rsidRPr="008C1EC2">
        <w:rPr>
          <w:rFonts w:eastAsia="Times New Roman" w:cstheme="minorHAnsi"/>
          <w:lang w:eastAsia="en-GB"/>
        </w:rPr>
        <w:t xml:space="preserve"> two </w:t>
      </w:r>
      <w:r w:rsidR="00807D80">
        <w:rPr>
          <w:rFonts w:eastAsia="Times New Roman" w:cstheme="minorHAnsi"/>
          <w:lang w:eastAsia="en-GB"/>
        </w:rPr>
        <w:t xml:space="preserve">adult </w:t>
      </w:r>
      <w:r w:rsidR="00D92033" w:rsidRPr="008C1EC2">
        <w:rPr>
          <w:rFonts w:eastAsia="Times New Roman" w:cstheme="minorHAnsi"/>
          <w:lang w:eastAsia="en-GB"/>
        </w:rPr>
        <w:t>individuals</w:t>
      </w:r>
      <w:r w:rsidR="00A6186B" w:rsidRPr="008C1EC2">
        <w:rPr>
          <w:rFonts w:eastAsia="Times New Roman" w:cstheme="minorHAnsi"/>
          <w:lang w:eastAsia="en-GB"/>
        </w:rPr>
        <w:t xml:space="preserve"> with </w:t>
      </w:r>
      <w:r w:rsidR="00CD1E69">
        <w:rPr>
          <w:rFonts w:eastAsia="Times New Roman" w:cstheme="minorHAnsi"/>
          <w:lang w:eastAsia="en-GB"/>
        </w:rPr>
        <w:t xml:space="preserve">overlapping </w:t>
      </w:r>
      <w:r w:rsidR="00A6186B" w:rsidRPr="008C1EC2">
        <w:rPr>
          <w:rFonts w:eastAsia="Times New Roman" w:cstheme="minorHAnsi"/>
          <w:lang w:eastAsia="en-GB"/>
        </w:rPr>
        <w:t xml:space="preserve">clinical features of AHO who </w:t>
      </w:r>
      <w:r w:rsidR="00CD1E69" w:rsidRPr="008C1EC2">
        <w:rPr>
          <w:rFonts w:eastAsia="Times New Roman" w:cstheme="minorHAnsi"/>
          <w:lang w:eastAsia="en-GB"/>
        </w:rPr>
        <w:t>carr</w:t>
      </w:r>
      <w:r w:rsidR="00CD1E69">
        <w:rPr>
          <w:rFonts w:eastAsia="Times New Roman" w:cstheme="minorHAnsi"/>
          <w:lang w:eastAsia="en-GB"/>
        </w:rPr>
        <w:t>y</w:t>
      </w:r>
      <w:r w:rsidR="00CD1E69" w:rsidRPr="008C1EC2">
        <w:rPr>
          <w:rFonts w:eastAsia="Times New Roman" w:cstheme="minorHAnsi"/>
          <w:lang w:eastAsia="en-GB"/>
        </w:rPr>
        <w:t xml:space="preserve"> </w:t>
      </w:r>
      <w:r w:rsidR="00A6186B" w:rsidRPr="008C1EC2">
        <w:rPr>
          <w:rFonts w:eastAsia="Times New Roman" w:cstheme="minorHAnsi"/>
          <w:lang w:eastAsia="en-GB"/>
        </w:rPr>
        <w:t xml:space="preserve">heterozygous novel </w:t>
      </w:r>
      <w:r w:rsidR="00610079" w:rsidRPr="008C1EC2">
        <w:rPr>
          <w:rFonts w:eastAsia="Times New Roman" w:cstheme="minorHAnsi"/>
          <w:lang w:eastAsia="en-GB"/>
        </w:rPr>
        <w:t xml:space="preserve">pathogenic variants </w:t>
      </w:r>
      <w:r w:rsidR="00A6186B" w:rsidRPr="008C1EC2">
        <w:rPr>
          <w:rFonts w:eastAsia="Times New Roman" w:cstheme="minorHAnsi"/>
          <w:lang w:eastAsia="en-GB"/>
        </w:rPr>
        <w:t xml:space="preserve">in the </w:t>
      </w:r>
      <w:r w:rsidR="00A6186B" w:rsidRPr="008C1EC2">
        <w:rPr>
          <w:rFonts w:eastAsia="Times New Roman" w:cstheme="minorHAnsi"/>
          <w:i/>
          <w:lang w:eastAsia="en-GB"/>
        </w:rPr>
        <w:t>GNAS</w:t>
      </w:r>
      <w:r w:rsidR="00A6186B" w:rsidRPr="008C1EC2">
        <w:rPr>
          <w:rFonts w:eastAsia="Times New Roman" w:cstheme="minorHAnsi"/>
          <w:lang w:eastAsia="en-GB"/>
        </w:rPr>
        <w:t xml:space="preserve"> and </w:t>
      </w:r>
      <w:r w:rsidR="00A6186B" w:rsidRPr="008C1EC2">
        <w:rPr>
          <w:rFonts w:eastAsia="Times New Roman" w:cstheme="minorHAnsi"/>
          <w:i/>
          <w:lang w:eastAsia="en-GB"/>
        </w:rPr>
        <w:t>PRKAR1A</w:t>
      </w:r>
      <w:r w:rsidR="00A6186B" w:rsidRPr="008C1EC2">
        <w:rPr>
          <w:rFonts w:eastAsia="Times New Roman" w:cstheme="minorHAnsi"/>
          <w:lang w:eastAsia="en-GB"/>
        </w:rPr>
        <w:t xml:space="preserve"> genes, respectively. </w:t>
      </w:r>
      <w:r>
        <w:rPr>
          <w:rFonts w:eastAsia="Times New Roman" w:cstheme="minorHAnsi"/>
          <w:lang w:eastAsia="en-GB"/>
        </w:rPr>
        <w:t xml:space="preserve">Their phenotypes are described in detail, </w:t>
      </w:r>
      <w:r w:rsidR="00807D80">
        <w:rPr>
          <w:rFonts w:eastAsia="Times New Roman" w:cstheme="minorHAnsi"/>
          <w:lang w:eastAsia="en-GB"/>
        </w:rPr>
        <w:t>with the first description of subcutaneous ossification</w:t>
      </w:r>
      <w:r w:rsidR="00807D80" w:rsidRPr="00807D80">
        <w:rPr>
          <w:rFonts w:eastAsia="Times New Roman" w:cstheme="minorHAnsi"/>
          <w:lang w:eastAsia="en-GB"/>
        </w:rPr>
        <w:t xml:space="preserve"> </w:t>
      </w:r>
      <w:r w:rsidR="00807D80">
        <w:rPr>
          <w:rFonts w:eastAsia="Times New Roman" w:cstheme="minorHAnsi"/>
          <w:lang w:eastAsia="en-GB"/>
        </w:rPr>
        <w:t xml:space="preserve">and spina bifida occulta in a patient with </w:t>
      </w:r>
      <w:r w:rsidR="00807D80" w:rsidRPr="008C1EC2">
        <w:rPr>
          <w:rFonts w:eastAsia="Times New Roman" w:cstheme="minorHAnsi"/>
          <w:i/>
          <w:lang w:eastAsia="en-GB"/>
        </w:rPr>
        <w:t>PRKAR1A</w:t>
      </w:r>
      <w:r w:rsidR="00807D80">
        <w:rPr>
          <w:rFonts w:eastAsia="Times New Roman" w:cstheme="minorHAnsi"/>
          <w:lang w:eastAsia="en-GB"/>
        </w:rPr>
        <w:t xml:space="preserve">-releated acrodysostosis, </w:t>
      </w:r>
      <w:r w:rsidR="001E1A22">
        <w:rPr>
          <w:rFonts w:eastAsia="Times New Roman" w:cstheme="minorHAnsi"/>
          <w:lang w:eastAsia="en-GB"/>
        </w:rPr>
        <w:t>which we believe helps</w:t>
      </w:r>
      <w:r>
        <w:rPr>
          <w:rFonts w:eastAsia="Times New Roman" w:cstheme="minorHAnsi"/>
          <w:lang w:eastAsia="en-GB"/>
        </w:rPr>
        <w:t xml:space="preserve"> expand the </w:t>
      </w:r>
      <w:r w:rsidR="00807D80">
        <w:rPr>
          <w:rFonts w:eastAsia="Times New Roman" w:cstheme="minorHAnsi"/>
          <w:lang w:eastAsia="en-GB"/>
        </w:rPr>
        <w:t xml:space="preserve">phenotypic </w:t>
      </w:r>
      <w:r>
        <w:rPr>
          <w:rFonts w:eastAsia="Times New Roman" w:cstheme="minorHAnsi"/>
          <w:lang w:eastAsia="en-GB"/>
        </w:rPr>
        <w:t xml:space="preserve">spectrum of </w:t>
      </w:r>
      <w:r w:rsidR="00726399">
        <w:rPr>
          <w:rFonts w:eastAsia="Times New Roman" w:cstheme="minorHAnsi"/>
          <w:lang w:eastAsia="en-GB"/>
        </w:rPr>
        <w:t>PHP and acrodysostosis type 1</w:t>
      </w:r>
      <w:r w:rsidR="001E1A22">
        <w:rPr>
          <w:rFonts w:eastAsia="Times New Roman" w:cstheme="minorHAnsi"/>
          <w:lang w:eastAsia="en-GB"/>
        </w:rPr>
        <w:t xml:space="preserve">, or iPPSD2 (involving </w:t>
      </w:r>
      <w:r w:rsidR="001E1A22">
        <w:rPr>
          <w:rFonts w:eastAsia="Times New Roman" w:cstheme="minorHAnsi"/>
          <w:i/>
          <w:lang w:eastAsia="en-GB"/>
        </w:rPr>
        <w:t>GNAS</w:t>
      </w:r>
      <w:r w:rsidR="001E1A22" w:rsidRPr="001E1A22">
        <w:rPr>
          <w:rFonts w:eastAsia="Times New Roman" w:cstheme="minorHAnsi"/>
          <w:lang w:eastAsia="en-GB"/>
        </w:rPr>
        <w:t xml:space="preserve"> mutations</w:t>
      </w:r>
      <w:r w:rsidR="001E1A22">
        <w:rPr>
          <w:rFonts w:eastAsia="Times New Roman" w:cstheme="minorHAnsi"/>
          <w:i/>
          <w:lang w:eastAsia="en-GB"/>
        </w:rPr>
        <w:t>)</w:t>
      </w:r>
      <w:r w:rsidR="001E1A22">
        <w:rPr>
          <w:rFonts w:eastAsia="Times New Roman" w:cstheme="minorHAnsi"/>
          <w:lang w:eastAsia="en-GB"/>
        </w:rPr>
        <w:t xml:space="preserve"> and </w:t>
      </w:r>
      <w:r w:rsidR="00DC28DC">
        <w:rPr>
          <w:rFonts w:eastAsia="Times New Roman" w:cstheme="minorHAnsi"/>
          <w:lang w:eastAsia="en-GB"/>
        </w:rPr>
        <w:t>iPPSD</w:t>
      </w:r>
      <w:r w:rsidR="001E1A22">
        <w:rPr>
          <w:rFonts w:eastAsia="Times New Roman" w:cstheme="minorHAnsi"/>
          <w:lang w:eastAsia="en-GB"/>
        </w:rPr>
        <w:t xml:space="preserve">4 (involving </w:t>
      </w:r>
      <w:r w:rsidR="001E1A22">
        <w:rPr>
          <w:rFonts w:eastAsia="Times New Roman" w:cstheme="minorHAnsi"/>
          <w:i/>
          <w:lang w:eastAsia="en-GB"/>
        </w:rPr>
        <w:t>PRKAR1A</w:t>
      </w:r>
      <w:r w:rsidR="001E1A22">
        <w:rPr>
          <w:rFonts w:eastAsia="Times New Roman" w:cstheme="minorHAnsi"/>
          <w:lang w:eastAsia="en-GB"/>
        </w:rPr>
        <w:t xml:space="preserve"> mutations)</w:t>
      </w:r>
      <w:r w:rsidR="003D1E44">
        <w:rPr>
          <w:rFonts w:eastAsia="Times New Roman" w:cstheme="minorHAnsi"/>
          <w:lang w:eastAsia="en-GB"/>
        </w:rPr>
        <w:t>,</w:t>
      </w:r>
      <w:r w:rsidR="004A564A">
        <w:rPr>
          <w:rFonts w:eastAsia="Times New Roman" w:cstheme="minorHAnsi"/>
          <w:lang w:eastAsia="en-GB"/>
        </w:rPr>
        <w:t xml:space="preserve"> </w:t>
      </w:r>
      <w:r w:rsidR="001E1A22">
        <w:rPr>
          <w:rFonts w:eastAsia="Times New Roman" w:cstheme="minorHAnsi"/>
          <w:lang w:eastAsia="en-GB"/>
        </w:rPr>
        <w:t>respectively</w:t>
      </w:r>
      <w:r w:rsidR="003D1E44">
        <w:rPr>
          <w:rFonts w:eastAsia="Times New Roman" w:cstheme="minorHAnsi"/>
          <w:lang w:eastAsia="en-GB"/>
        </w:rPr>
        <w:t>,</w:t>
      </w:r>
      <w:r w:rsidR="001E1A22">
        <w:rPr>
          <w:rFonts w:eastAsia="Times New Roman" w:cstheme="minorHAnsi"/>
          <w:lang w:eastAsia="en-GB"/>
        </w:rPr>
        <w:t xml:space="preserve"> as defined in the EuroPHP-proposed novel classification</w:t>
      </w:r>
      <w:r w:rsidR="003D1E44">
        <w:rPr>
          <w:rFonts w:eastAsia="Times New Roman" w:cstheme="minorHAnsi"/>
          <w:lang w:eastAsia="en-GB"/>
        </w:rPr>
        <w:t xml:space="preserve"> </w:t>
      </w:r>
      <w:r w:rsidR="003D1E44">
        <w:rPr>
          <w:rFonts w:eastAsia="Times New Roman" w:cstheme="minorHAnsi"/>
          <w:lang w:eastAsia="en-GB"/>
        </w:rPr>
        <w:fldChar w:fldCharType="begin" w:fldLock="1"/>
      </w:r>
      <w:r w:rsidR="00401119">
        <w:rPr>
          <w:rFonts w:eastAsia="Times New Roman" w:cstheme="minorHAnsi"/>
          <w:lang w:eastAsia="en-GB"/>
        </w:rPr>
        <w:instrText>ADDIN CSL_CITATION {"citationItems":[{"id":"ITEM-1","itemData":{"DOI":"10.1530/EJE-16-0107","ISBN":"0804-4643","ISSN":"1479683X","PMID":"27401862","abstract":"OBJECTIVE Disorders caused by impairments in the parathyroid hormone (PTH) signalling pathway are historically classified under the term pseudohypoparathyroidism (PHP), which encompasses rare, related and highly heterogeneous diseases with demonstrated (epi)genetic causes. The actual classification is based on the presence or absence of specific clinical and biochemical signs together with an in vivo response to exogenous PTH and the results of an in vitro assay to measure Gsa protein activity. However, this classification disregards other related diseases such as acrodysostosis (ACRDYS) or progressive osseous heteroplasia (POH), as well as recent findings of clinical and genetic/epigenetic background of the different subtypes. Therefore, the EuroPHP network decided to develop a new classification that encompasses all disorders with impairments in PTH and/or PTHrP cAMP-mediated pathway. DESIGN AND METHODS Extensive review of the literature was performed. Several meetings were organised to discuss about a new, more effective and accurate way to describe disorders caused by abnormalities of the PTH/PTHrP signalling pathway. RESULTS AND CONCLUSIONS After determining the major and minor criteria to be considered for the diagnosis of these disorders, we proposed to group them under the term 'inactivating PTH/PTHrP signalling disorder' (iPPSD). This terminology: (i) defines the common mechanism responsible for all diseases; (ii) does not require a confirmed genetic defect; (iii) avoids ambiguous terms like 'pseudo' and (iv) eliminates the clinical or molecular overlap between diseases. We believe that the use of this nomenclature and classification will facilitate the development of rationale and comprehensive international guidelines for the diagnosis and treatment of iPPSDs.","author":[{"dropping-particle":"","family":"Thiele","given":"Susanne","non-dropping-particle":"","parse-names":false,"suffix":""},{"dropping-particle":"","family":"Mantovani","given":"Giovanna","non-dropping-particle":"","parse-names":false,"suffix":""},{"dropping-particle":"","family":"Barlier","given":"Anne","non-dropping-particle":"","parse-names":false,"suffix":""},{"dropping-particle":"","family":"Boldrin","given":"Valentina","non-dropping-particle":"","parse-names":false,"suffix":""},{"dropping-particle":"","family":"Bordogna","given":"Paolo","non-dropping-particle":"","parse-names":false,"suffix":""},{"dropping-particle":"","family":"Sanctis","given":"Luisa","non-dropping-particle":"De","parse-names":false,"suffix":""},{"dropping-particle":"","family":"Elli","given":"Francesca M.","non-dropping-particle":"","parse-names":false,"suffix":""},{"dropping-particle":"","family":"Freson","given":"Kathleen","non-dropping-particle":"","parse-names":false,"suffix":""},{"dropping-particle":"","family":"Garin","given":"Intza","non-dropping-particle":"","parse-names":false,"suffix":""},{"dropping-particle":"","family":"Grybek","given":"Virginie","non-dropping-particle":"","parse-names":false,"suffix":""},{"dropping-particle":"","family":"Hanna","given":"Patrick","non-dropping-particle":"","parse-names":false,"suffix":""},{"dropping-particle":"","family":"Izzi","given":"Benedetta","non-dropping-particle":"","parse-names":false,"suffix":""},{"dropping-particle":"","family":"Hiort","given":"Olaf","non-dropping-particle":"","parse-names":false,"suffix":""},{"dropping-particle":"","family":"Lecumberri","given":"Beatriz","non-dropping-particle":"","parse-names":false,"suffix":""},{"dropping-particle":"","family":"Pereda","given":"Arrate","non-dropping-particle":"","parse-names":false,"suffix":""},{"dropping-particle":"","family":"Saraff","given":"Vrinda","non-dropping-particle":"","parse-names":false,"suffix":""},{"dropping-particle":"","family":"Silve","given":"Caroline","non-dropping-particle":"","parse-names":false,"suffix":""},{"dropping-particle":"","family":"Turan","given":"Serap","non-dropping-particle":"","parse-names":false,"suffix":""},{"dropping-particle":"","family":"Usardi","given":"Alessia","non-dropping-particle":"","parse-names":false,"suffix":""},{"dropping-particle":"","family":"Werner","given":"Ralf","non-dropping-particle":"","parse-names":false,"suffix":""},{"dropping-particle":"","family":"Nanclares","given":"Guiomar Perez","non-dropping-particle":"De","parse-names":false,"suffix":""},{"dropping-particle":"","family":"Linglart","given":"Agnès","non-dropping-particle":"","parse-names":false,"suffix":""}],"container-title":"European Journal of Endocrinology","id":"ITEM-1","issue":"6","issued":{"date-parts":[["2016"]]},"page":"P1-P17","title":"From pseudohypoparathyroidism to inactivating PTH/PTHrP signalling disorder (iPPSD), a novel classification proposed by the EuroPHP network","type":"article-journal","volume":"175"},"uris":["http://www.mendeley.com/documents/?uuid=81e10d7f-0966-4035-ba91-1113c0244abe"]}],"mendeley":{"formattedCitation":"(Thiele et al., 2016)","plainTextFormattedCitation":"(Thiele et al., 2016)","previouslyFormattedCitation":"(Thiele et al., 2016)"},"properties":{"noteIndex":0},"schema":"https://github.com/citation-style-language/schema/raw/master/csl-citation.json"}</w:instrText>
      </w:r>
      <w:r w:rsidR="003D1E44">
        <w:rPr>
          <w:rFonts w:eastAsia="Times New Roman" w:cstheme="minorHAnsi"/>
          <w:lang w:eastAsia="en-GB"/>
        </w:rPr>
        <w:fldChar w:fldCharType="separate"/>
      </w:r>
      <w:r w:rsidR="003D1E44" w:rsidRPr="003D1E44">
        <w:rPr>
          <w:rFonts w:eastAsia="Times New Roman" w:cstheme="minorHAnsi"/>
          <w:noProof/>
          <w:lang w:eastAsia="en-GB"/>
        </w:rPr>
        <w:t>(Thiele et al., 2016)</w:t>
      </w:r>
      <w:r w:rsidR="003D1E44">
        <w:rPr>
          <w:rFonts w:eastAsia="Times New Roman" w:cstheme="minorHAnsi"/>
          <w:lang w:eastAsia="en-GB"/>
        </w:rPr>
        <w:fldChar w:fldCharType="end"/>
      </w:r>
      <w:r>
        <w:rPr>
          <w:rFonts w:eastAsia="Times New Roman" w:cstheme="minorHAnsi"/>
          <w:lang w:eastAsia="en-GB"/>
        </w:rPr>
        <w:t>.</w:t>
      </w:r>
      <w:r w:rsidR="00CD1E69">
        <w:rPr>
          <w:rFonts w:eastAsia="Times New Roman" w:cstheme="minorHAnsi"/>
          <w:lang w:eastAsia="en-GB"/>
        </w:rPr>
        <w:t xml:space="preserve"> Our cases </w:t>
      </w:r>
      <w:r w:rsidR="004A371A">
        <w:rPr>
          <w:rFonts w:eastAsia="Times New Roman" w:cstheme="minorHAnsi"/>
          <w:lang w:eastAsia="en-GB"/>
        </w:rPr>
        <w:t xml:space="preserve">not only </w:t>
      </w:r>
      <w:r w:rsidR="00CD1E69">
        <w:rPr>
          <w:rFonts w:eastAsia="Times New Roman" w:cstheme="minorHAnsi"/>
          <w:lang w:eastAsia="en-GB"/>
        </w:rPr>
        <w:t xml:space="preserve">illustrate the value </w:t>
      </w:r>
      <w:r w:rsidR="004C3BE3">
        <w:rPr>
          <w:rFonts w:eastAsia="Times New Roman" w:cstheme="minorHAnsi"/>
          <w:lang w:eastAsia="en-GB"/>
        </w:rPr>
        <w:t>of</w:t>
      </w:r>
      <w:r w:rsidR="00CD1E69">
        <w:rPr>
          <w:rFonts w:eastAsia="Times New Roman" w:cstheme="minorHAnsi"/>
          <w:lang w:eastAsia="en-GB"/>
        </w:rPr>
        <w:t xml:space="preserve"> an expert radiological opinion and application of Next Generation Sequencing (NGS) panel gene testing in achieving a molecular diagnosis</w:t>
      </w:r>
      <w:r w:rsidR="004A371A">
        <w:rPr>
          <w:rFonts w:eastAsia="Times New Roman" w:cstheme="minorHAnsi"/>
          <w:lang w:eastAsia="en-GB"/>
        </w:rPr>
        <w:t>,</w:t>
      </w:r>
      <w:r>
        <w:rPr>
          <w:rFonts w:eastAsia="Times New Roman" w:cstheme="minorHAnsi"/>
          <w:lang w:eastAsia="en-GB"/>
        </w:rPr>
        <w:t xml:space="preserve"> </w:t>
      </w:r>
      <w:r w:rsidR="004A371A">
        <w:rPr>
          <w:rFonts w:eastAsia="Times New Roman" w:cstheme="minorHAnsi"/>
          <w:lang w:eastAsia="en-GB"/>
        </w:rPr>
        <w:t>but also highlight</w:t>
      </w:r>
      <w:r w:rsidR="00726399">
        <w:rPr>
          <w:rFonts w:eastAsia="Times New Roman" w:cstheme="minorHAnsi"/>
          <w:lang w:eastAsia="en-GB"/>
        </w:rPr>
        <w:t xml:space="preserve"> t</w:t>
      </w:r>
      <w:r>
        <w:rPr>
          <w:rFonts w:eastAsia="Times New Roman" w:cstheme="minorHAnsi"/>
          <w:lang w:eastAsia="en-GB"/>
        </w:rPr>
        <w:t xml:space="preserve">he </w:t>
      </w:r>
      <w:r w:rsidR="00FA1F83">
        <w:rPr>
          <w:rFonts w:eastAsia="Times New Roman" w:cstheme="minorHAnsi"/>
          <w:lang w:eastAsia="en-GB"/>
        </w:rPr>
        <w:t>diagnostic journey</w:t>
      </w:r>
      <w:r>
        <w:rPr>
          <w:rFonts w:eastAsia="Times New Roman" w:cstheme="minorHAnsi"/>
          <w:lang w:eastAsia="en-GB"/>
        </w:rPr>
        <w:t xml:space="preserve"> of the</w:t>
      </w:r>
      <w:r w:rsidR="00FA1F83">
        <w:rPr>
          <w:rFonts w:eastAsia="Times New Roman" w:cstheme="minorHAnsi"/>
          <w:lang w:eastAsia="en-GB"/>
        </w:rPr>
        <w:t>se</w:t>
      </w:r>
      <w:r>
        <w:rPr>
          <w:rFonts w:eastAsia="Times New Roman" w:cstheme="minorHAnsi"/>
          <w:lang w:eastAsia="en-GB"/>
        </w:rPr>
        <w:t xml:space="preserve"> patients alongside the recommendations </w:t>
      </w:r>
      <w:r w:rsidR="001E1A22">
        <w:rPr>
          <w:rFonts w:eastAsia="Times New Roman" w:cstheme="minorHAnsi"/>
          <w:lang w:eastAsia="en-GB"/>
        </w:rPr>
        <w:t>from</w:t>
      </w:r>
      <w:r>
        <w:rPr>
          <w:rFonts w:eastAsia="Times New Roman" w:cstheme="minorHAnsi"/>
          <w:lang w:eastAsia="en-GB"/>
        </w:rPr>
        <w:t xml:space="preserve"> the recently published consensus statement on PHP and its related disorders, to</w:t>
      </w:r>
      <w:r w:rsidR="004A371A">
        <w:rPr>
          <w:rFonts w:eastAsia="Times New Roman" w:cstheme="minorHAnsi"/>
          <w:lang w:eastAsia="en-GB"/>
        </w:rPr>
        <w:t xml:space="preserve"> better</w:t>
      </w:r>
      <w:r>
        <w:rPr>
          <w:rFonts w:eastAsia="Times New Roman" w:cstheme="minorHAnsi"/>
          <w:lang w:eastAsia="en-GB"/>
        </w:rPr>
        <w:t xml:space="preserve"> illustrate the benefits of this guidance </w:t>
      </w:r>
      <w:r>
        <w:rPr>
          <w:rFonts w:eastAsia="Times New Roman" w:cstheme="minorHAnsi"/>
          <w:lang w:eastAsia="en-GB"/>
        </w:rPr>
        <w:fldChar w:fldCharType="begin" w:fldLock="1"/>
      </w:r>
      <w:r w:rsidR="003D1E44">
        <w:rPr>
          <w:rFonts w:eastAsia="Times New Roman" w:cstheme="minorHAnsi"/>
          <w:lang w:eastAsia="en-GB"/>
        </w:rPr>
        <w:instrText>ADDIN CSL_CITATION {"citationItems":[{"id":"ITEM-1","itemData":{"DOI":"10.1038/s41574-018-0042-0","ISSN":"17595037","PMID":"29959430","abstract":"This Consensus Statement covers recommendations for the diagnosis and management of patients with pseudohypoparathyroidism (PHP) and related disorders, which comprise metabolic disorders characterized by physical findings that variably include short bones, short stature, a stocky build, early-onset obesity and ectopic ossifications, as well as endocrine defects that often include resistance to parathyroid hormone (PTH) and TSH. The presentation and severity of PHP and its related disorders vary between affected individuals with considerable clinical and molecular overlap between the different types. A specific diagnosis is often delayed owing to lack of recognition of the syndrome and associated features. The participants in this Consensus Statement agreed that the diagnosis of PHP should be based on major criteria, including resistance to PTH, ectopic ossifications, brachydactyly and early-onset obesity. The clinical and laboratory diagnosis should be confirmed by a molecular genetic analysis. Patients should be screened at diagnosis and during follow-up for specific features, such as PTH resistance, TSH resistance, growth hormone deficiency, hypogonadism, skeletal deformities, oral health, weight gain, glucose intolerance or type 2 diabetes mellitus, and hypertension, as well as subcutaneous and/or deeper ectopic ossifications and neurocognitive impairment. Overall, a coordinated and multidisciplinary approach from infancy through adulthood, including a transition programme, should help us to improve the care of patients affected by these disorders.","author":[{"dropping-particle":"","family":"Mantovani","given":"Giovanna","non-dropping-particle":"","parse-names":false,"suffix":""},{"dropping-particle":"","family":"Bastepe","given":"Murat","non-dropping-particle":"","parse-names":false,"suffix":""},{"dropping-particle":"","family":"Monk","given":"David","non-dropping-particle":"","parse-names":false,"suffix":""},{"dropping-particle":"","family":"Sanctis","given":"Luisa","non-dropping-particle":"De","parse-names":false,"suffix":""},{"dropping-particle":"","family":"Thiele","given":"Susanne","non-dropping-particle":"","parse-names":false,"suffix":""},{"dropping-particle":"","family":"Usardi","given":"Alessia","non-dropping-particle":"","parse-names":false,"suffix":""},{"dropping-particle":"","family":"Ahmed","given":"S. Faisal","non-dropping-particle":"","parse-names":false,"suffix":""},{"dropping-particle":"","family":"Bufo","given":"Roberto","non-dropping-particle":"","parse-names":false,"suffix":""},{"dropping-particle":"","family":"Choplin","given":"Timothée","non-dropping-particle":"","parse-names":false,"suffix":""},{"dropping-particle":"","family":"Filippo","given":"Gianpaolo","non-dropping-particle":"De","parse-names":false,"suffix":""},{"dropping-particle":"","family":"Devernois","given":"Guillemette","non-dropping-particle":"","parse-names":false,"suffix":""},{"dropping-particle":"","family":"Eggermann","given":"Thomas","non-dropping-particle":"","parse-names":false,"suffix":""},{"dropping-particle":"","family":"Elli","given":"Francesca M.","non-dropping-particle":"","parse-names":false,"suffix":""},{"dropping-particle":"","family":"Freson","given":"Kathleen","non-dropping-particle":"","parse-names":false,"suffix":""},{"dropping-particle":"","family":"García Ramirez","given":"Aurora","non-dropping-particle":"","parse-names":false,"suffix":""},{"dropping-particle":"","family":"Germain-Lee","given":"Emily L.","non-dropping-particle":"","parse-names":false,"suffix":""},{"dropping-particle":"","family":"Groussin","given":"Lionel","non-dropping-particle":"","parse-names":false,"suffix":""},{"dropping-particle":"","family":"Hamdy","given":"Neveen","non-dropping-particle":"","parse-names":false,"suffix":""},{"dropping-particle":"","family":"Hanna","given":"Patrick","non-dropping-particle":"","parse-names":false,"suffix":""},{"dropping-particle":"","family":"Hiort","given":"Olaf","non-dropping-particle":"","parse-names":false,"suffix":""},{"dropping-particle":"","family":"Jüppner","given":"Harald","non-dropping-particle":"","parse-names":false,"suffix":""},{"dropping-particle":"","family":"Kamenický","given":"Peter","non-dropping-particle":"","parse-names":false,"suffix":""},{"dropping-particle":"","family":"Knight","given":"Nina","non-dropping-particle":"","parse-names":false,"suffix":""},{"dropping-particle":"","family":"Kottler","given":"Marie Laure","non-dropping-particle":"","parse-names":false,"suffix":""},{"dropping-particle":"","family":"Norcy","given":"Elvire","non-dropping-particle":"Le","parse-names":false,"suffix":""},{"dropping-particle":"","family":"Lecumberri","given":"Beatriz","non-dropping-particle":"","parse-names":false,"suffix":""},{"dropping-particle":"","family":"Levine","given":"Michael A.","non-dropping-particle":"","parse-names":false,"suffix":""},{"dropping-particle":"","family":"Mäkitie","given":"Outi","non-dropping-particle":"","parse-names":false,"suffix":""},{"dropping-particle":"","family":"Martin","given":"Regina","non-dropping-particle":"","parse-names":false,"suffix":""},{"dropping-particle":"","family":"Martos-Moreno","given":"Gabriel Ángel","non-dropping-particle":"","parse-names":false,"suffix":""},{"dropping-particle":"","family":"Minagawa","given":"Masanori","non-dropping-particle":"","parse-names":false,"suffix":""},{"dropping-particle":"","family":"Murray","given":"Philip","non-dropping-particle":"","parse-names":false,"suffix":""},{"dropping-particle":"","family":"Pereda","given":"Arrate","non-dropping-particle":"","parse-names":false,"suffix":""},{"dropping-particle":"","family":"Pignolo","given":"Robert","non-dropping-particle":"","parse-names":false,"suffix":""},{"dropping-particle":"","family":"Rejnmark","given":"Lars","non-dropping-particle":"","parse-names":false,"suffix":""},{"dropping-particle":"","family":"Rodado","given":"Rebecca","non-dropping-particle":"","parse-names":false,"suffix":""},{"dropping-particle":"","family":"Rothenbuhler","given":"Anya","non-dropping-particle":"","parse-names":false,"suffix":""},{"dropping-particle":"","family":"Saraff","given":"Vrinda","non-dropping-particle":"","parse-names":false,"suffix":""},{"dropping-particle":"","family":"Shoemaker","given":"Ashley H.","non-dropping-particle":"","parse-names":false,"suffix":""},{"dropping-particle":"","family":"Shore","given":"Eileen M.","non-dropping-particle":"","parse-names":false,"suffix":""},{"dropping-particle":"","family":"Silve","given":"Caroline","non-dropping-particle":"","parse-names":false,"suffix":""},{"dropping-particle":"","family":"Turan","given":"Serap","non-dropping-particle":"","parse-names":false,"suffix":""},{"dropping-particle":"","family":"Woods","given":"Philip","non-dropping-particle":"","parse-names":false,"suffix":""},{"dropping-particle":"","family":"Carola Zillikens","given":"M.","non-dropping-particle":"","parse-names":false,"suffix":""},{"dropping-particle":"","family":"Nanclares","given":"Guiomar Perez","non-dropping-particle":"De","parse-names":false,"suffix":""},{"dropping-particle":"","family":"Linglart","given":"Agnès","non-dropping-particle":"","parse-names":false,"suffix":""}],"container-title":"Nature Reviews Endocrinology","id":"ITEM-1","issue":"8","issued":{"date-parts":[["2018"]]},"page":"476-500","publisher":"Springer US","title":"Diagnosis and management of pseudohypoparathyroidism and related disorders: First international Consensus Statement","type":"article-journal","volume":"14"},"uris":["http://www.mendeley.com/documents/?uuid=d03de5be-d81d-4986-9c94-7d543dfee407"]}],"mendeley":{"formattedCitation":"(Mantovani et al., 2018)","plainTextFormattedCitation":"(Mantovani et al., 2018)","previouslyFormattedCitation":"(Mantovani et al., 2018)"},"properties":{"noteIndex":0},"schema":"https://github.com/citation-style-language/schema/raw/master/csl-citation.json"}</w:instrText>
      </w:r>
      <w:r>
        <w:rPr>
          <w:rFonts w:eastAsia="Times New Roman" w:cstheme="minorHAnsi"/>
          <w:lang w:eastAsia="en-GB"/>
        </w:rPr>
        <w:fldChar w:fldCharType="separate"/>
      </w:r>
      <w:r w:rsidRPr="003F2443">
        <w:rPr>
          <w:rFonts w:eastAsia="Times New Roman" w:cstheme="minorHAnsi"/>
          <w:noProof/>
          <w:lang w:eastAsia="en-GB"/>
        </w:rPr>
        <w:t>(Mantovani et al., 2018)</w:t>
      </w:r>
      <w:r>
        <w:rPr>
          <w:rFonts w:eastAsia="Times New Roman" w:cstheme="minorHAnsi"/>
          <w:lang w:eastAsia="en-GB"/>
        </w:rPr>
        <w:fldChar w:fldCharType="end"/>
      </w:r>
      <w:r>
        <w:rPr>
          <w:rFonts w:eastAsia="Times New Roman" w:cstheme="minorHAnsi"/>
          <w:lang w:eastAsia="en-GB"/>
        </w:rPr>
        <w:t>.</w:t>
      </w:r>
    </w:p>
    <w:p w14:paraId="0B58CAC2" w14:textId="5795FCDA" w:rsidR="00C401B3" w:rsidRDefault="008C1EC2" w:rsidP="006256D2">
      <w:pPr>
        <w:spacing w:after="0" w:line="480" w:lineRule="auto"/>
        <w:outlineLvl w:val="0"/>
        <w:rPr>
          <w:b/>
        </w:rPr>
      </w:pPr>
      <w:r>
        <w:rPr>
          <w:b/>
        </w:rPr>
        <w:lastRenderedPageBreak/>
        <w:t>Clinical report</w:t>
      </w:r>
    </w:p>
    <w:p w14:paraId="1103BDD3" w14:textId="30120FB0" w:rsidR="008C1EC2" w:rsidRPr="008C1EC2" w:rsidRDefault="008C1EC2" w:rsidP="006256D2">
      <w:pPr>
        <w:spacing w:after="0" w:line="480" w:lineRule="auto"/>
        <w:outlineLvl w:val="0"/>
        <w:rPr>
          <w:b/>
        </w:rPr>
      </w:pPr>
      <w:r>
        <w:rPr>
          <w:b/>
        </w:rPr>
        <w:t>Patient 1</w:t>
      </w:r>
    </w:p>
    <w:p w14:paraId="6E6ABB83" w14:textId="584195E2" w:rsidR="00D145AD" w:rsidRPr="00B178BB" w:rsidRDefault="00EA7B0F" w:rsidP="00ED1F1B">
      <w:pPr>
        <w:spacing w:after="0" w:line="480" w:lineRule="auto"/>
        <w:rPr>
          <w:rFonts w:eastAsia="Times New Roman" w:cstheme="minorHAnsi"/>
          <w:color w:val="000000"/>
          <w:lang w:eastAsia="en-GB"/>
        </w:rPr>
      </w:pPr>
      <w:r w:rsidRPr="008C1EC2">
        <w:t>Patient 1</w:t>
      </w:r>
      <w:r w:rsidR="00C401B3" w:rsidRPr="008C1EC2">
        <w:t xml:space="preserve"> was a 58-year-old ma</w:t>
      </w:r>
      <w:r w:rsidR="003037D2" w:rsidRPr="008C1EC2">
        <w:t>le</w:t>
      </w:r>
      <w:r w:rsidR="00610079" w:rsidRPr="008C1EC2">
        <w:t xml:space="preserve"> and</w:t>
      </w:r>
      <w:r w:rsidR="00C401B3" w:rsidRPr="008C1EC2">
        <w:t xml:space="preserve"> the </w:t>
      </w:r>
      <w:r w:rsidR="00BC14DA" w:rsidRPr="008C1EC2">
        <w:t>third</w:t>
      </w:r>
      <w:r w:rsidR="003037D2" w:rsidRPr="008C1EC2">
        <w:t xml:space="preserve"> child of non-consanguineous parents </w:t>
      </w:r>
      <w:r w:rsidR="00D145AD" w:rsidRPr="008C1EC2">
        <w:t xml:space="preserve">of </w:t>
      </w:r>
      <w:r w:rsidR="00CC29BF" w:rsidRPr="008C1EC2">
        <w:t>w</w:t>
      </w:r>
      <w:r w:rsidR="00BC14DA" w:rsidRPr="008C1EC2">
        <w:t>hite British</w:t>
      </w:r>
      <w:r w:rsidR="00D145AD" w:rsidRPr="008C1EC2">
        <w:t xml:space="preserve"> origin. He was born at term </w:t>
      </w:r>
      <w:r w:rsidR="0083350D" w:rsidRPr="008C1EC2">
        <w:t xml:space="preserve">by spontaneous vaginal delivery </w:t>
      </w:r>
      <w:r w:rsidR="00D145AD" w:rsidRPr="008C1EC2">
        <w:t>after</w:t>
      </w:r>
      <w:r w:rsidR="0083350D" w:rsidRPr="008C1EC2">
        <w:t xml:space="preserve"> an</w:t>
      </w:r>
      <w:r w:rsidR="00D145AD" w:rsidRPr="008C1EC2">
        <w:t xml:space="preserve"> </w:t>
      </w:r>
      <w:r w:rsidR="00BC14DA" w:rsidRPr="008C1EC2">
        <w:t>uneventful</w:t>
      </w:r>
      <w:r w:rsidR="00D145AD" w:rsidRPr="008C1EC2">
        <w:t xml:space="preserve"> pregnancy with n</w:t>
      </w:r>
      <w:r w:rsidR="00BC14DA" w:rsidRPr="008C1EC2">
        <w:t>o</w:t>
      </w:r>
      <w:r w:rsidR="00D145AD" w:rsidRPr="008C1EC2">
        <w:t xml:space="preserve"> concerns antenatally or postnatally. </w:t>
      </w:r>
      <w:r w:rsidR="004659B7" w:rsidRPr="008C1EC2">
        <w:t xml:space="preserve">He reached his early milestones at an appropriate age </w:t>
      </w:r>
      <w:r w:rsidR="00D145AD" w:rsidRPr="008C1EC2">
        <w:t xml:space="preserve">with no other </w:t>
      </w:r>
      <w:r w:rsidR="00BC14DA" w:rsidRPr="008C1EC2">
        <w:t xml:space="preserve">developmental concerns and </w:t>
      </w:r>
      <w:r w:rsidR="00D145AD" w:rsidRPr="008C1EC2">
        <w:t>no visual or auditory problems. He had poor engagement with education throughout childhood</w:t>
      </w:r>
      <w:r w:rsidR="007E25AA" w:rsidRPr="008C1EC2">
        <w:t xml:space="preserve"> (self-reported)</w:t>
      </w:r>
      <w:r w:rsidR="00D145AD" w:rsidRPr="008C1EC2">
        <w:t>, and left education at 17 years</w:t>
      </w:r>
      <w:r w:rsidR="00E24A87" w:rsidRPr="008C1EC2">
        <w:t xml:space="preserve"> of age</w:t>
      </w:r>
      <w:r w:rsidR="00D145AD" w:rsidRPr="008C1EC2">
        <w:t xml:space="preserve"> without any qualifications; he was later diagnosed with mild learning difficulties.</w:t>
      </w:r>
      <w:r w:rsidR="00CD3916" w:rsidRPr="008C1EC2">
        <w:t xml:space="preserve"> As an adult, he is able to live independently and earn</w:t>
      </w:r>
      <w:r w:rsidR="00610079" w:rsidRPr="008C1EC2">
        <w:t>s</w:t>
      </w:r>
      <w:r w:rsidR="00CD3916" w:rsidRPr="008C1EC2">
        <w:t xml:space="preserve"> a living working </w:t>
      </w:r>
      <w:r w:rsidR="00610079" w:rsidRPr="008C1EC2">
        <w:t>in</w:t>
      </w:r>
      <w:r w:rsidR="00CC29BF" w:rsidRPr="008C1EC2">
        <w:t xml:space="preserve"> </w:t>
      </w:r>
      <w:r w:rsidR="00CD3916" w:rsidRPr="008C1EC2">
        <w:t>his local supermarket.</w:t>
      </w:r>
      <w:r w:rsidR="00CC29BF" w:rsidRPr="008C1EC2">
        <w:t xml:space="preserve"> He is not in a relationship and has no children.  </w:t>
      </w:r>
      <w:r w:rsidR="00610079" w:rsidRPr="008C1EC2">
        <w:t>Past medical history in chronological order included</w:t>
      </w:r>
      <w:r w:rsidR="00B4005C" w:rsidRPr="008C1EC2">
        <w:t xml:space="preserve">:  </w:t>
      </w:r>
      <w:r w:rsidR="00A24068" w:rsidRPr="008C1EC2">
        <w:t>gout as a young adult, and hypertension</w:t>
      </w:r>
      <w:r w:rsidR="00610079" w:rsidRPr="008C1EC2">
        <w:t xml:space="preserve">, with an onset at the age of </w:t>
      </w:r>
      <w:r w:rsidR="00A24068" w:rsidRPr="008C1EC2">
        <w:t>45 years</w:t>
      </w:r>
      <w:r w:rsidR="00610079" w:rsidRPr="008C1EC2">
        <w:t>.</w:t>
      </w:r>
      <w:r w:rsidR="00CC29BF" w:rsidRPr="008C1EC2">
        <w:t xml:space="preserve"> </w:t>
      </w:r>
      <w:r w:rsidR="00A24068" w:rsidRPr="008C1EC2">
        <w:t xml:space="preserve">He was </w:t>
      </w:r>
      <w:r w:rsidR="00610079" w:rsidRPr="008C1EC2">
        <w:t>diagnosed with sarcoidosis at</w:t>
      </w:r>
      <w:r w:rsidR="00CC29BF" w:rsidRPr="008C1EC2">
        <w:t xml:space="preserve"> </w:t>
      </w:r>
      <w:r w:rsidR="00A24068" w:rsidRPr="008C1EC2">
        <w:t xml:space="preserve">46 years of age, having presented with cutaneous, renal, and pulmonary manifestations of the disease. </w:t>
      </w:r>
      <w:r w:rsidR="00B4005C" w:rsidRPr="008C1EC2">
        <w:t>Following</w:t>
      </w:r>
      <w:r w:rsidR="00A24068" w:rsidRPr="008C1EC2">
        <w:t xml:space="preserve"> prolonged </w:t>
      </w:r>
      <w:r w:rsidR="00CC29BF" w:rsidRPr="008C1EC2">
        <w:t>cortico</w:t>
      </w:r>
      <w:r w:rsidR="00A24068" w:rsidRPr="008C1EC2">
        <w:t xml:space="preserve">steroid treatment </w:t>
      </w:r>
      <w:r w:rsidR="00610079" w:rsidRPr="008C1EC2">
        <w:t>necessary for his diagnosis of</w:t>
      </w:r>
      <w:r w:rsidR="00B4005C" w:rsidRPr="008C1EC2">
        <w:t xml:space="preserve"> </w:t>
      </w:r>
      <w:r w:rsidR="00A24068" w:rsidRPr="008C1EC2">
        <w:t xml:space="preserve">sarcoidosis, he later developed </w:t>
      </w:r>
      <w:r w:rsidR="00B4005C" w:rsidRPr="008C1EC2">
        <w:t>cortico</w:t>
      </w:r>
      <w:r w:rsidR="00A24068" w:rsidRPr="008C1EC2">
        <w:t xml:space="preserve">steroid-induced diabetes mellitus at 51 years of age, </w:t>
      </w:r>
      <w:r w:rsidR="00B4005C" w:rsidRPr="008C1EC2">
        <w:t>presenting with marked hyperglycaemia requiring hospitalisation and treated with insulin.</w:t>
      </w:r>
      <w:r w:rsidR="00755AD5">
        <w:t xml:space="preserve"> </w:t>
      </w:r>
      <w:r w:rsidR="00B4005C" w:rsidRPr="008C1EC2">
        <w:t>At that time</w:t>
      </w:r>
      <w:r w:rsidR="00750071" w:rsidRPr="008C1EC2">
        <w:t>,</w:t>
      </w:r>
      <w:r w:rsidR="00B4005C" w:rsidRPr="008C1EC2">
        <w:t xml:space="preserve"> he was documented</w:t>
      </w:r>
      <w:r w:rsidR="001C44E4" w:rsidRPr="008C1EC2">
        <w:t xml:space="preserve"> clinically and radiologically</w:t>
      </w:r>
      <w:r w:rsidR="00B4005C" w:rsidRPr="008C1EC2">
        <w:t xml:space="preserve"> to have brachydactyly.</w:t>
      </w:r>
      <w:r w:rsidR="00755AD5">
        <w:t xml:space="preserve"> </w:t>
      </w:r>
      <w:r w:rsidR="00B4005C" w:rsidRPr="008C1EC2">
        <w:t xml:space="preserve">Complications </w:t>
      </w:r>
      <w:r w:rsidR="00A24068" w:rsidRPr="008C1EC2">
        <w:t xml:space="preserve">of his sarcoidosis include stage III chronic kidney disease, pulmonary emphysema, and a single episode of a secondary spontaneous pneumothorax at 53 years of age. </w:t>
      </w:r>
      <w:r w:rsidR="00610079" w:rsidRPr="008C1EC2">
        <w:t xml:space="preserve">Additional past medical </w:t>
      </w:r>
      <w:r w:rsidR="00A24068" w:rsidRPr="008C1EC2">
        <w:t xml:space="preserve">history </w:t>
      </w:r>
      <w:r w:rsidR="00BC14DA" w:rsidRPr="008C1EC2">
        <w:t>included</w:t>
      </w:r>
      <w:r w:rsidR="00A24068" w:rsidRPr="008C1EC2">
        <w:t xml:space="preserve"> </w:t>
      </w:r>
      <w:r w:rsidR="00E24A87" w:rsidRPr="008C1EC2">
        <w:t xml:space="preserve">ischaemic heart disease that required a percutaneous coronary intervention at 55 years of age, and </w:t>
      </w:r>
      <w:r w:rsidR="00430DDD" w:rsidRPr="008C1EC2">
        <w:t xml:space="preserve">secondary </w:t>
      </w:r>
      <w:r w:rsidR="00E24A87" w:rsidRPr="008C1EC2">
        <w:t>hypoadrenalism at 57 years of age</w:t>
      </w:r>
      <w:r w:rsidR="00610079" w:rsidRPr="008C1EC2">
        <w:t xml:space="preserve"> </w:t>
      </w:r>
      <w:r w:rsidR="00B4005C" w:rsidRPr="008C1EC2">
        <w:t>because of</w:t>
      </w:r>
      <w:r w:rsidR="00610079" w:rsidRPr="008C1EC2">
        <w:t xml:space="preserve"> exogenous chronic glucocorticoid use</w:t>
      </w:r>
      <w:r w:rsidR="00ED2CAE" w:rsidRPr="008C1EC2">
        <w:t>.</w:t>
      </w:r>
    </w:p>
    <w:p w14:paraId="4E0D0CAF" w14:textId="0F7D35BA" w:rsidR="00CC5972" w:rsidRPr="008C1EC2" w:rsidRDefault="00E24A87" w:rsidP="00ED1F1B">
      <w:pPr>
        <w:spacing w:after="0" w:line="480" w:lineRule="auto"/>
      </w:pPr>
      <w:r w:rsidRPr="008C1EC2">
        <w:t>He</w:t>
      </w:r>
      <w:r w:rsidR="00BC14DA" w:rsidRPr="008C1EC2">
        <w:t xml:space="preserve"> was referred</w:t>
      </w:r>
      <w:r w:rsidR="00B4005C" w:rsidRPr="008C1EC2">
        <w:t xml:space="preserve"> from the diabetes clinic</w:t>
      </w:r>
      <w:r w:rsidR="00ED2CAE" w:rsidRPr="008C1EC2">
        <w:t xml:space="preserve"> (Dr Amanda Adler)</w:t>
      </w:r>
      <w:r w:rsidR="00BC14DA" w:rsidRPr="008C1EC2">
        <w:t xml:space="preserve"> to the Cambridge Clinical G</w:t>
      </w:r>
      <w:r w:rsidRPr="008C1EC2">
        <w:t xml:space="preserve">enetics department at 57 years of age </w:t>
      </w:r>
      <w:r w:rsidR="00427E27" w:rsidRPr="008C1EC2">
        <w:t>to</w:t>
      </w:r>
      <w:r w:rsidR="003247DC" w:rsidRPr="008C1EC2">
        <w:t xml:space="preserve"> </w:t>
      </w:r>
      <w:r w:rsidRPr="008C1EC2">
        <w:t>investigat</w:t>
      </w:r>
      <w:r w:rsidR="00427E27" w:rsidRPr="008C1EC2">
        <w:t>e</w:t>
      </w:r>
      <w:r w:rsidRPr="008C1EC2">
        <w:t xml:space="preserve"> his longstanding biochemical and skeletal features</w:t>
      </w:r>
      <w:r w:rsidR="006C66CA">
        <w:t xml:space="preserve"> as a genetic syndrome was suspected</w:t>
      </w:r>
      <w:r w:rsidRPr="008C1EC2">
        <w:t xml:space="preserve">. </w:t>
      </w:r>
      <w:r w:rsidR="00CC5972" w:rsidRPr="008C1EC2">
        <w:t xml:space="preserve">These included a persistently raised </w:t>
      </w:r>
      <w:r w:rsidR="00B653E9" w:rsidRPr="008C1EC2">
        <w:t xml:space="preserve">serum </w:t>
      </w:r>
      <w:r w:rsidR="00CC5972" w:rsidRPr="008C1EC2">
        <w:t xml:space="preserve">PTH without an affected correct </w:t>
      </w:r>
      <w:r w:rsidR="003247DC" w:rsidRPr="008C1EC2">
        <w:t xml:space="preserve">serum </w:t>
      </w:r>
      <w:r w:rsidR="00CC5972" w:rsidRPr="008C1EC2">
        <w:t xml:space="preserve">calcium level, shortened metacarpals and metatarsals, and a general Cushingoid appearance. Whilst the first can be attributed to his chronic kidney disease, and the last to his long-term steroid treatment, </w:t>
      </w:r>
      <w:r w:rsidR="00BC14DA" w:rsidRPr="008C1EC2">
        <w:t>his skeletal features</w:t>
      </w:r>
      <w:r w:rsidR="00D86471" w:rsidRPr="008C1EC2">
        <w:t xml:space="preserve">, in his hands and feet, </w:t>
      </w:r>
      <w:r w:rsidR="00CC5972" w:rsidRPr="008C1EC2">
        <w:t>could not be attributed to any aspect of his past medical history.</w:t>
      </w:r>
      <w:r w:rsidR="00755AD5">
        <w:t xml:space="preserve"> </w:t>
      </w:r>
      <w:r w:rsidR="00B178BB" w:rsidRPr="008C1EC2">
        <w:t xml:space="preserve">There was no family history of endocrinopathy, skeletal dysplasia, or learning difficulties.  </w:t>
      </w:r>
    </w:p>
    <w:p w14:paraId="51C4F765" w14:textId="57B7CE99" w:rsidR="00E24A87" w:rsidRPr="008C1EC2" w:rsidRDefault="00E24A87" w:rsidP="00ED1F1B">
      <w:pPr>
        <w:spacing w:after="0" w:line="480" w:lineRule="auto"/>
      </w:pPr>
      <w:r w:rsidRPr="008C1EC2">
        <w:lastRenderedPageBreak/>
        <w:t xml:space="preserve">On first presentation he was noted to have disproportionate short stature </w:t>
      </w:r>
      <w:r w:rsidR="004839D4">
        <w:t>[</w:t>
      </w:r>
      <w:r w:rsidR="00FA1F83">
        <w:t>(</w:t>
      </w:r>
      <w:r w:rsidRPr="008C1EC2">
        <w:t>height of 158.4</w:t>
      </w:r>
      <w:r w:rsidR="00B4005C" w:rsidRPr="008C1EC2">
        <w:t xml:space="preserve"> </w:t>
      </w:r>
      <w:r w:rsidRPr="008C1EC2">
        <w:t xml:space="preserve">cm; </w:t>
      </w:r>
      <w:r w:rsidR="00FA1F83">
        <w:t>&lt;</w:t>
      </w:r>
      <w:r w:rsidRPr="008C1EC2">
        <w:t xml:space="preserve"> 0.4</w:t>
      </w:r>
      <w:r w:rsidRPr="008C1EC2">
        <w:rPr>
          <w:vertAlign w:val="superscript"/>
        </w:rPr>
        <w:t>th</w:t>
      </w:r>
      <w:r w:rsidRPr="008C1EC2">
        <w:t xml:space="preserve"> centile</w:t>
      </w:r>
      <w:r w:rsidR="00FA1F83">
        <w:t>)</w:t>
      </w:r>
      <w:r w:rsidR="009F7021" w:rsidRPr="008C1EC2">
        <w:t xml:space="preserve"> </w:t>
      </w:r>
      <w:r w:rsidR="009F7021" w:rsidRPr="008C1EC2">
        <w:fldChar w:fldCharType="begin" w:fldLock="1"/>
      </w:r>
      <w:r w:rsidR="009F7021" w:rsidRPr="008C1EC2">
        <w:instrText>ADDIN CSL_CITATION {"citationItems":[{"id":"ITEM-1","itemData":{"ISSN":"1468-2044","PMID":"7639543","abstract":"The current reference curves of stature and weight for the UK were first published in 1966 and have been used ever since despite increasing concern that they may not adequately describe the growth of present day British children. Using current data from seven sources new reference curves have been estimated from birth to 20 years for children in 1990. The great majority of the data are nationally representative. The analysis used Cole's LMS method and has produced efficient estimates of the conventional centiles and gives a good fit to the data. These curves differ from the currently used curves at key ages for both stature and weight. In view of the concerns expressed about the current curves and the differences between them and the new curves, it is proposed that the curves presented here should be adopted as the new UK reference curves.","author":[{"dropping-particle":"V","family":"Freeman","given":"J","non-dropping-particle":"","parse-names":false,"suffix":""},{"dropping-particle":"","family":"Cole","given":"T J","non-dropping-particle":"","parse-names":false,"suffix":""},{"dropping-particle":"","family":"Chinn","given":"S","non-dropping-particle":"","parse-names":false,"suffix":""},{"dropping-particle":"","family":"Jones","given":"P R","non-dropping-particle":"","parse-names":false,"suffix":""},{"dropping-particle":"","family":"White","given":"E M","non-dropping-particle":"","parse-names":false,"suffix":""},{"dropping-particle":"","family":"Preece","given":"M A","non-dropping-particle":"","parse-names":false,"suffix":""}],"container-title":"Archives of disease in childhood","id":"ITEM-1","issue":"1","issued":{"date-parts":[["1995","7"]]},"page":"17-24","title":"Cross sectional stature and weight reference curves for the UK, 1990.","type":"article-journal","volume":"73"},"uris":["http://www.mendeley.com/documents/?uuid=d85aa89e-b50e-311b-8b81-09799c2121f3"]}],"mendeley":{"formattedCitation":"(Freeman et al., 1995)","plainTextFormattedCitation":"(Freeman et al., 1995)","previouslyFormattedCitation":"(Freeman et al., 1995)"},"properties":{"noteIndex":0},"schema":"https://github.com/citation-style-language/schema/raw/master/csl-citation.json"}</w:instrText>
      </w:r>
      <w:r w:rsidR="009F7021" w:rsidRPr="008C1EC2">
        <w:fldChar w:fldCharType="separate"/>
      </w:r>
      <w:r w:rsidR="009F7021" w:rsidRPr="008C1EC2">
        <w:rPr>
          <w:noProof/>
        </w:rPr>
        <w:t>(Freeman et al., 1995)</w:t>
      </w:r>
      <w:r w:rsidR="009F7021" w:rsidRPr="008C1EC2">
        <w:fldChar w:fldCharType="end"/>
      </w:r>
      <w:r w:rsidR="004839D4">
        <w:t>]</w:t>
      </w:r>
      <w:r w:rsidRPr="008C1EC2">
        <w:t xml:space="preserve"> with relatively short limbs </w:t>
      </w:r>
      <w:r w:rsidR="00BC14DA" w:rsidRPr="008C1EC2">
        <w:t xml:space="preserve">(Figure 2). </w:t>
      </w:r>
      <w:r w:rsidRPr="008C1EC2">
        <w:t xml:space="preserve">His occipitofrontal circumference was 58cm </w:t>
      </w:r>
      <w:r w:rsidR="00FA1F83">
        <w:t>(</w:t>
      </w:r>
      <w:r w:rsidRPr="008C1EC2">
        <w:t>75</w:t>
      </w:r>
      <w:r w:rsidRPr="008C1EC2">
        <w:rPr>
          <w:vertAlign w:val="superscript"/>
        </w:rPr>
        <w:t>th</w:t>
      </w:r>
      <w:r w:rsidR="00CC5972" w:rsidRPr="008C1EC2">
        <w:t xml:space="preserve"> </w:t>
      </w:r>
      <w:r w:rsidRPr="008C1EC2">
        <w:t>-</w:t>
      </w:r>
      <w:r w:rsidR="00CC5972" w:rsidRPr="008C1EC2">
        <w:t xml:space="preserve"> </w:t>
      </w:r>
      <w:r w:rsidRPr="008C1EC2">
        <w:t>90</w:t>
      </w:r>
      <w:r w:rsidRPr="008C1EC2">
        <w:rPr>
          <w:vertAlign w:val="superscript"/>
        </w:rPr>
        <w:t>th</w:t>
      </w:r>
      <w:r w:rsidRPr="008C1EC2">
        <w:t xml:space="preserve"> centile</w:t>
      </w:r>
      <w:r w:rsidR="00FA1F83">
        <w:t>)</w:t>
      </w:r>
      <w:r w:rsidR="009F7021" w:rsidRPr="008C1EC2">
        <w:t xml:space="preserve"> </w:t>
      </w:r>
      <w:r w:rsidR="009F7021" w:rsidRPr="008C1EC2">
        <w:fldChar w:fldCharType="begin" w:fldLock="1"/>
      </w:r>
      <w:r w:rsidR="00E76D04" w:rsidRPr="008C1EC2">
        <w:instrText>ADDIN CSL_CITATION {"citationItems":[{"id":"ITEM-1","itemData":{"ISSN":"1468-2044","PMID":"1444530","abstract":"Reference range for head circumference on the Tanner charts do not go beyond age 16. In this study the head circumference and heights of 354 adults in two British centres were measured. The centile charts constructed from these measurements show that adult head circumference is related to height. The mean head circumference of a male of average height is above the 97th centile for a 16 year old on the Tanner charts. The paediatric charts are therefore inappropriate for use in adult males.","author":[{"dropping-particle":"","family":"Bushby","given":"K M","non-dropping-particle":"","parse-names":false,"suffix":""},{"dropping-particle":"","family":"Cole","given":"T","non-dropping-particle":"","parse-names":false,"suffix":""},{"dropping-particle":"","family":"Matthews","given":"J N","non-dropping-particle":"","parse-names":false,"suffix":""},{"dropping-particle":"","family":"Goodship","given":"J A","non-dropping-particle":"","parse-names":false,"suffix":""}],"container-title":"Archives of disease in childhood","id":"ITEM-1","issue":"10","issued":{"date-parts":[["1992","10"]]},"page":"1286-7","title":"Centiles for adult head circumference.","type":"article-journal","volume":"67"},"uris":["http://www.mendeley.com/documents/?uuid=cfe2b981-e9af-363b-9613-796ed89c5d51"]}],"mendeley":{"formattedCitation":"(Bushby, Cole, Matthews, &amp; Goodship, 1992)","plainTextFormattedCitation":"(Bushby, Cole, Matthews, &amp; Goodship, 1992)","previouslyFormattedCitation":"(Bushby, Cole, Matthews, &amp; Goodship, 1992)"},"properties":{"noteIndex":0},"schema":"https://github.com/citation-style-language/schema/raw/master/csl-citation.json"}</w:instrText>
      </w:r>
      <w:r w:rsidR="009F7021" w:rsidRPr="008C1EC2">
        <w:fldChar w:fldCharType="separate"/>
      </w:r>
      <w:r w:rsidR="009F7021" w:rsidRPr="008C1EC2">
        <w:rPr>
          <w:noProof/>
        </w:rPr>
        <w:t>(Bushby, Cole, Matthews, &amp; Goodship, 1992)</w:t>
      </w:r>
      <w:r w:rsidR="009F7021" w:rsidRPr="008C1EC2">
        <w:fldChar w:fldCharType="end"/>
      </w:r>
      <w:r w:rsidR="004839D4">
        <w:t>]</w:t>
      </w:r>
      <w:r w:rsidRPr="008C1EC2">
        <w:t xml:space="preserve"> showing relative macrocephaly. His weight was 69.6kg with </w:t>
      </w:r>
      <w:r w:rsidR="009549A4" w:rsidRPr="008C1EC2">
        <w:t>central obesity (body mass index of 27.7</w:t>
      </w:r>
      <w:r w:rsidR="00B4005C" w:rsidRPr="008C1EC2">
        <w:t xml:space="preserve"> kg/m</w:t>
      </w:r>
      <w:r w:rsidR="00B4005C" w:rsidRPr="008C1EC2">
        <w:rPr>
          <w:vertAlign w:val="superscript"/>
        </w:rPr>
        <w:t>2</w:t>
      </w:r>
      <w:r w:rsidR="009549A4" w:rsidRPr="008C1EC2">
        <w:t>). He had small palpebral fissures</w:t>
      </w:r>
      <w:r w:rsidR="00750071" w:rsidRPr="008C1EC2">
        <w:t xml:space="preserve">, </w:t>
      </w:r>
      <w:r w:rsidR="009549A4" w:rsidRPr="008C1EC2">
        <w:t xml:space="preserve">thin lips, </w:t>
      </w:r>
      <w:r w:rsidR="00B4005C" w:rsidRPr="008C1EC2">
        <w:t xml:space="preserve">and </w:t>
      </w:r>
      <w:r w:rsidR="009549A4" w:rsidRPr="008C1EC2">
        <w:t xml:space="preserve">a normal palate. </w:t>
      </w:r>
      <w:r w:rsidR="00783D07" w:rsidRPr="008C1EC2">
        <w:t>There was</w:t>
      </w:r>
      <w:r w:rsidR="009549A4" w:rsidRPr="008C1EC2">
        <w:t xml:space="preserve"> bilateral brachydactyly, </w:t>
      </w:r>
      <w:r w:rsidR="00783D07" w:rsidRPr="008C1EC2">
        <w:t>with short 4</w:t>
      </w:r>
      <w:r w:rsidR="00783D07" w:rsidRPr="008C1EC2">
        <w:rPr>
          <w:vertAlign w:val="superscript"/>
        </w:rPr>
        <w:t>th</w:t>
      </w:r>
      <w:r w:rsidR="00783D07" w:rsidRPr="008C1EC2">
        <w:t xml:space="preserve"> and 5</w:t>
      </w:r>
      <w:r w:rsidR="00783D07" w:rsidRPr="008C1EC2">
        <w:rPr>
          <w:vertAlign w:val="superscript"/>
        </w:rPr>
        <w:t>th</w:t>
      </w:r>
      <w:r w:rsidR="00783D07" w:rsidRPr="008C1EC2">
        <w:t xml:space="preserve"> metacarpals and metatarsals</w:t>
      </w:r>
      <w:r w:rsidR="009549A4" w:rsidRPr="008C1EC2">
        <w:t>, and short terminal phalanges of the thumbs. He had multiple warts on his hands and forearms, but no cutaneous manifestations of sarcoidosis. Mild pectus excavatum was noted.</w:t>
      </w:r>
    </w:p>
    <w:p w14:paraId="0CCB0D7B" w14:textId="6A5B09D3" w:rsidR="00324331" w:rsidRDefault="009549A4" w:rsidP="00ED1F1B">
      <w:pPr>
        <w:spacing w:after="0" w:line="480" w:lineRule="auto"/>
      </w:pPr>
      <w:r w:rsidRPr="008C1EC2">
        <w:t xml:space="preserve">Biochemical investigations </w:t>
      </w:r>
      <w:r w:rsidR="00FC5C73" w:rsidRPr="008C1EC2">
        <w:t>showed persistent</w:t>
      </w:r>
      <w:r w:rsidR="00750071" w:rsidRPr="008C1EC2">
        <w:t>ly</w:t>
      </w:r>
      <w:r w:rsidR="00FC5C73" w:rsidRPr="008C1EC2">
        <w:t xml:space="preserve"> elevated</w:t>
      </w:r>
      <w:r w:rsidR="00FC00F3" w:rsidRPr="008C1EC2">
        <w:t xml:space="preserve"> serum </w:t>
      </w:r>
      <w:r w:rsidR="00967F2A" w:rsidRPr="008C1EC2">
        <w:t xml:space="preserve">PTH levels of </w:t>
      </w:r>
      <w:r w:rsidR="00FF6234" w:rsidRPr="008C1EC2">
        <w:t>13.36</w:t>
      </w:r>
      <w:r w:rsidR="00610079" w:rsidRPr="008C1EC2">
        <w:t>-17.07pmol/l)</w:t>
      </w:r>
      <w:r w:rsidR="00967F2A" w:rsidRPr="008C1EC2">
        <w:t xml:space="preserve"> (normal range 1.48 - 7.63); normal corrected</w:t>
      </w:r>
      <w:r w:rsidR="003247DC" w:rsidRPr="008C1EC2">
        <w:t xml:space="preserve"> serum </w:t>
      </w:r>
      <w:r w:rsidR="00967F2A" w:rsidRPr="008C1EC2">
        <w:t>calcium levels</w:t>
      </w:r>
      <w:r w:rsidR="00ED1F1B" w:rsidRPr="008C1EC2">
        <w:t xml:space="preserve"> </w:t>
      </w:r>
      <w:r w:rsidR="00ED1F1B" w:rsidRPr="008C1EC2">
        <w:rPr>
          <w:rFonts w:eastAsia="Times New Roman" w:cstheme="minorHAnsi"/>
          <w:color w:val="000000"/>
          <w:lang w:eastAsia="en-GB"/>
        </w:rPr>
        <w:t xml:space="preserve">(normal range 2.2 - 2.6), </w:t>
      </w:r>
      <w:r w:rsidR="00610079" w:rsidRPr="008C1EC2">
        <w:t xml:space="preserve">aside from </w:t>
      </w:r>
      <w:r w:rsidR="00967F2A" w:rsidRPr="008C1EC2">
        <w:t xml:space="preserve">a single elevated level of 2.64 mmol/L (normal range 2.2 - 2.6); and consistently normal </w:t>
      </w:r>
      <w:r w:rsidR="003247DC" w:rsidRPr="008C1EC2">
        <w:t xml:space="preserve">serum </w:t>
      </w:r>
      <w:r w:rsidR="00967F2A" w:rsidRPr="008C1EC2">
        <w:t>phosphate levels</w:t>
      </w:r>
      <w:r w:rsidR="00ED1F1B" w:rsidRPr="008C1EC2">
        <w:t xml:space="preserve"> </w:t>
      </w:r>
      <w:r w:rsidR="00ED1F1B" w:rsidRPr="008C1EC2">
        <w:rPr>
          <w:rFonts w:eastAsia="Times New Roman" w:cstheme="minorHAnsi"/>
          <w:color w:val="000000"/>
          <w:lang w:eastAsia="en-GB"/>
        </w:rPr>
        <w:t xml:space="preserve">(normal range 0.8 - 1.5). </w:t>
      </w:r>
      <w:r w:rsidR="00FC00F3" w:rsidRPr="008C1EC2">
        <w:t xml:space="preserve">Serum </w:t>
      </w:r>
      <w:r w:rsidR="00967F2A" w:rsidRPr="008C1EC2">
        <w:t xml:space="preserve">TSH levels were normal at 3.57 mU/L and 3.11 mU/L (normal range 0.35 - 5.5), and </w:t>
      </w:r>
      <w:r w:rsidR="003247DC" w:rsidRPr="008C1EC2">
        <w:t xml:space="preserve">plasma </w:t>
      </w:r>
      <w:r w:rsidR="00967F2A" w:rsidRPr="008C1EC2">
        <w:t xml:space="preserve">vitamin D levels were normal. Renal function and </w:t>
      </w:r>
      <w:r w:rsidR="003247DC" w:rsidRPr="008C1EC2">
        <w:t xml:space="preserve">blood </w:t>
      </w:r>
      <w:r w:rsidR="00967F2A" w:rsidRPr="008C1EC2">
        <w:t xml:space="preserve">electrolyte levels </w:t>
      </w:r>
      <w:r w:rsidR="00783D07" w:rsidRPr="008C1EC2">
        <w:t>were</w:t>
      </w:r>
      <w:r w:rsidR="00967F2A" w:rsidRPr="008C1EC2">
        <w:t xml:space="preserve"> consistent with stage III chronic kidney disease, and serum angiotensin-converting enzyme levels </w:t>
      </w:r>
      <w:r w:rsidR="00FF6234" w:rsidRPr="008C1EC2">
        <w:t>fluctuate</w:t>
      </w:r>
      <w:r w:rsidR="00783D07" w:rsidRPr="008C1EC2">
        <w:t>d</w:t>
      </w:r>
      <w:r w:rsidR="00FF6234" w:rsidRPr="008C1EC2">
        <w:t xml:space="preserve"> with the course of the sarcoidosis. </w:t>
      </w:r>
    </w:p>
    <w:p w14:paraId="323FD722" w14:textId="562D0699" w:rsidR="00B178BB" w:rsidRPr="00B178BB" w:rsidRDefault="00B178BB" w:rsidP="00ED1F1B">
      <w:pPr>
        <w:spacing w:after="0" w:line="480" w:lineRule="auto"/>
        <w:rPr>
          <w:b/>
        </w:rPr>
      </w:pPr>
      <w:r w:rsidRPr="00B178BB">
        <w:rPr>
          <w:b/>
        </w:rPr>
        <w:t>Patient 2</w:t>
      </w:r>
    </w:p>
    <w:p w14:paraId="74F3F566" w14:textId="0C8878D7" w:rsidR="005B2760" w:rsidRPr="00B178BB" w:rsidRDefault="00EA7B0F" w:rsidP="00B178BB">
      <w:pPr>
        <w:pStyle w:val="NormalWeb"/>
        <w:spacing w:before="0" w:beforeAutospacing="0" w:after="0" w:afterAutospacing="0" w:line="480" w:lineRule="auto"/>
        <w:rPr>
          <w:rFonts w:asciiTheme="minorHAnsi" w:hAnsiTheme="minorHAnsi" w:cstheme="minorHAnsi"/>
          <w:strike/>
          <w:sz w:val="22"/>
          <w:szCs w:val="22"/>
        </w:rPr>
      </w:pPr>
      <w:r w:rsidRPr="008C1EC2">
        <w:rPr>
          <w:rFonts w:asciiTheme="minorHAnsi" w:hAnsiTheme="minorHAnsi" w:cstheme="minorHAnsi"/>
          <w:color w:val="000000"/>
          <w:sz w:val="22"/>
          <w:szCs w:val="22"/>
        </w:rPr>
        <w:t>Patient 2</w:t>
      </w:r>
      <w:r w:rsidR="00DC078B" w:rsidRPr="008C1EC2">
        <w:rPr>
          <w:rFonts w:asciiTheme="minorHAnsi" w:hAnsiTheme="minorHAnsi" w:cstheme="minorHAnsi"/>
          <w:color w:val="000000"/>
          <w:sz w:val="22"/>
          <w:szCs w:val="22"/>
        </w:rPr>
        <w:t xml:space="preserve"> </w:t>
      </w:r>
      <w:r w:rsidR="00A220F1" w:rsidRPr="008C1EC2">
        <w:rPr>
          <w:rFonts w:asciiTheme="minorHAnsi" w:hAnsiTheme="minorHAnsi" w:cstheme="minorHAnsi"/>
          <w:color w:val="000000"/>
          <w:sz w:val="22"/>
          <w:szCs w:val="22"/>
        </w:rPr>
        <w:t>was</w:t>
      </w:r>
      <w:r w:rsidR="00DC078B" w:rsidRPr="008C1EC2">
        <w:rPr>
          <w:rFonts w:asciiTheme="minorHAnsi" w:hAnsiTheme="minorHAnsi" w:cstheme="minorHAnsi"/>
          <w:color w:val="000000"/>
          <w:sz w:val="22"/>
          <w:szCs w:val="22"/>
        </w:rPr>
        <w:t xml:space="preserve"> a 47-year-old ma</w:t>
      </w:r>
      <w:r w:rsidR="003037D2" w:rsidRPr="008C1EC2">
        <w:rPr>
          <w:rFonts w:asciiTheme="minorHAnsi" w:hAnsiTheme="minorHAnsi" w:cstheme="minorHAnsi"/>
          <w:color w:val="000000"/>
          <w:sz w:val="22"/>
          <w:szCs w:val="22"/>
        </w:rPr>
        <w:t>le</w:t>
      </w:r>
      <w:r w:rsidR="00DC078B" w:rsidRPr="008C1EC2">
        <w:rPr>
          <w:rFonts w:asciiTheme="minorHAnsi" w:hAnsiTheme="minorHAnsi" w:cstheme="minorHAnsi"/>
          <w:color w:val="000000"/>
          <w:sz w:val="22"/>
          <w:szCs w:val="22"/>
        </w:rPr>
        <w:t xml:space="preserve">, the first child of non-consanguineous parents of </w:t>
      </w:r>
      <w:r w:rsidR="00750071" w:rsidRPr="008C1EC2">
        <w:rPr>
          <w:rFonts w:asciiTheme="minorHAnsi" w:hAnsiTheme="minorHAnsi" w:cstheme="minorHAnsi"/>
          <w:color w:val="000000"/>
          <w:sz w:val="22"/>
          <w:szCs w:val="22"/>
        </w:rPr>
        <w:t>w</w:t>
      </w:r>
      <w:r w:rsidR="00DC078B" w:rsidRPr="008C1EC2">
        <w:rPr>
          <w:rFonts w:asciiTheme="minorHAnsi" w:hAnsiTheme="minorHAnsi" w:cstheme="minorHAnsi"/>
          <w:color w:val="000000"/>
          <w:sz w:val="22"/>
          <w:szCs w:val="22"/>
        </w:rPr>
        <w:t xml:space="preserve">hite South African origin. </w:t>
      </w:r>
      <w:r w:rsidR="007157F2">
        <w:rPr>
          <w:rFonts w:asciiTheme="minorHAnsi" w:hAnsiTheme="minorHAnsi" w:cstheme="minorHAnsi"/>
          <w:color w:val="000000"/>
          <w:sz w:val="22"/>
          <w:szCs w:val="22"/>
        </w:rPr>
        <w:t>At the time of his birth, his</w:t>
      </w:r>
      <w:r w:rsidR="007157F2" w:rsidRPr="008C1EC2">
        <w:rPr>
          <w:rFonts w:asciiTheme="minorHAnsi" w:hAnsiTheme="minorHAnsi" w:cstheme="minorHAnsi"/>
          <w:color w:val="000000"/>
          <w:sz w:val="22"/>
          <w:szCs w:val="22"/>
        </w:rPr>
        <w:t xml:space="preserve"> </w:t>
      </w:r>
      <w:r w:rsidR="00750071" w:rsidRPr="008C1EC2">
        <w:rPr>
          <w:rFonts w:asciiTheme="minorHAnsi" w:hAnsiTheme="minorHAnsi" w:cstheme="minorHAnsi"/>
          <w:color w:val="000000"/>
          <w:sz w:val="22"/>
          <w:szCs w:val="22"/>
        </w:rPr>
        <w:t xml:space="preserve">mother and father were aged 20 and 27 </w:t>
      </w:r>
      <w:r w:rsidR="003454E4" w:rsidRPr="008C1EC2">
        <w:rPr>
          <w:rFonts w:asciiTheme="minorHAnsi" w:hAnsiTheme="minorHAnsi" w:cstheme="minorHAnsi"/>
          <w:color w:val="000000"/>
          <w:sz w:val="22"/>
          <w:szCs w:val="22"/>
        </w:rPr>
        <w:t xml:space="preserve">years </w:t>
      </w:r>
      <w:r w:rsidR="00750071" w:rsidRPr="008C1EC2">
        <w:rPr>
          <w:rFonts w:asciiTheme="minorHAnsi" w:hAnsiTheme="minorHAnsi" w:cstheme="minorHAnsi"/>
          <w:color w:val="000000"/>
          <w:sz w:val="22"/>
          <w:szCs w:val="22"/>
        </w:rPr>
        <w:t xml:space="preserve">respectively. </w:t>
      </w:r>
      <w:r w:rsidR="00DC078B" w:rsidRPr="008C1EC2">
        <w:rPr>
          <w:rFonts w:asciiTheme="minorHAnsi" w:hAnsiTheme="minorHAnsi" w:cstheme="minorHAnsi"/>
          <w:color w:val="000000"/>
          <w:sz w:val="22"/>
          <w:szCs w:val="22"/>
        </w:rPr>
        <w:t xml:space="preserve">Intrauterine growth restriction was noted antenatally, and he was born at 42 weeks of gestation </w:t>
      </w:r>
      <w:r w:rsidR="00430DDD" w:rsidRPr="008C1EC2">
        <w:rPr>
          <w:rFonts w:asciiTheme="minorHAnsi" w:hAnsiTheme="minorHAnsi" w:cstheme="minorHAnsi"/>
          <w:color w:val="000000"/>
          <w:sz w:val="22"/>
          <w:szCs w:val="22"/>
        </w:rPr>
        <w:t xml:space="preserve">by spontaneous vaginal delivery </w:t>
      </w:r>
      <w:r w:rsidR="00DC078B" w:rsidRPr="008C1EC2">
        <w:rPr>
          <w:rFonts w:asciiTheme="minorHAnsi" w:hAnsiTheme="minorHAnsi" w:cstheme="minorHAnsi"/>
          <w:color w:val="000000"/>
          <w:sz w:val="22"/>
          <w:szCs w:val="22"/>
        </w:rPr>
        <w:t>after induction of labour. Birth weight was 2</w:t>
      </w:r>
      <w:r w:rsidR="005B2760" w:rsidRPr="008C1EC2">
        <w:rPr>
          <w:rFonts w:asciiTheme="minorHAnsi" w:hAnsiTheme="minorHAnsi" w:cstheme="minorHAnsi"/>
          <w:color w:val="000000"/>
          <w:sz w:val="22"/>
          <w:szCs w:val="22"/>
        </w:rPr>
        <w:t>.2k</w:t>
      </w:r>
      <w:r w:rsidR="00DC078B" w:rsidRPr="008C1EC2">
        <w:rPr>
          <w:rFonts w:asciiTheme="minorHAnsi" w:hAnsiTheme="minorHAnsi" w:cstheme="minorHAnsi"/>
          <w:color w:val="000000"/>
          <w:sz w:val="22"/>
          <w:szCs w:val="22"/>
        </w:rPr>
        <w:t>g</w:t>
      </w:r>
      <w:r w:rsidR="00A60F28" w:rsidRPr="008C1EC2">
        <w:rPr>
          <w:rFonts w:asciiTheme="minorHAnsi" w:hAnsiTheme="minorHAnsi" w:cstheme="minorHAnsi"/>
          <w:color w:val="000000"/>
          <w:sz w:val="22"/>
          <w:szCs w:val="22"/>
        </w:rPr>
        <w:t xml:space="preserve"> </w:t>
      </w:r>
      <w:r w:rsidR="004839D4">
        <w:rPr>
          <w:rFonts w:asciiTheme="minorHAnsi" w:hAnsiTheme="minorHAnsi" w:cstheme="minorHAnsi"/>
          <w:color w:val="000000"/>
          <w:sz w:val="22"/>
          <w:szCs w:val="22"/>
        </w:rPr>
        <w:t>[</w:t>
      </w:r>
      <w:r w:rsidR="00FA1F83">
        <w:rPr>
          <w:rFonts w:asciiTheme="minorHAnsi" w:hAnsiTheme="minorHAnsi" w:cstheme="minorHAnsi"/>
          <w:color w:val="000000"/>
          <w:sz w:val="22"/>
          <w:szCs w:val="22"/>
        </w:rPr>
        <w:t>(</w:t>
      </w:r>
      <w:r w:rsidR="00A60F28" w:rsidRPr="008C1EC2">
        <w:rPr>
          <w:rFonts w:asciiTheme="minorHAnsi" w:hAnsiTheme="minorHAnsi" w:cstheme="minorHAnsi"/>
          <w:color w:val="000000"/>
          <w:sz w:val="22"/>
          <w:szCs w:val="22"/>
        </w:rPr>
        <w:t>&lt;0.4</w:t>
      </w:r>
      <w:r w:rsidR="00A60F28" w:rsidRPr="008C1EC2">
        <w:rPr>
          <w:rFonts w:asciiTheme="minorHAnsi" w:hAnsiTheme="minorHAnsi" w:cstheme="minorHAnsi"/>
          <w:color w:val="000000"/>
          <w:sz w:val="22"/>
          <w:szCs w:val="22"/>
          <w:vertAlign w:val="superscript"/>
        </w:rPr>
        <w:t>th</w:t>
      </w:r>
      <w:r w:rsidR="00A60F28" w:rsidRPr="008C1EC2">
        <w:rPr>
          <w:rFonts w:asciiTheme="minorHAnsi" w:hAnsiTheme="minorHAnsi" w:cstheme="minorHAnsi"/>
          <w:color w:val="000000"/>
          <w:sz w:val="22"/>
          <w:szCs w:val="22"/>
        </w:rPr>
        <w:t xml:space="preserve"> centile</w:t>
      </w:r>
      <w:r w:rsidR="00FA1F83">
        <w:rPr>
          <w:rFonts w:asciiTheme="minorHAnsi" w:hAnsiTheme="minorHAnsi" w:cstheme="minorHAnsi"/>
          <w:color w:val="000000"/>
          <w:sz w:val="22"/>
          <w:szCs w:val="22"/>
        </w:rPr>
        <w:t>)</w:t>
      </w:r>
      <w:r w:rsidR="00E76D04" w:rsidRPr="008C1EC2">
        <w:rPr>
          <w:rFonts w:asciiTheme="minorHAnsi" w:hAnsiTheme="minorHAnsi" w:cstheme="minorHAnsi"/>
          <w:color w:val="000000"/>
          <w:sz w:val="22"/>
          <w:szCs w:val="22"/>
        </w:rPr>
        <w:t xml:space="preserve"> </w:t>
      </w:r>
      <w:r w:rsidR="00E76D04" w:rsidRPr="008C1EC2">
        <w:rPr>
          <w:rFonts w:asciiTheme="minorHAnsi" w:hAnsiTheme="minorHAnsi" w:cstheme="minorHAnsi"/>
          <w:color w:val="000000"/>
          <w:sz w:val="22"/>
          <w:szCs w:val="22"/>
        </w:rPr>
        <w:fldChar w:fldCharType="begin" w:fldLock="1"/>
      </w:r>
      <w:r w:rsidR="00E76D04" w:rsidRPr="008C1EC2">
        <w:rPr>
          <w:rFonts w:asciiTheme="minorHAnsi" w:hAnsiTheme="minorHAnsi" w:cstheme="minorHAnsi"/>
          <w:color w:val="000000"/>
          <w:sz w:val="22"/>
          <w:szCs w:val="22"/>
        </w:rPr>
        <w:instrText>ADDIN CSL_CITATION {"citationItems":[{"id":"ITEM-1","itemData":{"ISSN":"1468-2044","PMID":"7639543","abstract":"The current reference curves of stature and weight for the UK were first published in 1966 and have been used ever since despite increasing concern that they may not adequately describe the growth of present day British children. Using current data from seven sources new reference curves have been estimated from birth to 20 years for children in 1990. The great majority of the data are nationally representative. The analysis used Cole's LMS method and has produced efficient estimates of the conventional centiles and gives a good fit to the data. These curves differ from the currently used curves at key ages for both stature and weight. In view of the concerns expressed about the current curves and the differences between them and the new curves, it is proposed that the curves presented here should be adopted as the new UK reference curves.","author":[{"dropping-particle":"V","family":"Freeman","given":"J","non-dropping-particle":"","parse-names":false,"suffix":""},{"dropping-particle":"","family":"Cole","given":"T J","non-dropping-particle":"","parse-names":false,"suffix":""},{"dropping-particle":"","family":"Chinn","given":"S","non-dropping-particle":"","parse-names":false,"suffix":""},{"dropping-particle":"","family":"Jones","given":"P R","non-dropping-particle":"","parse-names":false,"suffix":""},{"dropping-particle":"","family":"White","given":"E M","non-dropping-particle":"","parse-names":false,"suffix":""},{"dropping-particle":"","family":"Preece","given":"M A","non-dropping-particle":"","parse-names":false,"suffix":""}],"container-title":"Archives of disease in childhood","id":"ITEM-1","issue":"1","issued":{"date-parts":[["1995","7"]]},"page":"17-24","title":"Cross sectional stature and weight reference curves for the UK, 1990.","type":"article-journal","volume":"73"},"uris":["http://www.mendeley.com/documents/?uuid=d85aa89e-b50e-311b-8b81-09799c2121f3"]}],"mendeley":{"formattedCitation":"(Freeman et al., 1995)","plainTextFormattedCitation":"(Freeman et al., 1995)","previouslyFormattedCitation":"(Freeman et al., 1995)"},"properties":{"noteIndex":0},"schema":"https://github.com/citation-style-language/schema/raw/master/csl-citation.json"}</w:instrText>
      </w:r>
      <w:r w:rsidR="00E76D04" w:rsidRPr="008C1EC2">
        <w:rPr>
          <w:rFonts w:asciiTheme="minorHAnsi" w:hAnsiTheme="minorHAnsi" w:cstheme="minorHAnsi"/>
          <w:color w:val="000000"/>
          <w:sz w:val="22"/>
          <w:szCs w:val="22"/>
        </w:rPr>
        <w:fldChar w:fldCharType="separate"/>
      </w:r>
      <w:r w:rsidR="00E76D04" w:rsidRPr="008C1EC2">
        <w:rPr>
          <w:rFonts w:asciiTheme="minorHAnsi" w:hAnsiTheme="minorHAnsi" w:cstheme="minorHAnsi"/>
          <w:noProof/>
          <w:color w:val="000000"/>
          <w:sz w:val="22"/>
          <w:szCs w:val="22"/>
        </w:rPr>
        <w:t>(Freeman et al., 1995)</w:t>
      </w:r>
      <w:r w:rsidR="00E76D04" w:rsidRPr="008C1EC2">
        <w:rPr>
          <w:rFonts w:asciiTheme="minorHAnsi" w:hAnsiTheme="minorHAnsi" w:cstheme="minorHAnsi"/>
          <w:color w:val="000000"/>
          <w:sz w:val="22"/>
          <w:szCs w:val="22"/>
        </w:rPr>
        <w:fldChar w:fldCharType="end"/>
      </w:r>
      <w:r w:rsidR="004839D4">
        <w:rPr>
          <w:rFonts w:asciiTheme="minorHAnsi" w:hAnsiTheme="minorHAnsi" w:cstheme="minorHAnsi"/>
          <w:color w:val="000000"/>
          <w:sz w:val="22"/>
          <w:szCs w:val="22"/>
        </w:rPr>
        <w:t>]</w:t>
      </w:r>
      <w:r w:rsidR="00DC078B" w:rsidRPr="008C1EC2">
        <w:rPr>
          <w:rFonts w:asciiTheme="minorHAnsi" w:hAnsiTheme="minorHAnsi" w:cstheme="minorHAnsi"/>
          <w:color w:val="000000"/>
          <w:sz w:val="22"/>
          <w:szCs w:val="22"/>
        </w:rPr>
        <w:t xml:space="preserve">. Resuscitation was needed at birth, and he spent 5 days in the Special Care Baby Unit. Despite </w:t>
      </w:r>
      <w:r w:rsidR="00A753A2" w:rsidRPr="008C1EC2">
        <w:rPr>
          <w:rFonts w:asciiTheme="minorHAnsi" w:hAnsiTheme="minorHAnsi" w:cstheme="minorHAnsi"/>
          <w:color w:val="000000"/>
          <w:sz w:val="22"/>
          <w:szCs w:val="22"/>
        </w:rPr>
        <w:t xml:space="preserve">initial </w:t>
      </w:r>
      <w:r w:rsidR="00DC078B" w:rsidRPr="008C1EC2">
        <w:rPr>
          <w:rFonts w:asciiTheme="minorHAnsi" w:hAnsiTheme="minorHAnsi" w:cstheme="minorHAnsi"/>
          <w:color w:val="000000"/>
          <w:sz w:val="22"/>
          <w:szCs w:val="22"/>
        </w:rPr>
        <w:t>issues with breastfeeding and milk intolerance</w:t>
      </w:r>
      <w:r w:rsidR="00CD3916" w:rsidRPr="008C1EC2">
        <w:rPr>
          <w:rFonts w:asciiTheme="minorHAnsi" w:hAnsiTheme="minorHAnsi" w:cstheme="minorHAnsi"/>
          <w:color w:val="000000"/>
          <w:sz w:val="22"/>
          <w:szCs w:val="22"/>
        </w:rPr>
        <w:t>,</w:t>
      </w:r>
      <w:r w:rsidR="00DC078B" w:rsidRPr="008C1EC2">
        <w:rPr>
          <w:rFonts w:asciiTheme="minorHAnsi" w:hAnsiTheme="minorHAnsi" w:cstheme="minorHAnsi"/>
          <w:color w:val="000000"/>
          <w:sz w:val="22"/>
          <w:szCs w:val="22"/>
        </w:rPr>
        <w:t xml:space="preserve"> once </w:t>
      </w:r>
      <w:r w:rsidR="003247DC" w:rsidRPr="008C1EC2">
        <w:rPr>
          <w:rFonts w:asciiTheme="minorHAnsi" w:hAnsiTheme="minorHAnsi" w:cstheme="minorHAnsi"/>
          <w:color w:val="000000"/>
          <w:sz w:val="22"/>
          <w:szCs w:val="22"/>
        </w:rPr>
        <w:t xml:space="preserve">he started </w:t>
      </w:r>
      <w:r w:rsidR="00DC078B" w:rsidRPr="008C1EC2">
        <w:rPr>
          <w:rFonts w:asciiTheme="minorHAnsi" w:hAnsiTheme="minorHAnsi" w:cstheme="minorHAnsi"/>
          <w:color w:val="000000"/>
          <w:sz w:val="22"/>
          <w:szCs w:val="22"/>
        </w:rPr>
        <w:t>bottle feeding,</w:t>
      </w:r>
      <w:r w:rsidR="003247DC" w:rsidRPr="008C1EC2">
        <w:rPr>
          <w:rFonts w:asciiTheme="minorHAnsi" w:hAnsiTheme="minorHAnsi" w:cstheme="minorHAnsi"/>
          <w:color w:val="000000"/>
          <w:sz w:val="22"/>
          <w:szCs w:val="22"/>
        </w:rPr>
        <w:t xml:space="preserve"> he achieved</w:t>
      </w:r>
      <w:r w:rsidR="00DC078B" w:rsidRPr="008C1EC2">
        <w:rPr>
          <w:rFonts w:asciiTheme="minorHAnsi" w:hAnsiTheme="minorHAnsi" w:cstheme="minorHAnsi"/>
          <w:color w:val="000000"/>
          <w:sz w:val="22"/>
          <w:szCs w:val="22"/>
        </w:rPr>
        <w:t xml:space="preserve"> satisfactory growth. Motor milestones were met normally, with walking by 1 year </w:t>
      </w:r>
      <w:r w:rsidR="005B2760" w:rsidRPr="008C1EC2">
        <w:rPr>
          <w:rFonts w:asciiTheme="minorHAnsi" w:hAnsiTheme="minorHAnsi" w:cstheme="minorHAnsi"/>
          <w:color w:val="000000"/>
          <w:sz w:val="22"/>
          <w:szCs w:val="22"/>
        </w:rPr>
        <w:t>of age</w:t>
      </w:r>
      <w:r w:rsidR="00DC078B" w:rsidRPr="008C1EC2">
        <w:rPr>
          <w:rFonts w:asciiTheme="minorHAnsi" w:hAnsiTheme="minorHAnsi" w:cstheme="minorHAnsi"/>
          <w:color w:val="000000"/>
          <w:sz w:val="22"/>
          <w:szCs w:val="22"/>
        </w:rPr>
        <w:t>, but speech delay was noted in early childhood; following investigation, conductive hearing loss was detected at 2 years</w:t>
      </w:r>
      <w:r w:rsidR="00E24A87" w:rsidRPr="008C1EC2">
        <w:rPr>
          <w:rFonts w:asciiTheme="minorHAnsi" w:hAnsiTheme="minorHAnsi" w:cstheme="minorHAnsi"/>
          <w:color w:val="000000"/>
          <w:sz w:val="22"/>
          <w:szCs w:val="22"/>
        </w:rPr>
        <w:t xml:space="preserve"> of age</w:t>
      </w:r>
      <w:r w:rsidR="00DC078B" w:rsidRPr="008C1EC2">
        <w:rPr>
          <w:rFonts w:asciiTheme="minorHAnsi" w:hAnsiTheme="minorHAnsi" w:cstheme="minorHAnsi"/>
          <w:color w:val="000000"/>
          <w:sz w:val="22"/>
          <w:szCs w:val="22"/>
        </w:rPr>
        <w:t>.</w:t>
      </w:r>
      <w:r w:rsidR="00B178BB">
        <w:rPr>
          <w:rFonts w:asciiTheme="minorHAnsi" w:hAnsiTheme="minorHAnsi" w:cstheme="minorHAnsi"/>
          <w:color w:val="000000"/>
          <w:sz w:val="22"/>
          <w:szCs w:val="22"/>
        </w:rPr>
        <w:t xml:space="preserve"> </w:t>
      </w:r>
      <w:r w:rsidR="00DC078B" w:rsidRPr="00B178BB">
        <w:rPr>
          <w:rFonts w:asciiTheme="minorHAnsi" w:hAnsiTheme="minorHAnsi" w:cstheme="minorHAnsi"/>
          <w:color w:val="000000"/>
          <w:sz w:val="22"/>
          <w:szCs w:val="22"/>
        </w:rPr>
        <w:t xml:space="preserve">Ear, </w:t>
      </w:r>
      <w:r w:rsidR="003454E4" w:rsidRPr="00B178BB">
        <w:rPr>
          <w:rFonts w:asciiTheme="minorHAnsi" w:hAnsiTheme="minorHAnsi" w:cstheme="minorHAnsi"/>
          <w:color w:val="000000"/>
          <w:sz w:val="22"/>
          <w:szCs w:val="22"/>
        </w:rPr>
        <w:t>n</w:t>
      </w:r>
      <w:r w:rsidR="00DC078B" w:rsidRPr="00B178BB">
        <w:rPr>
          <w:rFonts w:asciiTheme="minorHAnsi" w:hAnsiTheme="minorHAnsi" w:cstheme="minorHAnsi"/>
          <w:color w:val="000000"/>
          <w:sz w:val="22"/>
          <w:szCs w:val="22"/>
        </w:rPr>
        <w:t xml:space="preserve">ose and </w:t>
      </w:r>
      <w:r w:rsidR="003454E4" w:rsidRPr="00B178BB">
        <w:rPr>
          <w:rFonts w:asciiTheme="minorHAnsi" w:hAnsiTheme="minorHAnsi" w:cstheme="minorHAnsi"/>
          <w:color w:val="000000"/>
          <w:sz w:val="22"/>
          <w:szCs w:val="22"/>
        </w:rPr>
        <w:t>t</w:t>
      </w:r>
      <w:r w:rsidR="00DC078B" w:rsidRPr="00B178BB">
        <w:rPr>
          <w:rFonts w:asciiTheme="minorHAnsi" w:hAnsiTheme="minorHAnsi" w:cstheme="minorHAnsi"/>
          <w:color w:val="000000"/>
          <w:sz w:val="22"/>
          <w:szCs w:val="22"/>
        </w:rPr>
        <w:t xml:space="preserve">hroat conditions persisted throughout childhood, including 12 sets of grommets, mastoidectomy following two episodes of cholesteatoma, bilateral hearing aids, and recurrent sinus problems. He also needed </w:t>
      </w:r>
      <w:r w:rsidR="003247DC" w:rsidRPr="00B178BB">
        <w:rPr>
          <w:rFonts w:asciiTheme="minorHAnsi" w:hAnsiTheme="minorHAnsi" w:cstheme="minorHAnsi"/>
          <w:color w:val="000000"/>
          <w:sz w:val="22"/>
          <w:szCs w:val="22"/>
        </w:rPr>
        <w:t>s</w:t>
      </w:r>
      <w:r w:rsidR="00DC078B" w:rsidRPr="00B178BB">
        <w:rPr>
          <w:rFonts w:asciiTheme="minorHAnsi" w:hAnsiTheme="minorHAnsi" w:cstheme="minorHAnsi"/>
          <w:color w:val="000000"/>
          <w:sz w:val="22"/>
          <w:szCs w:val="22"/>
        </w:rPr>
        <w:t xml:space="preserve">peech and </w:t>
      </w:r>
      <w:r w:rsidR="003247DC" w:rsidRPr="00B178BB">
        <w:rPr>
          <w:rFonts w:asciiTheme="minorHAnsi" w:hAnsiTheme="minorHAnsi" w:cstheme="minorHAnsi"/>
          <w:color w:val="000000"/>
          <w:sz w:val="22"/>
          <w:szCs w:val="22"/>
        </w:rPr>
        <w:t>l</w:t>
      </w:r>
      <w:r w:rsidR="00DC078B" w:rsidRPr="00B178BB">
        <w:rPr>
          <w:rFonts w:asciiTheme="minorHAnsi" w:hAnsiTheme="minorHAnsi" w:cstheme="minorHAnsi"/>
          <w:color w:val="000000"/>
          <w:sz w:val="22"/>
          <w:szCs w:val="22"/>
        </w:rPr>
        <w:t>anguag</w:t>
      </w:r>
      <w:r w:rsidR="005B2760" w:rsidRPr="00B178BB">
        <w:rPr>
          <w:rFonts w:asciiTheme="minorHAnsi" w:hAnsiTheme="minorHAnsi" w:cstheme="minorHAnsi"/>
          <w:color w:val="000000"/>
          <w:sz w:val="22"/>
          <w:szCs w:val="22"/>
        </w:rPr>
        <w:t xml:space="preserve">e </w:t>
      </w:r>
      <w:r w:rsidR="003247DC" w:rsidRPr="00B178BB">
        <w:rPr>
          <w:rFonts w:asciiTheme="minorHAnsi" w:hAnsiTheme="minorHAnsi" w:cstheme="minorHAnsi"/>
          <w:color w:val="000000"/>
          <w:sz w:val="22"/>
          <w:szCs w:val="22"/>
        </w:rPr>
        <w:t>t</w:t>
      </w:r>
      <w:r w:rsidR="005B2760" w:rsidRPr="00B178BB">
        <w:rPr>
          <w:rFonts w:asciiTheme="minorHAnsi" w:hAnsiTheme="minorHAnsi" w:cstheme="minorHAnsi"/>
          <w:color w:val="000000"/>
          <w:sz w:val="22"/>
          <w:szCs w:val="22"/>
        </w:rPr>
        <w:t>herapy for many years with concurrent m</w:t>
      </w:r>
      <w:r w:rsidR="00DC078B" w:rsidRPr="00B178BB">
        <w:rPr>
          <w:rFonts w:asciiTheme="minorHAnsi" w:hAnsiTheme="minorHAnsi" w:cstheme="minorHAnsi"/>
          <w:color w:val="000000"/>
          <w:sz w:val="22"/>
          <w:szCs w:val="22"/>
        </w:rPr>
        <w:t xml:space="preserve">ild learning difficulties, for which he attended a special needs school in South Africa. He left education at 17 years and attended night school to obtain further </w:t>
      </w:r>
      <w:r w:rsidR="005B2760" w:rsidRPr="00B178BB">
        <w:rPr>
          <w:rFonts w:asciiTheme="minorHAnsi" w:hAnsiTheme="minorHAnsi" w:cstheme="minorHAnsi"/>
          <w:color w:val="000000"/>
          <w:sz w:val="22"/>
          <w:szCs w:val="22"/>
        </w:rPr>
        <w:t xml:space="preserve">qualifications. He </w:t>
      </w:r>
      <w:r w:rsidR="00CD3916" w:rsidRPr="00B178BB">
        <w:rPr>
          <w:rFonts w:asciiTheme="minorHAnsi" w:hAnsiTheme="minorHAnsi" w:cstheme="minorHAnsi"/>
          <w:color w:val="000000"/>
          <w:sz w:val="22"/>
          <w:szCs w:val="22"/>
        </w:rPr>
        <w:t>is able to live independently.</w:t>
      </w:r>
    </w:p>
    <w:p w14:paraId="77D3E459" w14:textId="0973B40B" w:rsidR="005B1487" w:rsidRDefault="00DC078B" w:rsidP="00B178BB">
      <w:pPr>
        <w:spacing w:after="0" w:line="480" w:lineRule="auto"/>
      </w:pPr>
      <w:r w:rsidRPr="008C1EC2">
        <w:rPr>
          <w:rFonts w:eastAsia="Times New Roman" w:cstheme="minorHAnsi"/>
          <w:color w:val="000000"/>
          <w:lang w:eastAsia="en-GB"/>
        </w:rPr>
        <w:lastRenderedPageBreak/>
        <w:t xml:space="preserve">He was investigated throughout childhood in South Africa for his unusual past medical history, particularly his short stature, and was diagnosed with </w:t>
      </w:r>
      <w:r w:rsidR="001669E4" w:rsidRPr="008C1EC2">
        <w:rPr>
          <w:rFonts w:eastAsia="Times New Roman" w:cstheme="minorHAnsi"/>
          <w:color w:val="000000"/>
          <w:lang w:eastAsia="en-GB"/>
        </w:rPr>
        <w:t>AHO</w:t>
      </w:r>
      <w:r w:rsidR="00A220F1" w:rsidRPr="008C1EC2">
        <w:rPr>
          <w:rFonts w:eastAsia="Times New Roman" w:cstheme="minorHAnsi"/>
          <w:color w:val="000000"/>
          <w:lang w:eastAsia="en-GB"/>
        </w:rPr>
        <w:t xml:space="preserve"> at </w:t>
      </w:r>
      <w:r w:rsidRPr="008C1EC2">
        <w:rPr>
          <w:rFonts w:eastAsia="Times New Roman" w:cstheme="minorHAnsi"/>
          <w:color w:val="000000"/>
          <w:lang w:eastAsia="en-GB"/>
        </w:rPr>
        <w:t>14</w:t>
      </w:r>
      <w:r w:rsidR="00E24A87" w:rsidRPr="008C1EC2">
        <w:rPr>
          <w:rFonts w:eastAsia="Times New Roman" w:cstheme="minorHAnsi"/>
          <w:color w:val="000000"/>
          <w:lang w:eastAsia="en-GB"/>
        </w:rPr>
        <w:t xml:space="preserve"> years of age</w:t>
      </w:r>
      <w:r w:rsidRPr="008C1EC2">
        <w:rPr>
          <w:rFonts w:eastAsia="Times New Roman" w:cstheme="minorHAnsi"/>
          <w:color w:val="000000"/>
          <w:lang w:eastAsia="en-GB"/>
        </w:rPr>
        <w:t xml:space="preserve"> in Durban, South Africa.</w:t>
      </w:r>
      <w:r w:rsidR="00ED7600" w:rsidRPr="008C1EC2">
        <w:rPr>
          <w:rFonts w:eastAsia="Times New Roman" w:cstheme="minorHAnsi"/>
          <w:lang w:eastAsia="en-GB"/>
        </w:rPr>
        <w:t xml:space="preserve"> </w:t>
      </w:r>
      <w:r w:rsidR="00FB1EFF" w:rsidRPr="008C1EC2">
        <w:rPr>
          <w:rFonts w:eastAsia="Times New Roman" w:cstheme="minorHAnsi"/>
          <w:color w:val="000000"/>
          <w:lang w:eastAsia="en-GB"/>
        </w:rPr>
        <w:t>He was also investigated for potential s</w:t>
      </w:r>
      <w:r w:rsidRPr="008C1EC2">
        <w:rPr>
          <w:rFonts w:eastAsia="Times New Roman" w:cstheme="minorHAnsi"/>
          <w:color w:val="000000"/>
          <w:lang w:eastAsia="en-GB"/>
        </w:rPr>
        <w:t>arcoidosis of the lung</w:t>
      </w:r>
      <w:r w:rsidR="00ED7600" w:rsidRPr="008C1EC2">
        <w:rPr>
          <w:rFonts w:eastAsia="Times New Roman" w:cstheme="minorHAnsi"/>
          <w:color w:val="000000"/>
          <w:lang w:eastAsia="en-GB"/>
        </w:rPr>
        <w:t>s in Oxford</w:t>
      </w:r>
      <w:r w:rsidR="003247DC" w:rsidRPr="008C1EC2">
        <w:rPr>
          <w:rFonts w:eastAsia="Times New Roman" w:cstheme="minorHAnsi"/>
          <w:color w:val="000000"/>
          <w:lang w:eastAsia="en-GB"/>
        </w:rPr>
        <w:t>, UK</w:t>
      </w:r>
      <w:r w:rsidR="00ED7600" w:rsidRPr="008C1EC2">
        <w:rPr>
          <w:rFonts w:eastAsia="Times New Roman" w:cstheme="minorHAnsi"/>
          <w:color w:val="000000"/>
          <w:lang w:eastAsia="en-GB"/>
        </w:rPr>
        <w:t xml:space="preserve"> at 43 years of age</w:t>
      </w:r>
      <w:r w:rsidRPr="008C1EC2">
        <w:rPr>
          <w:rFonts w:eastAsia="Times New Roman" w:cstheme="minorHAnsi"/>
          <w:color w:val="000000"/>
          <w:lang w:eastAsia="en-GB"/>
        </w:rPr>
        <w:t xml:space="preserve"> and now has a diagnosis of chronic obstructive pulmonary disease and suffers from a chronic cough. Other </w:t>
      </w:r>
      <w:r w:rsidR="00ED7600" w:rsidRPr="008C1EC2">
        <w:rPr>
          <w:rFonts w:eastAsia="Times New Roman" w:cstheme="minorHAnsi"/>
          <w:color w:val="000000"/>
          <w:lang w:eastAsia="en-GB"/>
        </w:rPr>
        <w:t>history of note included</w:t>
      </w:r>
      <w:r w:rsidRPr="008C1EC2">
        <w:rPr>
          <w:rFonts w:eastAsia="Times New Roman" w:cstheme="minorHAnsi"/>
          <w:color w:val="000000"/>
          <w:lang w:eastAsia="en-GB"/>
        </w:rPr>
        <w:t xml:space="preserve"> a basal cell carcinoma removed from his right leg, L4/5 laminectomy, spinal cyst removal, and gastro-oesophageal reflux disease.</w:t>
      </w:r>
      <w:r w:rsidR="00B178BB">
        <w:rPr>
          <w:rFonts w:eastAsia="Times New Roman" w:cstheme="minorHAnsi"/>
          <w:lang w:eastAsia="en-GB"/>
        </w:rPr>
        <w:t xml:space="preserve"> </w:t>
      </w:r>
      <w:r w:rsidR="005B1487" w:rsidRPr="008C1EC2">
        <w:t xml:space="preserve">Noting a prior diagnosis of AHO, his general practitioner referred him to </w:t>
      </w:r>
      <w:r w:rsidR="005B1487" w:rsidRPr="008C1EC2">
        <w:rPr>
          <w:rFonts w:eastAsia="Times New Roman" w:cstheme="minorHAnsi"/>
          <w:lang w:eastAsia="en-GB"/>
        </w:rPr>
        <w:t xml:space="preserve">Dr Kenneth Poole at </w:t>
      </w:r>
      <w:r w:rsidR="005B1487" w:rsidRPr="008C1EC2">
        <w:t xml:space="preserve">Addenbrooke’s Hospital Rare Bone disease clinic (part of ERBON, the </w:t>
      </w:r>
      <w:r w:rsidR="005B1487" w:rsidRPr="008C1EC2">
        <w:rPr>
          <w:bCs/>
        </w:rPr>
        <w:t>E</w:t>
      </w:r>
      <w:r w:rsidR="005B1487" w:rsidRPr="008C1EC2">
        <w:t xml:space="preserve">ast Anglian </w:t>
      </w:r>
      <w:r w:rsidR="005B1487" w:rsidRPr="008C1EC2">
        <w:rPr>
          <w:bCs/>
        </w:rPr>
        <w:t>R</w:t>
      </w:r>
      <w:r w:rsidR="005B1487" w:rsidRPr="008C1EC2">
        <w:t xml:space="preserve">are </w:t>
      </w:r>
      <w:r w:rsidR="005B1487" w:rsidRPr="008C1EC2">
        <w:rPr>
          <w:bCs/>
        </w:rPr>
        <w:t>BON</w:t>
      </w:r>
      <w:r w:rsidR="005B1487" w:rsidRPr="008C1EC2">
        <w:t>e disease network) for management. He was subsequently referred to the clinical genetics department at 4</w:t>
      </w:r>
      <w:r w:rsidR="00B178BB">
        <w:t xml:space="preserve">4 years for </w:t>
      </w:r>
      <w:r w:rsidR="006C66CA">
        <w:t xml:space="preserve">a </w:t>
      </w:r>
      <w:r w:rsidR="00B178BB">
        <w:t xml:space="preserve">genetic </w:t>
      </w:r>
      <w:r w:rsidR="006C66CA">
        <w:t>assessment</w:t>
      </w:r>
      <w:r w:rsidR="00B178BB">
        <w:t>.</w:t>
      </w:r>
    </w:p>
    <w:p w14:paraId="25C469EA" w14:textId="2EF5B455" w:rsidR="00F62F83" w:rsidRPr="001D1E03" w:rsidRDefault="00DC078B" w:rsidP="00ED1F1B">
      <w:pPr>
        <w:spacing w:after="0" w:line="480" w:lineRule="auto"/>
        <w:rPr>
          <w:rFonts w:eastAsia="Times New Roman" w:cstheme="minorHAnsi"/>
          <w:color w:val="000000"/>
          <w:lang w:eastAsia="en-GB"/>
        </w:rPr>
      </w:pPr>
      <w:r w:rsidRPr="008C1EC2">
        <w:rPr>
          <w:rFonts w:eastAsia="Times New Roman" w:cstheme="minorHAnsi"/>
          <w:color w:val="000000"/>
          <w:lang w:eastAsia="en-GB"/>
        </w:rPr>
        <w:t>On first presentation</w:t>
      </w:r>
      <w:r w:rsidR="00F62F83" w:rsidRPr="008C1EC2">
        <w:rPr>
          <w:rFonts w:eastAsia="Times New Roman" w:cstheme="minorHAnsi"/>
          <w:color w:val="000000"/>
          <w:lang w:eastAsia="en-GB"/>
        </w:rPr>
        <w:t xml:space="preserve">, he was noted to have disproportionate </w:t>
      </w:r>
      <w:r w:rsidR="00CD3916" w:rsidRPr="008C1EC2">
        <w:rPr>
          <w:rFonts w:eastAsia="Times New Roman" w:cstheme="minorHAnsi"/>
          <w:color w:val="000000"/>
          <w:lang w:eastAsia="en-GB"/>
        </w:rPr>
        <w:t xml:space="preserve">short </w:t>
      </w:r>
      <w:r w:rsidR="00F62F83" w:rsidRPr="008C1EC2">
        <w:rPr>
          <w:rFonts w:eastAsia="Times New Roman" w:cstheme="minorHAnsi"/>
          <w:color w:val="000000"/>
          <w:lang w:eastAsia="en-GB"/>
        </w:rPr>
        <w:t xml:space="preserve">stature </w:t>
      </w:r>
      <w:r w:rsidR="00FA1F83">
        <w:rPr>
          <w:rFonts w:eastAsia="Times New Roman" w:cstheme="minorHAnsi"/>
          <w:color w:val="000000"/>
          <w:lang w:eastAsia="en-GB"/>
        </w:rPr>
        <w:t>(</w:t>
      </w:r>
      <w:r w:rsidR="00F62F83" w:rsidRPr="008C1EC2">
        <w:rPr>
          <w:rFonts w:eastAsia="Times New Roman" w:cstheme="minorHAnsi"/>
          <w:color w:val="000000"/>
          <w:lang w:eastAsia="en-GB"/>
        </w:rPr>
        <w:t>height of 163cm; 0.4</w:t>
      </w:r>
      <w:r w:rsidR="00F62F83" w:rsidRPr="008C1EC2">
        <w:rPr>
          <w:rFonts w:eastAsia="Times New Roman" w:cstheme="minorHAnsi"/>
          <w:color w:val="000000"/>
          <w:vertAlign w:val="superscript"/>
          <w:lang w:eastAsia="en-GB"/>
        </w:rPr>
        <w:t>th</w:t>
      </w:r>
      <w:r w:rsidR="00CC5972" w:rsidRPr="008C1EC2">
        <w:rPr>
          <w:rFonts w:eastAsia="Times New Roman" w:cstheme="minorHAnsi"/>
          <w:color w:val="000000"/>
          <w:lang w:eastAsia="en-GB"/>
        </w:rPr>
        <w:t xml:space="preserve"> </w:t>
      </w:r>
      <w:r w:rsidR="00F62F83" w:rsidRPr="008C1EC2">
        <w:rPr>
          <w:rFonts w:eastAsia="Times New Roman" w:cstheme="minorHAnsi"/>
          <w:color w:val="000000"/>
          <w:lang w:eastAsia="en-GB"/>
        </w:rPr>
        <w:t>-</w:t>
      </w:r>
      <w:r w:rsidR="00CC5972" w:rsidRPr="008C1EC2">
        <w:rPr>
          <w:rFonts w:eastAsia="Times New Roman" w:cstheme="minorHAnsi"/>
          <w:color w:val="000000"/>
          <w:lang w:eastAsia="en-GB"/>
        </w:rPr>
        <w:t xml:space="preserve"> </w:t>
      </w:r>
      <w:r w:rsidR="00F62F83" w:rsidRPr="008C1EC2">
        <w:rPr>
          <w:rFonts w:eastAsia="Times New Roman" w:cstheme="minorHAnsi"/>
          <w:color w:val="000000"/>
          <w:lang w:eastAsia="en-GB"/>
        </w:rPr>
        <w:t>2</w:t>
      </w:r>
      <w:r w:rsidR="00F62F83" w:rsidRPr="008C1EC2">
        <w:rPr>
          <w:rFonts w:eastAsia="Times New Roman" w:cstheme="minorHAnsi"/>
          <w:color w:val="000000"/>
          <w:vertAlign w:val="superscript"/>
          <w:lang w:eastAsia="en-GB"/>
        </w:rPr>
        <w:t>nd</w:t>
      </w:r>
      <w:r w:rsidR="00F62F83" w:rsidRPr="008C1EC2">
        <w:rPr>
          <w:rFonts w:eastAsia="Times New Roman" w:cstheme="minorHAnsi"/>
          <w:color w:val="000000"/>
          <w:lang w:eastAsia="en-GB"/>
        </w:rPr>
        <w:t xml:space="preserve"> centile</w:t>
      </w:r>
      <w:r w:rsidR="00FA1F83">
        <w:rPr>
          <w:rFonts w:eastAsia="Times New Roman" w:cstheme="minorHAnsi"/>
          <w:color w:val="000000"/>
          <w:lang w:eastAsia="en-GB"/>
        </w:rPr>
        <w:t>)</w:t>
      </w:r>
      <w:r w:rsidR="00E76D04" w:rsidRPr="008C1EC2">
        <w:rPr>
          <w:rFonts w:eastAsia="Times New Roman" w:cstheme="minorHAnsi"/>
          <w:color w:val="000000"/>
          <w:lang w:eastAsia="en-GB"/>
        </w:rPr>
        <w:t xml:space="preserve"> </w:t>
      </w:r>
      <w:r w:rsidR="00E76D04" w:rsidRPr="008C1EC2">
        <w:rPr>
          <w:rFonts w:eastAsia="Times New Roman" w:cstheme="minorHAnsi"/>
          <w:color w:val="000000"/>
          <w:lang w:eastAsia="en-GB"/>
        </w:rPr>
        <w:fldChar w:fldCharType="begin" w:fldLock="1"/>
      </w:r>
      <w:r w:rsidR="00E76D04" w:rsidRPr="008C1EC2">
        <w:rPr>
          <w:rFonts w:eastAsia="Times New Roman" w:cstheme="minorHAnsi"/>
          <w:color w:val="000000"/>
          <w:lang w:eastAsia="en-GB"/>
        </w:rPr>
        <w:instrText>ADDIN CSL_CITATION {"citationItems":[{"id":"ITEM-1","itemData":{"ISSN":"1468-2044","PMID":"7639543","abstract":"The current reference curves of stature and weight for the UK were first published in 1966 and have been used ever since despite increasing concern that they may not adequately describe the growth of present day British children. Using current data from seven sources new reference curves have been estimated from birth to 20 years for children in 1990. The great majority of the data are nationally representative. The analysis used Cole's LMS method and has produced efficient estimates of the conventional centiles and gives a good fit to the data. These curves differ from the currently used curves at key ages for both stature and weight. In view of the concerns expressed about the current curves and the differences between them and the new curves, it is proposed that the curves presented here should be adopted as the new UK reference curves.","author":[{"dropping-particle":"V","family":"Freeman","given":"J","non-dropping-particle":"","parse-names":false,"suffix":""},{"dropping-particle":"","family":"Cole","given":"T J","non-dropping-particle":"","parse-names":false,"suffix":""},{"dropping-particle":"","family":"Chinn","given":"S","non-dropping-particle":"","parse-names":false,"suffix":""},{"dropping-particle":"","family":"Jones","given":"P R","non-dropping-particle":"","parse-names":false,"suffix":""},{"dropping-particle":"","family":"White","given":"E M","non-dropping-particle":"","parse-names":false,"suffix":""},{"dropping-particle":"","family":"Preece","given":"M A","non-dropping-particle":"","parse-names":false,"suffix":""}],"container-title":"Archives of disease in childhood","id":"ITEM-1","issue":"1","issued":{"date-parts":[["1995","7"]]},"page":"17-24","title":"Cross sectional stature and weight reference curves for the UK, 1990.","type":"article-journal","volume":"73"},"uris":["http://www.mendeley.com/documents/?uuid=d85aa89e-b50e-311b-8b81-09799c2121f3"]}],"mendeley":{"formattedCitation":"(Freeman et al., 1995)","plainTextFormattedCitation":"(Freeman et al., 1995)","previouslyFormattedCitation":"(Freeman et al., 1995)"},"properties":{"noteIndex":0},"schema":"https://github.com/citation-style-language/schema/raw/master/csl-citation.json"}</w:instrText>
      </w:r>
      <w:r w:rsidR="00E76D04" w:rsidRPr="008C1EC2">
        <w:rPr>
          <w:rFonts w:eastAsia="Times New Roman" w:cstheme="minorHAnsi"/>
          <w:color w:val="000000"/>
          <w:lang w:eastAsia="en-GB"/>
        </w:rPr>
        <w:fldChar w:fldCharType="separate"/>
      </w:r>
      <w:r w:rsidR="00E76D04" w:rsidRPr="008C1EC2">
        <w:rPr>
          <w:rFonts w:eastAsia="Times New Roman" w:cstheme="minorHAnsi"/>
          <w:noProof/>
          <w:color w:val="000000"/>
          <w:lang w:eastAsia="en-GB"/>
        </w:rPr>
        <w:t>(Freeman et al., 1995)</w:t>
      </w:r>
      <w:r w:rsidR="00E76D04" w:rsidRPr="008C1EC2">
        <w:rPr>
          <w:rFonts w:eastAsia="Times New Roman" w:cstheme="minorHAnsi"/>
          <w:color w:val="000000"/>
          <w:lang w:eastAsia="en-GB"/>
        </w:rPr>
        <w:fldChar w:fldCharType="end"/>
      </w:r>
      <w:r w:rsidR="004839D4">
        <w:rPr>
          <w:rFonts w:eastAsia="Times New Roman" w:cstheme="minorHAnsi"/>
          <w:color w:val="000000"/>
          <w:lang w:eastAsia="en-GB"/>
        </w:rPr>
        <w:t>]</w:t>
      </w:r>
      <w:r w:rsidR="00F62F83" w:rsidRPr="008C1EC2">
        <w:rPr>
          <w:rFonts w:eastAsia="Times New Roman" w:cstheme="minorHAnsi"/>
          <w:color w:val="000000"/>
          <w:lang w:eastAsia="en-GB"/>
        </w:rPr>
        <w:t xml:space="preserve"> with relatively long trunk and short limbs</w:t>
      </w:r>
      <w:r w:rsidR="00091E90">
        <w:rPr>
          <w:rFonts w:eastAsia="Times New Roman" w:cstheme="minorHAnsi"/>
          <w:color w:val="000000"/>
          <w:lang w:eastAsia="en-GB"/>
        </w:rPr>
        <w:t xml:space="preserve"> (Figure </w:t>
      </w:r>
      <w:r w:rsidR="00083597" w:rsidRPr="008C1EC2">
        <w:rPr>
          <w:rFonts w:eastAsia="Times New Roman" w:cstheme="minorHAnsi"/>
          <w:color w:val="000000"/>
          <w:lang w:eastAsia="en-GB"/>
        </w:rPr>
        <w:t>2)</w:t>
      </w:r>
      <w:r w:rsidR="00F62F83" w:rsidRPr="008C1EC2">
        <w:rPr>
          <w:rFonts w:eastAsia="Times New Roman" w:cstheme="minorHAnsi"/>
          <w:color w:val="000000"/>
          <w:lang w:eastAsia="en-GB"/>
        </w:rPr>
        <w:t xml:space="preserve">. His occipitofrontal circumference was 58cm </w:t>
      </w:r>
      <w:r w:rsidR="004839D4">
        <w:rPr>
          <w:rFonts w:eastAsia="Times New Roman" w:cstheme="minorHAnsi"/>
          <w:color w:val="000000"/>
          <w:lang w:eastAsia="en-GB"/>
        </w:rPr>
        <w:t>[</w:t>
      </w:r>
      <w:r w:rsidR="00FA1F83">
        <w:rPr>
          <w:rFonts w:eastAsia="Times New Roman" w:cstheme="minorHAnsi"/>
          <w:color w:val="000000"/>
          <w:lang w:eastAsia="en-GB"/>
        </w:rPr>
        <w:t>(</w:t>
      </w:r>
      <w:r w:rsidR="00F62F83" w:rsidRPr="008C1EC2">
        <w:rPr>
          <w:rFonts w:eastAsia="Times New Roman" w:cstheme="minorHAnsi"/>
          <w:color w:val="000000"/>
          <w:lang w:eastAsia="en-GB"/>
        </w:rPr>
        <w:t>75</w:t>
      </w:r>
      <w:r w:rsidR="00F62F83" w:rsidRPr="008C1EC2">
        <w:rPr>
          <w:rFonts w:eastAsia="Times New Roman" w:cstheme="minorHAnsi"/>
          <w:color w:val="000000"/>
          <w:vertAlign w:val="superscript"/>
          <w:lang w:eastAsia="en-GB"/>
        </w:rPr>
        <w:t>th</w:t>
      </w:r>
      <w:r w:rsidR="00CC5972" w:rsidRPr="008C1EC2">
        <w:rPr>
          <w:rFonts w:eastAsia="Times New Roman" w:cstheme="minorHAnsi"/>
          <w:color w:val="000000"/>
          <w:lang w:eastAsia="en-GB"/>
        </w:rPr>
        <w:t xml:space="preserve"> </w:t>
      </w:r>
      <w:r w:rsidR="00F62F83" w:rsidRPr="008C1EC2">
        <w:rPr>
          <w:rFonts w:eastAsia="Times New Roman" w:cstheme="minorHAnsi"/>
          <w:color w:val="000000"/>
          <w:lang w:eastAsia="en-GB"/>
        </w:rPr>
        <w:t>-</w:t>
      </w:r>
      <w:r w:rsidR="00CC5972" w:rsidRPr="008C1EC2">
        <w:rPr>
          <w:rFonts w:eastAsia="Times New Roman" w:cstheme="minorHAnsi"/>
          <w:color w:val="000000"/>
          <w:lang w:eastAsia="en-GB"/>
        </w:rPr>
        <w:t xml:space="preserve"> </w:t>
      </w:r>
      <w:r w:rsidR="00F62F83" w:rsidRPr="008C1EC2">
        <w:rPr>
          <w:rFonts w:eastAsia="Times New Roman" w:cstheme="minorHAnsi"/>
          <w:color w:val="000000"/>
          <w:lang w:eastAsia="en-GB"/>
        </w:rPr>
        <w:t>90</w:t>
      </w:r>
      <w:r w:rsidR="00F62F83" w:rsidRPr="008C1EC2">
        <w:rPr>
          <w:rFonts w:eastAsia="Times New Roman" w:cstheme="minorHAnsi"/>
          <w:color w:val="000000"/>
          <w:vertAlign w:val="superscript"/>
          <w:lang w:eastAsia="en-GB"/>
        </w:rPr>
        <w:t>th</w:t>
      </w:r>
      <w:r w:rsidR="00F62F83" w:rsidRPr="008C1EC2">
        <w:rPr>
          <w:rFonts w:eastAsia="Times New Roman" w:cstheme="minorHAnsi"/>
          <w:color w:val="000000"/>
          <w:lang w:eastAsia="en-GB"/>
        </w:rPr>
        <w:t xml:space="preserve"> centile</w:t>
      </w:r>
      <w:r w:rsidR="00FA1F83">
        <w:rPr>
          <w:rFonts w:eastAsia="Times New Roman" w:cstheme="minorHAnsi"/>
          <w:color w:val="000000"/>
          <w:lang w:eastAsia="en-GB"/>
        </w:rPr>
        <w:t>)</w:t>
      </w:r>
      <w:r w:rsidR="00E76D04" w:rsidRPr="008C1EC2">
        <w:rPr>
          <w:rFonts w:eastAsia="Times New Roman" w:cstheme="minorHAnsi"/>
          <w:color w:val="000000"/>
          <w:lang w:eastAsia="en-GB"/>
        </w:rPr>
        <w:t xml:space="preserve"> </w:t>
      </w:r>
      <w:r w:rsidR="00E76D04" w:rsidRPr="008C1EC2">
        <w:rPr>
          <w:rFonts w:eastAsia="Times New Roman" w:cstheme="minorHAnsi"/>
          <w:color w:val="000000"/>
          <w:lang w:eastAsia="en-GB"/>
        </w:rPr>
        <w:fldChar w:fldCharType="begin" w:fldLock="1"/>
      </w:r>
      <w:r w:rsidR="00E76D04" w:rsidRPr="008C1EC2">
        <w:rPr>
          <w:rFonts w:eastAsia="Times New Roman" w:cstheme="minorHAnsi"/>
          <w:color w:val="000000"/>
          <w:lang w:eastAsia="en-GB"/>
        </w:rPr>
        <w:instrText>ADDIN CSL_CITATION {"citationItems":[{"id":"ITEM-1","itemData":{"ISSN":"1468-2044","PMID":"1444530","abstract":"Reference range for head circumference on the Tanner charts do not go beyond age 16. In this study the head circumference and heights of 354 adults in two British centres were measured. The centile charts constructed from these measurements show that adult head circumference is related to height. The mean head circumference of a male of average height is above the 97th centile for a 16 year old on the Tanner charts. The paediatric charts are therefore inappropriate for use in adult males.","author":[{"dropping-particle":"","family":"Bushby","given":"K M","non-dropping-particle":"","parse-names":false,"suffix":""},{"dropping-particle":"","family":"Cole","given":"T","non-dropping-particle":"","parse-names":false,"suffix":""},{"dropping-particle":"","family":"Matthews","given":"J N","non-dropping-particle":"","parse-names":false,"suffix":""},{"dropping-particle":"","family":"Goodship","given":"J A","non-dropping-particle":"","parse-names":false,"suffix":""}],"container-title":"Archives of disease in childhood","id":"ITEM-1","issue":"10","issued":{"date-parts":[["1992","10"]]},"page":"1286-7","title":"Centiles for adult head circumference.","type":"article-journal","volume":"67"},"uris":["http://www.mendeley.com/documents/?uuid=cfe2b981-e9af-363b-9613-796ed89c5d51"]}],"mendeley":{"formattedCitation":"(Bushby et al., 1992)","plainTextFormattedCitation":"(Bushby et al., 1992)","previouslyFormattedCitation":"(Bushby et al., 1992)"},"properties":{"noteIndex":0},"schema":"https://github.com/citation-style-language/schema/raw/master/csl-citation.json"}</w:instrText>
      </w:r>
      <w:r w:rsidR="00E76D04" w:rsidRPr="008C1EC2">
        <w:rPr>
          <w:rFonts w:eastAsia="Times New Roman" w:cstheme="minorHAnsi"/>
          <w:color w:val="000000"/>
          <w:lang w:eastAsia="en-GB"/>
        </w:rPr>
        <w:fldChar w:fldCharType="separate"/>
      </w:r>
      <w:r w:rsidR="00E76D04" w:rsidRPr="008C1EC2">
        <w:rPr>
          <w:rFonts w:eastAsia="Times New Roman" w:cstheme="minorHAnsi"/>
          <w:noProof/>
          <w:color w:val="000000"/>
          <w:lang w:eastAsia="en-GB"/>
        </w:rPr>
        <w:t>(Bushby et al., 1992)</w:t>
      </w:r>
      <w:r w:rsidR="00E76D04" w:rsidRPr="008C1EC2">
        <w:rPr>
          <w:rFonts w:eastAsia="Times New Roman" w:cstheme="minorHAnsi"/>
          <w:color w:val="000000"/>
          <w:lang w:eastAsia="en-GB"/>
        </w:rPr>
        <w:fldChar w:fldCharType="end"/>
      </w:r>
      <w:r w:rsidR="004839D4">
        <w:rPr>
          <w:rFonts w:eastAsia="Times New Roman" w:cstheme="minorHAnsi"/>
          <w:color w:val="000000"/>
          <w:lang w:eastAsia="en-GB"/>
        </w:rPr>
        <w:t>]</w:t>
      </w:r>
      <w:r w:rsidR="00F62F83" w:rsidRPr="008C1EC2">
        <w:rPr>
          <w:rFonts w:eastAsia="Times New Roman" w:cstheme="minorHAnsi"/>
          <w:color w:val="000000"/>
          <w:lang w:eastAsia="en-GB"/>
        </w:rPr>
        <w:t xml:space="preserve"> showing a relative macrocephaly. W</w:t>
      </w:r>
      <w:r w:rsidRPr="008C1EC2">
        <w:rPr>
          <w:rFonts w:eastAsia="Times New Roman" w:cstheme="minorHAnsi"/>
          <w:color w:val="000000"/>
          <w:lang w:eastAsia="en-GB"/>
        </w:rPr>
        <w:t>eight was 83kg</w:t>
      </w:r>
      <w:r w:rsidR="008E7C90" w:rsidRPr="008C1EC2">
        <w:rPr>
          <w:rFonts w:eastAsia="Times New Roman" w:cstheme="minorHAnsi"/>
          <w:color w:val="000000"/>
          <w:lang w:eastAsia="en-GB"/>
        </w:rPr>
        <w:t xml:space="preserve"> with centripetal obesity (</w:t>
      </w:r>
      <w:r w:rsidR="00F62F83" w:rsidRPr="008C1EC2">
        <w:rPr>
          <w:rFonts w:eastAsia="Times New Roman" w:cstheme="minorHAnsi"/>
          <w:color w:val="000000"/>
          <w:lang w:eastAsia="en-GB"/>
        </w:rPr>
        <w:t xml:space="preserve">body mass index </w:t>
      </w:r>
      <w:r w:rsidR="008E7C90" w:rsidRPr="008C1EC2">
        <w:rPr>
          <w:rFonts w:eastAsia="Times New Roman" w:cstheme="minorHAnsi"/>
          <w:color w:val="000000"/>
          <w:lang w:eastAsia="en-GB"/>
        </w:rPr>
        <w:t>of</w:t>
      </w:r>
      <w:r w:rsidR="00F62F83" w:rsidRPr="008C1EC2">
        <w:rPr>
          <w:rFonts w:eastAsia="Times New Roman" w:cstheme="minorHAnsi"/>
          <w:color w:val="000000"/>
          <w:lang w:eastAsia="en-GB"/>
        </w:rPr>
        <w:t xml:space="preserve"> 31.2</w:t>
      </w:r>
      <w:r w:rsidR="008E7C90" w:rsidRPr="008C1EC2">
        <w:rPr>
          <w:rFonts w:eastAsia="Times New Roman" w:cstheme="minorHAnsi"/>
          <w:color w:val="000000"/>
          <w:lang w:eastAsia="en-GB"/>
        </w:rPr>
        <w:t>)</w:t>
      </w:r>
      <w:r w:rsidR="00083597" w:rsidRPr="008C1EC2">
        <w:rPr>
          <w:rFonts w:eastAsia="Times New Roman" w:cstheme="minorHAnsi"/>
          <w:color w:val="000000"/>
          <w:lang w:eastAsia="en-GB"/>
        </w:rPr>
        <w:t xml:space="preserve">. He had round facies with full cheeks, short nose with broad nasal bridge, thin upper lip, and a high palate. </w:t>
      </w:r>
      <w:r w:rsidR="00F62F83" w:rsidRPr="008C1EC2">
        <w:rPr>
          <w:rFonts w:eastAsia="Times New Roman" w:cstheme="minorHAnsi"/>
          <w:color w:val="000000"/>
          <w:lang w:eastAsia="en-GB"/>
        </w:rPr>
        <w:t xml:space="preserve">On peripheral </w:t>
      </w:r>
      <w:r w:rsidR="00083597" w:rsidRPr="008C1EC2">
        <w:rPr>
          <w:rFonts w:eastAsia="Times New Roman" w:cstheme="minorHAnsi"/>
          <w:color w:val="000000"/>
          <w:lang w:eastAsia="en-GB"/>
        </w:rPr>
        <w:t xml:space="preserve">limb </w:t>
      </w:r>
      <w:r w:rsidR="00F62F83" w:rsidRPr="008C1EC2">
        <w:rPr>
          <w:rFonts w:eastAsia="Times New Roman" w:cstheme="minorHAnsi"/>
          <w:color w:val="000000"/>
          <w:lang w:eastAsia="en-GB"/>
        </w:rPr>
        <w:t>examination, there was marked brachydactyly in his hands and feet with particularly short distal phalanges and metacarpals and metatarsals</w:t>
      </w:r>
      <w:r w:rsidR="00770B48" w:rsidRPr="008C1EC2">
        <w:rPr>
          <w:rFonts w:eastAsia="Times New Roman" w:cstheme="minorHAnsi"/>
          <w:color w:val="000000"/>
          <w:lang w:eastAsia="en-GB"/>
        </w:rPr>
        <w:t xml:space="preserve"> (Figure 2)</w:t>
      </w:r>
      <w:r w:rsidR="00083597" w:rsidRPr="008C1EC2">
        <w:rPr>
          <w:rFonts w:eastAsia="Times New Roman" w:cstheme="minorHAnsi"/>
          <w:color w:val="000000"/>
          <w:lang w:eastAsia="en-GB"/>
        </w:rPr>
        <w:t>.</w:t>
      </w:r>
      <w:r w:rsidR="001D1E03">
        <w:rPr>
          <w:rFonts w:eastAsia="Times New Roman" w:cstheme="minorHAnsi"/>
          <w:color w:val="000000"/>
          <w:lang w:eastAsia="en-GB"/>
        </w:rPr>
        <w:t xml:space="preserve"> He had a </w:t>
      </w:r>
      <w:r w:rsidR="001D1E03" w:rsidRPr="005C5A77">
        <w:rPr>
          <w:rFonts w:eastAsia="Times New Roman" w:cs="Arial"/>
          <w:highlight w:val="white"/>
          <w:shd w:val="clear" w:color="auto" w:fill="FEFEFE"/>
        </w:rPr>
        <w:t>1cm diameter area of gritt</w:t>
      </w:r>
      <w:r w:rsidR="001D1E03">
        <w:rPr>
          <w:rFonts w:eastAsia="Times New Roman" w:cs="Arial"/>
          <w:highlight w:val="white"/>
          <w:shd w:val="clear" w:color="auto" w:fill="FEFEFE"/>
        </w:rPr>
        <w:t xml:space="preserve">y calcification </w:t>
      </w:r>
      <w:r w:rsidR="001D1E03" w:rsidRPr="005C5A77">
        <w:rPr>
          <w:rFonts w:eastAsia="Times New Roman" w:cs="Arial"/>
          <w:highlight w:val="white"/>
          <w:shd w:val="clear" w:color="auto" w:fill="FEFEFE"/>
        </w:rPr>
        <w:t xml:space="preserve">over </w:t>
      </w:r>
      <w:r w:rsidR="001D1E03">
        <w:rPr>
          <w:rFonts w:eastAsia="Times New Roman" w:cs="Arial"/>
          <w:highlight w:val="white"/>
          <w:shd w:val="clear" w:color="auto" w:fill="FEFEFE"/>
        </w:rPr>
        <w:t xml:space="preserve">the </w:t>
      </w:r>
      <w:r w:rsidR="001D1E03" w:rsidRPr="005C5A77">
        <w:rPr>
          <w:rFonts w:eastAsia="Times New Roman" w:cs="Arial"/>
          <w:highlight w:val="white"/>
          <w:shd w:val="clear" w:color="auto" w:fill="FEFEFE"/>
        </w:rPr>
        <w:t xml:space="preserve">lateral </w:t>
      </w:r>
      <w:r w:rsidR="001D1E03">
        <w:rPr>
          <w:rFonts w:eastAsia="Times New Roman" w:cs="Arial"/>
          <w:highlight w:val="white"/>
          <w:shd w:val="clear" w:color="auto" w:fill="FEFEFE"/>
        </w:rPr>
        <w:t xml:space="preserve">side </w:t>
      </w:r>
      <w:r w:rsidR="001D1E03" w:rsidRPr="005C5A77">
        <w:rPr>
          <w:rFonts w:eastAsia="Times New Roman" w:cs="Arial"/>
          <w:highlight w:val="white"/>
          <w:shd w:val="clear" w:color="auto" w:fill="FEFEFE"/>
        </w:rPr>
        <w:t xml:space="preserve">of </w:t>
      </w:r>
      <w:r w:rsidR="001D1E03">
        <w:rPr>
          <w:rFonts w:eastAsia="Times New Roman" w:cs="Arial"/>
          <w:highlight w:val="white"/>
          <w:shd w:val="clear" w:color="auto" w:fill="FEFEFE"/>
        </w:rPr>
        <w:t xml:space="preserve">the </w:t>
      </w:r>
      <w:r w:rsidR="001D1E03" w:rsidRPr="005C5A77">
        <w:rPr>
          <w:rFonts w:eastAsia="Times New Roman" w:cs="Arial"/>
          <w:highlight w:val="white"/>
          <w:shd w:val="clear" w:color="auto" w:fill="FEFEFE"/>
        </w:rPr>
        <w:t xml:space="preserve">dorsum of </w:t>
      </w:r>
      <w:r w:rsidR="001D1E03">
        <w:rPr>
          <w:rFonts w:eastAsia="Times New Roman" w:cs="Arial"/>
          <w:highlight w:val="white"/>
          <w:shd w:val="clear" w:color="auto" w:fill="FEFEFE"/>
        </w:rPr>
        <w:t xml:space="preserve">his </w:t>
      </w:r>
      <w:r w:rsidR="001D1E03" w:rsidRPr="005C5A77">
        <w:rPr>
          <w:rFonts w:eastAsia="Times New Roman" w:cs="Arial"/>
          <w:highlight w:val="white"/>
          <w:shd w:val="clear" w:color="auto" w:fill="FEFEFE"/>
        </w:rPr>
        <w:t>proximal right hallux</w:t>
      </w:r>
      <w:r w:rsidR="006724C2">
        <w:rPr>
          <w:rFonts w:eastAsia="Times New Roman" w:cs="Arial"/>
          <w:shd w:val="clear" w:color="auto" w:fill="FEFEFE"/>
        </w:rPr>
        <w:t>.</w:t>
      </w:r>
    </w:p>
    <w:p w14:paraId="06992409" w14:textId="1A272260" w:rsidR="00515C0C" w:rsidRPr="008C1EC2" w:rsidRDefault="00420080" w:rsidP="00ED1F1B">
      <w:pPr>
        <w:spacing w:after="0" w:line="480" w:lineRule="auto"/>
        <w:rPr>
          <w:rFonts w:eastAsia="Times New Roman" w:cstheme="minorHAnsi"/>
          <w:color w:val="000000"/>
          <w:lang w:eastAsia="en-GB"/>
        </w:rPr>
      </w:pPr>
      <w:r w:rsidRPr="008C1EC2">
        <w:rPr>
          <w:rFonts w:eastAsia="Times New Roman" w:cstheme="minorHAnsi"/>
          <w:color w:val="000000"/>
          <w:lang w:eastAsia="en-GB"/>
        </w:rPr>
        <w:t xml:space="preserve">Biochemical investigations were </w:t>
      </w:r>
      <w:r w:rsidR="00515C0C" w:rsidRPr="008C1EC2">
        <w:rPr>
          <w:rFonts w:eastAsia="Times New Roman" w:cstheme="minorHAnsi"/>
          <w:color w:val="000000"/>
          <w:lang w:eastAsia="en-GB"/>
        </w:rPr>
        <w:t>suggestive of resistance</w:t>
      </w:r>
      <w:r w:rsidR="000F0D29" w:rsidRPr="008C1EC2">
        <w:rPr>
          <w:rFonts w:eastAsia="Times New Roman" w:cstheme="minorHAnsi"/>
          <w:color w:val="000000"/>
          <w:lang w:eastAsia="en-GB"/>
        </w:rPr>
        <w:t xml:space="preserve"> to PTH</w:t>
      </w:r>
      <w:r w:rsidR="00334D6C" w:rsidRPr="008C1EC2">
        <w:rPr>
          <w:rFonts w:eastAsia="Times New Roman" w:cstheme="minorHAnsi"/>
          <w:color w:val="000000"/>
          <w:lang w:eastAsia="en-GB"/>
        </w:rPr>
        <w:t>,</w:t>
      </w:r>
      <w:r w:rsidR="00DC078B" w:rsidRPr="008C1EC2">
        <w:rPr>
          <w:rFonts w:eastAsia="Times New Roman" w:cstheme="minorHAnsi"/>
          <w:color w:val="000000"/>
          <w:lang w:eastAsia="en-GB"/>
        </w:rPr>
        <w:t xml:space="preserve"> with </w:t>
      </w:r>
      <w:r w:rsidR="00E24A87" w:rsidRPr="008C1EC2">
        <w:rPr>
          <w:rFonts w:eastAsia="Times New Roman" w:cstheme="minorHAnsi"/>
          <w:color w:val="000000"/>
          <w:lang w:eastAsia="en-GB"/>
        </w:rPr>
        <w:t>sequential raised</w:t>
      </w:r>
      <w:r w:rsidR="000F0D29" w:rsidRPr="008C1EC2">
        <w:rPr>
          <w:rFonts w:eastAsia="Times New Roman" w:cstheme="minorHAnsi"/>
          <w:color w:val="000000"/>
          <w:lang w:eastAsia="en-GB"/>
        </w:rPr>
        <w:t xml:space="preserve"> </w:t>
      </w:r>
      <w:r w:rsidR="00FC00F3" w:rsidRPr="008C1EC2">
        <w:rPr>
          <w:rFonts w:eastAsia="Times New Roman" w:cstheme="minorHAnsi"/>
          <w:color w:val="000000"/>
          <w:lang w:eastAsia="en-GB"/>
        </w:rPr>
        <w:t>serum</w:t>
      </w:r>
      <w:r w:rsidR="003247DC" w:rsidRPr="008C1EC2">
        <w:rPr>
          <w:rFonts w:eastAsia="Times New Roman" w:cstheme="minorHAnsi"/>
          <w:color w:val="000000"/>
          <w:lang w:eastAsia="en-GB"/>
        </w:rPr>
        <w:t xml:space="preserve"> </w:t>
      </w:r>
      <w:r w:rsidR="00DC078B" w:rsidRPr="008C1EC2">
        <w:rPr>
          <w:rFonts w:eastAsia="Times New Roman" w:cstheme="minorHAnsi"/>
          <w:color w:val="000000"/>
          <w:lang w:eastAsia="en-GB"/>
        </w:rPr>
        <w:t>PTH of</w:t>
      </w:r>
      <w:r w:rsidR="00DC078B" w:rsidRPr="008C1EC2">
        <w:rPr>
          <w:rFonts w:eastAsia="Times New Roman" w:cstheme="minorHAnsi"/>
          <w:i/>
          <w:iCs/>
          <w:color w:val="000000"/>
          <w:lang w:eastAsia="en-GB"/>
        </w:rPr>
        <w:t xml:space="preserve"> </w:t>
      </w:r>
      <w:r w:rsidR="00DC078B" w:rsidRPr="008C1EC2">
        <w:rPr>
          <w:rFonts w:eastAsia="Times New Roman" w:cstheme="minorHAnsi"/>
          <w:color w:val="000000"/>
          <w:lang w:eastAsia="en-GB"/>
        </w:rPr>
        <w:t xml:space="preserve">37.84 pmol/L and 21.94 pmol/L (normal range 1.48 - 7.63), </w:t>
      </w:r>
      <w:r w:rsidR="006C66CA">
        <w:rPr>
          <w:rFonts w:eastAsia="Times New Roman" w:cstheme="minorHAnsi"/>
          <w:color w:val="000000"/>
          <w:lang w:eastAsia="en-GB"/>
        </w:rPr>
        <w:t xml:space="preserve">normal </w:t>
      </w:r>
      <w:r w:rsidR="00DC078B" w:rsidRPr="008C1EC2">
        <w:rPr>
          <w:rFonts w:eastAsia="Times New Roman" w:cstheme="minorHAnsi"/>
          <w:color w:val="000000"/>
          <w:lang w:eastAsia="en-GB"/>
        </w:rPr>
        <w:t xml:space="preserve">corrected </w:t>
      </w:r>
      <w:r w:rsidR="00704745" w:rsidRPr="008C1EC2">
        <w:rPr>
          <w:rFonts w:eastAsia="Times New Roman" w:cstheme="minorHAnsi"/>
          <w:color w:val="000000"/>
          <w:lang w:eastAsia="en-GB"/>
        </w:rPr>
        <w:t xml:space="preserve">serum </w:t>
      </w:r>
      <w:r w:rsidR="00DC078B" w:rsidRPr="008C1EC2">
        <w:rPr>
          <w:rFonts w:eastAsia="Times New Roman" w:cstheme="minorHAnsi"/>
          <w:color w:val="000000"/>
          <w:lang w:eastAsia="en-GB"/>
        </w:rPr>
        <w:t>calcium of 2.4 mmol/L and 2.32 mmol/L (normal range 2.2 - 2.6) and</w:t>
      </w:r>
      <w:r w:rsidR="00704745" w:rsidRPr="008C1EC2">
        <w:rPr>
          <w:rFonts w:eastAsia="Times New Roman" w:cstheme="minorHAnsi"/>
          <w:color w:val="000000"/>
          <w:lang w:eastAsia="en-GB"/>
        </w:rPr>
        <w:t xml:space="preserve"> serum</w:t>
      </w:r>
      <w:r w:rsidR="00DC078B" w:rsidRPr="008C1EC2">
        <w:rPr>
          <w:rFonts w:eastAsia="Times New Roman" w:cstheme="minorHAnsi"/>
          <w:color w:val="000000"/>
          <w:lang w:eastAsia="en-GB"/>
        </w:rPr>
        <w:t xml:space="preserve"> phosphate of 1.05 mmol/L and 0.98 mmol/L (normal range 0.8 - 1.5). </w:t>
      </w:r>
      <w:r w:rsidR="001D1E03">
        <w:rPr>
          <w:rFonts w:eastAsia="Times New Roman" w:cstheme="minorHAnsi"/>
          <w:color w:val="000000"/>
          <w:lang w:eastAsia="en-GB"/>
        </w:rPr>
        <w:t xml:space="preserve">He was vitamin D replete. </w:t>
      </w:r>
      <w:r w:rsidR="00DC078B" w:rsidRPr="008C1EC2">
        <w:rPr>
          <w:rFonts w:eastAsia="Times New Roman" w:cstheme="minorHAnsi"/>
          <w:color w:val="000000"/>
          <w:lang w:eastAsia="en-GB"/>
        </w:rPr>
        <w:t>No other hormone abnormalities were detected</w:t>
      </w:r>
      <w:r w:rsidR="003347B3" w:rsidRPr="008C1EC2">
        <w:rPr>
          <w:rFonts w:eastAsia="Times New Roman" w:cstheme="minorHAnsi"/>
          <w:color w:val="000000"/>
          <w:lang w:eastAsia="en-GB"/>
        </w:rPr>
        <w:t xml:space="preserve"> apart from marginally elevated </w:t>
      </w:r>
      <w:r w:rsidR="00FC00F3" w:rsidRPr="008C1EC2">
        <w:rPr>
          <w:rFonts w:eastAsia="Times New Roman" w:cstheme="minorHAnsi"/>
          <w:color w:val="000000"/>
          <w:lang w:eastAsia="en-GB"/>
        </w:rPr>
        <w:t xml:space="preserve">serum </w:t>
      </w:r>
      <w:r w:rsidR="003347B3" w:rsidRPr="008C1EC2">
        <w:rPr>
          <w:rFonts w:eastAsia="Times New Roman" w:cstheme="minorHAnsi"/>
          <w:color w:val="000000"/>
          <w:lang w:eastAsia="en-GB"/>
        </w:rPr>
        <w:t xml:space="preserve">luteinising hormone (LH) </w:t>
      </w:r>
      <w:r w:rsidR="003347B3" w:rsidRPr="008C1EC2">
        <w:rPr>
          <w:rFonts w:eastAsia="Times New Roman" w:cstheme="minorHAnsi"/>
          <w:lang w:eastAsia="en-GB"/>
        </w:rPr>
        <w:t xml:space="preserve">on a single occasion: </w:t>
      </w:r>
      <w:r w:rsidR="00DC078B" w:rsidRPr="008C1EC2">
        <w:rPr>
          <w:rFonts w:eastAsia="Times New Roman" w:cstheme="minorHAnsi"/>
          <w:color w:val="000000"/>
          <w:lang w:eastAsia="en-GB"/>
        </w:rPr>
        <w:t xml:space="preserve">sequential </w:t>
      </w:r>
      <w:r w:rsidR="00FC00F3" w:rsidRPr="008C1EC2">
        <w:rPr>
          <w:rFonts w:eastAsia="Times New Roman" w:cstheme="minorHAnsi"/>
          <w:color w:val="000000"/>
          <w:lang w:eastAsia="en-GB"/>
        </w:rPr>
        <w:t xml:space="preserve">serum </w:t>
      </w:r>
      <w:r w:rsidR="00DC078B" w:rsidRPr="008C1EC2">
        <w:rPr>
          <w:rFonts w:eastAsia="Times New Roman" w:cstheme="minorHAnsi"/>
          <w:color w:val="000000"/>
          <w:lang w:eastAsia="en-GB"/>
        </w:rPr>
        <w:t>TSH of 4.</w:t>
      </w:r>
      <w:r w:rsidR="00804486" w:rsidRPr="008C1EC2">
        <w:rPr>
          <w:rFonts w:eastAsia="Times New Roman" w:cstheme="minorHAnsi"/>
          <w:color w:val="000000"/>
          <w:lang w:eastAsia="en-GB"/>
        </w:rPr>
        <w:t xml:space="preserve">16 mU/L and 5.38 mU/L </w:t>
      </w:r>
      <w:r w:rsidR="00DC078B" w:rsidRPr="008C1EC2">
        <w:rPr>
          <w:rFonts w:eastAsia="Times New Roman" w:cstheme="minorHAnsi"/>
          <w:color w:val="000000"/>
          <w:lang w:eastAsia="en-GB"/>
        </w:rPr>
        <w:t>(normal range 0.35 - 5.5), LH of 7.0 U/L and 5.1 U/L (normal range 1.5 - 6.3), and FSH of 6.0 U/L and 6.6 U/L (normal range 1-10). Kidney function and other</w:t>
      </w:r>
      <w:r w:rsidR="003247DC" w:rsidRPr="008C1EC2">
        <w:rPr>
          <w:rFonts w:eastAsia="Times New Roman" w:cstheme="minorHAnsi"/>
          <w:color w:val="000000"/>
          <w:lang w:eastAsia="en-GB"/>
        </w:rPr>
        <w:t xml:space="preserve"> serum</w:t>
      </w:r>
      <w:r w:rsidR="00DC078B" w:rsidRPr="008C1EC2">
        <w:rPr>
          <w:rFonts w:eastAsia="Times New Roman" w:cstheme="minorHAnsi"/>
          <w:color w:val="000000"/>
          <w:lang w:eastAsia="en-GB"/>
        </w:rPr>
        <w:t xml:space="preserve"> electrolytes were all within normal range.</w:t>
      </w:r>
    </w:p>
    <w:p w14:paraId="1371A617" w14:textId="77777777" w:rsidR="000867AE" w:rsidRPr="008C1EC2" w:rsidRDefault="00EA7B0F" w:rsidP="000867AE">
      <w:pPr>
        <w:spacing w:after="0" w:line="480" w:lineRule="auto"/>
        <w:outlineLvl w:val="0"/>
        <w:rPr>
          <w:rFonts w:eastAsia="Times New Roman" w:cstheme="minorHAnsi"/>
          <w:b/>
          <w:color w:val="000000"/>
          <w:lang w:eastAsia="en-GB"/>
        </w:rPr>
      </w:pPr>
      <w:r w:rsidRPr="008C1EC2">
        <w:rPr>
          <w:rFonts w:eastAsia="Times New Roman" w:cstheme="minorHAnsi"/>
          <w:b/>
          <w:color w:val="000000"/>
          <w:lang w:eastAsia="en-GB"/>
        </w:rPr>
        <w:t>Methods</w:t>
      </w:r>
    </w:p>
    <w:p w14:paraId="7273F20E" w14:textId="5655CECA" w:rsidR="008E2AE3" w:rsidRPr="008C1EC2" w:rsidRDefault="000867AE" w:rsidP="006256D2">
      <w:pPr>
        <w:spacing w:after="0" w:line="480" w:lineRule="auto"/>
        <w:outlineLvl w:val="0"/>
        <w:rPr>
          <w:rFonts w:eastAsia="Times New Roman" w:cstheme="minorHAnsi"/>
          <w:color w:val="000000"/>
          <w:lang w:eastAsia="en-GB"/>
        </w:rPr>
      </w:pPr>
      <w:r w:rsidRPr="008C1EC2">
        <w:rPr>
          <w:rFonts w:eastAsia="Times New Roman" w:cstheme="minorHAnsi"/>
          <w:color w:val="000000"/>
          <w:lang w:eastAsia="en-GB"/>
        </w:rPr>
        <w:t>Chromosome micro-array analysis was performed using the Affymetrix CytoScan 750k SNP genotyping array.</w:t>
      </w:r>
      <w:r w:rsidRPr="008C1EC2">
        <w:t xml:space="preserve"> </w:t>
      </w:r>
      <w:r w:rsidRPr="008C1EC2">
        <w:rPr>
          <w:rFonts w:eastAsia="Times New Roman" w:cstheme="minorHAnsi"/>
          <w:color w:val="000000"/>
          <w:lang w:eastAsia="en-GB"/>
        </w:rPr>
        <w:t xml:space="preserve">The analysis was performed at a genome-wide resolution of 200kb using Affymetrix Chromosome Analysis Suite (ChAS) software (Build 37). </w:t>
      </w:r>
      <w:r w:rsidR="008E2AE3" w:rsidRPr="008C1EC2">
        <w:rPr>
          <w:rFonts w:eastAsia="Times New Roman" w:cstheme="minorHAnsi"/>
          <w:color w:val="000000"/>
          <w:lang w:eastAsia="en-GB"/>
        </w:rPr>
        <w:t xml:space="preserve">Next Generation Sequencing (NGS) of the coding regions (+/-5 bp) of the </w:t>
      </w:r>
      <w:r w:rsidR="008E2AE3" w:rsidRPr="008C1EC2">
        <w:rPr>
          <w:rFonts w:eastAsia="Times New Roman" w:cstheme="minorHAnsi"/>
          <w:i/>
          <w:color w:val="000000"/>
          <w:lang w:eastAsia="en-GB"/>
        </w:rPr>
        <w:lastRenderedPageBreak/>
        <w:t>PDE4D</w:t>
      </w:r>
      <w:r w:rsidR="008E2AE3" w:rsidRPr="008C1EC2">
        <w:rPr>
          <w:rFonts w:eastAsia="Times New Roman" w:cstheme="minorHAnsi"/>
          <w:color w:val="000000"/>
          <w:lang w:eastAsia="en-GB"/>
        </w:rPr>
        <w:t xml:space="preserve">, </w:t>
      </w:r>
      <w:r w:rsidR="008E2AE3" w:rsidRPr="008C1EC2">
        <w:rPr>
          <w:rFonts w:eastAsia="Times New Roman" w:cstheme="minorHAnsi"/>
          <w:i/>
          <w:color w:val="000000"/>
          <w:lang w:eastAsia="en-GB"/>
        </w:rPr>
        <w:t>PRKAR1A</w:t>
      </w:r>
      <w:r w:rsidR="008E2AE3" w:rsidRPr="008C1EC2">
        <w:rPr>
          <w:rFonts w:eastAsia="Times New Roman" w:cstheme="minorHAnsi"/>
          <w:color w:val="000000"/>
          <w:lang w:eastAsia="en-GB"/>
        </w:rPr>
        <w:t xml:space="preserve">, and </w:t>
      </w:r>
      <w:r w:rsidR="008E2AE3" w:rsidRPr="008C1EC2">
        <w:rPr>
          <w:rFonts w:eastAsia="Times New Roman" w:cstheme="minorHAnsi"/>
          <w:i/>
          <w:color w:val="000000"/>
          <w:lang w:eastAsia="en-GB"/>
        </w:rPr>
        <w:t>GNAS</w:t>
      </w:r>
      <w:r w:rsidR="008E2AE3" w:rsidRPr="008C1EC2">
        <w:rPr>
          <w:rFonts w:eastAsia="Times New Roman" w:cstheme="minorHAnsi"/>
          <w:color w:val="000000"/>
          <w:lang w:eastAsia="en-GB"/>
        </w:rPr>
        <w:t xml:space="preserve"> genes using the Illumina TruSight One sequencing panel, using an in-house bioinformatics pipeline. Whole exon deletions/duplications and other large rearrangements are not detected with this method.  100% target sequence coverage to a read depth of 20</w:t>
      </w:r>
      <w:r w:rsidR="00FA1F83">
        <w:rPr>
          <w:rFonts w:eastAsia="Times New Roman" w:cstheme="minorHAnsi"/>
          <w:color w:val="000000"/>
          <w:lang w:eastAsia="en-GB"/>
        </w:rPr>
        <w:t>-</w:t>
      </w:r>
      <w:r w:rsidR="008E2AE3" w:rsidRPr="008C1EC2">
        <w:rPr>
          <w:rFonts w:eastAsia="Times New Roman" w:cstheme="minorHAnsi"/>
          <w:color w:val="000000"/>
          <w:lang w:eastAsia="en-GB"/>
        </w:rPr>
        <w:t xml:space="preserve">fold or more was achieved for the </w:t>
      </w:r>
      <w:r w:rsidR="008E2AE3" w:rsidRPr="008C1EC2">
        <w:rPr>
          <w:rFonts w:eastAsia="Times New Roman" w:cstheme="minorHAnsi"/>
          <w:i/>
          <w:color w:val="000000"/>
          <w:lang w:eastAsia="en-GB"/>
        </w:rPr>
        <w:t>GNAS</w:t>
      </w:r>
      <w:r w:rsidR="008E2AE3" w:rsidRPr="008C1EC2">
        <w:rPr>
          <w:rFonts w:eastAsia="Times New Roman" w:cstheme="minorHAnsi"/>
          <w:color w:val="000000"/>
          <w:lang w:eastAsia="en-GB"/>
        </w:rPr>
        <w:t xml:space="preserve"> and </w:t>
      </w:r>
      <w:r w:rsidR="008E2AE3" w:rsidRPr="008C1EC2">
        <w:rPr>
          <w:rFonts w:eastAsia="Times New Roman" w:cstheme="minorHAnsi"/>
          <w:i/>
          <w:color w:val="000000"/>
          <w:lang w:eastAsia="en-GB"/>
        </w:rPr>
        <w:t>PRKAR1A</w:t>
      </w:r>
      <w:r w:rsidR="008E2AE3" w:rsidRPr="008C1EC2">
        <w:rPr>
          <w:rFonts w:eastAsia="Times New Roman" w:cstheme="minorHAnsi"/>
          <w:color w:val="000000"/>
          <w:lang w:eastAsia="en-GB"/>
        </w:rPr>
        <w:t xml:space="preserve"> genes, and over 97% for the </w:t>
      </w:r>
      <w:r w:rsidR="008E2AE3" w:rsidRPr="008C1EC2">
        <w:rPr>
          <w:rFonts w:eastAsia="Times New Roman" w:cstheme="minorHAnsi"/>
          <w:i/>
          <w:color w:val="000000"/>
          <w:lang w:eastAsia="en-GB"/>
        </w:rPr>
        <w:t>PDE4D</w:t>
      </w:r>
      <w:r w:rsidR="008E2AE3" w:rsidRPr="008C1EC2">
        <w:rPr>
          <w:rFonts w:eastAsia="Times New Roman" w:cstheme="minorHAnsi"/>
          <w:color w:val="000000"/>
          <w:lang w:eastAsia="en-GB"/>
        </w:rPr>
        <w:t xml:space="preserve"> gene. Variant interpretation was performed following ACMG standards and guidelines for variant interpretation </w:t>
      </w:r>
      <w:r w:rsidR="00E76D04" w:rsidRPr="008C1EC2">
        <w:rPr>
          <w:rFonts w:eastAsia="Times New Roman" w:cstheme="minorHAnsi"/>
          <w:color w:val="000000"/>
          <w:lang w:eastAsia="en-GB"/>
        </w:rPr>
        <w:fldChar w:fldCharType="begin" w:fldLock="1"/>
      </w:r>
      <w:r w:rsidR="00E76D04" w:rsidRPr="008C1EC2">
        <w:rPr>
          <w:rFonts w:eastAsia="Times New Roman" w:cstheme="minorHAnsi"/>
          <w:color w:val="000000"/>
          <w:lang w:eastAsia="en-GB"/>
        </w:rPr>
        <w:instrText>ADDIN CSL_CITATION {"citationItems":[{"id":"ITEM-1","itemData":{"DOI":"10.1038/gim.2015.30","ISSN":"1098-3600","PMID":"25741868","abstract":"The American College of Medical Genetics and Genomics (ACMG) previously developed guidance for the interpretation of sequence variants.(1) In the past decade, sequencing technology has evolved rapidly with the advent of high-throughput next-generation sequencing. By adopting and leveraging next-generation sequencing, clinical laboratories are now performing an ever-increasing catalogue of genetic testing spanning genotyping, single genes, gene panels, exomes, genomes, transcriptomes, and epigenetic assays for genetic disorders. By virtue of increased complexity, this shift in genetic testing has been accompanied by new challenges in sequence interpretation. In this context the ACMG convened a workgroup in 2013 comprising representatives from the ACMG, the Association for Molecular Pathology (AMP), and the College of American Pathologists to revisit and revise the standards and guidelines for the interpretation of sequence variants. The group consisted of clinical laboratory directors and clinicians. This report represents expert opinion of the workgroup with input from ACMG, AMP, and College of American Pathologists stakeholders. These recommendations primarily apply to the breadth of genetic tests used in clinical laboratories, including genotyping, single genes, panels, exomes, and genomes. This report recommends the use of specific standard terminology-\"pathogenic,\" \"likely pathogenic,\" \"uncertain significance,\" \"likely benign,\" and \"benign\"-to describe variants identified in genes that cause Mendelian disorders. Moreover, this recommendation describes a process for classifying variants into these five categories based on criteria using typical types of variant evidence (e.g., population data, computational data, functional data, segregation data). Because of the increased complexity of analysis and interpretation of clinical genetic testing described in this report, the ACMG strongly recommends that clinical molecular genetic testing should be performed in a Clinical Laboratory Improvement Amendments-approved laboratory, with results interpreted by a board-certified clinical molecular geneticist or molecular genetic pathologist or the equivalent.","author":[{"dropping-particle":"","family":"Richards","given":"Sue","non-dropping-particle":"","parse-names":false,"suffix":""},{"dropping-particle":"","family":"Aziz","given":"Nazneen","non-dropping-particle":"","parse-names":false,"suffix":""},{"dropping-particle":"","family":"Bale","given":"Sherri","non-dropping-particle":"","parse-names":false,"suffix":""},{"dropping-particle":"","family":"Bick","given":"David","non-dropping-particle":"","parse-names":false,"suffix":""},{"dropping-particle":"","family":"Das","given":"Soma","non-dropping-particle":"","parse-names":false,"suffix":""},{"dropping-particle":"","family":"Gastier-Foster","given":"Julie","non-dropping-particle":"","parse-names":false,"suffix":""},{"dropping-particle":"","family":"Grody","given":"Wayne W.","non-dropping-particle":"","parse-names":false,"suffix":""},{"dropping-particle":"","family":"Hegde","given":"Madhuri","non-dropping-particle":"","parse-names":false,"suffix":""},{"dropping-particle":"","family":"Lyon","given":"Elaine","non-dropping-particle":"","parse-names":false,"suffix":""},{"dropping-particle":"","family":"Spector","given":"Elaine","non-dropping-particle":"","parse-names":false,"suffix":""},{"dropping-particle":"","family":"Voelkerding","given":"Karl","non-dropping-particle":"","parse-names":false,"suffix":""},{"dropping-particle":"","family":"Rehm","given":"Heidi L.","non-dropping-particle":"","parse-names":false,"suffix":""},{"dropping-particle":"","family":"ACMG Laboratory Quality Assurance Committee","given":"","non-dropping-particle":"","parse-names":false,"suffix":""}],"container-title":"Genetics in Medicine","id":"ITEM-1","issue":"5","issued":{"date-parts":[["2015","5","5"]]},"page":"405-423","title":"Standards and guidelines for the interpretation of sequence variants: a joint consensus recommendation of the American College of Medical Genetics and Genomics and the Association for Molecular Pathology","type":"article-journal","volume":"17"},"uris":["http://www.mendeley.com/documents/?uuid=0286bbb7-e367-3bd0-a394-fbcd9594dd7b"]}],"mendeley":{"formattedCitation":"(Richards et al., 2015)","plainTextFormattedCitation":"(Richards et al., 2015)","previouslyFormattedCitation":"(Richards et al., 2015)"},"properties":{"noteIndex":0},"schema":"https://github.com/citation-style-language/schema/raw/master/csl-citation.json"}</w:instrText>
      </w:r>
      <w:r w:rsidR="00E76D04" w:rsidRPr="008C1EC2">
        <w:rPr>
          <w:rFonts w:eastAsia="Times New Roman" w:cstheme="minorHAnsi"/>
          <w:color w:val="000000"/>
          <w:lang w:eastAsia="en-GB"/>
        </w:rPr>
        <w:fldChar w:fldCharType="separate"/>
      </w:r>
      <w:r w:rsidR="00E76D04" w:rsidRPr="008C1EC2">
        <w:rPr>
          <w:rFonts w:eastAsia="Times New Roman" w:cstheme="minorHAnsi"/>
          <w:noProof/>
          <w:color w:val="000000"/>
          <w:lang w:eastAsia="en-GB"/>
        </w:rPr>
        <w:t>(Richards et al., 2015)</w:t>
      </w:r>
      <w:r w:rsidR="00E76D04" w:rsidRPr="008C1EC2">
        <w:rPr>
          <w:rFonts w:eastAsia="Times New Roman" w:cstheme="minorHAnsi"/>
          <w:color w:val="000000"/>
          <w:lang w:eastAsia="en-GB"/>
        </w:rPr>
        <w:fldChar w:fldCharType="end"/>
      </w:r>
      <w:r w:rsidR="008E2AE3" w:rsidRPr="008C1EC2">
        <w:rPr>
          <w:rFonts w:eastAsia="Times New Roman" w:cstheme="minorHAnsi"/>
          <w:color w:val="000000"/>
          <w:lang w:eastAsia="en-GB"/>
        </w:rPr>
        <w:t>. Any pathogenic or likely pathogenic sequence changes detected by NGS were confirmed by Sanger sequencing.</w:t>
      </w:r>
    </w:p>
    <w:p w14:paraId="603A16A0" w14:textId="6519E850" w:rsidR="005C1BA3" w:rsidRPr="008C1EC2" w:rsidRDefault="005C1BA3" w:rsidP="006256D2">
      <w:pPr>
        <w:spacing w:after="0" w:line="480" w:lineRule="auto"/>
        <w:outlineLvl w:val="0"/>
        <w:rPr>
          <w:rFonts w:eastAsia="Times New Roman" w:cstheme="minorHAnsi"/>
          <w:b/>
          <w:color w:val="000000"/>
          <w:lang w:eastAsia="en-GB"/>
        </w:rPr>
      </w:pPr>
      <w:r w:rsidRPr="008C1EC2">
        <w:rPr>
          <w:rFonts w:eastAsia="Times New Roman" w:cstheme="minorHAnsi"/>
          <w:b/>
          <w:color w:val="000000"/>
          <w:lang w:eastAsia="en-GB"/>
        </w:rPr>
        <w:t>Results</w:t>
      </w:r>
    </w:p>
    <w:p w14:paraId="53B46AD3" w14:textId="47249B4C" w:rsidR="00F63AAC" w:rsidRPr="008C1EC2" w:rsidRDefault="00CD3916" w:rsidP="006256D2">
      <w:pPr>
        <w:spacing w:after="0" w:line="480" w:lineRule="auto"/>
      </w:pPr>
      <w:r w:rsidRPr="008C1EC2">
        <w:t>Chromosome microarray analysis</w:t>
      </w:r>
      <w:r w:rsidR="0082045A" w:rsidRPr="008C1EC2">
        <w:t xml:space="preserve"> </w:t>
      </w:r>
      <w:r w:rsidR="00770B48" w:rsidRPr="008C1EC2">
        <w:t>was performed in both individuals in view of the history of mild learning difficulties with no clinically significant abnorm</w:t>
      </w:r>
      <w:r w:rsidR="00D15757" w:rsidRPr="008C1EC2">
        <w:t xml:space="preserve">alities in either, including absence of chromosome </w:t>
      </w:r>
      <w:r w:rsidR="00D15757" w:rsidRPr="008C1EC2">
        <w:rPr>
          <w:rFonts w:eastAsia="Times New Roman" w:cstheme="minorHAnsi"/>
          <w:color w:val="000000"/>
          <w:lang w:eastAsia="en-GB"/>
        </w:rPr>
        <w:t xml:space="preserve">2q37 deletion which can cause an AHO-like phenotype with brachydactyly and intellectual disability </w:t>
      </w:r>
      <w:r w:rsidR="00F06F0B" w:rsidRPr="008C1EC2">
        <w:rPr>
          <w:rFonts w:eastAsia="Times New Roman" w:cstheme="minorHAnsi"/>
          <w:color w:val="000000"/>
          <w:lang w:eastAsia="en-GB"/>
        </w:rPr>
        <w:fldChar w:fldCharType="begin" w:fldLock="1"/>
      </w:r>
      <w:r w:rsidR="00B8360F" w:rsidRPr="008C1EC2">
        <w:rPr>
          <w:rFonts w:eastAsia="Times New Roman" w:cstheme="minorHAnsi"/>
          <w:color w:val="000000"/>
          <w:lang w:eastAsia="en-GB"/>
        </w:rPr>
        <w:instrText>ADDIN CSL_CITATION {"citationItems":[{"id":"ITEM-1","itemData":{"ISSN":"0002-9297","PMID":"7847374","abstract":"We report five patients with a combination of brachymetaphalangia and mental retardation, similar to that observed in Albright hereditary osteodystrophy (AHO). Four patients had cytogenetically visible de novo deletions of chromosome 2q37. The fifth patient was cytogenetically normal and had normal bioactivity of the alpha subunit of Gs (Gs alpha), the protein that is defective in AHO. In this patient, we have used a combination of highly polymorphic molecular markers and FISH to demonstrate a microdeletion at 2q37. The common region of deletion overlap involves the most telomeric 2q marker, D2S125, and extends proximally for a maximum distance of 17.6 cM. We suggest this represents a consistent phenotype associated with some deletions at 2q37 and that genes important for skeletal and neurodevelopment lie within this region. Screening for deletions at this locus should be considered in individuals with brachymetaphalangia and mental retardation. Furthermore, 2q37 represents a candidate region for type E brachydactyly.","author":[{"dropping-particle":"","family":"Wilson","given":"L C","non-dropping-particle":"","parse-names":false,"suffix":""},{"dropping-particle":"","family":"Leverton","given":"K","non-dropping-particle":"","parse-names":false,"suffix":""},{"dropping-particle":"","family":"Oude Luttikhuis","given":"M E","non-dropping-particle":"","parse-names":false,"suffix":""},{"dropping-particle":"","family":"Oley","given":"C A","non-dropping-particle":"","parse-names":false,"suffix":""},{"dropping-particle":"","family":"Flint","given":"J","non-dropping-particle":"","parse-names":false,"suffix":""},{"dropping-particle":"","family":"Wolstenholme","given":"J","non-dropping-particle":"","parse-names":false,"suffix":""},{"dropping-particle":"","family":"Duckett","given":"D P","non-dropping-particle":"","parse-names":false,"suffix":""},{"dropping-particle":"","family":"Barrow","given":"M A","non-dropping-particle":"","parse-names":false,"suffix":""},{"dropping-particle":"V","family":"Leonard","given":"J","non-dropping-particle":"","parse-names":false,"suffix":""},{"dropping-particle":"","family":"Read","given":"A P","non-dropping-particle":"","parse-names":false,"suffix":""}],"container-title":"American journal of human genetics","id":"ITEM-1","issue":"2","issued":{"date-parts":[["1995","2"]]},"page":"400-7","title":"Brachydactyly and mental retardation: an Albright hereditary osteodystrophy-like syndrome localized to 2q37.","type":"article-journal","volume":"56"},"uris":["http://www.mendeley.com/documents/?uuid=37bf5e73-1398-35a8-89b3-402397ae0187"]}],"mendeley":{"formattedCitation":"(Wilson et al., 1995)","plainTextFormattedCitation":"(Wilson et al., 1995)","previouslyFormattedCitation":"(Wilson et al., 1995)"},"properties":{"noteIndex":0},"schema":"https://github.com/citation-style-language/schema/raw/master/csl-citation.json"}</w:instrText>
      </w:r>
      <w:r w:rsidR="00F06F0B" w:rsidRPr="008C1EC2">
        <w:rPr>
          <w:rFonts w:eastAsia="Times New Roman" w:cstheme="minorHAnsi"/>
          <w:color w:val="000000"/>
          <w:lang w:eastAsia="en-GB"/>
        </w:rPr>
        <w:fldChar w:fldCharType="separate"/>
      </w:r>
      <w:r w:rsidR="00F06F0B" w:rsidRPr="008C1EC2">
        <w:rPr>
          <w:rFonts w:eastAsia="Times New Roman" w:cstheme="minorHAnsi"/>
          <w:noProof/>
          <w:color w:val="000000"/>
          <w:lang w:eastAsia="en-GB"/>
        </w:rPr>
        <w:t>(Wilson et al., 1995)</w:t>
      </w:r>
      <w:r w:rsidR="00F06F0B" w:rsidRPr="008C1EC2">
        <w:rPr>
          <w:rFonts w:eastAsia="Times New Roman" w:cstheme="minorHAnsi"/>
          <w:color w:val="000000"/>
          <w:lang w:eastAsia="en-GB"/>
        </w:rPr>
        <w:fldChar w:fldCharType="end"/>
      </w:r>
      <w:r w:rsidR="00F06F0B" w:rsidRPr="008C1EC2">
        <w:rPr>
          <w:rFonts w:eastAsia="Times New Roman" w:cstheme="minorHAnsi"/>
          <w:color w:val="000000"/>
          <w:lang w:eastAsia="en-GB"/>
        </w:rPr>
        <w:t xml:space="preserve">. </w:t>
      </w:r>
    </w:p>
    <w:p w14:paraId="4699093E" w14:textId="349DD8C0" w:rsidR="008E2AE3" w:rsidRPr="008C1EC2" w:rsidRDefault="008E2AE3" w:rsidP="00330DB8">
      <w:pPr>
        <w:spacing w:after="0" w:line="480" w:lineRule="auto"/>
        <w:rPr>
          <w:rFonts w:eastAsia="Times New Roman" w:cstheme="minorHAnsi"/>
          <w:iCs/>
          <w:color w:val="000000"/>
          <w:lang w:eastAsia="en-GB"/>
        </w:rPr>
      </w:pPr>
      <w:r w:rsidRPr="008C1EC2">
        <w:rPr>
          <w:rFonts w:eastAsia="Times New Roman" w:cstheme="minorHAnsi"/>
          <w:iCs/>
          <w:color w:val="000000"/>
          <w:lang w:eastAsia="en-GB"/>
        </w:rPr>
        <w:t xml:space="preserve">Sequencing of </w:t>
      </w:r>
      <w:r w:rsidR="001D1E03" w:rsidRPr="008C1EC2">
        <w:rPr>
          <w:rFonts w:eastAsia="Times New Roman" w:cstheme="minorHAnsi"/>
          <w:i/>
          <w:color w:val="000000"/>
          <w:lang w:eastAsia="en-GB"/>
        </w:rPr>
        <w:t>PDE4D</w:t>
      </w:r>
      <w:r w:rsidR="001D1E03" w:rsidRPr="008C1EC2">
        <w:rPr>
          <w:rFonts w:eastAsia="Times New Roman" w:cstheme="minorHAnsi"/>
          <w:color w:val="000000"/>
          <w:lang w:eastAsia="en-GB"/>
        </w:rPr>
        <w:t xml:space="preserve">, </w:t>
      </w:r>
      <w:r w:rsidR="001D1E03" w:rsidRPr="008C1EC2">
        <w:rPr>
          <w:rFonts w:eastAsia="Times New Roman" w:cstheme="minorHAnsi"/>
          <w:i/>
          <w:color w:val="000000"/>
          <w:lang w:eastAsia="en-GB"/>
        </w:rPr>
        <w:t>PRKAR1A</w:t>
      </w:r>
      <w:r w:rsidR="001D1E03">
        <w:rPr>
          <w:rFonts w:eastAsia="Times New Roman" w:cstheme="minorHAnsi"/>
          <w:i/>
          <w:color w:val="000000"/>
          <w:lang w:eastAsia="en-GB"/>
        </w:rPr>
        <w:t xml:space="preserve"> and</w:t>
      </w:r>
      <w:r w:rsidRPr="008C1EC2">
        <w:rPr>
          <w:rFonts w:eastAsia="Times New Roman" w:cstheme="minorHAnsi"/>
          <w:iCs/>
          <w:color w:val="000000"/>
          <w:lang w:eastAsia="en-GB"/>
        </w:rPr>
        <w:t xml:space="preserve"> </w:t>
      </w:r>
      <w:r w:rsidRPr="008C1EC2">
        <w:rPr>
          <w:rFonts w:eastAsia="Times New Roman" w:cstheme="minorHAnsi"/>
          <w:i/>
          <w:iCs/>
          <w:color w:val="000000"/>
          <w:lang w:eastAsia="en-GB"/>
        </w:rPr>
        <w:t>GNAS</w:t>
      </w:r>
      <w:r w:rsidRPr="008C1EC2">
        <w:rPr>
          <w:rFonts w:eastAsia="Times New Roman" w:cstheme="minorHAnsi"/>
          <w:iCs/>
          <w:color w:val="000000"/>
          <w:lang w:eastAsia="en-GB"/>
        </w:rPr>
        <w:t xml:space="preserve"> in patient 1 revealed a likely pathogenic heterozygous sequence change</w:t>
      </w:r>
      <w:r w:rsidR="001D1E03">
        <w:rPr>
          <w:rFonts w:eastAsia="Times New Roman" w:cstheme="minorHAnsi"/>
          <w:iCs/>
          <w:color w:val="000000"/>
          <w:lang w:eastAsia="en-GB"/>
        </w:rPr>
        <w:t xml:space="preserve"> in </w:t>
      </w:r>
      <w:r w:rsidR="001D1E03" w:rsidRPr="005C5A77">
        <w:rPr>
          <w:rFonts w:eastAsia="Times New Roman" w:cstheme="minorHAnsi"/>
          <w:i/>
          <w:iCs/>
          <w:color w:val="000000"/>
          <w:lang w:eastAsia="en-GB"/>
        </w:rPr>
        <w:t>GNAS</w:t>
      </w:r>
      <w:r w:rsidRPr="008C1EC2">
        <w:rPr>
          <w:rFonts w:eastAsia="Times New Roman" w:cstheme="minorHAnsi"/>
          <w:iCs/>
          <w:color w:val="000000"/>
          <w:lang w:eastAsia="en-GB"/>
        </w:rPr>
        <w:t xml:space="preserve"> (c.2273C&gt;G, p.Pro758Arg, NM_080425.2). This variant was not previously reported in population frequency databases (Genome Aggregation Database, Exome Variant Server, 1000 Genome) and affects a highly conserved amino acid in a part of the gene that is relative intolerant to missense variation. In silico analyses predict a deleterious effect or probably damaging using SIFT and PolyPhen, respectively. Other missense changes at the same amino acid residue have been previously reported as pathogenic changes associated with AHO as part of either PHP</w:t>
      </w:r>
      <w:r w:rsidR="00FA1F83">
        <w:rPr>
          <w:rFonts w:eastAsia="Times New Roman" w:cstheme="minorHAnsi"/>
          <w:iCs/>
          <w:color w:val="000000"/>
          <w:lang w:eastAsia="en-GB"/>
        </w:rPr>
        <w:t>Ia</w:t>
      </w:r>
      <w:r w:rsidRPr="008C1EC2">
        <w:rPr>
          <w:rFonts w:eastAsia="Times New Roman" w:cstheme="minorHAnsi"/>
          <w:iCs/>
          <w:color w:val="000000"/>
          <w:lang w:eastAsia="en-GB"/>
        </w:rPr>
        <w:t xml:space="preserve"> or PPHP</w:t>
      </w:r>
      <w:r w:rsidR="00E76D04" w:rsidRPr="008C1EC2">
        <w:rPr>
          <w:rFonts w:eastAsia="Times New Roman" w:cstheme="minorHAnsi"/>
          <w:iCs/>
          <w:color w:val="000000"/>
          <w:lang w:eastAsia="en-GB"/>
        </w:rPr>
        <w:t xml:space="preserve"> </w:t>
      </w:r>
      <w:r w:rsidR="00E76D04" w:rsidRPr="008C1EC2">
        <w:rPr>
          <w:rFonts w:eastAsia="Times New Roman" w:cstheme="minorHAnsi"/>
          <w:iCs/>
          <w:color w:val="000000"/>
          <w:lang w:eastAsia="en-GB"/>
        </w:rPr>
        <w:fldChar w:fldCharType="begin" w:fldLock="1"/>
      </w:r>
      <w:r w:rsidR="006A6B77" w:rsidRPr="008C1EC2">
        <w:rPr>
          <w:rFonts w:eastAsia="Times New Roman" w:cstheme="minorHAnsi"/>
          <w:iCs/>
          <w:color w:val="000000"/>
          <w:lang w:eastAsia="en-GB"/>
        </w:rPr>
        <w:instrText>ADDIN CSL_CITATION {"citationItems":[{"id":"ITEM-1","itemData":{"DOI":"10.1210/jcem.86.10.7946","ISSN":"0021-972X","PMID":"11600516","abstract":"Albright's hereditary osteodystrophy (AHO) is characterized by phenotypic signs that typically include brachydactyly and sc calcifications occurring with or without hormone resistance toward PTH or other hormones such as thyroid hormone or gonadotropins. Different inactivating mutations of the gene GNAS1 encoding Gsalpha lead to a reduced Gsalpha protein activity in patients with AHO and pseudohypoparathyroidism type Ia or without resistance to PTH (pseudopseudohypoparathyroidism). We investigated 29 unrelated patients with AHO and pseudohypoparathyroidism type Ia or pseudopseudohypoparathyroidism and their affected family members performing functional and molecular genetic analysis of Gsalpha. In vitro determination of Gsalpha protein activity in erythrocyte membranes was followed by the investigation of the whole coding region of the GNAS1 gene using PCR, nonisotopic single strand conformation analysis, and direct sequencing of the PCR products. All patients showed a reduced Gsalpha protein activity (mean 59% compared with healthy controls). In 21/29 (72%) patients, 15 different mutations in GNAS1 including 11 novel mutations were detected. In addition we add five unrelated patients with a previously described 4 bp deletion in exon 7 (Delta GACT, codon 189/190), confirming the presence of a hot spot for loss of function mutations in GNAS1. In eight patients, no molecular abnormality was found in the GNAS1 gene despite a functional defect of Gsalpha. We conclude that biochemical and molecular analysis of Gsalpha and its gene GNAS1 can be valuable tools to confirm the diagnosis of AHO. However, in some patients with reduced activity of Gsalpha, the molecular defect cannot be detected in the exons encoding the common form of Gsalpha.","author":[{"dropping-particle":"","family":"Ahrens","given":"W","non-dropping-particle":"","parse-names":false,"suffix":""},{"dropping-particle":"","family":"Hiort","given":"O","non-dropping-particle":"","parse-names":false,"suffix":""},{"dropping-particle":"","family":"Staedt","given":"P","non-dropping-particle":"","parse-names":false,"suffix":""},{"dropping-particle":"","family":"Kirschner","given":"T","non-dropping-particle":"","parse-names":false,"suffix":""},{"dropping-particle":"","family":"Marschke","given":"C","non-dropping-particle":"","parse-names":false,"suffix":""},{"dropping-particle":"","family":"Kruse","given":"K","non-dropping-particle":"","parse-names":false,"suffix":""}],"container-title":"The Journal of clinical endocrinology and metabolism","id":"ITEM-1","issue":"10","issued":{"date-parts":[["2001","10"]]},"page":"4630-4","title":"Analysis of the GNAS1 gene in Albright's hereditary osteodystrophy.","type":"article-journal","volume":"86"},"uris":["http://www.mendeley.com/documents/?uuid=679c6ac8-9ed4-3e1e-a4ff-aa34bcab1aee"]},{"id":"ITEM-2","itemData":{"ISSN":"0300-0664","PMID":"9876352","abstract":"OBJECTIVE Mutations of the GNAS1 gene, which is located on chromosome 20q13.11 and encodes the alpha-subunit of the stimulatory GTP-binding protein, have been identified in patients with pseudohypoparathyroidism type Ia (PHPIa) and pseudopseudohypoparathyroidism (PPHP). We have undertaken studies to determine the prevalence of GNAS1 mutations and to explore methods for their more rapid detection. METHODS Thirteen unrelated families (8 with PHPIa and PPHP patients, and 5 with PPHP patients only) were investigated for GNAS1 mutations in the 1050 base-pair (bp) region spanning exons 2-13 by single-stranded conformational polymorphism (SSCP) and DNA sequence analysis. RESULTS GNAS1 mutations were detected in 4 of the 8 families with PHPIa patients. These consisted of: two novel de novo missense mutations (Pro115Ser and Glu259Val) in two families and an identical 4 bp deletion of codons 189 and 190 resulting in a frame-shift in two unrelated families. These results expand the spectrum of GNAS1 mutations associated with this disorder and confirm the presence of a mutational hot-spot involving codons 189 and 190. SSCP analysis was found to be a specific and sensitive method that detected all 4 mutations. GNAS1 mutations were not detected in any of the PPHP only families. CONCLUSIONS The pseudohypoparathyroid disorders appear to represent a heterogeneous group with GNAS1 mutations forming the molecular aetiology in approximately 50% of pseudohypoparathyroidism type Ia families. Such mutations can be reliably identified by single-stranded conformational polymorphism and this will help to supplement the clinical evaluation of some patients and their families, particularly as the disease may not be fully penetrant.","author":[{"dropping-particle":"","family":"Ahmed","given":"S F","non-dropping-particle":"","parse-names":false,"suffix":""},{"dropping-particle":"","family":"Dixon","given":"P H","non-dropping-particle":"","parse-names":false,"suffix":""},{"dropping-particle":"","family":"Bonthron","given":"D T","non-dropping-particle":"","parse-names":false,"suffix":""},{"dropping-particle":"","family":"Stirling","given":"H F","non-dropping-particle":"","parse-names":false,"suffix":""},{"dropping-particle":"","family":"Barr","given":"D G","non-dropping-particle":"","parse-names":false,"suffix":""},{"dropping-particle":"","family":"Kelnar","given":"C J","non-dropping-particle":"","parse-names":false,"suffix":""},{"dropping-particle":"V","family":"Thakker","given":"R","non-dropping-particle":"","parse-names":false,"suffix":""}],"container-title":"Clinical endocrinology","id":"ITEM-2","issue":"4","issued":{"date-parts":[["1998","10"]]},"page":"525-31","title":"GNAS1 mutational analysis in pseudohypoparathyroidism.","type":"article-journal","volume":"49"},"uris":["http://www.mendeley.com/documents/?uuid=d7f3c9de-ad47-3255-8466-398adaddf079"]}],"mendeley":{"formattedCitation":"(Ahmed et al., 1998; Ahrens et al., 2001)","plainTextFormattedCitation":"(Ahmed et al., 1998; Ahrens et al., 2001)","previouslyFormattedCitation":"(Ahmed et al., 1998; Ahrens et al., 2001)"},"properties":{"noteIndex":0},"schema":"https://github.com/citation-style-language/schema/raw/master/csl-citation.json"}</w:instrText>
      </w:r>
      <w:r w:rsidR="00E76D04" w:rsidRPr="008C1EC2">
        <w:rPr>
          <w:rFonts w:eastAsia="Times New Roman" w:cstheme="minorHAnsi"/>
          <w:iCs/>
          <w:color w:val="000000"/>
          <w:lang w:eastAsia="en-GB"/>
        </w:rPr>
        <w:fldChar w:fldCharType="separate"/>
      </w:r>
      <w:r w:rsidR="00E76D04" w:rsidRPr="008C1EC2">
        <w:rPr>
          <w:rFonts w:eastAsia="Times New Roman" w:cstheme="minorHAnsi"/>
          <w:iCs/>
          <w:noProof/>
          <w:color w:val="000000"/>
          <w:lang w:eastAsia="en-GB"/>
        </w:rPr>
        <w:t>(Ahmed et al., 1998; Ahrens et al., 2001)</w:t>
      </w:r>
      <w:r w:rsidR="00E76D04" w:rsidRPr="008C1EC2">
        <w:rPr>
          <w:rFonts w:eastAsia="Times New Roman" w:cstheme="minorHAnsi"/>
          <w:iCs/>
          <w:color w:val="000000"/>
          <w:lang w:eastAsia="en-GB"/>
        </w:rPr>
        <w:fldChar w:fldCharType="end"/>
      </w:r>
      <w:r w:rsidRPr="008C1EC2">
        <w:rPr>
          <w:rFonts w:eastAsia="Times New Roman" w:cstheme="minorHAnsi"/>
          <w:iCs/>
          <w:color w:val="000000"/>
          <w:lang w:eastAsia="en-GB"/>
        </w:rPr>
        <w:t xml:space="preserve">. Due to the concurrent </w:t>
      </w:r>
      <w:r w:rsidR="0082045A" w:rsidRPr="008C1EC2">
        <w:t>chronic kidney disease</w:t>
      </w:r>
      <w:r w:rsidRPr="008C1EC2">
        <w:rPr>
          <w:rFonts w:eastAsia="Times New Roman" w:cstheme="minorHAnsi"/>
          <w:iCs/>
          <w:color w:val="000000"/>
          <w:lang w:eastAsia="en-GB"/>
        </w:rPr>
        <w:t>, it is difficult to assess whether the patient’s raised PTH, is due to the reduced kidney function or the above mutation, and hence it is difficult to assign this novel pathogenic variant to either PHP</w:t>
      </w:r>
      <w:r w:rsidR="00FA1F83">
        <w:rPr>
          <w:rFonts w:eastAsia="Times New Roman" w:cstheme="minorHAnsi"/>
          <w:iCs/>
          <w:color w:val="000000"/>
          <w:lang w:eastAsia="en-GB"/>
        </w:rPr>
        <w:t>Ia</w:t>
      </w:r>
      <w:r w:rsidRPr="008C1EC2">
        <w:rPr>
          <w:rFonts w:eastAsia="Times New Roman" w:cstheme="minorHAnsi"/>
          <w:iCs/>
          <w:color w:val="000000"/>
          <w:lang w:eastAsia="en-GB"/>
        </w:rPr>
        <w:t xml:space="preserve"> or PPHP. Cascade family testing has been declined.</w:t>
      </w:r>
    </w:p>
    <w:p w14:paraId="2AD0A56A" w14:textId="26910E99" w:rsidR="00AD2283" w:rsidRPr="008C1EC2" w:rsidRDefault="00D15757" w:rsidP="00330DB8">
      <w:pPr>
        <w:tabs>
          <w:tab w:val="left" w:pos="1736"/>
        </w:tabs>
        <w:spacing w:after="0" w:line="480" w:lineRule="auto"/>
        <w:rPr>
          <w:rFonts w:eastAsia="Times New Roman" w:cstheme="minorHAnsi"/>
          <w:b/>
          <w:iCs/>
          <w:color w:val="000000"/>
          <w:lang w:eastAsia="en-GB"/>
        </w:rPr>
      </w:pPr>
      <w:r w:rsidRPr="008C1EC2">
        <w:rPr>
          <w:rFonts w:eastAsia="Times New Roman" w:cstheme="minorHAnsi"/>
          <w:color w:val="000000"/>
          <w:lang w:eastAsia="en-GB"/>
        </w:rPr>
        <w:t xml:space="preserve">In </w:t>
      </w:r>
      <w:r w:rsidR="003454E4" w:rsidRPr="008C1EC2">
        <w:rPr>
          <w:rFonts w:eastAsia="Times New Roman" w:cstheme="minorHAnsi"/>
          <w:color w:val="000000"/>
          <w:lang w:eastAsia="en-GB"/>
        </w:rPr>
        <w:t>P</w:t>
      </w:r>
      <w:r w:rsidRPr="008C1EC2">
        <w:rPr>
          <w:rFonts w:eastAsia="Times New Roman" w:cstheme="minorHAnsi"/>
          <w:color w:val="000000"/>
          <w:lang w:eastAsia="en-GB"/>
        </w:rPr>
        <w:t xml:space="preserve">atient 2, </w:t>
      </w:r>
      <w:r w:rsidR="00F63AAC" w:rsidRPr="008C1EC2">
        <w:rPr>
          <w:rFonts w:eastAsia="Times New Roman" w:cstheme="minorHAnsi"/>
          <w:color w:val="000000"/>
          <w:lang w:eastAsia="en-GB"/>
        </w:rPr>
        <w:t xml:space="preserve">targeted sequencing of the </w:t>
      </w:r>
      <w:r w:rsidR="00F63AAC" w:rsidRPr="008C1EC2">
        <w:rPr>
          <w:rFonts w:eastAsia="Times New Roman" w:cstheme="minorHAnsi"/>
          <w:i/>
          <w:color w:val="000000"/>
          <w:lang w:eastAsia="en-GB"/>
        </w:rPr>
        <w:t>GNAS</w:t>
      </w:r>
      <w:r w:rsidR="00F63AAC" w:rsidRPr="008C1EC2">
        <w:rPr>
          <w:rFonts w:eastAsia="Times New Roman" w:cstheme="minorHAnsi"/>
          <w:color w:val="000000"/>
          <w:lang w:eastAsia="en-GB"/>
        </w:rPr>
        <w:t xml:space="preserve"> gene did not identify any pathogenic variants. </w:t>
      </w:r>
      <w:r w:rsidR="00825D73" w:rsidRPr="008C1EC2">
        <w:rPr>
          <w:rFonts w:eastAsia="Times New Roman" w:cstheme="minorHAnsi"/>
          <w:color w:val="000000"/>
          <w:lang w:eastAsia="en-GB"/>
        </w:rPr>
        <w:t>A skeletal survey was then performed</w:t>
      </w:r>
      <w:r w:rsidR="00B41243" w:rsidRPr="008C1EC2">
        <w:rPr>
          <w:rFonts w:eastAsia="Times New Roman" w:cstheme="minorHAnsi"/>
          <w:color w:val="000000"/>
          <w:lang w:eastAsia="en-GB"/>
        </w:rPr>
        <w:t xml:space="preserve"> upon the individual’s wishes to further delineate his phenotype</w:t>
      </w:r>
      <w:r w:rsidR="00825D73" w:rsidRPr="008C1EC2">
        <w:rPr>
          <w:rFonts w:eastAsia="Times New Roman" w:cstheme="minorHAnsi"/>
          <w:color w:val="000000"/>
          <w:lang w:eastAsia="en-GB"/>
        </w:rPr>
        <w:t xml:space="preserve">. </w:t>
      </w:r>
      <w:r w:rsidR="00B41243" w:rsidRPr="008C1EC2">
        <w:rPr>
          <w:rFonts w:eastAsia="Times New Roman" w:cstheme="minorHAnsi"/>
          <w:color w:val="000000"/>
          <w:lang w:eastAsia="en-GB"/>
        </w:rPr>
        <w:t xml:space="preserve">Overall, the radiographic findings </w:t>
      </w:r>
      <w:r w:rsidR="001D1E03">
        <w:rPr>
          <w:rFonts w:eastAsia="Times New Roman" w:cstheme="minorHAnsi"/>
          <w:color w:val="000000"/>
          <w:lang w:eastAsia="en-GB"/>
        </w:rPr>
        <w:t xml:space="preserve">reported by the UK skeletal dysplasia expert radiologist Dr Amaka Offiah </w:t>
      </w:r>
      <w:r w:rsidR="00B41243" w:rsidRPr="008C1EC2">
        <w:rPr>
          <w:rFonts w:eastAsia="Times New Roman" w:cstheme="minorHAnsi"/>
          <w:color w:val="000000"/>
          <w:lang w:eastAsia="en-GB"/>
        </w:rPr>
        <w:t xml:space="preserve">(Figure 2) were phenotypically consistent with PHP, PPHP and acrodysostosis. </w:t>
      </w:r>
      <w:r w:rsidR="006724C2">
        <w:rPr>
          <w:rFonts w:eastAsia="Times New Roman" w:cstheme="minorHAnsi"/>
          <w:color w:val="000000"/>
          <w:lang w:eastAsia="en-GB"/>
        </w:rPr>
        <w:t xml:space="preserve">He was also noted to have </w:t>
      </w:r>
      <w:r w:rsidR="009D014B">
        <w:rPr>
          <w:rFonts w:eastAsia="Times New Roman" w:cstheme="minorHAnsi"/>
          <w:color w:val="000000"/>
          <w:lang w:eastAsia="en-GB"/>
        </w:rPr>
        <w:t>spina</w:t>
      </w:r>
      <w:r w:rsidR="006724C2">
        <w:rPr>
          <w:rFonts w:eastAsia="Times New Roman" w:cstheme="minorHAnsi"/>
          <w:color w:val="000000"/>
          <w:lang w:eastAsia="en-GB"/>
        </w:rPr>
        <w:t xml:space="preserve"> bifida occulta of the lower lumbar spine. </w:t>
      </w:r>
      <w:r w:rsidR="00900474" w:rsidRPr="008C1EC2">
        <w:rPr>
          <w:rFonts w:eastAsia="Times New Roman" w:cstheme="minorHAnsi"/>
          <w:color w:val="000000"/>
          <w:lang w:eastAsia="en-GB"/>
        </w:rPr>
        <w:t xml:space="preserve">Given the negative </w:t>
      </w:r>
      <w:r w:rsidR="00900474" w:rsidRPr="008C1EC2">
        <w:rPr>
          <w:rFonts w:eastAsia="Times New Roman" w:cstheme="minorHAnsi"/>
          <w:i/>
          <w:color w:val="000000"/>
          <w:lang w:eastAsia="en-GB"/>
        </w:rPr>
        <w:t>GNAS</w:t>
      </w:r>
      <w:r w:rsidR="00900474" w:rsidRPr="008C1EC2">
        <w:rPr>
          <w:rFonts w:eastAsia="Times New Roman" w:cstheme="minorHAnsi"/>
          <w:color w:val="000000"/>
          <w:lang w:eastAsia="en-GB"/>
        </w:rPr>
        <w:t xml:space="preserve"> mutation analysis,</w:t>
      </w:r>
      <w:r w:rsidR="00AC7528" w:rsidRPr="008C1EC2">
        <w:rPr>
          <w:rFonts w:eastAsia="Times New Roman" w:cstheme="minorHAnsi"/>
          <w:color w:val="000000"/>
          <w:lang w:eastAsia="en-GB"/>
        </w:rPr>
        <w:t xml:space="preserve"> sequencing of </w:t>
      </w:r>
      <w:r w:rsidR="00B41243" w:rsidRPr="008C1EC2">
        <w:rPr>
          <w:rFonts w:eastAsia="Times New Roman" w:cstheme="minorHAnsi"/>
          <w:color w:val="000000"/>
          <w:lang w:eastAsia="en-GB"/>
        </w:rPr>
        <w:t xml:space="preserve">the </w:t>
      </w:r>
      <w:r w:rsidR="00AC7528" w:rsidRPr="008C1EC2">
        <w:rPr>
          <w:rFonts w:eastAsia="Times New Roman" w:cstheme="minorHAnsi"/>
          <w:i/>
          <w:color w:val="000000"/>
          <w:lang w:eastAsia="en-GB"/>
        </w:rPr>
        <w:t>PDE4D</w:t>
      </w:r>
      <w:r w:rsidR="00AC7528" w:rsidRPr="008C1EC2">
        <w:rPr>
          <w:rFonts w:eastAsia="Times New Roman" w:cstheme="minorHAnsi"/>
          <w:color w:val="000000"/>
          <w:lang w:eastAsia="en-GB"/>
        </w:rPr>
        <w:t xml:space="preserve"> and </w:t>
      </w:r>
      <w:r w:rsidR="00AC7528" w:rsidRPr="008C1EC2">
        <w:rPr>
          <w:rFonts w:eastAsia="Times New Roman" w:cstheme="minorHAnsi"/>
          <w:i/>
          <w:color w:val="000000"/>
          <w:lang w:eastAsia="en-GB"/>
        </w:rPr>
        <w:t>PRKAR1A</w:t>
      </w:r>
      <w:r w:rsidR="00AC7528" w:rsidRPr="008C1EC2">
        <w:rPr>
          <w:rFonts w:eastAsia="Times New Roman" w:cstheme="minorHAnsi"/>
          <w:color w:val="000000"/>
          <w:lang w:eastAsia="en-GB"/>
        </w:rPr>
        <w:t xml:space="preserve"> genes</w:t>
      </w:r>
      <w:r w:rsidR="00B41243" w:rsidRPr="008C1EC2">
        <w:rPr>
          <w:rFonts w:eastAsia="Times New Roman" w:cstheme="minorHAnsi"/>
          <w:color w:val="000000"/>
          <w:lang w:eastAsia="en-GB"/>
        </w:rPr>
        <w:t xml:space="preserve"> was undertaken </w:t>
      </w:r>
      <w:r w:rsidR="00AC7528" w:rsidRPr="008C1EC2">
        <w:rPr>
          <w:rFonts w:eastAsia="Times New Roman" w:cstheme="minorHAnsi"/>
          <w:color w:val="000000"/>
          <w:lang w:eastAsia="en-GB"/>
        </w:rPr>
        <w:t>for suspected acrodysostosis</w:t>
      </w:r>
      <w:r w:rsidR="003D469E" w:rsidRPr="008C1EC2">
        <w:rPr>
          <w:rFonts w:eastAsia="Times New Roman" w:cstheme="minorHAnsi"/>
          <w:color w:val="000000"/>
          <w:lang w:eastAsia="en-GB"/>
        </w:rPr>
        <w:t xml:space="preserve"> with an identified </w:t>
      </w:r>
      <w:r w:rsidR="00AD2283" w:rsidRPr="008C1EC2">
        <w:rPr>
          <w:rFonts w:eastAsia="Times New Roman" w:cstheme="minorHAnsi"/>
          <w:color w:val="000000"/>
          <w:lang w:eastAsia="en-GB"/>
        </w:rPr>
        <w:t xml:space="preserve">likely pathogenic </w:t>
      </w:r>
      <w:r w:rsidR="00AC7528" w:rsidRPr="008C1EC2">
        <w:rPr>
          <w:rFonts w:eastAsia="Times New Roman" w:cstheme="minorHAnsi"/>
          <w:color w:val="000000"/>
          <w:lang w:eastAsia="en-GB"/>
        </w:rPr>
        <w:t>heterozygous sequence change</w:t>
      </w:r>
      <w:r w:rsidR="00B41243" w:rsidRPr="008C1EC2">
        <w:rPr>
          <w:rFonts w:eastAsia="Times New Roman" w:cstheme="minorHAnsi"/>
          <w:color w:val="000000"/>
          <w:lang w:eastAsia="en-GB"/>
        </w:rPr>
        <w:t xml:space="preserve"> (</w:t>
      </w:r>
      <w:r w:rsidR="003D469E" w:rsidRPr="008C1EC2">
        <w:rPr>
          <w:rFonts w:eastAsia="Times New Roman" w:cstheme="minorHAnsi"/>
          <w:color w:val="000000"/>
          <w:lang w:eastAsia="en-GB"/>
        </w:rPr>
        <w:t>c.803C&gt;T</w:t>
      </w:r>
      <w:r w:rsidR="00B41243" w:rsidRPr="008C1EC2">
        <w:t xml:space="preserve">, </w:t>
      </w:r>
      <w:r w:rsidR="00631138" w:rsidRPr="008C1EC2">
        <w:rPr>
          <w:rFonts w:eastAsia="Times New Roman" w:cstheme="minorHAnsi"/>
          <w:color w:val="000000"/>
          <w:lang w:eastAsia="en-GB"/>
        </w:rPr>
        <w:t>p.Ala268Val</w:t>
      </w:r>
      <w:r w:rsidR="00B41243" w:rsidRPr="008C1EC2">
        <w:rPr>
          <w:rFonts w:eastAsia="Times New Roman" w:cstheme="minorHAnsi"/>
          <w:color w:val="000000"/>
          <w:lang w:eastAsia="en-GB"/>
        </w:rPr>
        <w:t>, NM_002734.3</w:t>
      </w:r>
      <w:r w:rsidR="00631138" w:rsidRPr="008C1EC2">
        <w:rPr>
          <w:rFonts w:eastAsia="Times New Roman" w:cstheme="minorHAnsi"/>
          <w:color w:val="000000"/>
          <w:lang w:eastAsia="en-GB"/>
        </w:rPr>
        <w:t xml:space="preserve">) in the </w:t>
      </w:r>
      <w:r w:rsidR="00631138" w:rsidRPr="008C1EC2">
        <w:rPr>
          <w:rFonts w:eastAsia="Times New Roman" w:cstheme="minorHAnsi"/>
          <w:i/>
          <w:color w:val="000000"/>
          <w:lang w:eastAsia="en-GB"/>
        </w:rPr>
        <w:t>PRKAR1A</w:t>
      </w:r>
      <w:r w:rsidR="00631138" w:rsidRPr="008C1EC2">
        <w:rPr>
          <w:rFonts w:eastAsia="Times New Roman" w:cstheme="minorHAnsi"/>
          <w:color w:val="000000"/>
          <w:lang w:eastAsia="en-GB"/>
        </w:rPr>
        <w:t xml:space="preserve"> gene</w:t>
      </w:r>
      <w:r w:rsidR="00B41243" w:rsidRPr="008C1EC2">
        <w:rPr>
          <w:rFonts w:eastAsia="Times New Roman" w:cstheme="minorHAnsi"/>
          <w:color w:val="000000"/>
          <w:lang w:eastAsia="en-GB"/>
        </w:rPr>
        <w:t xml:space="preserve">. </w:t>
      </w:r>
      <w:r w:rsidR="00631138" w:rsidRPr="008C1EC2">
        <w:rPr>
          <w:rStyle w:val="mim-font"/>
        </w:rPr>
        <w:t xml:space="preserve">This variant </w:t>
      </w:r>
      <w:r w:rsidR="003454E4" w:rsidRPr="008C1EC2">
        <w:rPr>
          <w:rStyle w:val="mim-font"/>
        </w:rPr>
        <w:t xml:space="preserve">has </w:t>
      </w:r>
      <w:r w:rsidR="00631138" w:rsidRPr="008C1EC2">
        <w:rPr>
          <w:rStyle w:val="mim-font"/>
        </w:rPr>
        <w:t xml:space="preserve">not previously </w:t>
      </w:r>
      <w:r w:rsidR="003454E4" w:rsidRPr="008C1EC2">
        <w:rPr>
          <w:rStyle w:val="mim-font"/>
        </w:rPr>
        <w:t xml:space="preserve">been </w:t>
      </w:r>
      <w:r w:rsidR="00631138" w:rsidRPr="008C1EC2">
        <w:rPr>
          <w:rStyle w:val="mim-font"/>
        </w:rPr>
        <w:lastRenderedPageBreak/>
        <w:t xml:space="preserve">reported </w:t>
      </w:r>
      <w:r w:rsidR="00C52274" w:rsidRPr="008C1EC2">
        <w:rPr>
          <w:rStyle w:val="mim-font"/>
        </w:rPr>
        <w:t xml:space="preserve">in population databases. </w:t>
      </w:r>
      <w:r w:rsidR="00C52274" w:rsidRPr="008C1EC2">
        <w:rPr>
          <w:rStyle w:val="mim-font"/>
          <w:i/>
        </w:rPr>
        <w:t>In silico</w:t>
      </w:r>
      <w:r w:rsidR="00C52274" w:rsidRPr="008C1EC2">
        <w:rPr>
          <w:rStyle w:val="mim-font"/>
        </w:rPr>
        <w:t xml:space="preserve"> analysis predicts that this highly conserved residue is very likely to be damaging and lies in the cAMP-binding domain B where other pathogenic variants have been reported to be associated with acrodysostosis</w:t>
      </w:r>
      <w:r w:rsidR="0009131F" w:rsidRPr="008C1EC2">
        <w:rPr>
          <w:rStyle w:val="mim-font"/>
        </w:rPr>
        <w:t xml:space="preserve"> </w:t>
      </w:r>
      <w:r w:rsidR="0009131F" w:rsidRPr="008C1EC2">
        <w:rPr>
          <w:rStyle w:val="mim-font"/>
        </w:rPr>
        <w:fldChar w:fldCharType="begin" w:fldLock="1"/>
      </w:r>
      <w:r w:rsidR="00311050" w:rsidRPr="008C1EC2">
        <w:rPr>
          <w:rStyle w:val="mim-font"/>
        </w:rPr>
        <w:instrText>ADDIN CSL_CITATION {"citationItems":[{"id":"ITEM-1","itemData":{"DOI":"10.1210/jc.2012-2326","ISSN":"0021972X","PMID":"23043190","abstract":"Context:Acrodysostosis is a rare skeletal dysplasia that is associated with multiple resistance to G protein-coupled receptor (GPCR) signaling hormones in a subset of patients. Acrodysostosis is genetically heterogeneous because it results from heterozygous mutations in PRKAR1A or PDE4D, two key actors in the GPCR-cAMP-protein kinase A pathway.Objective:Our objective was to identify the phenotypic features that distinguish the two genotypes causing acrodysostosis.Patients and Methods:Sixteen unrelated patients with acrodysostosis underwent a candidate-gene approach and were investigated for phenotypic features.Results:All patients had heterozygous de novo mutations. Fourteen patients carried a PRKAR1A mutation (PRKAR1A patients), five each a novel PRKAR1A mutation (p.Q285R, p.G289E, p.A328V, p.R335L, or p.Q372X), nine the reported PRKAR1A p.R368X mutation; two patients harbored a mutation in PDE4D (PDE4D patients) (one novel mutation, p.A227S; one reported, p.E590A). All PRKAR1A, but none of the PDE4D mutated patients were resistant to PTH and TSH. Two PRKAR1A patients each with a novel mutation presented a specific pattern of brachydactyly. One PDE4D patient presented with acroskyphodysplasia. Additional phenotypic differences included mental retardation in PDE4D patients. In addition, we report the presence of pigmented skin lesions in PRKAR1A and PDE4D patients, a feature not yet described in the acrodysostosis entity.Conclusions:All PRKAR1A and PDE4D patients present similar bone dysplasia characterizing acrodysostosis. Phenotypic differences, including the presence of resistance to GPCR-cAMP signaling hormones in PRKAR1A but not PDE4D patients, indicate phenotype-genotype correlations and highlight the specific contributions of PRKAR1A and PDE4D in cAMP signaling in different tissues.","author":[{"dropping-particle":"","family":"Linglart","given":"Agnès","non-dropping-particle":"","parse-names":false,"suffix":""},{"dropping-particle":"","family":"Fryssira","given":"Helena","non-dropping-particle":"","parse-names":false,"suffix":""},{"dropping-particle":"","family":"Hiort","given":"Olaf","non-dropping-particle":"","parse-names":false,"suffix":""},{"dropping-particle":"","family":"Holterhus","given":"Paul Martin","non-dropping-particle":"","parse-names":false,"suffix":""},{"dropping-particle":"","family":"Perez De Nanclares","given":"Guiomar","non-dropping-particle":"","parse-names":false,"suffix":""},{"dropping-particle":"","family":"Argente","given":"Jesús","non-dropping-particle":"","parse-names":false,"suffix":""},{"dropping-particle":"","family":"Heinrichs","given":"Claudine","non-dropping-particle":"","parse-names":false,"suffix":""},{"dropping-particle":"","family":"Kuechler","given":"Alma","non-dropping-particle":"","parse-names":false,"suffix":""},{"dropping-particle":"","family":"Mantovani","given":"Giovanna","non-dropping-particle":"","parse-names":false,"suffix":""},{"dropping-particle":"","family":"Leheup","given":"Bruno","non-dropping-particle":"","parse-names":false,"suffix":""},{"dropping-particle":"","family":"Wicart","given":"Philippe","non-dropping-particle":"","parse-names":false,"suffix":""},{"dropping-particle":"","family":"Chassot","given":"Virginie","non-dropping-particle":"","parse-names":false,"suffix":""},{"dropping-particle":"","family":"Schmidt","given":"Dorothée","non-dropping-particle":"","parse-names":false,"suffix":""},{"dropping-particle":"","family":"Rubio-Cabezas","given":"Óscar","non-dropping-particle":"","parse-names":false,"suffix":""},{"dropping-particle":"","family":"Richter-Unruh","given":"Annette","non-dropping-particle":"","parse-names":false,"suffix":""},{"dropping-particle":"","family":"Berrade","given":"Sara","non-dropping-particle":"","parse-names":false,"suffix":""},{"dropping-particle":"","family":"Pereda","given":"Arrate","non-dropping-particle":"","parse-names":false,"suffix":""},{"dropping-particle":"","family":"Boros","given":"Emese","non-dropping-particle":"","parse-names":false,"suffix":""},{"dropping-particle":"","family":"Muñoz-Calvo","given":"Maria Teresa","non-dropping-particle":"","parse-names":false,"suffix":""},{"dropping-particle":"","family":"Castori","given":"Marco","non-dropping-particle":"","parse-names":false,"suffix":""},{"dropping-particle":"","family":"Gunes","given":"Yasemin","non-dropping-particle":"","parse-names":false,"suffix":""},{"dropping-particle":"","family":"Bertrand","given":"Guylene","non-dropping-particle":"","parse-names":false,"suffix":""},{"dropping-particle":"","family":"Bougnères","given":"Pierre","non-dropping-particle":"","parse-names":false,"suffix":""},{"dropping-particle":"","family":"Clauser","given":"Eric","non-dropping-particle":"","parse-names":false,"suffix":""},{"dropping-particle":"","family":"Silve","given":"Caroline","non-dropping-particle":"","parse-names":false,"suffix":""}],"container-title":"Journal of Clinical Endocrinology and Metabolism","id":"ITEM-1","issue":"12","issued":{"date-parts":[["2012"]]},"page":"2328-2338","title":"PRKAR1A and PDE4D mutations cause acrodysostosis but two distinct syndromes with or without GPCR-signaling hormone resistance","type":"article-journal","volume":"97"},"uris":["http://www.mendeley.com/documents/?uuid=6b3d6776-d934-4656-9905-bf4f47559d9c"]}],"mendeley":{"formattedCitation":"(Linglart et al., 2012)","plainTextFormattedCitation":"(Linglart et al., 2012)","previouslyFormattedCitation":"(Linglart et al., 2012)"},"properties":{"noteIndex":0},"schema":"https://github.com/citation-style-language/schema/raw/master/csl-citation.json"}</w:instrText>
      </w:r>
      <w:r w:rsidR="0009131F" w:rsidRPr="008C1EC2">
        <w:rPr>
          <w:rStyle w:val="mim-font"/>
        </w:rPr>
        <w:fldChar w:fldCharType="separate"/>
      </w:r>
      <w:r w:rsidR="0009131F" w:rsidRPr="008C1EC2">
        <w:rPr>
          <w:rStyle w:val="mim-font"/>
          <w:noProof/>
        </w:rPr>
        <w:t>(Linglart et al., 2012)</w:t>
      </w:r>
      <w:r w:rsidR="0009131F" w:rsidRPr="008C1EC2">
        <w:rPr>
          <w:rStyle w:val="mim-font"/>
        </w:rPr>
        <w:fldChar w:fldCharType="end"/>
      </w:r>
      <w:r w:rsidR="0009131F" w:rsidRPr="008C1EC2">
        <w:rPr>
          <w:rStyle w:val="mim-font"/>
        </w:rPr>
        <w:t xml:space="preserve">. </w:t>
      </w:r>
      <w:r w:rsidR="00C52274" w:rsidRPr="008C1EC2">
        <w:rPr>
          <w:rStyle w:val="mim-font"/>
        </w:rPr>
        <w:t xml:space="preserve">Subsequent parental testing </w:t>
      </w:r>
      <w:r w:rsidR="00EA4302" w:rsidRPr="008C1EC2">
        <w:rPr>
          <w:rStyle w:val="mim-font"/>
        </w:rPr>
        <w:t xml:space="preserve">confirmed </w:t>
      </w:r>
      <w:r w:rsidR="00C52274" w:rsidRPr="008C1EC2">
        <w:rPr>
          <w:rStyle w:val="mim-font"/>
          <w:i/>
        </w:rPr>
        <w:t>de novo</w:t>
      </w:r>
      <w:r w:rsidR="00C52274" w:rsidRPr="008C1EC2">
        <w:rPr>
          <w:rStyle w:val="mim-font"/>
        </w:rPr>
        <w:t xml:space="preserve"> occurrence. </w:t>
      </w:r>
    </w:p>
    <w:p w14:paraId="40CE2529" w14:textId="77777777" w:rsidR="000E694D" w:rsidRDefault="00C80DFF" w:rsidP="000E694D">
      <w:pPr>
        <w:spacing w:after="0" w:line="480" w:lineRule="auto"/>
        <w:jc w:val="both"/>
        <w:outlineLvl w:val="0"/>
        <w:rPr>
          <w:rFonts w:eastAsia="Times New Roman" w:cstheme="minorHAnsi"/>
          <w:b/>
          <w:lang w:eastAsia="en-GB"/>
        </w:rPr>
      </w:pPr>
      <w:r w:rsidRPr="008C1EC2">
        <w:rPr>
          <w:rFonts w:eastAsia="Times New Roman" w:cstheme="minorHAnsi"/>
          <w:b/>
          <w:iCs/>
          <w:color w:val="000000"/>
          <w:lang w:eastAsia="en-GB"/>
        </w:rPr>
        <w:t xml:space="preserve">Discussion </w:t>
      </w:r>
      <w:bookmarkStart w:id="1" w:name="_Hlk510534964"/>
    </w:p>
    <w:p w14:paraId="36248218" w14:textId="44233B36" w:rsidR="00EC4DE6" w:rsidRDefault="00E07E7D" w:rsidP="000E694D">
      <w:pPr>
        <w:spacing w:after="0" w:line="480" w:lineRule="auto"/>
        <w:jc w:val="both"/>
        <w:outlineLvl w:val="0"/>
      </w:pPr>
      <w:r w:rsidRPr="008C1EC2">
        <w:t xml:space="preserve">In </w:t>
      </w:r>
      <w:r w:rsidR="00340071" w:rsidRPr="008C1EC2">
        <w:t>the first c</w:t>
      </w:r>
      <w:r w:rsidRPr="008C1EC2">
        <w:t xml:space="preserve">ase </w:t>
      </w:r>
      <w:r w:rsidR="00340071" w:rsidRPr="008C1EC2">
        <w:t>s</w:t>
      </w:r>
      <w:r w:rsidRPr="008C1EC2">
        <w:t xml:space="preserve">tudy, our patient exhibited </w:t>
      </w:r>
      <w:r w:rsidR="00B12728" w:rsidRPr="008C1EC2">
        <w:t xml:space="preserve">the AHO phenotype and elevated PTH levels with a novel </w:t>
      </w:r>
      <w:r w:rsidR="00B12728" w:rsidRPr="004E1E32">
        <w:rPr>
          <w:i/>
        </w:rPr>
        <w:t>GNAS</w:t>
      </w:r>
      <w:r w:rsidR="00B12728" w:rsidRPr="008C1EC2">
        <w:t xml:space="preserve"> mutation, which was predicted to be </w:t>
      </w:r>
      <w:r w:rsidR="00AD2283" w:rsidRPr="008C1EC2">
        <w:t xml:space="preserve">likely </w:t>
      </w:r>
      <w:r w:rsidR="00B12728" w:rsidRPr="008C1EC2">
        <w:t>pathogenic. It is difficult to discern whether this patient falls under the PHP</w:t>
      </w:r>
      <w:r w:rsidR="00FA1F83">
        <w:t>Ia</w:t>
      </w:r>
      <w:r w:rsidR="00B12728" w:rsidRPr="008C1EC2">
        <w:t xml:space="preserve"> or PPHP category as his co-morbidity of </w:t>
      </w:r>
      <w:r w:rsidR="0082045A" w:rsidRPr="008C1EC2">
        <w:t>chronic kidney disease</w:t>
      </w:r>
      <w:r w:rsidR="00B12728" w:rsidRPr="008C1EC2">
        <w:t xml:space="preserve"> may </w:t>
      </w:r>
      <w:r w:rsidR="00352675" w:rsidRPr="008C1EC2">
        <w:t>also be the cause of the elevated PTH due to secondary hypoparathyroidism. This highlights how endocrine co-morbidity makes characterisation of novel variants difficult in this case. Further familial testing could help resolve this issue</w:t>
      </w:r>
      <w:r w:rsidR="00B0356F" w:rsidRPr="008C1EC2">
        <w:t>, to shed more light on this variant.</w:t>
      </w:r>
      <w:r w:rsidR="00755AD5">
        <w:t xml:space="preserve"> </w:t>
      </w:r>
      <w:r w:rsidR="00283778" w:rsidRPr="008C1EC2">
        <w:t xml:space="preserve">The intellectual disability usually results from maternal inheritance of the </w:t>
      </w:r>
      <w:r w:rsidR="00283778" w:rsidRPr="008C1EC2">
        <w:rPr>
          <w:i/>
        </w:rPr>
        <w:t>GNAS</w:t>
      </w:r>
      <w:r w:rsidR="00283778" w:rsidRPr="008C1EC2">
        <w:t xml:space="preserve"> variant and therefore, a degree of PTH resistance is suspected in addition to the effects of </w:t>
      </w:r>
      <w:r w:rsidR="0082045A" w:rsidRPr="008C1EC2">
        <w:t>chronic kidney disease</w:t>
      </w:r>
      <w:r w:rsidR="00283778" w:rsidRPr="008C1EC2">
        <w:t xml:space="preserve"> on PTH.</w:t>
      </w:r>
    </w:p>
    <w:p w14:paraId="51956AB2" w14:textId="67828731" w:rsidR="00EC4DE6" w:rsidRPr="00AB1548" w:rsidRDefault="00370759" w:rsidP="00DF1916">
      <w:pPr>
        <w:spacing w:after="0" w:line="480" w:lineRule="auto"/>
        <w:jc w:val="both"/>
        <w:outlineLvl w:val="0"/>
        <w:rPr>
          <w:color w:val="000000" w:themeColor="text1"/>
        </w:rPr>
      </w:pPr>
      <w:r>
        <w:t xml:space="preserve">To date, </w:t>
      </w:r>
      <w:r w:rsidRPr="00370759">
        <w:t>279</w:t>
      </w:r>
      <w:r>
        <w:t xml:space="preserve"> </w:t>
      </w:r>
      <w:r w:rsidRPr="00370759">
        <w:rPr>
          <w:i/>
        </w:rPr>
        <w:t>GNAS</w:t>
      </w:r>
      <w:r>
        <w:rPr>
          <w:i/>
        </w:rPr>
        <w:t xml:space="preserve"> </w:t>
      </w:r>
      <w:r w:rsidRPr="00370759">
        <w:t>mutations</w:t>
      </w:r>
      <w:r>
        <w:t xml:space="preserve"> have been reported </w:t>
      </w:r>
      <w:r w:rsidRPr="00370759">
        <w:rPr>
          <w:color w:val="000000" w:themeColor="text1"/>
        </w:rPr>
        <w:t>(</w:t>
      </w:r>
      <w:hyperlink r:id="rId8" w:history="1">
        <w:r w:rsidRPr="00370759">
          <w:rPr>
            <w:rStyle w:val="Hyperlink"/>
            <w:color w:val="000000" w:themeColor="text1"/>
            <w:u w:val="none"/>
          </w:rPr>
          <w:t>http://www.hgmd.cf.ac.uk/ac/all.php</w:t>
        </w:r>
      </w:hyperlink>
      <w:r w:rsidRPr="00370759">
        <w:rPr>
          <w:color w:val="000000" w:themeColor="text1"/>
        </w:rPr>
        <w:t>),</w:t>
      </w:r>
      <w:r w:rsidR="00DF1916">
        <w:rPr>
          <w:color w:val="000000" w:themeColor="text1"/>
        </w:rPr>
        <w:t xml:space="preserve"> </w:t>
      </w:r>
      <w:r w:rsidR="00CC02BE">
        <w:rPr>
          <w:color w:val="000000" w:themeColor="text1"/>
        </w:rPr>
        <w:t xml:space="preserve">including predominantly protein-truncating variants (frameshift, nonsense, and splice site).  </w:t>
      </w:r>
      <w:r w:rsidR="00DF1916">
        <w:rPr>
          <w:color w:val="000000" w:themeColor="text1"/>
        </w:rPr>
        <w:t xml:space="preserve">These are distributed across the 13 exons of the </w:t>
      </w:r>
      <w:r w:rsidR="00DF1916" w:rsidRPr="00DF1916">
        <w:rPr>
          <w:i/>
          <w:color w:val="000000" w:themeColor="text1"/>
        </w:rPr>
        <w:t>GNAS</w:t>
      </w:r>
      <w:r w:rsidR="00DF1916">
        <w:rPr>
          <w:color w:val="000000" w:themeColor="text1"/>
        </w:rPr>
        <w:t xml:space="preserve"> gene with the exception of the known hotspot in exon 7 for the </w:t>
      </w:r>
      <w:r w:rsidR="00DF1916" w:rsidRPr="00DF1916">
        <w:rPr>
          <w:color w:val="000000" w:themeColor="text1"/>
        </w:rPr>
        <w:t xml:space="preserve">4-bp deletion c.565_568delGACT </w:t>
      </w:r>
      <w:r w:rsidR="00580851">
        <w:rPr>
          <w:color w:val="000000" w:themeColor="text1"/>
        </w:rPr>
        <w:fldChar w:fldCharType="begin" w:fldLock="1"/>
      </w:r>
      <w:r w:rsidR="00580851">
        <w:rPr>
          <w:color w:val="000000" w:themeColor="text1"/>
        </w:rPr>
        <w:instrText>ADDIN CSL_CITATION {"citationItems":[{"id":"ITEM-1","itemData":{"DOI":"10.1016/j.bone.2013.06.015","ISBN":"1873-2763 (Electronic)\\r1873-2763 (Linking)","ISSN":"87563282","PMID":"23796510","abstract":"Progressive osseous heteroplasia (POH) is a rare autosomal dominant disorder of mesenchymal differentiation characterized by progressive heterotopic ossification (HO) of dermis, deep connective tissues and skeletal muscle. Usually, initial bone formation occurs during infancy as primary osteoma cutis (OC) then progressively extending into deep connective tissues and skeletal muscle over childhood.Most cases of POH are caused by paternally inherited inactivating mutations of GNAS gene. Maternally inherited mutations as well as epigenetic defects of the same gene lead to pseudohypoparathyroidism (PHP) and Albright's hereditary osteodystrophy (AHO).During the last decade, some reports documented the existence of patients with POH showing additional features characteristic of AHO such as short stature and brachydactyly, previously thought to occur only in other GNAS-associated disorders. Thus, POH can now be considered as part of a wide spectrum of ectopic bone formation disorders caused by inactivating GNAS mutations.Here, we report genetic and epigenetic analyses of GNAS locus in 10 patients affected with POH or primary OC, further expanding the spectrum of mutations associated with this rare disease and indicating that, unlike PHP, methylation alterations at the same locus are absent or uncommon in this disorder. © 2013 Elsevier Inc.","author":[{"dropping-particle":"","family":"Elli","given":"F. M.","non-dropping-particle":"","parse-names":false,"suffix":""},{"dropping-particle":"","family":"Barbieri","given":"A. M.","non-dropping-particle":"","parse-names":false,"suffix":""},{"dropping-particle":"","family":"Bordogna","given":"P.","non-dropping-particle":"","parse-names":false,"suffix":""},{"dropping-particle":"","family":"Ferrari","given":"P.","non-dropping-particle":"","parse-names":false,"suffix":""},{"dropping-particle":"","family":"Bufo","given":"R.","non-dropping-particle":"","parse-names":false,"suffix":""},{"dropping-particle":"","family":"Ferrante","given":"E.","non-dropping-particle":"","parse-names":false,"suffix":""},{"dropping-particle":"","family":"Giardino","given":"E.","non-dropping-particle":"","parse-names":false,"suffix":""},{"dropping-particle":"","family":"Beck-Peccoz","given":"P.","non-dropping-particle":"","parse-names":false,"suffix":""},{"dropping-particle":"","family":"Spada","given":"A.","non-dropping-particle":"","parse-names":false,"suffix":""},{"dropping-particle":"","family":"Mantovani","given":"G.","non-dropping-particle":"","parse-names":false,"suffix":""}],"container-title":"Bone","id":"ITEM-1","issue":"2","issued":{"date-parts":[["2013"]]},"page":"276-280","publisher":"Elsevier Inc.","title":"Screening for GNAS genetic and epigenetic alterations in progressive osseous heteroplasia: First Italian series","type":"article-journal","volume":"56"},"uris":["http://www.mendeley.com/documents/?uuid=3562e132-41cd-4f37-85c9-52421495ad85"]}],"mendeley":{"formattedCitation":"(F. M. Elli et al., 2013)","plainTextFormattedCitation":"(F. M. Elli et al., 2013)","previouslyFormattedCitation":"(F. M. Elli et al., 2013)"},"properties":{"noteIndex":0},"schema":"https://github.com/citation-style-language/schema/raw/master/csl-citation.json"}</w:instrText>
      </w:r>
      <w:r w:rsidR="00580851">
        <w:rPr>
          <w:color w:val="000000" w:themeColor="text1"/>
        </w:rPr>
        <w:fldChar w:fldCharType="separate"/>
      </w:r>
      <w:r w:rsidR="00580851" w:rsidRPr="00580851">
        <w:rPr>
          <w:noProof/>
          <w:color w:val="000000" w:themeColor="text1"/>
        </w:rPr>
        <w:t>(F. M. Elli et al., 2013)</w:t>
      </w:r>
      <w:r w:rsidR="00580851">
        <w:rPr>
          <w:color w:val="000000" w:themeColor="text1"/>
        </w:rPr>
        <w:fldChar w:fldCharType="end"/>
      </w:r>
      <w:r w:rsidR="00580851">
        <w:rPr>
          <w:color w:val="000000" w:themeColor="text1"/>
        </w:rPr>
        <w:t>.</w:t>
      </w:r>
      <w:r w:rsidR="00AB1548">
        <w:rPr>
          <w:color w:val="000000" w:themeColor="text1"/>
        </w:rPr>
        <w:t xml:space="preserve"> Inactivating </w:t>
      </w:r>
      <w:r w:rsidR="00AB1548" w:rsidRPr="00AB1548">
        <w:rPr>
          <w:i/>
          <w:color w:val="000000" w:themeColor="text1"/>
        </w:rPr>
        <w:t>GNAS</w:t>
      </w:r>
      <w:r w:rsidR="00AB1548">
        <w:rPr>
          <w:color w:val="000000" w:themeColor="text1"/>
        </w:rPr>
        <w:t xml:space="preserve"> disorders have complete penetrance with childhood-onset manifestations, similar to our</w:t>
      </w:r>
      <w:r w:rsidR="00EC4DE6">
        <w:rPr>
          <w:color w:val="000000" w:themeColor="text1"/>
        </w:rPr>
        <w:t xml:space="preserve"> first</w:t>
      </w:r>
      <w:r w:rsidR="00AB1548">
        <w:rPr>
          <w:color w:val="000000" w:themeColor="text1"/>
        </w:rPr>
        <w:t xml:space="preserve"> patient, although the number and degree of these can vary significantly between affected individuals. </w:t>
      </w:r>
      <w:r w:rsidR="00DF1916">
        <w:t xml:space="preserve">Overall, there does not appear to be a clear </w:t>
      </w:r>
      <w:r w:rsidR="00AB1548">
        <w:t>correlation</w:t>
      </w:r>
      <w:r w:rsidR="00DF1916">
        <w:t xml:space="preserve"> between the type and location of inactivating </w:t>
      </w:r>
      <w:r w:rsidR="00DF1916" w:rsidRPr="008C1EC2">
        <w:rPr>
          <w:i/>
        </w:rPr>
        <w:t>GNAS</w:t>
      </w:r>
      <w:r w:rsidR="00DF1916" w:rsidRPr="008C1EC2">
        <w:t xml:space="preserve"> </w:t>
      </w:r>
      <w:r w:rsidR="00DF1916">
        <w:t xml:space="preserve">pathogenic </w:t>
      </w:r>
      <w:r w:rsidR="00DF1916" w:rsidRPr="008C1EC2">
        <w:t>variant</w:t>
      </w:r>
      <w:r w:rsidR="00DF1916">
        <w:t>s</w:t>
      </w:r>
      <w:r w:rsidR="00AB1548">
        <w:t xml:space="preserve"> and </w:t>
      </w:r>
      <w:r w:rsidR="00755AD5">
        <w:t>clinical manifestations</w:t>
      </w:r>
      <w:r w:rsidR="00AB1548">
        <w:t xml:space="preserve">, with the exception of a greater prevalence of ectopic ossifications </w:t>
      </w:r>
      <w:r w:rsidR="00755AD5">
        <w:t>associated with</w:t>
      </w:r>
      <w:r w:rsidR="00AB1548">
        <w:t xml:space="preserve"> </w:t>
      </w:r>
      <w:r w:rsidR="00755AD5">
        <w:t>protein-truncating or exon 1 variants</w:t>
      </w:r>
      <w:r w:rsidR="00580851">
        <w:t xml:space="preserve"> </w:t>
      </w:r>
      <w:r w:rsidR="00580851">
        <w:fldChar w:fldCharType="begin" w:fldLock="1"/>
      </w:r>
      <w:r w:rsidR="00B91CFE">
        <w:instrText>ADDIN CSL_CITATION {"citationItems":[{"id":"ITEM-1","itemData":{"DOI":"10.1016/j.bone.2013.06.015","ISBN":"1873-2763 (Electronic)\\r1873-2763 (Linking)","ISSN":"87563282","PMID":"23796510","abstract":"Progressive osseous heteroplasia (POH) is a rare autosomal dominant disorder of mesenchymal differentiation characterized by progressive heterotopic ossification (HO) of dermis, deep connective tissues and skeletal muscle. Usually, initial bone formation occurs during infancy as primary osteoma cutis (OC) then progressively extending into deep connective tissues and skeletal muscle over childhood.Most cases of POH are caused by paternally inherited inactivating mutations of GNAS gene. Maternally inherited mutations as well as epigenetic defects of the same gene lead to pseudohypoparathyroidism (PHP) and Albright's hereditary osteodystrophy (AHO).During the last decade, some reports documented the existence of patients with POH showing additional features characteristic of AHO such as short stature and brachydactyly, previously thought to occur only in other GNAS-associated disorders. Thus, POH can now be considered as part of a wide spectrum of ectopic bone formation disorders caused by inactivating GNAS mutations.Here, we report genetic and epigenetic analyses of GNAS locus in 10 patients affected with POH or primary OC, further expanding the spectrum of mutations associated with this rare disease and indicating that, unlike PHP, methylation alterations at the same locus are absent or uncommon in this disorder. © 2013 Elsevier Inc.","author":[{"dropping-particle":"","family":"Elli","given":"F. M.","non-dropping-particle":"","parse-names":false,"suffix":""},{"dropping-particle":"","family":"Barbieri","given":"A. M.","non-dropping-particle":"","parse-names":false,"suffix":""},{"dropping-particle":"","family":"Bordogna","given":"P.","non-dropping-particle":"","parse-names":false,"suffix":""},{"dropping-particle":"","family":"Ferrari","given":"P.","non-dropping-particle":"","parse-names":false,"suffix":""},{"dropping-particle":"","family":"Bufo","given":"R.","non-dropping-particle":"","parse-names":false,"suffix":""},{"dropping-particle":"","family":"Ferrante","given":"E.","non-dropping-particle":"","parse-names":false,"suffix":""},{"dropping-particle":"","family":"Giardino","given":"E.","non-dropping-particle":"","parse-names":false,"suffix":""},{"dropping-particle":"","family":"Beck-Peccoz","given":"P.","non-dropping-particle":"","parse-names":false,"suffix":""},{"dropping-particle":"","family":"Spada","given":"A.","non-dropping-particle":"","parse-names":false,"suffix":""},{"dropping-particle":"","family":"Mantovani","given":"G.","non-dropping-particle":"","parse-names":false,"suffix":""}],"container-title":"Bone","id":"ITEM-1","issue":"2","issued":{"date-parts":[["2013"]]},"page":"276-280","publisher":"Elsevier Inc.","title":"Screening for GNAS genetic and epigenetic alterations in progressive osseous heteroplasia: First Italian series","type":"article-journal","volume":"56"},"uris":["http://www.mendeley.com/documents/?uuid=3562e132-41cd-4f37-85c9-52421495ad85"]},{"id":"ITEM-2","itemData":{"DOI":"10.1002/mgg3.117","ISBN":"2324-9269 (Electronic)","ISSN":"23249269","PMID":"25802881","abstract":"Maternally inherited inactivating GNAS mutations are the most common cause of parathyroid hormone (PTH) resistance and Albright hereditary osteodystrophy (AHO) leading to pseudohypoparathyroidism type Ia (PHPIa) due to Gsalpha deficiency. Paternally inherited inactivating mutations lead to isolated AHO signs characterizing pseudo-pseudohypoparathyroidism (PPHP). Mutations are distributed throughout the Gsalpha coding exons of GNAS and there is a lack of genotype-phenotype correlation. In this study, we sequenced exon 1-13 of GNAS in a large cohort of PHPIa- and PPHP patients and identified 58 different mutations in 88 patients and 27 relatives. Thirty-three mutations including 15 missense mutations were newly discovered. Furthermore, we found three hot spots: a known hotspot (p.D190MfsX14), a second at codon 166 (p.R166C), and a third at the exon 5 acceptor splice site (c.435 + 1G&gt;A), found in 15, 5, and 4 unrelated patients, respectively. Comparing the clinical features to the molecular genetic data, a significantly higher occurrence of subcutaneous calcifications in patients harboring truncating versus missense mutations was demonstrated. Thus, in the largest cohort of PHPIa patients described to date, we extend the spectrum of known GNAS mutations and hot spots and demonstrate for the first time a correlation between the genetic defects and the expression of a clinical AHO-feature.","author":[{"dropping-particle":"","family":"Thiele","given":"Susanne","non-dropping-particle":"","parse-names":false,"suffix":""},{"dropping-particle":"","family":"Werner","given":"Ralf","non-dropping-particle":"","parse-names":false,"suffix":""},{"dropping-particle":"","family":"Grötzinger","given":"Joachim","non-dropping-particle":"","parse-names":false,"suffix":""},{"dropping-particle":"","family":"Brix","given":"Bettina","non-dropping-particle":"","parse-names":false,"suffix":""},{"dropping-particle":"","family":"Staedt","given":"Pia","non-dropping-particle":"","parse-names":false,"suffix":""},{"dropping-particle":"","family":"Struve","given":"Dagmar","non-dropping-particle":"","parse-names":false,"suffix":""},{"dropping-particle":"","family":"Reiz","given":"Benedikt","non-dropping-particle":"","parse-names":false,"suffix":""},{"dropping-particle":"","family":"Farida","given":"Jennane","non-dropping-particle":"","parse-names":false,"suffix":""},{"dropping-particle":"","family":"Hiort","given":"Olaf","non-dropping-particle":"","parse-names":false,"suffix":""}],"container-title":"Molecular Genetics &amp; Genomic Medicine","id":"ITEM-2","issue":"2","issued":{"date-parts":[["2015"]]},"page":"111-120","title":"A positive genotype-phenotype correlation in a large cohort of patients with Pseudohypoparathyroidism Type Ia and Pseudo-pseudohypoparathyroidism and 33 newly identified mutations in the &lt;i&gt;GNAS&lt;/i&gt; gene","type":"article-journal","volume":"3"},"uris":["http://www.mendeley.com/documents/?uuid=66db16e6-65f3-4387-b255-5714597e416e"]}],"mendeley":{"formattedCitation":"(F. M. Elli et al., 2013; Thiele et al., 2015)","plainTextFormattedCitation":"(F. M. Elli et al., 2013; Thiele et al., 2015)","previouslyFormattedCitation":"(F. M. Elli et al., 2013; Thiele et al., 2015)"},"properties":{"noteIndex":0},"schema":"https://github.com/citation-style-language/schema/raw/master/csl-citation.json"}</w:instrText>
      </w:r>
      <w:r w:rsidR="00580851">
        <w:fldChar w:fldCharType="separate"/>
      </w:r>
      <w:r w:rsidR="00580851" w:rsidRPr="00580851">
        <w:rPr>
          <w:noProof/>
        </w:rPr>
        <w:t>(F. M. Elli et al., 2013; Thiele et al., 2015)</w:t>
      </w:r>
      <w:r w:rsidR="00580851">
        <w:fldChar w:fldCharType="end"/>
      </w:r>
      <w:r w:rsidR="00580851">
        <w:t xml:space="preserve">. </w:t>
      </w:r>
      <w:r w:rsidR="00755AD5" w:rsidRPr="00755AD5">
        <w:rPr>
          <w:color w:val="000000" w:themeColor="text1"/>
        </w:rPr>
        <w:t xml:space="preserve">Our patient </w:t>
      </w:r>
      <w:r w:rsidR="00755AD5">
        <w:rPr>
          <w:color w:val="000000" w:themeColor="text1"/>
        </w:rPr>
        <w:t xml:space="preserve">harboured a missense variant in exon 5 of the </w:t>
      </w:r>
      <w:r w:rsidR="00755AD5" w:rsidRPr="00755AD5">
        <w:rPr>
          <w:i/>
          <w:color w:val="000000" w:themeColor="text1"/>
        </w:rPr>
        <w:t>GNAS</w:t>
      </w:r>
      <w:r w:rsidR="00755AD5">
        <w:rPr>
          <w:color w:val="000000" w:themeColor="text1"/>
        </w:rPr>
        <w:t xml:space="preserve"> gene with no ectopic calcifications. </w:t>
      </w:r>
    </w:p>
    <w:p w14:paraId="20D334DB" w14:textId="16BC100F" w:rsidR="009370B6" w:rsidRDefault="00F26F18" w:rsidP="00EC4DE6">
      <w:pPr>
        <w:spacing w:after="0" w:line="480" w:lineRule="auto"/>
        <w:jc w:val="both"/>
        <w:rPr>
          <w:rFonts w:eastAsia="Times New Roman"/>
          <w:shd w:val="clear" w:color="auto" w:fill="FEFEFE"/>
        </w:rPr>
      </w:pPr>
      <w:bookmarkStart w:id="2" w:name="_Hlk536190164"/>
      <w:r w:rsidRPr="008C1EC2">
        <w:t>Despite</w:t>
      </w:r>
      <w:r w:rsidR="002023D7" w:rsidRPr="008C1EC2">
        <w:t xml:space="preserve"> the high detection rate of </w:t>
      </w:r>
      <w:r w:rsidR="002023D7" w:rsidRPr="008C1EC2">
        <w:rPr>
          <w:i/>
        </w:rPr>
        <w:t>GNAS</w:t>
      </w:r>
      <w:r w:rsidR="002023D7" w:rsidRPr="008C1EC2">
        <w:t xml:space="preserve"> molecular defects, around 30% of patients who have a clinical diagnosis of a PHP-AHO disorder still lack a molecular diagnosis</w:t>
      </w:r>
      <w:r w:rsidR="00613829" w:rsidRPr="008C1EC2">
        <w:t xml:space="preserve"> </w:t>
      </w:r>
      <w:r w:rsidR="00613829" w:rsidRPr="008C1EC2">
        <w:fldChar w:fldCharType="begin" w:fldLock="1"/>
      </w:r>
      <w:r w:rsidR="00580851">
        <w:instrText>ADDIN CSL_CITATION {"citationItems":[{"id":"ITEM-1","itemData":{"DOI":"10.1002/jbmr.2785","ISSN":"15234681","PMID":"26763073","abstract":"The cyclic adenosine monophosphate (cAMP) intracellular signaling pathway mediates the physiological effects of several hormones and neurotransmitters, acting by the activation of G-protein coupled receptors (GPCRs) and several downstream intracellular effectors, including the heterotrimeric stimulatory G-protein (Gs), the cAMP-dependent protein kinase A (PKA) and cAMP-specific phosphodiesterases (PDEs). Defective G protein-mediated signaling has been associated to an increasing number of disorders, including Albright hereditary osteodistrophy (AHO) and pseudohypoparathyroidism (PHP), a heterogeneous group of rare genetic metabolic disorders due to molecular defects at the GNAS locus. Moreover, mutations in PRKAR1A and PDE4D genes have been recently detected in patients with acrodysostosis (ACRDYS), showing a skeletal and endocrinological phenotype partially overlapping with AHO/PHP. Despite the high detection rate of molecular defects by currently available molecular approaches, about 30% of AHO/PHP patients still lack a molecular diagnosis, hence the need to screen patients negative for GNAS epi/genetic defects also for chromosomal regions and genes associated to diseases that undergo differential diagnosis with PHP. According to the growing knowledge on Gsα-cAMP signaling-linked disorders, we investigated our series of patients (n = 81) with a clinical diagnosis of PHP/AHO but negative for GNAS anomalies for the presence of novel genetic variants at PRKAR1A and PDE4D genes. Our work allowed the detection of 8 novel missense variants affecting genes so far associated to ACRDYS in 9 patients. Our data further confirm the molecular and clinical overlap among these disorders; we present the data collected from a large series of patients and a brief review of the literature, in order to compare our findings with already published data, to look for PRKAR1A/PDE4D mutation spectrum, recurrent mutations and mutation hot spots, and to identify specific clinical features associated to ACRDYS, that deserve surveillance during follow-up. This article is protected by copyright. All rights reserved.","author":[{"dropping-particle":"","family":"Elli","given":"Francesca Marta","non-dropping-particle":"","parse-names":false,"suffix":""},{"dropping-particle":"","family":"Bordogna","given":"Paolo","non-dropping-particle":"","parse-names":false,"suffix":""},{"dropping-particle":"","family":"Sanctis","given":"Luisa","non-dropping-particle":"De","parse-names":false,"suffix":""},{"dropping-particle":"","family":"Giachero","given":"Federica","non-dropping-particle":"","parse-names":false,"suffix":""},{"dropping-particle":"","family":"Verrua","given":"Elisa","non-dropping-particle":"","parse-names":false,"suffix":""},{"dropping-particle":"","family":"Segni","given":"Maria","non-dropping-particle":"","parse-names":false,"suffix":""},{"dropping-particle":"","family":"Mazzanti","given":"Laura","non-dropping-particle":"","parse-names":false,"suffix":""},{"dropping-particle":"","family":"Boldrin","given":"Valentina","non-dropping-particle":"","parse-names":false,"suffix":""},{"dropping-particle":"","family":"Toromanovic","given":"Alma","non-dropping-particle":"","parse-names":false,"suffix":""},{"dropping-particle":"","family":"Spada","given":"Anna","non-dropping-particle":"","parse-names":false,"suffix":""},{"dropping-particle":"","family":"Mantovani","given":"Giovanna","non-dropping-particle":"","parse-names":false,"suffix":""}],"container-title":"Journal of Bone and Mineral Research","id":"ITEM-1","issue":"6","issued":{"date-parts":[["2016"]]},"page":"1215-1224","title":"Screening of PRKAR1A and PDE4D in a Large Italian Series of Patients Clinically Diagnosed with Albright Hereditary Osteodystrophy and/or Pseudohypoparathyroidism","type":"article-journal","volume":"31"},"uris":["http://www.mendeley.com/documents/?uuid=7fc71214-b830-4659-9719-921f1333ff27","http://www.mendeley.com/documents/?uuid=0db27274-42d6-4bc0-9811-09a6d9a690d5"]}],"mendeley":{"formattedCitation":"(Francesca Marta Elli et al., 2016)","plainTextFormattedCitation":"(Francesca Marta Elli et al., 2016)","previouslyFormattedCitation":"(Francesca Marta Elli et al., 2016)"},"properties":{"noteIndex":0},"schema":"https://github.com/citation-style-language/schema/raw/master/csl-citation.json"}</w:instrText>
      </w:r>
      <w:r w:rsidR="00613829" w:rsidRPr="008C1EC2">
        <w:fldChar w:fldCharType="separate"/>
      </w:r>
      <w:r w:rsidR="00580851" w:rsidRPr="00580851">
        <w:rPr>
          <w:noProof/>
        </w:rPr>
        <w:t>(Francesca Marta Elli et al., 2016)</w:t>
      </w:r>
      <w:r w:rsidR="00613829" w:rsidRPr="008C1EC2">
        <w:fldChar w:fldCharType="end"/>
      </w:r>
      <w:r w:rsidR="002023D7" w:rsidRPr="008C1EC2">
        <w:t xml:space="preserve">. </w:t>
      </w:r>
      <w:r w:rsidR="00EC4DE6">
        <w:t xml:space="preserve">In our second patient, </w:t>
      </w:r>
      <w:r w:rsidR="00EC4DE6" w:rsidRPr="008C1EC2">
        <w:rPr>
          <w:rFonts w:eastAsia="Times New Roman" w:cstheme="minorHAnsi"/>
          <w:lang w:eastAsia="en-GB"/>
        </w:rPr>
        <w:t xml:space="preserve">it was only after initial (negative) </w:t>
      </w:r>
      <w:r w:rsidR="00EC4DE6" w:rsidRPr="008C1EC2">
        <w:rPr>
          <w:rFonts w:eastAsia="Times New Roman" w:cstheme="minorHAnsi"/>
          <w:i/>
          <w:lang w:eastAsia="en-GB"/>
        </w:rPr>
        <w:t>GNAS</w:t>
      </w:r>
      <w:r w:rsidR="00EC4DE6" w:rsidRPr="008C1EC2">
        <w:rPr>
          <w:rFonts w:eastAsia="Times New Roman" w:cstheme="minorHAnsi"/>
          <w:lang w:eastAsia="en-GB"/>
        </w:rPr>
        <w:t xml:space="preserve"> testing and a skeletal survey </w:t>
      </w:r>
      <w:r w:rsidR="001D1E03">
        <w:rPr>
          <w:rFonts w:eastAsia="Times New Roman" w:cstheme="minorHAnsi"/>
          <w:lang w:eastAsia="en-GB"/>
        </w:rPr>
        <w:t xml:space="preserve">with expert radiological opinion </w:t>
      </w:r>
      <w:r w:rsidR="00EC4DE6" w:rsidRPr="008C1EC2">
        <w:rPr>
          <w:rFonts w:eastAsia="Times New Roman" w:cstheme="minorHAnsi"/>
          <w:lang w:eastAsia="en-GB"/>
        </w:rPr>
        <w:t xml:space="preserve">that further molecular testing was undertaken to reveal a diagnosis of acrodysostosis. This was difficult to discern on clinical grounds although some subtle differences exist. Brachydactyly of the hands is generally of </w:t>
      </w:r>
      <w:r w:rsidR="00EC4DE6" w:rsidRPr="008C1EC2">
        <w:rPr>
          <w:rFonts w:eastAsia="Times New Roman" w:cstheme="minorHAnsi"/>
          <w:lang w:eastAsia="en-GB"/>
        </w:rPr>
        <w:lastRenderedPageBreak/>
        <w:t xml:space="preserve">variable degree in PHP/PPHP as opposed to acrodysostosis, where it is more pronounced with accompanying cone-shaped epiphyses as a constant finding in the latter </w:t>
      </w:r>
      <w:r w:rsidR="00EC4DE6" w:rsidRPr="008C1EC2">
        <w:rPr>
          <w:rFonts w:eastAsia="Times New Roman" w:cstheme="minorHAnsi"/>
          <w:lang w:eastAsia="en-GB"/>
        </w:rPr>
        <w:fldChar w:fldCharType="begin" w:fldLock="1"/>
      </w:r>
      <w:r w:rsidR="00EC4DE6" w:rsidRPr="008C1EC2">
        <w:rPr>
          <w:rFonts w:eastAsia="Times New Roman" w:cstheme="minorHAnsi"/>
          <w:lang w:eastAsia="en-GB"/>
        </w:rPr>
        <w:instrText>ADDIN CSL_CITATION {"citationItems":[{"id":"ITEM-1","itemData":{"DOI":"10.1038/bonekey.2012.225","ISBN":"2047-6396","ISSN":"20476396","PMID":"24363928","abstract":"Acrodysostosis (ADO) refers to a heterogeneous group of rare skeletal dysplasia that share characteristic features including severe brachydactyly, facial dysostosis and nasal hypoplasia. The literature describing acrodysostosis cases has been confusing because some reported patients may have had other phenotypically related diseases presenting with Albright Hereditary Osteodystrophy (AHO) such as pseudohypoparathyroidism type 1a (PHP1a) or pseudopseudohypoparathyroidism (PPHP). A question has been whether patients display or not abnormal mineral metabolism associated with resistance to PTH and/or resistance to other hormones that bind G-protein coupled receptors (GPCR) linked to Gsα, as observed in PHP1a. The recent identification in patients affected with acrodysostosis of defects in two genes, PRKAR1A and PDE4D, both important players in the GPCR-Gsα-cAMP-PKA signaling, has helped clarify some issues regarding the heterogeneity of acrodysostosis, in particular the presence of hormonal resistance. Two different genetic and phenotypic syndromes are now identified, both with a similar bone dysplasia: ADOHR, due to PRKAR1A defects, and ADOP4 (our denomination), due to PDE4D defects. The existence of GPCR-hormone resistance is typical of the ADOHR syndrome. We review here the PRKAR1A and PDE4D gene defects and phenotypes identified in acrodysostosis syndromes, and discuss them in view of phenotypically related diseases caused by defects in the same signaling pathway.","author":[{"dropping-particle":"","family":"Silve","given":"C","non-dropping-particle":"","parse-names":false,"suffix":""},{"dropping-particle":"","family":"Le-Stunff","given":"C","non-dropping-particle":"","parse-names":false,"suffix":""},{"dropping-particle":"","family":"Motte","given":"E","non-dropping-particle":"","parse-names":false,"suffix":""},{"dropping-particle":"","family":"Gunes","given":"Y","non-dropping-particle":"","parse-names":false,"suffix":""},{"dropping-particle":"","family":"Linglart","given":"A","non-dropping-particle":"","parse-names":false,"suffix":""},{"dropping-particle":"","family":"Clauser","given":"E","non-dropping-particle":"","parse-names":false,"suffix":""}],"container-title":"BoneKEy Reports","id":"ITEM-1","issue":"September","issued":{"date-parts":[["2012"]]},"page":"225","publisher":"Nature Publishing Group","title":"Acrodysostosis syndromes","type":"article-journal","volume":"1"},"uris":["http://www.mendeley.com/documents/?uuid=1c188965-fedd-4c2a-b137-341b9f028f6b"]}],"mendeley":{"formattedCitation":"(Silve et al., 2012)","plainTextFormattedCitation":"(Silve et al., 2012)","previouslyFormattedCitation":"(Silve et al., 2012)"},"properties":{"noteIndex":0},"schema":"https://github.com/citation-style-language/schema/raw/master/csl-citation.json"}</w:instrText>
      </w:r>
      <w:r w:rsidR="00EC4DE6" w:rsidRPr="008C1EC2">
        <w:rPr>
          <w:rFonts w:eastAsia="Times New Roman" w:cstheme="minorHAnsi"/>
          <w:lang w:eastAsia="en-GB"/>
        </w:rPr>
        <w:fldChar w:fldCharType="separate"/>
      </w:r>
      <w:r w:rsidR="00EC4DE6" w:rsidRPr="008C1EC2">
        <w:rPr>
          <w:rFonts w:eastAsia="Times New Roman" w:cstheme="minorHAnsi"/>
          <w:noProof/>
          <w:lang w:eastAsia="en-GB"/>
        </w:rPr>
        <w:t>(Silve et al., 2012)</w:t>
      </w:r>
      <w:r w:rsidR="00EC4DE6" w:rsidRPr="008C1EC2">
        <w:rPr>
          <w:rFonts w:eastAsia="Times New Roman" w:cstheme="minorHAnsi"/>
          <w:lang w:eastAsia="en-GB"/>
        </w:rPr>
        <w:fldChar w:fldCharType="end"/>
      </w:r>
      <w:r w:rsidR="00EC4DE6" w:rsidRPr="008C1EC2">
        <w:rPr>
          <w:rFonts w:eastAsia="Times New Roman" w:cstheme="minorHAnsi"/>
          <w:lang w:eastAsia="en-GB"/>
        </w:rPr>
        <w:t>. Ectopic ossifications are not reported in association with acrodysostosis</w:t>
      </w:r>
      <w:r w:rsidR="005C051A">
        <w:rPr>
          <w:rFonts w:eastAsia="Times New Roman" w:cstheme="minorHAnsi"/>
          <w:lang w:eastAsia="en-GB"/>
        </w:rPr>
        <w:t xml:space="preserve"> but </w:t>
      </w:r>
      <w:r w:rsidR="006E5AE9">
        <w:rPr>
          <w:rFonts w:eastAsia="Times New Roman" w:cstheme="minorHAnsi"/>
          <w:lang w:eastAsia="en-GB"/>
        </w:rPr>
        <w:t>it</w:t>
      </w:r>
      <w:r w:rsidR="005C051A">
        <w:rPr>
          <w:rFonts w:eastAsia="Times New Roman" w:cstheme="minorHAnsi"/>
          <w:lang w:eastAsia="en-GB"/>
        </w:rPr>
        <w:t xml:space="preserve"> was detected in our patient with the </w:t>
      </w:r>
      <w:r w:rsidR="005C051A" w:rsidRPr="008C1EC2">
        <w:rPr>
          <w:rFonts w:eastAsia="Times New Roman" w:cstheme="minorHAnsi"/>
          <w:i/>
          <w:color w:val="000000"/>
          <w:lang w:eastAsia="en-GB"/>
        </w:rPr>
        <w:t>PRKAR1A</w:t>
      </w:r>
      <w:r w:rsidR="005C051A">
        <w:rPr>
          <w:rFonts w:eastAsia="Times New Roman" w:cstheme="minorHAnsi"/>
          <w:color w:val="000000"/>
          <w:lang w:eastAsia="en-GB"/>
        </w:rPr>
        <w:t xml:space="preserve"> variant</w:t>
      </w:r>
      <w:r w:rsidR="00EC4DE6" w:rsidRPr="008C1EC2">
        <w:rPr>
          <w:rFonts w:eastAsia="Times New Roman" w:cstheme="minorHAnsi"/>
          <w:lang w:eastAsia="en-GB"/>
        </w:rPr>
        <w:t xml:space="preserve"> </w:t>
      </w:r>
      <w:r w:rsidR="00EC4DE6" w:rsidRPr="008C1EC2">
        <w:rPr>
          <w:rFonts w:eastAsia="Times New Roman" w:cstheme="minorHAnsi"/>
          <w:lang w:eastAsia="en-GB"/>
        </w:rPr>
        <w:fldChar w:fldCharType="begin" w:fldLock="1"/>
      </w:r>
      <w:r w:rsidR="00EC4DE6" w:rsidRPr="008C1EC2">
        <w:rPr>
          <w:rFonts w:eastAsia="Times New Roman" w:cstheme="minorHAnsi"/>
          <w:lang w:eastAsia="en-GB"/>
        </w:rPr>
        <w:instrText>ADDIN CSL_CITATION {"citationItems":[{"id":"ITEM-1","itemData":{"DOI":"10.1038/bonekey.2012.225","ISBN":"2047-6396","ISSN":"20476396","PMID":"24363928","abstract":"Acrodysostosis (ADO) refers to a heterogeneous group of rare skeletal dysplasia that share characteristic features including severe brachydactyly, facial dysostosis and nasal hypoplasia. The literature describing acrodysostosis cases has been confusing because some reported patients may have had other phenotypically related diseases presenting with Albright Hereditary Osteodystrophy (AHO) such as pseudohypoparathyroidism type 1a (PHP1a) or pseudopseudohypoparathyroidism (PPHP). A question has been whether patients display or not abnormal mineral metabolism associated with resistance to PTH and/or resistance to other hormones that bind G-protein coupled receptors (GPCR) linked to Gsα, as observed in PHP1a. The recent identification in patients affected with acrodysostosis of defects in two genes, PRKAR1A and PDE4D, both important players in the GPCR-Gsα-cAMP-PKA signaling, has helped clarify some issues regarding the heterogeneity of acrodysostosis, in particular the presence of hormonal resistance. Two different genetic and phenotypic syndromes are now identified, both with a similar bone dysplasia: ADOHR, due to PRKAR1A defects, and ADOP4 (our denomination), due to PDE4D defects. The existence of GPCR-hormone resistance is typical of the ADOHR syndrome. We review here the PRKAR1A and PDE4D gene defects and phenotypes identified in acrodysostosis syndromes, and discuss them in view of phenotypically related diseases caused by defects in the same signaling pathway.","author":[{"dropping-particle":"","family":"Silve","given":"C","non-dropping-particle":"","parse-names":false,"suffix":""},{"dropping-particle":"","family":"Le-Stunff","given":"C","non-dropping-particle":"","parse-names":false,"suffix":""},{"dropping-particle":"","family":"Motte","given":"E","non-dropping-particle":"","parse-names":false,"suffix":""},{"dropping-particle":"","family":"Gunes","given":"Y","non-dropping-particle":"","parse-names":false,"suffix":""},{"dropping-particle":"","family":"Linglart","given":"A","non-dropping-particle":"","parse-names":false,"suffix":""},{"dropping-particle":"","family":"Clauser","given":"E","non-dropping-particle":"","parse-names":false,"suffix":""}],"container-title":"BoneKEy Reports","id":"ITEM-1","issue":"September","issued":{"date-parts":[["2012"]]},"page":"225","publisher":"Nature Publishing Group","title":"Acrodysostosis syndromes","type":"article-journal","volume":"1"},"uris":["http://www.mendeley.com/documents/?uuid=1c188965-fedd-4c2a-b137-341b9f028f6b"]}],"mendeley":{"formattedCitation":"(Silve et al., 2012)","plainTextFormattedCitation":"(Silve et al., 2012)","previouslyFormattedCitation":"(Silve et al., 2012)"},"properties":{"noteIndex":0},"schema":"https://github.com/citation-style-language/schema/raw/master/csl-citation.json"}</w:instrText>
      </w:r>
      <w:r w:rsidR="00EC4DE6" w:rsidRPr="008C1EC2">
        <w:rPr>
          <w:rFonts w:eastAsia="Times New Roman" w:cstheme="minorHAnsi"/>
          <w:lang w:eastAsia="en-GB"/>
        </w:rPr>
        <w:fldChar w:fldCharType="separate"/>
      </w:r>
      <w:r w:rsidR="00EC4DE6" w:rsidRPr="008C1EC2">
        <w:rPr>
          <w:rFonts w:eastAsia="Times New Roman" w:cstheme="minorHAnsi"/>
          <w:noProof/>
          <w:lang w:eastAsia="en-GB"/>
        </w:rPr>
        <w:t>(Silve et al., 2012)</w:t>
      </w:r>
      <w:r w:rsidR="00EC4DE6" w:rsidRPr="008C1EC2">
        <w:rPr>
          <w:rFonts w:eastAsia="Times New Roman" w:cstheme="minorHAnsi"/>
          <w:lang w:eastAsia="en-GB"/>
        </w:rPr>
        <w:fldChar w:fldCharType="end"/>
      </w:r>
      <w:r w:rsidR="00EC4DE6" w:rsidRPr="008C1EC2">
        <w:rPr>
          <w:rFonts w:eastAsia="Times New Roman" w:cstheme="minorHAnsi"/>
          <w:lang w:eastAsia="en-GB"/>
        </w:rPr>
        <w:t xml:space="preserve">. Radiological findings consistent with acroscyphodysplasia, characterised by scypho-deformity of the knee, have been recently reported as a phenotypic variation of PHP and acrodysostosis type 2, caused by either a </w:t>
      </w:r>
      <w:r w:rsidR="00EC4DE6" w:rsidRPr="008C1EC2">
        <w:rPr>
          <w:rFonts w:eastAsia="Times New Roman" w:cstheme="minorHAnsi"/>
          <w:i/>
          <w:lang w:eastAsia="en-GB"/>
        </w:rPr>
        <w:t>GNAS</w:t>
      </w:r>
      <w:r w:rsidR="00EC4DE6" w:rsidRPr="008C1EC2">
        <w:rPr>
          <w:rFonts w:eastAsia="Times New Roman" w:cstheme="minorHAnsi"/>
          <w:lang w:eastAsia="en-GB"/>
        </w:rPr>
        <w:t xml:space="preserve"> or </w:t>
      </w:r>
      <w:r w:rsidR="00EC4DE6" w:rsidRPr="008C1EC2">
        <w:rPr>
          <w:rFonts w:eastAsia="Times New Roman" w:cstheme="minorHAnsi"/>
          <w:i/>
          <w:lang w:eastAsia="en-GB"/>
        </w:rPr>
        <w:t>PDE4D</w:t>
      </w:r>
      <w:r w:rsidR="00EC4DE6" w:rsidRPr="008C1EC2">
        <w:rPr>
          <w:rFonts w:eastAsia="Times New Roman" w:cstheme="minorHAnsi"/>
          <w:lang w:eastAsia="en-GB"/>
        </w:rPr>
        <w:t xml:space="preserve"> mutation, respectively </w:t>
      </w:r>
      <w:r w:rsidR="00EC4DE6" w:rsidRPr="008C1EC2">
        <w:rPr>
          <w:rFonts w:eastAsia="Times New Roman" w:cstheme="minorHAnsi"/>
          <w:lang w:eastAsia="en-GB"/>
        </w:rPr>
        <w:fldChar w:fldCharType="begin" w:fldLock="1"/>
      </w:r>
      <w:r w:rsidR="00EC4DE6" w:rsidRPr="008C1EC2">
        <w:rPr>
          <w:rFonts w:eastAsia="Times New Roman" w:cstheme="minorHAnsi"/>
          <w:lang w:eastAsia="en-GB"/>
        </w:rPr>
        <w:instrText>ADDIN CSL_CITATION {"citationItems":[{"id":"ITEM-1","itemData":{"DOI":"10.1002/ajmg.a.36669","ISBN":"1552-4833 (Electronic)\\r1552-4825 (Linking)","ISSN":"15524833","PMID":"25044890","abstract":"Acroscyphodysplasia (OMIM250215) is a distinctive form of metaphyseal dysplasia characterized by the distal femoral and proximal tibial epiphyses embedded in cup-shaped, large metaphyses known as metaphyseal scypho (\"scypho\" = cup) deformity. It is also associated with severe growth retardation and brachydactyly. The underlying molecular mechanism of acroscyphodysplasia has not yet been elucidated, although scypho-deformity of the knee has been reported in three patients with acrodysostosis due to a mutation in the PDE4D gene. We report on the clinical, radiological, and molecular findings of five female patients with acroscyphodysplasia; two were diagnosed as pseudohypoparathyroidism (PHP) or Albright hereditary osteodystropy, and the other three as acrodysostosis. They all had radiological findings consistent with severe metaphyseal scypho-deformity and brachydactyly. Heterozygous mutations were identified in the PHP patients consisting of one novel (p.Q19X) and one recurrent (p.R231C) mutation of the GNAS gene, as well as, in the acrodysostosis patients consisting of two novel mutations (p.T224I and p.I333T) of the PDE4D gene. We conclude that metaphyseal acroscyphodysplasia is a phenotypic variation of PHP or acrodysostosis caused by either a GNAS or PDE4D mutation, respectively.","author":[{"dropping-particle":"","family":"Mitsui","given":"Toshikatsu","non-dropping-particle":"","parse-names":false,"suffix":""},{"dropping-particle":"","family":"Kim","given":"Ok Hwa","non-dropping-particle":"","parse-names":false,"suffix":""},{"dropping-particle":"","family":"Hall","given":"Christine M.","non-dropping-particle":"","parse-names":false,"suffix":""},{"dropping-particle":"","family":"Offiah","given":"Amaka","non-dropping-particle":"","parse-names":false,"suffix":""},{"dropping-particle":"","family":"Johnson","given":"Diana","non-dropping-particle":"","parse-names":false,"suffix":""},{"dropping-particle":"","family":"Jin","given":"Dong Kyu","non-dropping-particle":"","parse-names":false,"suffix":""},{"dropping-particle":"","family":"Toh","given":"Teck Hock","non-dropping-particle":"","parse-names":false,"suffix":""},{"dropping-particle":"","family":"Soneda","given":"Shun","non-dropping-particle":"","parse-names":false,"suffix":""},{"dropping-particle":"","family":"Keino","given":"Dai","non-dropping-particle":"","parse-names":false,"suffix":""},{"dropping-particle":"","family":"Matsubayashi","given":"Shohei","non-dropping-particle":"","parse-names":false,"suffix":""},{"dropping-particle":"","family":"Ishii","given":"Tomohiro","non-dropping-particle":"","parse-names":false,"suffix":""},{"dropping-particle":"","family":"Nishimura","given":"Gen","non-dropping-particle":"","parse-names":false,"suffix":""},{"dropping-particle":"","family":"Hasegawa","given":"Tomonobu","non-dropping-particle":"","parse-names":false,"suffix":""}],"container-title":"American Journal of Medical Genetics, Part A","id":"ITEM-1","issue":"10","issued":{"date-parts":[["2014"]]},"page":"2529-2534","title":"Acroscyphodysplasia as a phenotypic variation of pseudohypoparathyroidism and acrodysostosis type 2","type":"article-journal","volume":"164"},"uris":["http://www.mendeley.com/documents/?uuid=269754b4-d9ac-416a-83ca-c66d87749dcb"]}],"mendeley":{"formattedCitation":"(Mitsui et al., 2014)","plainTextFormattedCitation":"(Mitsui et al., 2014)","previouslyFormattedCitation":"(Mitsui et al., 2014)"},"properties":{"noteIndex":0},"schema":"https://github.com/citation-style-language/schema/raw/master/csl-citation.json"}</w:instrText>
      </w:r>
      <w:r w:rsidR="00EC4DE6" w:rsidRPr="008C1EC2">
        <w:rPr>
          <w:rFonts w:eastAsia="Times New Roman" w:cstheme="minorHAnsi"/>
          <w:lang w:eastAsia="en-GB"/>
        </w:rPr>
        <w:fldChar w:fldCharType="separate"/>
      </w:r>
      <w:r w:rsidR="00EC4DE6" w:rsidRPr="008C1EC2">
        <w:rPr>
          <w:rFonts w:eastAsia="Times New Roman" w:cstheme="minorHAnsi"/>
          <w:noProof/>
          <w:lang w:eastAsia="en-GB"/>
        </w:rPr>
        <w:t>(Mitsui et al., 2014)</w:t>
      </w:r>
      <w:r w:rsidR="00EC4DE6" w:rsidRPr="008C1EC2">
        <w:rPr>
          <w:rFonts w:eastAsia="Times New Roman" w:cstheme="minorHAnsi"/>
          <w:lang w:eastAsia="en-GB"/>
        </w:rPr>
        <w:fldChar w:fldCharType="end"/>
      </w:r>
      <w:r w:rsidR="00EC4DE6" w:rsidRPr="008C1EC2">
        <w:rPr>
          <w:rFonts w:eastAsia="Times New Roman" w:cstheme="minorHAnsi"/>
          <w:lang w:eastAsia="en-GB"/>
        </w:rPr>
        <w:t xml:space="preserve">. Another variable distinguishing feature is that of prenatal growth retardation, especially in acrodysostosis type 1, in contrast with normal growth pattern in the majority of PHP/PPHP cases with adult short stature preceded by a ceasing period in puberty </w:t>
      </w:r>
      <w:r w:rsidR="00EC4DE6" w:rsidRPr="008C1EC2">
        <w:rPr>
          <w:rFonts w:eastAsia="Times New Roman" w:cstheme="minorHAnsi"/>
          <w:lang w:eastAsia="en-GB"/>
        </w:rPr>
        <w:fldChar w:fldCharType="begin" w:fldLock="1"/>
      </w:r>
      <w:r w:rsidR="00EC4DE6">
        <w:rPr>
          <w:rFonts w:eastAsia="Times New Roman" w:cstheme="minorHAnsi"/>
          <w:lang w:eastAsia="en-GB"/>
        </w:rPr>
        <w:instrText>ADDIN CSL_CITATION {"citationItems":[{"id":"ITEM-1","itemData":{"DOI":"10.1038/bonekey.2012.225","ISBN":"2047-6396","ISSN":"20476396","PMID":"24363928","abstract":"Acrodysostosis (ADO) refers to a heterogeneous group of rare skeletal dysplasia that share characteristic features including severe brachydactyly, facial dysostosis and nasal hypoplasia. The literature describing acrodysostosis cases has been confusing because some reported patients may have had other phenotypically related diseases presenting with Albright Hereditary Osteodystrophy (AHO) such as pseudohypoparathyroidism type 1a (PHP1a) or pseudopseudohypoparathyroidism (PPHP). A question has been whether patients display or not abnormal mineral metabolism associated with resistance to PTH and/or resistance to other hormones that bind G-protein coupled receptors (GPCR) linked to Gsα, as observed in PHP1a. The recent identification in patients affected with acrodysostosis of defects in two genes, PRKAR1A and PDE4D, both important players in the GPCR-Gsα-cAMP-PKA signaling, has helped clarify some issues regarding the heterogeneity of acrodysostosis, in particular the presence of hormonal resistance. Two different genetic and phenotypic syndromes are now identified, both with a similar bone dysplasia: ADOHR, due to PRKAR1A defects, and ADOP4 (our denomination), due to PDE4D defects. The existence of GPCR-hormone resistance is typical of the ADOHR syndrome. We review here the PRKAR1A and PDE4D gene defects and phenotypes identified in acrodysostosis syndromes, and discuss them in view of phenotypically related diseases caused by defects in the same signaling pathway.","author":[{"dropping-particle":"","family":"Silve","given":"C","non-dropping-particle":"","parse-names":false,"suffix":""},{"dropping-particle":"","family":"Le-Stunff","given":"C","non-dropping-particle":"","parse-names":false,"suffix":""},{"dropping-particle":"","family":"Motte","given":"E","non-dropping-particle":"","parse-names":false,"suffix":""},{"dropping-particle":"","family":"Gunes","given":"Y","non-dropping-particle":"","parse-names":false,"suffix":""},{"dropping-particle":"","family":"Linglart","given":"A","non-dropping-particle":"","parse-names":false,"suffix":""},{"dropping-particle":"","family":"Clauser","given":"E","non-dropping-particle":"","parse-names":false,"suffix":""}],"container-title":"BoneKEy Reports","id":"ITEM-1","issue":"September","issued":{"date-parts":[["2012"]]},"page":"225","publisher":"Nature Publishing Group","title":"Acrodysostosis syndromes","type":"article-journal","volume":"1"},"uris":["http://www.mendeley.com/documents/?uuid=1c188965-fedd-4c2a-b137-341b9f028f6b"]}],"mendeley":{"formattedCitation":"(Silve et al., 2012)","plainTextFormattedCitation":"(Silve et al., 2012)","previouslyFormattedCitation":"(Silve et al., 2012)"},"properties":{"noteIndex":0},"schema":"https://github.com/citation-style-language/schema/raw/master/csl-citation.json"}</w:instrText>
      </w:r>
      <w:r w:rsidR="00EC4DE6" w:rsidRPr="008C1EC2">
        <w:rPr>
          <w:rFonts w:eastAsia="Times New Roman" w:cstheme="minorHAnsi"/>
          <w:lang w:eastAsia="en-GB"/>
        </w:rPr>
        <w:fldChar w:fldCharType="separate"/>
      </w:r>
      <w:r w:rsidR="00EC4DE6" w:rsidRPr="008C1EC2">
        <w:rPr>
          <w:rFonts w:eastAsia="Times New Roman" w:cstheme="minorHAnsi"/>
          <w:noProof/>
          <w:lang w:eastAsia="en-GB"/>
        </w:rPr>
        <w:t>(Silve et al., 2012)</w:t>
      </w:r>
      <w:r w:rsidR="00EC4DE6" w:rsidRPr="008C1EC2">
        <w:rPr>
          <w:rFonts w:eastAsia="Times New Roman" w:cstheme="minorHAnsi"/>
          <w:lang w:eastAsia="en-GB"/>
        </w:rPr>
        <w:fldChar w:fldCharType="end"/>
      </w:r>
      <w:r w:rsidR="00EC4DE6" w:rsidRPr="008C1EC2">
        <w:rPr>
          <w:rFonts w:eastAsia="Times New Roman" w:cstheme="minorHAnsi"/>
          <w:lang w:eastAsia="en-GB"/>
        </w:rPr>
        <w:t xml:space="preserve">. Finally, </w:t>
      </w:r>
      <w:r w:rsidR="00EC4DE6" w:rsidRPr="008C1EC2">
        <w:rPr>
          <w:rFonts w:eastAsia="Times New Roman"/>
          <w:highlight w:val="white"/>
          <w:shd w:val="clear" w:color="auto" w:fill="FEFEFE"/>
        </w:rPr>
        <w:t>hearing loss and recurrent</w:t>
      </w:r>
      <w:r w:rsidR="00EC4DE6" w:rsidRPr="008C1EC2">
        <w:rPr>
          <w:rFonts w:eastAsia="Times New Roman"/>
          <w:shd w:val="clear" w:color="auto" w:fill="FEFEFE"/>
        </w:rPr>
        <w:t xml:space="preserve"> otitis media are commonly reported features of acrodysostosis.</w:t>
      </w:r>
    </w:p>
    <w:p w14:paraId="693DDB48" w14:textId="63796EFF" w:rsidR="009370B6" w:rsidRPr="00B911E9" w:rsidRDefault="003150F6" w:rsidP="003150F6">
      <w:pPr>
        <w:spacing w:after="0" w:line="480" w:lineRule="auto"/>
        <w:rPr>
          <w:rFonts w:eastAsia="Times New Roman" w:cstheme="minorHAnsi"/>
          <w:lang w:eastAsia="en-GB"/>
        </w:rPr>
      </w:pPr>
      <w:r w:rsidRPr="008C1EC2">
        <w:t>Acrodysostosis</w:t>
      </w:r>
      <w:r w:rsidRPr="008C1EC2">
        <w:rPr>
          <w:rFonts w:eastAsia="Times New Roman" w:cstheme="minorHAnsi"/>
          <w:lang w:eastAsia="en-GB"/>
        </w:rPr>
        <w:t xml:space="preserve"> type 1 involves heterozygous pathogenic variants in the </w:t>
      </w:r>
      <w:r w:rsidRPr="008C1EC2">
        <w:rPr>
          <w:rFonts w:eastAsia="Times New Roman" w:cstheme="minorHAnsi"/>
          <w:i/>
          <w:lang w:eastAsia="en-GB"/>
        </w:rPr>
        <w:t>PRKAR1A</w:t>
      </w:r>
      <w:r w:rsidRPr="008C1EC2">
        <w:rPr>
          <w:rFonts w:eastAsia="Times New Roman" w:cstheme="minorHAnsi"/>
          <w:lang w:eastAsia="en-GB"/>
        </w:rPr>
        <w:t xml:space="preserve"> gene, which codes for the most abundantly expressed regulatory subunit of PKA, RIα. The protein consists of a dimerization domain, an inhibitory site, and two cyclic nucleotide binding domains (NBD-A and -B) where all causative variants have been detected. </w:t>
      </w:r>
      <w:r w:rsidRPr="008C1EC2">
        <w:rPr>
          <w:rFonts w:eastAsia="Times New Roman" w:cstheme="minorHAnsi"/>
          <w:lang w:eastAsia="en-GB"/>
        </w:rPr>
        <w:fldChar w:fldCharType="begin" w:fldLock="1"/>
      </w:r>
      <w:r w:rsidRPr="008C1EC2">
        <w:rPr>
          <w:rFonts w:eastAsia="Times New Roman" w:cstheme="minorHAnsi"/>
          <w:lang w:eastAsia="en-GB"/>
        </w:rPr>
        <w:instrText>ADDIN CSL_CITATION {"citationItems":[{"id":"ITEM-1","itemData":{"DOI":"10.1111/cge.12106","ISSN":"00099163","PMID":"23425300","abstract":"Acrodysostosis is characterized by a peripheral dysostosis that is accompanied by short stature, midface hypoplasia, and developmental delay. Recently, it was shown that heterozygous point mutations in the PRKAR1A gene cause acrodysostosis with hormone resistance. By mutational analysis of the PRKAR1A gene we detected four different mutations (p.Arg368Stop, p.Ala213Thr, p.Tyr373Cys, and p.Arg335Cys) in four of seven affected patients with acrodysostosis. The combination of clinical results, endocrinological parameters and in silico mutation analysis gives evidence to suppose a pathogenic effect of each mutation. This assumption is supported by the de novo origin of these mutations. Apart from typical radiological abnormalities of the hand bones, elevated thyroid stimulating hormone and parathyroid hormone values as well as short stature are the most common findings. Less frequent features are characteristic facial dysmorphisms, sensorineural hearing loss and mild intellectual disability. These results lead to the conclusion that mutations of PKRAR1A are the major molecular cause for acrodysostosis with endocrinological abnormalities. In addition, in our cohort of 44 patients affected with brachydactyly type E (BDE) we detected only one sequence variant of PRKAR1A (p.Asp227Asn) with an unclear effect on protein function. Thus, we conclude that PRKAR1A mutations may play no major role in the pathogenesis of BDE.","author":[{"dropping-particle":"","family":"Muhn","given":"F.","non-dropping-particle":"","parse-names":false,"suffix":""},{"dropping-particle":"","family":"Klopocki","given":"E.","non-dropping-particle":"","parse-names":false,"suffix":""},{"dropping-particle":"","family":"Graul-Neumann","given":"L.","non-dropping-particle":"","parse-names":false,"suffix":""},{"dropping-particle":"","family":"Uhrig","given":"S.","non-dropping-particle":"","parse-names":false,"suffix":""},{"dropping-particle":"","family":"Colley","given":"A.","non-dropping-particle":"","parse-names":false,"suffix":""},{"dropping-particle":"","family":"Castori","given":"M.","non-dropping-particle":"","parse-names":false,"suffix":""},{"dropping-particle":"","family":"Lankes","given":"E.","non-dropping-particle":"","parse-names":false,"suffix":""},{"dropping-particle":"","family":"Henn","given":"W.","non-dropping-particle":"","parse-names":false,"suffix":""},{"dropping-particle":"","family":"Gruber-Sedlmayr","given":"U.","non-dropping-particle":"","parse-names":false,"suffix":""},{"dropping-particle":"","family":"Seifert","given":"W.","non-dropping-particle":"","parse-names":false,"suffix":""},{"dropping-particle":"","family":"Horn","given":"D.","non-dropping-particle":"","parse-names":false,"suffix":""}],"container-title":"Clinical Genetics","id":"ITEM-1","issue":"6","issued":{"date-parts":[["2013"]]},"page":"531-538","title":"Novel mutations of the PRKAR1A gene in patients with acrodysostosis","type":"article-journal","volume":"84"},"uris":["http://www.mendeley.com/documents/?uuid=15e30576-5171-4d14-943f-e3b5db4bb01a","http://www.mendeley.com/documents/?uuid=6801a6f4-02bc-480c-b778-540356e34602"]},{"id":"ITEM-2","itemData":{"DOI":"10.1210/jc.2012-2326","ISSN":"0021972X","PMID":"23043190","abstract":"Context:Acrodysostosis is a rare skeletal dysplasia that is associated with multiple resistance to G protein-coupled receptor (GPCR) signaling hormones in a subset of patients. Acrodysostosis is genetically heterogeneous because it results from heterozygous mutations in PRKAR1A or PDE4D, two key actors in the GPCR-cAMP-protein kinase A pathway.Objective:Our objective was to identify the phenotypic features that distinguish the two genotypes causing acrodysostosis.Patients and Methods:Sixteen unrelated patients with acrodysostosis underwent a candidate-gene approach and were investigated for phenotypic features.Results:All patients had heterozygous de novo mutations. Fourteen patients carried a PRKAR1A mutation (PRKAR1A patients), five each a novel PRKAR1A mutation (p.Q285R, p.G289E, p.A328V, p.R335L, or p.Q372X), nine the reported PRKAR1A p.R368X mutation; two patients harbored a mutation in PDE4D (PDE4D patients) (one novel mutation, p.A227S; one reported, p.E590A). All PRKAR1A, but none of the PDE4D mutated patients were resistant to PTH and TSH. Two PRKAR1A patients each with a novel mutation presented a specific pattern of brachydactyly. One PDE4D patient presented with acroskyphodysplasia. Additional phenotypic differences included mental retardation in PDE4D patients. In addition, we report the presence of pigmented skin lesions in PRKAR1A and PDE4D patients, a feature not yet described in the acrodysostosis entity.Conclusions:All PRKAR1A and PDE4D patients present similar bone dysplasia characterizing acrodysostosis. Phenotypic differences, including the presence of resistance to GPCR-cAMP signaling hormones in PRKAR1A but not PDE4D patients, indicate phenotype-genotype correlations and highlight the specific contributions of PRKAR1A and PDE4D in cAMP signaling in different tissues.","author":[{"dropping-particle":"","family":"Linglart","given":"Agnès","non-dropping-particle":"","parse-names":false,"suffix":""},{"dropping-particle":"","family":"Fryssira","given":"Helena","non-dropping-particle":"","parse-names":false,"suffix":""},{"dropping-particle":"","family":"Hiort","given":"Olaf","non-dropping-particle":"","parse-names":false,"suffix":""},{"dropping-particle":"","family":"Holterhus","given":"Paul Martin","non-dropping-particle":"","parse-names":false,"suffix":""},{"dropping-particle":"","family":"Perez De Nanclares","given":"Guiomar","non-dropping-particle":"","parse-names":false,"suffix":""},{"dropping-particle":"","family":"Argente","given":"Jesús","non-dropping-particle":"","parse-names":false,"suffix":""},{"dropping-particle":"","family":"Heinrichs","given":"Claudine","non-dropping-particle":"","parse-names":false,"suffix":""},{"dropping-particle":"","family":"Kuechler","given":"Alma","non-dropping-particle":"","parse-names":false,"suffix":""},{"dropping-particle":"","family":"Mantovani","given":"Giovanna","non-dropping-particle":"","parse-names":false,"suffix":""},{"dropping-particle":"","family":"Leheup","given":"Bruno","non-dropping-particle":"","parse-names":false,"suffix":""},{"dropping-particle":"","family":"Wicart","given":"Philippe","non-dropping-particle":"","parse-names":false,"suffix":""},{"dropping-particle":"","family":"Chassot","given":"Virginie","non-dropping-particle":"","parse-names":false,"suffix":""},{"dropping-particle":"","family":"Schmidt","given":"Dorothée","non-dropping-particle":"","parse-names":false,"suffix":""},{"dropping-particle":"","family":"Rubio-Cabezas","given":"Óscar","non-dropping-particle":"","parse-names":false,"suffix":""},{"dropping-particle":"","family":"Richter-Unruh","given":"Annette","non-dropping-particle":"","parse-names":false,"suffix":""},{"dropping-particle":"","family":"Berrade","given":"Sara","non-dropping-particle":"","parse-names":false,"suffix":""},{"dropping-particle":"","family":"Pereda","given":"Arrate","non-dropping-particle":"","parse-names":false,"suffix":""},{"dropping-particle":"","family":"Boros","given":"Emese","non-dropping-particle":"","parse-names":false,"suffix":""},{"dropping-particle":"","family":"Muñoz-Calvo","given":"Maria Teresa","non-dropping-particle":"","parse-names":false,"suffix":""},{"dropping-particle":"","family":"Castori","given":"Marco","non-dropping-particle":"","parse-names":false,"suffix":""},{"dropping-particle":"","family":"Gunes","given":"Yasemin","non-dropping-particle":"","parse-names":false,"suffix":""},{"dropping-particle":"","family":"Bertrand","given":"Guylene","non-dropping-particle":"","parse-names":false,"suffix":""},{"dropping-particle":"","family":"Bougnères","given":"Pierre","non-dropping-particle":"","parse-names":false,"suffix":""},{"dropping-particle":"","family":"Clauser","given":"Eric","non-dropping-particle":"","parse-names":false,"suffix":""},{"dropping-particle":"","family":"Silve","given":"Caroline","non-dropping-particle":"","parse-names":false,"suffix":""}],"container-title":"Journal of Clinical Endocrinology and Metabolism","id":"ITEM-2","issue":"12","issued":{"date-parts":[["2012"]]},"page":"2328-2338","title":"PRKAR1A and PDE4D mutations cause acrodysostosis but two distinct syndromes with or without GPCR-signaling hormone resistance","type":"article-journal","volume":"97"},"uris":["http://www.mendeley.com/documents/?uuid=6b3d6776-d934-4656-9905-bf4f47559d9c","http://www.mendeley.com/documents/?uuid=7f0fa529-6390-4e0f-a10e-3e60e1a5d29f"]},{"id":"ITEM-3","itemData":{"DOI":"10.1210/jc.2012-1369","ISBN":"1945-7197 (Electronic)\\n0021-972X (Linking)","ISSN":"0021972X","PMID":"22723333","abstract":"Acrodysostosis is a rare autosomal dominant disorder characterized by short stature, peculiar facial appearance with nasal hypoplasia, and short metacarpotarsals and phalanges with cone-shaped epiphyses. Recently, mutations of PRKAR1A and PDE4D downstream of GNAS on the cAMP-mediated G protein-coupled receptor (GPCR) signaling cascade have been identified in acrodysostosis with and without hormone resistance, although functional studies have been performed only for p.R368X of PRKAR1A.","author":[{"dropping-particle":"","family":"Nagasaki","given":"Keisuke","non-dropping-particle":"","parse-names":false,"suffix":""},{"dropping-particle":"","family":"Iida","given":"Tomoko","non-dropping-particle":"","parse-names":false,"suffix":""},{"dropping-particle":"","family":"Sato","given":"Hidetoshi","non-dropping-particle":"","parse-names":false,"suffix":""},{"dropping-particle":"","family":"Ogawa","given":"Yohei","non-dropping-particle":"","parse-names":false,"suffix":""},{"dropping-particle":"","family":"Kikuchi","given":"Toru","non-dropping-particle":"","parse-names":false,"suffix":""},{"dropping-particle":"","family":"Saitoh","given":"Akihiko","non-dropping-particle":"","parse-names":false,"suffix":""},{"dropping-particle":"","family":"Ogata","given":"Tsutomu","non-dropping-particle":"","parse-names":false,"suffix":""},{"dropping-particle":"","family":"Fukami","given":"Maki","non-dropping-particle":"","parse-names":false,"suffix":""}],"container-title":"Journal of Clinical Endocrinology and Metabolism","id":"ITEM-3","issue":"9","issued":{"date-parts":[["2012"]]},"page":"1808-1813","title":"PRKAR1A mutation affecting cAMP-mediated G protein-coupled receptor signaling in a patient with acrodysostosis and hormone resistance","type":"article-journal","volume":"97"},"uris":["http://www.mendeley.com/documents/?uuid=6cf91080-4b44-44b7-ba45-31d53097df54","http://www.mendeley.com/documents/?uuid=6d914fc4-4d98-4f90-8c7c-f0fc0bfb4887"]},{"id":"ITEM-4","itemData":{"author":[{"dropping-particle":"","family":"Linglart","given":"Agnès","non-dropping-particle":"","parse-names":false,"suffix":""},{"dropping-particle":"","family":"Menguy","given":"Christine","non-dropping-particle":"","parse-names":false,"suffix":""},{"dropping-particle":"","family":"Couvineau","given":"Alain","non-dropping-particle":"","parse-names":false,"suffix":""},{"dropping-particle":"","family":"Auzan","given":"Colette","non-dropping-particle":"","parse-names":false,"suffix":""},{"dropping-particle":"","family":"Gunes","given":"Yasemin","non-dropping-particle":"","parse-names":false,"suffix":""},{"dropping-particle":"","family":"Cancel","given":"Mathilde","non-dropping-particle":"","parse-names":false,"suffix":""},{"dropping-particle":"","family":"Motte","given":"Emmanuelle","non-dropping-particle":"","parse-names":false,"suffix":""},{"dropping-particle":"","family":"Pinto","given":"Graziella","non-dropping-particle":"","parse-names":false,"suffix":""},{"dropping-particle":"","family":"Chanson","given":"Philippe","non-dropping-particle":"","parse-names":false,"suffix":""},{"dropping-particle":"","family":"Bougnères","given":"Pierre","non-dropping-particle":"","parse-names":false,"suffix":""},{"dropping-particle":"","family":"Clauser","given":"Eric","non-dropping-particle":"","parse-names":false,"suffix":""},{"dropping-particle":"","family":"Silve","given":"Caroline","non-dropping-particle":"","parse-names":false,"suffix":""}],"container-title":"N Engl J Med","id":"ITEM-4","issue":"9","issued":{"date-parts":[["2011"]]},"page":"2218-26","title":"Recurrent PRKAR1A Mutation in Acrodysostosis with Hormone Resistance","type":"article-journal","volume":"23364"},"uris":["http://www.mendeley.com/documents/?uuid=41437b5e-06df-4eae-8770-d2fc8fcce070","http://www.mendeley.com/documents/?uuid=a633f4d4-c924-3eea-bfe2-5e9ac7d7d97e"]},{"id":"ITEM-5","itemData":{"DOI":"10.1016/j.ajhg.2012.03.004","ISBN":"1537-6605 (Electronic)\\n0002-9297 (Linking)","ISSN":"00029297","PMID":"22464252","abstract":"Acrodysostosis is a dominantly-inherited, multisystem disorder characterized by skeletal, endocrine, and neurological abnormalities. To identify the molecular basis of acrodysostosis, we performed exome sequencing on five genetically independent cases. Three different missense mutations in PDE4D, which encodes cyclic AMP (cAMP)-specific phosphodiesterase 4D, were found to be heterozygous in three of the cases. Two of the mutations were demonstrated to have occurred de novo, providing strong genetic evidence of causation. Two additional cases were heterozygous for de novo missense mutations in PRKAR1A, which encodes the cAMP-dependent regulatory subunit of protein kinase A and which has been recently reported to be the cause of a form of acrodysostosis resistant to multiple hormones. These findings demonstrate that acrodysostosis is genetically heterogeneous and underscore the exquisite sensitivity of many tissues to alterations in cAMP homeostasis. © 2012 The American Society of Human Genetics.","author":[{"dropping-particle":"","family":"Lee","given":"Hane","non-dropping-particle":"","parse-names":false,"suffix":""},{"dropping-particle":"","family":"Graham","given":"John M.","non-dropping-particle":"","parse-names":false,"suffix":""},{"dropping-particle":"","family":"Rimoin","given":"David L.","non-dropping-particle":"","parse-names":false,"suffix":""},{"dropping-particle":"","family":"Lachman","given":"Ralph S.","non-dropping-particle":"","parse-names":false,"suffix":""},{"dropping-particle":"","family":"Krejci","given":"Pavel","non-dropping-particle":"","parse-names":false,"suffix":""},{"dropping-particle":"","family":"Tompson","given":"Stuart W.","non-dropping-particle":"","parse-names":false,"suffix":""},{"dropping-particle":"","family":"Nelson","given":"Stanley F.","non-dropping-particle":"","parse-names":false,"suffix":""},{"dropping-particle":"","family":"Krakow","given":"Deborah","non-dropping-particle":"","parse-names":false,"suffix":""},{"dropping-particle":"","family":"Cohn","given":"Daniel H.","non-dropping-particle":"","parse-names":false,"suffix":""}],"container-title":"American Journal of Human Genetics","id":"ITEM-5","issue":"4","issued":{"date-parts":[["2012"]]},"page":"746-751","publisher":"The American Society of Human Genetics","title":"Exome sequencing identifies PDE4D mutations in acrodysostosis","type":"article-journal","volume":"90"},"uris":["http://www.mendeley.com/documents/?uuid=e8fa08db-6fcd-46ae-bfe0-1866e8ac160a","http://www.mendeley.com/documents/?uuid=06ec45ae-92ff-4da9-beb7-d38daa7d4d35","http://www.mendeley.com/documents/?uuid=682fceae-03aa-438d-a1b4-c35d90785f02"]},{"id":"ITEM-6","itemData":{"DOI":"10.1016/j.ajhg.2012.03.003","ISBN":"1537-6605 (Electronic)\\r0002-9297 (Linking)","ISSN":"00029297","PMID":"22464250","abstract":"Acrodysostosis is a rare autosomal-dominant condition characterized by facial dysostosis, severe brachydactyly with cone-shaped epiphyses, and short stature. Moderate intellectual disability and resistance to multiple hormones might also be present. Recently, a recurrent mutation (c.1102C&gt;T [p.Arg368]) in PRKAR1A has been identified in three individuals with acrodysostosis and resistance to multiple hormones. After studying ten unrelated acrodysostosis cases, we report here de novo PRKAR1A mutations in five out of the ten individuals (we found c.1102C&gt;T [p.Arg368] in four of the ten and c.1117T&gt;C [p.Tyr373His] in one of the ten). We performed exome sequencing in two of the five remaining individuals and selected phosphodiesterase 4D (PDE4D) as a candidate gene. PDE4D encodes a class IV cyclic AMP (cAMP)-specific phosphodiesterase that regulates cAMP concentration. Exome analysis detected heterozygous PDE4D mutations (c.673C&gt;A [p.Pro225Thr] and c.677T&gt;C [p.Phe226Ser]) in these two individuals. Screening of PDE4D identified heterozygous mutations (c.568T&gt;G [p.Ser190Ala] and c.1759A&gt;C [p.Thr587Pro]) in two additional acrodysostosis cases. These mutations occurred de novo in all four cases. The four individuals with PDE4D mutations shared common clinical features, namely characteristic midface and nasal hypoplasia and moderate intellectual disability. Metabolic screening was normal in three of these four individuals. However, resistance to parathyroid hormone and thyrotropin was consistently observed in the five cases with PRKAR1A mutations. Finally, our study further supports the key role of the cAMP signaling pathway in skeletogenesis. © 2012 The American Society of Human Genetics.","author":[{"dropping-particle":"","family":"Michot","given":"Caroline","non-dropping-particle":"","parse-names":false,"suffix":""},{"dropping-particle":"","family":"Goff","given":"Carine","non-dropping-particle":"Le","parse-names":false,"suffix":""},{"dropping-particle":"","family":"Goldenberg","given":"Alice","non-dropping-particle":"","parse-names":false,"suffix":""},{"dropping-particle":"","family":"Abhyankar","given":"Avinash","non-dropping-particle":"","parse-names":false,"suffix":""},{"dropping-particle":"","family":"Klein","given":"Céline","non-dropping-particle":"","parse-names":false,"suffix":""},{"dropping-particle":"","family":"Kinning","given":"Esther","non-dropping-particle":"","parse-names":false,"suffix":""},{"dropping-particle":"","family":"Guerrot","given":"Anne Marie","non-dropping-particle":"","parse-names":false,"suffix":""},{"dropping-particle":"","family":"Flahaut","given":"Philippe","non-dropping-particle":"","parse-names":false,"suffix":""},{"dropping-particle":"","family":"Duncombe","given":"Alice","non-dropping-particle":"","parse-names":false,"suffix":""},{"dropping-particle":"","family":"Baujat","given":"Genevieve","non-dropping-particle":"","parse-names":false,"suffix":""},{"dropping-particle":"","family":"Lyonnet","given":"Stanislas","non-dropping-particle":"","parse-names":false,"suffix":""},{"dropping-particle":"","family":"Thalassinos","given":"Caroline","non-dropping-particle":"","parse-names":false,"suffix":""},{"dropping-particle":"","family":"Nitschke","given":"Patrick","non-dropping-particle":"","parse-names":false,"suffix":""},{"dropping-particle":"","family":"Casanova","given":"Jean Laurent","non-dropping-particle":"","parse-names":false,"suffix":""},{"dropping-particle":"","family":"Merrer","given":"Martine","non-dropping-particle":"Le","parse-names":false,"suffix":""},{"dropping-particle":"","family":"Munnich","given":"Arnold","non-dropping-particle":"","parse-names":false,"suffix":""},{"dropping-particle":"","family":"Cormier-Daire","given":"Valérie","non-dropping-particle":"","parse-names":false,"suffix":""}],"container-title":"American Journal of Human Genetics","id":"ITEM-6","issue":"4","issued":{"date-parts":[["2012"]]},"page":"740-745","title":"Exome sequencing identifies PDE4D mutations as another cause of acrodysostosis","type":"article-journal","volume":"90"},"uris":["http://www.mendeley.com/documents/?uuid=91019e2c-dd9a-4a12-b6db-0d6ce34a4c3f","http://www.mendeley.com/documents/?uuid=a5ff53fa-4413-4ea1-8c58-0b35ac078527","http://www.mendeley.com/documents/?uuid=28e096ca-1232-4cfd-b4b2-29e091712c2a"]}],"mendeley":{"formattedCitation":"(Lee et al., 2012; Linglart et al., 2011, 2012; Michot et al., 2012; Muhn et al., 2013; Nagasaki et al., 2012)","plainTextFormattedCitation":"(Lee et al., 2012; Linglart et al., 2011, 2012; Michot et al., 2012; Muhn et al., 2013; Nagasaki et al., 2012)","previouslyFormattedCitation":"(Lee et al., 2012; Linglart et al., 2011, 2012; Michot et al., 2012; Muhn et al., 2013; Nagasaki et al., 2012)"},"properties":{"noteIndex":0},"schema":"https://github.com/citation-style-language/schema/raw/master/csl-citation.json"}</w:instrText>
      </w:r>
      <w:r w:rsidRPr="008C1EC2">
        <w:rPr>
          <w:rFonts w:eastAsia="Times New Roman" w:cstheme="minorHAnsi"/>
          <w:lang w:eastAsia="en-GB"/>
        </w:rPr>
        <w:fldChar w:fldCharType="separate"/>
      </w:r>
      <w:r w:rsidRPr="008C1EC2">
        <w:rPr>
          <w:rFonts w:eastAsia="Times New Roman" w:cstheme="minorHAnsi"/>
          <w:noProof/>
          <w:lang w:val="es-ES" w:eastAsia="en-GB"/>
        </w:rPr>
        <w:t>(Lee et al., 2012; Linglart et al., 2011, 2012; Michot et al., 2012; Muhn et al., 2013; Nagasaki et al., 2012)</w:t>
      </w:r>
      <w:r w:rsidRPr="008C1EC2">
        <w:rPr>
          <w:rFonts w:eastAsia="Times New Roman" w:cstheme="minorHAnsi"/>
          <w:lang w:eastAsia="en-GB"/>
        </w:rPr>
        <w:fldChar w:fldCharType="end"/>
      </w:r>
      <w:r w:rsidRPr="008C1EC2">
        <w:rPr>
          <w:rFonts w:eastAsia="Times New Roman" w:cstheme="minorHAnsi"/>
          <w:lang w:eastAsia="en-GB"/>
        </w:rPr>
        <w:t xml:space="preserve"> (Fig</w:t>
      </w:r>
      <w:r>
        <w:rPr>
          <w:rFonts w:eastAsia="Times New Roman" w:cstheme="minorHAnsi"/>
          <w:lang w:eastAsia="en-GB"/>
        </w:rPr>
        <w:t>ure</w:t>
      </w:r>
      <w:r w:rsidRPr="008C1EC2">
        <w:rPr>
          <w:rFonts w:eastAsia="Times New Roman" w:cstheme="minorHAnsi"/>
          <w:lang w:eastAsia="en-GB"/>
        </w:rPr>
        <w:t xml:space="preserve"> 1)</w:t>
      </w:r>
      <w:r w:rsidRPr="008C1EC2">
        <w:rPr>
          <w:rFonts w:eastAsia="Times New Roman" w:cstheme="minorHAnsi"/>
          <w:lang w:val="es-ES" w:eastAsia="en-GB"/>
        </w:rPr>
        <w:t>.</w:t>
      </w:r>
      <w:r w:rsidRPr="00471D90">
        <w:rPr>
          <w:rFonts w:eastAsia="Times New Roman" w:cstheme="minorHAnsi"/>
          <w:lang w:eastAsia="en-GB"/>
        </w:rPr>
        <w:t xml:space="preserve"> </w:t>
      </w:r>
      <w:r w:rsidR="00974035" w:rsidRPr="00471D90">
        <w:rPr>
          <w:rFonts w:eastAsia="Times New Roman" w:cstheme="minorHAnsi"/>
          <w:lang w:eastAsia="en-GB"/>
        </w:rPr>
        <w:t>Our second patient harboured</w:t>
      </w:r>
      <w:r w:rsidR="00974035">
        <w:rPr>
          <w:rFonts w:eastAsia="Times New Roman" w:cstheme="minorHAnsi"/>
          <w:lang w:val="es-ES" w:eastAsia="en-GB"/>
        </w:rPr>
        <w:t xml:space="preserve"> a</w:t>
      </w:r>
      <w:r w:rsidR="00974035" w:rsidRPr="00471D90">
        <w:rPr>
          <w:rFonts w:eastAsia="Times New Roman" w:cstheme="minorHAnsi"/>
          <w:lang w:eastAsia="en-GB"/>
        </w:rPr>
        <w:t xml:space="preserve"> heterozygous missense variant</w:t>
      </w:r>
      <w:r w:rsidR="00974035">
        <w:rPr>
          <w:rFonts w:eastAsia="Times New Roman" w:cstheme="minorHAnsi"/>
          <w:lang w:val="es-ES" w:eastAsia="en-GB"/>
        </w:rPr>
        <w:t xml:space="preserve"> in</w:t>
      </w:r>
      <w:r w:rsidR="00974035" w:rsidRPr="00471D90">
        <w:rPr>
          <w:rFonts w:eastAsia="Times New Roman" w:cstheme="minorHAnsi"/>
          <w:lang w:eastAsia="en-GB"/>
        </w:rPr>
        <w:t xml:space="preserve"> exon</w:t>
      </w:r>
      <w:r w:rsidR="00974035">
        <w:rPr>
          <w:rFonts w:eastAsia="Times New Roman" w:cstheme="minorHAnsi"/>
          <w:lang w:val="es-ES" w:eastAsia="en-GB"/>
        </w:rPr>
        <w:t xml:space="preserve"> 9</w:t>
      </w:r>
      <w:r w:rsidR="00974035" w:rsidRPr="00471D90">
        <w:rPr>
          <w:rFonts w:eastAsia="Times New Roman" w:cstheme="minorHAnsi"/>
          <w:lang w:eastAsia="en-GB"/>
        </w:rPr>
        <w:t xml:space="preserve"> of the</w:t>
      </w:r>
      <w:r w:rsidR="00974035">
        <w:rPr>
          <w:rFonts w:eastAsia="Times New Roman" w:cstheme="minorHAnsi"/>
          <w:lang w:val="es-ES" w:eastAsia="en-GB"/>
        </w:rPr>
        <w:t xml:space="preserve"> </w:t>
      </w:r>
      <w:r w:rsidR="00974035" w:rsidRPr="008C1EC2">
        <w:rPr>
          <w:rFonts w:eastAsia="Times New Roman" w:cstheme="minorHAnsi"/>
          <w:i/>
          <w:lang w:eastAsia="en-GB"/>
        </w:rPr>
        <w:t>PRKAR1A</w:t>
      </w:r>
      <w:r w:rsidR="00974035" w:rsidRPr="008C1EC2">
        <w:rPr>
          <w:rFonts w:eastAsia="Times New Roman" w:cstheme="minorHAnsi"/>
          <w:lang w:eastAsia="en-GB"/>
        </w:rPr>
        <w:t xml:space="preserve"> gene</w:t>
      </w:r>
      <w:r w:rsidR="00974035">
        <w:rPr>
          <w:rFonts w:eastAsia="Times New Roman" w:cstheme="minorHAnsi"/>
          <w:lang w:eastAsia="en-GB"/>
        </w:rPr>
        <w:t xml:space="preserve">, overlapping with the NBD-B domain. </w:t>
      </w:r>
      <w:r w:rsidRPr="008C1EC2">
        <w:rPr>
          <w:rFonts w:eastAsia="Times New Roman" w:cstheme="minorHAnsi"/>
          <w:lang w:eastAsia="en-GB"/>
        </w:rPr>
        <w:t xml:space="preserve">Of the two NBDs, NBD-B is the more affected, and one of its coding exons, exon 11, contains over half of reported mutations to date </w:t>
      </w:r>
      <w:r w:rsidRPr="008C1EC2">
        <w:rPr>
          <w:rFonts w:eastAsia="Times New Roman" w:cstheme="minorHAnsi"/>
          <w:lang w:eastAsia="en-GB"/>
        </w:rPr>
        <w:fldChar w:fldCharType="begin" w:fldLock="1"/>
      </w:r>
      <w:r w:rsidR="00580851">
        <w:rPr>
          <w:rFonts w:eastAsia="Times New Roman" w:cstheme="minorHAnsi"/>
          <w:lang w:eastAsia="en-GB"/>
        </w:rPr>
        <w:instrText>ADDIN CSL_CITATION {"citationItems":[{"id":"ITEM-1","itemData":{"DOI":"10.1002/jbmr.2785","ISSN":"15234681","PMID":"26763073","abstract":"The cyclic adenosine monophosphate (cAMP) intracellular signaling pathway mediates the physiological effects of several hormones and neurotransmitters, acting by the activation of G-protein coupled receptors (GPCRs) and several downstream intracellular effectors, including the heterotrimeric stimulatory G-protein (Gs), the cAMP-dependent protein kinase A (PKA) and cAMP-specific phosphodiesterases (PDEs). Defective G protein-mediated signaling has been associated to an increasing number of disorders, including Albright hereditary osteodistrophy (AHO) and pseudohypoparathyroidism (PHP), a heterogeneous group of rare genetic metabolic disorders due to molecular defects at the GNAS locus. Moreover, mutations in PRKAR1A and PDE4D genes have been recently detected in patients with acrodysostosis (ACRDYS), showing a skeletal and endocrinological phenotype partially overlapping with AHO/PHP. Despite the high detection rate of molecular defects by currently available molecular approaches, about 30% of AHO/PHP patients still lack a molecular diagnosis, hence the need to screen patients negative for GNAS epi/genetic defects also for chromosomal regions and genes associated to diseases that undergo differential diagnosis with PHP. According to the growing knowledge on Gsα-cAMP signaling-linked disorders, we investigated our series of patients (n = 81) with a clinical diagnosis of PHP/AHO but negative for GNAS anomalies for the presence of novel genetic variants at PRKAR1A and PDE4D genes. Our work allowed the detection of 8 novel missense variants affecting genes so far associated to ACRDYS in 9 patients. Our data further confirm the molecular and clinical overlap among these disorders; we present the data collected from a large series of patients and a brief review of the literature, in order to compare our findings with already published data, to look for PRKAR1A/PDE4D mutation spectrum, recurrent mutations and mutation hot spots, and to identify specific clinical features associated to ACRDYS, that deserve surveillance during follow-up. This article is protected by copyright. All rights reserved.","author":[{"dropping-particle":"","family":"Elli","given":"Francesca Marta","non-dropping-particle":"","parse-names":false,"suffix":""},{"dropping-particle":"","family":"Bordogna","given":"Paolo","non-dropping-particle":"","parse-names":false,"suffix":""},{"dropping-particle":"","family":"Sanctis","given":"Luisa","non-dropping-particle":"De","parse-names":false,"suffix":""},{"dropping-particle":"","family":"Giachero","given":"Federica","non-dropping-particle":"","parse-names":false,"suffix":""},{"dropping-particle":"","family":"Verrua","given":"Elisa","non-dropping-particle":"","parse-names":false,"suffix":""},{"dropping-particle":"","family":"Segni","given":"Maria","non-dropping-particle":"","parse-names":false,"suffix":""},{"dropping-particle":"","family":"Mazzanti","given":"Laura","non-dropping-particle":"","parse-names":false,"suffix":""},{"dropping-particle":"","family":"Boldrin","given":"Valentina","non-dropping-particle":"","parse-names":false,"suffix":""},{"dropping-particle":"","family":"Toromanovic","given":"Alma","non-dropping-particle":"","parse-names":false,"suffix":""},{"dropping-particle":"","family":"Spada","given":"Anna","non-dropping-particle":"","parse-names":false,"suffix":""},{"dropping-particle":"","family":"Mantovani","given":"Giovanna","non-dropping-particle":"","parse-names":false,"suffix":""}],"container-title":"Journal of Bone and Mineral Research","id":"ITEM-1","issue":"6","issued":{"date-parts":[["2016"]]},"page":"1215-1224","title":"Screening of PRKAR1A and PDE4D in a Large Italian Series of Patients Clinically Diagnosed with Albright Hereditary Osteodystrophy and/or Pseudohypoparathyroidism","type":"article-journal","volume":"31"},"uris":["http://www.mendeley.com/documents/?uuid=7fc71214-b830-4659-9719-921f1333ff27"]}],"mendeley":{"formattedCitation":"(Francesca Marta Elli et al., 2016)","plainTextFormattedCitation":"(Francesca Marta Elli et al., 2016)","previouslyFormattedCitation":"(Francesca Marta Elli et al., 2016)"},"properties":{"noteIndex":0},"schema":"https://github.com/citation-style-language/schema/raw/master/csl-citation.json"}</w:instrText>
      </w:r>
      <w:r w:rsidRPr="008C1EC2">
        <w:rPr>
          <w:rFonts w:eastAsia="Times New Roman" w:cstheme="minorHAnsi"/>
          <w:lang w:eastAsia="en-GB"/>
        </w:rPr>
        <w:fldChar w:fldCharType="separate"/>
      </w:r>
      <w:r w:rsidR="00580851" w:rsidRPr="00580851">
        <w:rPr>
          <w:rFonts w:eastAsia="Times New Roman" w:cstheme="minorHAnsi"/>
          <w:noProof/>
          <w:lang w:eastAsia="en-GB"/>
        </w:rPr>
        <w:t>(Francesca Marta Elli et al., 2016)</w:t>
      </w:r>
      <w:r w:rsidRPr="008C1EC2">
        <w:rPr>
          <w:rFonts w:eastAsia="Times New Roman" w:cstheme="minorHAnsi"/>
          <w:lang w:eastAsia="en-GB"/>
        </w:rPr>
        <w:fldChar w:fldCharType="end"/>
      </w:r>
      <w:r w:rsidRPr="008C1EC2">
        <w:rPr>
          <w:rFonts w:eastAsia="Times New Roman" w:cstheme="minorHAnsi"/>
          <w:lang w:eastAsia="en-GB"/>
        </w:rPr>
        <w:t xml:space="preserve">. The majority of described variants are private missense mutations </w:t>
      </w:r>
      <w:r w:rsidR="009370B6">
        <w:rPr>
          <w:rFonts w:eastAsia="Times New Roman" w:cstheme="minorHAnsi"/>
          <w:lang w:eastAsia="en-GB"/>
        </w:rPr>
        <w:t xml:space="preserve">(similar to our patient’s) </w:t>
      </w:r>
      <w:r w:rsidRPr="008C1EC2">
        <w:rPr>
          <w:rFonts w:eastAsia="Times New Roman" w:cstheme="minorHAnsi"/>
          <w:lang w:eastAsia="en-GB"/>
        </w:rPr>
        <w:t>with a few functional studies indicating decreased binding affinity of cAMP to PKA by affecting the conformation of the NBDs, which in turn decreases PKA activation</w:t>
      </w:r>
      <w:r w:rsidR="00580851">
        <w:rPr>
          <w:rFonts w:eastAsia="Times New Roman" w:cstheme="minorHAnsi"/>
          <w:lang w:eastAsia="en-GB"/>
        </w:rPr>
        <w:t xml:space="preserve"> </w:t>
      </w:r>
      <w:r w:rsidR="00580851">
        <w:rPr>
          <w:rFonts w:eastAsia="Times New Roman" w:cstheme="minorHAnsi"/>
          <w:lang w:eastAsia="en-GB"/>
        </w:rPr>
        <w:fldChar w:fldCharType="begin" w:fldLock="1"/>
      </w:r>
      <w:r w:rsidR="00C703B1">
        <w:rPr>
          <w:rFonts w:eastAsia="Times New Roman" w:cstheme="minorHAnsi"/>
          <w:lang w:eastAsia="en-GB"/>
        </w:rPr>
        <w:instrText>ADDIN CSL_CITATION {"citationItems":[{"id":"ITEM-1","itemData":{"DOI":"10.1038/bonekey.2012.225","ISBN":"2047-6396","ISSN":"20476396","PMID":"24363928","abstract":"Acrodysostosis (ADO) refers to a heterogeneous group of rare skeletal dysplasia that share characteristic features including severe brachydactyly, facial dysostosis and nasal hypoplasia. The literature describing acrodysostosis cases has been confusing because some reported patients may have had other phenotypically related diseases presenting with Albright Hereditary Osteodystrophy (AHO) such as pseudohypoparathyroidism type 1a (PHP1a) or pseudopseudohypoparathyroidism (PPHP). A question has been whether patients display or not abnormal mineral metabolism associated with resistance to PTH and/or resistance to other hormones that bind G-protein coupled receptors (GPCR) linked to Gsα, as observed in PHP1a. The recent identification in patients affected with acrodysostosis of defects in two genes, PRKAR1A and PDE4D, both important players in the GPCR-Gsα-cAMP-PKA signaling, has helped clarify some issues regarding the heterogeneity of acrodysostosis, in particular the presence of hormonal resistance. Two different genetic and phenotypic syndromes are now identified, both with a similar bone dysplasia: ADOHR, due to PRKAR1A defects, and ADOP4 (our denomination), due to PDE4D defects. The existence of GPCR-hormone resistance is typical of the ADOHR syndrome. We review here the PRKAR1A and PDE4D gene defects and phenotypes identified in acrodysostosis syndromes, and discuss them in view of phenotypically related diseases caused by defects in the same signaling pathway.","author":[{"dropping-particle":"","family":"Silve","given":"C","non-dropping-particle":"","parse-names":false,"suffix":""},{"dropping-particle":"","family":"Le-Stunff","given":"C","non-dropping-particle":"","parse-names":false,"suffix":""},{"dropping-particle":"","family":"Motte","given":"E","non-dropping-particle":"","parse-names":false,"suffix":""},{"dropping-particle":"","family":"Gunes","given":"Y","non-dropping-particle":"","parse-names":false,"suffix":""},{"dropping-particle":"","family":"Linglart","given":"A","non-dropping-particle":"","parse-names":false,"suffix":""},{"dropping-particle":"","family":"Clauser","given":"E","non-dropping-particle":"","parse-names":false,"suffix":""}],"container-title":"BoneKEy Reports","id":"ITEM-1","issue":"September","issued":{"date-parts":[["2012"]]},"page":"225","publisher":"Nature Publishing Group","title":"Acrodysostosis syndromes","type":"article-journal","volume":"1"},"uris":["http://www.mendeley.com/documents/?uuid=1c188965-fedd-4c2a-b137-341b9f028f6b"]}],"mendeley":{"formattedCitation":"(Silve et al., 2012)","plainTextFormattedCitation":"(Silve et al., 2012)","previouslyFormattedCitation":"(Silve et al., 2012)"},"properties":{"noteIndex":0},"schema":"https://github.com/citation-style-language/schema/raw/master/csl-citation.json"}</w:instrText>
      </w:r>
      <w:r w:rsidR="00580851">
        <w:rPr>
          <w:rFonts w:eastAsia="Times New Roman" w:cstheme="minorHAnsi"/>
          <w:lang w:eastAsia="en-GB"/>
        </w:rPr>
        <w:fldChar w:fldCharType="separate"/>
      </w:r>
      <w:r w:rsidR="00580851" w:rsidRPr="00580851">
        <w:rPr>
          <w:rFonts w:eastAsia="Times New Roman" w:cstheme="minorHAnsi"/>
          <w:noProof/>
          <w:lang w:eastAsia="en-GB"/>
        </w:rPr>
        <w:t>(Silve et al., 2012)</w:t>
      </w:r>
      <w:r w:rsidR="00580851">
        <w:rPr>
          <w:rFonts w:eastAsia="Times New Roman" w:cstheme="minorHAnsi"/>
          <w:lang w:eastAsia="en-GB"/>
        </w:rPr>
        <w:fldChar w:fldCharType="end"/>
      </w:r>
      <w:r w:rsidR="00580851">
        <w:rPr>
          <w:rFonts w:eastAsia="Times New Roman" w:cstheme="minorHAnsi"/>
          <w:lang w:eastAsia="en-GB"/>
        </w:rPr>
        <w:t>.</w:t>
      </w:r>
      <w:r w:rsidRPr="008C1EC2">
        <w:rPr>
          <w:rFonts w:eastAsia="Times New Roman" w:cstheme="minorHAnsi"/>
          <w:lang w:eastAsia="en-GB"/>
        </w:rPr>
        <w:t xml:space="preserve"> </w:t>
      </w:r>
    </w:p>
    <w:p w14:paraId="4322A59D" w14:textId="3F5DE3E6" w:rsidR="00CE4AA6" w:rsidRPr="00B911E9" w:rsidRDefault="009370B6" w:rsidP="009370B6">
      <w:pPr>
        <w:spacing w:after="0" w:line="480" w:lineRule="auto"/>
        <w:rPr>
          <w:rFonts w:eastAsia="Times New Roman" w:cstheme="minorHAnsi"/>
          <w:i/>
          <w:lang w:eastAsia="en-GB"/>
        </w:rPr>
      </w:pPr>
      <w:r>
        <w:rPr>
          <w:rFonts w:eastAsia="Times New Roman" w:cstheme="minorHAnsi"/>
          <w:lang w:eastAsia="en-GB"/>
        </w:rPr>
        <w:t>Of note, a</w:t>
      </w:r>
      <w:r w:rsidRPr="008C1EC2">
        <w:rPr>
          <w:rFonts w:eastAsia="Times New Roman" w:cstheme="minorHAnsi"/>
          <w:lang w:eastAsia="en-GB"/>
        </w:rPr>
        <w:t xml:space="preserve"> series of </w:t>
      </w:r>
      <w:r w:rsidRPr="008C1EC2">
        <w:rPr>
          <w:rFonts w:eastAsia="Times New Roman" w:cstheme="minorHAnsi"/>
          <w:i/>
          <w:lang w:eastAsia="en-GB"/>
        </w:rPr>
        <w:t>PRKAR1A</w:t>
      </w:r>
      <w:r w:rsidRPr="008C1EC2">
        <w:rPr>
          <w:rFonts w:eastAsia="Times New Roman" w:cstheme="minorHAnsi"/>
          <w:lang w:eastAsia="en-GB"/>
        </w:rPr>
        <w:t xml:space="preserve"> mutations, including single-base substitutions, small indels, and large deletions covering most of an exon, are associated with Carney complex, a rare multiple neoplasia syndrome characterised by pigmented lesions and myxomatous tumours </w:t>
      </w:r>
      <w:r w:rsidRPr="008C1EC2">
        <w:rPr>
          <w:rFonts w:eastAsia="Times New Roman" w:cstheme="minorHAnsi"/>
          <w:lang w:eastAsia="en-GB"/>
        </w:rPr>
        <w:fldChar w:fldCharType="begin" w:fldLock="1"/>
      </w:r>
      <w:r w:rsidRPr="008C1EC2">
        <w:rPr>
          <w:rFonts w:eastAsia="Times New Roman" w:cstheme="minorHAnsi"/>
          <w:lang w:eastAsia="en-GB"/>
        </w:rPr>
        <w:instrText>ADDIN CSL_CITATION {"citationItems":[{"id":"ITEM-1","itemData":{"DOI":"10.1530/EJE-15-0209","ISSN":"0804-4643","abstract":"Carney Complex (CNC) is a rare autosomal dominant syndrome, characterized by pigmented lesions of the skin and mucosa, cardiac, cutaneous and other myxomas, and multiple endocrine tumors. The disease is caused by inactivating mutations or large deletions of the PRKAR1A gene located at 17q22–24 coding for the regulatory subunit type I alpha of protein kinase A (PKA) gene. Most recently, components of the complex have been associated with defects of other PKA subunits, such as the catalytic subunits PRKACA (adrenal hyperplasia) and PRKACB (pigmented spots, myxomas, pituitary adenomas). In this report, we review CNC, its clinical features, diagnosis, treatment, and molecular etiology including PRKAR1A mutations and the newest on PRKACA and PRKACB defects especially as they pertain to adrenal tumors and Cushing’s syndrome. ","author":[{"dropping-particle":"","family":"Correa","given":"Ricardo","non-dropping-particle":"","parse-names":false,"suffix":""},{"dropping-particle":"","family":"Salpea","given":"Paraskevi","non-dropping-particle":"","parse-names":false,"suffix":""},{"dropping-particle":"","family":"Stratakis","given":"Constantine","non-dropping-particle":"","parse-names":false,"suffix":""}],"container-title":"European journal of endocrinology / European Federation of Endocrine Societies","id":"ITEM-1","issue":"4","issued":{"date-parts":[["2015","10"]]},"page":"M85-M97","title":"Carney Complex: an update","type":"article-journal","volume":"173"},"uris":["http://www.mendeley.com/documents/?uuid=96e42804-5de1-4c1c-8994-26f57fcd0478","http://www.mendeley.com/documents/?uuid=7f5265c1-c1ce-46ab-821f-863ef41eb4c7"]}],"mendeley":{"formattedCitation":"(Correa, Salpea, &amp; Stratakis, 2015)","plainTextFormattedCitation":"(Correa, Salpea, &amp; Stratakis, 2015)","previouslyFormattedCitation":"(Correa, Salpea, &amp; Stratakis, 2015)"},"properties":{"noteIndex":0},"schema":"https://github.com/citation-style-language/schema/raw/master/csl-citation.json"}</w:instrText>
      </w:r>
      <w:r w:rsidRPr="008C1EC2">
        <w:rPr>
          <w:rFonts w:eastAsia="Times New Roman" w:cstheme="minorHAnsi"/>
          <w:lang w:eastAsia="en-GB"/>
        </w:rPr>
        <w:fldChar w:fldCharType="separate"/>
      </w:r>
      <w:r w:rsidRPr="008C1EC2">
        <w:rPr>
          <w:rFonts w:eastAsia="Times New Roman" w:cstheme="minorHAnsi"/>
          <w:noProof/>
          <w:lang w:eastAsia="en-GB"/>
        </w:rPr>
        <w:t>(Correa, Salpea, &amp; Stratakis, 2015)</w:t>
      </w:r>
      <w:r w:rsidRPr="008C1EC2">
        <w:rPr>
          <w:rFonts w:eastAsia="Times New Roman" w:cstheme="minorHAnsi"/>
          <w:lang w:eastAsia="en-GB"/>
        </w:rPr>
        <w:fldChar w:fldCharType="end"/>
      </w:r>
      <w:r w:rsidRPr="008C1EC2">
        <w:rPr>
          <w:rFonts w:eastAsia="Times New Roman" w:cstheme="minorHAnsi"/>
          <w:lang w:eastAsia="en-GB"/>
        </w:rPr>
        <w:t xml:space="preserve">. </w:t>
      </w:r>
      <w:r>
        <w:rPr>
          <w:rFonts w:eastAsia="Times New Roman" w:cstheme="minorHAnsi"/>
          <w:lang w:eastAsia="en-GB"/>
        </w:rPr>
        <w:t xml:space="preserve">Overall, there is no molecular overlap between </w:t>
      </w:r>
      <w:r w:rsidRPr="008C1EC2">
        <w:rPr>
          <w:rFonts w:eastAsia="Times New Roman" w:cstheme="minorHAnsi"/>
          <w:i/>
          <w:lang w:eastAsia="en-GB"/>
        </w:rPr>
        <w:t>PRKAR1A</w:t>
      </w:r>
      <w:r>
        <w:rPr>
          <w:rFonts w:eastAsia="Times New Roman" w:cstheme="minorHAnsi"/>
          <w:i/>
          <w:lang w:eastAsia="en-GB"/>
        </w:rPr>
        <w:t xml:space="preserve"> </w:t>
      </w:r>
      <w:r w:rsidRPr="009370B6">
        <w:rPr>
          <w:rFonts w:eastAsia="Times New Roman" w:cstheme="minorHAnsi"/>
          <w:lang w:eastAsia="en-GB"/>
        </w:rPr>
        <w:t>variants in acrodysostosis</w:t>
      </w:r>
      <w:r>
        <w:rPr>
          <w:rFonts w:eastAsia="Times New Roman" w:cstheme="minorHAnsi"/>
          <w:lang w:eastAsia="en-GB"/>
        </w:rPr>
        <w:t xml:space="preserve"> and Carney complex, with the latter causing </w:t>
      </w:r>
      <w:r w:rsidRPr="008C1EC2">
        <w:rPr>
          <w:rFonts w:eastAsia="Times New Roman" w:cstheme="minorHAnsi"/>
          <w:i/>
          <w:lang w:eastAsia="en-GB"/>
        </w:rPr>
        <w:t>PRKAR1A</w:t>
      </w:r>
      <w:r w:rsidRPr="008C1EC2">
        <w:rPr>
          <w:rFonts w:eastAsia="Times New Roman" w:cstheme="minorHAnsi"/>
          <w:lang w:eastAsia="en-GB"/>
        </w:rPr>
        <w:t xml:space="preserve"> haploinsufficiency</w:t>
      </w:r>
      <w:r>
        <w:rPr>
          <w:rFonts w:eastAsia="Times New Roman" w:cstheme="minorHAnsi"/>
          <w:lang w:eastAsia="en-GB"/>
        </w:rPr>
        <w:t xml:space="preserve"> and </w:t>
      </w:r>
      <w:r w:rsidRPr="008C1EC2">
        <w:rPr>
          <w:rFonts w:eastAsia="Times New Roman" w:cstheme="minorHAnsi"/>
          <w:lang w:eastAsia="en-GB"/>
        </w:rPr>
        <w:t xml:space="preserve">loss of the regulation of the catalytic subunit </w:t>
      </w:r>
      <w:r>
        <w:rPr>
          <w:rFonts w:eastAsia="Times New Roman" w:cstheme="minorHAnsi"/>
          <w:lang w:eastAsia="en-GB"/>
        </w:rPr>
        <w:t>with</w:t>
      </w:r>
      <w:r w:rsidRPr="008C1EC2">
        <w:rPr>
          <w:rFonts w:eastAsia="Times New Roman" w:cstheme="minorHAnsi"/>
          <w:lang w:eastAsia="en-GB"/>
        </w:rPr>
        <w:t xml:space="preserve"> increased PKA activation</w:t>
      </w:r>
      <w:r w:rsidR="00CE4AA6">
        <w:rPr>
          <w:rFonts w:eastAsia="Times New Roman" w:cstheme="minorHAnsi"/>
          <w:lang w:eastAsia="en-GB"/>
        </w:rPr>
        <w:t xml:space="preserve"> (Figure 1)</w:t>
      </w:r>
      <w:r w:rsidRPr="008C1EC2">
        <w:rPr>
          <w:rFonts w:eastAsia="Times New Roman" w:cstheme="minorHAnsi"/>
          <w:lang w:eastAsia="en-GB"/>
        </w:rPr>
        <w:t xml:space="preserve"> </w:t>
      </w:r>
      <w:r w:rsidRPr="008C1EC2">
        <w:rPr>
          <w:rFonts w:eastAsia="Times New Roman" w:cstheme="minorHAnsi"/>
          <w:lang w:eastAsia="en-GB"/>
        </w:rPr>
        <w:fldChar w:fldCharType="begin" w:fldLock="1"/>
      </w:r>
      <w:r w:rsidRPr="008C1EC2">
        <w:rPr>
          <w:rFonts w:eastAsia="Times New Roman" w:cstheme="minorHAnsi"/>
          <w:lang w:eastAsia="en-GB"/>
        </w:rPr>
        <w:instrText>ADDIN CSL_CITATION {"citationItems":[{"id":"ITEM-1","itemData":{"DOI":"10.1074/jbc.M115.656553","ISSN":"1083351X","PMID":"26405036","abstract":"The main target of cAMP is PKA, the main regulatory subunit of which (PRKAR1A) presents mutations in two genetic disorders: acrodysostosis and Carney complex. In addition to the initial recurrent mutation (R368X) of the PRKAR1A gene, several missense and nonsense mutations have been observed recently in acrodysostosis with hormonal resistance. These mutations are located in one of the two cAMP-binding domains of the protein, and their functional characterization is presented here. Expression of each of the PRKAR1A mutants results in a reduction of forskolin-induced PKA activation (measured by a reporter assay) and an impaired ability of cAMP to dissociate PRKAR1A from the catalytic PKA subunits by BRET assay. Modeling studies and sensitivity to cAMP analogs specific for domain A (8-piperidinoadenosine 3',5'-cyclic monophosphate) or domain B (8-(6-aminohexyl)aminoadenosine-3',5'-cyclic monophosphate) indicate that the mutations impair cAMP binding locally in the domain containing the mutation. Interestingly, two of these mutations affect amino acids for which alternative amino acid substitutions have been reported to cause the Carney complex phenotype. To decipher the molecular mechanism through which homologous substitutions can produce such strikingly different clinical phenotypes, we studied these mutations using the same approaches. Interestingly, the Carney mutants also demonstrated resistance to cAMP, but they expressed additional functional defects, including accelerated PRKAR1A protein degradation. These data demonstrate that a cAMP binding defect is the common molecular mechanism for resistance of PKA activation in acrodysosotosis and that several distinct mechanisms lead to constitutive PKA activation in Carney complex.","author":[{"dropping-particle":"","family":"Rhayem","given":"Yara","non-dropping-particle":"","parse-names":false,"suffix":""},{"dropping-particle":"","family":"Stunff","given":"Catherine","non-dropping-particle":"Le","parse-names":false,"suffix":""},{"dropping-particle":"","family":"Khalek","given":"Waed Abdel","non-dropping-particle":"","parse-names":false,"suffix":""},{"dropping-particle":"","family":"Auzan","given":"Colette","non-dropping-particle":"","parse-names":false,"suffix":""},{"dropping-particle":"","family":"Bertherat","given":"Jerome","non-dropping-particle":"","parse-names":false,"suffix":""},{"dropping-particle":"","family":"Linglart","given":"Agnès","non-dropping-particle":"","parse-names":false,"suffix":""},{"dropping-particle":"","family":"Couvineau","given":"Alain","non-dropping-particle":"","parse-names":false,"suffix":""},{"dropping-particle":"","family":"Silve","given":"Caroline","non-dropping-particle":"","parse-names":false,"suffix":""},{"dropping-particle":"","family":"Clauser","given":"Eric","non-dropping-particle":"","parse-names":false,"suffix":""}],"container-title":"Journal of Biological Chemistry","id":"ITEM-1","issue":"46","issued":{"date-parts":[["2015"]]},"page":"27816-27828","title":"Functional characterization of PRKAR1A mutations reveals a unique molecular mechanism causing acrodysostosis but multiple mechanisms causing carney complex","type":"article-journal","volume":"290"},"uris":["http://www.mendeley.com/documents/?uuid=1a6ac891-9840-47b2-8610-e4e1bf0e32a2"]}],"mendeley":{"formattedCitation":"(Rhayem et al., 2015)","plainTextFormattedCitation":"(Rhayem et al., 2015)","previouslyFormattedCitation":"(Rhayem et al., 2015)"},"properties":{"noteIndex":0},"schema":"https://github.com/citation-style-language/schema/raw/master/csl-citation.json"}</w:instrText>
      </w:r>
      <w:r w:rsidRPr="008C1EC2">
        <w:rPr>
          <w:rFonts w:eastAsia="Times New Roman" w:cstheme="minorHAnsi"/>
          <w:lang w:eastAsia="en-GB"/>
        </w:rPr>
        <w:fldChar w:fldCharType="separate"/>
      </w:r>
      <w:r w:rsidRPr="008C1EC2">
        <w:rPr>
          <w:rFonts w:eastAsia="Times New Roman" w:cstheme="minorHAnsi"/>
          <w:noProof/>
          <w:lang w:eastAsia="en-GB"/>
        </w:rPr>
        <w:t>(Rhayem et al., 2015)</w:t>
      </w:r>
      <w:r w:rsidRPr="008C1EC2">
        <w:rPr>
          <w:rFonts w:eastAsia="Times New Roman" w:cstheme="minorHAnsi"/>
          <w:lang w:eastAsia="en-GB"/>
        </w:rPr>
        <w:fldChar w:fldCharType="end"/>
      </w:r>
      <w:r w:rsidRPr="008C1EC2">
        <w:rPr>
          <w:rFonts w:eastAsia="Times New Roman" w:cstheme="minorHAnsi"/>
          <w:lang w:eastAsia="en-GB"/>
        </w:rPr>
        <w:t xml:space="preserve">. </w:t>
      </w:r>
      <w:r w:rsidR="00CE4AA6">
        <w:rPr>
          <w:rFonts w:eastAsia="Times New Roman" w:cstheme="minorHAnsi"/>
          <w:lang w:eastAsia="en-GB"/>
        </w:rPr>
        <w:t xml:space="preserve">In addition, there are no known </w:t>
      </w:r>
      <w:r w:rsidR="00CE4AA6" w:rsidRPr="008C1EC2">
        <w:rPr>
          <w:rFonts w:eastAsia="Times New Roman" w:cstheme="minorHAnsi"/>
          <w:i/>
          <w:lang w:eastAsia="en-GB"/>
        </w:rPr>
        <w:t>PRKAR1A</w:t>
      </w:r>
      <w:r w:rsidR="00CE4AA6">
        <w:rPr>
          <w:rFonts w:eastAsia="Times New Roman" w:cstheme="minorHAnsi"/>
          <w:i/>
          <w:lang w:eastAsia="en-GB"/>
        </w:rPr>
        <w:t xml:space="preserve"> </w:t>
      </w:r>
      <w:r w:rsidR="00CE4AA6" w:rsidRPr="00CE4AA6">
        <w:rPr>
          <w:rFonts w:eastAsia="Times New Roman" w:cstheme="minorHAnsi"/>
          <w:lang w:eastAsia="en-GB"/>
        </w:rPr>
        <w:t>genotype-phenotype correlations</w:t>
      </w:r>
      <w:r w:rsidR="00CE4AA6">
        <w:rPr>
          <w:rFonts w:eastAsia="Times New Roman" w:cstheme="minorHAnsi"/>
          <w:lang w:eastAsia="en-GB"/>
        </w:rPr>
        <w:t xml:space="preserve"> to date. </w:t>
      </w:r>
      <w:r w:rsidR="00CE4AA6">
        <w:rPr>
          <w:rFonts w:eastAsia="Times New Roman" w:cstheme="minorHAnsi"/>
          <w:i/>
          <w:lang w:eastAsia="en-GB"/>
        </w:rPr>
        <w:t xml:space="preserve"> </w:t>
      </w:r>
    </w:p>
    <w:p w14:paraId="0BE991F6" w14:textId="5EBE203B" w:rsidR="006E5AE9" w:rsidRDefault="00A95931" w:rsidP="007B793B">
      <w:pPr>
        <w:spacing w:after="0" w:line="480" w:lineRule="auto"/>
        <w:rPr>
          <w:rFonts w:eastAsia="Times New Roman" w:cstheme="minorHAnsi"/>
          <w:lang w:eastAsia="en-GB"/>
        </w:rPr>
      </w:pPr>
      <w:r>
        <w:rPr>
          <w:rFonts w:eastAsia="Times New Roman" w:cstheme="minorHAnsi"/>
          <w:lang w:eastAsia="en-GB"/>
        </w:rPr>
        <w:lastRenderedPageBreak/>
        <w:t xml:space="preserve">As illustrated by Figure 2, there is a significant phenotypic overlap between PHP and acrodysostosis. Poor differentiation </w:t>
      </w:r>
      <w:r w:rsidR="00AF51A0">
        <w:rPr>
          <w:rFonts w:eastAsia="Times New Roman" w:cstheme="minorHAnsi"/>
          <w:lang w:eastAsia="en-GB"/>
        </w:rPr>
        <w:t xml:space="preserve">due to the overlapping features </w:t>
      </w:r>
      <w:r>
        <w:rPr>
          <w:rFonts w:eastAsia="Times New Roman" w:cstheme="minorHAnsi"/>
          <w:lang w:eastAsia="en-GB"/>
        </w:rPr>
        <w:t>between these genetically-related disorders</w:t>
      </w:r>
      <w:r w:rsidR="009F1A7E">
        <w:rPr>
          <w:rFonts w:eastAsia="Times New Roman" w:cstheme="minorHAnsi"/>
          <w:lang w:eastAsia="en-GB"/>
        </w:rPr>
        <w:t xml:space="preserve"> </w:t>
      </w:r>
      <w:r w:rsidR="005C051A">
        <w:rPr>
          <w:rFonts w:eastAsia="Times New Roman" w:cstheme="minorHAnsi"/>
          <w:lang w:eastAsia="en-GB"/>
        </w:rPr>
        <w:t xml:space="preserve">and </w:t>
      </w:r>
      <w:r w:rsidR="00AF51A0">
        <w:rPr>
          <w:rFonts w:eastAsia="Times New Roman" w:cstheme="minorHAnsi"/>
          <w:lang w:eastAsia="en-GB"/>
        </w:rPr>
        <w:t>challenges in the</w:t>
      </w:r>
      <w:r w:rsidR="005C051A">
        <w:rPr>
          <w:rFonts w:eastAsia="Times New Roman" w:cstheme="minorHAnsi"/>
          <w:lang w:eastAsia="en-GB"/>
        </w:rPr>
        <w:t xml:space="preserve"> recognition of these disorders</w:t>
      </w:r>
      <w:r w:rsidR="00AF51A0">
        <w:rPr>
          <w:rFonts w:eastAsia="Times New Roman" w:cstheme="minorHAnsi"/>
          <w:lang w:eastAsia="en-GB"/>
        </w:rPr>
        <w:t xml:space="preserve"> by adult physicians, especially the more recently molecularly defined disorder of acrodysostosis,</w:t>
      </w:r>
      <w:r w:rsidR="005C051A">
        <w:rPr>
          <w:rFonts w:eastAsia="Times New Roman" w:cstheme="minorHAnsi"/>
          <w:lang w:eastAsia="en-GB"/>
        </w:rPr>
        <w:t xml:space="preserve"> </w:t>
      </w:r>
      <w:r>
        <w:rPr>
          <w:rFonts w:eastAsia="Times New Roman" w:cstheme="minorHAnsi"/>
          <w:lang w:eastAsia="en-GB"/>
        </w:rPr>
        <w:t xml:space="preserve">also contributed to a delayed time to diagnosis. Recently published classification guidelines </w:t>
      </w:r>
      <w:r w:rsidR="009F1A7E">
        <w:rPr>
          <w:rFonts w:eastAsia="Times New Roman" w:cstheme="minorHAnsi"/>
          <w:lang w:eastAsia="en-GB"/>
        </w:rPr>
        <w:t>alongside</w:t>
      </w:r>
      <w:r>
        <w:rPr>
          <w:rFonts w:eastAsia="Times New Roman" w:cstheme="minorHAnsi"/>
          <w:lang w:eastAsia="en-GB"/>
        </w:rPr>
        <w:t xml:space="preserve"> a new international consensus </w:t>
      </w:r>
      <w:r w:rsidR="009F1A7E" w:rsidRPr="00241751">
        <w:rPr>
          <w:rFonts w:eastAsia="Times New Roman" w:cstheme="minorHAnsi"/>
          <w:lang w:eastAsia="en-GB"/>
        </w:rPr>
        <w:t>by the EuroPHP network</w:t>
      </w:r>
      <w:r w:rsidR="009F1A7E">
        <w:rPr>
          <w:rFonts w:eastAsia="Times New Roman" w:cstheme="minorHAnsi"/>
          <w:lang w:eastAsia="en-GB"/>
        </w:rPr>
        <w:t xml:space="preserve"> are attempting to resolve this</w:t>
      </w:r>
      <w:r w:rsidR="007B793B">
        <w:rPr>
          <w:rFonts w:eastAsia="Times New Roman" w:cstheme="minorHAnsi"/>
          <w:lang w:eastAsia="en-GB"/>
        </w:rPr>
        <w:t xml:space="preserve"> issue</w:t>
      </w:r>
      <w:r w:rsidR="009F1A7E">
        <w:rPr>
          <w:rFonts w:eastAsia="Times New Roman" w:cstheme="minorHAnsi"/>
          <w:lang w:eastAsia="en-GB"/>
        </w:rPr>
        <w:t xml:space="preserve"> </w:t>
      </w:r>
      <w:r w:rsidR="009F1A7E" w:rsidRPr="00241751">
        <w:rPr>
          <w:rFonts w:eastAsia="Times New Roman" w:cstheme="minorHAnsi"/>
          <w:lang w:eastAsia="en-GB"/>
        </w:rPr>
        <w:t>using the umbrella term inactivating PTH/PTH related peptide (PTHrP) signalling disorder</w:t>
      </w:r>
      <w:r w:rsidR="009F1A7E">
        <w:rPr>
          <w:rFonts w:eastAsia="Times New Roman" w:cstheme="minorHAnsi"/>
          <w:lang w:eastAsia="en-GB"/>
        </w:rPr>
        <w:t>s</w:t>
      </w:r>
      <w:r w:rsidR="009F1A7E" w:rsidRPr="00241751">
        <w:rPr>
          <w:rFonts w:eastAsia="Times New Roman" w:cstheme="minorHAnsi"/>
          <w:lang w:eastAsia="en-GB"/>
        </w:rPr>
        <w:t xml:space="preserve"> (iPPSD), with a clinical diagnosis being aided by major and minor criteria</w:t>
      </w:r>
      <w:r w:rsidR="009F1A7E">
        <w:rPr>
          <w:rFonts w:eastAsia="Times New Roman" w:cstheme="minorHAnsi"/>
          <w:lang w:eastAsia="en-GB"/>
        </w:rPr>
        <w:t xml:space="preserve"> </w:t>
      </w:r>
      <w:r>
        <w:rPr>
          <w:rFonts w:eastAsia="Times New Roman" w:cstheme="minorHAnsi"/>
          <w:lang w:eastAsia="en-GB"/>
        </w:rPr>
        <w:fldChar w:fldCharType="begin" w:fldLock="1"/>
      </w:r>
      <w:r w:rsidR="00580851">
        <w:rPr>
          <w:rFonts w:eastAsia="Times New Roman" w:cstheme="minorHAnsi"/>
          <w:lang w:eastAsia="en-GB"/>
        </w:rPr>
        <w:instrText>ADDIN CSL_CITATION {"citationItems":[{"id":"ITEM-1","itemData":{"DOI":"10.1530/EJE-16-0107","ISBN":"0804-4643","ISSN":"1479683X","PMID":"27401862","abstract":"OBJECTIVE Disorders caused by impairments in the parathyroid hormone (PTH) signalling pathway are historically classified under the term pseudohypoparathyroidism (PHP), which encompasses rare, related and highly heterogeneous diseases with demonstrated (epi)genetic causes. The actual classification is based on the presence or absence of specific clinical and biochemical signs together with an in vivo response to exogenous PTH and the results of an in vitro assay to measure Gsa protein activity. However, this classification disregards other related diseases such as acrodysostosis (ACRDYS) or progressive osseous heteroplasia (POH), as well as recent findings of clinical and genetic/epigenetic background of the different subtypes. Therefore, the EuroPHP network decided to develop a new classification that encompasses all disorders with impairments in PTH and/or PTHrP cAMP-mediated pathway. DESIGN AND METHODS Extensive review of the literature was performed. Several meetings were organised to discuss about a new, more effective and accurate way to describe disorders caused by abnormalities of the PTH/PTHrP signalling pathway. RESULTS AND CONCLUSIONS After determining the major and minor criteria to be considered for the diagnosis of these disorders, we proposed to group them under the term 'inactivating PTH/PTHrP signalling disorder' (iPPSD). This terminology: (i) defines the common mechanism responsible for all diseases; (ii) does not require a confirmed genetic defect; (iii) avoids ambiguous terms like 'pseudo' and (iv) eliminates the clinical or molecular overlap between diseases. We believe that the use of this nomenclature and classification will facilitate the development of rationale and comprehensive international guidelines for the diagnosis and treatment of iPPSDs.","author":[{"dropping-particle":"","family":"Thiele","given":"Susanne","non-dropping-particle":"","parse-names":false,"suffix":""},{"dropping-particle":"","family":"Mantovani","given":"Giovanna","non-dropping-particle":"","parse-names":false,"suffix":""},{"dropping-particle":"","family":"Barlier","given":"Anne","non-dropping-particle":"","parse-names":false,"suffix":""},{"dropping-particle":"","family":"Boldrin","given":"Valentina","non-dropping-particle":"","parse-names":false,"suffix":""},{"dropping-particle":"","family":"Bordogna","given":"Paolo","non-dropping-particle":"","parse-names":false,"suffix":""},{"dropping-particle":"","family":"Sanctis","given":"Luisa","non-dropping-particle":"De","parse-names":false,"suffix":""},{"dropping-particle":"","family":"Elli","given":"Francesca M.","non-dropping-particle":"","parse-names":false,"suffix":""},{"dropping-particle":"","family":"Freson","given":"Kathleen","non-dropping-particle":"","parse-names":false,"suffix":""},{"dropping-particle":"","family":"Garin","given":"Intza","non-dropping-particle":"","parse-names":false,"suffix":""},{"dropping-particle":"","family":"Grybek","given":"Virginie","non-dropping-particle":"","parse-names":false,"suffix":""},{"dropping-particle":"","family":"Hanna","given":"Patrick","non-dropping-particle":"","parse-names":false,"suffix":""},{"dropping-particle":"","family":"Izzi","given":"Benedetta","non-dropping-particle":"","parse-names":false,"suffix":""},{"dropping-particle":"","family":"Hiort","given":"Olaf","non-dropping-particle":"","parse-names":false,"suffix":""},{"dropping-particle":"","family":"Lecumberri","given":"Beatriz","non-dropping-particle":"","parse-names":false,"suffix":""},{"dropping-particle":"","family":"Pereda","given":"Arrate","non-dropping-particle":"","parse-names":false,"suffix":""},{"dropping-particle":"","family":"Saraff","given":"Vrinda","non-dropping-particle":"","parse-names":false,"suffix":""},{"dropping-particle":"","family":"Silve","given":"Caroline","non-dropping-particle":"","parse-names":false,"suffix":""},{"dropping-particle":"","family":"Turan","given":"Serap","non-dropping-particle":"","parse-names":false,"suffix":""},{"dropping-particle":"","family":"Usardi","given":"Alessia","non-dropping-particle":"","parse-names":false,"suffix":""},{"dropping-particle":"","family":"Werner","given":"Ralf","non-dropping-particle":"","parse-names":false,"suffix":""},{"dropping-particle":"","family":"Nanclares","given":"Guiomar Perez","non-dropping-particle":"De","parse-names":false,"suffix":""},{"dropping-particle":"","family":"Linglart","given":"Agnès","non-dropping-particle":"","parse-names":false,"suffix":""}],"container-title":"European Journal of Endocrinology","id":"ITEM-1","issue":"6","issued":{"date-parts":[["2016"]]},"page":"P1-P17","title":"From pseudohypoparathyroidism to inactivating PTH/PTHrP signalling disorder (iPPSD), a novel classification proposed by the EuroPHP network","type":"article-journal","volume":"175"},"uris":["http://www.mendeley.com/documents/?uuid=81e10d7f-0966-4035-ba91-1113c0244abe"]},{"id":"ITEM-2","itemData":{"DOI":"10.1038/s41574-018-0042-0","ISSN":"17595037","PMID":"29959430","abstract":"This Consensus Statement covers recommendations for the diagnosis and management of patients with pseudohypoparathyroidism (PHP) and related disorders, which comprise metabolic disorders characterized by physical findings that variably include short bones, short stature, a stocky build, early-onset obesity and ectopic ossifications, as well as endocrine defects that often include resistance to parathyroid hormone (PTH) and TSH. The presentation and severity of PHP and its related disorders vary between affected individuals with considerable clinical and molecular overlap between the different types. A specific diagnosis is often delayed owing to lack of recognition of the syndrome and associated features. The participants in this Consensus Statement agreed that the diagnosis of PHP should be based on major criteria, including resistance to PTH, ectopic ossifications, brachydactyly and early-onset obesity. The clinical and laboratory diagnosis should be confirmed by a molecular genetic analysis. Patients should be screened at diagnosis and during follow-up for specific features, such as PTH resistance, TSH resistance, growth hormone deficiency, hypogonadism, skeletal deformities, oral health, weight gain, glucose intolerance or type 2 diabetes mellitus, and hypertension, as well as subcutaneous and/or deeper ectopic ossifications and neurocognitive impairment. Overall, a coordinated and multidisciplinary approach from infancy through adulthood, including a transition programme, should help us to improve the care of patients affected by these disorders.","author":[{"dropping-particle":"","family":"Mantovani","given":"Giovanna","non-dropping-particle":"","parse-names":false,"suffix":""},{"dropping-particle":"","family":"Bastepe","given":"Murat","non-dropping-particle":"","parse-names":false,"suffix":""},{"dropping-particle":"","family":"Monk","given":"David","non-dropping-particle":"","parse-names":false,"suffix":""},{"dropping-particle":"","family":"Sanctis","given":"Luisa","non-dropping-particle":"De","parse-names":false,"suffix":""},{"dropping-particle":"","family":"Thiele","given":"Susanne","non-dropping-particle":"","parse-names":false,"suffix":""},{"dropping-particle":"","family":"Usardi","given":"Alessia","non-dropping-particle":"","parse-names":false,"suffix":""},{"dropping-particle":"","family":"Ahmed","given":"S. Faisal","non-dropping-particle":"","parse-names":false,"suffix":""},{"dropping-particle":"","family":"Bufo","given":"Roberto","non-dropping-particle":"","parse-names":false,"suffix":""},{"dropping-particle":"","family":"Choplin","given":"Timothée","non-dropping-particle":"","parse-names":false,"suffix":""},{"dropping-particle":"","family":"Filippo","given":"Gianpaolo","non-dropping-particle":"De","parse-names":false,"suffix":""},{"dropping-particle":"","family":"Devernois","given":"Guillemette","non-dropping-particle":"","parse-names":false,"suffix":""},{"dropping-particle":"","family":"Eggermann","given":"Thomas","non-dropping-particle":"","parse-names":false,"suffix":""},{"dropping-particle":"","family":"Elli","given":"Francesca M.","non-dropping-particle":"","parse-names":false,"suffix":""},{"dropping-particle":"","family":"Freson","given":"Kathleen","non-dropping-particle":"","parse-names":false,"suffix":""},{"dropping-particle":"","family":"García Ramirez","given":"Aurora","non-dropping-particle":"","parse-names":false,"suffix":""},{"dropping-particle":"","family":"Germain-Lee","given":"Emily L.","non-dropping-particle":"","parse-names":false,"suffix":""},{"dropping-particle":"","family":"Groussin","given":"Lionel","non-dropping-particle":"","parse-names":false,"suffix":""},{"dropping-particle":"","family":"Hamdy","given":"Neveen","non-dropping-particle":"","parse-names":false,"suffix":""},{"dropping-particle":"","family":"Hanna","given":"Patrick","non-dropping-particle":"","parse-names":false,"suffix":""},{"dropping-particle":"","family":"Hiort","given":"Olaf","non-dropping-particle":"","parse-names":false,"suffix":""},{"dropping-particle":"","family":"Jüppner","given":"Harald","non-dropping-particle":"","parse-names":false,"suffix":""},{"dropping-particle":"","family":"Kamenický","given":"Peter","non-dropping-particle":"","parse-names":false,"suffix":""},{"dropping-particle":"","family":"Knight","given":"Nina","non-dropping-particle":"","parse-names":false,"suffix":""},{"dropping-particle":"","family":"Kottler","given":"Marie Laure","non-dropping-particle":"","parse-names":false,"suffix":""},{"dropping-particle":"","family":"Norcy","given":"Elvire","non-dropping-particle":"Le","parse-names":false,"suffix":""},{"dropping-particle":"","family":"Lecumberri","given":"Beatriz","non-dropping-particle":"","parse-names":false,"suffix":""},{"dropping-particle":"","family":"Levine","given":"Michael A.","non-dropping-particle":"","parse-names":false,"suffix":""},{"dropping-particle":"","family":"Mäkitie","given":"Outi","non-dropping-particle":"","parse-names":false,"suffix":""},{"dropping-particle":"","family":"Martin","given":"Regina","non-dropping-particle":"","parse-names":false,"suffix":""},{"dropping-particle":"","family":"Martos-Moreno","given":"Gabriel Ángel","non-dropping-particle":"","parse-names":false,"suffix":""},{"dropping-particle":"","family":"Minagawa","given":"Masanori","non-dropping-particle":"","parse-names":false,"suffix":""},{"dropping-particle":"","family":"Murray","given":"Philip","non-dropping-particle":"","parse-names":false,"suffix":""},{"dropping-particle":"","family":"Pereda","given":"Arrate","non-dropping-particle":"","parse-names":false,"suffix":""},{"dropping-particle":"","family":"Pignolo","given":"Robert","non-dropping-particle":"","parse-names":false,"suffix":""},{"dropping-particle":"","family":"Rejnmark","given":"Lars","non-dropping-particle":"","parse-names":false,"suffix":""},{"dropping-particle":"","family":"Rodado","given":"Rebecca","non-dropping-particle":"","parse-names":false,"suffix":""},{"dropping-particle":"","family":"Rothenbuhler","given":"Anya","non-dropping-particle":"","parse-names":false,"suffix":""},{"dropping-particle":"","family":"Saraff","given":"Vrinda","non-dropping-particle":"","parse-names":false,"suffix":""},{"dropping-particle":"","family":"Shoemaker","given":"Ashley H.","non-dropping-particle":"","parse-names":false,"suffix":""},{"dropping-particle":"","family":"Shore","given":"Eileen M.","non-dropping-particle":"","parse-names":false,"suffix":""},{"dropping-particle":"","family":"Silve","given":"Caroline","non-dropping-particle":"","parse-names":false,"suffix":""},{"dropping-particle":"","family":"Turan","given":"Serap","non-dropping-particle":"","parse-names":false,"suffix":""},{"dropping-particle":"","family":"Woods","given":"Philip","non-dropping-particle":"","parse-names":false,"suffix":""},{"dropping-particle":"","family":"Carola Zillikens","given":"M.","non-dropping-particle":"","parse-names":false,"suffix":""},{"dropping-particle":"","family":"Nanclares","given":"Guiomar Perez","non-dropping-particle":"De","parse-names":false,"suffix":""},{"dropping-particle":"","family":"Linglart","given":"Agnès","non-dropping-particle":"","parse-names":false,"suffix":""}],"container-title":"Nature Reviews Endocrinology","id":"ITEM-2","issue":"8","issued":{"date-parts":[["2018"]]},"page":"476-500","publisher":"Springer US","title":"Diagnosis and management of pseudohypoparathyroidism and related disorders: First international Consensus Statement","type":"article-journal","volume":"14"},"uris":["http://www.mendeley.com/documents/?uuid=d03de5be-d81d-4986-9c94-7d543dfee407"]}],"mendeley":{"formattedCitation":"(Mantovani et al., 2018; Thiele et al., 2016)","plainTextFormattedCitation":"(Mantovani et al., 2018; Thiele et al., 2016)","previouslyFormattedCitation":"(Mantovani et al., 2018; Thiele et al., 2016)"},"properties":{"noteIndex":0},"schema":"https://github.com/citation-style-language/schema/raw/master/csl-citation.json"}</w:instrText>
      </w:r>
      <w:r>
        <w:rPr>
          <w:rFonts w:eastAsia="Times New Roman" w:cstheme="minorHAnsi"/>
          <w:lang w:eastAsia="en-GB"/>
        </w:rPr>
        <w:fldChar w:fldCharType="separate"/>
      </w:r>
      <w:r w:rsidRPr="00401119">
        <w:rPr>
          <w:rFonts w:eastAsia="Times New Roman" w:cstheme="minorHAnsi"/>
          <w:noProof/>
          <w:lang w:eastAsia="en-GB"/>
        </w:rPr>
        <w:t>(Mantovani et al., 2018; Thiele et al., 2016)</w:t>
      </w:r>
      <w:r>
        <w:rPr>
          <w:rFonts w:eastAsia="Times New Roman" w:cstheme="minorHAnsi"/>
          <w:lang w:eastAsia="en-GB"/>
        </w:rPr>
        <w:fldChar w:fldCharType="end"/>
      </w:r>
      <w:r w:rsidR="009F1A7E">
        <w:rPr>
          <w:rFonts w:eastAsia="Times New Roman" w:cstheme="minorHAnsi"/>
          <w:lang w:eastAsia="en-GB"/>
        </w:rPr>
        <w:t xml:space="preserve">. </w:t>
      </w:r>
      <w:r w:rsidR="009F1A7E" w:rsidRPr="00241751">
        <w:rPr>
          <w:rFonts w:eastAsia="Times New Roman" w:cstheme="minorHAnsi"/>
          <w:lang w:eastAsia="en-GB"/>
        </w:rPr>
        <w:t xml:space="preserve">Our two patients </w:t>
      </w:r>
      <w:r w:rsidR="007B793B">
        <w:rPr>
          <w:rFonts w:eastAsia="Times New Roman" w:cstheme="minorHAnsi"/>
          <w:lang w:eastAsia="en-GB"/>
        </w:rPr>
        <w:t>had overlapping</w:t>
      </w:r>
      <w:r w:rsidR="009F1A7E" w:rsidRPr="00241751">
        <w:rPr>
          <w:rFonts w:eastAsia="Times New Roman" w:cstheme="minorHAnsi"/>
          <w:lang w:eastAsia="en-GB"/>
        </w:rPr>
        <w:t xml:space="preserve"> </w:t>
      </w:r>
      <w:r w:rsidR="007B793B">
        <w:rPr>
          <w:rFonts w:eastAsia="Times New Roman" w:cstheme="minorHAnsi"/>
          <w:lang w:eastAsia="en-GB"/>
        </w:rPr>
        <w:t xml:space="preserve">major (PTH resistance, </w:t>
      </w:r>
      <w:r w:rsidR="009F1A7E" w:rsidRPr="00241751">
        <w:rPr>
          <w:rFonts w:eastAsia="Times New Roman" w:cstheme="minorHAnsi"/>
          <w:lang w:eastAsia="en-GB"/>
        </w:rPr>
        <w:t>brachydactyly</w:t>
      </w:r>
      <w:r w:rsidR="007B793B">
        <w:rPr>
          <w:rFonts w:eastAsia="Times New Roman" w:cstheme="minorHAnsi"/>
          <w:lang w:eastAsia="en-GB"/>
        </w:rPr>
        <w:t xml:space="preserve"> type E) and minor findings (</w:t>
      </w:r>
      <w:r w:rsidR="009F1A7E" w:rsidRPr="00241751">
        <w:rPr>
          <w:rFonts w:eastAsia="Times New Roman" w:cstheme="minorHAnsi"/>
          <w:lang w:eastAsia="en-GB"/>
        </w:rPr>
        <w:t>cognitive impairment, obesity</w:t>
      </w:r>
      <w:r w:rsidR="007B793B">
        <w:rPr>
          <w:rFonts w:eastAsia="Times New Roman" w:cstheme="minorHAnsi"/>
          <w:lang w:eastAsia="en-GB"/>
        </w:rPr>
        <w:t xml:space="preserve">, </w:t>
      </w:r>
      <w:r w:rsidR="009F1A7E" w:rsidRPr="00241751">
        <w:rPr>
          <w:rFonts w:eastAsia="Times New Roman" w:cstheme="minorHAnsi"/>
          <w:lang w:eastAsia="en-GB"/>
        </w:rPr>
        <w:t>abnormal facies</w:t>
      </w:r>
      <w:r w:rsidR="007B793B">
        <w:rPr>
          <w:rFonts w:eastAsia="Times New Roman" w:cstheme="minorHAnsi"/>
          <w:lang w:eastAsia="en-GB"/>
        </w:rPr>
        <w:t xml:space="preserve">), </w:t>
      </w:r>
      <w:r w:rsidR="009F1A7E" w:rsidRPr="00241751">
        <w:rPr>
          <w:rFonts w:eastAsia="Times New Roman" w:cstheme="minorHAnsi"/>
          <w:lang w:eastAsia="en-GB"/>
        </w:rPr>
        <w:t xml:space="preserve">with </w:t>
      </w:r>
      <w:r w:rsidR="009F1A7E">
        <w:rPr>
          <w:rFonts w:eastAsia="Times New Roman" w:cstheme="minorHAnsi"/>
          <w:lang w:eastAsia="en-GB"/>
        </w:rPr>
        <w:t>respective diagnoses of</w:t>
      </w:r>
      <w:r w:rsidR="009F1A7E" w:rsidRPr="00241751">
        <w:rPr>
          <w:rFonts w:eastAsia="Times New Roman" w:cstheme="minorHAnsi"/>
          <w:lang w:eastAsia="en-GB"/>
        </w:rPr>
        <w:t xml:space="preserve"> iPPSD2 (due to the presence of a novel </w:t>
      </w:r>
      <w:r w:rsidR="009F1A7E" w:rsidRPr="00241751">
        <w:rPr>
          <w:rFonts w:eastAsia="Times New Roman" w:cstheme="minorHAnsi"/>
          <w:i/>
          <w:lang w:eastAsia="en-GB"/>
        </w:rPr>
        <w:t>GNAS</w:t>
      </w:r>
      <w:r w:rsidR="009F1A7E" w:rsidRPr="00241751">
        <w:rPr>
          <w:rFonts w:eastAsia="Times New Roman" w:cstheme="minorHAnsi"/>
          <w:lang w:eastAsia="en-GB"/>
        </w:rPr>
        <w:t xml:space="preserve"> mutation) and</w:t>
      </w:r>
      <w:r w:rsidR="009F1A7E">
        <w:rPr>
          <w:rFonts w:eastAsia="Times New Roman" w:cstheme="minorHAnsi"/>
          <w:lang w:eastAsia="en-GB"/>
        </w:rPr>
        <w:t xml:space="preserve"> </w:t>
      </w:r>
      <w:r w:rsidR="009F1A7E" w:rsidRPr="00241751">
        <w:rPr>
          <w:rFonts w:eastAsia="Times New Roman" w:cstheme="minorHAnsi"/>
          <w:lang w:eastAsia="en-GB"/>
        </w:rPr>
        <w:t xml:space="preserve">iPPSD4 (due to the presence of a novel </w:t>
      </w:r>
      <w:r w:rsidR="009F1A7E" w:rsidRPr="00241751">
        <w:rPr>
          <w:rFonts w:eastAsia="Times New Roman" w:cstheme="minorHAnsi"/>
          <w:i/>
          <w:lang w:eastAsia="en-GB"/>
        </w:rPr>
        <w:t>PRKAR1A</w:t>
      </w:r>
      <w:r w:rsidR="009F1A7E" w:rsidRPr="00241751">
        <w:rPr>
          <w:rFonts w:eastAsia="Times New Roman" w:cstheme="minorHAnsi"/>
          <w:lang w:eastAsia="en-GB"/>
        </w:rPr>
        <w:t xml:space="preserve"> mutation). </w:t>
      </w:r>
    </w:p>
    <w:p w14:paraId="50ACDDBC" w14:textId="4C6B3914" w:rsidR="006A5BEE" w:rsidRDefault="001A21FE" w:rsidP="00D6516A">
      <w:pPr>
        <w:spacing w:after="0" w:line="480" w:lineRule="auto"/>
        <w:rPr>
          <w:rFonts w:eastAsia="Times New Roman" w:cstheme="minorHAnsi"/>
          <w:lang w:eastAsia="en-GB"/>
        </w:rPr>
      </w:pPr>
      <w:r>
        <w:rPr>
          <w:rFonts w:eastAsia="Times New Roman" w:cstheme="minorHAnsi"/>
          <w:lang w:eastAsia="en-GB"/>
        </w:rPr>
        <w:t>In conclusion, o</w:t>
      </w:r>
      <w:r w:rsidR="00AF51A0">
        <w:rPr>
          <w:rFonts w:eastAsia="Times New Roman" w:cstheme="minorHAnsi"/>
          <w:lang w:eastAsia="en-GB"/>
        </w:rPr>
        <w:t>ur</w:t>
      </w:r>
      <w:r w:rsidR="00CD7E45">
        <w:rPr>
          <w:rFonts w:eastAsia="Times New Roman" w:cstheme="minorHAnsi"/>
          <w:lang w:eastAsia="en-GB"/>
        </w:rPr>
        <w:t xml:space="preserve"> cases</w:t>
      </w:r>
      <w:r w:rsidR="005C5A77">
        <w:rPr>
          <w:rFonts w:eastAsia="Times New Roman" w:cstheme="minorHAnsi"/>
          <w:lang w:eastAsia="en-GB"/>
        </w:rPr>
        <w:t xml:space="preserve"> </w:t>
      </w:r>
      <w:r w:rsidR="00AF51A0">
        <w:rPr>
          <w:rFonts w:eastAsia="Times New Roman" w:cstheme="minorHAnsi"/>
          <w:lang w:eastAsia="en-GB"/>
        </w:rPr>
        <w:t xml:space="preserve">demonstrate that a </w:t>
      </w:r>
      <w:r w:rsidR="009F1A7E">
        <w:rPr>
          <w:rFonts w:eastAsia="Times New Roman" w:cstheme="minorHAnsi"/>
          <w:lang w:eastAsia="en-GB"/>
        </w:rPr>
        <w:t xml:space="preserve">multi-disciplinary approach </w:t>
      </w:r>
      <w:r w:rsidR="00AF51A0">
        <w:rPr>
          <w:rFonts w:eastAsia="Times New Roman" w:cstheme="minorHAnsi"/>
          <w:lang w:eastAsia="en-GB"/>
        </w:rPr>
        <w:t>between</w:t>
      </w:r>
      <w:r w:rsidR="005C5A77">
        <w:rPr>
          <w:rFonts w:eastAsia="Times New Roman" w:cstheme="minorHAnsi"/>
          <w:lang w:eastAsia="en-GB"/>
        </w:rPr>
        <w:t xml:space="preserve"> specialists from</w:t>
      </w:r>
      <w:r w:rsidR="00AF51A0">
        <w:rPr>
          <w:rFonts w:eastAsia="Times New Roman" w:cstheme="minorHAnsi"/>
          <w:lang w:eastAsia="en-GB"/>
        </w:rPr>
        <w:t xml:space="preserve"> metabolic bone disease, diabetes and endocrinology, clinical genetics, radiology and the genetics laboratory enabled the correct</w:t>
      </w:r>
      <w:r w:rsidR="00CD7E45">
        <w:rPr>
          <w:rFonts w:eastAsia="Times New Roman" w:cstheme="minorHAnsi"/>
          <w:lang w:eastAsia="en-GB"/>
        </w:rPr>
        <w:t xml:space="preserve"> diagnosis</w:t>
      </w:r>
      <w:r w:rsidR="00AF51A0">
        <w:rPr>
          <w:rFonts w:eastAsia="Times New Roman" w:cstheme="minorHAnsi"/>
          <w:lang w:eastAsia="en-GB"/>
        </w:rPr>
        <w:t xml:space="preserve"> to be reached where</w:t>
      </w:r>
      <w:r w:rsidR="005535B3">
        <w:rPr>
          <w:rFonts w:eastAsia="Times New Roman" w:cstheme="minorHAnsi"/>
          <w:lang w:eastAsia="en-GB"/>
        </w:rPr>
        <w:t xml:space="preserve"> this was not possible in their childhood</w:t>
      </w:r>
      <w:r w:rsidR="001F2AD4">
        <w:rPr>
          <w:rFonts w:eastAsia="Times New Roman" w:cstheme="minorHAnsi"/>
          <w:lang w:eastAsia="en-GB"/>
        </w:rPr>
        <w:t>.</w:t>
      </w:r>
      <w:r w:rsidR="009F1A7E">
        <w:rPr>
          <w:rFonts w:eastAsia="Times New Roman" w:cstheme="minorHAnsi"/>
          <w:lang w:eastAsia="en-GB"/>
        </w:rPr>
        <w:t xml:space="preserve"> </w:t>
      </w:r>
      <w:r w:rsidR="006E5AE9">
        <w:rPr>
          <w:rFonts w:eastAsia="Times New Roman" w:cstheme="minorHAnsi"/>
          <w:lang w:eastAsia="en-GB"/>
        </w:rPr>
        <w:t xml:space="preserve">Our </w:t>
      </w:r>
      <w:r w:rsidR="006E5AE9" w:rsidRPr="00241751">
        <w:rPr>
          <w:rFonts w:eastAsia="Times New Roman" w:cstheme="minorHAnsi"/>
          <w:i/>
          <w:lang w:eastAsia="en-GB"/>
        </w:rPr>
        <w:t>PRKAR1A</w:t>
      </w:r>
      <w:r w:rsidR="006E5AE9">
        <w:rPr>
          <w:rFonts w:eastAsia="Times New Roman" w:cstheme="minorHAnsi"/>
          <w:lang w:eastAsia="en-GB"/>
        </w:rPr>
        <w:t>-related acrodysostosis patient also confirms that ectopic ossification can occur in this disorder where previously, this features was thought to be sole</w:t>
      </w:r>
      <w:r w:rsidR="009D014B">
        <w:rPr>
          <w:rFonts w:eastAsia="Times New Roman" w:cstheme="minorHAnsi"/>
          <w:lang w:eastAsia="en-GB"/>
        </w:rPr>
        <w:t>l</w:t>
      </w:r>
      <w:r w:rsidR="006E5AE9">
        <w:rPr>
          <w:rFonts w:eastAsia="Times New Roman" w:cstheme="minorHAnsi"/>
          <w:lang w:eastAsia="en-GB"/>
        </w:rPr>
        <w:t xml:space="preserve">y associated with </w:t>
      </w:r>
      <w:r w:rsidR="006E5AE9" w:rsidRPr="00A10264">
        <w:rPr>
          <w:rFonts w:eastAsia="Times New Roman" w:cstheme="minorHAnsi"/>
          <w:i/>
          <w:lang w:eastAsia="en-GB"/>
        </w:rPr>
        <w:t xml:space="preserve">GNAS </w:t>
      </w:r>
      <w:r w:rsidR="006E5AE9">
        <w:rPr>
          <w:rFonts w:eastAsia="Times New Roman" w:cstheme="minorHAnsi"/>
          <w:lang w:eastAsia="en-GB"/>
        </w:rPr>
        <w:t xml:space="preserve">pathogenic variants. He also had spina bifida occulta, a feature not previously reported, detected on his skeletal survey. The use of panel gene testing using NGS can now improve diagnostic yield. Our report also emphasises the importance of seeking the opinion of a radiologist with expertise in skeletal dysplasias as an alternative </w:t>
      </w:r>
      <w:r>
        <w:rPr>
          <w:rFonts w:eastAsia="Times New Roman" w:cstheme="minorHAnsi"/>
          <w:lang w:eastAsia="en-GB"/>
        </w:rPr>
        <w:t>means</w:t>
      </w:r>
      <w:r w:rsidR="006E5AE9">
        <w:rPr>
          <w:rFonts w:eastAsia="Times New Roman" w:cstheme="minorHAnsi"/>
          <w:lang w:eastAsia="en-GB"/>
        </w:rPr>
        <w:t xml:space="preserve"> to establish</w:t>
      </w:r>
      <w:r>
        <w:rPr>
          <w:rFonts w:eastAsia="Times New Roman" w:cstheme="minorHAnsi"/>
          <w:lang w:eastAsia="en-GB"/>
        </w:rPr>
        <w:t>ing</w:t>
      </w:r>
      <w:r w:rsidR="006E5AE9">
        <w:rPr>
          <w:rFonts w:eastAsia="Times New Roman" w:cstheme="minorHAnsi"/>
          <w:lang w:eastAsia="en-GB"/>
        </w:rPr>
        <w:t xml:space="preserve"> a diagnosis. </w:t>
      </w:r>
      <w:bookmarkEnd w:id="1"/>
      <w:bookmarkEnd w:id="2"/>
    </w:p>
    <w:p w14:paraId="4F478C82" w14:textId="77777777" w:rsidR="00695F3B" w:rsidRDefault="00695F3B" w:rsidP="00D6516A">
      <w:pPr>
        <w:spacing w:after="0" w:line="480" w:lineRule="auto"/>
        <w:rPr>
          <w:rFonts w:eastAsia="Times New Roman" w:cstheme="minorHAnsi"/>
          <w:lang w:eastAsia="en-GB"/>
        </w:rPr>
      </w:pPr>
    </w:p>
    <w:p w14:paraId="17A586D3" w14:textId="1057C0DB" w:rsidR="008232B6" w:rsidRPr="00091E90" w:rsidRDefault="00F60521" w:rsidP="00D6516A">
      <w:pPr>
        <w:spacing w:after="0" w:line="480" w:lineRule="auto"/>
        <w:rPr>
          <w:rFonts w:eastAsia="Times New Roman" w:cstheme="minorHAnsi"/>
          <w:i/>
          <w:sz w:val="20"/>
          <w:lang w:eastAsia="en-GB"/>
        </w:rPr>
      </w:pPr>
      <w:r w:rsidRPr="00091E90">
        <w:rPr>
          <w:rFonts w:eastAsia="Times New Roman" w:cstheme="minorHAnsi"/>
          <w:b/>
          <w:i/>
          <w:sz w:val="20"/>
          <w:lang w:eastAsia="en-GB"/>
        </w:rPr>
        <w:t>Figure 1.</w:t>
      </w:r>
      <w:r w:rsidRPr="00091E90">
        <w:rPr>
          <w:rFonts w:eastAsia="Times New Roman" w:cstheme="minorHAnsi"/>
          <w:i/>
          <w:sz w:val="20"/>
          <w:lang w:eastAsia="en-GB"/>
        </w:rPr>
        <w:t xml:space="preserve"> </w:t>
      </w:r>
      <w:r w:rsidR="00F81F07" w:rsidRPr="00091E90">
        <w:rPr>
          <w:rFonts w:eastAsia="Times New Roman" w:cstheme="minorHAnsi"/>
          <w:i/>
          <w:sz w:val="20"/>
          <w:lang w:eastAsia="en-GB"/>
        </w:rPr>
        <w:t>The cAMP signalling pathway</w:t>
      </w:r>
      <w:r w:rsidR="006256D2" w:rsidRPr="00091E90">
        <w:rPr>
          <w:rFonts w:eastAsia="Times New Roman" w:cstheme="minorHAnsi"/>
          <w:i/>
          <w:sz w:val="20"/>
          <w:lang w:eastAsia="en-GB"/>
        </w:rPr>
        <w:t>,</w:t>
      </w:r>
      <w:r w:rsidR="00F81F07" w:rsidRPr="00091E90">
        <w:rPr>
          <w:rFonts w:eastAsia="Times New Roman" w:cstheme="minorHAnsi"/>
          <w:i/>
          <w:sz w:val="20"/>
          <w:lang w:eastAsia="en-GB"/>
        </w:rPr>
        <w:t xml:space="preserve"> showing </w:t>
      </w:r>
      <w:r w:rsidR="006256D2" w:rsidRPr="00091E90">
        <w:rPr>
          <w:rFonts w:eastAsia="Times New Roman" w:cstheme="minorHAnsi"/>
          <w:i/>
          <w:sz w:val="20"/>
          <w:lang w:eastAsia="en-GB"/>
        </w:rPr>
        <w:t xml:space="preserve">how the activation of a G-protein-coupled receptor causes a signalling cascade involving G-proteins, </w:t>
      </w:r>
      <w:r w:rsidR="00D6516A" w:rsidRPr="00091E90">
        <w:rPr>
          <w:rFonts w:eastAsia="Times New Roman" w:cstheme="minorHAnsi"/>
          <w:i/>
          <w:sz w:val="20"/>
          <w:lang w:eastAsia="en-GB"/>
        </w:rPr>
        <w:t>adenylyl cyclase</w:t>
      </w:r>
      <w:r w:rsidR="006256D2" w:rsidRPr="00091E90">
        <w:rPr>
          <w:rFonts w:eastAsia="Times New Roman" w:cstheme="minorHAnsi"/>
          <w:i/>
          <w:sz w:val="20"/>
          <w:lang w:eastAsia="en-GB"/>
        </w:rPr>
        <w:t xml:space="preserve">, cAMP, and protein kinase A (downstream mediators not shown). The table below describes genetic conditions associated with </w:t>
      </w:r>
      <w:r w:rsidR="00D6516A" w:rsidRPr="00091E90">
        <w:rPr>
          <w:rFonts w:eastAsia="Times New Roman" w:cstheme="minorHAnsi"/>
          <w:i/>
          <w:sz w:val="20"/>
          <w:lang w:eastAsia="en-GB"/>
        </w:rPr>
        <w:t>defects</w:t>
      </w:r>
      <w:r w:rsidR="006256D2" w:rsidRPr="00091E90">
        <w:rPr>
          <w:rFonts w:eastAsia="Times New Roman" w:cstheme="minorHAnsi"/>
          <w:i/>
          <w:sz w:val="20"/>
          <w:lang w:eastAsia="en-GB"/>
        </w:rPr>
        <w:t xml:space="preserve"> in this pathway. </w:t>
      </w:r>
      <w:r w:rsidRPr="00091E90">
        <w:rPr>
          <w:rFonts w:eastAsia="Times New Roman" w:cstheme="minorHAnsi"/>
          <w:i/>
          <w:sz w:val="20"/>
        </w:rPr>
        <w:t>Abbreviations: AC, adenylyl cyclase; AHO, Albright Hereditary Osteodyst</w:t>
      </w:r>
      <w:r w:rsidR="00E147EF" w:rsidRPr="00091E90">
        <w:rPr>
          <w:rFonts w:eastAsia="Times New Roman" w:cstheme="minorHAnsi"/>
          <w:i/>
          <w:sz w:val="20"/>
        </w:rPr>
        <w:t>r</w:t>
      </w:r>
      <w:r w:rsidRPr="00091E90">
        <w:rPr>
          <w:rFonts w:eastAsia="Times New Roman" w:cstheme="minorHAnsi"/>
          <w:i/>
          <w:sz w:val="20"/>
        </w:rPr>
        <w:t xml:space="preserve">ophy; </w:t>
      </w:r>
      <w:r w:rsidR="002A1BD5" w:rsidRPr="00091E90">
        <w:rPr>
          <w:rFonts w:eastAsia="Times New Roman" w:cstheme="minorHAnsi"/>
          <w:i/>
          <w:sz w:val="20"/>
        </w:rPr>
        <w:t xml:space="preserve">C, catalytic; </w:t>
      </w:r>
      <w:r w:rsidRPr="00091E90">
        <w:rPr>
          <w:rFonts w:eastAsia="Times New Roman" w:cstheme="minorHAnsi"/>
          <w:i/>
          <w:sz w:val="20"/>
        </w:rPr>
        <w:t xml:space="preserve">GHRH, growth hormone–releasing hormone; PTH, parathyroid hormone; </w:t>
      </w:r>
      <w:r w:rsidR="002A1BD5" w:rsidRPr="00091E90">
        <w:rPr>
          <w:rFonts w:eastAsia="Times New Roman" w:cstheme="minorHAnsi"/>
          <w:i/>
          <w:sz w:val="20"/>
        </w:rPr>
        <w:t xml:space="preserve">R, regulatory; </w:t>
      </w:r>
      <w:r w:rsidRPr="00091E90">
        <w:rPr>
          <w:rFonts w:eastAsia="Times New Roman" w:cstheme="minorHAnsi"/>
          <w:i/>
          <w:sz w:val="20"/>
        </w:rPr>
        <w:t>TSH, thyroid-stimulating hormone; UPD, uniparental disomy</w:t>
      </w:r>
      <w:r w:rsidR="00D6516A" w:rsidRPr="00091E90">
        <w:rPr>
          <w:rFonts w:eastAsia="Times New Roman" w:cstheme="minorHAnsi"/>
          <w:i/>
          <w:sz w:val="20"/>
        </w:rPr>
        <w:t xml:space="preserve">. </w:t>
      </w:r>
      <w:r w:rsidR="00D6516A" w:rsidRPr="00091E90">
        <w:rPr>
          <w:rFonts w:eastAsia="Times New Roman" w:cstheme="minorHAnsi"/>
          <w:i/>
          <w:sz w:val="20"/>
          <w:lang w:eastAsia="en-GB"/>
        </w:rPr>
        <w:t>Table</w:t>
      </w:r>
      <w:r w:rsidR="00FF32CF" w:rsidRPr="00091E90">
        <w:rPr>
          <w:rFonts w:eastAsia="Times New Roman" w:cstheme="minorHAnsi"/>
          <w:i/>
          <w:sz w:val="20"/>
          <w:lang w:eastAsia="en-GB"/>
        </w:rPr>
        <w:t xml:space="preserve"> adjusted from </w:t>
      </w:r>
      <w:r w:rsidR="00FF32CF" w:rsidRPr="00091E90">
        <w:rPr>
          <w:rFonts w:eastAsia="Times New Roman" w:cstheme="minorHAnsi"/>
          <w:i/>
          <w:sz w:val="20"/>
          <w:lang w:eastAsia="en-GB"/>
        </w:rPr>
        <w:fldChar w:fldCharType="begin" w:fldLock="1"/>
      </w:r>
      <w:r w:rsidR="00FF32CF" w:rsidRPr="00091E90">
        <w:rPr>
          <w:rFonts w:eastAsia="Times New Roman" w:cstheme="minorHAnsi"/>
          <w:i/>
          <w:sz w:val="20"/>
          <w:lang w:eastAsia="en-GB"/>
        </w:rPr>
        <w:instrText>ADDIN CSL_CITATION {"citationItems":[{"id":"ITEM-1","itemData":{"DOI":"10.1038/nrendo.2016.52","ISSN":"17595037","abstract":"© 2016 Macmillan Publishers Limited. Pseudohypoparathyroidism exemplifies an unusual form of hormone resistance as the underlying molecular defect is a partial deficiency of the α subunit of the stimulatory G protein (G s α), a key regulator of the cAMP signalling pathway, rather than of the parathyroid hormone (PTH) receptor itself. Despite the first description of this disorder dating back to 1942, later findings have unveiled complex epigenetic alterations in addition to classic mutations in GNAS underpining the molecular basis of the main subtypes of pseudohypoparathyroidism. Moreover, mutations in PRKAR1A and PDE4D, which encode proteins crucial for G s α-cAMP-mediated signalling, have been found in patients with acrodysostosis. As acrodysostosis, a disease characterized by skeletal malformations and endocrine disturbances, shares clinical and molecular characteristics with pseudohypoparathyroidism, making a differential diagnosis and providing genetic counselling to patients and families is a challenge for endocrinologists. Accumulating data on the genetic and clinical aspects of this group of diseases highlight the limitation of the current classification system and prompt the need for a new definition as well as for new diagnostic and/or therapeutic algorithms. This Review discusses both the current understanding and future challenges for the clinical and molecular diagnosis, classification and treatment of pseudohypoparathyroidism.","author":[{"dropping-particle":"","family":"Mantovani","given":"Giovanna","non-dropping-particle":"","parse-names":false,"suffix":""},{"dropping-particle":"","family":"Spada","given":"Anna","non-dropping-particle":"","parse-names":false,"suffix":""},{"dropping-particle":"","family":"Elli","given":"Francesca Marta","non-dropping-particle":"","parse-names":false,"suffix":""}],"container-title":"Nature Reviews Endocrinology","id":"ITEM-1","issue":"6","issued":{"date-parts":[["2016"]]},"page":"347-356","publisher":"Nature Publishing Group","title":"Pseudohypoparathyroidism and G s α-cAMP-linked disorders: Current view and open issues","type":"article-journal","volume":"12"},"uris":["http://www.mendeley.com/documents/?uuid=5b9d66da-1c2c-4b07-b028-5a82ec4a7d07"]}],"mendeley":{"formattedCitation":"(Mantovani et al., 2016)","plainTextFormattedCitation":"(Mantovani et al., 2016)","previouslyFormattedCitation":"(Mantovani et al., 2016)"},"properties":{"noteIndex":0},"schema":"https://github.com/citation-style-language/schema/raw/master/csl-citation.json"}</w:instrText>
      </w:r>
      <w:r w:rsidR="00FF32CF" w:rsidRPr="00091E90">
        <w:rPr>
          <w:rFonts w:eastAsia="Times New Roman" w:cstheme="minorHAnsi"/>
          <w:i/>
          <w:sz w:val="20"/>
          <w:lang w:eastAsia="en-GB"/>
        </w:rPr>
        <w:fldChar w:fldCharType="separate"/>
      </w:r>
      <w:r w:rsidR="00FF32CF" w:rsidRPr="00091E90">
        <w:rPr>
          <w:rFonts w:eastAsia="Times New Roman" w:cstheme="minorHAnsi"/>
          <w:i/>
          <w:noProof/>
          <w:sz w:val="20"/>
          <w:lang w:eastAsia="en-GB"/>
        </w:rPr>
        <w:t>(Mantovani et al., 2016)</w:t>
      </w:r>
      <w:r w:rsidR="00FF32CF" w:rsidRPr="00091E90">
        <w:rPr>
          <w:rFonts w:eastAsia="Times New Roman" w:cstheme="minorHAnsi"/>
          <w:i/>
          <w:sz w:val="20"/>
          <w:lang w:eastAsia="en-GB"/>
        </w:rPr>
        <w:fldChar w:fldCharType="end"/>
      </w:r>
      <w:r w:rsidR="00D6516A" w:rsidRPr="00091E90">
        <w:rPr>
          <w:rFonts w:eastAsia="Times New Roman" w:cstheme="minorHAnsi"/>
          <w:i/>
          <w:sz w:val="20"/>
          <w:lang w:eastAsia="en-GB"/>
        </w:rPr>
        <w:t>.</w:t>
      </w:r>
    </w:p>
    <w:p w14:paraId="7B747D68" w14:textId="7E4CAE0D" w:rsidR="00B911E9" w:rsidRPr="00695F3B" w:rsidRDefault="00F60521" w:rsidP="00330DB8">
      <w:pPr>
        <w:spacing w:after="0" w:line="480" w:lineRule="auto"/>
        <w:rPr>
          <w:rFonts w:eastAsia="Times New Roman" w:cstheme="minorHAnsi"/>
          <w:i/>
          <w:color w:val="000000"/>
          <w:sz w:val="20"/>
          <w:lang w:eastAsia="en-GB"/>
        </w:rPr>
      </w:pPr>
      <w:r w:rsidRPr="00091E90">
        <w:rPr>
          <w:rFonts w:eastAsia="Times New Roman" w:cstheme="minorHAnsi"/>
          <w:b/>
          <w:i/>
          <w:sz w:val="20"/>
          <w:lang w:eastAsia="en-GB"/>
        </w:rPr>
        <w:t>Figure 2.</w:t>
      </w:r>
      <w:r w:rsidR="003A44E6" w:rsidRPr="00091E90">
        <w:rPr>
          <w:rFonts w:eastAsia="Times New Roman" w:cstheme="minorHAnsi"/>
          <w:i/>
          <w:sz w:val="20"/>
          <w:lang w:eastAsia="en-GB"/>
        </w:rPr>
        <w:t xml:space="preserve"> </w:t>
      </w:r>
      <w:r w:rsidR="00FF32CF" w:rsidRPr="00091E90">
        <w:rPr>
          <w:rFonts w:eastAsia="Times New Roman" w:cstheme="minorHAnsi"/>
          <w:i/>
          <w:color w:val="000000"/>
          <w:sz w:val="20"/>
          <w:lang w:eastAsia="en-GB"/>
        </w:rPr>
        <w:t>(</w:t>
      </w:r>
      <w:r w:rsidR="00C3334E" w:rsidRPr="00091E90">
        <w:rPr>
          <w:rFonts w:eastAsia="Times New Roman" w:cstheme="minorHAnsi"/>
          <w:i/>
          <w:color w:val="000000"/>
          <w:sz w:val="20"/>
          <w:lang w:eastAsia="en-GB"/>
        </w:rPr>
        <w:t>A</w:t>
      </w:r>
      <w:r w:rsidR="00FF32CF" w:rsidRPr="00091E90">
        <w:rPr>
          <w:rFonts w:eastAsia="Times New Roman" w:cstheme="minorHAnsi"/>
          <w:i/>
          <w:color w:val="000000"/>
          <w:sz w:val="20"/>
          <w:lang w:eastAsia="en-GB"/>
        </w:rPr>
        <w:t>) Patient 1, (</w:t>
      </w:r>
      <w:r w:rsidR="00C3334E" w:rsidRPr="00091E90">
        <w:rPr>
          <w:rFonts w:eastAsia="Times New Roman" w:cstheme="minorHAnsi"/>
          <w:i/>
          <w:color w:val="000000"/>
          <w:sz w:val="20"/>
          <w:lang w:eastAsia="en-GB"/>
        </w:rPr>
        <w:t>B</w:t>
      </w:r>
      <w:r w:rsidR="00FF32CF" w:rsidRPr="00091E90">
        <w:rPr>
          <w:rFonts w:eastAsia="Times New Roman" w:cstheme="minorHAnsi"/>
          <w:i/>
          <w:color w:val="000000"/>
          <w:sz w:val="20"/>
          <w:lang w:eastAsia="en-GB"/>
        </w:rPr>
        <w:t xml:space="preserve">) </w:t>
      </w:r>
      <w:r w:rsidR="00C3334E" w:rsidRPr="00091E90">
        <w:rPr>
          <w:rFonts w:eastAsia="Times New Roman" w:cstheme="minorHAnsi"/>
          <w:i/>
          <w:color w:val="000000"/>
          <w:sz w:val="20"/>
          <w:lang w:eastAsia="en-GB"/>
        </w:rPr>
        <w:t>Patient 2, (C)</w:t>
      </w:r>
      <w:r w:rsidR="00FF32CF" w:rsidRPr="00091E90">
        <w:rPr>
          <w:rFonts w:eastAsia="Times New Roman" w:cstheme="minorHAnsi"/>
          <w:i/>
          <w:color w:val="000000"/>
          <w:sz w:val="20"/>
          <w:lang w:eastAsia="en-GB"/>
        </w:rPr>
        <w:t xml:space="preserve"> radiological features in patient 2. (</w:t>
      </w:r>
      <w:r w:rsidR="00C3334E" w:rsidRPr="00091E90">
        <w:rPr>
          <w:rFonts w:eastAsia="Times New Roman" w:cstheme="minorHAnsi"/>
          <w:i/>
          <w:color w:val="000000"/>
          <w:sz w:val="20"/>
          <w:lang w:eastAsia="en-GB"/>
        </w:rPr>
        <w:t>C, top and middle</w:t>
      </w:r>
      <w:r w:rsidR="00FF32CF" w:rsidRPr="00091E90">
        <w:rPr>
          <w:rFonts w:eastAsia="Times New Roman" w:cstheme="minorHAnsi"/>
          <w:i/>
          <w:color w:val="000000"/>
          <w:sz w:val="20"/>
          <w:lang w:eastAsia="en-GB"/>
        </w:rPr>
        <w:t xml:space="preserve">) </w:t>
      </w:r>
      <w:r w:rsidR="003454E4" w:rsidRPr="00091E90">
        <w:rPr>
          <w:rFonts w:eastAsia="Times New Roman" w:cstheme="minorHAnsi"/>
          <w:i/>
          <w:color w:val="000000"/>
          <w:sz w:val="20"/>
          <w:lang w:eastAsia="en-GB"/>
        </w:rPr>
        <w:t>DP radiographs</w:t>
      </w:r>
      <w:r w:rsidR="00FF32CF" w:rsidRPr="00091E90">
        <w:rPr>
          <w:rFonts w:eastAsia="Times New Roman" w:cstheme="minorHAnsi"/>
          <w:i/>
          <w:color w:val="000000"/>
          <w:sz w:val="20"/>
          <w:lang w:eastAsia="en-GB"/>
        </w:rPr>
        <w:t xml:space="preserve"> of the hands and feet show short distal phalanges, short third and fourth metacarpals of the left hand, short third, fourth and fifth metacarpals of the right hand, and a short</w:t>
      </w:r>
      <w:r w:rsidR="003454E4" w:rsidRPr="00091E90">
        <w:rPr>
          <w:rFonts w:eastAsia="Times New Roman" w:cstheme="minorHAnsi"/>
          <w:i/>
          <w:color w:val="000000"/>
          <w:sz w:val="20"/>
          <w:lang w:eastAsia="en-GB"/>
        </w:rPr>
        <w:t xml:space="preserve"> </w:t>
      </w:r>
      <w:r w:rsidR="00FF32CF" w:rsidRPr="00091E90">
        <w:rPr>
          <w:rFonts w:eastAsia="Times New Roman" w:cstheme="minorHAnsi"/>
          <w:i/>
          <w:color w:val="000000"/>
          <w:sz w:val="20"/>
          <w:lang w:eastAsia="en-GB"/>
        </w:rPr>
        <w:t xml:space="preserve">left fourth metatarsal. </w:t>
      </w:r>
      <w:r w:rsidR="00EA277D" w:rsidRPr="00091E90">
        <w:rPr>
          <w:rFonts w:eastAsia="Times New Roman" w:cstheme="minorHAnsi"/>
          <w:i/>
          <w:color w:val="000000"/>
          <w:sz w:val="20"/>
          <w:lang w:eastAsia="en-GB"/>
        </w:rPr>
        <w:t>(</w:t>
      </w:r>
      <w:r w:rsidR="00C3334E" w:rsidRPr="00091E90">
        <w:rPr>
          <w:rFonts w:eastAsia="Times New Roman" w:cstheme="minorHAnsi"/>
          <w:i/>
          <w:color w:val="000000"/>
          <w:sz w:val="20"/>
          <w:lang w:eastAsia="en-GB"/>
        </w:rPr>
        <w:t>C, bottom</w:t>
      </w:r>
      <w:r w:rsidR="00EA277D" w:rsidRPr="00091E90">
        <w:rPr>
          <w:rFonts w:eastAsia="Times New Roman" w:cstheme="minorHAnsi"/>
          <w:i/>
          <w:color w:val="000000"/>
          <w:sz w:val="20"/>
          <w:lang w:eastAsia="en-GB"/>
        </w:rPr>
        <w:t xml:space="preserve">) </w:t>
      </w:r>
      <w:r w:rsidR="003454E4" w:rsidRPr="00091E90">
        <w:rPr>
          <w:rFonts w:eastAsia="Times New Roman" w:cstheme="minorHAnsi"/>
          <w:i/>
          <w:color w:val="000000"/>
          <w:sz w:val="20"/>
          <w:lang w:eastAsia="en-GB"/>
        </w:rPr>
        <w:t>AP and la</w:t>
      </w:r>
      <w:r w:rsidR="00C3334E" w:rsidRPr="00091E90">
        <w:rPr>
          <w:rFonts w:eastAsia="Times New Roman" w:cstheme="minorHAnsi"/>
          <w:i/>
          <w:color w:val="000000"/>
          <w:sz w:val="20"/>
          <w:lang w:eastAsia="en-GB"/>
        </w:rPr>
        <w:t>t</w:t>
      </w:r>
      <w:r w:rsidR="003454E4" w:rsidRPr="00091E90">
        <w:rPr>
          <w:rFonts w:eastAsia="Times New Roman" w:cstheme="minorHAnsi"/>
          <w:i/>
          <w:color w:val="000000"/>
          <w:sz w:val="20"/>
          <w:lang w:eastAsia="en-GB"/>
        </w:rPr>
        <w:t>eral radiographs</w:t>
      </w:r>
      <w:r w:rsidR="00FF32CF" w:rsidRPr="00091E90">
        <w:rPr>
          <w:rFonts w:eastAsia="Times New Roman" w:cstheme="minorHAnsi"/>
          <w:i/>
          <w:color w:val="000000"/>
          <w:sz w:val="20"/>
          <w:lang w:eastAsia="en-GB"/>
        </w:rPr>
        <w:t xml:space="preserve"> of the lumbar spine </w:t>
      </w:r>
      <w:r w:rsidR="003454E4" w:rsidRPr="00091E90">
        <w:rPr>
          <w:rFonts w:eastAsia="Times New Roman" w:cstheme="minorHAnsi"/>
          <w:i/>
          <w:color w:val="000000"/>
          <w:sz w:val="20"/>
          <w:lang w:eastAsia="en-GB"/>
        </w:rPr>
        <w:t xml:space="preserve">show </w:t>
      </w:r>
      <w:r w:rsidR="007157F2">
        <w:rPr>
          <w:rFonts w:eastAsia="Times New Roman" w:cstheme="minorHAnsi"/>
          <w:i/>
          <w:color w:val="000000"/>
          <w:sz w:val="20"/>
          <w:lang w:eastAsia="en-GB"/>
        </w:rPr>
        <w:t>narrow</w:t>
      </w:r>
      <w:r w:rsidR="007157F2" w:rsidRPr="00091E90">
        <w:rPr>
          <w:rFonts w:eastAsia="Times New Roman" w:cstheme="minorHAnsi"/>
          <w:i/>
          <w:color w:val="000000"/>
          <w:sz w:val="20"/>
          <w:lang w:eastAsia="en-GB"/>
        </w:rPr>
        <w:t xml:space="preserve"> </w:t>
      </w:r>
      <w:r w:rsidR="00FF32CF" w:rsidRPr="00091E90">
        <w:rPr>
          <w:rFonts w:eastAsia="Times New Roman" w:cstheme="minorHAnsi"/>
          <w:i/>
          <w:color w:val="000000"/>
          <w:sz w:val="20"/>
          <w:lang w:eastAsia="en-GB"/>
        </w:rPr>
        <w:t>interpedicular distances with short pedicles and spina bifida occulta of the lower lumbar spine.</w:t>
      </w:r>
    </w:p>
    <w:p w14:paraId="0B7929B3" w14:textId="3A0C0DA6" w:rsidR="00330DB8" w:rsidRPr="008C1EC2" w:rsidRDefault="00330DB8" w:rsidP="00330DB8">
      <w:pPr>
        <w:spacing w:after="0" w:line="480" w:lineRule="auto"/>
        <w:rPr>
          <w:rFonts w:eastAsia="Times New Roman" w:cstheme="minorHAnsi"/>
          <w:sz w:val="20"/>
          <w:lang w:eastAsia="en-GB"/>
        </w:rPr>
      </w:pPr>
      <w:r w:rsidRPr="008C1EC2">
        <w:rPr>
          <w:rFonts w:eastAsia="Times New Roman" w:cstheme="minorHAnsi"/>
          <w:b/>
          <w:sz w:val="20"/>
          <w:lang w:eastAsia="en-GB"/>
        </w:rPr>
        <w:lastRenderedPageBreak/>
        <w:t>References</w:t>
      </w:r>
    </w:p>
    <w:p w14:paraId="1E567C32" w14:textId="14DCB132" w:rsidR="00131432" w:rsidRPr="00131432" w:rsidRDefault="00330DB8" w:rsidP="00131432">
      <w:pPr>
        <w:widowControl w:val="0"/>
        <w:autoSpaceDE w:val="0"/>
        <w:autoSpaceDN w:val="0"/>
        <w:adjustRightInd w:val="0"/>
        <w:spacing w:after="0" w:line="480" w:lineRule="auto"/>
        <w:ind w:left="480" w:hanging="480"/>
        <w:rPr>
          <w:rFonts w:ascii="Calibri" w:hAnsi="Calibri" w:cs="Calibri"/>
          <w:noProof/>
          <w:sz w:val="20"/>
          <w:szCs w:val="24"/>
        </w:rPr>
      </w:pPr>
      <w:r w:rsidRPr="00BE5425">
        <w:rPr>
          <w:rFonts w:eastAsia="Times New Roman" w:cstheme="minorHAnsi"/>
          <w:sz w:val="19"/>
          <w:szCs w:val="19"/>
        </w:rPr>
        <w:fldChar w:fldCharType="begin" w:fldLock="1"/>
      </w:r>
      <w:r w:rsidRPr="00BE5425">
        <w:rPr>
          <w:rFonts w:eastAsia="Times New Roman" w:cstheme="minorHAnsi"/>
          <w:sz w:val="19"/>
          <w:szCs w:val="19"/>
        </w:rPr>
        <w:instrText xml:space="preserve">ADDIN Mendeley Bibliography CSL_BIBLIOGRAPHY </w:instrText>
      </w:r>
      <w:r w:rsidRPr="00BE5425">
        <w:rPr>
          <w:rFonts w:eastAsia="Times New Roman" w:cstheme="minorHAnsi"/>
          <w:sz w:val="19"/>
          <w:szCs w:val="19"/>
        </w:rPr>
        <w:fldChar w:fldCharType="separate"/>
      </w:r>
      <w:r w:rsidR="00131432" w:rsidRPr="00131432">
        <w:rPr>
          <w:rFonts w:ascii="Calibri" w:hAnsi="Calibri" w:cs="Calibri"/>
          <w:noProof/>
          <w:sz w:val="20"/>
          <w:szCs w:val="24"/>
        </w:rPr>
        <w:t xml:space="preserve">Ahmed, S. F., Dixon, P. H., Bonthron, D. T., Stirling, H. F., Barr, D. G., Kelnar, C. J., &amp; Thakker, R. V. (1998). GNAS1 mutational analysis in pseudohypoparathyroidism. </w:t>
      </w:r>
      <w:r w:rsidR="00131432" w:rsidRPr="00131432">
        <w:rPr>
          <w:rFonts w:ascii="Calibri" w:hAnsi="Calibri" w:cs="Calibri"/>
          <w:i/>
          <w:iCs/>
          <w:noProof/>
          <w:sz w:val="20"/>
          <w:szCs w:val="24"/>
        </w:rPr>
        <w:t>Clinical Endocrinology</w:t>
      </w:r>
      <w:r w:rsidR="00131432" w:rsidRPr="00131432">
        <w:rPr>
          <w:rFonts w:ascii="Calibri" w:hAnsi="Calibri" w:cs="Calibri"/>
          <w:noProof/>
          <w:sz w:val="20"/>
          <w:szCs w:val="24"/>
        </w:rPr>
        <w:t xml:space="preserve">, </w:t>
      </w:r>
      <w:r w:rsidR="00131432" w:rsidRPr="00131432">
        <w:rPr>
          <w:rFonts w:ascii="Calibri" w:hAnsi="Calibri" w:cs="Calibri"/>
          <w:i/>
          <w:iCs/>
          <w:noProof/>
          <w:sz w:val="20"/>
          <w:szCs w:val="24"/>
        </w:rPr>
        <w:t>49</w:t>
      </w:r>
      <w:r w:rsidR="00131432" w:rsidRPr="00131432">
        <w:rPr>
          <w:rFonts w:ascii="Calibri" w:hAnsi="Calibri" w:cs="Calibri"/>
          <w:noProof/>
          <w:sz w:val="20"/>
          <w:szCs w:val="24"/>
        </w:rPr>
        <w:t>(4), 525–531. Retrieved from http://www.ncbi.nlm.nih.gov/pubmed/9876352</w:t>
      </w:r>
    </w:p>
    <w:p w14:paraId="76E75BAF"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Ahrens, W., Hiort, O., Staedt, P., Kirschner, T., Marschke, C., &amp; Kruse, K. (2001). Analysis of the GNAS1 gene in Albright’s hereditary osteodystrophy. </w:t>
      </w:r>
      <w:r w:rsidRPr="00131432">
        <w:rPr>
          <w:rFonts w:ascii="Calibri" w:hAnsi="Calibri" w:cs="Calibri"/>
          <w:i/>
          <w:iCs/>
          <w:noProof/>
          <w:sz w:val="20"/>
          <w:szCs w:val="24"/>
        </w:rPr>
        <w:t>The Journal of Clinical Endocrinology and Metabolism</w:t>
      </w:r>
      <w:r w:rsidRPr="00131432">
        <w:rPr>
          <w:rFonts w:ascii="Calibri" w:hAnsi="Calibri" w:cs="Calibri"/>
          <w:noProof/>
          <w:sz w:val="20"/>
          <w:szCs w:val="24"/>
        </w:rPr>
        <w:t xml:space="preserve">, </w:t>
      </w:r>
      <w:r w:rsidRPr="00131432">
        <w:rPr>
          <w:rFonts w:ascii="Calibri" w:hAnsi="Calibri" w:cs="Calibri"/>
          <w:i/>
          <w:iCs/>
          <w:noProof/>
          <w:sz w:val="20"/>
          <w:szCs w:val="24"/>
        </w:rPr>
        <w:t>86</w:t>
      </w:r>
      <w:r w:rsidRPr="00131432">
        <w:rPr>
          <w:rFonts w:ascii="Calibri" w:hAnsi="Calibri" w:cs="Calibri"/>
          <w:noProof/>
          <w:sz w:val="20"/>
          <w:szCs w:val="24"/>
        </w:rPr>
        <w:t>(10), 4630–4634. https://doi.org/10.1210/jcem.86.10.7946</w:t>
      </w:r>
    </w:p>
    <w:p w14:paraId="24B53A64"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Bushby, K. M., Cole, T., Matthews, J. N., &amp; Goodship, J. A. (1992). Centiles for adult head circumference. </w:t>
      </w:r>
      <w:r w:rsidRPr="00131432">
        <w:rPr>
          <w:rFonts w:ascii="Calibri" w:hAnsi="Calibri" w:cs="Calibri"/>
          <w:i/>
          <w:iCs/>
          <w:noProof/>
          <w:sz w:val="20"/>
          <w:szCs w:val="24"/>
        </w:rPr>
        <w:t>Archives of Disease in Childhood</w:t>
      </w:r>
      <w:r w:rsidRPr="00131432">
        <w:rPr>
          <w:rFonts w:ascii="Calibri" w:hAnsi="Calibri" w:cs="Calibri"/>
          <w:noProof/>
          <w:sz w:val="20"/>
          <w:szCs w:val="24"/>
        </w:rPr>
        <w:t xml:space="preserve">, </w:t>
      </w:r>
      <w:r w:rsidRPr="00131432">
        <w:rPr>
          <w:rFonts w:ascii="Calibri" w:hAnsi="Calibri" w:cs="Calibri"/>
          <w:i/>
          <w:iCs/>
          <w:noProof/>
          <w:sz w:val="20"/>
          <w:szCs w:val="24"/>
        </w:rPr>
        <w:t>67</w:t>
      </w:r>
      <w:r w:rsidRPr="00131432">
        <w:rPr>
          <w:rFonts w:ascii="Calibri" w:hAnsi="Calibri" w:cs="Calibri"/>
          <w:noProof/>
          <w:sz w:val="20"/>
          <w:szCs w:val="24"/>
        </w:rPr>
        <w:t>(10), 1286–1287. Retrieved from http://www.ncbi.nlm.nih.gov/pubmed/1444530</w:t>
      </w:r>
    </w:p>
    <w:p w14:paraId="578DE4DF"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Correa, R., Salpea, P., &amp; Stratakis, C. (2015). Carney Complex: an update. </w:t>
      </w:r>
      <w:r w:rsidRPr="00131432">
        <w:rPr>
          <w:rFonts w:ascii="Calibri" w:hAnsi="Calibri" w:cs="Calibri"/>
          <w:i/>
          <w:iCs/>
          <w:noProof/>
          <w:sz w:val="20"/>
          <w:szCs w:val="24"/>
        </w:rPr>
        <w:t>European Journal of Endocrinology / European Federation of Endocrine Societies</w:t>
      </w:r>
      <w:r w:rsidRPr="00131432">
        <w:rPr>
          <w:rFonts w:ascii="Calibri" w:hAnsi="Calibri" w:cs="Calibri"/>
          <w:noProof/>
          <w:sz w:val="20"/>
          <w:szCs w:val="24"/>
        </w:rPr>
        <w:t xml:space="preserve">, </w:t>
      </w:r>
      <w:r w:rsidRPr="00131432">
        <w:rPr>
          <w:rFonts w:ascii="Calibri" w:hAnsi="Calibri" w:cs="Calibri"/>
          <w:i/>
          <w:iCs/>
          <w:noProof/>
          <w:sz w:val="20"/>
          <w:szCs w:val="24"/>
        </w:rPr>
        <w:t>173</w:t>
      </w:r>
      <w:r w:rsidRPr="00131432">
        <w:rPr>
          <w:rFonts w:ascii="Calibri" w:hAnsi="Calibri" w:cs="Calibri"/>
          <w:noProof/>
          <w:sz w:val="20"/>
          <w:szCs w:val="24"/>
        </w:rPr>
        <w:t>(4), M85–M97. https://doi.org/10.1530/EJE-15-0209</w:t>
      </w:r>
    </w:p>
    <w:p w14:paraId="799210FB"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Elli, F. M., Barbieri, A. M., Bordogna, P., Ferrari, P., Bufo, R., Ferrante, E., … Mantovani, G. (2013). Screening for GNAS genetic and epigenetic alterations in progressive osseous heteroplasia: First Italian series. </w:t>
      </w:r>
      <w:r w:rsidRPr="00131432">
        <w:rPr>
          <w:rFonts w:ascii="Calibri" w:hAnsi="Calibri" w:cs="Calibri"/>
          <w:i/>
          <w:iCs/>
          <w:noProof/>
          <w:sz w:val="20"/>
          <w:szCs w:val="24"/>
        </w:rPr>
        <w:t>Bone</w:t>
      </w:r>
      <w:r w:rsidRPr="00131432">
        <w:rPr>
          <w:rFonts w:ascii="Calibri" w:hAnsi="Calibri" w:cs="Calibri"/>
          <w:noProof/>
          <w:sz w:val="20"/>
          <w:szCs w:val="24"/>
        </w:rPr>
        <w:t xml:space="preserve">, </w:t>
      </w:r>
      <w:r w:rsidRPr="00131432">
        <w:rPr>
          <w:rFonts w:ascii="Calibri" w:hAnsi="Calibri" w:cs="Calibri"/>
          <w:i/>
          <w:iCs/>
          <w:noProof/>
          <w:sz w:val="20"/>
          <w:szCs w:val="24"/>
        </w:rPr>
        <w:t>56</w:t>
      </w:r>
      <w:r w:rsidRPr="00131432">
        <w:rPr>
          <w:rFonts w:ascii="Calibri" w:hAnsi="Calibri" w:cs="Calibri"/>
          <w:noProof/>
          <w:sz w:val="20"/>
          <w:szCs w:val="24"/>
        </w:rPr>
        <w:t>(2), 276–280. https://doi.org/10.1016/j.bone.2013.06.015</w:t>
      </w:r>
    </w:p>
    <w:p w14:paraId="73A26272"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Elli, F. M., Bordogna, P., De Sanctis, L., Giachero, F., Verrua, E., Segni, M., … Mantovani, G. (2016). Screening of PRKAR1A and PDE4D in a Large Italian Series of Patients Clinically Diagnosed with Albright Hereditary Osteodystrophy and/or Pseudohypoparathyroidism. </w:t>
      </w:r>
      <w:r w:rsidRPr="00131432">
        <w:rPr>
          <w:rFonts w:ascii="Calibri" w:hAnsi="Calibri" w:cs="Calibri"/>
          <w:i/>
          <w:iCs/>
          <w:noProof/>
          <w:sz w:val="20"/>
          <w:szCs w:val="24"/>
        </w:rPr>
        <w:t>Journal of Bone and Mineral Research</w:t>
      </w:r>
      <w:r w:rsidRPr="00131432">
        <w:rPr>
          <w:rFonts w:ascii="Calibri" w:hAnsi="Calibri" w:cs="Calibri"/>
          <w:noProof/>
          <w:sz w:val="20"/>
          <w:szCs w:val="24"/>
        </w:rPr>
        <w:t xml:space="preserve">, </w:t>
      </w:r>
      <w:r w:rsidRPr="00131432">
        <w:rPr>
          <w:rFonts w:ascii="Calibri" w:hAnsi="Calibri" w:cs="Calibri"/>
          <w:i/>
          <w:iCs/>
          <w:noProof/>
          <w:sz w:val="20"/>
          <w:szCs w:val="24"/>
        </w:rPr>
        <w:t>31</w:t>
      </w:r>
      <w:r w:rsidRPr="00131432">
        <w:rPr>
          <w:rFonts w:ascii="Calibri" w:hAnsi="Calibri" w:cs="Calibri"/>
          <w:noProof/>
          <w:sz w:val="20"/>
          <w:szCs w:val="24"/>
        </w:rPr>
        <w:t>(6), 1215–1224. https://doi.org/10.1002/jbmr.2785</w:t>
      </w:r>
    </w:p>
    <w:p w14:paraId="37A79398"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Freeman, J. V, Cole, T. J., Chinn, S., Jones, P. R., White, E. M., &amp; Preece, M. A. (1995). Cross sectional stature and weight reference curves for the UK, 1990. </w:t>
      </w:r>
      <w:r w:rsidRPr="00131432">
        <w:rPr>
          <w:rFonts w:ascii="Calibri" w:hAnsi="Calibri" w:cs="Calibri"/>
          <w:i/>
          <w:iCs/>
          <w:noProof/>
          <w:sz w:val="20"/>
          <w:szCs w:val="24"/>
        </w:rPr>
        <w:t>Archives of Disease in Childhood</w:t>
      </w:r>
      <w:r w:rsidRPr="00131432">
        <w:rPr>
          <w:rFonts w:ascii="Calibri" w:hAnsi="Calibri" w:cs="Calibri"/>
          <w:noProof/>
          <w:sz w:val="20"/>
          <w:szCs w:val="24"/>
        </w:rPr>
        <w:t xml:space="preserve">, </w:t>
      </w:r>
      <w:r w:rsidRPr="00131432">
        <w:rPr>
          <w:rFonts w:ascii="Calibri" w:hAnsi="Calibri" w:cs="Calibri"/>
          <w:i/>
          <w:iCs/>
          <w:noProof/>
          <w:sz w:val="20"/>
          <w:szCs w:val="24"/>
        </w:rPr>
        <w:t>73</w:t>
      </w:r>
      <w:r w:rsidRPr="00131432">
        <w:rPr>
          <w:rFonts w:ascii="Calibri" w:hAnsi="Calibri" w:cs="Calibri"/>
          <w:noProof/>
          <w:sz w:val="20"/>
          <w:szCs w:val="24"/>
        </w:rPr>
        <w:t>(1), 17–24. Retrieved from http://www.ncbi.nlm.nih.gov/pubmed/7639543</w:t>
      </w:r>
    </w:p>
    <w:p w14:paraId="32D60284"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Lee, H., Graham, J. M., Rimoin, D. L., Lachman, R. S., Krejci, P., Tompson, S. W., … Cohn, D. H. (2012). Exome sequencing identifies PDE4D mutations in acrodysostosis. </w:t>
      </w:r>
      <w:r w:rsidRPr="00131432">
        <w:rPr>
          <w:rFonts w:ascii="Calibri" w:hAnsi="Calibri" w:cs="Calibri"/>
          <w:i/>
          <w:iCs/>
          <w:noProof/>
          <w:sz w:val="20"/>
          <w:szCs w:val="24"/>
        </w:rPr>
        <w:t>American Journal of Human Genetics</w:t>
      </w:r>
      <w:r w:rsidRPr="00131432">
        <w:rPr>
          <w:rFonts w:ascii="Calibri" w:hAnsi="Calibri" w:cs="Calibri"/>
          <w:noProof/>
          <w:sz w:val="20"/>
          <w:szCs w:val="24"/>
        </w:rPr>
        <w:t xml:space="preserve">, </w:t>
      </w:r>
      <w:r w:rsidRPr="00131432">
        <w:rPr>
          <w:rFonts w:ascii="Calibri" w:hAnsi="Calibri" w:cs="Calibri"/>
          <w:i/>
          <w:iCs/>
          <w:noProof/>
          <w:sz w:val="20"/>
          <w:szCs w:val="24"/>
        </w:rPr>
        <w:t>90</w:t>
      </w:r>
      <w:r w:rsidRPr="00131432">
        <w:rPr>
          <w:rFonts w:ascii="Calibri" w:hAnsi="Calibri" w:cs="Calibri"/>
          <w:noProof/>
          <w:sz w:val="20"/>
          <w:szCs w:val="24"/>
        </w:rPr>
        <w:t>(4), 746–751. https://doi.org/10.1016/j.ajhg.2012.03.004</w:t>
      </w:r>
    </w:p>
    <w:p w14:paraId="572B42B1"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Linglart, A., Fryssira, H., Hiort, O., Holterhus, P. M., Perez De Nanclares, G., Argente, J., … Silve, C. (2012). PRKAR1A and PDE4D mutations cause acrodysostosis but two distinct syndromes with or without GPCR-signaling hormone resistance. </w:t>
      </w:r>
      <w:r w:rsidRPr="00131432">
        <w:rPr>
          <w:rFonts w:ascii="Calibri" w:hAnsi="Calibri" w:cs="Calibri"/>
          <w:i/>
          <w:iCs/>
          <w:noProof/>
          <w:sz w:val="20"/>
          <w:szCs w:val="24"/>
        </w:rPr>
        <w:t>Journal of Clinical Endocrinology and Metabolism</w:t>
      </w:r>
      <w:r w:rsidRPr="00131432">
        <w:rPr>
          <w:rFonts w:ascii="Calibri" w:hAnsi="Calibri" w:cs="Calibri"/>
          <w:noProof/>
          <w:sz w:val="20"/>
          <w:szCs w:val="24"/>
        </w:rPr>
        <w:t xml:space="preserve">, </w:t>
      </w:r>
      <w:r w:rsidRPr="00131432">
        <w:rPr>
          <w:rFonts w:ascii="Calibri" w:hAnsi="Calibri" w:cs="Calibri"/>
          <w:i/>
          <w:iCs/>
          <w:noProof/>
          <w:sz w:val="20"/>
          <w:szCs w:val="24"/>
        </w:rPr>
        <w:t>97</w:t>
      </w:r>
      <w:r w:rsidRPr="00131432">
        <w:rPr>
          <w:rFonts w:ascii="Calibri" w:hAnsi="Calibri" w:cs="Calibri"/>
          <w:noProof/>
          <w:sz w:val="20"/>
          <w:szCs w:val="24"/>
        </w:rPr>
        <w:t>(12), 2328–2338. https://doi.org/10.1210/jc.2012-2326</w:t>
      </w:r>
    </w:p>
    <w:p w14:paraId="31AA57BE"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Linglart, A., Menguy, C., Couvineau, A., Auzan, C., Gunes, Y., Cancel, M., … Silve, C. (2011). Recurrent PRKAR1A Mutation in Acrodysostosis with Hormone Resistance. </w:t>
      </w:r>
      <w:r w:rsidRPr="00131432">
        <w:rPr>
          <w:rFonts w:ascii="Calibri" w:hAnsi="Calibri" w:cs="Calibri"/>
          <w:i/>
          <w:iCs/>
          <w:noProof/>
          <w:sz w:val="20"/>
          <w:szCs w:val="24"/>
        </w:rPr>
        <w:t>N Engl J Med</w:t>
      </w:r>
      <w:r w:rsidRPr="00131432">
        <w:rPr>
          <w:rFonts w:ascii="Calibri" w:hAnsi="Calibri" w:cs="Calibri"/>
          <w:noProof/>
          <w:sz w:val="20"/>
          <w:szCs w:val="24"/>
        </w:rPr>
        <w:t xml:space="preserve">, </w:t>
      </w:r>
      <w:r w:rsidRPr="00131432">
        <w:rPr>
          <w:rFonts w:ascii="Calibri" w:hAnsi="Calibri" w:cs="Calibri"/>
          <w:i/>
          <w:iCs/>
          <w:noProof/>
          <w:sz w:val="20"/>
          <w:szCs w:val="24"/>
        </w:rPr>
        <w:t>23364</w:t>
      </w:r>
      <w:r w:rsidRPr="00131432">
        <w:rPr>
          <w:rFonts w:ascii="Calibri" w:hAnsi="Calibri" w:cs="Calibri"/>
          <w:noProof/>
          <w:sz w:val="20"/>
          <w:szCs w:val="24"/>
        </w:rPr>
        <w:t xml:space="preserve">(9), 2218–2226. Retrieved from </w:t>
      </w:r>
      <w:r w:rsidRPr="00131432">
        <w:rPr>
          <w:rFonts w:ascii="Calibri" w:hAnsi="Calibri" w:cs="Calibri"/>
          <w:noProof/>
          <w:sz w:val="20"/>
          <w:szCs w:val="24"/>
        </w:rPr>
        <w:lastRenderedPageBreak/>
        <w:t>http://www.nejm.org/doi/pdf/10.1056/NEJMoa1012717</w:t>
      </w:r>
    </w:p>
    <w:p w14:paraId="6EF4ECE3"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Mantovani, G., Bastepe, M., Monk, D., De Sanctis, L., Thiele, S., Usardi, A., … Linglart, A. (2018). Diagnosis and management of pseudohypoparathyroidism and related disorders: First international Consensus Statement. </w:t>
      </w:r>
      <w:r w:rsidRPr="00131432">
        <w:rPr>
          <w:rFonts w:ascii="Calibri" w:hAnsi="Calibri" w:cs="Calibri"/>
          <w:i/>
          <w:iCs/>
          <w:noProof/>
          <w:sz w:val="20"/>
          <w:szCs w:val="24"/>
        </w:rPr>
        <w:t>Nature Reviews Endocrinology</w:t>
      </w:r>
      <w:r w:rsidRPr="00131432">
        <w:rPr>
          <w:rFonts w:ascii="Calibri" w:hAnsi="Calibri" w:cs="Calibri"/>
          <w:noProof/>
          <w:sz w:val="20"/>
          <w:szCs w:val="24"/>
        </w:rPr>
        <w:t xml:space="preserve">, </w:t>
      </w:r>
      <w:r w:rsidRPr="00131432">
        <w:rPr>
          <w:rFonts w:ascii="Calibri" w:hAnsi="Calibri" w:cs="Calibri"/>
          <w:i/>
          <w:iCs/>
          <w:noProof/>
          <w:sz w:val="20"/>
          <w:szCs w:val="24"/>
        </w:rPr>
        <w:t>14</w:t>
      </w:r>
      <w:r w:rsidRPr="00131432">
        <w:rPr>
          <w:rFonts w:ascii="Calibri" w:hAnsi="Calibri" w:cs="Calibri"/>
          <w:noProof/>
          <w:sz w:val="20"/>
          <w:szCs w:val="24"/>
        </w:rPr>
        <w:t>(8), 476–500. https://doi.org/10.1038/s41574-018-0042-0</w:t>
      </w:r>
    </w:p>
    <w:p w14:paraId="4530AAA3"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Mantovani, G., Spada, A., &amp; Elli, F. M. (2016). Pseudohypoparathyroidism and G s α-cAMP-linked disorders: Current view and open issues. </w:t>
      </w:r>
      <w:r w:rsidRPr="00131432">
        <w:rPr>
          <w:rFonts w:ascii="Calibri" w:hAnsi="Calibri" w:cs="Calibri"/>
          <w:i/>
          <w:iCs/>
          <w:noProof/>
          <w:sz w:val="20"/>
          <w:szCs w:val="24"/>
        </w:rPr>
        <w:t>Nature Reviews Endocrinology</w:t>
      </w:r>
      <w:r w:rsidRPr="00131432">
        <w:rPr>
          <w:rFonts w:ascii="Calibri" w:hAnsi="Calibri" w:cs="Calibri"/>
          <w:noProof/>
          <w:sz w:val="20"/>
          <w:szCs w:val="24"/>
        </w:rPr>
        <w:t xml:space="preserve">, </w:t>
      </w:r>
      <w:r w:rsidRPr="00131432">
        <w:rPr>
          <w:rFonts w:ascii="Calibri" w:hAnsi="Calibri" w:cs="Calibri"/>
          <w:i/>
          <w:iCs/>
          <w:noProof/>
          <w:sz w:val="20"/>
          <w:szCs w:val="24"/>
        </w:rPr>
        <w:t>12</w:t>
      </w:r>
      <w:r w:rsidRPr="00131432">
        <w:rPr>
          <w:rFonts w:ascii="Calibri" w:hAnsi="Calibri" w:cs="Calibri"/>
          <w:noProof/>
          <w:sz w:val="20"/>
          <w:szCs w:val="24"/>
        </w:rPr>
        <w:t>(6), 347–356. https://doi.org/10.1038/nrendo.2016.52</w:t>
      </w:r>
    </w:p>
    <w:p w14:paraId="770F17E3"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Maroteaux, P., &amp; Malamut, G. (1968). [Acrodysostosis]. </w:t>
      </w:r>
      <w:r w:rsidRPr="00131432">
        <w:rPr>
          <w:rFonts w:ascii="Calibri" w:hAnsi="Calibri" w:cs="Calibri"/>
          <w:i/>
          <w:iCs/>
          <w:noProof/>
          <w:sz w:val="20"/>
          <w:szCs w:val="24"/>
        </w:rPr>
        <w:t>La Presse Medicale</w:t>
      </w:r>
      <w:r w:rsidRPr="00131432">
        <w:rPr>
          <w:rFonts w:ascii="Calibri" w:hAnsi="Calibri" w:cs="Calibri"/>
          <w:noProof/>
          <w:sz w:val="20"/>
          <w:szCs w:val="24"/>
        </w:rPr>
        <w:t xml:space="preserve">, </w:t>
      </w:r>
      <w:r w:rsidRPr="00131432">
        <w:rPr>
          <w:rFonts w:ascii="Calibri" w:hAnsi="Calibri" w:cs="Calibri"/>
          <w:i/>
          <w:iCs/>
          <w:noProof/>
          <w:sz w:val="20"/>
          <w:szCs w:val="24"/>
        </w:rPr>
        <w:t>76</w:t>
      </w:r>
      <w:r w:rsidRPr="00131432">
        <w:rPr>
          <w:rFonts w:ascii="Calibri" w:hAnsi="Calibri" w:cs="Calibri"/>
          <w:noProof/>
          <w:sz w:val="20"/>
          <w:szCs w:val="24"/>
        </w:rPr>
        <w:t>(46), 2189–2192. Retrieved from http://www.ncbi.nlm.nih.gov/pubmed/5305130</w:t>
      </w:r>
    </w:p>
    <w:p w14:paraId="19145627"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Michot, C., Le Goff, C., Goldenberg, A., Abhyankar, A., Klein, C., Kinning, E., … Cormier-Daire, V. (2012). Exome sequencing identifies PDE4D mutations as another cause of acrodysostosis. </w:t>
      </w:r>
      <w:r w:rsidRPr="00131432">
        <w:rPr>
          <w:rFonts w:ascii="Calibri" w:hAnsi="Calibri" w:cs="Calibri"/>
          <w:i/>
          <w:iCs/>
          <w:noProof/>
          <w:sz w:val="20"/>
          <w:szCs w:val="24"/>
        </w:rPr>
        <w:t>American Journal of Human Genetics</w:t>
      </w:r>
      <w:r w:rsidRPr="00131432">
        <w:rPr>
          <w:rFonts w:ascii="Calibri" w:hAnsi="Calibri" w:cs="Calibri"/>
          <w:noProof/>
          <w:sz w:val="20"/>
          <w:szCs w:val="24"/>
        </w:rPr>
        <w:t xml:space="preserve">, </w:t>
      </w:r>
      <w:r w:rsidRPr="00131432">
        <w:rPr>
          <w:rFonts w:ascii="Calibri" w:hAnsi="Calibri" w:cs="Calibri"/>
          <w:i/>
          <w:iCs/>
          <w:noProof/>
          <w:sz w:val="20"/>
          <w:szCs w:val="24"/>
        </w:rPr>
        <w:t>90</w:t>
      </w:r>
      <w:r w:rsidRPr="00131432">
        <w:rPr>
          <w:rFonts w:ascii="Calibri" w:hAnsi="Calibri" w:cs="Calibri"/>
          <w:noProof/>
          <w:sz w:val="20"/>
          <w:szCs w:val="24"/>
        </w:rPr>
        <w:t>(4), 740–745. https://doi.org/10.1016/j.ajhg.2012.03.003</w:t>
      </w:r>
    </w:p>
    <w:p w14:paraId="3C39E538"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Mitsui, T., Kim, O. H., Hall, C. M., Offiah, A., Johnson, D., Jin, D. K., … Hasegawa, T. (2014). Acroscyphodysplasia as a phenotypic variation of pseudohypoparathyroidism and acrodysostosis type 2. </w:t>
      </w:r>
      <w:r w:rsidRPr="00131432">
        <w:rPr>
          <w:rFonts w:ascii="Calibri" w:hAnsi="Calibri" w:cs="Calibri"/>
          <w:i/>
          <w:iCs/>
          <w:noProof/>
          <w:sz w:val="20"/>
          <w:szCs w:val="24"/>
        </w:rPr>
        <w:t>American Journal of Medical Genetics, Part A</w:t>
      </w:r>
      <w:r w:rsidRPr="00131432">
        <w:rPr>
          <w:rFonts w:ascii="Calibri" w:hAnsi="Calibri" w:cs="Calibri"/>
          <w:noProof/>
          <w:sz w:val="20"/>
          <w:szCs w:val="24"/>
        </w:rPr>
        <w:t xml:space="preserve">, </w:t>
      </w:r>
      <w:r w:rsidRPr="00131432">
        <w:rPr>
          <w:rFonts w:ascii="Calibri" w:hAnsi="Calibri" w:cs="Calibri"/>
          <w:i/>
          <w:iCs/>
          <w:noProof/>
          <w:sz w:val="20"/>
          <w:szCs w:val="24"/>
        </w:rPr>
        <w:t>164</w:t>
      </w:r>
      <w:r w:rsidRPr="00131432">
        <w:rPr>
          <w:rFonts w:ascii="Calibri" w:hAnsi="Calibri" w:cs="Calibri"/>
          <w:noProof/>
          <w:sz w:val="20"/>
          <w:szCs w:val="24"/>
        </w:rPr>
        <w:t>(10), 2529–2534. https://doi.org/10.1002/ajmg.a.36669</w:t>
      </w:r>
    </w:p>
    <w:p w14:paraId="141B6106"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Muhn, F., Klopocki, E., Graul-Neumann, L., Uhrig, S., Colley, A., Castori, M., … Horn, D. (2013). Novel mutations of the PRKAR1A gene in patients with acrodysostosis. </w:t>
      </w:r>
      <w:r w:rsidRPr="00131432">
        <w:rPr>
          <w:rFonts w:ascii="Calibri" w:hAnsi="Calibri" w:cs="Calibri"/>
          <w:i/>
          <w:iCs/>
          <w:noProof/>
          <w:sz w:val="20"/>
          <w:szCs w:val="24"/>
        </w:rPr>
        <w:t>Clinical Genetics</w:t>
      </w:r>
      <w:r w:rsidRPr="00131432">
        <w:rPr>
          <w:rFonts w:ascii="Calibri" w:hAnsi="Calibri" w:cs="Calibri"/>
          <w:noProof/>
          <w:sz w:val="20"/>
          <w:szCs w:val="24"/>
        </w:rPr>
        <w:t xml:space="preserve">, </w:t>
      </w:r>
      <w:r w:rsidRPr="00131432">
        <w:rPr>
          <w:rFonts w:ascii="Calibri" w:hAnsi="Calibri" w:cs="Calibri"/>
          <w:i/>
          <w:iCs/>
          <w:noProof/>
          <w:sz w:val="20"/>
          <w:szCs w:val="24"/>
        </w:rPr>
        <w:t>84</w:t>
      </w:r>
      <w:r w:rsidRPr="00131432">
        <w:rPr>
          <w:rFonts w:ascii="Calibri" w:hAnsi="Calibri" w:cs="Calibri"/>
          <w:noProof/>
          <w:sz w:val="20"/>
          <w:szCs w:val="24"/>
        </w:rPr>
        <w:t>(6), 531–538. https://doi.org/10.1111/cge.12106</w:t>
      </w:r>
    </w:p>
    <w:p w14:paraId="7965E82F"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Nagasaki, K., Iida, T., Sato, H., Ogawa, Y., Kikuchi, T., Saitoh, A., … Fukami, M. (2012). PRKAR1A mutation affecting cAMP-mediated G protein-coupled receptor signaling in a patient with acrodysostosis and hormone resistance. </w:t>
      </w:r>
      <w:r w:rsidRPr="00131432">
        <w:rPr>
          <w:rFonts w:ascii="Calibri" w:hAnsi="Calibri" w:cs="Calibri"/>
          <w:i/>
          <w:iCs/>
          <w:noProof/>
          <w:sz w:val="20"/>
          <w:szCs w:val="24"/>
        </w:rPr>
        <w:t>Journal of Clinical Endocrinology and Metabolism</w:t>
      </w:r>
      <w:r w:rsidRPr="00131432">
        <w:rPr>
          <w:rFonts w:ascii="Calibri" w:hAnsi="Calibri" w:cs="Calibri"/>
          <w:noProof/>
          <w:sz w:val="20"/>
          <w:szCs w:val="24"/>
        </w:rPr>
        <w:t xml:space="preserve">, </w:t>
      </w:r>
      <w:r w:rsidRPr="00131432">
        <w:rPr>
          <w:rFonts w:ascii="Calibri" w:hAnsi="Calibri" w:cs="Calibri"/>
          <w:i/>
          <w:iCs/>
          <w:noProof/>
          <w:sz w:val="20"/>
          <w:szCs w:val="24"/>
        </w:rPr>
        <w:t>97</w:t>
      </w:r>
      <w:r w:rsidRPr="00131432">
        <w:rPr>
          <w:rFonts w:ascii="Calibri" w:hAnsi="Calibri" w:cs="Calibri"/>
          <w:noProof/>
          <w:sz w:val="20"/>
          <w:szCs w:val="24"/>
        </w:rPr>
        <w:t>(9), 1808–1813. https://doi.org/10.1210/jc.2012-1369</w:t>
      </w:r>
    </w:p>
    <w:p w14:paraId="55895E71"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Rhayem, Y., Le Stunff, C., Khalek, W. A., Auzan, C., Bertherat, J., Linglart, A., … Clauser, E. (2015). Functional characterization of PRKAR1A mutations reveals a unique molecular mechanism causing acrodysostosis but multiple mechanisms causing carney complex. </w:t>
      </w:r>
      <w:r w:rsidRPr="00131432">
        <w:rPr>
          <w:rFonts w:ascii="Calibri" w:hAnsi="Calibri" w:cs="Calibri"/>
          <w:i/>
          <w:iCs/>
          <w:noProof/>
          <w:sz w:val="20"/>
          <w:szCs w:val="24"/>
        </w:rPr>
        <w:t>Journal of Biological Chemistry</w:t>
      </w:r>
      <w:r w:rsidRPr="00131432">
        <w:rPr>
          <w:rFonts w:ascii="Calibri" w:hAnsi="Calibri" w:cs="Calibri"/>
          <w:noProof/>
          <w:sz w:val="20"/>
          <w:szCs w:val="24"/>
        </w:rPr>
        <w:t xml:space="preserve">, </w:t>
      </w:r>
      <w:r w:rsidRPr="00131432">
        <w:rPr>
          <w:rFonts w:ascii="Calibri" w:hAnsi="Calibri" w:cs="Calibri"/>
          <w:i/>
          <w:iCs/>
          <w:noProof/>
          <w:sz w:val="20"/>
          <w:szCs w:val="24"/>
        </w:rPr>
        <w:t>290</w:t>
      </w:r>
      <w:r w:rsidRPr="00131432">
        <w:rPr>
          <w:rFonts w:ascii="Calibri" w:hAnsi="Calibri" w:cs="Calibri"/>
          <w:noProof/>
          <w:sz w:val="20"/>
          <w:szCs w:val="24"/>
        </w:rPr>
        <w:t>(46), 27816–27828. https://doi.org/10.1074/jbc.M115.656553</w:t>
      </w:r>
    </w:p>
    <w:p w14:paraId="11F8E933"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Richards, S., Aziz, N., Bale, S., Bick, D., Das, S., Gastier-Foster, J., … ACMG Laboratory Quality Assurance Committee. (2015). Standards and guidelines for the interpretation of sequence variants: a joint consensus recommendation of the American College of Medical Genetics and Genomics and the Association for Molecular Pathology. </w:t>
      </w:r>
      <w:r w:rsidRPr="00131432">
        <w:rPr>
          <w:rFonts w:ascii="Calibri" w:hAnsi="Calibri" w:cs="Calibri"/>
          <w:i/>
          <w:iCs/>
          <w:noProof/>
          <w:sz w:val="20"/>
          <w:szCs w:val="24"/>
        </w:rPr>
        <w:t>Genetics in Medicine</w:t>
      </w:r>
      <w:r w:rsidRPr="00131432">
        <w:rPr>
          <w:rFonts w:ascii="Calibri" w:hAnsi="Calibri" w:cs="Calibri"/>
          <w:noProof/>
          <w:sz w:val="20"/>
          <w:szCs w:val="24"/>
        </w:rPr>
        <w:t xml:space="preserve">, </w:t>
      </w:r>
      <w:r w:rsidRPr="00131432">
        <w:rPr>
          <w:rFonts w:ascii="Calibri" w:hAnsi="Calibri" w:cs="Calibri"/>
          <w:i/>
          <w:iCs/>
          <w:noProof/>
          <w:sz w:val="20"/>
          <w:szCs w:val="24"/>
        </w:rPr>
        <w:t>17</w:t>
      </w:r>
      <w:r w:rsidRPr="00131432">
        <w:rPr>
          <w:rFonts w:ascii="Calibri" w:hAnsi="Calibri" w:cs="Calibri"/>
          <w:noProof/>
          <w:sz w:val="20"/>
          <w:szCs w:val="24"/>
        </w:rPr>
        <w:t>(5), 405–423. https://doi.org/10.1038/gim.2015.30</w:t>
      </w:r>
    </w:p>
    <w:p w14:paraId="1516FC55"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Silve, C., Le-Stunff, C., Motte, E., Gunes, Y., Linglart, A., &amp; Clauser, E. (2012). Acrodysostosis syndromes. </w:t>
      </w:r>
      <w:r w:rsidRPr="00131432">
        <w:rPr>
          <w:rFonts w:ascii="Calibri" w:hAnsi="Calibri" w:cs="Calibri"/>
          <w:i/>
          <w:iCs/>
          <w:noProof/>
          <w:sz w:val="20"/>
          <w:szCs w:val="24"/>
        </w:rPr>
        <w:t>BoneKEy Reports</w:t>
      </w:r>
      <w:r w:rsidRPr="00131432">
        <w:rPr>
          <w:rFonts w:ascii="Calibri" w:hAnsi="Calibri" w:cs="Calibri"/>
          <w:noProof/>
          <w:sz w:val="20"/>
          <w:szCs w:val="24"/>
        </w:rPr>
        <w:t xml:space="preserve">, </w:t>
      </w:r>
      <w:r w:rsidRPr="00131432">
        <w:rPr>
          <w:rFonts w:ascii="Calibri" w:hAnsi="Calibri" w:cs="Calibri"/>
          <w:i/>
          <w:iCs/>
          <w:noProof/>
          <w:sz w:val="20"/>
          <w:szCs w:val="24"/>
        </w:rPr>
        <w:t>1</w:t>
      </w:r>
      <w:r w:rsidRPr="00131432">
        <w:rPr>
          <w:rFonts w:ascii="Calibri" w:hAnsi="Calibri" w:cs="Calibri"/>
          <w:noProof/>
          <w:sz w:val="20"/>
          <w:szCs w:val="24"/>
        </w:rPr>
        <w:t>(September), 225. https://doi.org/10.1038/bonekey.2012.225</w:t>
      </w:r>
    </w:p>
    <w:p w14:paraId="2DDB0233"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Thiele, S., Mantovani, G., Barlier, A., Boldrin, V., Bordogna, P., De Sanctis, L., … Linglart, A. (2016). From </w:t>
      </w:r>
      <w:r w:rsidRPr="00131432">
        <w:rPr>
          <w:rFonts w:ascii="Calibri" w:hAnsi="Calibri" w:cs="Calibri"/>
          <w:noProof/>
          <w:sz w:val="20"/>
          <w:szCs w:val="24"/>
        </w:rPr>
        <w:lastRenderedPageBreak/>
        <w:t xml:space="preserve">pseudohypoparathyroidism to inactivating PTH/PTHrP signalling disorder (iPPSD), a novel classification proposed by the EuroPHP network. </w:t>
      </w:r>
      <w:r w:rsidRPr="00131432">
        <w:rPr>
          <w:rFonts w:ascii="Calibri" w:hAnsi="Calibri" w:cs="Calibri"/>
          <w:i/>
          <w:iCs/>
          <w:noProof/>
          <w:sz w:val="20"/>
          <w:szCs w:val="24"/>
        </w:rPr>
        <w:t>European Journal of Endocrinology</w:t>
      </w:r>
      <w:r w:rsidRPr="00131432">
        <w:rPr>
          <w:rFonts w:ascii="Calibri" w:hAnsi="Calibri" w:cs="Calibri"/>
          <w:noProof/>
          <w:sz w:val="20"/>
          <w:szCs w:val="24"/>
        </w:rPr>
        <w:t xml:space="preserve">, </w:t>
      </w:r>
      <w:r w:rsidRPr="00131432">
        <w:rPr>
          <w:rFonts w:ascii="Calibri" w:hAnsi="Calibri" w:cs="Calibri"/>
          <w:i/>
          <w:iCs/>
          <w:noProof/>
          <w:sz w:val="20"/>
          <w:szCs w:val="24"/>
        </w:rPr>
        <w:t>175</w:t>
      </w:r>
      <w:r w:rsidRPr="00131432">
        <w:rPr>
          <w:rFonts w:ascii="Calibri" w:hAnsi="Calibri" w:cs="Calibri"/>
          <w:noProof/>
          <w:sz w:val="20"/>
          <w:szCs w:val="24"/>
        </w:rPr>
        <w:t>(6), P1–P17. https://doi.org/10.1530/EJE-16-0107</w:t>
      </w:r>
    </w:p>
    <w:p w14:paraId="45F036A5"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szCs w:val="24"/>
        </w:rPr>
      </w:pPr>
      <w:r w:rsidRPr="00131432">
        <w:rPr>
          <w:rFonts w:ascii="Calibri" w:hAnsi="Calibri" w:cs="Calibri"/>
          <w:noProof/>
          <w:sz w:val="20"/>
          <w:szCs w:val="24"/>
        </w:rPr>
        <w:t xml:space="preserve">Thiele, S., Werner, R., Grötzinger, J., Brix, B., Staedt, P., Struve, D., … Hiort, O. (2015). A positive genotype-phenotype correlation in a large cohort of patients with Pseudohypoparathyroidism Type Ia and Pseudo-pseudohypoparathyroidism and 33 newly identified mutations in the </w:t>
      </w:r>
      <w:r w:rsidRPr="00131432">
        <w:rPr>
          <w:rFonts w:ascii="Calibri" w:hAnsi="Calibri" w:cs="Calibri"/>
          <w:i/>
          <w:iCs/>
          <w:noProof/>
          <w:sz w:val="20"/>
          <w:szCs w:val="24"/>
        </w:rPr>
        <w:t>GNAS</w:t>
      </w:r>
      <w:r w:rsidRPr="00131432">
        <w:rPr>
          <w:rFonts w:ascii="Calibri" w:hAnsi="Calibri" w:cs="Calibri"/>
          <w:noProof/>
          <w:sz w:val="20"/>
          <w:szCs w:val="24"/>
        </w:rPr>
        <w:t xml:space="preserve"> gene. </w:t>
      </w:r>
      <w:r w:rsidRPr="00131432">
        <w:rPr>
          <w:rFonts w:ascii="Calibri" w:hAnsi="Calibri" w:cs="Calibri"/>
          <w:i/>
          <w:iCs/>
          <w:noProof/>
          <w:sz w:val="20"/>
          <w:szCs w:val="24"/>
        </w:rPr>
        <w:t>Molecular Genetics &amp; Genomic Medicine</w:t>
      </w:r>
      <w:r w:rsidRPr="00131432">
        <w:rPr>
          <w:rFonts w:ascii="Calibri" w:hAnsi="Calibri" w:cs="Calibri"/>
          <w:noProof/>
          <w:sz w:val="20"/>
          <w:szCs w:val="24"/>
        </w:rPr>
        <w:t xml:space="preserve">, </w:t>
      </w:r>
      <w:r w:rsidRPr="00131432">
        <w:rPr>
          <w:rFonts w:ascii="Calibri" w:hAnsi="Calibri" w:cs="Calibri"/>
          <w:i/>
          <w:iCs/>
          <w:noProof/>
          <w:sz w:val="20"/>
          <w:szCs w:val="24"/>
        </w:rPr>
        <w:t>3</w:t>
      </w:r>
      <w:r w:rsidRPr="00131432">
        <w:rPr>
          <w:rFonts w:ascii="Calibri" w:hAnsi="Calibri" w:cs="Calibri"/>
          <w:noProof/>
          <w:sz w:val="20"/>
          <w:szCs w:val="24"/>
        </w:rPr>
        <w:t>(2), 111–120. https://doi.org/10.1002/mgg3.117</w:t>
      </w:r>
    </w:p>
    <w:p w14:paraId="2B6D22CC" w14:textId="77777777" w:rsidR="00131432" w:rsidRPr="00131432" w:rsidRDefault="00131432" w:rsidP="00131432">
      <w:pPr>
        <w:widowControl w:val="0"/>
        <w:autoSpaceDE w:val="0"/>
        <w:autoSpaceDN w:val="0"/>
        <w:adjustRightInd w:val="0"/>
        <w:spacing w:after="0" w:line="480" w:lineRule="auto"/>
        <w:ind w:left="480" w:hanging="480"/>
        <w:rPr>
          <w:rFonts w:ascii="Calibri" w:hAnsi="Calibri" w:cs="Calibri"/>
          <w:noProof/>
          <w:sz w:val="20"/>
        </w:rPr>
      </w:pPr>
      <w:r w:rsidRPr="00131432">
        <w:rPr>
          <w:rFonts w:ascii="Calibri" w:hAnsi="Calibri" w:cs="Calibri"/>
          <w:noProof/>
          <w:sz w:val="20"/>
          <w:szCs w:val="24"/>
        </w:rPr>
        <w:t xml:space="preserve">Wilson, L. C., Leverton, K., Oude Luttikhuis, M. E., Oley, C. A., Flint, J., Wolstenholme, J., … Read, A. P. (1995). Brachydactyly and mental retardation: an Albright hereditary osteodystrophy-like syndrome localized to 2q37. </w:t>
      </w:r>
      <w:r w:rsidRPr="00131432">
        <w:rPr>
          <w:rFonts w:ascii="Calibri" w:hAnsi="Calibri" w:cs="Calibri"/>
          <w:i/>
          <w:iCs/>
          <w:noProof/>
          <w:sz w:val="20"/>
          <w:szCs w:val="24"/>
        </w:rPr>
        <w:t>American Journal of Human Genetics</w:t>
      </w:r>
      <w:r w:rsidRPr="00131432">
        <w:rPr>
          <w:rFonts w:ascii="Calibri" w:hAnsi="Calibri" w:cs="Calibri"/>
          <w:noProof/>
          <w:sz w:val="20"/>
          <w:szCs w:val="24"/>
        </w:rPr>
        <w:t xml:space="preserve">, </w:t>
      </w:r>
      <w:r w:rsidRPr="00131432">
        <w:rPr>
          <w:rFonts w:ascii="Calibri" w:hAnsi="Calibri" w:cs="Calibri"/>
          <w:i/>
          <w:iCs/>
          <w:noProof/>
          <w:sz w:val="20"/>
          <w:szCs w:val="24"/>
        </w:rPr>
        <w:t>56</w:t>
      </w:r>
      <w:r w:rsidRPr="00131432">
        <w:rPr>
          <w:rFonts w:ascii="Calibri" w:hAnsi="Calibri" w:cs="Calibri"/>
          <w:noProof/>
          <w:sz w:val="20"/>
          <w:szCs w:val="24"/>
        </w:rPr>
        <w:t>(2), 400–407. Retrieved from http://www.ncbi.nlm.nih.gov/pubmed/7847374</w:t>
      </w:r>
    </w:p>
    <w:p w14:paraId="3C3D01C1" w14:textId="727FED0F" w:rsidR="00330DB8" w:rsidRPr="00BE5425" w:rsidRDefault="00330DB8" w:rsidP="00330DB8">
      <w:pPr>
        <w:spacing w:after="0" w:line="480" w:lineRule="auto"/>
        <w:rPr>
          <w:rFonts w:ascii="Arial" w:eastAsia="Times New Roman" w:hAnsi="Arial" w:cs="Arial"/>
          <w:sz w:val="19"/>
          <w:szCs w:val="19"/>
        </w:rPr>
      </w:pPr>
      <w:r w:rsidRPr="00BE5425">
        <w:rPr>
          <w:rFonts w:eastAsia="Times New Roman" w:cstheme="minorHAnsi"/>
          <w:sz w:val="19"/>
          <w:szCs w:val="19"/>
        </w:rPr>
        <w:fldChar w:fldCharType="end"/>
      </w:r>
    </w:p>
    <w:sectPr w:rsidR="00330DB8" w:rsidRPr="00BE5425" w:rsidSect="00091E90">
      <w:footerReference w:type="default" r:id="rId9"/>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B8DAD" w14:textId="77777777" w:rsidR="0015103D" w:rsidRDefault="0015103D" w:rsidP="000F53D4">
      <w:pPr>
        <w:spacing w:after="0" w:line="240" w:lineRule="auto"/>
      </w:pPr>
      <w:r>
        <w:separator/>
      </w:r>
    </w:p>
  </w:endnote>
  <w:endnote w:type="continuationSeparator" w:id="0">
    <w:p w14:paraId="159A8F3D" w14:textId="77777777" w:rsidR="0015103D" w:rsidRDefault="0015103D" w:rsidP="000F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448951"/>
      <w:docPartObj>
        <w:docPartGallery w:val="Page Numbers (Bottom of Page)"/>
        <w:docPartUnique/>
      </w:docPartObj>
    </w:sdtPr>
    <w:sdtEndPr>
      <w:rPr>
        <w:noProof/>
      </w:rPr>
    </w:sdtEndPr>
    <w:sdtContent>
      <w:p w14:paraId="25575BB9" w14:textId="30193DED" w:rsidR="00CC02BE" w:rsidRDefault="00CC02BE">
        <w:pPr>
          <w:pStyle w:val="Footer"/>
          <w:jc w:val="center"/>
        </w:pPr>
        <w:r>
          <w:fldChar w:fldCharType="begin"/>
        </w:r>
        <w:r>
          <w:instrText xml:space="preserve"> PAGE   \* MERGEFORMAT </w:instrText>
        </w:r>
        <w:r>
          <w:fldChar w:fldCharType="separate"/>
        </w:r>
        <w:r w:rsidR="001F2AD4">
          <w:rPr>
            <w:noProof/>
          </w:rPr>
          <w:t>13</w:t>
        </w:r>
        <w:r>
          <w:rPr>
            <w:noProof/>
          </w:rPr>
          <w:fldChar w:fldCharType="end"/>
        </w:r>
      </w:p>
    </w:sdtContent>
  </w:sdt>
  <w:p w14:paraId="461CA26B" w14:textId="77777777" w:rsidR="00CC02BE" w:rsidRDefault="00CC0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01922" w14:textId="77777777" w:rsidR="0015103D" w:rsidRDefault="0015103D" w:rsidP="000F53D4">
      <w:pPr>
        <w:spacing w:after="0" w:line="240" w:lineRule="auto"/>
      </w:pPr>
      <w:r>
        <w:separator/>
      </w:r>
    </w:p>
  </w:footnote>
  <w:footnote w:type="continuationSeparator" w:id="0">
    <w:p w14:paraId="729DC506" w14:textId="77777777" w:rsidR="0015103D" w:rsidRDefault="0015103D" w:rsidP="000F5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61B12"/>
    <w:multiLevelType w:val="multilevel"/>
    <w:tmpl w:val="8B70D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600134"/>
    <w:multiLevelType w:val="hybridMultilevel"/>
    <w:tmpl w:val="4E546B66"/>
    <w:lvl w:ilvl="0" w:tplc="03147A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951788"/>
    <w:multiLevelType w:val="hybridMultilevel"/>
    <w:tmpl w:val="EF52A61C"/>
    <w:lvl w:ilvl="0" w:tplc="0EBCB3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FF"/>
    <w:rsid w:val="00002204"/>
    <w:rsid w:val="00007731"/>
    <w:rsid w:val="0001313F"/>
    <w:rsid w:val="000175B2"/>
    <w:rsid w:val="00023A53"/>
    <w:rsid w:val="000253A5"/>
    <w:rsid w:val="0002740E"/>
    <w:rsid w:val="00032A4F"/>
    <w:rsid w:val="00034AD8"/>
    <w:rsid w:val="00045D46"/>
    <w:rsid w:val="00046329"/>
    <w:rsid w:val="000504C2"/>
    <w:rsid w:val="000514CA"/>
    <w:rsid w:val="00053D45"/>
    <w:rsid w:val="00064E55"/>
    <w:rsid w:val="0006793F"/>
    <w:rsid w:val="00077590"/>
    <w:rsid w:val="00083597"/>
    <w:rsid w:val="00083F28"/>
    <w:rsid w:val="00086154"/>
    <w:rsid w:val="000867AE"/>
    <w:rsid w:val="0009131F"/>
    <w:rsid w:val="00091E90"/>
    <w:rsid w:val="00093AFE"/>
    <w:rsid w:val="000A3847"/>
    <w:rsid w:val="000B495D"/>
    <w:rsid w:val="000B5929"/>
    <w:rsid w:val="000B6573"/>
    <w:rsid w:val="000D0F65"/>
    <w:rsid w:val="000D36DF"/>
    <w:rsid w:val="000E32BC"/>
    <w:rsid w:val="000E54AE"/>
    <w:rsid w:val="000E694D"/>
    <w:rsid w:val="000F0D29"/>
    <w:rsid w:val="000F106A"/>
    <w:rsid w:val="000F3A94"/>
    <w:rsid w:val="000F53D4"/>
    <w:rsid w:val="00104771"/>
    <w:rsid w:val="001110EB"/>
    <w:rsid w:val="00117512"/>
    <w:rsid w:val="00120D6A"/>
    <w:rsid w:val="00122549"/>
    <w:rsid w:val="001227DD"/>
    <w:rsid w:val="001259B8"/>
    <w:rsid w:val="00130807"/>
    <w:rsid w:val="00131432"/>
    <w:rsid w:val="0013153E"/>
    <w:rsid w:val="001346CB"/>
    <w:rsid w:val="00135F3E"/>
    <w:rsid w:val="001443D3"/>
    <w:rsid w:val="00144E21"/>
    <w:rsid w:val="00144E2F"/>
    <w:rsid w:val="0015103D"/>
    <w:rsid w:val="001534C3"/>
    <w:rsid w:val="001539FF"/>
    <w:rsid w:val="001612B0"/>
    <w:rsid w:val="00163F3D"/>
    <w:rsid w:val="001669E4"/>
    <w:rsid w:val="00166F3E"/>
    <w:rsid w:val="00171975"/>
    <w:rsid w:val="00173C4E"/>
    <w:rsid w:val="00182A37"/>
    <w:rsid w:val="0018392A"/>
    <w:rsid w:val="00186F6B"/>
    <w:rsid w:val="0019083C"/>
    <w:rsid w:val="001912C1"/>
    <w:rsid w:val="00192314"/>
    <w:rsid w:val="0019508A"/>
    <w:rsid w:val="00195392"/>
    <w:rsid w:val="001A21FE"/>
    <w:rsid w:val="001A5EE0"/>
    <w:rsid w:val="001A7F37"/>
    <w:rsid w:val="001B124C"/>
    <w:rsid w:val="001B58D2"/>
    <w:rsid w:val="001B6031"/>
    <w:rsid w:val="001C44E4"/>
    <w:rsid w:val="001C4553"/>
    <w:rsid w:val="001C52E0"/>
    <w:rsid w:val="001D1E03"/>
    <w:rsid w:val="001D3289"/>
    <w:rsid w:val="001E1A22"/>
    <w:rsid w:val="001E2825"/>
    <w:rsid w:val="001E3312"/>
    <w:rsid w:val="001F2AD4"/>
    <w:rsid w:val="001F324A"/>
    <w:rsid w:val="002023D7"/>
    <w:rsid w:val="00214841"/>
    <w:rsid w:val="00214C1A"/>
    <w:rsid w:val="00215754"/>
    <w:rsid w:val="00220B29"/>
    <w:rsid w:val="00221437"/>
    <w:rsid w:val="0022207C"/>
    <w:rsid w:val="00223362"/>
    <w:rsid w:val="0023492B"/>
    <w:rsid w:val="00241751"/>
    <w:rsid w:val="00245A90"/>
    <w:rsid w:val="00253DBF"/>
    <w:rsid w:val="002544CB"/>
    <w:rsid w:val="00257720"/>
    <w:rsid w:val="00270FBB"/>
    <w:rsid w:val="0027355B"/>
    <w:rsid w:val="002833C5"/>
    <w:rsid w:val="00283778"/>
    <w:rsid w:val="00286899"/>
    <w:rsid w:val="00290DBA"/>
    <w:rsid w:val="002972C3"/>
    <w:rsid w:val="002A1BD5"/>
    <w:rsid w:val="002A373D"/>
    <w:rsid w:val="002A6B6B"/>
    <w:rsid w:val="002B02B6"/>
    <w:rsid w:val="002B256B"/>
    <w:rsid w:val="002C1480"/>
    <w:rsid w:val="002C62C4"/>
    <w:rsid w:val="002D686D"/>
    <w:rsid w:val="002D74FF"/>
    <w:rsid w:val="002E2107"/>
    <w:rsid w:val="002E497A"/>
    <w:rsid w:val="002E5A54"/>
    <w:rsid w:val="002E76DF"/>
    <w:rsid w:val="002F2DEE"/>
    <w:rsid w:val="002F51FD"/>
    <w:rsid w:val="002F7BD2"/>
    <w:rsid w:val="003026E6"/>
    <w:rsid w:val="003037D2"/>
    <w:rsid w:val="0030745B"/>
    <w:rsid w:val="00307CFD"/>
    <w:rsid w:val="00311050"/>
    <w:rsid w:val="00312432"/>
    <w:rsid w:val="00314222"/>
    <w:rsid w:val="003150F6"/>
    <w:rsid w:val="0032070D"/>
    <w:rsid w:val="00320762"/>
    <w:rsid w:val="0032296F"/>
    <w:rsid w:val="00324331"/>
    <w:rsid w:val="003247DC"/>
    <w:rsid w:val="00324F66"/>
    <w:rsid w:val="0033006C"/>
    <w:rsid w:val="00330DB8"/>
    <w:rsid w:val="0033412D"/>
    <w:rsid w:val="003347B3"/>
    <w:rsid w:val="00334D6C"/>
    <w:rsid w:val="00340071"/>
    <w:rsid w:val="003454E4"/>
    <w:rsid w:val="00345694"/>
    <w:rsid w:val="00345B7A"/>
    <w:rsid w:val="00345F07"/>
    <w:rsid w:val="003508BB"/>
    <w:rsid w:val="00351902"/>
    <w:rsid w:val="00352675"/>
    <w:rsid w:val="00354302"/>
    <w:rsid w:val="00362230"/>
    <w:rsid w:val="00364C6E"/>
    <w:rsid w:val="00370759"/>
    <w:rsid w:val="00370E47"/>
    <w:rsid w:val="0037179E"/>
    <w:rsid w:val="00373CD9"/>
    <w:rsid w:val="003766B0"/>
    <w:rsid w:val="003818A6"/>
    <w:rsid w:val="00382837"/>
    <w:rsid w:val="00386A62"/>
    <w:rsid w:val="00391BAB"/>
    <w:rsid w:val="003941A4"/>
    <w:rsid w:val="00394C05"/>
    <w:rsid w:val="003978F8"/>
    <w:rsid w:val="003A3478"/>
    <w:rsid w:val="003A3F1A"/>
    <w:rsid w:val="003A44E6"/>
    <w:rsid w:val="003A7334"/>
    <w:rsid w:val="003B0F86"/>
    <w:rsid w:val="003B15B1"/>
    <w:rsid w:val="003C039A"/>
    <w:rsid w:val="003C4BD8"/>
    <w:rsid w:val="003C6926"/>
    <w:rsid w:val="003D1E44"/>
    <w:rsid w:val="003D2CEC"/>
    <w:rsid w:val="003D469E"/>
    <w:rsid w:val="003E26FD"/>
    <w:rsid w:val="003E6D4C"/>
    <w:rsid w:val="003F2443"/>
    <w:rsid w:val="00401119"/>
    <w:rsid w:val="00402056"/>
    <w:rsid w:val="00410A11"/>
    <w:rsid w:val="004129DE"/>
    <w:rsid w:val="004133C3"/>
    <w:rsid w:val="00420080"/>
    <w:rsid w:val="004232AC"/>
    <w:rsid w:val="0042759A"/>
    <w:rsid w:val="00427AAB"/>
    <w:rsid w:val="00427E27"/>
    <w:rsid w:val="00430DDD"/>
    <w:rsid w:val="00441E7F"/>
    <w:rsid w:val="00444A6A"/>
    <w:rsid w:val="00445811"/>
    <w:rsid w:val="0045255B"/>
    <w:rsid w:val="00452741"/>
    <w:rsid w:val="004547E2"/>
    <w:rsid w:val="00456221"/>
    <w:rsid w:val="004570A9"/>
    <w:rsid w:val="004659B7"/>
    <w:rsid w:val="00466C0F"/>
    <w:rsid w:val="00470F94"/>
    <w:rsid w:val="00471D90"/>
    <w:rsid w:val="00476D1B"/>
    <w:rsid w:val="00480BFF"/>
    <w:rsid w:val="00483529"/>
    <w:rsid w:val="004839D4"/>
    <w:rsid w:val="00484AF8"/>
    <w:rsid w:val="00493FC3"/>
    <w:rsid w:val="00495825"/>
    <w:rsid w:val="004A36A5"/>
    <w:rsid w:val="004A371A"/>
    <w:rsid w:val="004A564A"/>
    <w:rsid w:val="004B08E1"/>
    <w:rsid w:val="004B09E7"/>
    <w:rsid w:val="004C3BE3"/>
    <w:rsid w:val="004C3BF7"/>
    <w:rsid w:val="004C58BB"/>
    <w:rsid w:val="004C635D"/>
    <w:rsid w:val="004D0F5D"/>
    <w:rsid w:val="004D1C9B"/>
    <w:rsid w:val="004D5C72"/>
    <w:rsid w:val="004E1B7B"/>
    <w:rsid w:val="004E1E32"/>
    <w:rsid w:val="004E3309"/>
    <w:rsid w:val="004E5F0F"/>
    <w:rsid w:val="004E7D7B"/>
    <w:rsid w:val="004F1411"/>
    <w:rsid w:val="004F20A9"/>
    <w:rsid w:val="004F320C"/>
    <w:rsid w:val="005051CB"/>
    <w:rsid w:val="00511682"/>
    <w:rsid w:val="0051350B"/>
    <w:rsid w:val="00515C0C"/>
    <w:rsid w:val="00521438"/>
    <w:rsid w:val="00531315"/>
    <w:rsid w:val="00536915"/>
    <w:rsid w:val="00540258"/>
    <w:rsid w:val="005407EA"/>
    <w:rsid w:val="00544519"/>
    <w:rsid w:val="00544938"/>
    <w:rsid w:val="0054629E"/>
    <w:rsid w:val="00547D95"/>
    <w:rsid w:val="0055211F"/>
    <w:rsid w:val="005535B3"/>
    <w:rsid w:val="00555E9F"/>
    <w:rsid w:val="00557671"/>
    <w:rsid w:val="00557B0A"/>
    <w:rsid w:val="00557E60"/>
    <w:rsid w:val="005627B6"/>
    <w:rsid w:val="00562E28"/>
    <w:rsid w:val="00563A7B"/>
    <w:rsid w:val="00566D5B"/>
    <w:rsid w:val="00574D8B"/>
    <w:rsid w:val="00574FC9"/>
    <w:rsid w:val="00580851"/>
    <w:rsid w:val="005868C4"/>
    <w:rsid w:val="005958E9"/>
    <w:rsid w:val="005A6343"/>
    <w:rsid w:val="005B1487"/>
    <w:rsid w:val="005B2760"/>
    <w:rsid w:val="005B442A"/>
    <w:rsid w:val="005C01FE"/>
    <w:rsid w:val="005C051A"/>
    <w:rsid w:val="005C1BA3"/>
    <w:rsid w:val="005C2C67"/>
    <w:rsid w:val="005C3B97"/>
    <w:rsid w:val="005C5A77"/>
    <w:rsid w:val="005C750E"/>
    <w:rsid w:val="005D0112"/>
    <w:rsid w:val="005D1179"/>
    <w:rsid w:val="005D1C98"/>
    <w:rsid w:val="005E1163"/>
    <w:rsid w:val="005F4416"/>
    <w:rsid w:val="005F647D"/>
    <w:rsid w:val="00604BD5"/>
    <w:rsid w:val="006065C8"/>
    <w:rsid w:val="00610079"/>
    <w:rsid w:val="00613829"/>
    <w:rsid w:val="00615782"/>
    <w:rsid w:val="006256D2"/>
    <w:rsid w:val="006275A0"/>
    <w:rsid w:val="00630FBC"/>
    <w:rsid w:val="00631138"/>
    <w:rsid w:val="00642852"/>
    <w:rsid w:val="0065516B"/>
    <w:rsid w:val="00660A06"/>
    <w:rsid w:val="006620E2"/>
    <w:rsid w:val="00663C9B"/>
    <w:rsid w:val="006724C2"/>
    <w:rsid w:val="006777F8"/>
    <w:rsid w:val="00681681"/>
    <w:rsid w:val="00682035"/>
    <w:rsid w:val="00690969"/>
    <w:rsid w:val="00695F3B"/>
    <w:rsid w:val="006A31B8"/>
    <w:rsid w:val="006A33C7"/>
    <w:rsid w:val="006A5BEE"/>
    <w:rsid w:val="006A6B77"/>
    <w:rsid w:val="006B410D"/>
    <w:rsid w:val="006B7C7E"/>
    <w:rsid w:val="006C184B"/>
    <w:rsid w:val="006C4E65"/>
    <w:rsid w:val="006C66CA"/>
    <w:rsid w:val="006C7185"/>
    <w:rsid w:val="006D22A5"/>
    <w:rsid w:val="006D5547"/>
    <w:rsid w:val="006D7662"/>
    <w:rsid w:val="006E5AE9"/>
    <w:rsid w:val="006F6D4E"/>
    <w:rsid w:val="006F6E8D"/>
    <w:rsid w:val="00704745"/>
    <w:rsid w:val="007137D7"/>
    <w:rsid w:val="007157F2"/>
    <w:rsid w:val="00723116"/>
    <w:rsid w:val="00726399"/>
    <w:rsid w:val="007332BF"/>
    <w:rsid w:val="00736445"/>
    <w:rsid w:val="00741F2D"/>
    <w:rsid w:val="00743EDB"/>
    <w:rsid w:val="00750071"/>
    <w:rsid w:val="00751D58"/>
    <w:rsid w:val="0075461A"/>
    <w:rsid w:val="00755AD5"/>
    <w:rsid w:val="007575A0"/>
    <w:rsid w:val="007632DF"/>
    <w:rsid w:val="00763841"/>
    <w:rsid w:val="00770B48"/>
    <w:rsid w:val="00783D07"/>
    <w:rsid w:val="00787609"/>
    <w:rsid w:val="00790ECB"/>
    <w:rsid w:val="00791550"/>
    <w:rsid w:val="00793C16"/>
    <w:rsid w:val="00793D58"/>
    <w:rsid w:val="007978F9"/>
    <w:rsid w:val="007A079F"/>
    <w:rsid w:val="007A71CB"/>
    <w:rsid w:val="007B2687"/>
    <w:rsid w:val="007B793B"/>
    <w:rsid w:val="007D1B8B"/>
    <w:rsid w:val="007D5F5F"/>
    <w:rsid w:val="007E063A"/>
    <w:rsid w:val="007E0679"/>
    <w:rsid w:val="007E0BA3"/>
    <w:rsid w:val="007E25AA"/>
    <w:rsid w:val="007E2BFC"/>
    <w:rsid w:val="007E3614"/>
    <w:rsid w:val="007E3AAA"/>
    <w:rsid w:val="007F1BD6"/>
    <w:rsid w:val="007F1C5F"/>
    <w:rsid w:val="007F52FB"/>
    <w:rsid w:val="00800ABF"/>
    <w:rsid w:val="0080263A"/>
    <w:rsid w:val="00804486"/>
    <w:rsid w:val="00807D59"/>
    <w:rsid w:val="00807D80"/>
    <w:rsid w:val="00810A67"/>
    <w:rsid w:val="0082045A"/>
    <w:rsid w:val="0082089E"/>
    <w:rsid w:val="008208E7"/>
    <w:rsid w:val="008232B6"/>
    <w:rsid w:val="00825D73"/>
    <w:rsid w:val="00827C14"/>
    <w:rsid w:val="0083350D"/>
    <w:rsid w:val="00837870"/>
    <w:rsid w:val="00843680"/>
    <w:rsid w:val="008513AC"/>
    <w:rsid w:val="00853FFC"/>
    <w:rsid w:val="00855FCB"/>
    <w:rsid w:val="008560CD"/>
    <w:rsid w:val="0086554C"/>
    <w:rsid w:val="008708C7"/>
    <w:rsid w:val="008743C0"/>
    <w:rsid w:val="00882EA3"/>
    <w:rsid w:val="0089284B"/>
    <w:rsid w:val="0089399F"/>
    <w:rsid w:val="008A55CC"/>
    <w:rsid w:val="008B47F6"/>
    <w:rsid w:val="008B5B5F"/>
    <w:rsid w:val="008C1EC2"/>
    <w:rsid w:val="008D1230"/>
    <w:rsid w:val="008D1D2F"/>
    <w:rsid w:val="008D4CE4"/>
    <w:rsid w:val="008D5378"/>
    <w:rsid w:val="008D7266"/>
    <w:rsid w:val="008E27DF"/>
    <w:rsid w:val="008E2AE3"/>
    <w:rsid w:val="008E402C"/>
    <w:rsid w:val="008E7C90"/>
    <w:rsid w:val="008F0B2D"/>
    <w:rsid w:val="00900474"/>
    <w:rsid w:val="009016DE"/>
    <w:rsid w:val="009019C4"/>
    <w:rsid w:val="009023C9"/>
    <w:rsid w:val="009101F2"/>
    <w:rsid w:val="00910C5B"/>
    <w:rsid w:val="00913795"/>
    <w:rsid w:val="00922A9E"/>
    <w:rsid w:val="00931662"/>
    <w:rsid w:val="009357DB"/>
    <w:rsid w:val="009370B6"/>
    <w:rsid w:val="00942D2E"/>
    <w:rsid w:val="009449D2"/>
    <w:rsid w:val="009549A4"/>
    <w:rsid w:val="00967F2A"/>
    <w:rsid w:val="009715EC"/>
    <w:rsid w:val="00974035"/>
    <w:rsid w:val="00974878"/>
    <w:rsid w:val="00977FF0"/>
    <w:rsid w:val="0098487B"/>
    <w:rsid w:val="00985335"/>
    <w:rsid w:val="009950E6"/>
    <w:rsid w:val="009954B6"/>
    <w:rsid w:val="00995E30"/>
    <w:rsid w:val="00997251"/>
    <w:rsid w:val="009B4EA0"/>
    <w:rsid w:val="009C27D3"/>
    <w:rsid w:val="009C2F95"/>
    <w:rsid w:val="009C39C3"/>
    <w:rsid w:val="009C74BE"/>
    <w:rsid w:val="009C7B1A"/>
    <w:rsid w:val="009D014B"/>
    <w:rsid w:val="009D0F0F"/>
    <w:rsid w:val="009D379A"/>
    <w:rsid w:val="009D7E9F"/>
    <w:rsid w:val="009E61F8"/>
    <w:rsid w:val="009E661B"/>
    <w:rsid w:val="009E6D38"/>
    <w:rsid w:val="009E73D5"/>
    <w:rsid w:val="009F1A7E"/>
    <w:rsid w:val="009F1F4B"/>
    <w:rsid w:val="009F7021"/>
    <w:rsid w:val="00A04D15"/>
    <w:rsid w:val="00A10D34"/>
    <w:rsid w:val="00A220F1"/>
    <w:rsid w:val="00A23F54"/>
    <w:rsid w:val="00A24068"/>
    <w:rsid w:val="00A33BE5"/>
    <w:rsid w:val="00A4248C"/>
    <w:rsid w:val="00A523FA"/>
    <w:rsid w:val="00A56E1A"/>
    <w:rsid w:val="00A57FA2"/>
    <w:rsid w:val="00A60F28"/>
    <w:rsid w:val="00A6186B"/>
    <w:rsid w:val="00A62D89"/>
    <w:rsid w:val="00A72ECA"/>
    <w:rsid w:val="00A753A2"/>
    <w:rsid w:val="00A772BC"/>
    <w:rsid w:val="00A833F3"/>
    <w:rsid w:val="00A9316E"/>
    <w:rsid w:val="00A95931"/>
    <w:rsid w:val="00A962DE"/>
    <w:rsid w:val="00A96460"/>
    <w:rsid w:val="00AA1944"/>
    <w:rsid w:val="00AA2685"/>
    <w:rsid w:val="00AB0369"/>
    <w:rsid w:val="00AB1548"/>
    <w:rsid w:val="00AB207B"/>
    <w:rsid w:val="00AB76C9"/>
    <w:rsid w:val="00AC227F"/>
    <w:rsid w:val="00AC730B"/>
    <w:rsid w:val="00AC7528"/>
    <w:rsid w:val="00AD2283"/>
    <w:rsid w:val="00AD58FE"/>
    <w:rsid w:val="00AE1F4F"/>
    <w:rsid w:val="00AE3064"/>
    <w:rsid w:val="00AE42F4"/>
    <w:rsid w:val="00AE7CF5"/>
    <w:rsid w:val="00AF51A0"/>
    <w:rsid w:val="00B01BF4"/>
    <w:rsid w:val="00B02753"/>
    <w:rsid w:val="00B0356F"/>
    <w:rsid w:val="00B12728"/>
    <w:rsid w:val="00B16913"/>
    <w:rsid w:val="00B178BB"/>
    <w:rsid w:val="00B20516"/>
    <w:rsid w:val="00B20DB4"/>
    <w:rsid w:val="00B31E9E"/>
    <w:rsid w:val="00B31EEE"/>
    <w:rsid w:val="00B4005C"/>
    <w:rsid w:val="00B41243"/>
    <w:rsid w:val="00B424E1"/>
    <w:rsid w:val="00B43867"/>
    <w:rsid w:val="00B47250"/>
    <w:rsid w:val="00B52854"/>
    <w:rsid w:val="00B551EB"/>
    <w:rsid w:val="00B57469"/>
    <w:rsid w:val="00B653E9"/>
    <w:rsid w:val="00B6702D"/>
    <w:rsid w:val="00B6764F"/>
    <w:rsid w:val="00B67CAD"/>
    <w:rsid w:val="00B8136C"/>
    <w:rsid w:val="00B819A7"/>
    <w:rsid w:val="00B822C4"/>
    <w:rsid w:val="00B8360F"/>
    <w:rsid w:val="00B87FA9"/>
    <w:rsid w:val="00B911E9"/>
    <w:rsid w:val="00B91CFE"/>
    <w:rsid w:val="00B93CED"/>
    <w:rsid w:val="00B96E11"/>
    <w:rsid w:val="00B9745A"/>
    <w:rsid w:val="00BA269A"/>
    <w:rsid w:val="00BA3477"/>
    <w:rsid w:val="00BB79F1"/>
    <w:rsid w:val="00BC14DA"/>
    <w:rsid w:val="00BC3DCE"/>
    <w:rsid w:val="00BD08B2"/>
    <w:rsid w:val="00BD0B1B"/>
    <w:rsid w:val="00BE06C3"/>
    <w:rsid w:val="00BE422A"/>
    <w:rsid w:val="00BE5425"/>
    <w:rsid w:val="00BF30AF"/>
    <w:rsid w:val="00C00C25"/>
    <w:rsid w:val="00C031B6"/>
    <w:rsid w:val="00C03865"/>
    <w:rsid w:val="00C14D85"/>
    <w:rsid w:val="00C20007"/>
    <w:rsid w:val="00C224E2"/>
    <w:rsid w:val="00C3334E"/>
    <w:rsid w:val="00C34365"/>
    <w:rsid w:val="00C400A7"/>
    <w:rsid w:val="00C401B3"/>
    <w:rsid w:val="00C40C8C"/>
    <w:rsid w:val="00C433B2"/>
    <w:rsid w:val="00C477F3"/>
    <w:rsid w:val="00C52274"/>
    <w:rsid w:val="00C66A88"/>
    <w:rsid w:val="00C703B1"/>
    <w:rsid w:val="00C755B9"/>
    <w:rsid w:val="00C80DFF"/>
    <w:rsid w:val="00C820D1"/>
    <w:rsid w:val="00C916CA"/>
    <w:rsid w:val="00C93328"/>
    <w:rsid w:val="00C9475B"/>
    <w:rsid w:val="00CA7887"/>
    <w:rsid w:val="00CB639D"/>
    <w:rsid w:val="00CB6740"/>
    <w:rsid w:val="00CB786D"/>
    <w:rsid w:val="00CC0216"/>
    <w:rsid w:val="00CC02BE"/>
    <w:rsid w:val="00CC29BF"/>
    <w:rsid w:val="00CC5972"/>
    <w:rsid w:val="00CC729F"/>
    <w:rsid w:val="00CD01DB"/>
    <w:rsid w:val="00CD1E69"/>
    <w:rsid w:val="00CD2B8C"/>
    <w:rsid w:val="00CD3916"/>
    <w:rsid w:val="00CD3F1E"/>
    <w:rsid w:val="00CD4257"/>
    <w:rsid w:val="00CD7E45"/>
    <w:rsid w:val="00CE0634"/>
    <w:rsid w:val="00CE2682"/>
    <w:rsid w:val="00CE4AA6"/>
    <w:rsid w:val="00CE6DE2"/>
    <w:rsid w:val="00CF1FC0"/>
    <w:rsid w:val="00CF4374"/>
    <w:rsid w:val="00CF559D"/>
    <w:rsid w:val="00CF657B"/>
    <w:rsid w:val="00D048AF"/>
    <w:rsid w:val="00D105CD"/>
    <w:rsid w:val="00D145AD"/>
    <w:rsid w:val="00D14892"/>
    <w:rsid w:val="00D15757"/>
    <w:rsid w:val="00D17C82"/>
    <w:rsid w:val="00D2530A"/>
    <w:rsid w:val="00D2660F"/>
    <w:rsid w:val="00D37462"/>
    <w:rsid w:val="00D40F21"/>
    <w:rsid w:val="00D43A84"/>
    <w:rsid w:val="00D5122D"/>
    <w:rsid w:val="00D553D5"/>
    <w:rsid w:val="00D5644C"/>
    <w:rsid w:val="00D6516A"/>
    <w:rsid w:val="00D75669"/>
    <w:rsid w:val="00D81C06"/>
    <w:rsid w:val="00D86471"/>
    <w:rsid w:val="00D92033"/>
    <w:rsid w:val="00D923B1"/>
    <w:rsid w:val="00D9545F"/>
    <w:rsid w:val="00DA4552"/>
    <w:rsid w:val="00DA6C0A"/>
    <w:rsid w:val="00DB091D"/>
    <w:rsid w:val="00DB4278"/>
    <w:rsid w:val="00DC078B"/>
    <w:rsid w:val="00DC1D03"/>
    <w:rsid w:val="00DC28DC"/>
    <w:rsid w:val="00DD7C57"/>
    <w:rsid w:val="00DE37D1"/>
    <w:rsid w:val="00DE639D"/>
    <w:rsid w:val="00DE79C6"/>
    <w:rsid w:val="00DF1916"/>
    <w:rsid w:val="00DF6A39"/>
    <w:rsid w:val="00DF7F51"/>
    <w:rsid w:val="00E01DE9"/>
    <w:rsid w:val="00E06B02"/>
    <w:rsid w:val="00E07E7D"/>
    <w:rsid w:val="00E137E2"/>
    <w:rsid w:val="00E13C46"/>
    <w:rsid w:val="00E147EF"/>
    <w:rsid w:val="00E16544"/>
    <w:rsid w:val="00E24A87"/>
    <w:rsid w:val="00E622C7"/>
    <w:rsid w:val="00E70A49"/>
    <w:rsid w:val="00E7697C"/>
    <w:rsid w:val="00E76C03"/>
    <w:rsid w:val="00E76D04"/>
    <w:rsid w:val="00E9130F"/>
    <w:rsid w:val="00E93E59"/>
    <w:rsid w:val="00E95030"/>
    <w:rsid w:val="00E95A0F"/>
    <w:rsid w:val="00E97056"/>
    <w:rsid w:val="00EA277D"/>
    <w:rsid w:val="00EA3388"/>
    <w:rsid w:val="00EA4302"/>
    <w:rsid w:val="00EA47C8"/>
    <w:rsid w:val="00EA7488"/>
    <w:rsid w:val="00EA7B0F"/>
    <w:rsid w:val="00EB0B24"/>
    <w:rsid w:val="00EB49C8"/>
    <w:rsid w:val="00EC1D31"/>
    <w:rsid w:val="00EC4DE6"/>
    <w:rsid w:val="00ED1F1B"/>
    <w:rsid w:val="00ED2CAE"/>
    <w:rsid w:val="00ED3476"/>
    <w:rsid w:val="00ED7600"/>
    <w:rsid w:val="00EF06B6"/>
    <w:rsid w:val="00EF7F62"/>
    <w:rsid w:val="00F01739"/>
    <w:rsid w:val="00F06F0B"/>
    <w:rsid w:val="00F076A4"/>
    <w:rsid w:val="00F10675"/>
    <w:rsid w:val="00F13087"/>
    <w:rsid w:val="00F14115"/>
    <w:rsid w:val="00F14B41"/>
    <w:rsid w:val="00F17A82"/>
    <w:rsid w:val="00F2010A"/>
    <w:rsid w:val="00F214DC"/>
    <w:rsid w:val="00F231ED"/>
    <w:rsid w:val="00F26CFF"/>
    <w:rsid w:val="00F26F18"/>
    <w:rsid w:val="00F27D3F"/>
    <w:rsid w:val="00F30F1D"/>
    <w:rsid w:val="00F34559"/>
    <w:rsid w:val="00F40C05"/>
    <w:rsid w:val="00F42831"/>
    <w:rsid w:val="00F52F89"/>
    <w:rsid w:val="00F60521"/>
    <w:rsid w:val="00F62A18"/>
    <w:rsid w:val="00F62F83"/>
    <w:rsid w:val="00F63AAC"/>
    <w:rsid w:val="00F72676"/>
    <w:rsid w:val="00F72B0D"/>
    <w:rsid w:val="00F734B3"/>
    <w:rsid w:val="00F744FE"/>
    <w:rsid w:val="00F75FA7"/>
    <w:rsid w:val="00F81F07"/>
    <w:rsid w:val="00F8417E"/>
    <w:rsid w:val="00F90347"/>
    <w:rsid w:val="00F91D0E"/>
    <w:rsid w:val="00F93457"/>
    <w:rsid w:val="00F967D8"/>
    <w:rsid w:val="00F96BDE"/>
    <w:rsid w:val="00F96C0E"/>
    <w:rsid w:val="00FA1F83"/>
    <w:rsid w:val="00FA25EC"/>
    <w:rsid w:val="00FB1EFF"/>
    <w:rsid w:val="00FB37E2"/>
    <w:rsid w:val="00FB4508"/>
    <w:rsid w:val="00FB53C3"/>
    <w:rsid w:val="00FC00F3"/>
    <w:rsid w:val="00FC59B1"/>
    <w:rsid w:val="00FC5C73"/>
    <w:rsid w:val="00FD5734"/>
    <w:rsid w:val="00FF08D4"/>
    <w:rsid w:val="00FF32CF"/>
    <w:rsid w:val="00FF62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5A40D4"/>
  <w15:docId w15:val="{BA3900AA-4A04-DF45-BAD4-D294254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E1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0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5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D4"/>
    <w:rPr>
      <w:rFonts w:ascii="Segoe UI" w:hAnsi="Segoe UI" w:cs="Segoe UI"/>
      <w:sz w:val="18"/>
      <w:szCs w:val="18"/>
    </w:rPr>
  </w:style>
  <w:style w:type="paragraph" w:styleId="Header">
    <w:name w:val="header"/>
    <w:basedOn w:val="Normal"/>
    <w:link w:val="HeaderChar"/>
    <w:uiPriority w:val="99"/>
    <w:unhideWhenUsed/>
    <w:rsid w:val="000F5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3D4"/>
  </w:style>
  <w:style w:type="paragraph" w:styleId="Footer">
    <w:name w:val="footer"/>
    <w:basedOn w:val="Normal"/>
    <w:link w:val="FooterChar"/>
    <w:uiPriority w:val="99"/>
    <w:unhideWhenUsed/>
    <w:rsid w:val="000F5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3D4"/>
  </w:style>
  <w:style w:type="character" w:styleId="CommentReference">
    <w:name w:val="annotation reference"/>
    <w:basedOn w:val="DefaultParagraphFont"/>
    <w:uiPriority w:val="99"/>
    <w:semiHidden/>
    <w:unhideWhenUsed/>
    <w:rsid w:val="007575A0"/>
    <w:rPr>
      <w:sz w:val="16"/>
      <w:szCs w:val="16"/>
    </w:rPr>
  </w:style>
  <w:style w:type="paragraph" w:styleId="CommentText">
    <w:name w:val="annotation text"/>
    <w:basedOn w:val="Normal"/>
    <w:link w:val="CommentTextChar"/>
    <w:uiPriority w:val="99"/>
    <w:semiHidden/>
    <w:unhideWhenUsed/>
    <w:rsid w:val="007575A0"/>
    <w:pPr>
      <w:spacing w:line="240" w:lineRule="auto"/>
    </w:pPr>
    <w:rPr>
      <w:sz w:val="20"/>
      <w:szCs w:val="20"/>
    </w:rPr>
  </w:style>
  <w:style w:type="character" w:customStyle="1" w:styleId="CommentTextChar">
    <w:name w:val="Comment Text Char"/>
    <w:basedOn w:val="DefaultParagraphFont"/>
    <w:link w:val="CommentText"/>
    <w:uiPriority w:val="99"/>
    <w:semiHidden/>
    <w:rsid w:val="007575A0"/>
    <w:rPr>
      <w:sz w:val="20"/>
      <w:szCs w:val="20"/>
    </w:rPr>
  </w:style>
  <w:style w:type="paragraph" w:styleId="CommentSubject">
    <w:name w:val="annotation subject"/>
    <w:basedOn w:val="CommentText"/>
    <w:next w:val="CommentText"/>
    <w:link w:val="CommentSubjectChar"/>
    <w:uiPriority w:val="99"/>
    <w:semiHidden/>
    <w:unhideWhenUsed/>
    <w:rsid w:val="007575A0"/>
    <w:rPr>
      <w:b/>
      <w:bCs/>
    </w:rPr>
  </w:style>
  <w:style w:type="character" w:customStyle="1" w:styleId="CommentSubjectChar">
    <w:name w:val="Comment Subject Char"/>
    <w:basedOn w:val="CommentTextChar"/>
    <w:link w:val="CommentSubject"/>
    <w:uiPriority w:val="99"/>
    <w:semiHidden/>
    <w:rsid w:val="007575A0"/>
    <w:rPr>
      <w:b/>
      <w:bCs/>
      <w:sz w:val="20"/>
      <w:szCs w:val="20"/>
    </w:rPr>
  </w:style>
  <w:style w:type="paragraph" w:styleId="ListParagraph">
    <w:name w:val="List Paragraph"/>
    <w:basedOn w:val="Normal"/>
    <w:uiPriority w:val="34"/>
    <w:qFormat/>
    <w:rsid w:val="00324F66"/>
    <w:pPr>
      <w:ind w:left="720"/>
      <w:contextualSpacing/>
    </w:pPr>
  </w:style>
  <w:style w:type="paragraph" w:styleId="Revision">
    <w:name w:val="Revision"/>
    <w:hidden/>
    <w:uiPriority w:val="99"/>
    <w:semiHidden/>
    <w:rsid w:val="00751D58"/>
    <w:pPr>
      <w:spacing w:after="0" w:line="240" w:lineRule="auto"/>
    </w:pPr>
  </w:style>
  <w:style w:type="table" w:styleId="TableGrid">
    <w:name w:val="Table Grid"/>
    <w:basedOn w:val="TableNormal"/>
    <w:uiPriority w:val="39"/>
    <w:rsid w:val="0005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55CC"/>
    <w:rPr>
      <w:b/>
      <w:bCs/>
    </w:rPr>
  </w:style>
  <w:style w:type="character" w:styleId="Hyperlink">
    <w:name w:val="Hyperlink"/>
    <w:basedOn w:val="DefaultParagraphFont"/>
    <w:uiPriority w:val="99"/>
    <w:unhideWhenUsed/>
    <w:rsid w:val="001B58D2"/>
    <w:rPr>
      <w:color w:val="0000FF"/>
      <w:u w:val="single"/>
    </w:rPr>
  </w:style>
  <w:style w:type="character" w:customStyle="1" w:styleId="mim-font">
    <w:name w:val="mim-font"/>
    <w:basedOn w:val="DefaultParagraphFont"/>
    <w:rsid w:val="00631138"/>
  </w:style>
  <w:style w:type="character" w:styleId="Emphasis">
    <w:name w:val="Emphasis"/>
    <w:basedOn w:val="DefaultParagraphFont"/>
    <w:uiPriority w:val="20"/>
    <w:qFormat/>
    <w:rsid w:val="00EA4302"/>
    <w:rPr>
      <w:i/>
      <w:iCs/>
    </w:rPr>
  </w:style>
  <w:style w:type="character" w:customStyle="1" w:styleId="apple-converted-space">
    <w:name w:val="apple-converted-space"/>
    <w:basedOn w:val="DefaultParagraphFont"/>
    <w:rsid w:val="00EA4302"/>
  </w:style>
  <w:style w:type="character" w:customStyle="1" w:styleId="st">
    <w:name w:val="st"/>
    <w:basedOn w:val="DefaultParagraphFont"/>
    <w:rsid w:val="00EC1D31"/>
  </w:style>
  <w:style w:type="paragraph" w:styleId="DocumentMap">
    <w:name w:val="Document Map"/>
    <w:basedOn w:val="Normal"/>
    <w:link w:val="DocumentMapChar"/>
    <w:uiPriority w:val="99"/>
    <w:semiHidden/>
    <w:unhideWhenUsed/>
    <w:rsid w:val="00B4005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4005C"/>
    <w:rPr>
      <w:rFonts w:ascii="Times New Roman" w:hAnsi="Times New Roman" w:cs="Times New Roman"/>
      <w:sz w:val="24"/>
      <w:szCs w:val="24"/>
    </w:rPr>
  </w:style>
  <w:style w:type="paragraph" w:styleId="PlainText">
    <w:name w:val="Plain Text"/>
    <w:basedOn w:val="Normal"/>
    <w:link w:val="PlainTextChar"/>
    <w:uiPriority w:val="99"/>
    <w:unhideWhenUsed/>
    <w:rsid w:val="008C1E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C1EC2"/>
    <w:rPr>
      <w:rFonts w:ascii="Calibri" w:hAnsi="Calibri"/>
      <w:szCs w:val="21"/>
    </w:rPr>
  </w:style>
  <w:style w:type="character" w:customStyle="1" w:styleId="Heading3Char">
    <w:name w:val="Heading 3 Char"/>
    <w:basedOn w:val="DefaultParagraphFont"/>
    <w:link w:val="Heading3"/>
    <w:uiPriority w:val="9"/>
    <w:rsid w:val="004E1E32"/>
    <w:rPr>
      <w:rFonts w:ascii="Times New Roman" w:eastAsia="Times New Roman" w:hAnsi="Times New Roman" w:cs="Times New Roman"/>
      <w:b/>
      <w:bCs/>
      <w:sz w:val="27"/>
      <w:szCs w:val="27"/>
    </w:rPr>
  </w:style>
  <w:style w:type="character" w:customStyle="1" w:styleId="term-highlight">
    <w:name w:val="term-highlight"/>
    <w:basedOn w:val="DefaultParagraphFont"/>
    <w:rsid w:val="004E1E32"/>
  </w:style>
  <w:style w:type="paragraph" w:customStyle="1" w:styleId="halfrhythm">
    <w:name w:val="half_rhythm"/>
    <w:basedOn w:val="Normal"/>
    <w:rsid w:val="004E1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7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3703">
      <w:bodyDiv w:val="1"/>
      <w:marLeft w:val="0"/>
      <w:marRight w:val="0"/>
      <w:marTop w:val="0"/>
      <w:marBottom w:val="0"/>
      <w:divBdr>
        <w:top w:val="none" w:sz="0" w:space="0" w:color="auto"/>
        <w:left w:val="none" w:sz="0" w:space="0" w:color="auto"/>
        <w:bottom w:val="none" w:sz="0" w:space="0" w:color="auto"/>
        <w:right w:val="none" w:sz="0" w:space="0" w:color="auto"/>
      </w:divBdr>
    </w:div>
    <w:div w:id="107051487">
      <w:bodyDiv w:val="1"/>
      <w:marLeft w:val="0"/>
      <w:marRight w:val="0"/>
      <w:marTop w:val="0"/>
      <w:marBottom w:val="0"/>
      <w:divBdr>
        <w:top w:val="none" w:sz="0" w:space="0" w:color="auto"/>
        <w:left w:val="none" w:sz="0" w:space="0" w:color="auto"/>
        <w:bottom w:val="none" w:sz="0" w:space="0" w:color="auto"/>
        <w:right w:val="none" w:sz="0" w:space="0" w:color="auto"/>
      </w:divBdr>
    </w:div>
    <w:div w:id="144663349">
      <w:bodyDiv w:val="1"/>
      <w:marLeft w:val="0"/>
      <w:marRight w:val="0"/>
      <w:marTop w:val="0"/>
      <w:marBottom w:val="0"/>
      <w:divBdr>
        <w:top w:val="none" w:sz="0" w:space="0" w:color="auto"/>
        <w:left w:val="none" w:sz="0" w:space="0" w:color="auto"/>
        <w:bottom w:val="none" w:sz="0" w:space="0" w:color="auto"/>
        <w:right w:val="none" w:sz="0" w:space="0" w:color="auto"/>
      </w:divBdr>
      <w:divsChild>
        <w:div w:id="1653413996">
          <w:marLeft w:val="0"/>
          <w:marRight w:val="0"/>
          <w:marTop w:val="0"/>
          <w:marBottom w:val="0"/>
          <w:divBdr>
            <w:top w:val="none" w:sz="0" w:space="0" w:color="auto"/>
            <w:left w:val="none" w:sz="0" w:space="0" w:color="auto"/>
            <w:bottom w:val="none" w:sz="0" w:space="0" w:color="auto"/>
            <w:right w:val="none" w:sz="0" w:space="0" w:color="auto"/>
          </w:divBdr>
        </w:div>
      </w:divsChild>
    </w:div>
    <w:div w:id="187379534">
      <w:bodyDiv w:val="1"/>
      <w:marLeft w:val="0"/>
      <w:marRight w:val="0"/>
      <w:marTop w:val="0"/>
      <w:marBottom w:val="0"/>
      <w:divBdr>
        <w:top w:val="none" w:sz="0" w:space="0" w:color="auto"/>
        <w:left w:val="none" w:sz="0" w:space="0" w:color="auto"/>
        <w:bottom w:val="none" w:sz="0" w:space="0" w:color="auto"/>
        <w:right w:val="none" w:sz="0" w:space="0" w:color="auto"/>
      </w:divBdr>
    </w:div>
    <w:div w:id="215430013">
      <w:bodyDiv w:val="1"/>
      <w:marLeft w:val="0"/>
      <w:marRight w:val="0"/>
      <w:marTop w:val="0"/>
      <w:marBottom w:val="0"/>
      <w:divBdr>
        <w:top w:val="none" w:sz="0" w:space="0" w:color="auto"/>
        <w:left w:val="none" w:sz="0" w:space="0" w:color="auto"/>
        <w:bottom w:val="none" w:sz="0" w:space="0" w:color="auto"/>
        <w:right w:val="none" w:sz="0" w:space="0" w:color="auto"/>
      </w:divBdr>
    </w:div>
    <w:div w:id="331297134">
      <w:bodyDiv w:val="1"/>
      <w:marLeft w:val="0"/>
      <w:marRight w:val="0"/>
      <w:marTop w:val="0"/>
      <w:marBottom w:val="0"/>
      <w:divBdr>
        <w:top w:val="none" w:sz="0" w:space="0" w:color="auto"/>
        <w:left w:val="none" w:sz="0" w:space="0" w:color="auto"/>
        <w:bottom w:val="none" w:sz="0" w:space="0" w:color="auto"/>
        <w:right w:val="none" w:sz="0" w:space="0" w:color="auto"/>
      </w:divBdr>
    </w:div>
    <w:div w:id="469591964">
      <w:bodyDiv w:val="1"/>
      <w:marLeft w:val="0"/>
      <w:marRight w:val="0"/>
      <w:marTop w:val="0"/>
      <w:marBottom w:val="0"/>
      <w:divBdr>
        <w:top w:val="none" w:sz="0" w:space="0" w:color="auto"/>
        <w:left w:val="none" w:sz="0" w:space="0" w:color="auto"/>
        <w:bottom w:val="none" w:sz="0" w:space="0" w:color="auto"/>
        <w:right w:val="none" w:sz="0" w:space="0" w:color="auto"/>
      </w:divBdr>
      <w:divsChild>
        <w:div w:id="1831947439">
          <w:marLeft w:val="0"/>
          <w:marRight w:val="0"/>
          <w:marTop w:val="0"/>
          <w:marBottom w:val="0"/>
          <w:divBdr>
            <w:top w:val="none" w:sz="0" w:space="0" w:color="auto"/>
            <w:left w:val="none" w:sz="0" w:space="0" w:color="auto"/>
            <w:bottom w:val="none" w:sz="0" w:space="0" w:color="auto"/>
            <w:right w:val="none" w:sz="0" w:space="0" w:color="auto"/>
          </w:divBdr>
        </w:div>
        <w:div w:id="1873304993">
          <w:marLeft w:val="0"/>
          <w:marRight w:val="0"/>
          <w:marTop w:val="0"/>
          <w:marBottom w:val="0"/>
          <w:divBdr>
            <w:top w:val="none" w:sz="0" w:space="0" w:color="auto"/>
            <w:left w:val="none" w:sz="0" w:space="0" w:color="auto"/>
            <w:bottom w:val="none" w:sz="0" w:space="0" w:color="auto"/>
            <w:right w:val="none" w:sz="0" w:space="0" w:color="auto"/>
          </w:divBdr>
          <w:divsChild>
            <w:div w:id="2108497466">
              <w:marLeft w:val="0"/>
              <w:marRight w:val="0"/>
              <w:marTop w:val="0"/>
              <w:marBottom w:val="0"/>
              <w:divBdr>
                <w:top w:val="none" w:sz="0" w:space="0" w:color="auto"/>
                <w:left w:val="none" w:sz="0" w:space="0" w:color="auto"/>
                <w:bottom w:val="none" w:sz="0" w:space="0" w:color="auto"/>
                <w:right w:val="none" w:sz="0" w:space="0" w:color="auto"/>
              </w:divBdr>
            </w:div>
            <w:div w:id="855772033">
              <w:marLeft w:val="0"/>
              <w:marRight w:val="0"/>
              <w:marTop w:val="0"/>
              <w:marBottom w:val="0"/>
              <w:divBdr>
                <w:top w:val="none" w:sz="0" w:space="0" w:color="auto"/>
                <w:left w:val="none" w:sz="0" w:space="0" w:color="auto"/>
                <w:bottom w:val="none" w:sz="0" w:space="0" w:color="auto"/>
                <w:right w:val="none" w:sz="0" w:space="0" w:color="auto"/>
              </w:divBdr>
            </w:div>
          </w:divsChild>
        </w:div>
        <w:div w:id="1886722024">
          <w:marLeft w:val="0"/>
          <w:marRight w:val="0"/>
          <w:marTop w:val="0"/>
          <w:marBottom w:val="0"/>
          <w:divBdr>
            <w:top w:val="none" w:sz="0" w:space="0" w:color="auto"/>
            <w:left w:val="none" w:sz="0" w:space="0" w:color="auto"/>
            <w:bottom w:val="none" w:sz="0" w:space="0" w:color="auto"/>
            <w:right w:val="none" w:sz="0" w:space="0" w:color="auto"/>
          </w:divBdr>
          <w:divsChild>
            <w:div w:id="309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4387">
      <w:bodyDiv w:val="1"/>
      <w:marLeft w:val="0"/>
      <w:marRight w:val="0"/>
      <w:marTop w:val="0"/>
      <w:marBottom w:val="0"/>
      <w:divBdr>
        <w:top w:val="none" w:sz="0" w:space="0" w:color="auto"/>
        <w:left w:val="none" w:sz="0" w:space="0" w:color="auto"/>
        <w:bottom w:val="none" w:sz="0" w:space="0" w:color="auto"/>
        <w:right w:val="none" w:sz="0" w:space="0" w:color="auto"/>
      </w:divBdr>
      <w:divsChild>
        <w:div w:id="1398629379">
          <w:marLeft w:val="0"/>
          <w:marRight w:val="0"/>
          <w:marTop w:val="0"/>
          <w:marBottom w:val="0"/>
          <w:divBdr>
            <w:top w:val="none" w:sz="0" w:space="0" w:color="auto"/>
            <w:left w:val="none" w:sz="0" w:space="0" w:color="auto"/>
            <w:bottom w:val="none" w:sz="0" w:space="0" w:color="auto"/>
            <w:right w:val="none" w:sz="0" w:space="0" w:color="auto"/>
          </w:divBdr>
        </w:div>
        <w:div w:id="2092963886">
          <w:marLeft w:val="0"/>
          <w:marRight w:val="0"/>
          <w:marTop w:val="0"/>
          <w:marBottom w:val="0"/>
          <w:divBdr>
            <w:top w:val="none" w:sz="0" w:space="0" w:color="auto"/>
            <w:left w:val="none" w:sz="0" w:space="0" w:color="auto"/>
            <w:bottom w:val="none" w:sz="0" w:space="0" w:color="auto"/>
            <w:right w:val="none" w:sz="0" w:space="0" w:color="auto"/>
          </w:divBdr>
        </w:div>
        <w:div w:id="569458890">
          <w:marLeft w:val="0"/>
          <w:marRight w:val="0"/>
          <w:marTop w:val="0"/>
          <w:marBottom w:val="0"/>
          <w:divBdr>
            <w:top w:val="none" w:sz="0" w:space="0" w:color="auto"/>
            <w:left w:val="none" w:sz="0" w:space="0" w:color="auto"/>
            <w:bottom w:val="none" w:sz="0" w:space="0" w:color="auto"/>
            <w:right w:val="none" w:sz="0" w:space="0" w:color="auto"/>
          </w:divBdr>
        </w:div>
        <w:div w:id="234826245">
          <w:marLeft w:val="0"/>
          <w:marRight w:val="0"/>
          <w:marTop w:val="0"/>
          <w:marBottom w:val="0"/>
          <w:divBdr>
            <w:top w:val="none" w:sz="0" w:space="0" w:color="auto"/>
            <w:left w:val="none" w:sz="0" w:space="0" w:color="auto"/>
            <w:bottom w:val="none" w:sz="0" w:space="0" w:color="auto"/>
            <w:right w:val="none" w:sz="0" w:space="0" w:color="auto"/>
          </w:divBdr>
        </w:div>
        <w:div w:id="259797436">
          <w:marLeft w:val="0"/>
          <w:marRight w:val="0"/>
          <w:marTop w:val="0"/>
          <w:marBottom w:val="0"/>
          <w:divBdr>
            <w:top w:val="none" w:sz="0" w:space="0" w:color="auto"/>
            <w:left w:val="none" w:sz="0" w:space="0" w:color="auto"/>
            <w:bottom w:val="none" w:sz="0" w:space="0" w:color="auto"/>
            <w:right w:val="none" w:sz="0" w:space="0" w:color="auto"/>
          </w:divBdr>
        </w:div>
        <w:div w:id="157505934">
          <w:marLeft w:val="0"/>
          <w:marRight w:val="0"/>
          <w:marTop w:val="0"/>
          <w:marBottom w:val="0"/>
          <w:divBdr>
            <w:top w:val="none" w:sz="0" w:space="0" w:color="auto"/>
            <w:left w:val="none" w:sz="0" w:space="0" w:color="auto"/>
            <w:bottom w:val="none" w:sz="0" w:space="0" w:color="auto"/>
            <w:right w:val="none" w:sz="0" w:space="0" w:color="auto"/>
          </w:divBdr>
        </w:div>
        <w:div w:id="1195189329">
          <w:marLeft w:val="0"/>
          <w:marRight w:val="0"/>
          <w:marTop w:val="0"/>
          <w:marBottom w:val="0"/>
          <w:divBdr>
            <w:top w:val="none" w:sz="0" w:space="0" w:color="auto"/>
            <w:left w:val="none" w:sz="0" w:space="0" w:color="auto"/>
            <w:bottom w:val="none" w:sz="0" w:space="0" w:color="auto"/>
            <w:right w:val="none" w:sz="0" w:space="0" w:color="auto"/>
          </w:divBdr>
        </w:div>
        <w:div w:id="1263412873">
          <w:marLeft w:val="0"/>
          <w:marRight w:val="0"/>
          <w:marTop w:val="0"/>
          <w:marBottom w:val="0"/>
          <w:divBdr>
            <w:top w:val="none" w:sz="0" w:space="0" w:color="auto"/>
            <w:left w:val="none" w:sz="0" w:space="0" w:color="auto"/>
            <w:bottom w:val="none" w:sz="0" w:space="0" w:color="auto"/>
            <w:right w:val="none" w:sz="0" w:space="0" w:color="auto"/>
          </w:divBdr>
        </w:div>
        <w:div w:id="1908106401">
          <w:marLeft w:val="0"/>
          <w:marRight w:val="0"/>
          <w:marTop w:val="0"/>
          <w:marBottom w:val="0"/>
          <w:divBdr>
            <w:top w:val="none" w:sz="0" w:space="0" w:color="auto"/>
            <w:left w:val="none" w:sz="0" w:space="0" w:color="auto"/>
            <w:bottom w:val="none" w:sz="0" w:space="0" w:color="auto"/>
            <w:right w:val="none" w:sz="0" w:space="0" w:color="auto"/>
          </w:divBdr>
        </w:div>
        <w:div w:id="580797999">
          <w:marLeft w:val="0"/>
          <w:marRight w:val="0"/>
          <w:marTop w:val="0"/>
          <w:marBottom w:val="0"/>
          <w:divBdr>
            <w:top w:val="none" w:sz="0" w:space="0" w:color="auto"/>
            <w:left w:val="none" w:sz="0" w:space="0" w:color="auto"/>
            <w:bottom w:val="none" w:sz="0" w:space="0" w:color="auto"/>
            <w:right w:val="none" w:sz="0" w:space="0" w:color="auto"/>
          </w:divBdr>
        </w:div>
      </w:divsChild>
    </w:div>
    <w:div w:id="587663810">
      <w:bodyDiv w:val="1"/>
      <w:marLeft w:val="0"/>
      <w:marRight w:val="0"/>
      <w:marTop w:val="0"/>
      <w:marBottom w:val="0"/>
      <w:divBdr>
        <w:top w:val="none" w:sz="0" w:space="0" w:color="auto"/>
        <w:left w:val="none" w:sz="0" w:space="0" w:color="auto"/>
        <w:bottom w:val="none" w:sz="0" w:space="0" w:color="auto"/>
        <w:right w:val="none" w:sz="0" w:space="0" w:color="auto"/>
      </w:divBdr>
    </w:div>
    <w:div w:id="603417620">
      <w:bodyDiv w:val="1"/>
      <w:marLeft w:val="0"/>
      <w:marRight w:val="0"/>
      <w:marTop w:val="0"/>
      <w:marBottom w:val="0"/>
      <w:divBdr>
        <w:top w:val="none" w:sz="0" w:space="0" w:color="auto"/>
        <w:left w:val="none" w:sz="0" w:space="0" w:color="auto"/>
        <w:bottom w:val="none" w:sz="0" w:space="0" w:color="auto"/>
        <w:right w:val="none" w:sz="0" w:space="0" w:color="auto"/>
      </w:divBdr>
    </w:div>
    <w:div w:id="637608898">
      <w:bodyDiv w:val="1"/>
      <w:marLeft w:val="0"/>
      <w:marRight w:val="0"/>
      <w:marTop w:val="0"/>
      <w:marBottom w:val="0"/>
      <w:divBdr>
        <w:top w:val="none" w:sz="0" w:space="0" w:color="auto"/>
        <w:left w:val="none" w:sz="0" w:space="0" w:color="auto"/>
        <w:bottom w:val="none" w:sz="0" w:space="0" w:color="auto"/>
        <w:right w:val="none" w:sz="0" w:space="0" w:color="auto"/>
      </w:divBdr>
    </w:div>
    <w:div w:id="654534022">
      <w:bodyDiv w:val="1"/>
      <w:marLeft w:val="0"/>
      <w:marRight w:val="0"/>
      <w:marTop w:val="0"/>
      <w:marBottom w:val="0"/>
      <w:divBdr>
        <w:top w:val="none" w:sz="0" w:space="0" w:color="auto"/>
        <w:left w:val="none" w:sz="0" w:space="0" w:color="auto"/>
        <w:bottom w:val="none" w:sz="0" w:space="0" w:color="auto"/>
        <w:right w:val="none" w:sz="0" w:space="0" w:color="auto"/>
      </w:divBdr>
    </w:div>
    <w:div w:id="656613694">
      <w:bodyDiv w:val="1"/>
      <w:marLeft w:val="0"/>
      <w:marRight w:val="0"/>
      <w:marTop w:val="0"/>
      <w:marBottom w:val="0"/>
      <w:divBdr>
        <w:top w:val="none" w:sz="0" w:space="0" w:color="auto"/>
        <w:left w:val="none" w:sz="0" w:space="0" w:color="auto"/>
        <w:bottom w:val="none" w:sz="0" w:space="0" w:color="auto"/>
        <w:right w:val="none" w:sz="0" w:space="0" w:color="auto"/>
      </w:divBdr>
    </w:div>
    <w:div w:id="685248134">
      <w:bodyDiv w:val="1"/>
      <w:marLeft w:val="0"/>
      <w:marRight w:val="0"/>
      <w:marTop w:val="0"/>
      <w:marBottom w:val="0"/>
      <w:divBdr>
        <w:top w:val="none" w:sz="0" w:space="0" w:color="auto"/>
        <w:left w:val="none" w:sz="0" w:space="0" w:color="auto"/>
        <w:bottom w:val="none" w:sz="0" w:space="0" w:color="auto"/>
        <w:right w:val="none" w:sz="0" w:space="0" w:color="auto"/>
      </w:divBdr>
    </w:div>
    <w:div w:id="718479189">
      <w:bodyDiv w:val="1"/>
      <w:marLeft w:val="0"/>
      <w:marRight w:val="0"/>
      <w:marTop w:val="0"/>
      <w:marBottom w:val="0"/>
      <w:divBdr>
        <w:top w:val="none" w:sz="0" w:space="0" w:color="auto"/>
        <w:left w:val="none" w:sz="0" w:space="0" w:color="auto"/>
        <w:bottom w:val="none" w:sz="0" w:space="0" w:color="auto"/>
        <w:right w:val="none" w:sz="0" w:space="0" w:color="auto"/>
      </w:divBdr>
    </w:div>
    <w:div w:id="728528790">
      <w:bodyDiv w:val="1"/>
      <w:marLeft w:val="0"/>
      <w:marRight w:val="0"/>
      <w:marTop w:val="0"/>
      <w:marBottom w:val="0"/>
      <w:divBdr>
        <w:top w:val="none" w:sz="0" w:space="0" w:color="auto"/>
        <w:left w:val="none" w:sz="0" w:space="0" w:color="auto"/>
        <w:bottom w:val="none" w:sz="0" w:space="0" w:color="auto"/>
        <w:right w:val="none" w:sz="0" w:space="0" w:color="auto"/>
      </w:divBdr>
    </w:div>
    <w:div w:id="787971680">
      <w:bodyDiv w:val="1"/>
      <w:marLeft w:val="0"/>
      <w:marRight w:val="0"/>
      <w:marTop w:val="0"/>
      <w:marBottom w:val="0"/>
      <w:divBdr>
        <w:top w:val="none" w:sz="0" w:space="0" w:color="auto"/>
        <w:left w:val="none" w:sz="0" w:space="0" w:color="auto"/>
        <w:bottom w:val="none" w:sz="0" w:space="0" w:color="auto"/>
        <w:right w:val="none" w:sz="0" w:space="0" w:color="auto"/>
      </w:divBdr>
      <w:divsChild>
        <w:div w:id="1514345310">
          <w:marLeft w:val="0"/>
          <w:marRight w:val="0"/>
          <w:marTop w:val="0"/>
          <w:marBottom w:val="0"/>
          <w:divBdr>
            <w:top w:val="none" w:sz="0" w:space="0" w:color="auto"/>
            <w:left w:val="none" w:sz="0" w:space="0" w:color="auto"/>
            <w:bottom w:val="none" w:sz="0" w:space="0" w:color="auto"/>
            <w:right w:val="none" w:sz="0" w:space="0" w:color="auto"/>
          </w:divBdr>
        </w:div>
        <w:div w:id="382825548">
          <w:marLeft w:val="0"/>
          <w:marRight w:val="0"/>
          <w:marTop w:val="0"/>
          <w:marBottom w:val="0"/>
          <w:divBdr>
            <w:top w:val="none" w:sz="0" w:space="0" w:color="auto"/>
            <w:left w:val="none" w:sz="0" w:space="0" w:color="auto"/>
            <w:bottom w:val="none" w:sz="0" w:space="0" w:color="auto"/>
            <w:right w:val="none" w:sz="0" w:space="0" w:color="auto"/>
          </w:divBdr>
        </w:div>
      </w:divsChild>
    </w:div>
    <w:div w:id="876820471">
      <w:bodyDiv w:val="1"/>
      <w:marLeft w:val="0"/>
      <w:marRight w:val="0"/>
      <w:marTop w:val="0"/>
      <w:marBottom w:val="0"/>
      <w:divBdr>
        <w:top w:val="none" w:sz="0" w:space="0" w:color="auto"/>
        <w:left w:val="none" w:sz="0" w:space="0" w:color="auto"/>
        <w:bottom w:val="none" w:sz="0" w:space="0" w:color="auto"/>
        <w:right w:val="none" w:sz="0" w:space="0" w:color="auto"/>
      </w:divBdr>
    </w:div>
    <w:div w:id="912666964">
      <w:bodyDiv w:val="1"/>
      <w:marLeft w:val="0"/>
      <w:marRight w:val="0"/>
      <w:marTop w:val="0"/>
      <w:marBottom w:val="0"/>
      <w:divBdr>
        <w:top w:val="none" w:sz="0" w:space="0" w:color="auto"/>
        <w:left w:val="none" w:sz="0" w:space="0" w:color="auto"/>
        <w:bottom w:val="none" w:sz="0" w:space="0" w:color="auto"/>
        <w:right w:val="none" w:sz="0" w:space="0" w:color="auto"/>
      </w:divBdr>
    </w:div>
    <w:div w:id="944265798">
      <w:bodyDiv w:val="1"/>
      <w:marLeft w:val="0"/>
      <w:marRight w:val="0"/>
      <w:marTop w:val="0"/>
      <w:marBottom w:val="0"/>
      <w:divBdr>
        <w:top w:val="none" w:sz="0" w:space="0" w:color="auto"/>
        <w:left w:val="none" w:sz="0" w:space="0" w:color="auto"/>
        <w:bottom w:val="none" w:sz="0" w:space="0" w:color="auto"/>
        <w:right w:val="none" w:sz="0" w:space="0" w:color="auto"/>
      </w:divBdr>
    </w:div>
    <w:div w:id="954629804">
      <w:bodyDiv w:val="1"/>
      <w:marLeft w:val="0"/>
      <w:marRight w:val="0"/>
      <w:marTop w:val="0"/>
      <w:marBottom w:val="0"/>
      <w:divBdr>
        <w:top w:val="none" w:sz="0" w:space="0" w:color="auto"/>
        <w:left w:val="none" w:sz="0" w:space="0" w:color="auto"/>
        <w:bottom w:val="none" w:sz="0" w:space="0" w:color="auto"/>
        <w:right w:val="none" w:sz="0" w:space="0" w:color="auto"/>
      </w:divBdr>
    </w:div>
    <w:div w:id="962812937">
      <w:bodyDiv w:val="1"/>
      <w:marLeft w:val="0"/>
      <w:marRight w:val="0"/>
      <w:marTop w:val="0"/>
      <w:marBottom w:val="0"/>
      <w:divBdr>
        <w:top w:val="none" w:sz="0" w:space="0" w:color="auto"/>
        <w:left w:val="none" w:sz="0" w:space="0" w:color="auto"/>
        <w:bottom w:val="none" w:sz="0" w:space="0" w:color="auto"/>
        <w:right w:val="none" w:sz="0" w:space="0" w:color="auto"/>
      </w:divBdr>
    </w:div>
    <w:div w:id="967781149">
      <w:bodyDiv w:val="1"/>
      <w:marLeft w:val="0"/>
      <w:marRight w:val="0"/>
      <w:marTop w:val="0"/>
      <w:marBottom w:val="0"/>
      <w:divBdr>
        <w:top w:val="none" w:sz="0" w:space="0" w:color="auto"/>
        <w:left w:val="none" w:sz="0" w:space="0" w:color="auto"/>
        <w:bottom w:val="none" w:sz="0" w:space="0" w:color="auto"/>
        <w:right w:val="none" w:sz="0" w:space="0" w:color="auto"/>
      </w:divBdr>
    </w:div>
    <w:div w:id="1036464397">
      <w:bodyDiv w:val="1"/>
      <w:marLeft w:val="0"/>
      <w:marRight w:val="0"/>
      <w:marTop w:val="0"/>
      <w:marBottom w:val="0"/>
      <w:divBdr>
        <w:top w:val="none" w:sz="0" w:space="0" w:color="auto"/>
        <w:left w:val="none" w:sz="0" w:space="0" w:color="auto"/>
        <w:bottom w:val="none" w:sz="0" w:space="0" w:color="auto"/>
        <w:right w:val="none" w:sz="0" w:space="0" w:color="auto"/>
      </w:divBdr>
      <w:divsChild>
        <w:div w:id="1308893937">
          <w:marLeft w:val="0"/>
          <w:marRight w:val="0"/>
          <w:marTop w:val="0"/>
          <w:marBottom w:val="0"/>
          <w:divBdr>
            <w:top w:val="none" w:sz="0" w:space="0" w:color="auto"/>
            <w:left w:val="none" w:sz="0" w:space="0" w:color="auto"/>
            <w:bottom w:val="none" w:sz="0" w:space="0" w:color="auto"/>
            <w:right w:val="none" w:sz="0" w:space="0" w:color="auto"/>
          </w:divBdr>
        </w:div>
        <w:div w:id="48498996">
          <w:marLeft w:val="0"/>
          <w:marRight w:val="0"/>
          <w:marTop w:val="0"/>
          <w:marBottom w:val="0"/>
          <w:divBdr>
            <w:top w:val="none" w:sz="0" w:space="0" w:color="auto"/>
            <w:left w:val="none" w:sz="0" w:space="0" w:color="auto"/>
            <w:bottom w:val="none" w:sz="0" w:space="0" w:color="auto"/>
            <w:right w:val="none" w:sz="0" w:space="0" w:color="auto"/>
          </w:divBdr>
        </w:div>
        <w:div w:id="412513135">
          <w:marLeft w:val="0"/>
          <w:marRight w:val="0"/>
          <w:marTop w:val="0"/>
          <w:marBottom w:val="0"/>
          <w:divBdr>
            <w:top w:val="none" w:sz="0" w:space="0" w:color="auto"/>
            <w:left w:val="none" w:sz="0" w:space="0" w:color="auto"/>
            <w:bottom w:val="none" w:sz="0" w:space="0" w:color="auto"/>
            <w:right w:val="none" w:sz="0" w:space="0" w:color="auto"/>
          </w:divBdr>
        </w:div>
        <w:div w:id="443353168">
          <w:marLeft w:val="0"/>
          <w:marRight w:val="0"/>
          <w:marTop w:val="0"/>
          <w:marBottom w:val="0"/>
          <w:divBdr>
            <w:top w:val="none" w:sz="0" w:space="0" w:color="auto"/>
            <w:left w:val="none" w:sz="0" w:space="0" w:color="auto"/>
            <w:bottom w:val="none" w:sz="0" w:space="0" w:color="auto"/>
            <w:right w:val="none" w:sz="0" w:space="0" w:color="auto"/>
          </w:divBdr>
        </w:div>
        <w:div w:id="1899899786">
          <w:marLeft w:val="0"/>
          <w:marRight w:val="0"/>
          <w:marTop w:val="0"/>
          <w:marBottom w:val="0"/>
          <w:divBdr>
            <w:top w:val="none" w:sz="0" w:space="0" w:color="auto"/>
            <w:left w:val="none" w:sz="0" w:space="0" w:color="auto"/>
            <w:bottom w:val="none" w:sz="0" w:space="0" w:color="auto"/>
            <w:right w:val="none" w:sz="0" w:space="0" w:color="auto"/>
          </w:divBdr>
        </w:div>
        <w:div w:id="1612198393">
          <w:marLeft w:val="0"/>
          <w:marRight w:val="0"/>
          <w:marTop w:val="0"/>
          <w:marBottom w:val="0"/>
          <w:divBdr>
            <w:top w:val="none" w:sz="0" w:space="0" w:color="auto"/>
            <w:left w:val="none" w:sz="0" w:space="0" w:color="auto"/>
            <w:bottom w:val="none" w:sz="0" w:space="0" w:color="auto"/>
            <w:right w:val="none" w:sz="0" w:space="0" w:color="auto"/>
          </w:divBdr>
        </w:div>
        <w:div w:id="1134831078">
          <w:marLeft w:val="0"/>
          <w:marRight w:val="0"/>
          <w:marTop w:val="0"/>
          <w:marBottom w:val="0"/>
          <w:divBdr>
            <w:top w:val="none" w:sz="0" w:space="0" w:color="auto"/>
            <w:left w:val="none" w:sz="0" w:space="0" w:color="auto"/>
            <w:bottom w:val="none" w:sz="0" w:space="0" w:color="auto"/>
            <w:right w:val="none" w:sz="0" w:space="0" w:color="auto"/>
          </w:divBdr>
        </w:div>
        <w:div w:id="1773162053">
          <w:marLeft w:val="0"/>
          <w:marRight w:val="0"/>
          <w:marTop w:val="0"/>
          <w:marBottom w:val="0"/>
          <w:divBdr>
            <w:top w:val="none" w:sz="0" w:space="0" w:color="auto"/>
            <w:left w:val="none" w:sz="0" w:space="0" w:color="auto"/>
            <w:bottom w:val="none" w:sz="0" w:space="0" w:color="auto"/>
            <w:right w:val="none" w:sz="0" w:space="0" w:color="auto"/>
          </w:divBdr>
        </w:div>
        <w:div w:id="1537809109">
          <w:marLeft w:val="0"/>
          <w:marRight w:val="0"/>
          <w:marTop w:val="0"/>
          <w:marBottom w:val="0"/>
          <w:divBdr>
            <w:top w:val="none" w:sz="0" w:space="0" w:color="auto"/>
            <w:left w:val="none" w:sz="0" w:space="0" w:color="auto"/>
            <w:bottom w:val="none" w:sz="0" w:space="0" w:color="auto"/>
            <w:right w:val="none" w:sz="0" w:space="0" w:color="auto"/>
          </w:divBdr>
        </w:div>
        <w:div w:id="1947154655">
          <w:marLeft w:val="0"/>
          <w:marRight w:val="0"/>
          <w:marTop w:val="0"/>
          <w:marBottom w:val="0"/>
          <w:divBdr>
            <w:top w:val="none" w:sz="0" w:space="0" w:color="auto"/>
            <w:left w:val="none" w:sz="0" w:space="0" w:color="auto"/>
            <w:bottom w:val="none" w:sz="0" w:space="0" w:color="auto"/>
            <w:right w:val="none" w:sz="0" w:space="0" w:color="auto"/>
          </w:divBdr>
        </w:div>
        <w:div w:id="1497919518">
          <w:marLeft w:val="0"/>
          <w:marRight w:val="0"/>
          <w:marTop w:val="0"/>
          <w:marBottom w:val="0"/>
          <w:divBdr>
            <w:top w:val="none" w:sz="0" w:space="0" w:color="auto"/>
            <w:left w:val="none" w:sz="0" w:space="0" w:color="auto"/>
            <w:bottom w:val="none" w:sz="0" w:space="0" w:color="auto"/>
            <w:right w:val="none" w:sz="0" w:space="0" w:color="auto"/>
          </w:divBdr>
        </w:div>
        <w:div w:id="1759059216">
          <w:marLeft w:val="0"/>
          <w:marRight w:val="0"/>
          <w:marTop w:val="0"/>
          <w:marBottom w:val="0"/>
          <w:divBdr>
            <w:top w:val="none" w:sz="0" w:space="0" w:color="auto"/>
            <w:left w:val="none" w:sz="0" w:space="0" w:color="auto"/>
            <w:bottom w:val="none" w:sz="0" w:space="0" w:color="auto"/>
            <w:right w:val="none" w:sz="0" w:space="0" w:color="auto"/>
          </w:divBdr>
        </w:div>
        <w:div w:id="1893076537">
          <w:marLeft w:val="0"/>
          <w:marRight w:val="0"/>
          <w:marTop w:val="0"/>
          <w:marBottom w:val="0"/>
          <w:divBdr>
            <w:top w:val="none" w:sz="0" w:space="0" w:color="auto"/>
            <w:left w:val="none" w:sz="0" w:space="0" w:color="auto"/>
            <w:bottom w:val="none" w:sz="0" w:space="0" w:color="auto"/>
            <w:right w:val="none" w:sz="0" w:space="0" w:color="auto"/>
          </w:divBdr>
        </w:div>
        <w:div w:id="819738391">
          <w:marLeft w:val="0"/>
          <w:marRight w:val="0"/>
          <w:marTop w:val="0"/>
          <w:marBottom w:val="0"/>
          <w:divBdr>
            <w:top w:val="none" w:sz="0" w:space="0" w:color="auto"/>
            <w:left w:val="none" w:sz="0" w:space="0" w:color="auto"/>
            <w:bottom w:val="none" w:sz="0" w:space="0" w:color="auto"/>
            <w:right w:val="none" w:sz="0" w:space="0" w:color="auto"/>
          </w:divBdr>
        </w:div>
        <w:div w:id="330840891">
          <w:marLeft w:val="0"/>
          <w:marRight w:val="0"/>
          <w:marTop w:val="0"/>
          <w:marBottom w:val="0"/>
          <w:divBdr>
            <w:top w:val="none" w:sz="0" w:space="0" w:color="auto"/>
            <w:left w:val="none" w:sz="0" w:space="0" w:color="auto"/>
            <w:bottom w:val="none" w:sz="0" w:space="0" w:color="auto"/>
            <w:right w:val="none" w:sz="0" w:space="0" w:color="auto"/>
          </w:divBdr>
        </w:div>
        <w:div w:id="1413892387">
          <w:marLeft w:val="0"/>
          <w:marRight w:val="0"/>
          <w:marTop w:val="0"/>
          <w:marBottom w:val="0"/>
          <w:divBdr>
            <w:top w:val="none" w:sz="0" w:space="0" w:color="auto"/>
            <w:left w:val="none" w:sz="0" w:space="0" w:color="auto"/>
            <w:bottom w:val="none" w:sz="0" w:space="0" w:color="auto"/>
            <w:right w:val="none" w:sz="0" w:space="0" w:color="auto"/>
          </w:divBdr>
        </w:div>
        <w:div w:id="1538346739">
          <w:marLeft w:val="0"/>
          <w:marRight w:val="0"/>
          <w:marTop w:val="0"/>
          <w:marBottom w:val="0"/>
          <w:divBdr>
            <w:top w:val="none" w:sz="0" w:space="0" w:color="auto"/>
            <w:left w:val="none" w:sz="0" w:space="0" w:color="auto"/>
            <w:bottom w:val="none" w:sz="0" w:space="0" w:color="auto"/>
            <w:right w:val="none" w:sz="0" w:space="0" w:color="auto"/>
          </w:divBdr>
        </w:div>
        <w:div w:id="1753895251">
          <w:marLeft w:val="0"/>
          <w:marRight w:val="0"/>
          <w:marTop w:val="0"/>
          <w:marBottom w:val="0"/>
          <w:divBdr>
            <w:top w:val="none" w:sz="0" w:space="0" w:color="auto"/>
            <w:left w:val="none" w:sz="0" w:space="0" w:color="auto"/>
            <w:bottom w:val="none" w:sz="0" w:space="0" w:color="auto"/>
            <w:right w:val="none" w:sz="0" w:space="0" w:color="auto"/>
          </w:divBdr>
        </w:div>
        <w:div w:id="1959331403">
          <w:marLeft w:val="0"/>
          <w:marRight w:val="0"/>
          <w:marTop w:val="0"/>
          <w:marBottom w:val="0"/>
          <w:divBdr>
            <w:top w:val="none" w:sz="0" w:space="0" w:color="auto"/>
            <w:left w:val="none" w:sz="0" w:space="0" w:color="auto"/>
            <w:bottom w:val="none" w:sz="0" w:space="0" w:color="auto"/>
            <w:right w:val="none" w:sz="0" w:space="0" w:color="auto"/>
          </w:divBdr>
        </w:div>
        <w:div w:id="1802068300">
          <w:marLeft w:val="0"/>
          <w:marRight w:val="0"/>
          <w:marTop w:val="0"/>
          <w:marBottom w:val="0"/>
          <w:divBdr>
            <w:top w:val="none" w:sz="0" w:space="0" w:color="auto"/>
            <w:left w:val="none" w:sz="0" w:space="0" w:color="auto"/>
            <w:bottom w:val="none" w:sz="0" w:space="0" w:color="auto"/>
            <w:right w:val="none" w:sz="0" w:space="0" w:color="auto"/>
          </w:divBdr>
        </w:div>
        <w:div w:id="1450976198">
          <w:marLeft w:val="0"/>
          <w:marRight w:val="0"/>
          <w:marTop w:val="0"/>
          <w:marBottom w:val="0"/>
          <w:divBdr>
            <w:top w:val="none" w:sz="0" w:space="0" w:color="auto"/>
            <w:left w:val="none" w:sz="0" w:space="0" w:color="auto"/>
            <w:bottom w:val="none" w:sz="0" w:space="0" w:color="auto"/>
            <w:right w:val="none" w:sz="0" w:space="0" w:color="auto"/>
          </w:divBdr>
        </w:div>
        <w:div w:id="1655448674">
          <w:marLeft w:val="0"/>
          <w:marRight w:val="0"/>
          <w:marTop w:val="0"/>
          <w:marBottom w:val="0"/>
          <w:divBdr>
            <w:top w:val="none" w:sz="0" w:space="0" w:color="auto"/>
            <w:left w:val="none" w:sz="0" w:space="0" w:color="auto"/>
            <w:bottom w:val="none" w:sz="0" w:space="0" w:color="auto"/>
            <w:right w:val="none" w:sz="0" w:space="0" w:color="auto"/>
          </w:divBdr>
        </w:div>
        <w:div w:id="1239436257">
          <w:marLeft w:val="0"/>
          <w:marRight w:val="0"/>
          <w:marTop w:val="0"/>
          <w:marBottom w:val="0"/>
          <w:divBdr>
            <w:top w:val="none" w:sz="0" w:space="0" w:color="auto"/>
            <w:left w:val="none" w:sz="0" w:space="0" w:color="auto"/>
            <w:bottom w:val="none" w:sz="0" w:space="0" w:color="auto"/>
            <w:right w:val="none" w:sz="0" w:space="0" w:color="auto"/>
          </w:divBdr>
        </w:div>
        <w:div w:id="293144870">
          <w:marLeft w:val="0"/>
          <w:marRight w:val="0"/>
          <w:marTop w:val="0"/>
          <w:marBottom w:val="0"/>
          <w:divBdr>
            <w:top w:val="none" w:sz="0" w:space="0" w:color="auto"/>
            <w:left w:val="none" w:sz="0" w:space="0" w:color="auto"/>
            <w:bottom w:val="none" w:sz="0" w:space="0" w:color="auto"/>
            <w:right w:val="none" w:sz="0" w:space="0" w:color="auto"/>
          </w:divBdr>
        </w:div>
        <w:div w:id="149909714">
          <w:marLeft w:val="0"/>
          <w:marRight w:val="0"/>
          <w:marTop w:val="0"/>
          <w:marBottom w:val="0"/>
          <w:divBdr>
            <w:top w:val="none" w:sz="0" w:space="0" w:color="auto"/>
            <w:left w:val="none" w:sz="0" w:space="0" w:color="auto"/>
            <w:bottom w:val="none" w:sz="0" w:space="0" w:color="auto"/>
            <w:right w:val="none" w:sz="0" w:space="0" w:color="auto"/>
          </w:divBdr>
        </w:div>
        <w:div w:id="1119376292">
          <w:marLeft w:val="0"/>
          <w:marRight w:val="0"/>
          <w:marTop w:val="0"/>
          <w:marBottom w:val="0"/>
          <w:divBdr>
            <w:top w:val="none" w:sz="0" w:space="0" w:color="auto"/>
            <w:left w:val="none" w:sz="0" w:space="0" w:color="auto"/>
            <w:bottom w:val="none" w:sz="0" w:space="0" w:color="auto"/>
            <w:right w:val="none" w:sz="0" w:space="0" w:color="auto"/>
          </w:divBdr>
        </w:div>
        <w:div w:id="1647781831">
          <w:marLeft w:val="0"/>
          <w:marRight w:val="0"/>
          <w:marTop w:val="0"/>
          <w:marBottom w:val="0"/>
          <w:divBdr>
            <w:top w:val="none" w:sz="0" w:space="0" w:color="auto"/>
            <w:left w:val="none" w:sz="0" w:space="0" w:color="auto"/>
            <w:bottom w:val="none" w:sz="0" w:space="0" w:color="auto"/>
            <w:right w:val="none" w:sz="0" w:space="0" w:color="auto"/>
          </w:divBdr>
        </w:div>
        <w:div w:id="59527354">
          <w:marLeft w:val="0"/>
          <w:marRight w:val="0"/>
          <w:marTop w:val="0"/>
          <w:marBottom w:val="0"/>
          <w:divBdr>
            <w:top w:val="none" w:sz="0" w:space="0" w:color="auto"/>
            <w:left w:val="none" w:sz="0" w:space="0" w:color="auto"/>
            <w:bottom w:val="none" w:sz="0" w:space="0" w:color="auto"/>
            <w:right w:val="none" w:sz="0" w:space="0" w:color="auto"/>
          </w:divBdr>
        </w:div>
        <w:div w:id="387652300">
          <w:marLeft w:val="0"/>
          <w:marRight w:val="0"/>
          <w:marTop w:val="0"/>
          <w:marBottom w:val="0"/>
          <w:divBdr>
            <w:top w:val="none" w:sz="0" w:space="0" w:color="auto"/>
            <w:left w:val="none" w:sz="0" w:space="0" w:color="auto"/>
            <w:bottom w:val="none" w:sz="0" w:space="0" w:color="auto"/>
            <w:right w:val="none" w:sz="0" w:space="0" w:color="auto"/>
          </w:divBdr>
        </w:div>
        <w:div w:id="577401570">
          <w:marLeft w:val="0"/>
          <w:marRight w:val="0"/>
          <w:marTop w:val="0"/>
          <w:marBottom w:val="0"/>
          <w:divBdr>
            <w:top w:val="none" w:sz="0" w:space="0" w:color="auto"/>
            <w:left w:val="none" w:sz="0" w:space="0" w:color="auto"/>
            <w:bottom w:val="none" w:sz="0" w:space="0" w:color="auto"/>
            <w:right w:val="none" w:sz="0" w:space="0" w:color="auto"/>
          </w:divBdr>
        </w:div>
        <w:div w:id="1827166258">
          <w:marLeft w:val="0"/>
          <w:marRight w:val="0"/>
          <w:marTop w:val="0"/>
          <w:marBottom w:val="0"/>
          <w:divBdr>
            <w:top w:val="none" w:sz="0" w:space="0" w:color="auto"/>
            <w:left w:val="none" w:sz="0" w:space="0" w:color="auto"/>
            <w:bottom w:val="none" w:sz="0" w:space="0" w:color="auto"/>
            <w:right w:val="none" w:sz="0" w:space="0" w:color="auto"/>
          </w:divBdr>
        </w:div>
        <w:div w:id="571503290">
          <w:marLeft w:val="0"/>
          <w:marRight w:val="0"/>
          <w:marTop w:val="0"/>
          <w:marBottom w:val="0"/>
          <w:divBdr>
            <w:top w:val="none" w:sz="0" w:space="0" w:color="auto"/>
            <w:left w:val="none" w:sz="0" w:space="0" w:color="auto"/>
            <w:bottom w:val="none" w:sz="0" w:space="0" w:color="auto"/>
            <w:right w:val="none" w:sz="0" w:space="0" w:color="auto"/>
          </w:divBdr>
        </w:div>
        <w:div w:id="1894927230">
          <w:marLeft w:val="0"/>
          <w:marRight w:val="0"/>
          <w:marTop w:val="0"/>
          <w:marBottom w:val="0"/>
          <w:divBdr>
            <w:top w:val="none" w:sz="0" w:space="0" w:color="auto"/>
            <w:left w:val="none" w:sz="0" w:space="0" w:color="auto"/>
            <w:bottom w:val="none" w:sz="0" w:space="0" w:color="auto"/>
            <w:right w:val="none" w:sz="0" w:space="0" w:color="auto"/>
          </w:divBdr>
        </w:div>
        <w:div w:id="1083918634">
          <w:marLeft w:val="0"/>
          <w:marRight w:val="0"/>
          <w:marTop w:val="0"/>
          <w:marBottom w:val="0"/>
          <w:divBdr>
            <w:top w:val="none" w:sz="0" w:space="0" w:color="auto"/>
            <w:left w:val="none" w:sz="0" w:space="0" w:color="auto"/>
            <w:bottom w:val="none" w:sz="0" w:space="0" w:color="auto"/>
            <w:right w:val="none" w:sz="0" w:space="0" w:color="auto"/>
          </w:divBdr>
        </w:div>
        <w:div w:id="2066635231">
          <w:marLeft w:val="0"/>
          <w:marRight w:val="0"/>
          <w:marTop w:val="0"/>
          <w:marBottom w:val="0"/>
          <w:divBdr>
            <w:top w:val="none" w:sz="0" w:space="0" w:color="auto"/>
            <w:left w:val="none" w:sz="0" w:space="0" w:color="auto"/>
            <w:bottom w:val="none" w:sz="0" w:space="0" w:color="auto"/>
            <w:right w:val="none" w:sz="0" w:space="0" w:color="auto"/>
          </w:divBdr>
        </w:div>
        <w:div w:id="1820144599">
          <w:marLeft w:val="0"/>
          <w:marRight w:val="0"/>
          <w:marTop w:val="0"/>
          <w:marBottom w:val="0"/>
          <w:divBdr>
            <w:top w:val="none" w:sz="0" w:space="0" w:color="auto"/>
            <w:left w:val="none" w:sz="0" w:space="0" w:color="auto"/>
            <w:bottom w:val="none" w:sz="0" w:space="0" w:color="auto"/>
            <w:right w:val="none" w:sz="0" w:space="0" w:color="auto"/>
          </w:divBdr>
        </w:div>
        <w:div w:id="1156065533">
          <w:marLeft w:val="0"/>
          <w:marRight w:val="0"/>
          <w:marTop w:val="0"/>
          <w:marBottom w:val="0"/>
          <w:divBdr>
            <w:top w:val="none" w:sz="0" w:space="0" w:color="auto"/>
            <w:left w:val="none" w:sz="0" w:space="0" w:color="auto"/>
            <w:bottom w:val="none" w:sz="0" w:space="0" w:color="auto"/>
            <w:right w:val="none" w:sz="0" w:space="0" w:color="auto"/>
          </w:divBdr>
        </w:div>
        <w:div w:id="2077242023">
          <w:marLeft w:val="0"/>
          <w:marRight w:val="0"/>
          <w:marTop w:val="0"/>
          <w:marBottom w:val="0"/>
          <w:divBdr>
            <w:top w:val="none" w:sz="0" w:space="0" w:color="auto"/>
            <w:left w:val="none" w:sz="0" w:space="0" w:color="auto"/>
            <w:bottom w:val="none" w:sz="0" w:space="0" w:color="auto"/>
            <w:right w:val="none" w:sz="0" w:space="0" w:color="auto"/>
          </w:divBdr>
        </w:div>
        <w:div w:id="1422288121">
          <w:marLeft w:val="0"/>
          <w:marRight w:val="0"/>
          <w:marTop w:val="0"/>
          <w:marBottom w:val="0"/>
          <w:divBdr>
            <w:top w:val="none" w:sz="0" w:space="0" w:color="auto"/>
            <w:left w:val="none" w:sz="0" w:space="0" w:color="auto"/>
            <w:bottom w:val="none" w:sz="0" w:space="0" w:color="auto"/>
            <w:right w:val="none" w:sz="0" w:space="0" w:color="auto"/>
          </w:divBdr>
        </w:div>
        <w:div w:id="1442726931">
          <w:marLeft w:val="0"/>
          <w:marRight w:val="0"/>
          <w:marTop w:val="0"/>
          <w:marBottom w:val="0"/>
          <w:divBdr>
            <w:top w:val="none" w:sz="0" w:space="0" w:color="auto"/>
            <w:left w:val="none" w:sz="0" w:space="0" w:color="auto"/>
            <w:bottom w:val="none" w:sz="0" w:space="0" w:color="auto"/>
            <w:right w:val="none" w:sz="0" w:space="0" w:color="auto"/>
          </w:divBdr>
        </w:div>
        <w:div w:id="686753929">
          <w:marLeft w:val="0"/>
          <w:marRight w:val="0"/>
          <w:marTop w:val="0"/>
          <w:marBottom w:val="0"/>
          <w:divBdr>
            <w:top w:val="none" w:sz="0" w:space="0" w:color="auto"/>
            <w:left w:val="none" w:sz="0" w:space="0" w:color="auto"/>
            <w:bottom w:val="none" w:sz="0" w:space="0" w:color="auto"/>
            <w:right w:val="none" w:sz="0" w:space="0" w:color="auto"/>
          </w:divBdr>
        </w:div>
        <w:div w:id="154810434">
          <w:marLeft w:val="0"/>
          <w:marRight w:val="0"/>
          <w:marTop w:val="0"/>
          <w:marBottom w:val="0"/>
          <w:divBdr>
            <w:top w:val="none" w:sz="0" w:space="0" w:color="auto"/>
            <w:left w:val="none" w:sz="0" w:space="0" w:color="auto"/>
            <w:bottom w:val="none" w:sz="0" w:space="0" w:color="auto"/>
            <w:right w:val="none" w:sz="0" w:space="0" w:color="auto"/>
          </w:divBdr>
        </w:div>
        <w:div w:id="1658339814">
          <w:marLeft w:val="0"/>
          <w:marRight w:val="0"/>
          <w:marTop w:val="0"/>
          <w:marBottom w:val="0"/>
          <w:divBdr>
            <w:top w:val="none" w:sz="0" w:space="0" w:color="auto"/>
            <w:left w:val="none" w:sz="0" w:space="0" w:color="auto"/>
            <w:bottom w:val="none" w:sz="0" w:space="0" w:color="auto"/>
            <w:right w:val="none" w:sz="0" w:space="0" w:color="auto"/>
          </w:divBdr>
        </w:div>
        <w:div w:id="1049914967">
          <w:marLeft w:val="0"/>
          <w:marRight w:val="0"/>
          <w:marTop w:val="0"/>
          <w:marBottom w:val="0"/>
          <w:divBdr>
            <w:top w:val="none" w:sz="0" w:space="0" w:color="auto"/>
            <w:left w:val="none" w:sz="0" w:space="0" w:color="auto"/>
            <w:bottom w:val="none" w:sz="0" w:space="0" w:color="auto"/>
            <w:right w:val="none" w:sz="0" w:space="0" w:color="auto"/>
          </w:divBdr>
        </w:div>
        <w:div w:id="578831427">
          <w:marLeft w:val="0"/>
          <w:marRight w:val="0"/>
          <w:marTop w:val="0"/>
          <w:marBottom w:val="0"/>
          <w:divBdr>
            <w:top w:val="none" w:sz="0" w:space="0" w:color="auto"/>
            <w:left w:val="none" w:sz="0" w:space="0" w:color="auto"/>
            <w:bottom w:val="none" w:sz="0" w:space="0" w:color="auto"/>
            <w:right w:val="none" w:sz="0" w:space="0" w:color="auto"/>
          </w:divBdr>
        </w:div>
        <w:div w:id="1398554919">
          <w:marLeft w:val="0"/>
          <w:marRight w:val="0"/>
          <w:marTop w:val="0"/>
          <w:marBottom w:val="0"/>
          <w:divBdr>
            <w:top w:val="none" w:sz="0" w:space="0" w:color="auto"/>
            <w:left w:val="none" w:sz="0" w:space="0" w:color="auto"/>
            <w:bottom w:val="none" w:sz="0" w:space="0" w:color="auto"/>
            <w:right w:val="none" w:sz="0" w:space="0" w:color="auto"/>
          </w:divBdr>
        </w:div>
        <w:div w:id="117376371">
          <w:marLeft w:val="0"/>
          <w:marRight w:val="0"/>
          <w:marTop w:val="0"/>
          <w:marBottom w:val="0"/>
          <w:divBdr>
            <w:top w:val="none" w:sz="0" w:space="0" w:color="auto"/>
            <w:left w:val="none" w:sz="0" w:space="0" w:color="auto"/>
            <w:bottom w:val="none" w:sz="0" w:space="0" w:color="auto"/>
            <w:right w:val="none" w:sz="0" w:space="0" w:color="auto"/>
          </w:divBdr>
        </w:div>
        <w:div w:id="541790119">
          <w:marLeft w:val="0"/>
          <w:marRight w:val="0"/>
          <w:marTop w:val="0"/>
          <w:marBottom w:val="0"/>
          <w:divBdr>
            <w:top w:val="none" w:sz="0" w:space="0" w:color="auto"/>
            <w:left w:val="none" w:sz="0" w:space="0" w:color="auto"/>
            <w:bottom w:val="none" w:sz="0" w:space="0" w:color="auto"/>
            <w:right w:val="none" w:sz="0" w:space="0" w:color="auto"/>
          </w:divBdr>
        </w:div>
        <w:div w:id="1936478207">
          <w:marLeft w:val="0"/>
          <w:marRight w:val="0"/>
          <w:marTop w:val="0"/>
          <w:marBottom w:val="0"/>
          <w:divBdr>
            <w:top w:val="none" w:sz="0" w:space="0" w:color="auto"/>
            <w:left w:val="none" w:sz="0" w:space="0" w:color="auto"/>
            <w:bottom w:val="none" w:sz="0" w:space="0" w:color="auto"/>
            <w:right w:val="none" w:sz="0" w:space="0" w:color="auto"/>
          </w:divBdr>
        </w:div>
        <w:div w:id="111170153">
          <w:marLeft w:val="0"/>
          <w:marRight w:val="0"/>
          <w:marTop w:val="0"/>
          <w:marBottom w:val="0"/>
          <w:divBdr>
            <w:top w:val="none" w:sz="0" w:space="0" w:color="auto"/>
            <w:left w:val="none" w:sz="0" w:space="0" w:color="auto"/>
            <w:bottom w:val="none" w:sz="0" w:space="0" w:color="auto"/>
            <w:right w:val="none" w:sz="0" w:space="0" w:color="auto"/>
          </w:divBdr>
        </w:div>
        <w:div w:id="771704989">
          <w:marLeft w:val="0"/>
          <w:marRight w:val="0"/>
          <w:marTop w:val="0"/>
          <w:marBottom w:val="0"/>
          <w:divBdr>
            <w:top w:val="none" w:sz="0" w:space="0" w:color="auto"/>
            <w:left w:val="none" w:sz="0" w:space="0" w:color="auto"/>
            <w:bottom w:val="none" w:sz="0" w:space="0" w:color="auto"/>
            <w:right w:val="none" w:sz="0" w:space="0" w:color="auto"/>
          </w:divBdr>
        </w:div>
        <w:div w:id="1519538294">
          <w:marLeft w:val="0"/>
          <w:marRight w:val="0"/>
          <w:marTop w:val="0"/>
          <w:marBottom w:val="0"/>
          <w:divBdr>
            <w:top w:val="none" w:sz="0" w:space="0" w:color="auto"/>
            <w:left w:val="none" w:sz="0" w:space="0" w:color="auto"/>
            <w:bottom w:val="none" w:sz="0" w:space="0" w:color="auto"/>
            <w:right w:val="none" w:sz="0" w:space="0" w:color="auto"/>
          </w:divBdr>
        </w:div>
        <w:div w:id="1744183236">
          <w:marLeft w:val="0"/>
          <w:marRight w:val="0"/>
          <w:marTop w:val="0"/>
          <w:marBottom w:val="0"/>
          <w:divBdr>
            <w:top w:val="none" w:sz="0" w:space="0" w:color="auto"/>
            <w:left w:val="none" w:sz="0" w:space="0" w:color="auto"/>
            <w:bottom w:val="none" w:sz="0" w:space="0" w:color="auto"/>
            <w:right w:val="none" w:sz="0" w:space="0" w:color="auto"/>
          </w:divBdr>
        </w:div>
        <w:div w:id="831139253">
          <w:marLeft w:val="0"/>
          <w:marRight w:val="0"/>
          <w:marTop w:val="0"/>
          <w:marBottom w:val="0"/>
          <w:divBdr>
            <w:top w:val="none" w:sz="0" w:space="0" w:color="auto"/>
            <w:left w:val="none" w:sz="0" w:space="0" w:color="auto"/>
            <w:bottom w:val="none" w:sz="0" w:space="0" w:color="auto"/>
            <w:right w:val="none" w:sz="0" w:space="0" w:color="auto"/>
          </w:divBdr>
        </w:div>
        <w:div w:id="534654040">
          <w:marLeft w:val="0"/>
          <w:marRight w:val="0"/>
          <w:marTop w:val="0"/>
          <w:marBottom w:val="0"/>
          <w:divBdr>
            <w:top w:val="none" w:sz="0" w:space="0" w:color="auto"/>
            <w:left w:val="none" w:sz="0" w:space="0" w:color="auto"/>
            <w:bottom w:val="none" w:sz="0" w:space="0" w:color="auto"/>
            <w:right w:val="none" w:sz="0" w:space="0" w:color="auto"/>
          </w:divBdr>
        </w:div>
        <w:div w:id="905411947">
          <w:marLeft w:val="0"/>
          <w:marRight w:val="0"/>
          <w:marTop w:val="0"/>
          <w:marBottom w:val="0"/>
          <w:divBdr>
            <w:top w:val="none" w:sz="0" w:space="0" w:color="auto"/>
            <w:left w:val="none" w:sz="0" w:space="0" w:color="auto"/>
            <w:bottom w:val="none" w:sz="0" w:space="0" w:color="auto"/>
            <w:right w:val="none" w:sz="0" w:space="0" w:color="auto"/>
          </w:divBdr>
        </w:div>
        <w:div w:id="844242762">
          <w:marLeft w:val="0"/>
          <w:marRight w:val="0"/>
          <w:marTop w:val="0"/>
          <w:marBottom w:val="0"/>
          <w:divBdr>
            <w:top w:val="none" w:sz="0" w:space="0" w:color="auto"/>
            <w:left w:val="none" w:sz="0" w:space="0" w:color="auto"/>
            <w:bottom w:val="none" w:sz="0" w:space="0" w:color="auto"/>
            <w:right w:val="none" w:sz="0" w:space="0" w:color="auto"/>
          </w:divBdr>
        </w:div>
        <w:div w:id="1925651492">
          <w:marLeft w:val="0"/>
          <w:marRight w:val="0"/>
          <w:marTop w:val="0"/>
          <w:marBottom w:val="0"/>
          <w:divBdr>
            <w:top w:val="none" w:sz="0" w:space="0" w:color="auto"/>
            <w:left w:val="none" w:sz="0" w:space="0" w:color="auto"/>
            <w:bottom w:val="none" w:sz="0" w:space="0" w:color="auto"/>
            <w:right w:val="none" w:sz="0" w:space="0" w:color="auto"/>
          </w:divBdr>
        </w:div>
        <w:div w:id="831724321">
          <w:marLeft w:val="0"/>
          <w:marRight w:val="0"/>
          <w:marTop w:val="0"/>
          <w:marBottom w:val="0"/>
          <w:divBdr>
            <w:top w:val="none" w:sz="0" w:space="0" w:color="auto"/>
            <w:left w:val="none" w:sz="0" w:space="0" w:color="auto"/>
            <w:bottom w:val="none" w:sz="0" w:space="0" w:color="auto"/>
            <w:right w:val="none" w:sz="0" w:space="0" w:color="auto"/>
          </w:divBdr>
        </w:div>
        <w:div w:id="1615167465">
          <w:marLeft w:val="0"/>
          <w:marRight w:val="0"/>
          <w:marTop w:val="0"/>
          <w:marBottom w:val="0"/>
          <w:divBdr>
            <w:top w:val="none" w:sz="0" w:space="0" w:color="auto"/>
            <w:left w:val="none" w:sz="0" w:space="0" w:color="auto"/>
            <w:bottom w:val="none" w:sz="0" w:space="0" w:color="auto"/>
            <w:right w:val="none" w:sz="0" w:space="0" w:color="auto"/>
          </w:divBdr>
        </w:div>
      </w:divsChild>
    </w:div>
    <w:div w:id="1067604561">
      <w:bodyDiv w:val="1"/>
      <w:marLeft w:val="0"/>
      <w:marRight w:val="0"/>
      <w:marTop w:val="0"/>
      <w:marBottom w:val="0"/>
      <w:divBdr>
        <w:top w:val="none" w:sz="0" w:space="0" w:color="auto"/>
        <w:left w:val="none" w:sz="0" w:space="0" w:color="auto"/>
        <w:bottom w:val="none" w:sz="0" w:space="0" w:color="auto"/>
        <w:right w:val="none" w:sz="0" w:space="0" w:color="auto"/>
      </w:divBdr>
    </w:div>
    <w:div w:id="1126317399">
      <w:bodyDiv w:val="1"/>
      <w:marLeft w:val="0"/>
      <w:marRight w:val="0"/>
      <w:marTop w:val="0"/>
      <w:marBottom w:val="0"/>
      <w:divBdr>
        <w:top w:val="none" w:sz="0" w:space="0" w:color="auto"/>
        <w:left w:val="none" w:sz="0" w:space="0" w:color="auto"/>
        <w:bottom w:val="none" w:sz="0" w:space="0" w:color="auto"/>
        <w:right w:val="none" w:sz="0" w:space="0" w:color="auto"/>
      </w:divBdr>
    </w:div>
    <w:div w:id="1331904678">
      <w:bodyDiv w:val="1"/>
      <w:marLeft w:val="0"/>
      <w:marRight w:val="0"/>
      <w:marTop w:val="0"/>
      <w:marBottom w:val="0"/>
      <w:divBdr>
        <w:top w:val="none" w:sz="0" w:space="0" w:color="auto"/>
        <w:left w:val="none" w:sz="0" w:space="0" w:color="auto"/>
        <w:bottom w:val="none" w:sz="0" w:space="0" w:color="auto"/>
        <w:right w:val="none" w:sz="0" w:space="0" w:color="auto"/>
      </w:divBdr>
    </w:div>
    <w:div w:id="1360737360">
      <w:bodyDiv w:val="1"/>
      <w:marLeft w:val="0"/>
      <w:marRight w:val="0"/>
      <w:marTop w:val="0"/>
      <w:marBottom w:val="0"/>
      <w:divBdr>
        <w:top w:val="none" w:sz="0" w:space="0" w:color="auto"/>
        <w:left w:val="none" w:sz="0" w:space="0" w:color="auto"/>
        <w:bottom w:val="none" w:sz="0" w:space="0" w:color="auto"/>
        <w:right w:val="none" w:sz="0" w:space="0" w:color="auto"/>
      </w:divBdr>
    </w:div>
    <w:div w:id="1420634367">
      <w:bodyDiv w:val="1"/>
      <w:marLeft w:val="0"/>
      <w:marRight w:val="0"/>
      <w:marTop w:val="0"/>
      <w:marBottom w:val="0"/>
      <w:divBdr>
        <w:top w:val="none" w:sz="0" w:space="0" w:color="auto"/>
        <w:left w:val="none" w:sz="0" w:space="0" w:color="auto"/>
        <w:bottom w:val="none" w:sz="0" w:space="0" w:color="auto"/>
        <w:right w:val="none" w:sz="0" w:space="0" w:color="auto"/>
      </w:divBdr>
    </w:div>
    <w:div w:id="1425345496">
      <w:bodyDiv w:val="1"/>
      <w:marLeft w:val="0"/>
      <w:marRight w:val="0"/>
      <w:marTop w:val="0"/>
      <w:marBottom w:val="0"/>
      <w:divBdr>
        <w:top w:val="none" w:sz="0" w:space="0" w:color="auto"/>
        <w:left w:val="none" w:sz="0" w:space="0" w:color="auto"/>
        <w:bottom w:val="none" w:sz="0" w:space="0" w:color="auto"/>
        <w:right w:val="none" w:sz="0" w:space="0" w:color="auto"/>
      </w:divBdr>
    </w:div>
    <w:div w:id="1431704541">
      <w:bodyDiv w:val="1"/>
      <w:marLeft w:val="0"/>
      <w:marRight w:val="0"/>
      <w:marTop w:val="0"/>
      <w:marBottom w:val="0"/>
      <w:divBdr>
        <w:top w:val="none" w:sz="0" w:space="0" w:color="auto"/>
        <w:left w:val="none" w:sz="0" w:space="0" w:color="auto"/>
        <w:bottom w:val="none" w:sz="0" w:space="0" w:color="auto"/>
        <w:right w:val="none" w:sz="0" w:space="0" w:color="auto"/>
      </w:divBdr>
    </w:div>
    <w:div w:id="1435441370">
      <w:bodyDiv w:val="1"/>
      <w:marLeft w:val="0"/>
      <w:marRight w:val="0"/>
      <w:marTop w:val="0"/>
      <w:marBottom w:val="0"/>
      <w:divBdr>
        <w:top w:val="none" w:sz="0" w:space="0" w:color="auto"/>
        <w:left w:val="none" w:sz="0" w:space="0" w:color="auto"/>
        <w:bottom w:val="none" w:sz="0" w:space="0" w:color="auto"/>
        <w:right w:val="none" w:sz="0" w:space="0" w:color="auto"/>
      </w:divBdr>
    </w:div>
    <w:div w:id="1447919336">
      <w:bodyDiv w:val="1"/>
      <w:marLeft w:val="0"/>
      <w:marRight w:val="0"/>
      <w:marTop w:val="0"/>
      <w:marBottom w:val="0"/>
      <w:divBdr>
        <w:top w:val="none" w:sz="0" w:space="0" w:color="auto"/>
        <w:left w:val="none" w:sz="0" w:space="0" w:color="auto"/>
        <w:bottom w:val="none" w:sz="0" w:space="0" w:color="auto"/>
        <w:right w:val="none" w:sz="0" w:space="0" w:color="auto"/>
      </w:divBdr>
    </w:div>
    <w:div w:id="1513304384">
      <w:bodyDiv w:val="1"/>
      <w:marLeft w:val="0"/>
      <w:marRight w:val="0"/>
      <w:marTop w:val="0"/>
      <w:marBottom w:val="0"/>
      <w:divBdr>
        <w:top w:val="none" w:sz="0" w:space="0" w:color="auto"/>
        <w:left w:val="none" w:sz="0" w:space="0" w:color="auto"/>
        <w:bottom w:val="none" w:sz="0" w:space="0" w:color="auto"/>
        <w:right w:val="none" w:sz="0" w:space="0" w:color="auto"/>
      </w:divBdr>
    </w:div>
    <w:div w:id="1521504895">
      <w:bodyDiv w:val="1"/>
      <w:marLeft w:val="0"/>
      <w:marRight w:val="0"/>
      <w:marTop w:val="0"/>
      <w:marBottom w:val="0"/>
      <w:divBdr>
        <w:top w:val="none" w:sz="0" w:space="0" w:color="auto"/>
        <w:left w:val="none" w:sz="0" w:space="0" w:color="auto"/>
        <w:bottom w:val="none" w:sz="0" w:space="0" w:color="auto"/>
        <w:right w:val="none" w:sz="0" w:space="0" w:color="auto"/>
      </w:divBdr>
    </w:div>
    <w:div w:id="1528758808">
      <w:bodyDiv w:val="1"/>
      <w:marLeft w:val="0"/>
      <w:marRight w:val="0"/>
      <w:marTop w:val="0"/>
      <w:marBottom w:val="0"/>
      <w:divBdr>
        <w:top w:val="none" w:sz="0" w:space="0" w:color="auto"/>
        <w:left w:val="none" w:sz="0" w:space="0" w:color="auto"/>
        <w:bottom w:val="none" w:sz="0" w:space="0" w:color="auto"/>
        <w:right w:val="none" w:sz="0" w:space="0" w:color="auto"/>
      </w:divBdr>
    </w:div>
    <w:div w:id="1541043534">
      <w:bodyDiv w:val="1"/>
      <w:marLeft w:val="0"/>
      <w:marRight w:val="0"/>
      <w:marTop w:val="0"/>
      <w:marBottom w:val="0"/>
      <w:divBdr>
        <w:top w:val="none" w:sz="0" w:space="0" w:color="auto"/>
        <w:left w:val="none" w:sz="0" w:space="0" w:color="auto"/>
        <w:bottom w:val="none" w:sz="0" w:space="0" w:color="auto"/>
        <w:right w:val="none" w:sz="0" w:space="0" w:color="auto"/>
      </w:divBdr>
    </w:div>
    <w:div w:id="1586456197">
      <w:bodyDiv w:val="1"/>
      <w:marLeft w:val="0"/>
      <w:marRight w:val="0"/>
      <w:marTop w:val="0"/>
      <w:marBottom w:val="0"/>
      <w:divBdr>
        <w:top w:val="none" w:sz="0" w:space="0" w:color="auto"/>
        <w:left w:val="none" w:sz="0" w:space="0" w:color="auto"/>
        <w:bottom w:val="none" w:sz="0" w:space="0" w:color="auto"/>
        <w:right w:val="none" w:sz="0" w:space="0" w:color="auto"/>
      </w:divBdr>
    </w:div>
    <w:div w:id="1599171099">
      <w:bodyDiv w:val="1"/>
      <w:marLeft w:val="0"/>
      <w:marRight w:val="0"/>
      <w:marTop w:val="0"/>
      <w:marBottom w:val="0"/>
      <w:divBdr>
        <w:top w:val="none" w:sz="0" w:space="0" w:color="auto"/>
        <w:left w:val="none" w:sz="0" w:space="0" w:color="auto"/>
        <w:bottom w:val="none" w:sz="0" w:space="0" w:color="auto"/>
        <w:right w:val="none" w:sz="0" w:space="0" w:color="auto"/>
      </w:divBdr>
      <w:divsChild>
        <w:div w:id="2073501962">
          <w:marLeft w:val="0"/>
          <w:marRight w:val="0"/>
          <w:marTop w:val="0"/>
          <w:marBottom w:val="0"/>
          <w:divBdr>
            <w:top w:val="none" w:sz="0" w:space="0" w:color="auto"/>
            <w:left w:val="none" w:sz="0" w:space="0" w:color="auto"/>
            <w:bottom w:val="none" w:sz="0" w:space="0" w:color="auto"/>
            <w:right w:val="none" w:sz="0" w:space="0" w:color="auto"/>
          </w:divBdr>
        </w:div>
        <w:div w:id="455803120">
          <w:marLeft w:val="0"/>
          <w:marRight w:val="0"/>
          <w:marTop w:val="0"/>
          <w:marBottom w:val="0"/>
          <w:divBdr>
            <w:top w:val="none" w:sz="0" w:space="0" w:color="auto"/>
            <w:left w:val="none" w:sz="0" w:space="0" w:color="auto"/>
            <w:bottom w:val="none" w:sz="0" w:space="0" w:color="auto"/>
            <w:right w:val="none" w:sz="0" w:space="0" w:color="auto"/>
          </w:divBdr>
          <w:divsChild>
            <w:div w:id="322323387">
              <w:marLeft w:val="0"/>
              <w:marRight w:val="0"/>
              <w:marTop w:val="0"/>
              <w:marBottom w:val="0"/>
              <w:divBdr>
                <w:top w:val="none" w:sz="0" w:space="0" w:color="auto"/>
                <w:left w:val="none" w:sz="0" w:space="0" w:color="auto"/>
                <w:bottom w:val="none" w:sz="0" w:space="0" w:color="auto"/>
                <w:right w:val="none" w:sz="0" w:space="0" w:color="auto"/>
              </w:divBdr>
            </w:div>
            <w:div w:id="2003316433">
              <w:marLeft w:val="0"/>
              <w:marRight w:val="0"/>
              <w:marTop w:val="0"/>
              <w:marBottom w:val="0"/>
              <w:divBdr>
                <w:top w:val="none" w:sz="0" w:space="0" w:color="auto"/>
                <w:left w:val="none" w:sz="0" w:space="0" w:color="auto"/>
                <w:bottom w:val="none" w:sz="0" w:space="0" w:color="auto"/>
                <w:right w:val="none" w:sz="0" w:space="0" w:color="auto"/>
              </w:divBdr>
            </w:div>
          </w:divsChild>
        </w:div>
        <w:div w:id="484779510">
          <w:marLeft w:val="0"/>
          <w:marRight w:val="0"/>
          <w:marTop w:val="0"/>
          <w:marBottom w:val="0"/>
          <w:divBdr>
            <w:top w:val="none" w:sz="0" w:space="0" w:color="auto"/>
            <w:left w:val="none" w:sz="0" w:space="0" w:color="auto"/>
            <w:bottom w:val="none" w:sz="0" w:space="0" w:color="auto"/>
            <w:right w:val="none" w:sz="0" w:space="0" w:color="auto"/>
          </w:divBdr>
          <w:divsChild>
            <w:div w:id="1135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79">
      <w:bodyDiv w:val="1"/>
      <w:marLeft w:val="0"/>
      <w:marRight w:val="0"/>
      <w:marTop w:val="0"/>
      <w:marBottom w:val="0"/>
      <w:divBdr>
        <w:top w:val="none" w:sz="0" w:space="0" w:color="auto"/>
        <w:left w:val="none" w:sz="0" w:space="0" w:color="auto"/>
        <w:bottom w:val="none" w:sz="0" w:space="0" w:color="auto"/>
        <w:right w:val="none" w:sz="0" w:space="0" w:color="auto"/>
      </w:divBdr>
    </w:div>
    <w:div w:id="1672563507">
      <w:bodyDiv w:val="1"/>
      <w:marLeft w:val="0"/>
      <w:marRight w:val="0"/>
      <w:marTop w:val="0"/>
      <w:marBottom w:val="0"/>
      <w:divBdr>
        <w:top w:val="none" w:sz="0" w:space="0" w:color="auto"/>
        <w:left w:val="none" w:sz="0" w:space="0" w:color="auto"/>
        <w:bottom w:val="none" w:sz="0" w:space="0" w:color="auto"/>
        <w:right w:val="none" w:sz="0" w:space="0" w:color="auto"/>
      </w:divBdr>
    </w:div>
    <w:div w:id="1701971121">
      <w:bodyDiv w:val="1"/>
      <w:marLeft w:val="0"/>
      <w:marRight w:val="0"/>
      <w:marTop w:val="0"/>
      <w:marBottom w:val="0"/>
      <w:divBdr>
        <w:top w:val="none" w:sz="0" w:space="0" w:color="auto"/>
        <w:left w:val="none" w:sz="0" w:space="0" w:color="auto"/>
        <w:bottom w:val="none" w:sz="0" w:space="0" w:color="auto"/>
        <w:right w:val="none" w:sz="0" w:space="0" w:color="auto"/>
      </w:divBdr>
    </w:div>
    <w:div w:id="1713336305">
      <w:bodyDiv w:val="1"/>
      <w:marLeft w:val="0"/>
      <w:marRight w:val="0"/>
      <w:marTop w:val="0"/>
      <w:marBottom w:val="0"/>
      <w:divBdr>
        <w:top w:val="none" w:sz="0" w:space="0" w:color="auto"/>
        <w:left w:val="none" w:sz="0" w:space="0" w:color="auto"/>
        <w:bottom w:val="none" w:sz="0" w:space="0" w:color="auto"/>
        <w:right w:val="none" w:sz="0" w:space="0" w:color="auto"/>
      </w:divBdr>
    </w:div>
    <w:div w:id="1748764729">
      <w:bodyDiv w:val="1"/>
      <w:marLeft w:val="0"/>
      <w:marRight w:val="0"/>
      <w:marTop w:val="0"/>
      <w:marBottom w:val="0"/>
      <w:divBdr>
        <w:top w:val="none" w:sz="0" w:space="0" w:color="auto"/>
        <w:left w:val="none" w:sz="0" w:space="0" w:color="auto"/>
        <w:bottom w:val="none" w:sz="0" w:space="0" w:color="auto"/>
        <w:right w:val="none" w:sz="0" w:space="0" w:color="auto"/>
      </w:divBdr>
    </w:div>
    <w:div w:id="1755542570">
      <w:bodyDiv w:val="1"/>
      <w:marLeft w:val="0"/>
      <w:marRight w:val="0"/>
      <w:marTop w:val="0"/>
      <w:marBottom w:val="0"/>
      <w:divBdr>
        <w:top w:val="none" w:sz="0" w:space="0" w:color="auto"/>
        <w:left w:val="none" w:sz="0" w:space="0" w:color="auto"/>
        <w:bottom w:val="none" w:sz="0" w:space="0" w:color="auto"/>
        <w:right w:val="none" w:sz="0" w:space="0" w:color="auto"/>
      </w:divBdr>
    </w:div>
    <w:div w:id="1862235254">
      <w:bodyDiv w:val="1"/>
      <w:marLeft w:val="0"/>
      <w:marRight w:val="0"/>
      <w:marTop w:val="0"/>
      <w:marBottom w:val="0"/>
      <w:divBdr>
        <w:top w:val="none" w:sz="0" w:space="0" w:color="auto"/>
        <w:left w:val="none" w:sz="0" w:space="0" w:color="auto"/>
        <w:bottom w:val="none" w:sz="0" w:space="0" w:color="auto"/>
        <w:right w:val="none" w:sz="0" w:space="0" w:color="auto"/>
      </w:divBdr>
    </w:div>
    <w:div w:id="1994407574">
      <w:bodyDiv w:val="1"/>
      <w:marLeft w:val="0"/>
      <w:marRight w:val="0"/>
      <w:marTop w:val="0"/>
      <w:marBottom w:val="0"/>
      <w:divBdr>
        <w:top w:val="none" w:sz="0" w:space="0" w:color="auto"/>
        <w:left w:val="none" w:sz="0" w:space="0" w:color="auto"/>
        <w:bottom w:val="none" w:sz="0" w:space="0" w:color="auto"/>
        <w:right w:val="none" w:sz="0" w:space="0" w:color="auto"/>
      </w:divBdr>
    </w:div>
    <w:div w:id="2064861320">
      <w:bodyDiv w:val="1"/>
      <w:marLeft w:val="0"/>
      <w:marRight w:val="0"/>
      <w:marTop w:val="0"/>
      <w:marBottom w:val="0"/>
      <w:divBdr>
        <w:top w:val="none" w:sz="0" w:space="0" w:color="auto"/>
        <w:left w:val="none" w:sz="0" w:space="0" w:color="auto"/>
        <w:bottom w:val="none" w:sz="0" w:space="0" w:color="auto"/>
        <w:right w:val="none" w:sz="0" w:space="0" w:color="auto"/>
      </w:divBdr>
    </w:div>
    <w:div w:id="2070230901">
      <w:bodyDiv w:val="1"/>
      <w:marLeft w:val="0"/>
      <w:marRight w:val="0"/>
      <w:marTop w:val="0"/>
      <w:marBottom w:val="0"/>
      <w:divBdr>
        <w:top w:val="none" w:sz="0" w:space="0" w:color="auto"/>
        <w:left w:val="none" w:sz="0" w:space="0" w:color="auto"/>
        <w:bottom w:val="none" w:sz="0" w:space="0" w:color="auto"/>
        <w:right w:val="none" w:sz="0" w:space="0" w:color="auto"/>
      </w:divBdr>
    </w:div>
    <w:div w:id="2081976256">
      <w:bodyDiv w:val="1"/>
      <w:marLeft w:val="0"/>
      <w:marRight w:val="0"/>
      <w:marTop w:val="0"/>
      <w:marBottom w:val="0"/>
      <w:divBdr>
        <w:top w:val="none" w:sz="0" w:space="0" w:color="auto"/>
        <w:left w:val="none" w:sz="0" w:space="0" w:color="auto"/>
        <w:bottom w:val="none" w:sz="0" w:space="0" w:color="auto"/>
        <w:right w:val="none" w:sz="0" w:space="0" w:color="auto"/>
      </w:divBdr>
    </w:div>
    <w:div w:id="2109738828">
      <w:bodyDiv w:val="1"/>
      <w:marLeft w:val="0"/>
      <w:marRight w:val="0"/>
      <w:marTop w:val="0"/>
      <w:marBottom w:val="0"/>
      <w:divBdr>
        <w:top w:val="none" w:sz="0" w:space="0" w:color="auto"/>
        <w:left w:val="none" w:sz="0" w:space="0" w:color="auto"/>
        <w:bottom w:val="none" w:sz="0" w:space="0" w:color="auto"/>
        <w:right w:val="none" w:sz="0" w:space="0" w:color="auto"/>
      </w:divBdr>
    </w:div>
    <w:div w:id="2122412439">
      <w:bodyDiv w:val="1"/>
      <w:marLeft w:val="0"/>
      <w:marRight w:val="0"/>
      <w:marTop w:val="0"/>
      <w:marBottom w:val="0"/>
      <w:divBdr>
        <w:top w:val="none" w:sz="0" w:space="0" w:color="auto"/>
        <w:left w:val="none" w:sz="0" w:space="0" w:color="auto"/>
        <w:bottom w:val="none" w:sz="0" w:space="0" w:color="auto"/>
        <w:right w:val="none" w:sz="0" w:space="0" w:color="auto"/>
      </w:divBdr>
    </w:div>
    <w:div w:id="21252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md.cf.ac.uk/ac/all.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D991-A7D9-1444-87EB-DC4791B5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29335</Words>
  <Characters>167212</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
    </vt:vector>
  </TitlesOfParts>
  <Company>Cambridge</Company>
  <LinksUpToDate>false</LinksUpToDate>
  <CharactersWithSpaces>196155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Akhilesh Acer</dc:creator>
  <cp:lastModifiedBy>Amaka Offiah</cp:lastModifiedBy>
  <cp:revision>2</cp:revision>
  <dcterms:created xsi:type="dcterms:W3CDTF">2019-05-10T09:19:00Z</dcterms:created>
  <dcterms:modified xsi:type="dcterms:W3CDTF">2019-05-10T09:19:00Z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3cc6edad-ea16-3302-9c70-ebf675881780</vt:lpwstr>
  </property>
  <property fmtid="{D5CDD505-2E9C-101B-9397-08002B2CF9AE}" pid="24" name="Mendeley Citation Style_1">
    <vt:lpwstr>http://www.zotero.org/styles/apa</vt:lpwstr>
  </property>
</Properties>
</file>