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289" w:rsidRPr="006061C6" w:rsidRDefault="00102289" w:rsidP="00FB02EC">
      <w:pPr>
        <w:spacing w:line="360" w:lineRule="auto"/>
        <w:rPr>
          <w:b/>
          <w:caps/>
        </w:rPr>
      </w:pPr>
      <w:r w:rsidRPr="006061C6">
        <w:rPr>
          <w:b/>
          <w:caps/>
        </w:rPr>
        <w:t>Community pharmacist led medication reviews in the UK: A scoping review of the Medicines Use Review and the New Medicine Service literatures</w:t>
      </w:r>
    </w:p>
    <w:p w:rsidR="00102289" w:rsidRDefault="00102289" w:rsidP="00FB02EC">
      <w:pPr>
        <w:spacing w:after="0" w:line="360" w:lineRule="auto"/>
        <w:rPr>
          <w:b/>
        </w:rPr>
      </w:pPr>
    </w:p>
    <w:p w:rsidR="00102289" w:rsidRPr="002735BE" w:rsidRDefault="00102289" w:rsidP="00FB02EC">
      <w:pPr>
        <w:spacing w:after="0" w:line="360" w:lineRule="auto"/>
        <w:rPr>
          <w:b/>
        </w:rPr>
      </w:pPr>
      <w:r w:rsidRPr="002735BE">
        <w:rPr>
          <w:b/>
        </w:rPr>
        <w:t>INTRODUCTION</w:t>
      </w:r>
    </w:p>
    <w:p w:rsidR="00102289" w:rsidRDefault="00102289" w:rsidP="00FB02EC">
      <w:pPr>
        <w:spacing w:line="360" w:lineRule="auto"/>
      </w:pPr>
      <w:r>
        <w:t xml:space="preserve">Medication reviews are intended to improve the quality, safety and appropriate use of medicines </w:t>
      </w:r>
      <w:r w:rsidRPr="003F26AC">
        <w:rPr>
          <w:noProof/>
          <w:vertAlign w:val="superscript"/>
        </w:rPr>
        <w:t>1</w:t>
      </w:r>
      <w:r>
        <w:t xml:space="preserve">.  There is an extensive international literature to demonstrate the effectiveness of pharmacist delivered medication reviews.   For example, reduced health problems, increased medication adherence and </w:t>
      </w:r>
      <w:r w:rsidRPr="00BC62F8">
        <w:t>quality of life</w:t>
      </w:r>
      <w:r>
        <w:t xml:space="preserve"> are reported consistently in systematic reviews </w:t>
      </w:r>
      <w:r w:rsidRPr="003F26AC">
        <w:rPr>
          <w:noProof/>
          <w:vertAlign w:val="superscript"/>
        </w:rPr>
        <w:t>2, 3</w:t>
      </w:r>
      <w:r>
        <w:t>.  Interpreting the findings of these reviews in relation to the specific context of UK community pharmacy is challenging.  Differences in terminology and service configurations across countries are apparent, and meta-analyses often include pharmacist interventions from a mix of clinical settings and do not present effect sizes for community pharmacies alone</w:t>
      </w:r>
      <w:r w:rsidRPr="003F26AC">
        <w:rPr>
          <w:noProof/>
          <w:vertAlign w:val="superscript"/>
        </w:rPr>
        <w:t>2, 3</w:t>
      </w:r>
      <w:r>
        <w:t xml:space="preserve">.  There is also a large degree of heterogeneity in intervention content and delivery models within and across countries </w:t>
      </w:r>
      <w:r w:rsidRPr="003F26AC">
        <w:rPr>
          <w:noProof/>
          <w:vertAlign w:val="superscript"/>
        </w:rPr>
        <w:t>3</w:t>
      </w:r>
      <w:r>
        <w:t>, including Medicines Therapy Management services in the US</w:t>
      </w:r>
      <w:r w:rsidRPr="007C6180">
        <w:rPr>
          <w:noProof/>
          <w:vertAlign w:val="superscript"/>
        </w:rPr>
        <w:t>4</w:t>
      </w:r>
      <w:r>
        <w:t xml:space="preserve"> and Home Medication Review in Australia</w:t>
      </w:r>
      <w:r w:rsidRPr="007C6180">
        <w:rPr>
          <w:noProof/>
          <w:vertAlign w:val="superscript"/>
        </w:rPr>
        <w:t>5</w:t>
      </w:r>
      <w:r>
        <w:t xml:space="preserve"> which have similarities to UK pharmacy-led medicines review services.  </w:t>
      </w:r>
    </w:p>
    <w:p w:rsidR="00102289" w:rsidRDefault="00102289" w:rsidP="00FB02EC">
      <w:pPr>
        <w:spacing w:line="360" w:lineRule="auto"/>
      </w:pPr>
      <w:r>
        <w:t>Since 2005 all community pharmacists in the UK are contracted by the NHS to deliver essential services (such as dispensing).  A second tier of ‘advanced’ contracted services includes</w:t>
      </w:r>
      <w:r w:rsidRPr="008F62E8">
        <w:t xml:space="preserve"> Medic</w:t>
      </w:r>
      <w:r>
        <w:t>ines</w:t>
      </w:r>
      <w:r w:rsidRPr="008F62E8">
        <w:t xml:space="preserve"> Use Revi</w:t>
      </w:r>
      <w:r>
        <w:t>ews (MURs) and the New Medicine</w:t>
      </w:r>
      <w:r w:rsidRPr="008F62E8">
        <w:t xml:space="preserve"> Service (NMS)</w:t>
      </w:r>
      <w:r>
        <w:t>,</w:t>
      </w:r>
      <w:r w:rsidRPr="008F62E8">
        <w:t xml:space="preserve"> </w:t>
      </w:r>
      <w:r>
        <w:t xml:space="preserve">requiring </w:t>
      </w:r>
      <w:r w:rsidRPr="008F62E8">
        <w:t>community pharmacists</w:t>
      </w:r>
      <w:r>
        <w:t xml:space="preserve"> who chose to deliver them to be appropriately trained and to meet specified service requirements</w:t>
      </w:r>
      <w:r w:rsidRPr="00AE58B7">
        <w:rPr>
          <w:noProof/>
          <w:vertAlign w:val="superscript"/>
        </w:rPr>
        <w:t>6</w:t>
      </w:r>
      <w:r>
        <w:t>; these services are free to patients.  Remuneration for contracted pharmacies from the NHS is £28 per MUR, up to a maximum of 400 per year, and up to £28 per NMS depending on numbers completed</w:t>
      </w:r>
      <w:r w:rsidRPr="00AE58B7">
        <w:rPr>
          <w:noProof/>
          <w:vertAlign w:val="superscript"/>
        </w:rPr>
        <w:t>7</w:t>
      </w:r>
      <w:r w:rsidRPr="008F62E8">
        <w:t>.  The purpose</w:t>
      </w:r>
      <w:r>
        <w:t>s</w:t>
      </w:r>
      <w:r w:rsidRPr="008F62E8">
        <w:t xml:space="preserve"> of MURs </w:t>
      </w:r>
      <w:r>
        <w:t>are</w:t>
      </w:r>
      <w:r w:rsidRPr="008F62E8">
        <w:t xml:space="preserve"> to i</w:t>
      </w:r>
      <w:r w:rsidRPr="009D37C4">
        <w:t>mprove patients’ u</w:t>
      </w:r>
      <w:r>
        <w:t>nderstanding of their medicines and adherence, particularly among those with chronic conditions, h</w:t>
      </w:r>
      <w:r w:rsidRPr="009D37C4">
        <w:t>ighlight problematic side effects and prop</w:t>
      </w:r>
      <w:r>
        <w:t>ose solutions where appropriate, and to r</w:t>
      </w:r>
      <w:r w:rsidRPr="009D37C4">
        <w:t>educe medicines wastage</w:t>
      </w:r>
      <w:r>
        <w:t xml:space="preserve"> </w:t>
      </w:r>
      <w:r w:rsidRPr="00AE58B7">
        <w:rPr>
          <w:noProof/>
          <w:vertAlign w:val="superscript"/>
        </w:rPr>
        <w:t>8</w:t>
      </w:r>
      <w:r>
        <w:t xml:space="preserve">.  The NMS </w:t>
      </w:r>
      <w:r w:rsidRPr="008F62E8">
        <w:t>supports people with long-term conditions and newly prescribed medication improve their medicines adherence</w:t>
      </w:r>
      <w:r>
        <w:t>, and t</w:t>
      </w:r>
      <w:r w:rsidRPr="008F62E8">
        <w:t>here is</w:t>
      </w:r>
      <w:r>
        <w:t xml:space="preserve"> also </w:t>
      </w:r>
      <w:r w:rsidRPr="008F62E8">
        <w:t>a</w:t>
      </w:r>
      <w:r>
        <w:t>n</w:t>
      </w:r>
      <w:r w:rsidRPr="008F62E8">
        <w:t xml:space="preserve"> explicit aim</w:t>
      </w:r>
      <w:r>
        <w:t xml:space="preserve"> for the NMS </w:t>
      </w:r>
      <w:r w:rsidRPr="008F62E8">
        <w:t>to support patients make decisions about their treatment and self-management</w:t>
      </w:r>
      <w:r>
        <w:t xml:space="preserve"> </w:t>
      </w:r>
      <w:r w:rsidRPr="00AE58B7">
        <w:rPr>
          <w:noProof/>
          <w:vertAlign w:val="superscript"/>
        </w:rPr>
        <w:t>9</w:t>
      </w:r>
      <w:r w:rsidRPr="008F62E8">
        <w:t xml:space="preserve">.  </w:t>
      </w:r>
      <w:r>
        <w:t xml:space="preserve">  Most trials and other evaluation studies typically examine medication reviews for specific health conditions.  Studies of medication reviews, of the types delivered by UK community pharmacists, which could include medicines for a range of conditions, are much less common.  Thus, in one review, only five studies (4 RCTs and 1 prospective cohort study) were classified as MUR type adherence reviews delivered in a pharmacy, and most interventions included were disease specific </w:t>
      </w:r>
      <w:r w:rsidRPr="003F26AC">
        <w:rPr>
          <w:noProof/>
          <w:vertAlign w:val="superscript"/>
        </w:rPr>
        <w:t>3</w:t>
      </w:r>
      <w:r>
        <w:t xml:space="preserve">.  </w:t>
      </w:r>
    </w:p>
    <w:p w:rsidR="00102289" w:rsidRDefault="00102289" w:rsidP="00FB02EC">
      <w:pPr>
        <w:spacing w:line="360" w:lineRule="auto"/>
      </w:pPr>
      <w:r>
        <w:lastRenderedPageBreak/>
        <w:t>E</w:t>
      </w:r>
      <w:r w:rsidRPr="00E37DAE">
        <w:t xml:space="preserve">xtending </w:t>
      </w:r>
      <w:r>
        <w:t xml:space="preserve">the community pharmacist role in the UK beyond </w:t>
      </w:r>
      <w:r w:rsidRPr="00E37DAE">
        <w:t xml:space="preserve">traditional dispensing </w:t>
      </w:r>
      <w:r>
        <w:t xml:space="preserve">is valued as an opportunity to </w:t>
      </w:r>
      <w:r w:rsidRPr="00E37DAE">
        <w:t>demonstrate the worth</w:t>
      </w:r>
      <w:r>
        <w:t>,</w:t>
      </w:r>
      <w:r w:rsidRPr="00E37DAE">
        <w:t xml:space="preserve"> and </w:t>
      </w:r>
      <w:r>
        <w:t xml:space="preserve">further develop the </w:t>
      </w:r>
      <w:r w:rsidRPr="00E37DAE">
        <w:t>skills</w:t>
      </w:r>
      <w:r>
        <w:t>,</w:t>
      </w:r>
      <w:r w:rsidRPr="00E37DAE">
        <w:t xml:space="preserve"> of </w:t>
      </w:r>
      <w:r>
        <w:t xml:space="preserve">the profession </w:t>
      </w:r>
      <w:r w:rsidRPr="00AE58B7">
        <w:rPr>
          <w:noProof/>
          <w:vertAlign w:val="superscript"/>
        </w:rPr>
        <w:t>10</w:t>
      </w:r>
      <w:r>
        <w:t xml:space="preserve">.  Among patients, the range of pharmacists’ skills and training can be under-appreciated, to the extent that this can be a barrier to discussion of health behaviours </w:t>
      </w:r>
      <w:r w:rsidRPr="00AE58B7">
        <w:rPr>
          <w:noProof/>
          <w:vertAlign w:val="superscript"/>
        </w:rPr>
        <w:t>11</w:t>
      </w:r>
      <w:r>
        <w:t xml:space="preserve">.  Some qualitative studies report that patients’ </w:t>
      </w:r>
      <w:r w:rsidRPr="008647B4">
        <w:t>perce</w:t>
      </w:r>
      <w:r>
        <w:t xml:space="preserve">ptions of </w:t>
      </w:r>
      <w:r w:rsidRPr="008647B4">
        <w:t xml:space="preserve">pharmacists </w:t>
      </w:r>
      <w:r>
        <w:t>as</w:t>
      </w:r>
      <w:r w:rsidRPr="008647B4">
        <w:t xml:space="preserve"> appropriately skilled to provide medicines related information and care</w:t>
      </w:r>
      <w:r>
        <w:t xml:space="preserve"> are influenced positively by having already experienced medication reviews </w:t>
      </w:r>
      <w:r w:rsidRPr="00AE58B7">
        <w:rPr>
          <w:noProof/>
          <w:vertAlign w:val="superscript"/>
        </w:rPr>
        <w:t>10</w:t>
      </w:r>
      <w:r>
        <w:t>.  Much hinges on individual pharmacist’s c</w:t>
      </w:r>
      <w:r w:rsidRPr="00E37DAE">
        <w:t>ommunication and interpersonal skills</w:t>
      </w:r>
      <w:r>
        <w:t>, which are noted to be a</w:t>
      </w:r>
      <w:r w:rsidRPr="00E37DAE">
        <w:t xml:space="preserve"> source of varia</w:t>
      </w:r>
      <w:r>
        <w:t>bility in the conduct of m</w:t>
      </w:r>
      <w:r w:rsidRPr="00E37DAE">
        <w:t xml:space="preserve">edication </w:t>
      </w:r>
      <w:r>
        <w:t xml:space="preserve">reviews </w:t>
      </w:r>
      <w:r w:rsidRPr="00AE58B7">
        <w:rPr>
          <w:noProof/>
          <w:vertAlign w:val="superscript"/>
        </w:rPr>
        <w:t>10</w:t>
      </w:r>
      <w:r>
        <w:t>.  It is, therefore, not surprising that s</w:t>
      </w:r>
      <w:r w:rsidRPr="00E37DAE">
        <w:t>kills in behaviour change</w:t>
      </w:r>
      <w:r>
        <w:t xml:space="preserve"> and communication strategies are </w:t>
      </w:r>
      <w:r w:rsidRPr="00E37DAE">
        <w:t>identified as training need</w:t>
      </w:r>
      <w:r>
        <w:t xml:space="preserve">s </w:t>
      </w:r>
      <w:r w:rsidRPr="00AE58B7">
        <w:rPr>
          <w:noProof/>
          <w:vertAlign w:val="superscript"/>
        </w:rPr>
        <w:t>10, 12</w:t>
      </w:r>
      <w:r>
        <w:t xml:space="preserve">, particularly for longer qualified pharmacists whose training predates attempts to increase attention to these elements </w:t>
      </w:r>
      <w:r w:rsidRPr="00AE58B7">
        <w:rPr>
          <w:noProof/>
          <w:vertAlign w:val="superscript"/>
        </w:rPr>
        <w:t>12</w:t>
      </w:r>
      <w:r>
        <w:t>.</w:t>
      </w:r>
    </w:p>
    <w:p w:rsidR="00102289" w:rsidRDefault="00102289" w:rsidP="00FB02EC">
      <w:pPr>
        <w:pStyle w:val="NormalWeb"/>
        <w:spacing w:before="0" w:beforeAutospacing="0" w:after="0" w:afterAutospacing="0" w:line="360" w:lineRule="auto"/>
        <w:rPr>
          <w:rFonts w:asciiTheme="minorHAnsi" w:eastAsiaTheme="minorHAnsi" w:hAnsiTheme="minorHAnsi" w:cstheme="minorBidi"/>
          <w:sz w:val="22"/>
          <w:szCs w:val="22"/>
          <w:lang w:eastAsia="en-US"/>
        </w:rPr>
      </w:pPr>
      <w:r w:rsidRPr="00905360">
        <w:rPr>
          <w:rFonts w:asciiTheme="minorHAnsi" w:eastAsiaTheme="minorHAnsi" w:hAnsiTheme="minorHAnsi" w:cstheme="minorBidi"/>
          <w:sz w:val="22"/>
          <w:szCs w:val="22"/>
          <w:lang w:eastAsia="en-US"/>
        </w:rPr>
        <w:t xml:space="preserve">Community pharmacies offer a range of public health services, including sexual health screening, smoking cessation and alcohol interventions </w:t>
      </w:r>
      <w:r w:rsidRPr="00AE58B7">
        <w:rPr>
          <w:rFonts w:asciiTheme="minorHAnsi" w:eastAsiaTheme="minorHAnsi" w:hAnsiTheme="minorHAnsi" w:cstheme="minorBidi"/>
          <w:noProof/>
          <w:sz w:val="22"/>
          <w:szCs w:val="22"/>
          <w:vertAlign w:val="superscript"/>
          <w:lang w:eastAsia="en-US"/>
        </w:rPr>
        <w:t>13</w:t>
      </w:r>
      <w:r w:rsidRPr="00905360">
        <w:rPr>
          <w:rFonts w:asciiTheme="minorHAnsi" w:eastAsiaTheme="minorHAnsi" w:hAnsiTheme="minorHAnsi" w:cstheme="minorBidi"/>
          <w:sz w:val="22"/>
          <w:szCs w:val="22"/>
          <w:lang w:eastAsia="en-US"/>
        </w:rPr>
        <w:t xml:space="preserve">.  Delivery of these services during the course of routine NHS contacts is encouraged </w:t>
      </w:r>
      <w:r w:rsidRPr="00AE58B7">
        <w:rPr>
          <w:rFonts w:asciiTheme="minorHAnsi" w:eastAsiaTheme="minorHAnsi" w:hAnsiTheme="minorHAnsi" w:cstheme="minorBidi"/>
          <w:noProof/>
          <w:sz w:val="22"/>
          <w:szCs w:val="22"/>
          <w:vertAlign w:val="superscript"/>
          <w:lang w:eastAsia="en-US"/>
        </w:rPr>
        <w:t>14</w:t>
      </w:r>
      <w:r w:rsidRPr="00905360">
        <w:rPr>
          <w:rFonts w:asciiTheme="minorHAnsi" w:eastAsiaTheme="minorHAnsi" w:hAnsiTheme="minorHAnsi" w:cstheme="minorBidi"/>
          <w:sz w:val="22"/>
          <w:szCs w:val="22"/>
          <w:lang w:eastAsia="en-US"/>
        </w:rPr>
        <w:t xml:space="preserve"> and community pharmacies are well placed to provide them </w:t>
      </w:r>
      <w:r w:rsidRPr="00AE58B7">
        <w:rPr>
          <w:rFonts w:asciiTheme="minorHAnsi" w:eastAsiaTheme="minorHAnsi" w:hAnsiTheme="minorHAnsi" w:cstheme="minorBidi"/>
          <w:noProof/>
          <w:sz w:val="22"/>
          <w:szCs w:val="22"/>
          <w:vertAlign w:val="superscript"/>
          <w:lang w:eastAsia="en-US"/>
        </w:rPr>
        <w:t>15</w:t>
      </w:r>
      <w:r>
        <w:rPr>
          <w:rFonts w:asciiTheme="minorHAnsi" w:eastAsiaTheme="minorHAnsi" w:hAnsiTheme="minorHAnsi" w:cstheme="minorBidi"/>
          <w:sz w:val="22"/>
          <w:szCs w:val="22"/>
          <w:lang w:eastAsia="en-US"/>
        </w:rPr>
        <w:t>; c</w:t>
      </w:r>
      <w:r w:rsidRPr="008F62E8">
        <w:rPr>
          <w:rFonts w:asciiTheme="minorHAnsi" w:eastAsiaTheme="minorHAnsi" w:hAnsiTheme="minorHAnsi" w:cstheme="minorBidi"/>
          <w:sz w:val="22"/>
          <w:szCs w:val="22"/>
          <w:lang w:eastAsia="en-US"/>
        </w:rPr>
        <w:t xml:space="preserve">urrent </w:t>
      </w:r>
      <w:r>
        <w:rPr>
          <w:rFonts w:asciiTheme="minorHAnsi" w:eastAsiaTheme="minorHAnsi" w:hAnsiTheme="minorHAnsi" w:cstheme="minorBidi"/>
          <w:sz w:val="22"/>
          <w:szCs w:val="22"/>
          <w:lang w:eastAsia="en-US"/>
        </w:rPr>
        <w:t xml:space="preserve">MUR/NMS </w:t>
      </w:r>
      <w:r w:rsidRPr="008F62E8">
        <w:rPr>
          <w:rFonts w:asciiTheme="minorHAnsi" w:eastAsiaTheme="minorHAnsi" w:hAnsiTheme="minorHAnsi" w:cstheme="minorBidi"/>
          <w:sz w:val="22"/>
          <w:szCs w:val="22"/>
          <w:lang w:eastAsia="en-US"/>
        </w:rPr>
        <w:t xml:space="preserve">service specifications require pharmacists to </w:t>
      </w:r>
      <w:r>
        <w:rPr>
          <w:rFonts w:asciiTheme="minorHAnsi" w:eastAsiaTheme="minorHAnsi" w:hAnsiTheme="minorHAnsi" w:cstheme="minorBidi"/>
          <w:sz w:val="22"/>
          <w:szCs w:val="22"/>
          <w:lang w:eastAsia="en-US"/>
        </w:rPr>
        <w:t xml:space="preserve">ask patients about these and document </w:t>
      </w:r>
      <w:r w:rsidRPr="008F62E8">
        <w:rPr>
          <w:rFonts w:asciiTheme="minorHAnsi" w:eastAsiaTheme="minorHAnsi" w:hAnsiTheme="minorHAnsi" w:cstheme="minorBidi"/>
          <w:sz w:val="22"/>
          <w:szCs w:val="22"/>
          <w:lang w:eastAsia="en-US"/>
        </w:rPr>
        <w:t>any advice given</w:t>
      </w:r>
      <w:r>
        <w:rPr>
          <w:rFonts w:asciiTheme="minorHAnsi" w:eastAsiaTheme="minorHAnsi" w:hAnsiTheme="minorHAnsi" w:cstheme="minorBidi"/>
          <w:sz w:val="22"/>
          <w:szCs w:val="22"/>
          <w:lang w:eastAsia="en-US"/>
        </w:rPr>
        <w:t>.  A systematic review of community pharmacist views found broad support for an increased public health role, but training needs and lack of confidence in how to intervene to support health behaviour change were also reported</w:t>
      </w:r>
      <w:r w:rsidRPr="00AE58B7">
        <w:rPr>
          <w:rFonts w:asciiTheme="minorHAnsi" w:eastAsiaTheme="minorHAnsi" w:hAnsiTheme="minorHAnsi" w:cstheme="minorBidi"/>
          <w:noProof/>
          <w:sz w:val="22"/>
          <w:szCs w:val="22"/>
          <w:vertAlign w:val="superscript"/>
          <w:lang w:eastAsia="en-US"/>
        </w:rPr>
        <w:t>16</w:t>
      </w:r>
      <w:r>
        <w:rPr>
          <w:rFonts w:asciiTheme="minorHAnsi" w:eastAsiaTheme="minorHAnsi" w:hAnsiTheme="minorHAnsi" w:cstheme="minorBidi"/>
          <w:sz w:val="22"/>
          <w:szCs w:val="22"/>
          <w:lang w:eastAsia="en-US"/>
        </w:rPr>
        <w:t>.</w:t>
      </w:r>
      <w:r w:rsidRPr="008F62E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Medication reviews </w:t>
      </w:r>
      <w:r w:rsidRPr="008F62E8">
        <w:rPr>
          <w:rFonts w:asciiTheme="minorHAnsi" w:eastAsiaTheme="minorHAnsi" w:hAnsiTheme="minorHAnsi" w:cstheme="minorBidi"/>
          <w:sz w:val="22"/>
          <w:szCs w:val="22"/>
          <w:lang w:eastAsia="en-US"/>
        </w:rPr>
        <w:t xml:space="preserve">provide valuable opportunities to discuss with patients the possible consequences of </w:t>
      </w:r>
      <w:r>
        <w:rPr>
          <w:rFonts w:asciiTheme="minorHAnsi" w:eastAsiaTheme="minorHAnsi" w:hAnsiTheme="minorHAnsi" w:cstheme="minorBidi"/>
          <w:sz w:val="22"/>
          <w:szCs w:val="22"/>
          <w:lang w:eastAsia="en-US"/>
        </w:rPr>
        <w:t xml:space="preserve">specific behaviours </w:t>
      </w:r>
      <w:r w:rsidRPr="008F62E8">
        <w:rPr>
          <w:rFonts w:asciiTheme="minorHAnsi" w:eastAsiaTheme="minorHAnsi" w:hAnsiTheme="minorHAnsi" w:cstheme="minorBidi"/>
          <w:sz w:val="22"/>
          <w:szCs w:val="22"/>
          <w:lang w:eastAsia="en-US"/>
        </w:rPr>
        <w:t xml:space="preserve">for the effectiveness of medications, </w:t>
      </w:r>
      <w:r>
        <w:rPr>
          <w:rFonts w:asciiTheme="minorHAnsi" w:eastAsiaTheme="minorHAnsi" w:hAnsiTheme="minorHAnsi" w:cstheme="minorBidi"/>
          <w:sz w:val="22"/>
          <w:szCs w:val="22"/>
          <w:lang w:eastAsia="en-US"/>
        </w:rPr>
        <w:t xml:space="preserve">and for their </w:t>
      </w:r>
      <w:r w:rsidRPr="008F62E8">
        <w:rPr>
          <w:rFonts w:asciiTheme="minorHAnsi" w:eastAsiaTheme="minorHAnsi" w:hAnsiTheme="minorHAnsi" w:cstheme="minorBidi"/>
          <w:sz w:val="22"/>
          <w:szCs w:val="22"/>
          <w:lang w:eastAsia="en-US"/>
        </w:rPr>
        <w:t>health more generally.</w:t>
      </w:r>
      <w:r>
        <w:rPr>
          <w:rFonts w:asciiTheme="minorHAnsi" w:eastAsiaTheme="minorHAnsi" w:hAnsiTheme="minorHAnsi" w:cstheme="minorBidi"/>
          <w:sz w:val="22"/>
          <w:szCs w:val="22"/>
          <w:lang w:eastAsia="en-US"/>
        </w:rPr>
        <w:t xml:space="preserve">  Potentially, t</w:t>
      </w:r>
      <w:r w:rsidRPr="008F62E8">
        <w:rPr>
          <w:rFonts w:asciiTheme="minorHAnsi" w:eastAsiaTheme="minorHAnsi" w:hAnsiTheme="minorHAnsi" w:cstheme="minorBidi"/>
          <w:sz w:val="22"/>
          <w:szCs w:val="22"/>
          <w:lang w:eastAsia="en-US"/>
        </w:rPr>
        <w:t xml:space="preserve">his </w:t>
      </w:r>
      <w:r>
        <w:rPr>
          <w:rFonts w:asciiTheme="minorHAnsi" w:eastAsiaTheme="minorHAnsi" w:hAnsiTheme="minorHAnsi" w:cstheme="minorBidi"/>
          <w:sz w:val="22"/>
          <w:szCs w:val="22"/>
          <w:lang w:eastAsia="en-US"/>
        </w:rPr>
        <w:t>could be more comprehensive, and use more sophisticated methods, than the ‘advice giving’ associated with dispensing related interactions with patients</w:t>
      </w:r>
      <w:r w:rsidRPr="00AE58B7">
        <w:rPr>
          <w:rFonts w:asciiTheme="minorHAnsi" w:eastAsiaTheme="minorHAnsi" w:hAnsiTheme="minorHAnsi" w:cstheme="minorBidi"/>
          <w:noProof/>
          <w:sz w:val="22"/>
          <w:szCs w:val="22"/>
          <w:vertAlign w:val="superscript"/>
          <w:lang w:eastAsia="en-US"/>
        </w:rPr>
        <w:t>17</w:t>
      </w:r>
      <w:r>
        <w:rPr>
          <w:rFonts w:asciiTheme="minorHAnsi" w:eastAsiaTheme="minorHAnsi" w:hAnsiTheme="minorHAnsi" w:cstheme="minorBidi"/>
          <w:sz w:val="22"/>
          <w:szCs w:val="22"/>
          <w:lang w:eastAsia="en-US"/>
        </w:rPr>
        <w:t>. This is</w:t>
      </w:r>
      <w:r w:rsidRPr="008F62E8">
        <w:rPr>
          <w:rFonts w:asciiTheme="minorHAnsi" w:eastAsiaTheme="minorHAnsi" w:hAnsiTheme="minorHAnsi" w:cstheme="minorBidi"/>
          <w:sz w:val="22"/>
          <w:szCs w:val="22"/>
          <w:lang w:eastAsia="en-US"/>
        </w:rPr>
        <w:t xml:space="preserve"> congruent with </w:t>
      </w:r>
      <w:r>
        <w:rPr>
          <w:rFonts w:asciiTheme="minorHAnsi" w:eastAsiaTheme="minorHAnsi" w:hAnsiTheme="minorHAnsi" w:cstheme="minorBidi"/>
          <w:sz w:val="22"/>
          <w:szCs w:val="22"/>
          <w:lang w:eastAsia="en-US"/>
        </w:rPr>
        <w:t xml:space="preserve">General Pharmaceutical Council practice standards that place the interests and perspectives of the patient at the heart of patient consultations </w:t>
      </w:r>
      <w:r w:rsidRPr="00AE58B7">
        <w:rPr>
          <w:rFonts w:asciiTheme="minorHAnsi" w:eastAsiaTheme="minorHAnsi" w:hAnsiTheme="minorHAnsi" w:cstheme="minorBidi"/>
          <w:noProof/>
          <w:sz w:val="22"/>
          <w:szCs w:val="22"/>
          <w:vertAlign w:val="superscript"/>
          <w:lang w:eastAsia="en-US"/>
        </w:rPr>
        <w:t>18</w:t>
      </w:r>
      <w:r>
        <w:rPr>
          <w:rFonts w:asciiTheme="minorHAnsi" w:eastAsiaTheme="minorHAnsi" w:hAnsiTheme="minorHAnsi" w:cstheme="minorBidi"/>
          <w:sz w:val="22"/>
          <w:szCs w:val="22"/>
          <w:lang w:eastAsia="en-US"/>
        </w:rPr>
        <w:t xml:space="preserve">.  Informed by the </w:t>
      </w:r>
      <w:r w:rsidRPr="0096561A">
        <w:rPr>
          <w:rFonts w:asciiTheme="minorHAnsi" w:eastAsiaTheme="minorHAnsi" w:hAnsiTheme="minorHAnsi" w:cstheme="minorBidi"/>
          <w:sz w:val="22"/>
          <w:szCs w:val="22"/>
          <w:lang w:eastAsia="en-US"/>
        </w:rPr>
        <w:t>Medication Related Consultation Framework (MRCF)</w:t>
      </w:r>
      <w:r w:rsidRPr="00AE58B7">
        <w:rPr>
          <w:rFonts w:asciiTheme="minorHAnsi" w:eastAsiaTheme="minorHAnsi" w:hAnsiTheme="minorHAnsi" w:cstheme="minorBidi"/>
          <w:noProof/>
          <w:sz w:val="22"/>
          <w:szCs w:val="22"/>
          <w:vertAlign w:val="superscript"/>
          <w:lang w:eastAsia="en-US"/>
        </w:rPr>
        <w:t>19</w:t>
      </w:r>
      <w:r w:rsidRPr="0096561A">
        <w:rPr>
          <w:rFonts w:asciiTheme="minorHAnsi" w:eastAsiaTheme="minorHAnsi" w:hAnsiTheme="minorHAnsi" w:cstheme="minorBidi"/>
          <w:sz w:val="22"/>
          <w:szCs w:val="22"/>
          <w:lang w:eastAsia="en-US"/>
        </w:rPr>
        <w:t>, t</w:t>
      </w:r>
      <w:r w:rsidRPr="008F62E8">
        <w:rPr>
          <w:rFonts w:asciiTheme="minorHAnsi" w:eastAsiaTheme="minorHAnsi" w:hAnsiTheme="minorHAnsi" w:cstheme="minorBidi"/>
          <w:sz w:val="22"/>
          <w:szCs w:val="22"/>
          <w:lang w:eastAsia="en-US"/>
        </w:rPr>
        <w:t>he</w:t>
      </w:r>
      <w:r>
        <w:rPr>
          <w:rFonts w:asciiTheme="minorHAnsi" w:eastAsiaTheme="minorHAnsi" w:hAnsiTheme="minorHAnsi" w:cstheme="minorBidi"/>
          <w:sz w:val="22"/>
          <w:szCs w:val="22"/>
          <w:lang w:eastAsia="en-US"/>
        </w:rPr>
        <w:t>se</w:t>
      </w:r>
      <w:r w:rsidRPr="008F62E8">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standards detail </w:t>
      </w:r>
      <w:r w:rsidRPr="008F62E8">
        <w:rPr>
          <w:rFonts w:asciiTheme="minorHAnsi" w:eastAsiaTheme="minorHAnsi" w:hAnsiTheme="minorHAnsi" w:cstheme="minorBidi"/>
          <w:sz w:val="22"/>
          <w:szCs w:val="22"/>
          <w:lang w:eastAsia="en-US"/>
        </w:rPr>
        <w:t xml:space="preserve">how pharmacists can use </w:t>
      </w:r>
      <w:r>
        <w:rPr>
          <w:rFonts w:asciiTheme="minorHAnsi" w:eastAsiaTheme="minorHAnsi" w:hAnsiTheme="minorHAnsi" w:cstheme="minorBidi"/>
          <w:sz w:val="22"/>
          <w:szCs w:val="22"/>
          <w:lang w:eastAsia="en-US"/>
        </w:rPr>
        <w:t xml:space="preserve">core </w:t>
      </w:r>
      <w:r w:rsidRPr="008F62E8">
        <w:rPr>
          <w:rFonts w:asciiTheme="minorHAnsi" w:eastAsiaTheme="minorHAnsi" w:hAnsiTheme="minorHAnsi" w:cstheme="minorBidi"/>
          <w:sz w:val="22"/>
          <w:szCs w:val="22"/>
          <w:lang w:eastAsia="en-US"/>
        </w:rPr>
        <w:t xml:space="preserve">skills to make their consultations </w:t>
      </w:r>
      <w:r>
        <w:rPr>
          <w:rFonts w:asciiTheme="minorHAnsi" w:eastAsiaTheme="minorHAnsi" w:hAnsiTheme="minorHAnsi" w:cstheme="minorBidi"/>
          <w:sz w:val="22"/>
          <w:szCs w:val="22"/>
          <w:lang w:eastAsia="en-US"/>
        </w:rPr>
        <w:t xml:space="preserve">about medications </w:t>
      </w:r>
      <w:r w:rsidRPr="008F62E8">
        <w:rPr>
          <w:rFonts w:asciiTheme="minorHAnsi" w:eastAsiaTheme="minorHAnsi" w:hAnsiTheme="minorHAnsi" w:cstheme="minorBidi"/>
          <w:sz w:val="22"/>
          <w:szCs w:val="22"/>
          <w:lang w:eastAsia="en-US"/>
        </w:rPr>
        <w:t>more patient-centred</w:t>
      </w:r>
      <w:r>
        <w:rPr>
          <w:rFonts w:asciiTheme="minorHAnsi" w:eastAsiaTheme="minorHAnsi" w:hAnsiTheme="minorHAnsi" w:cstheme="minorBidi"/>
          <w:sz w:val="22"/>
          <w:szCs w:val="22"/>
          <w:lang w:eastAsia="en-US"/>
        </w:rPr>
        <w:t xml:space="preserve">.  The expectation is that </w:t>
      </w:r>
      <w:r w:rsidRPr="008F62E8">
        <w:rPr>
          <w:rFonts w:asciiTheme="minorHAnsi" w:eastAsiaTheme="minorHAnsi" w:hAnsiTheme="minorHAnsi" w:cstheme="minorBidi"/>
          <w:sz w:val="22"/>
          <w:szCs w:val="22"/>
          <w:lang w:eastAsia="en-US"/>
        </w:rPr>
        <w:t>all phar</w:t>
      </w:r>
      <w:r w:rsidR="00A123CB">
        <w:rPr>
          <w:rFonts w:asciiTheme="minorHAnsi" w:eastAsiaTheme="minorHAnsi" w:hAnsiTheme="minorHAnsi" w:cstheme="minorBidi"/>
          <w:sz w:val="22"/>
          <w:szCs w:val="22"/>
          <w:lang w:eastAsia="en-US"/>
        </w:rPr>
        <w:t xml:space="preserve">macists are working towards, or </w:t>
      </w:r>
      <w:r w:rsidRPr="008F62E8">
        <w:rPr>
          <w:rFonts w:asciiTheme="minorHAnsi" w:eastAsiaTheme="minorHAnsi" w:hAnsiTheme="minorHAnsi" w:cstheme="minorBidi"/>
          <w:sz w:val="22"/>
          <w:szCs w:val="22"/>
          <w:lang w:eastAsia="en-US"/>
        </w:rPr>
        <w:t>have achieved</w:t>
      </w:r>
      <w:r>
        <w:rPr>
          <w:rFonts w:asciiTheme="minorHAnsi" w:eastAsiaTheme="minorHAnsi" w:hAnsiTheme="minorHAnsi" w:cstheme="minorBidi"/>
          <w:sz w:val="22"/>
          <w:szCs w:val="22"/>
          <w:lang w:eastAsia="en-US"/>
        </w:rPr>
        <w:t>, the required</w:t>
      </w:r>
      <w:r w:rsidRPr="00864B84">
        <w:rPr>
          <w:rFonts w:asciiTheme="minorHAnsi" w:eastAsiaTheme="minorHAnsi" w:hAnsiTheme="minorHAnsi" w:cstheme="minorBidi"/>
          <w:sz w:val="22"/>
          <w:szCs w:val="22"/>
          <w:lang w:eastAsia="en-US"/>
        </w:rPr>
        <w:t xml:space="preserve"> consultation skills </w:t>
      </w:r>
      <w:r>
        <w:rPr>
          <w:rFonts w:asciiTheme="minorHAnsi" w:eastAsiaTheme="minorHAnsi" w:hAnsiTheme="minorHAnsi" w:cstheme="minorBidi"/>
          <w:sz w:val="22"/>
          <w:szCs w:val="22"/>
          <w:lang w:eastAsia="en-US"/>
        </w:rPr>
        <w:t xml:space="preserve">which underpin these standards </w:t>
      </w:r>
      <w:r w:rsidRPr="00AE58B7">
        <w:rPr>
          <w:rFonts w:asciiTheme="minorHAnsi" w:eastAsiaTheme="minorHAnsi" w:hAnsiTheme="minorHAnsi" w:cstheme="minorBidi"/>
          <w:noProof/>
          <w:sz w:val="22"/>
          <w:szCs w:val="22"/>
          <w:vertAlign w:val="superscript"/>
          <w:lang w:eastAsia="en-US"/>
        </w:rPr>
        <w:t>20</w:t>
      </w:r>
      <w:r w:rsidRPr="008F62E8">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p>
    <w:p w:rsidR="00102289" w:rsidRDefault="00102289" w:rsidP="00FB02EC">
      <w:pPr>
        <w:pStyle w:val="NormalWeb"/>
        <w:spacing w:before="0" w:beforeAutospacing="0" w:after="0" w:afterAutospacing="0" w:line="360" w:lineRule="auto"/>
        <w:rPr>
          <w:rFonts w:asciiTheme="minorHAnsi" w:eastAsiaTheme="minorHAnsi" w:hAnsiTheme="minorHAnsi" w:cstheme="minorBidi"/>
          <w:sz w:val="22"/>
          <w:szCs w:val="22"/>
          <w:lang w:eastAsia="en-US"/>
        </w:rPr>
      </w:pPr>
    </w:p>
    <w:p w:rsidR="00102289" w:rsidRDefault="00102289" w:rsidP="00FB02EC">
      <w:pPr>
        <w:spacing w:after="0" w:line="360" w:lineRule="auto"/>
      </w:pPr>
      <w:r>
        <w:t>This aim of this scoping review was to identify and examine existing empirical evidence in peer-reviewed journals relating to MUR and NMS consultations delivered by community pharmacists in the UK.  Objectives were to: (1) identify and summarise the findings of existing  MUR and NMS studies; (2) examine key features of these services</w:t>
      </w:r>
      <w:r w:rsidR="00243AA0">
        <w:t>, including barriers and facilitators to implementation</w:t>
      </w:r>
      <w:r>
        <w:t xml:space="preserve"> (3) identify limitations and gaps in this literature; (4) identify any policy and practice implications based on existing findings.</w:t>
      </w:r>
    </w:p>
    <w:p w:rsidR="00102289" w:rsidRDefault="00102289" w:rsidP="00FB02EC">
      <w:pPr>
        <w:spacing w:after="0" w:line="360" w:lineRule="auto"/>
      </w:pPr>
    </w:p>
    <w:p w:rsidR="00102289" w:rsidRPr="00C61724" w:rsidRDefault="00102289" w:rsidP="00FB02EC">
      <w:pPr>
        <w:spacing w:after="0" w:line="360" w:lineRule="auto"/>
        <w:rPr>
          <w:b/>
        </w:rPr>
      </w:pPr>
      <w:r w:rsidRPr="00C61724">
        <w:rPr>
          <w:b/>
        </w:rPr>
        <w:t>METHOD</w:t>
      </w:r>
    </w:p>
    <w:p w:rsidR="003D45B3" w:rsidRDefault="00102289" w:rsidP="00FB02EC">
      <w:pPr>
        <w:spacing w:line="360" w:lineRule="auto"/>
      </w:pPr>
      <w:r>
        <w:t xml:space="preserve">We used systematic searches to identify and map all of the available MUR and NMS empirical literature in a scoping review.  Within this mapping exercise, we sought data on </w:t>
      </w:r>
      <w:r w:rsidR="00243AA0">
        <w:t xml:space="preserve">the </w:t>
      </w:r>
      <w:r>
        <w:t>conduct</w:t>
      </w:r>
      <w:r w:rsidR="00243AA0">
        <w:t xml:space="preserve"> of</w:t>
      </w:r>
      <w:r>
        <w:t xml:space="preserve"> MUR </w:t>
      </w:r>
      <w:r w:rsidR="00243AA0">
        <w:t xml:space="preserve">and </w:t>
      </w:r>
      <w:r>
        <w:t xml:space="preserve">NMS consultations, the perceptions of pharmacists and patients, and </w:t>
      </w:r>
      <w:r w:rsidR="00243AA0">
        <w:t xml:space="preserve">the </w:t>
      </w:r>
      <w:r>
        <w:t xml:space="preserve">outcomes of consultations.  </w:t>
      </w:r>
    </w:p>
    <w:p w:rsidR="003D45B3" w:rsidRPr="003D45B3" w:rsidRDefault="003D45B3" w:rsidP="00FB02EC">
      <w:pPr>
        <w:spacing w:line="360" w:lineRule="auto"/>
        <w:rPr>
          <w:i/>
        </w:rPr>
      </w:pPr>
      <w:r w:rsidRPr="003D45B3">
        <w:rPr>
          <w:i/>
        </w:rPr>
        <w:t>Inclusion and exclusion criteria</w:t>
      </w:r>
    </w:p>
    <w:p w:rsidR="003D45B3" w:rsidRDefault="00102289" w:rsidP="00FB02EC">
      <w:pPr>
        <w:spacing w:line="360" w:lineRule="auto"/>
      </w:pPr>
      <w:r>
        <w:t xml:space="preserve">Searches of </w:t>
      </w:r>
      <w:r w:rsidR="008D4D27">
        <w:t xml:space="preserve">primary research studies published in journal </w:t>
      </w:r>
      <w:r w:rsidR="00A723F9">
        <w:t xml:space="preserve">articles between </w:t>
      </w:r>
      <w:r>
        <w:t xml:space="preserve">2005 (when MURs were introduced; the NMS was introduced in 2011) </w:t>
      </w:r>
      <w:r w:rsidR="00A723F9">
        <w:t xml:space="preserve">and </w:t>
      </w:r>
      <w:r>
        <w:t xml:space="preserve"> May 2018 were conducted in MEDLINE, </w:t>
      </w:r>
      <w:proofErr w:type="spellStart"/>
      <w:r>
        <w:t>PycINFO</w:t>
      </w:r>
      <w:proofErr w:type="spellEnd"/>
      <w:r>
        <w:t xml:space="preserve">, </w:t>
      </w:r>
      <w:proofErr w:type="spellStart"/>
      <w:r w:rsidRPr="00810139">
        <w:t>Embase</w:t>
      </w:r>
      <w:proofErr w:type="spellEnd"/>
      <w:r>
        <w:t xml:space="preserve"> and Scopus databases, selected to achieve broad coverage of the review topic.  </w:t>
      </w:r>
      <w:r w:rsidR="00A723F9">
        <w:t xml:space="preserve">Searches were limited to empirical studies </w:t>
      </w:r>
      <w:r w:rsidR="009538DA">
        <w:t xml:space="preserve">with at least some data specific to </w:t>
      </w:r>
      <w:r w:rsidR="00A723F9">
        <w:t>these services</w:t>
      </w:r>
      <w:r w:rsidR="006F04F7">
        <w:t>.  R</w:t>
      </w:r>
      <w:r w:rsidR="00A723F9">
        <w:t>eviews</w:t>
      </w:r>
      <w:r w:rsidR="001A2343">
        <w:t xml:space="preserve">, </w:t>
      </w:r>
      <w:r w:rsidR="00A723F9">
        <w:t>articles with no primary data</w:t>
      </w:r>
      <w:r w:rsidR="001A2343">
        <w:t>, and studies of similar non-UK services</w:t>
      </w:r>
      <w:r w:rsidR="00A723F9">
        <w:t xml:space="preserve"> were excluded.  </w:t>
      </w:r>
      <w:r w:rsidR="00FB02EC">
        <w:t>No restrictions on study design were applied.</w:t>
      </w:r>
    </w:p>
    <w:p w:rsidR="003D45B3" w:rsidRPr="003D45B3" w:rsidRDefault="003D45B3" w:rsidP="00FB02EC">
      <w:pPr>
        <w:spacing w:line="360" w:lineRule="auto"/>
        <w:rPr>
          <w:i/>
        </w:rPr>
      </w:pPr>
      <w:r w:rsidRPr="003D45B3">
        <w:rPr>
          <w:i/>
        </w:rPr>
        <w:t>Search</w:t>
      </w:r>
      <w:r w:rsidR="00526901">
        <w:rPr>
          <w:i/>
        </w:rPr>
        <w:t xml:space="preserve"> strategy</w:t>
      </w:r>
    </w:p>
    <w:p w:rsidR="003D45B3" w:rsidRDefault="00102289" w:rsidP="00FE2F3B">
      <w:pPr>
        <w:spacing w:line="360" w:lineRule="auto"/>
      </w:pPr>
      <w:r>
        <w:t xml:space="preserve">Search terms </w:t>
      </w:r>
      <w:r w:rsidR="00F541FC">
        <w:t xml:space="preserve">for each database </w:t>
      </w:r>
      <w:r>
        <w:t xml:space="preserve">were ‘medicine* use review’, ‘MUR’, ‘new medicine service’ and ‘NMS’.  </w:t>
      </w:r>
      <w:r w:rsidRPr="004A4FE1">
        <w:t xml:space="preserve">Titles and abstracts of papers for potential inclusion were screened independently by two co-authors (DS &amp; LN).  </w:t>
      </w:r>
      <w:r>
        <w:t xml:space="preserve">  </w:t>
      </w:r>
      <w:r w:rsidRPr="004A4FE1">
        <w:t xml:space="preserve">Disagreements or uncertainties about specific papers were resolved by discussion with a third co-author (JM).  </w:t>
      </w:r>
      <w:r>
        <w:t>R</w:t>
      </w:r>
      <w:r w:rsidRPr="00FE1438">
        <w:t xml:space="preserve">eference lists </w:t>
      </w:r>
      <w:r w:rsidR="006F04F7">
        <w:t xml:space="preserve">of identified articles relevant to the review but rejected because of exclusion criteria, and reference lists of included articles, </w:t>
      </w:r>
      <w:r w:rsidRPr="00FE1438">
        <w:t>were m</w:t>
      </w:r>
      <w:r>
        <w:t xml:space="preserve">anually searched for additional </w:t>
      </w:r>
      <w:r w:rsidR="006F04F7">
        <w:t>eligible studies</w:t>
      </w:r>
      <w:r w:rsidRPr="00FE1438">
        <w:t xml:space="preserve">.  </w:t>
      </w:r>
    </w:p>
    <w:p w:rsidR="006F04F7" w:rsidRDefault="006F04F7" w:rsidP="006F04F7"/>
    <w:p w:rsidR="003D45B3" w:rsidRPr="003D45B3" w:rsidRDefault="003D45B3" w:rsidP="00FB02EC">
      <w:pPr>
        <w:autoSpaceDE w:val="0"/>
        <w:autoSpaceDN w:val="0"/>
        <w:adjustRightInd w:val="0"/>
        <w:spacing w:after="0" w:line="360" w:lineRule="auto"/>
        <w:rPr>
          <w:i/>
        </w:rPr>
      </w:pPr>
      <w:r w:rsidRPr="003D45B3">
        <w:rPr>
          <w:i/>
        </w:rPr>
        <w:t>Extraction</w:t>
      </w:r>
      <w:r w:rsidR="008D0C95">
        <w:rPr>
          <w:i/>
        </w:rPr>
        <w:t xml:space="preserve"> and analysis</w:t>
      </w:r>
    </w:p>
    <w:p w:rsidR="00102289" w:rsidRDefault="00102289" w:rsidP="00FB02EC">
      <w:pPr>
        <w:autoSpaceDE w:val="0"/>
        <w:autoSpaceDN w:val="0"/>
        <w:adjustRightInd w:val="0"/>
        <w:spacing w:after="0" w:line="360" w:lineRule="auto"/>
      </w:pPr>
      <w:r w:rsidRPr="004A4FE1">
        <w:t xml:space="preserve">An Excel data extraction form was </w:t>
      </w:r>
      <w:r>
        <w:t xml:space="preserve">used </w:t>
      </w:r>
      <w:r w:rsidR="000C6657">
        <w:t xml:space="preserve">to record </w:t>
      </w:r>
      <w:r w:rsidR="009F7E40">
        <w:t xml:space="preserve">year of publication, </w:t>
      </w:r>
      <w:r w:rsidR="009F7E40" w:rsidRPr="004A4FE1">
        <w:t xml:space="preserve"> type of services delivered</w:t>
      </w:r>
      <w:r w:rsidR="009F7E40">
        <w:t>,</w:t>
      </w:r>
      <w:r w:rsidR="009F7E40" w:rsidRPr="004A4FE1">
        <w:t xml:space="preserve"> </w:t>
      </w:r>
      <w:r w:rsidRPr="004A4FE1">
        <w:t xml:space="preserve">study </w:t>
      </w:r>
      <w:r w:rsidR="009F7E40">
        <w:t xml:space="preserve">objectives, </w:t>
      </w:r>
      <w:r w:rsidR="00585432">
        <w:t>design and methodology</w:t>
      </w:r>
      <w:r w:rsidRPr="004A4FE1">
        <w:t xml:space="preserve">, </w:t>
      </w:r>
      <w:r w:rsidR="009F7E40">
        <w:t xml:space="preserve">sample type and size, data collection time frame, </w:t>
      </w:r>
      <w:r w:rsidRPr="004A4FE1">
        <w:t>and key study quantitative and/or qualitative findings.</w:t>
      </w:r>
      <w:r>
        <w:t xml:space="preserve"> </w:t>
      </w:r>
      <w:r w:rsidR="008D0C95">
        <w:t>Systematic mapping of e</w:t>
      </w:r>
      <w:r w:rsidR="00FB02EC">
        <w:t xml:space="preserve">xtracted data against these headings </w:t>
      </w:r>
      <w:r w:rsidR="008D0C95">
        <w:t xml:space="preserve">was conducted </w:t>
      </w:r>
      <w:r w:rsidR="00FB02EC">
        <w:t>by one co-author (DS)</w:t>
      </w:r>
      <w:r w:rsidR="008D0C95">
        <w:t>,</w:t>
      </w:r>
      <w:r w:rsidR="00FB02EC">
        <w:t xml:space="preserve"> and </w:t>
      </w:r>
      <w:r w:rsidR="008D0C95">
        <w:t xml:space="preserve">the </w:t>
      </w:r>
      <w:r w:rsidR="00FB02EC">
        <w:t xml:space="preserve">content checked by the other co-authors.  </w:t>
      </w:r>
      <w:r w:rsidR="008D0C95">
        <w:t xml:space="preserve">A narrative synthesis was undertaken to meet the study objectives.  </w:t>
      </w:r>
      <w:r>
        <w:t>As a scoping review, the quality of studies was not evaluated formally.</w:t>
      </w:r>
    </w:p>
    <w:p w:rsidR="00102289" w:rsidRDefault="00102289" w:rsidP="00FB02EC">
      <w:pPr>
        <w:spacing w:after="0" w:line="360" w:lineRule="auto"/>
      </w:pPr>
    </w:p>
    <w:p w:rsidR="00102289" w:rsidRPr="003F6D02" w:rsidRDefault="00102289" w:rsidP="00FB02EC">
      <w:pPr>
        <w:spacing w:after="0" w:line="360" w:lineRule="auto"/>
        <w:rPr>
          <w:b/>
        </w:rPr>
      </w:pPr>
      <w:r w:rsidRPr="003F6D02">
        <w:rPr>
          <w:b/>
        </w:rPr>
        <w:t>RESULTS</w:t>
      </w:r>
    </w:p>
    <w:p w:rsidR="008D0C95" w:rsidRDefault="008D0C95" w:rsidP="008D0C95">
      <w:pPr>
        <w:spacing w:line="360" w:lineRule="auto"/>
      </w:pPr>
      <w:r>
        <w:t xml:space="preserve">A total of 461 articles were identified through database searching, and an additional 6 from hand searches (Figure 1).  After removal of duplicates, 141 titles and abstracts were screened, from which </w:t>
      </w:r>
      <w:r>
        <w:lastRenderedPageBreak/>
        <w:t xml:space="preserve">46 full text papers were assessed for eligibility.  Five studies were excluded: no empirical data (n=3); not MUR/NMS (n=1); a study of recruitment difficulties to a feasibility study already included in this review (n=1).  Of the 41 papers included in the review, 28 were of MURs, 10 of NMS and 3 for both services.       </w:t>
      </w:r>
    </w:p>
    <w:p w:rsidR="00102289" w:rsidRPr="004638E5" w:rsidRDefault="00102289" w:rsidP="00FB02EC">
      <w:pPr>
        <w:spacing w:line="360" w:lineRule="auto"/>
      </w:pPr>
      <w:r w:rsidRPr="009A5E14">
        <w:t xml:space="preserve">The </w:t>
      </w:r>
      <w:r>
        <w:t xml:space="preserve">characteristics of the </w:t>
      </w:r>
      <w:r w:rsidRPr="009A5E14">
        <w:t xml:space="preserve">41 MUR and NMS </w:t>
      </w:r>
      <w:r>
        <w:t>papers</w:t>
      </w:r>
      <w:r w:rsidRPr="009A5E14">
        <w:t xml:space="preserve"> are described in Table</w:t>
      </w:r>
      <w:r>
        <w:t>s</w:t>
      </w:r>
      <w:r w:rsidRPr="009A5E14">
        <w:t xml:space="preserve"> 1</w:t>
      </w:r>
      <w:r>
        <w:t>-5</w:t>
      </w:r>
      <w:r w:rsidRPr="009A5E14">
        <w:t xml:space="preserve">.  </w:t>
      </w:r>
      <w:r>
        <w:t xml:space="preserve">Few studies employed an RCT or quasi-experimental design: one study (two papers examining effectiveness and cost-effectiveness) was an RCT </w:t>
      </w:r>
      <w:r w:rsidRPr="00AE58B7">
        <w:rPr>
          <w:noProof/>
          <w:vertAlign w:val="superscript"/>
        </w:rPr>
        <w:t>21, 22</w:t>
      </w:r>
      <w:r>
        <w:t xml:space="preserve">, </w:t>
      </w:r>
      <w:r w:rsidRPr="006553B2">
        <w:t xml:space="preserve">one </w:t>
      </w:r>
      <w:r>
        <w:t xml:space="preserve">was a </w:t>
      </w:r>
      <w:r w:rsidRPr="006553B2">
        <w:t>small</w:t>
      </w:r>
      <w:r>
        <w:t xml:space="preserve"> (randomised)</w:t>
      </w:r>
      <w:r w:rsidRPr="006553B2">
        <w:t xml:space="preserve"> feasibility study</w:t>
      </w:r>
      <w:r>
        <w:t xml:space="preserve"> </w:t>
      </w:r>
      <w:r w:rsidRPr="00AE58B7">
        <w:rPr>
          <w:noProof/>
          <w:vertAlign w:val="superscript"/>
        </w:rPr>
        <w:t>23</w:t>
      </w:r>
      <w:r>
        <w:t xml:space="preserve">, and another recruited a non-randomised control group </w:t>
      </w:r>
      <w:r w:rsidRPr="00AE58B7">
        <w:rPr>
          <w:noProof/>
          <w:vertAlign w:val="superscript"/>
        </w:rPr>
        <w:t>24</w:t>
      </w:r>
      <w:r>
        <w:t xml:space="preserve">.  Three papers exclusively examined secondary data from pharmacy records </w:t>
      </w:r>
      <w:r w:rsidRPr="00AE58B7">
        <w:rPr>
          <w:noProof/>
          <w:vertAlign w:val="superscript"/>
        </w:rPr>
        <w:t>25-27</w:t>
      </w:r>
      <w:r>
        <w:t xml:space="preserve">.  A further five mixed methods studies used secondary data in combination with other (mainly qualitative) data collection </w:t>
      </w:r>
      <w:r w:rsidRPr="00AE58B7">
        <w:rPr>
          <w:noProof/>
          <w:vertAlign w:val="superscript"/>
        </w:rPr>
        <w:t>28-32</w:t>
      </w:r>
      <w:r>
        <w:t xml:space="preserve">.  The remainder of papers were from qualitative studies (n=14), including four papers from the same study </w:t>
      </w:r>
      <w:r w:rsidRPr="00AE58B7">
        <w:rPr>
          <w:noProof/>
          <w:vertAlign w:val="superscript"/>
        </w:rPr>
        <w:t>17, 33-35</w:t>
      </w:r>
      <w:r>
        <w:t>, and from surveys (n=15).</w:t>
      </w:r>
    </w:p>
    <w:p w:rsidR="00102289" w:rsidRPr="002D3995" w:rsidRDefault="00102289" w:rsidP="00FB02EC">
      <w:pPr>
        <w:spacing w:after="0" w:line="360" w:lineRule="auto"/>
        <w:rPr>
          <w:i/>
        </w:rPr>
      </w:pPr>
      <w:r w:rsidRPr="002D3995">
        <w:rPr>
          <w:i/>
        </w:rPr>
        <w:t>Barriers and facilitators</w:t>
      </w:r>
      <w:r>
        <w:rPr>
          <w:i/>
        </w:rPr>
        <w:t xml:space="preserve"> to implementation</w:t>
      </w:r>
    </w:p>
    <w:p w:rsidR="00102289" w:rsidRDefault="00102289" w:rsidP="00FB02EC">
      <w:pPr>
        <w:spacing w:line="360" w:lineRule="auto"/>
      </w:pPr>
      <w:r>
        <w:t xml:space="preserve">A number of studies concluded that health system factors contribute to variable levels of integration of MURs into routine patient care.  In particular, studies using observation of consultations, interviews and surveys identified lack of communication and collaboration between community pharmacists and GPs </w:t>
      </w:r>
      <w:r w:rsidRPr="00194C58">
        <w:rPr>
          <w:noProof/>
          <w:vertAlign w:val="superscript"/>
        </w:rPr>
        <w:t>29, 33, 36</w:t>
      </w:r>
      <w:r>
        <w:t xml:space="preserve"> as a barrier to implementation and thus limiting the potential benefit to patients.  Similarly, poorly developed relationships with GPs </w:t>
      </w:r>
      <w:r>
        <w:rPr>
          <w:noProof/>
        </w:rPr>
        <w:t>identified though observation and interviews</w:t>
      </w:r>
      <w:r>
        <w:t xml:space="preserve"> </w:t>
      </w:r>
      <w:r w:rsidRPr="00194C58">
        <w:rPr>
          <w:noProof/>
          <w:vertAlign w:val="superscript"/>
        </w:rPr>
        <w:t>37, 38</w:t>
      </w:r>
      <w:r>
        <w:t xml:space="preserve"> and</w:t>
      </w:r>
      <w:r w:rsidRPr="00D360C7">
        <w:t xml:space="preserve"> </w:t>
      </w:r>
      <w:r>
        <w:t xml:space="preserve">perceived lack of interest and awareness (from interviews and focus groups) by GPs </w:t>
      </w:r>
      <w:r w:rsidRPr="00194C58">
        <w:rPr>
          <w:noProof/>
          <w:vertAlign w:val="superscript"/>
        </w:rPr>
        <w:t>39, 40</w:t>
      </w:r>
      <w:r>
        <w:t xml:space="preserve"> have been reported to impede implementation of the (more recent) NMS.   </w:t>
      </w:r>
    </w:p>
    <w:p w:rsidR="00102289" w:rsidRDefault="00102289" w:rsidP="00FB02EC">
      <w:pPr>
        <w:spacing w:line="360" w:lineRule="auto"/>
      </w:pPr>
      <w:r>
        <w:t>The organisational setting of the pharmacy is an important factor facilitating the uptake of MURs, with experiences differing by pharmacy type.  There is evidence for contrasting approaches to enhanced services in multiples and independents</w:t>
      </w:r>
      <w:r w:rsidRPr="00047706">
        <w:t xml:space="preserve"> </w:t>
      </w:r>
      <w:r w:rsidRPr="00194C58">
        <w:rPr>
          <w:noProof/>
          <w:vertAlign w:val="superscript"/>
        </w:rPr>
        <w:t>25, 28, 29, 41</w:t>
      </w:r>
      <w:r>
        <w:t xml:space="preserve">, confirmed by analysis of national MUR data showing more extensive adoption in the former </w:t>
      </w:r>
      <w:r w:rsidRPr="00AE58B7">
        <w:rPr>
          <w:noProof/>
          <w:vertAlign w:val="superscript"/>
        </w:rPr>
        <w:t>30</w:t>
      </w:r>
      <w:r>
        <w:t xml:space="preserve">, perhaps driven by internal company pressures to achieve MUR targets </w:t>
      </w:r>
      <w:r w:rsidRPr="00194C58">
        <w:rPr>
          <w:noProof/>
          <w:vertAlign w:val="superscript"/>
        </w:rPr>
        <w:t>42</w:t>
      </w:r>
      <w:r>
        <w:t xml:space="preserve">.  A retrospective study of pharmacy records found significantly more patients per pharmacy were seen for targeted respiratory MURs in Healthy Living Pharmacies </w:t>
      </w:r>
      <w:r w:rsidRPr="00AE58B7">
        <w:rPr>
          <w:noProof/>
          <w:vertAlign w:val="superscript"/>
        </w:rPr>
        <w:t>31</w:t>
      </w:r>
      <w:r>
        <w:t xml:space="preserve">.  The numbers of MURs performed by pharmacists varies </w:t>
      </w:r>
      <w:r w:rsidRPr="00AE58B7">
        <w:rPr>
          <w:noProof/>
          <w:vertAlign w:val="superscript"/>
        </w:rPr>
        <w:t>32</w:t>
      </w:r>
      <w:r>
        <w:t xml:space="preserve"> and appears to be affected by the pharmacists' working hours and whether store based rather than locum pharmacists </w:t>
      </w:r>
      <w:r w:rsidRPr="00194C58">
        <w:rPr>
          <w:noProof/>
          <w:vertAlign w:val="superscript"/>
        </w:rPr>
        <w:t>43</w:t>
      </w:r>
      <w:r>
        <w:t>.  Availability of a consultation area suitable for performing MURs and pharmacists having sufficient time available to perform them are also identified as influencing the number of MURs conducted</w:t>
      </w:r>
      <w:r w:rsidRPr="00A874E1">
        <w:rPr>
          <w:noProof/>
          <w:vertAlign w:val="superscript"/>
        </w:rPr>
        <w:t>43</w:t>
      </w:r>
      <w:r>
        <w:t xml:space="preserve">.  </w:t>
      </w:r>
    </w:p>
    <w:p w:rsidR="00102289" w:rsidRDefault="00102289" w:rsidP="00FB02EC">
      <w:pPr>
        <w:spacing w:line="360" w:lineRule="auto"/>
      </w:pPr>
      <w:r>
        <w:t xml:space="preserve">Some patient groups have more limited access to medication consultations, including the elderly </w:t>
      </w:r>
      <w:r w:rsidRPr="00194C58">
        <w:rPr>
          <w:noProof/>
          <w:vertAlign w:val="superscript"/>
        </w:rPr>
        <w:t>44</w:t>
      </w:r>
      <w:r>
        <w:t>, and one survey found limited uptake in a rural community</w:t>
      </w:r>
      <w:r w:rsidRPr="00194C58">
        <w:rPr>
          <w:noProof/>
          <w:vertAlign w:val="superscript"/>
        </w:rPr>
        <w:t>45</w:t>
      </w:r>
      <w:r>
        <w:t xml:space="preserve"> </w:t>
      </w:r>
      <w:r w:rsidR="00B52BD1">
        <w:t>.</w:t>
      </w:r>
      <w:r>
        <w:t xml:space="preserve">Perceived difficulties taking consent have been cited by pharmacists as the main reason for not undertaking MURs or the NMS with </w:t>
      </w:r>
      <w:r>
        <w:lastRenderedPageBreak/>
        <w:t xml:space="preserve">young people and/or their carers </w:t>
      </w:r>
      <w:r w:rsidRPr="00194C58">
        <w:rPr>
          <w:noProof/>
          <w:vertAlign w:val="superscript"/>
        </w:rPr>
        <w:t>46</w:t>
      </w:r>
      <w:r>
        <w:t xml:space="preserve">. More generally, one study reported that pharmacists avoid more complex cases (for example, with multiple conditions) because they were judged to be more difficult to recruit and would take more time to complete </w:t>
      </w:r>
      <w:r w:rsidRPr="00AE58B7">
        <w:rPr>
          <w:noProof/>
          <w:vertAlign w:val="superscript"/>
        </w:rPr>
        <w:t>33</w:t>
      </w:r>
      <w:r>
        <w:t xml:space="preserve">.  Patients from marginalised communities (e.g. people with disabilities, diagnosed with a serious mental illness, or with no fixed abode) are not always aware of enhanced pharmacy services but would welcome greater engagement, while pharmacists find it more difficult to identify, communicate with and accommodate the specific needs of these patients within the context of the busy pharmacy environment </w:t>
      </w:r>
      <w:r w:rsidRPr="00194C58">
        <w:rPr>
          <w:noProof/>
          <w:vertAlign w:val="superscript"/>
        </w:rPr>
        <w:t>47</w:t>
      </w:r>
      <w:r>
        <w:t xml:space="preserve">. </w:t>
      </w:r>
    </w:p>
    <w:p w:rsidR="00102289" w:rsidRPr="009D4490" w:rsidRDefault="00102289" w:rsidP="00FB02EC">
      <w:pPr>
        <w:spacing w:after="0" w:line="360" w:lineRule="auto"/>
        <w:rPr>
          <w:i/>
        </w:rPr>
      </w:pPr>
      <w:r w:rsidRPr="009D4490">
        <w:rPr>
          <w:i/>
        </w:rPr>
        <w:t xml:space="preserve">Patient </w:t>
      </w:r>
      <w:r>
        <w:rPr>
          <w:i/>
        </w:rPr>
        <w:t>perceptions</w:t>
      </w:r>
    </w:p>
    <w:p w:rsidR="00102289" w:rsidRDefault="00102289" w:rsidP="00FB02EC">
      <w:pPr>
        <w:spacing w:line="360" w:lineRule="auto"/>
      </w:pPr>
      <w:r>
        <w:t xml:space="preserve">Patients' perceptions of MURs and NMS are broadly positive </w:t>
      </w:r>
      <w:r w:rsidRPr="00194C58">
        <w:rPr>
          <w:noProof/>
          <w:vertAlign w:val="superscript"/>
        </w:rPr>
        <w:t>34, 48</w:t>
      </w:r>
      <w:r>
        <w:t xml:space="preserve">.  A survey of over 500 patients following an MUR (although the response rate was very low; 24%) found high levels of patient satisfaction with the service across a number of domains, even if some patients were initially reluctant to take part in a MUR </w:t>
      </w:r>
      <w:r w:rsidRPr="00194C58">
        <w:rPr>
          <w:noProof/>
          <w:vertAlign w:val="superscript"/>
        </w:rPr>
        <w:t>49</w:t>
      </w:r>
      <w:r>
        <w:t xml:space="preserve">.  Patients have reported learning more about their medicines and side effects after a MUR, and to have improved their compliance </w:t>
      </w:r>
      <w:r w:rsidRPr="00194C58">
        <w:rPr>
          <w:noProof/>
          <w:vertAlign w:val="superscript"/>
        </w:rPr>
        <w:t>32, 50</w:t>
      </w:r>
      <w:r>
        <w:t xml:space="preserve">. More detailed examination of patient experiences using observation of MURs and patient interviews indicated that although patients appreciate the opportunity to discuss medication with a pharmacist, MUR consultations do not necessarily improve their knowledge of medicines or affect how they used them </w:t>
      </w:r>
      <w:r w:rsidRPr="00AE58B7">
        <w:rPr>
          <w:noProof/>
          <w:vertAlign w:val="superscript"/>
        </w:rPr>
        <w:t>34</w:t>
      </w:r>
      <w:r>
        <w:t>.  Patients have been found to value the two way dialogue with pharmacists and be able to ask questions</w:t>
      </w:r>
      <w:r w:rsidRPr="00A874E1">
        <w:rPr>
          <w:noProof/>
          <w:vertAlign w:val="superscript"/>
        </w:rPr>
        <w:t>51</w:t>
      </w:r>
      <w:r>
        <w:t xml:space="preserve">.  Misalignment between patients’ and pharmacists’ framing of the purpose and potential benefits of the NMS has also been reported </w:t>
      </w:r>
      <w:r w:rsidRPr="00194C58">
        <w:rPr>
          <w:noProof/>
          <w:vertAlign w:val="superscript"/>
        </w:rPr>
        <w:t>52</w:t>
      </w:r>
      <w:r>
        <w:t>, as well as variations in the information available to patients about the nature of pharmacist-patient roles</w:t>
      </w:r>
      <w:r w:rsidRPr="00A874E1">
        <w:rPr>
          <w:noProof/>
          <w:vertAlign w:val="superscript"/>
        </w:rPr>
        <w:t>53</w:t>
      </w:r>
      <w:r>
        <w:t xml:space="preserve">.  More general expectations of these services among pharmacists and the public have been found to be similarly high to each other </w:t>
      </w:r>
      <w:r w:rsidRPr="00194C58">
        <w:rPr>
          <w:noProof/>
          <w:vertAlign w:val="superscript"/>
        </w:rPr>
        <w:t>48</w:t>
      </w:r>
      <w:r>
        <w:t xml:space="preserve">.    </w:t>
      </w:r>
    </w:p>
    <w:p w:rsidR="00102289" w:rsidRPr="009D4490" w:rsidRDefault="00102289" w:rsidP="00FB02EC">
      <w:pPr>
        <w:spacing w:after="0" w:line="360" w:lineRule="auto"/>
        <w:rPr>
          <w:i/>
        </w:rPr>
      </w:pPr>
      <w:r>
        <w:rPr>
          <w:i/>
        </w:rPr>
        <w:t>Pharmacist perceptions</w:t>
      </w:r>
    </w:p>
    <w:p w:rsidR="00102289" w:rsidRDefault="00102289" w:rsidP="00FB02EC">
      <w:pPr>
        <w:spacing w:line="360" w:lineRule="auto"/>
      </w:pPr>
      <w:r>
        <w:t xml:space="preserve">Overall, community pharmacists are positive about the idea of MUR and NMS services, and view them as an opportunity to use their skills.  Studies report community pharmacists’ confidence to undertake MURs to be high </w:t>
      </w:r>
      <w:r w:rsidRPr="00194C58">
        <w:rPr>
          <w:noProof/>
          <w:vertAlign w:val="superscript"/>
        </w:rPr>
        <w:t>41, 54</w:t>
      </w:r>
      <w:r>
        <w:t xml:space="preserve"> and perceive the service to be of value to patients </w:t>
      </w:r>
      <w:r w:rsidRPr="00194C58">
        <w:rPr>
          <w:noProof/>
          <w:vertAlign w:val="superscript"/>
        </w:rPr>
        <w:t>43</w:t>
      </w:r>
      <w:r>
        <w:t xml:space="preserve">.  Pharmacists appear to underestimate the willingness of patients compared to the general public to engage with enhanced pharmacy services </w:t>
      </w:r>
      <w:r w:rsidRPr="00194C58">
        <w:rPr>
          <w:noProof/>
          <w:vertAlign w:val="superscript"/>
        </w:rPr>
        <w:t>48</w:t>
      </w:r>
      <w:r>
        <w:t xml:space="preserve">.  One small survey found opinions differed as to whether MURs constitute a tick-box exercise </w:t>
      </w:r>
      <w:r w:rsidRPr="00194C58">
        <w:rPr>
          <w:noProof/>
          <w:vertAlign w:val="superscript"/>
        </w:rPr>
        <w:t>55</w:t>
      </w:r>
      <w:r>
        <w:t>, but found agreement that MURs should strike a balance between clinical (e.g. ensuring patients take correct medication) and behavioural (e.g. using medication in the correct way) content.</w:t>
      </w:r>
    </w:p>
    <w:p w:rsidR="00102289" w:rsidRDefault="00102289" w:rsidP="00FB02EC">
      <w:pPr>
        <w:spacing w:line="360" w:lineRule="auto"/>
      </w:pPr>
      <w:r>
        <w:t xml:space="preserve">Despite pharmacists holding positive views about the potential value of the NMS </w:t>
      </w:r>
      <w:r w:rsidRPr="00194C58">
        <w:rPr>
          <w:noProof/>
          <w:vertAlign w:val="superscript"/>
        </w:rPr>
        <w:t>40</w:t>
      </w:r>
      <w:r>
        <w:t xml:space="preserve">, reflections on practice suggest they are not convinced of its necessity for some patients.  Qualitative evidence </w:t>
      </w:r>
      <w:r>
        <w:lastRenderedPageBreak/>
        <w:t xml:space="preserve">indicated that many consultations did not identify any problems with the patients' medicines, raising questions about targeting </w:t>
      </w:r>
      <w:r w:rsidRPr="00194C58">
        <w:rPr>
          <w:noProof/>
          <w:vertAlign w:val="superscript"/>
        </w:rPr>
        <w:t>37</w:t>
      </w:r>
      <w:r>
        <w:t xml:space="preserve">. Thus, focus groups with community pharmacists have identified potential benefits of the NMS service, but opinions of implementing the NMS in practice are much more mixed </w:t>
      </w:r>
      <w:r w:rsidRPr="00194C58">
        <w:rPr>
          <w:noProof/>
          <w:vertAlign w:val="superscript"/>
        </w:rPr>
        <w:t>38</w:t>
      </w:r>
      <w:r>
        <w:t xml:space="preserve">. Prior to the introduction of the NMS, payment structure, speed of implementation, and the availability of supporting materials were cited by pharmacists as potential barriers to implementation </w:t>
      </w:r>
      <w:r w:rsidRPr="00194C58">
        <w:rPr>
          <w:noProof/>
          <w:vertAlign w:val="superscript"/>
        </w:rPr>
        <w:t>40</w:t>
      </w:r>
      <w:r>
        <w:t>.  The influence of these or other environmental factors on practice has not been examined in more recent literature.</w:t>
      </w:r>
    </w:p>
    <w:p w:rsidR="00102289" w:rsidRPr="009D4490" w:rsidRDefault="00102289" w:rsidP="00FB02EC">
      <w:pPr>
        <w:spacing w:after="0" w:line="360" w:lineRule="auto"/>
        <w:rPr>
          <w:i/>
        </w:rPr>
      </w:pPr>
      <w:r>
        <w:rPr>
          <w:i/>
        </w:rPr>
        <w:t>Conduct of consultations</w:t>
      </w:r>
    </w:p>
    <w:p w:rsidR="00102289" w:rsidRDefault="00102289" w:rsidP="00FB02EC">
      <w:pPr>
        <w:spacing w:line="360" w:lineRule="auto"/>
      </w:pPr>
      <w:r>
        <w:t xml:space="preserve">The duration of these consultations is short.  A survey of 341 pharmacists estimated MUR consultations to take an average of 10 minutes and the NMS an average of 12 minutes, durations which were found to be acceptable to both pharmacists and patients </w:t>
      </w:r>
      <w:r w:rsidRPr="00194C58">
        <w:rPr>
          <w:noProof/>
          <w:vertAlign w:val="superscript"/>
        </w:rPr>
        <w:t>48</w:t>
      </w:r>
      <w:r>
        <w:t xml:space="preserve">.  Ethnographic observations of </w:t>
      </w:r>
      <w:r w:rsidRPr="00FE1AA5">
        <w:t>54 MUR</w:t>
      </w:r>
      <w:r>
        <w:t xml:space="preserve"> consultations and interviews with </w:t>
      </w:r>
      <w:r w:rsidRPr="00FE1AA5">
        <w:t xml:space="preserve">34 </w:t>
      </w:r>
      <w:r>
        <w:t xml:space="preserve">MUR </w:t>
      </w:r>
      <w:r w:rsidRPr="00FE1AA5">
        <w:t>patient</w:t>
      </w:r>
      <w:r>
        <w:t xml:space="preserve">s and 5 pharmacists </w:t>
      </w:r>
      <w:r w:rsidRPr="00AE58B7">
        <w:rPr>
          <w:noProof/>
          <w:vertAlign w:val="superscript"/>
        </w:rPr>
        <w:t>17</w:t>
      </w:r>
      <w:r>
        <w:t xml:space="preserve"> had a number of key findings.  </w:t>
      </w:r>
      <w:r w:rsidRPr="00E2747C">
        <w:t>MUR consultations were brief</w:t>
      </w:r>
      <w:r>
        <w:t xml:space="preserve"> and involved mainly </w:t>
      </w:r>
      <w:r w:rsidRPr="00E2747C">
        <w:t>closed questions</w:t>
      </w:r>
      <w:r>
        <w:t xml:space="preserve"> to enable </w:t>
      </w:r>
      <w:r w:rsidRPr="00E2747C">
        <w:t>quick and easy completion of the MUR form</w:t>
      </w:r>
      <w:r>
        <w:t>; the MUR was often introduced as a quick check of medicines</w:t>
      </w:r>
      <w:r w:rsidRPr="00E2747C">
        <w:t>.</w:t>
      </w:r>
      <w:r>
        <w:t xml:space="preserve">  Opportunities for patients to ask questions were minimised.  Pharmacists were reluctant to engage in discussion of patients’ illnesses, which patients often raised.  Thus, the consultations d</w:t>
      </w:r>
      <w:r w:rsidRPr="00E2747C">
        <w:t xml:space="preserve">id </w:t>
      </w:r>
      <w:r>
        <w:t xml:space="preserve">not address how patients might manage their illness better with their medicines, and had little impact on </w:t>
      </w:r>
      <w:r w:rsidRPr="00E2747C">
        <w:t>medicine use</w:t>
      </w:r>
      <w:r>
        <w:t xml:space="preserve">.  From this study, it is doubtful that the depth of engagement with patients and their health problems during consultations is sufficient to fulfil the purposes of MURs beyond checking safety.  </w:t>
      </w:r>
      <w:r w:rsidRPr="00E2747C">
        <w:t xml:space="preserve">Pragmatic constraints of workload and pharmacy organisation </w:t>
      </w:r>
      <w:r>
        <w:t xml:space="preserve">were reported by pharmacists as barriers to effective MUR implementation.  </w:t>
      </w:r>
    </w:p>
    <w:p w:rsidR="00102289" w:rsidRDefault="00102289" w:rsidP="00FB02EC">
      <w:pPr>
        <w:spacing w:line="360" w:lineRule="auto"/>
      </w:pPr>
      <w:r>
        <w:t>In contrast, o</w:t>
      </w:r>
      <w:r w:rsidRPr="0036081A">
        <w:t xml:space="preserve">ne small </w:t>
      </w:r>
      <w:r>
        <w:t xml:space="preserve">observational </w:t>
      </w:r>
      <w:r w:rsidRPr="0036081A">
        <w:t xml:space="preserve">study of MUR consultations </w:t>
      </w:r>
      <w:r>
        <w:t xml:space="preserve">(n=7) </w:t>
      </w:r>
      <w:r w:rsidRPr="0036081A">
        <w:t xml:space="preserve">reported that patients valued discussion with the pharmacist, </w:t>
      </w:r>
      <w:r>
        <w:t xml:space="preserve">when it </w:t>
      </w:r>
      <w:r w:rsidRPr="0036081A">
        <w:t>involv</w:t>
      </w:r>
      <w:r>
        <w:t>ed</w:t>
      </w:r>
      <w:r w:rsidRPr="0036081A">
        <w:t xml:space="preserve"> an exchange of information rather than simply information giving</w:t>
      </w:r>
      <w:r>
        <w:t xml:space="preserve"> </w:t>
      </w:r>
      <w:r w:rsidRPr="00194C58">
        <w:rPr>
          <w:noProof/>
          <w:vertAlign w:val="superscript"/>
        </w:rPr>
        <w:t>56</w:t>
      </w:r>
      <w:r w:rsidRPr="0036081A">
        <w:t>.</w:t>
      </w:r>
      <w:r>
        <w:t xml:space="preserve">  Similarly, standardised documentation for MURs may not constrain pharmacists’ autonomy to adapt the material, to avoid a formulaic approach to medication discussions </w:t>
      </w:r>
      <w:r w:rsidRPr="00194C58">
        <w:rPr>
          <w:noProof/>
          <w:vertAlign w:val="superscript"/>
        </w:rPr>
        <w:t>42</w:t>
      </w:r>
      <w:r>
        <w:t xml:space="preserve">. MUR quality indicators have been proposed to improve recording of consultations having been delivered </w:t>
      </w:r>
      <w:r w:rsidRPr="00194C58">
        <w:rPr>
          <w:noProof/>
          <w:vertAlign w:val="superscript"/>
        </w:rPr>
        <w:t>57</w:t>
      </w:r>
      <w:r>
        <w:t>.</w:t>
      </w:r>
      <w:r w:rsidRPr="0036081A">
        <w:t xml:space="preserve"> </w:t>
      </w:r>
    </w:p>
    <w:p w:rsidR="00102289" w:rsidRDefault="00102289" w:rsidP="00FB02EC">
      <w:pPr>
        <w:spacing w:line="360" w:lineRule="auto"/>
      </w:pPr>
      <w:r>
        <w:t xml:space="preserve">Concern has been expressed that opportunities for NMS consultations are more limited than originally intended </w:t>
      </w:r>
      <w:r w:rsidRPr="00AE58B7">
        <w:rPr>
          <w:noProof/>
          <w:vertAlign w:val="superscript"/>
        </w:rPr>
        <w:t>26</w:t>
      </w:r>
      <w:r>
        <w:t xml:space="preserve">.  This is supported by a pharmacist survey that found low levels of NMS provision for patients prescribed oral anti-coagulants for stroke prevention in atrial fibrillation </w:t>
      </w:r>
      <w:r w:rsidRPr="00194C58">
        <w:rPr>
          <w:noProof/>
          <w:vertAlign w:val="superscript"/>
        </w:rPr>
        <w:t>58</w:t>
      </w:r>
      <w:r>
        <w:t xml:space="preserve">.  Observations and interviews with patients suggest NMS consultations to be a pharmacist led questioning of the patient, with variation in the extent to which pharmacists keep to a formal NMS discussion schedule </w:t>
      </w:r>
      <w:r w:rsidRPr="00194C58">
        <w:rPr>
          <w:noProof/>
          <w:vertAlign w:val="superscript"/>
        </w:rPr>
        <w:t>52</w:t>
      </w:r>
      <w:r>
        <w:t xml:space="preserve">.  Focus groups with pharmacists </w:t>
      </w:r>
      <w:r w:rsidRPr="00614104">
        <w:t>before</w:t>
      </w:r>
      <w:r>
        <w:t xml:space="preserve"> NMS implementation identified </w:t>
      </w:r>
      <w:r>
        <w:lastRenderedPageBreak/>
        <w:t xml:space="preserve">interview techniques and communication skills as being important for the successful delivery of NMS but not something requiring further training </w:t>
      </w:r>
      <w:r w:rsidRPr="00194C58">
        <w:rPr>
          <w:noProof/>
          <w:vertAlign w:val="superscript"/>
        </w:rPr>
        <w:t>40</w:t>
      </w:r>
      <w:r>
        <w:t xml:space="preserve">.  Pharmacists also had positive attitudes to providing the service, seeing it as an opportunity to use their clinical skills to benefit patients.  In practice, the importance of pharmacists’ </w:t>
      </w:r>
      <w:r w:rsidRPr="00BE4A2D">
        <w:t>communication and interpersonal skills</w:t>
      </w:r>
      <w:r>
        <w:t xml:space="preserve"> is underlined by the pragmatic approaches taken to implementing medication reviews.  An observational study of NMS delivery reported pharmacists using strategies to </w:t>
      </w:r>
      <w:r w:rsidRPr="00BE4A2D">
        <w:t>persuade patients to</w:t>
      </w:r>
      <w:r>
        <w:t xml:space="preserve"> </w:t>
      </w:r>
      <w:r w:rsidRPr="00BE4A2D">
        <w:t xml:space="preserve">have NMS and </w:t>
      </w:r>
      <w:r>
        <w:t xml:space="preserve">attempting to </w:t>
      </w:r>
      <w:r w:rsidRPr="00BE4A2D">
        <w:t>keep an informal tone</w:t>
      </w:r>
      <w:r>
        <w:t xml:space="preserve"> to discussions </w:t>
      </w:r>
      <w:r w:rsidRPr="00194C58">
        <w:rPr>
          <w:noProof/>
          <w:vertAlign w:val="superscript"/>
        </w:rPr>
        <w:t>37</w:t>
      </w:r>
      <w:r w:rsidRPr="00BE4A2D">
        <w:t xml:space="preserve">. </w:t>
      </w:r>
      <w:r>
        <w:t xml:space="preserve">The </w:t>
      </w:r>
      <w:r w:rsidRPr="00BE4A2D">
        <w:t xml:space="preserve">NMS question guide </w:t>
      </w:r>
      <w:r>
        <w:t xml:space="preserve">was thus </w:t>
      </w:r>
      <w:r w:rsidRPr="00BE4A2D">
        <w:t xml:space="preserve">adapted to suit conversation flow and </w:t>
      </w:r>
      <w:r>
        <w:t xml:space="preserve">pharmacists’ </w:t>
      </w:r>
      <w:r w:rsidRPr="00BE4A2D">
        <w:t xml:space="preserve">perceptions of the purpose of NMS.  </w:t>
      </w:r>
      <w:r>
        <w:t>Whilst some managed patient discussions competently, this study also found e</w:t>
      </w:r>
      <w:r w:rsidRPr="00BE4A2D">
        <w:t>vidence that pharmacists need</w:t>
      </w:r>
      <w:r>
        <w:t>ed</w:t>
      </w:r>
      <w:r w:rsidRPr="00BE4A2D">
        <w:t xml:space="preserve"> to enhance their consultation and communication skills to ensure that NMS consultations are patient-cent</w:t>
      </w:r>
      <w:r>
        <w:t xml:space="preserve">red. For example, some regarded NMS to be information giving, rather than exploring patient understanding of medication, calling into question how patient-centred the service delivered can be expected to be.  </w:t>
      </w:r>
      <w:r w:rsidRPr="003444F3">
        <w:t>Using a similar methodology</w:t>
      </w:r>
      <w:r>
        <w:t xml:space="preserve"> Waring et al. reported that not all pharmacists were equally skilled at communicating with their patients during NMS consultations, with some more able to go ‘off-script’ to ask about lifestyle factors </w:t>
      </w:r>
      <w:r w:rsidRPr="00194C58">
        <w:rPr>
          <w:noProof/>
          <w:vertAlign w:val="superscript"/>
        </w:rPr>
        <w:t>59</w:t>
      </w:r>
      <w:r>
        <w:t xml:space="preserve">.  Significantly, these pharmacists tended to more experienced and concerned with developing a relationship with patients.    </w:t>
      </w:r>
    </w:p>
    <w:p w:rsidR="00102289" w:rsidRDefault="00102289" w:rsidP="00FB02EC">
      <w:pPr>
        <w:spacing w:line="360" w:lineRule="auto"/>
      </w:pPr>
      <w:r>
        <w:t xml:space="preserve">Very little information is available in the literature on the extent of discussion or advice on health behaviours during consultations.  A pharmacist completed survey reported over a fifth of NMS patients received advice on such issues, most commonly on diet, with alcohol and smoking advice provided to around 40% of these patients </w:t>
      </w:r>
      <w:r w:rsidRPr="00194C58">
        <w:rPr>
          <w:noProof/>
          <w:vertAlign w:val="superscript"/>
        </w:rPr>
        <w:t>60</w:t>
      </w:r>
      <w:r>
        <w:t xml:space="preserve">.  Such shortcomings extend beyond the conduct of MURs and the NMS, indicating broader challenges to moving from a traditional community pharmacist role to consistent adoption of patient-centred approaches to practice. Interviews with 15 community pharmacists suggested a perception that cardiovascular disease patients may react negatively to the uninvited offer of health behaviour advice, and in turn made pharmacists reluctant to discuss broader issues of relevance to patients’ health </w:t>
      </w:r>
      <w:r w:rsidRPr="00194C58">
        <w:rPr>
          <w:noProof/>
          <w:vertAlign w:val="superscript"/>
        </w:rPr>
        <w:t>61</w:t>
      </w:r>
      <w:r>
        <w:t xml:space="preserve">. Some pharmacists in the sample felt that they did not receive appropriate skills training to offer patients such advice, although confidence to do this appeared to develop over time.  Management of long term conditions has been described by pharmacists as identifying medication issues and informing/educating patients about it, rather than actively involving patients in decision making about their medication </w:t>
      </w:r>
      <w:r w:rsidRPr="00194C58">
        <w:rPr>
          <w:noProof/>
          <w:vertAlign w:val="superscript"/>
        </w:rPr>
        <w:t>62</w:t>
      </w:r>
      <w:r>
        <w:t xml:space="preserve">.  A more recent focus group and interview study </w:t>
      </w:r>
      <w:r w:rsidRPr="00194C58">
        <w:rPr>
          <w:noProof/>
          <w:vertAlign w:val="superscript"/>
        </w:rPr>
        <w:t>63</w:t>
      </w:r>
      <w:r>
        <w:t xml:space="preserve"> with a range of pharmacists and staff, including 6 early career community pharmacists and 8 community pharmacy pre-registration tutors reinforced the need to avoid technical language during consultations, avoiding being overly friendly (pharmacists perceived this to be off-putting to patients) and flexibility to adapt communication style to individual patients.  Thus, overly formalised interventions cannot facilitate patient centred care.</w:t>
      </w:r>
    </w:p>
    <w:p w:rsidR="00102289" w:rsidRPr="009D4490" w:rsidRDefault="00102289" w:rsidP="00FB02EC">
      <w:pPr>
        <w:spacing w:after="0" w:line="360" w:lineRule="auto"/>
        <w:rPr>
          <w:i/>
        </w:rPr>
      </w:pPr>
      <w:r>
        <w:rPr>
          <w:i/>
        </w:rPr>
        <w:lastRenderedPageBreak/>
        <w:t>Outcomes</w:t>
      </w:r>
    </w:p>
    <w:p w:rsidR="00102289" w:rsidRDefault="00102289" w:rsidP="00FB02EC">
      <w:pPr>
        <w:spacing w:line="360" w:lineRule="auto"/>
      </w:pPr>
      <w:r>
        <w:t>The majority of studies were qualitative or surveys and typically of small scale, and few studies evaluated outcomes of MURs or the NMS in any way.  To date only one randomised trial (of NMS) has been conducted.  This trial recruited 504 participants, allocated to NMS or usual care, and measured self-reported medication a</w:t>
      </w:r>
      <w:r w:rsidRPr="00AA6210">
        <w:t>dherence</w:t>
      </w:r>
      <w:r>
        <w:t xml:space="preserve"> at 10 weeks follow-up</w:t>
      </w:r>
      <w:r w:rsidRPr="00AA6210">
        <w:t>, defined as missing no doses without the advice of a medical professional in the previous 7 days</w:t>
      </w:r>
      <w:r>
        <w:t xml:space="preserve"> </w:t>
      </w:r>
      <w:r w:rsidRPr="00AE58B7">
        <w:rPr>
          <w:noProof/>
          <w:vertAlign w:val="superscript"/>
        </w:rPr>
        <w:t>21</w:t>
      </w:r>
      <w:r>
        <w:t xml:space="preserve">.  NMS significantly increased the proportion of patients adhering to their new medicine by about 10%, and was significant in intention to treat analyses and after adjustment for missing data.   Economic modelling of adherence outcomes, using NHS and non-NHS resource use costs and costs of the intervention costs, found health benefit at lower cost attributable to NMS; a mean of </w:t>
      </w:r>
      <w:r w:rsidRPr="00A45309">
        <w:t>0.05 more QALYs per patient, at a mean reduced cost of -£144</w:t>
      </w:r>
      <w:r>
        <w:t xml:space="preserve"> </w:t>
      </w:r>
      <w:r w:rsidRPr="00AE58B7">
        <w:rPr>
          <w:noProof/>
          <w:vertAlign w:val="superscript"/>
        </w:rPr>
        <w:t>22</w:t>
      </w:r>
      <w:r>
        <w:t>.  Although this was designed as a pragmatic trial, it is unclear how far these findings may generalise to the outcomes that may be expected when NMS is delivered in routine practice.</w:t>
      </w:r>
    </w:p>
    <w:p w:rsidR="00102289" w:rsidRDefault="00102289" w:rsidP="00FB02EC">
      <w:pPr>
        <w:spacing w:line="360" w:lineRule="auto"/>
      </w:pPr>
      <w:r>
        <w:t xml:space="preserve">A range of outcomes have been reported by studies not robustly designed to identify outcomes.  A quasi-experimental study of post-hospital counselling and community pharmacist MURs improved patients’ knowledge of their medication, but was undermined by less than half of patients for whom a MUR was recommended actually receiving one </w:t>
      </w:r>
      <w:r w:rsidRPr="00AE58B7">
        <w:rPr>
          <w:noProof/>
          <w:vertAlign w:val="superscript"/>
        </w:rPr>
        <w:t>24</w:t>
      </w:r>
      <w:r>
        <w:t xml:space="preserve">;  the primary reason was patients having their medicine delivered to their home, and thus not requiring a visit to a community pharmacy.  Lack of mobility has also been identified as a barrier to conducting post-hospital discharge MURs in a small feasibility trial </w:t>
      </w:r>
      <w:r w:rsidRPr="00AE58B7">
        <w:rPr>
          <w:noProof/>
          <w:vertAlign w:val="superscript"/>
        </w:rPr>
        <w:t>23</w:t>
      </w:r>
      <w:r>
        <w:t xml:space="preserve">.  In a large survey-based evaluation of hospital referrals to a community pharmacy follow-up service, MUR (n=288) or NMS (n=241) consultations were the most common types of service provided (if provided at all), with results indicating that patients receiving a follow-up consultation (of any type) may have lower rates of readmission and shorter hospital stays </w:t>
      </w:r>
      <w:r w:rsidRPr="00AE58B7">
        <w:rPr>
          <w:noProof/>
          <w:vertAlign w:val="superscript"/>
        </w:rPr>
        <w:t>27</w:t>
      </w:r>
      <w:r>
        <w:t xml:space="preserve">.  A patient survey (n=232, from 4 community pharmacies) found that those who had received an advanced pharmacy service, such as a MUR, reported greater medicines adherence and satisfaction with medicine related information </w:t>
      </w:r>
      <w:r w:rsidRPr="00194C58">
        <w:rPr>
          <w:noProof/>
          <w:vertAlign w:val="superscript"/>
        </w:rPr>
        <w:t>64</w:t>
      </w:r>
      <w:r>
        <w:t xml:space="preserve">.  There may be unintended consequences to pharmacists spending time undertaking these consultations: support-staff report feeling frustrated when left to explain to patients that the pharmacist is not available because they are conducting an MUR </w:t>
      </w:r>
      <w:r w:rsidRPr="00AE58B7">
        <w:rPr>
          <w:noProof/>
          <w:vertAlign w:val="superscript"/>
        </w:rPr>
        <w:t>35</w:t>
      </w:r>
      <w:r>
        <w:t xml:space="preserve">.   </w:t>
      </w:r>
    </w:p>
    <w:p w:rsidR="00102289" w:rsidRPr="00EC7881" w:rsidRDefault="00102289" w:rsidP="00FB02EC">
      <w:pPr>
        <w:spacing w:after="0" w:line="360" w:lineRule="auto"/>
        <w:rPr>
          <w:b/>
        </w:rPr>
      </w:pPr>
      <w:r>
        <w:rPr>
          <w:b/>
        </w:rPr>
        <w:t>DISCUSSION</w:t>
      </w:r>
    </w:p>
    <w:p w:rsidR="00102289" w:rsidRDefault="00102289" w:rsidP="00FB02EC">
      <w:pPr>
        <w:spacing w:line="360" w:lineRule="auto"/>
      </w:pPr>
      <w:r>
        <w:rPr>
          <w:rFonts w:ascii="Calibri" w:hAnsi="Calibri"/>
          <w:color w:val="000000"/>
        </w:rPr>
        <w:t>The MUR and NMS literature largely focuses on the introduction and early implementation of these services, with little detailed attention to process and outcomes for patients.</w:t>
      </w:r>
      <w:r>
        <w:t xml:space="preserve">  The international literature of pharmacist- led medication reviews convincingly shows improved disease-specific and medication adherence outcomes </w:t>
      </w:r>
      <w:r w:rsidRPr="00B82FF1">
        <w:rPr>
          <w:noProof/>
          <w:vertAlign w:val="superscript"/>
        </w:rPr>
        <w:t>2</w:t>
      </w:r>
      <w:r>
        <w:t xml:space="preserve">, but beyond the single NMS RCT </w:t>
      </w:r>
      <w:r w:rsidRPr="00AE58B7">
        <w:rPr>
          <w:noProof/>
          <w:vertAlign w:val="superscript"/>
        </w:rPr>
        <w:t>21</w:t>
      </w:r>
      <w:r>
        <w:t xml:space="preserve"> the effectiveness of UK medication related advanced services has not been evaluated, despite on-going challenges to </w:t>
      </w:r>
      <w:r>
        <w:lastRenderedPageBreak/>
        <w:t>successful implementation</w:t>
      </w:r>
      <w:r w:rsidRPr="00194C58">
        <w:rPr>
          <w:noProof/>
          <w:vertAlign w:val="superscript"/>
        </w:rPr>
        <w:t>65</w:t>
      </w:r>
      <w:r>
        <w:t xml:space="preserve">.  Confidence that the specific aims of MUR and NMS consultations </w:t>
      </w:r>
      <w:r w:rsidRPr="00AE58B7">
        <w:rPr>
          <w:noProof/>
          <w:vertAlign w:val="superscript"/>
        </w:rPr>
        <w:t>8, 9</w:t>
      </w:r>
      <w:r>
        <w:t xml:space="preserve"> </w:t>
      </w:r>
      <w:r w:rsidR="001005C2">
        <w:t>will be achieved in practice is</w:t>
      </w:r>
      <w:r>
        <w:t xml:space="preserve">, therefore, limited by the research evidence available.   </w:t>
      </w:r>
    </w:p>
    <w:p w:rsidR="00102289" w:rsidRDefault="00102289" w:rsidP="00FB02EC">
      <w:pPr>
        <w:spacing w:line="360" w:lineRule="auto"/>
        <w:rPr>
          <w:rFonts w:ascii="Calibri" w:eastAsia="Arial" w:hAnsi="Calibri" w:cs="Calibri"/>
          <w:color w:val="000000"/>
          <w:shd w:val="clear" w:color="auto" w:fill="FFFFFF"/>
        </w:rPr>
      </w:pPr>
      <w:r>
        <w:rPr>
          <w:rFonts w:ascii="Calibri" w:hAnsi="Calibri"/>
          <w:color w:val="000000"/>
        </w:rPr>
        <w:t xml:space="preserve">There is enthusiasm for MURs and the NMS from both pharmacists and patients as a means to improve the way medication is taken, and by implication effectiveness and safety </w:t>
      </w:r>
      <w:r w:rsidRPr="00194C58">
        <w:rPr>
          <w:rFonts w:ascii="Calibri" w:hAnsi="Calibri"/>
          <w:noProof/>
          <w:color w:val="000000"/>
          <w:vertAlign w:val="superscript"/>
        </w:rPr>
        <w:t>34, 38, 41, 43, 48-50, 55</w:t>
      </w:r>
      <w:r>
        <w:rPr>
          <w:rFonts w:ascii="Calibri" w:hAnsi="Calibri"/>
          <w:color w:val="000000"/>
        </w:rPr>
        <w:t>.  In practice, d</w:t>
      </w:r>
      <w:r>
        <w:t xml:space="preserve">iscussions of medicines appear to often involve </w:t>
      </w:r>
      <w:r w:rsidRPr="00EE0590">
        <w:rPr>
          <w:rFonts w:ascii="Calibri" w:eastAsia="Arial" w:hAnsi="Calibri" w:cs="Calibri"/>
          <w:color w:val="000000"/>
          <w:shd w:val="clear" w:color="auto" w:fill="FFFFFF"/>
        </w:rPr>
        <w:t>one-way communication of information from pharmacists to p</w:t>
      </w:r>
      <w:r>
        <w:rPr>
          <w:rFonts w:ascii="Calibri" w:eastAsia="Arial" w:hAnsi="Calibri" w:cs="Calibri"/>
          <w:color w:val="000000"/>
          <w:shd w:val="clear" w:color="auto" w:fill="FFFFFF"/>
        </w:rPr>
        <w:t xml:space="preserve">atients </w:t>
      </w:r>
      <w:r w:rsidRPr="00194C58">
        <w:rPr>
          <w:rFonts w:ascii="Calibri" w:eastAsia="Arial" w:hAnsi="Calibri" w:cs="Calibri"/>
          <w:noProof/>
          <w:color w:val="000000"/>
          <w:shd w:val="clear" w:color="auto" w:fill="FFFFFF"/>
          <w:vertAlign w:val="superscript"/>
        </w:rPr>
        <w:t>17, 37, 52</w:t>
      </w:r>
      <w:r>
        <w:rPr>
          <w:rFonts w:ascii="Calibri" w:eastAsia="Arial" w:hAnsi="Calibri" w:cs="Calibri"/>
          <w:color w:val="000000"/>
          <w:shd w:val="clear" w:color="auto" w:fill="FFFFFF"/>
        </w:rPr>
        <w:t xml:space="preserve">, described previously as an </w:t>
      </w:r>
      <w:r>
        <w:t xml:space="preserve">‘educator/informer’ role </w:t>
      </w:r>
      <w:r w:rsidRPr="00AE58B7">
        <w:rPr>
          <w:noProof/>
          <w:vertAlign w:val="superscript"/>
        </w:rPr>
        <w:t>10</w:t>
      </w:r>
      <w:r>
        <w:t xml:space="preserve">, with limited exploration of patient perspectives or attempt to gain the broader understanding of patient circumstances </w:t>
      </w:r>
      <w:r w:rsidRPr="00194C58">
        <w:rPr>
          <w:noProof/>
          <w:vertAlign w:val="superscript"/>
        </w:rPr>
        <w:t>17, 33, 34, 59</w:t>
      </w:r>
      <w:r>
        <w:t xml:space="preserve"> that should be expected to provide secure foundations for consultation practice </w:t>
      </w:r>
      <w:r w:rsidRPr="00AE58B7">
        <w:rPr>
          <w:noProof/>
          <w:vertAlign w:val="superscript"/>
        </w:rPr>
        <w:t>18</w:t>
      </w:r>
      <w:r>
        <w:t xml:space="preserve">.  </w:t>
      </w:r>
      <w:r>
        <w:rPr>
          <w:rFonts w:ascii="Calibri" w:hAnsi="Calibri"/>
          <w:color w:val="000000"/>
        </w:rPr>
        <w:t xml:space="preserve">There is scant information in the literature about how community pharmacists perceive implementation of these services to have changed or developed their practice, or how they may benefit patients.  </w:t>
      </w:r>
      <w:r>
        <w:rPr>
          <w:rFonts w:ascii="Calibri" w:eastAsia="Arial" w:hAnsi="Calibri" w:cs="Calibri"/>
          <w:color w:val="000000"/>
          <w:shd w:val="clear" w:color="auto" w:fill="FFFFFF"/>
        </w:rPr>
        <w:t>Similarly, very l</w:t>
      </w:r>
      <w:r w:rsidRPr="00EE0590">
        <w:rPr>
          <w:rFonts w:ascii="Calibri" w:eastAsia="Arial" w:hAnsi="Calibri" w:cs="Calibri"/>
          <w:color w:val="000000"/>
          <w:shd w:val="clear" w:color="auto" w:fill="FFFFFF"/>
        </w:rPr>
        <w:t xml:space="preserve">ittle is known about </w:t>
      </w:r>
      <w:r>
        <w:rPr>
          <w:rFonts w:ascii="Calibri" w:eastAsia="Arial" w:hAnsi="Calibri" w:cs="Calibri"/>
          <w:color w:val="000000"/>
          <w:shd w:val="clear" w:color="auto" w:fill="FFFFFF"/>
        </w:rPr>
        <w:t xml:space="preserve">patients’ </w:t>
      </w:r>
      <w:r w:rsidRPr="00EE0590">
        <w:rPr>
          <w:rFonts w:ascii="Calibri" w:eastAsia="Arial" w:hAnsi="Calibri" w:cs="Calibri"/>
          <w:color w:val="000000"/>
          <w:shd w:val="clear" w:color="auto" w:fill="FFFFFF"/>
        </w:rPr>
        <w:t>perspective</w:t>
      </w:r>
      <w:r>
        <w:rPr>
          <w:rFonts w:ascii="Calibri" w:eastAsia="Arial" w:hAnsi="Calibri" w:cs="Calibri"/>
          <w:color w:val="000000"/>
          <w:shd w:val="clear" w:color="auto" w:fill="FFFFFF"/>
        </w:rPr>
        <w:t xml:space="preserve">s of whether and how medicine consultations influence their own behaviour.  These are essential elements to better understanding mechanisms that underpin delivery and outcomes of medication reviews, and could usefully inform future advances in UK community pharmacy practice.  </w:t>
      </w:r>
    </w:p>
    <w:p w:rsidR="00102289" w:rsidRPr="00850F66" w:rsidRDefault="00102289" w:rsidP="00FB02EC">
      <w:pPr>
        <w:spacing w:line="360" w:lineRule="auto"/>
        <w:rPr>
          <w:rFonts w:ascii="Calibri" w:hAnsi="Calibri"/>
          <w:color w:val="000000"/>
        </w:rPr>
      </w:pPr>
      <w:r>
        <w:rPr>
          <w:rFonts w:ascii="Calibri" w:hAnsi="Calibri"/>
          <w:color w:val="000000"/>
        </w:rPr>
        <w:t xml:space="preserve">Development and roll-out of consultations skills training for pharmacists </w:t>
      </w:r>
      <w:r w:rsidRPr="00194C58">
        <w:rPr>
          <w:rFonts w:ascii="Calibri" w:hAnsi="Calibri"/>
          <w:noProof/>
          <w:color w:val="000000"/>
          <w:vertAlign w:val="superscript"/>
        </w:rPr>
        <w:t>66</w:t>
      </w:r>
      <w:r>
        <w:rPr>
          <w:rFonts w:ascii="Calibri" w:hAnsi="Calibri"/>
          <w:color w:val="000000"/>
        </w:rPr>
        <w:t xml:space="preserve"> occurred in 2014, after the introduction of MURs and the NMS.  In such circumstances it might be expected that the conduct of the services reported in earlier studies does not reflect practice standards aspirations.  Pharmacists’ s</w:t>
      </w:r>
      <w:r w:rsidRPr="00E37DAE">
        <w:t>kills in behaviour change</w:t>
      </w:r>
      <w:r>
        <w:t xml:space="preserve"> and in communication have been </w:t>
      </w:r>
      <w:r w:rsidRPr="00E37DAE">
        <w:t>identified as training need</w:t>
      </w:r>
      <w:r>
        <w:t xml:space="preserve">s </w:t>
      </w:r>
      <w:r w:rsidRPr="00AE58B7">
        <w:rPr>
          <w:noProof/>
          <w:vertAlign w:val="superscript"/>
        </w:rPr>
        <w:t>10, 12</w:t>
      </w:r>
      <w:r>
        <w:t xml:space="preserve">, particularly for longer qualified pharmacists whose training predates attempts to increase attention to these elements </w:t>
      </w:r>
      <w:r w:rsidRPr="00AE58B7">
        <w:rPr>
          <w:noProof/>
          <w:vertAlign w:val="superscript"/>
        </w:rPr>
        <w:t>12</w:t>
      </w:r>
      <w:r>
        <w:t xml:space="preserve">.  </w:t>
      </w:r>
      <w:r w:rsidRPr="00EE0590">
        <w:rPr>
          <w:rFonts w:ascii="Calibri" w:eastAsia="Arial" w:hAnsi="Calibri" w:cs="Calibri"/>
          <w:color w:val="000000"/>
          <w:shd w:val="clear" w:color="auto" w:fill="FFFFFF"/>
        </w:rPr>
        <w:t xml:space="preserve">Turning person-centred rhetoric into tangible experiences </w:t>
      </w:r>
      <w:r>
        <w:rPr>
          <w:rFonts w:ascii="Calibri" w:eastAsia="Arial" w:hAnsi="Calibri" w:cs="Calibri"/>
          <w:color w:val="000000"/>
          <w:shd w:val="clear" w:color="auto" w:fill="FFFFFF"/>
        </w:rPr>
        <w:t xml:space="preserve">of the delivery of medication reviews </w:t>
      </w:r>
      <w:r w:rsidRPr="00EE0590">
        <w:rPr>
          <w:rFonts w:ascii="Calibri" w:eastAsia="Arial" w:hAnsi="Calibri" w:cs="Calibri"/>
          <w:color w:val="000000"/>
          <w:shd w:val="clear" w:color="auto" w:fill="FFFFFF"/>
        </w:rPr>
        <w:t xml:space="preserve">involves </w:t>
      </w:r>
      <w:r>
        <w:rPr>
          <w:rFonts w:ascii="Calibri" w:eastAsia="Arial" w:hAnsi="Calibri" w:cs="Calibri"/>
          <w:color w:val="000000"/>
          <w:shd w:val="clear" w:color="auto" w:fill="FFFFFF"/>
        </w:rPr>
        <w:t xml:space="preserve">supporting pharmacists to </w:t>
      </w:r>
      <w:r w:rsidRPr="00EE0590">
        <w:rPr>
          <w:rFonts w:ascii="Calibri" w:eastAsia="Arial" w:hAnsi="Calibri" w:cs="Calibri"/>
          <w:color w:val="000000"/>
          <w:shd w:val="clear" w:color="auto" w:fill="FFFFFF"/>
        </w:rPr>
        <w:t>engag</w:t>
      </w:r>
      <w:r>
        <w:rPr>
          <w:rFonts w:ascii="Calibri" w:eastAsia="Arial" w:hAnsi="Calibri" w:cs="Calibri"/>
          <w:color w:val="000000"/>
          <w:shd w:val="clear" w:color="auto" w:fill="FFFFFF"/>
        </w:rPr>
        <w:t xml:space="preserve">e with patients </w:t>
      </w:r>
      <w:r w:rsidRPr="00EE0590">
        <w:rPr>
          <w:rFonts w:ascii="Calibri" w:eastAsia="Arial" w:hAnsi="Calibri" w:cs="Calibri"/>
          <w:color w:val="000000"/>
          <w:shd w:val="clear" w:color="auto" w:fill="FFFFFF"/>
        </w:rPr>
        <w:t>as active participants in decision making and ensuring that any information and advice offered is meaningful and appropriate to the</w:t>
      </w:r>
      <w:r>
        <w:rPr>
          <w:rFonts w:ascii="Calibri" w:eastAsia="Arial" w:hAnsi="Calibri" w:cs="Calibri"/>
          <w:color w:val="000000"/>
          <w:shd w:val="clear" w:color="auto" w:fill="FFFFFF"/>
        </w:rPr>
        <w:t xml:space="preserve">ir needs </w:t>
      </w:r>
      <w:r w:rsidRPr="00194C58">
        <w:rPr>
          <w:rFonts w:ascii="Calibri" w:eastAsia="Arial" w:hAnsi="Calibri" w:cs="Calibri"/>
          <w:noProof/>
          <w:color w:val="000000"/>
          <w:shd w:val="clear" w:color="auto" w:fill="FFFFFF"/>
          <w:vertAlign w:val="superscript"/>
        </w:rPr>
        <w:t>67, 68</w:t>
      </w:r>
      <w:r>
        <w:rPr>
          <w:rFonts w:ascii="Calibri" w:eastAsia="Arial" w:hAnsi="Calibri" w:cs="Calibri"/>
          <w:color w:val="000000"/>
          <w:shd w:val="clear" w:color="auto" w:fill="FFFFFF"/>
        </w:rPr>
        <w:t xml:space="preserve">.  </w:t>
      </w:r>
      <w:r>
        <w:rPr>
          <w:rFonts w:ascii="Calibri" w:hAnsi="Calibri"/>
          <w:color w:val="000000"/>
        </w:rPr>
        <w:t xml:space="preserve">Future initiatives will also need to account for </w:t>
      </w:r>
      <w:r>
        <w:t xml:space="preserve">external factors that influence what happens in consultations, beyond the control of individual community pharmacists, including the organisational cultures of different types of pharmacy, funding structures and targets, </w:t>
      </w:r>
      <w:r w:rsidRPr="00850F66">
        <w:rPr>
          <w:rFonts w:ascii="Calibri" w:hAnsi="Calibri"/>
          <w:color w:val="000000"/>
        </w:rPr>
        <w:t xml:space="preserve">constraints on pharmacists’ time </w:t>
      </w:r>
      <w:r>
        <w:rPr>
          <w:rFonts w:ascii="Calibri" w:hAnsi="Calibri"/>
          <w:color w:val="000000"/>
        </w:rPr>
        <w:t xml:space="preserve">and </w:t>
      </w:r>
      <w:r w:rsidRPr="00850F66">
        <w:rPr>
          <w:rFonts w:ascii="Calibri" w:hAnsi="Calibri"/>
          <w:color w:val="000000"/>
        </w:rPr>
        <w:t>relationships with GPs</w:t>
      </w:r>
      <w:r>
        <w:rPr>
          <w:rFonts w:ascii="Calibri" w:hAnsi="Calibri"/>
          <w:color w:val="000000"/>
        </w:rPr>
        <w:t>.  Secondary a</w:t>
      </w:r>
      <w:r>
        <w:t xml:space="preserve">nalysis of data published after the searches for this review were completed shows that implementation of the NMS can be achieved with minimal impact on GP services </w:t>
      </w:r>
      <w:r w:rsidRPr="006F0BD6">
        <w:rPr>
          <w:noProof/>
          <w:vertAlign w:val="superscript"/>
        </w:rPr>
        <w:t>6</w:t>
      </w:r>
      <w:r w:rsidR="001A0AFA" w:rsidRPr="006F0BD6">
        <w:rPr>
          <w:noProof/>
          <w:vertAlign w:val="superscript"/>
        </w:rPr>
        <w:t>9</w:t>
      </w:r>
      <w:r>
        <w:t>.</w:t>
      </w:r>
    </w:p>
    <w:p w:rsidR="00102289" w:rsidRPr="00850F66" w:rsidRDefault="00102289" w:rsidP="00FB02EC">
      <w:pPr>
        <w:spacing w:line="360" w:lineRule="auto"/>
        <w:rPr>
          <w:rFonts w:ascii="Calibri" w:hAnsi="Calibri"/>
          <w:color w:val="000000"/>
        </w:rPr>
      </w:pPr>
      <w:r w:rsidRPr="00850F66">
        <w:rPr>
          <w:rFonts w:ascii="Calibri" w:hAnsi="Calibri"/>
          <w:color w:val="000000"/>
        </w:rPr>
        <w:t xml:space="preserve">  </w:t>
      </w:r>
      <w:r>
        <w:rPr>
          <w:rFonts w:ascii="Calibri" w:hAnsi="Calibri"/>
          <w:color w:val="000000"/>
        </w:rPr>
        <w:t xml:space="preserve"> </w:t>
      </w:r>
    </w:p>
    <w:p w:rsidR="00102289" w:rsidRPr="00850F66" w:rsidRDefault="00102289" w:rsidP="00FB02EC">
      <w:pPr>
        <w:spacing w:line="360" w:lineRule="auto"/>
        <w:rPr>
          <w:rFonts w:ascii="Calibri" w:hAnsi="Calibri"/>
          <w:color w:val="000000"/>
        </w:rPr>
      </w:pPr>
      <w:r>
        <w:rPr>
          <w:rFonts w:ascii="Calibri" w:hAnsi="Calibri"/>
          <w:color w:val="000000"/>
        </w:rPr>
        <w:t>E</w:t>
      </w:r>
      <w:r w:rsidRPr="00850F66">
        <w:rPr>
          <w:rFonts w:ascii="Calibri" w:hAnsi="Calibri"/>
          <w:color w:val="000000"/>
        </w:rPr>
        <w:t>xamples of more person-centred practice</w:t>
      </w:r>
      <w:r>
        <w:rPr>
          <w:rFonts w:ascii="Calibri" w:hAnsi="Calibri"/>
          <w:color w:val="000000"/>
        </w:rPr>
        <w:t xml:space="preserve"> can be found in the literature </w:t>
      </w:r>
      <w:r w:rsidRPr="00194C58">
        <w:rPr>
          <w:rFonts w:ascii="Calibri" w:hAnsi="Calibri"/>
          <w:noProof/>
          <w:color w:val="000000"/>
          <w:vertAlign w:val="superscript"/>
        </w:rPr>
        <w:t>37, 42, 55, 56, 59</w:t>
      </w:r>
      <w:r>
        <w:rPr>
          <w:rFonts w:ascii="Calibri" w:hAnsi="Calibri"/>
          <w:color w:val="000000"/>
        </w:rPr>
        <w:t xml:space="preserve"> and include: </w:t>
      </w:r>
      <w:r w:rsidRPr="00850F66">
        <w:rPr>
          <w:rFonts w:ascii="Calibri" w:hAnsi="Calibri"/>
          <w:color w:val="000000"/>
        </w:rPr>
        <w:t>(</w:t>
      </w:r>
      <w:r>
        <w:rPr>
          <w:rFonts w:ascii="Calibri" w:hAnsi="Calibri"/>
          <w:color w:val="000000"/>
        </w:rPr>
        <w:t>a</w:t>
      </w:r>
      <w:r w:rsidRPr="00850F66">
        <w:rPr>
          <w:rFonts w:ascii="Calibri" w:hAnsi="Calibri"/>
          <w:color w:val="000000"/>
        </w:rPr>
        <w:t>) avoid</w:t>
      </w:r>
      <w:r>
        <w:rPr>
          <w:rFonts w:ascii="Calibri" w:hAnsi="Calibri"/>
          <w:color w:val="000000"/>
        </w:rPr>
        <w:t>ing</w:t>
      </w:r>
      <w:r w:rsidRPr="00850F66">
        <w:rPr>
          <w:rFonts w:ascii="Calibri" w:hAnsi="Calibri"/>
          <w:color w:val="000000"/>
        </w:rPr>
        <w:t xml:space="preserve"> using consultations as a medicine checking exercise; (</w:t>
      </w:r>
      <w:r>
        <w:rPr>
          <w:rFonts w:ascii="Calibri" w:hAnsi="Calibri"/>
          <w:color w:val="000000"/>
        </w:rPr>
        <w:t>b</w:t>
      </w:r>
      <w:r w:rsidRPr="00850F66">
        <w:rPr>
          <w:rFonts w:ascii="Calibri" w:hAnsi="Calibri"/>
          <w:color w:val="000000"/>
        </w:rPr>
        <w:t>) adopt</w:t>
      </w:r>
      <w:r>
        <w:rPr>
          <w:rFonts w:ascii="Calibri" w:hAnsi="Calibri"/>
          <w:color w:val="000000"/>
        </w:rPr>
        <w:t>ing</w:t>
      </w:r>
      <w:r w:rsidRPr="00850F66">
        <w:rPr>
          <w:rFonts w:ascii="Calibri" w:hAnsi="Calibri"/>
          <w:color w:val="000000"/>
        </w:rPr>
        <w:t xml:space="preserve"> a flexible and informal communication style; (</w:t>
      </w:r>
      <w:r>
        <w:rPr>
          <w:rFonts w:ascii="Calibri" w:hAnsi="Calibri"/>
          <w:color w:val="000000"/>
        </w:rPr>
        <w:t>c</w:t>
      </w:r>
      <w:r w:rsidRPr="00850F66">
        <w:rPr>
          <w:rFonts w:ascii="Calibri" w:hAnsi="Calibri"/>
          <w:color w:val="000000"/>
        </w:rPr>
        <w:t>) ask</w:t>
      </w:r>
      <w:r>
        <w:rPr>
          <w:rFonts w:ascii="Calibri" w:hAnsi="Calibri"/>
          <w:color w:val="000000"/>
        </w:rPr>
        <w:t>ing</w:t>
      </w:r>
      <w:r w:rsidRPr="00850F66">
        <w:rPr>
          <w:rFonts w:ascii="Calibri" w:hAnsi="Calibri"/>
          <w:color w:val="000000"/>
        </w:rPr>
        <w:t xml:space="preserve"> open questions; (</w:t>
      </w:r>
      <w:r>
        <w:rPr>
          <w:rFonts w:ascii="Calibri" w:hAnsi="Calibri"/>
          <w:color w:val="000000"/>
        </w:rPr>
        <w:t>d</w:t>
      </w:r>
      <w:r w:rsidRPr="00850F66">
        <w:rPr>
          <w:rFonts w:ascii="Calibri" w:hAnsi="Calibri"/>
          <w:color w:val="000000"/>
        </w:rPr>
        <w:t>) explor</w:t>
      </w:r>
      <w:r>
        <w:rPr>
          <w:rFonts w:ascii="Calibri" w:hAnsi="Calibri"/>
          <w:color w:val="000000"/>
        </w:rPr>
        <w:t>ing</w:t>
      </w:r>
      <w:r w:rsidRPr="00850F66">
        <w:rPr>
          <w:rFonts w:ascii="Calibri" w:hAnsi="Calibri"/>
          <w:color w:val="000000"/>
        </w:rPr>
        <w:t xml:space="preserve"> issues releva</w:t>
      </w:r>
      <w:r>
        <w:rPr>
          <w:rFonts w:ascii="Calibri" w:hAnsi="Calibri"/>
          <w:color w:val="000000"/>
        </w:rPr>
        <w:t>nt to patients’ condition(s); (e</w:t>
      </w:r>
      <w:r w:rsidRPr="00850F66">
        <w:rPr>
          <w:rFonts w:ascii="Calibri" w:hAnsi="Calibri"/>
          <w:color w:val="000000"/>
        </w:rPr>
        <w:t>) check</w:t>
      </w:r>
      <w:r>
        <w:rPr>
          <w:rFonts w:ascii="Calibri" w:hAnsi="Calibri"/>
          <w:color w:val="000000"/>
        </w:rPr>
        <w:t>ing</w:t>
      </w:r>
      <w:r w:rsidRPr="00850F66">
        <w:rPr>
          <w:rFonts w:ascii="Calibri" w:hAnsi="Calibri"/>
          <w:color w:val="000000"/>
        </w:rPr>
        <w:t xml:space="preserve"> patient understanding of issues raised in consultations; </w:t>
      </w:r>
      <w:r>
        <w:rPr>
          <w:rFonts w:ascii="Calibri" w:hAnsi="Calibri"/>
          <w:color w:val="000000"/>
        </w:rPr>
        <w:t>(f</w:t>
      </w:r>
      <w:r w:rsidRPr="00850F66">
        <w:rPr>
          <w:rFonts w:ascii="Calibri" w:hAnsi="Calibri"/>
          <w:color w:val="000000"/>
        </w:rPr>
        <w:t>) us</w:t>
      </w:r>
      <w:r>
        <w:rPr>
          <w:rFonts w:ascii="Calibri" w:hAnsi="Calibri"/>
          <w:color w:val="000000"/>
        </w:rPr>
        <w:t>ing</w:t>
      </w:r>
      <w:r w:rsidRPr="00850F66">
        <w:rPr>
          <w:rFonts w:ascii="Calibri" w:hAnsi="Calibri"/>
          <w:color w:val="000000"/>
        </w:rPr>
        <w:t xml:space="preserve"> </w:t>
      </w:r>
      <w:r w:rsidRPr="00850F66">
        <w:rPr>
          <w:rFonts w:ascii="Calibri" w:hAnsi="Calibri"/>
          <w:color w:val="000000"/>
        </w:rPr>
        <w:lastRenderedPageBreak/>
        <w:t>consultations to build relationships.  Some pharmacists are skilled at adapting the standardised discussion schedules to the individual circumstances of the patient</w:t>
      </w:r>
      <w:r>
        <w:rPr>
          <w:rFonts w:ascii="Calibri" w:hAnsi="Calibri"/>
          <w:color w:val="000000"/>
        </w:rPr>
        <w:t xml:space="preserve"> </w:t>
      </w:r>
      <w:r w:rsidRPr="00194C58">
        <w:rPr>
          <w:rFonts w:ascii="Calibri" w:hAnsi="Calibri"/>
          <w:noProof/>
          <w:color w:val="000000"/>
          <w:vertAlign w:val="superscript"/>
        </w:rPr>
        <w:t>37, 42</w:t>
      </w:r>
      <w:r w:rsidRPr="00850F66">
        <w:rPr>
          <w:rFonts w:ascii="Calibri" w:hAnsi="Calibri"/>
          <w:color w:val="000000"/>
        </w:rPr>
        <w:t>.  Greater experience may be a factor</w:t>
      </w:r>
      <w:r>
        <w:rPr>
          <w:rFonts w:ascii="Calibri" w:hAnsi="Calibri"/>
          <w:color w:val="000000"/>
        </w:rPr>
        <w:t xml:space="preserve"> </w:t>
      </w:r>
      <w:r w:rsidRPr="00194C58">
        <w:rPr>
          <w:rFonts w:ascii="Calibri" w:hAnsi="Calibri"/>
          <w:noProof/>
          <w:color w:val="000000"/>
          <w:vertAlign w:val="superscript"/>
        </w:rPr>
        <w:t>59</w:t>
      </w:r>
      <w:r w:rsidRPr="00850F66">
        <w:rPr>
          <w:rFonts w:ascii="Calibri" w:hAnsi="Calibri"/>
          <w:color w:val="000000"/>
        </w:rPr>
        <w:t xml:space="preserve">, but the reasons for such varied practice and identification of mechanisms to improve it require further research and elaboration.  </w:t>
      </w:r>
    </w:p>
    <w:p w:rsidR="00102289" w:rsidRDefault="00102289" w:rsidP="00FB02EC">
      <w:pPr>
        <w:spacing w:line="360" w:lineRule="auto"/>
      </w:pPr>
      <w:r>
        <w:t>P</w:t>
      </w:r>
      <w:r w:rsidRPr="005D47A3">
        <w:t xml:space="preserve">harmacists </w:t>
      </w:r>
      <w:r>
        <w:t xml:space="preserve">typically </w:t>
      </w:r>
      <w:r w:rsidRPr="005D47A3">
        <w:t xml:space="preserve">view </w:t>
      </w:r>
      <w:r>
        <w:t xml:space="preserve">addressing patient’s broader health </w:t>
      </w:r>
      <w:r w:rsidRPr="005D47A3">
        <w:t xml:space="preserve">as important and </w:t>
      </w:r>
      <w:r>
        <w:t xml:space="preserve">a legitimate </w:t>
      </w:r>
      <w:r w:rsidRPr="005D47A3">
        <w:t>part of their role</w:t>
      </w:r>
      <w:r>
        <w:t xml:space="preserve">, </w:t>
      </w:r>
      <w:r w:rsidRPr="005D47A3">
        <w:t xml:space="preserve">but secondary to medicine related </w:t>
      </w:r>
      <w:r>
        <w:t xml:space="preserve">issues </w:t>
      </w:r>
      <w:r w:rsidRPr="00AE58B7">
        <w:rPr>
          <w:noProof/>
          <w:vertAlign w:val="superscript"/>
        </w:rPr>
        <w:t>16</w:t>
      </w:r>
      <w:r w:rsidRPr="005D47A3">
        <w:t>.</w:t>
      </w:r>
      <w:r>
        <w:t xml:space="preserve">   A range of barriers to pharmacists raising and discussing lifestyle factors have been identified by previous international reviews, including lack of time, low confidence, insufficient skills, lack of demand, and per</w:t>
      </w:r>
      <w:r w:rsidRPr="00921AB5">
        <w:t>ception</w:t>
      </w:r>
      <w:r>
        <w:t>s</w:t>
      </w:r>
      <w:r w:rsidRPr="00921AB5">
        <w:t xml:space="preserve"> </w:t>
      </w:r>
      <w:r>
        <w:t xml:space="preserve">among pharmacists </w:t>
      </w:r>
      <w:r w:rsidRPr="00921AB5">
        <w:t>that patients may react negatively to unwanted advice</w:t>
      </w:r>
      <w:r>
        <w:t xml:space="preserve"> </w:t>
      </w:r>
      <w:r w:rsidRPr="00194C58">
        <w:rPr>
          <w:noProof/>
          <w:vertAlign w:val="superscript"/>
        </w:rPr>
        <w:t xml:space="preserve">16, </w:t>
      </w:r>
      <w:r w:rsidR="001A0AFA" w:rsidRPr="006F0BD6">
        <w:rPr>
          <w:noProof/>
          <w:vertAlign w:val="superscript"/>
        </w:rPr>
        <w:t>70</w:t>
      </w:r>
      <w:r>
        <w:t xml:space="preserve">.  Thus attention to medication use unsurprisingly lies at the heart of medicines consultations.  Recognising the public health potential of community pharmacies, the Healthy Living Pharmacy framework, encompassing workforce development, improving premises and community engagement, was introduced to foster health promotion activities after successful piloting </w:t>
      </w:r>
      <w:r w:rsidRPr="00AE58B7">
        <w:rPr>
          <w:noProof/>
          <w:vertAlign w:val="superscript"/>
        </w:rPr>
        <w:t>31</w:t>
      </w:r>
      <w:r>
        <w:t xml:space="preserve">.  The impact of this initiative on the delivery of medication consultations, and on the barriers to person-centred practice identified above, has yet to be examined.  Evidence from this review indicates that attention to health behaviours is </w:t>
      </w:r>
      <w:r w:rsidRPr="00921AB5">
        <w:t xml:space="preserve">often not included </w:t>
      </w:r>
      <w:r>
        <w:t xml:space="preserve">in medication consultations, </w:t>
      </w:r>
      <w:r w:rsidRPr="00921AB5">
        <w:t xml:space="preserve">or </w:t>
      </w:r>
      <w:r>
        <w:t xml:space="preserve">is </w:t>
      </w:r>
      <w:r w:rsidRPr="00921AB5">
        <w:t xml:space="preserve">considered </w:t>
      </w:r>
      <w:r>
        <w:t xml:space="preserve">incidental to the primary purposes of the service provision.  </w:t>
      </w:r>
    </w:p>
    <w:p w:rsidR="00102289" w:rsidRDefault="00102289" w:rsidP="00FB02EC">
      <w:pPr>
        <w:spacing w:line="360" w:lineRule="auto"/>
        <w:rPr>
          <w:rFonts w:ascii="Calibri" w:eastAsia="Calibri" w:hAnsi="Calibri" w:cs="Arial"/>
        </w:rPr>
      </w:pPr>
      <w:r>
        <w:rPr>
          <w:rStyle w:val="fieldlabel"/>
        </w:rPr>
        <w:t xml:space="preserve">Improving the quality of life and care for the rising numbers of people with long term conditions is a UK policy priority </w:t>
      </w:r>
      <w:r w:rsidRPr="00194C58">
        <w:rPr>
          <w:rStyle w:val="fieldlabel"/>
          <w:noProof/>
          <w:vertAlign w:val="superscript"/>
        </w:rPr>
        <w:t xml:space="preserve">14, </w:t>
      </w:r>
      <w:r w:rsidRPr="006F0BD6">
        <w:rPr>
          <w:rStyle w:val="fieldlabel"/>
          <w:noProof/>
          <w:vertAlign w:val="superscript"/>
        </w:rPr>
        <w:t>7</w:t>
      </w:r>
      <w:r w:rsidR="001A0AFA" w:rsidRPr="006F0BD6">
        <w:rPr>
          <w:rStyle w:val="fieldlabel"/>
          <w:noProof/>
          <w:vertAlign w:val="superscript"/>
        </w:rPr>
        <w:t>1</w:t>
      </w:r>
      <w:r w:rsidRPr="006F0BD6">
        <w:rPr>
          <w:rStyle w:val="fieldlabel"/>
          <w:noProof/>
          <w:vertAlign w:val="superscript"/>
        </w:rPr>
        <w:t>, 7</w:t>
      </w:r>
      <w:r w:rsidR="001A0AFA" w:rsidRPr="006F0BD6">
        <w:rPr>
          <w:rStyle w:val="fieldlabel"/>
          <w:noProof/>
          <w:vertAlign w:val="superscript"/>
        </w:rPr>
        <w:t>2</w:t>
      </w:r>
      <w:r>
        <w:rPr>
          <w:rStyle w:val="fieldlabel"/>
        </w:rPr>
        <w:t xml:space="preserve">.  This presents opportunities for pharmacists to play a major role in improving the health and wellbeing of this population, including optimising the contributions of routine pharmacy services such as medication reviews.  </w:t>
      </w:r>
      <w:r>
        <w:t xml:space="preserve">  </w:t>
      </w:r>
      <w:r>
        <w:rPr>
          <w:rFonts w:ascii="Calibri" w:eastAsia="Calibri" w:hAnsi="Calibri" w:cs="Arial"/>
        </w:rPr>
        <w:t>There is untapped potential in utilising existing medication review consultations to address patient agendas in the manner proposed by the policy documents and in the training materials developed for community pharmacists.</w:t>
      </w:r>
    </w:p>
    <w:p w:rsidR="00102289" w:rsidRDefault="00102289" w:rsidP="00FB02EC">
      <w:pPr>
        <w:spacing w:line="360" w:lineRule="auto"/>
        <w:rPr>
          <w:rFonts w:ascii="Calibri" w:eastAsia="Calibri" w:hAnsi="Calibri" w:cs="Arial"/>
        </w:rPr>
      </w:pPr>
      <w:r>
        <w:rPr>
          <w:rFonts w:ascii="Calibri" w:eastAsia="Calibri" w:hAnsi="Calibri" w:cs="Arial"/>
        </w:rPr>
        <w:t xml:space="preserve">There are some limitations to this review.  Although we aimed to map the existing MUR and NMS literature, we chose to limit our searches to empirical data in peer reviewed journals; grey literature searches may have identified further information about these services.  Nevertheless, our inclusion criteria were broad and identified studies with a diverse range of methodologies.  This proved useful in highlighting significant gaps in the available evidence, but limited meaningful comparisons between studies.  As a scoping review, the quality of included studies was not evaluated formally.    </w:t>
      </w:r>
    </w:p>
    <w:p w:rsidR="00102289" w:rsidRPr="00D838EB" w:rsidRDefault="00102289" w:rsidP="00FB02EC">
      <w:pPr>
        <w:pStyle w:val="ListParagraph"/>
        <w:tabs>
          <w:tab w:val="num" w:pos="1440"/>
        </w:tabs>
        <w:spacing w:line="360" w:lineRule="auto"/>
        <w:ind w:left="0"/>
        <w:rPr>
          <w:b/>
        </w:rPr>
      </w:pPr>
      <w:r w:rsidRPr="00D838EB">
        <w:rPr>
          <w:b/>
        </w:rPr>
        <w:t>Conclusion</w:t>
      </w:r>
    </w:p>
    <w:p w:rsidR="00102289" w:rsidRDefault="00102289" w:rsidP="00FB02EC">
      <w:pPr>
        <w:pStyle w:val="ListParagraph"/>
        <w:tabs>
          <w:tab w:val="num" w:pos="1440"/>
        </w:tabs>
        <w:spacing w:line="360" w:lineRule="auto"/>
        <w:ind w:left="0"/>
      </w:pPr>
      <w:r>
        <w:t xml:space="preserve">Recent debate points to uncertainties over the future form of medicine reviews in the UK </w:t>
      </w:r>
      <w:r w:rsidRPr="00194C58">
        <w:rPr>
          <w:noProof/>
          <w:vertAlign w:val="superscript"/>
        </w:rPr>
        <w:t>73, 74</w:t>
      </w:r>
      <w:r>
        <w:t xml:space="preserve">.  It will benefit the health of the population if decisions about these and other commissioned pharmacy services are informed by high quality evidence.  Despite finding much scope for concern about the </w:t>
      </w:r>
      <w:r>
        <w:lastRenderedPageBreak/>
        <w:t>conduct of MURs and the NMS, evidence from this review indicates also scope for re-alignment of MURs and the NMS (or their future iterations) with the core values and skillsets espoused in the professional  standards for patient-centred care.  A recent Cochrane review of pharmacy services for non-hospitalised patients contained little data directly relevant to this review, and emphasised the heterogeneity of data in similar ways to earlier reviews</w:t>
      </w:r>
      <w:r w:rsidRPr="00194C58">
        <w:rPr>
          <w:noProof/>
          <w:vertAlign w:val="superscript"/>
        </w:rPr>
        <w:t>75</w:t>
      </w:r>
      <w:r>
        <w:t xml:space="preserve">. It also drew attention to the potential for role substitution and anticipated cost savings when health systems broaden the expectations being placed on pharmacists. Any sought economic benefits will not be realised, however, unless pharmacists are able to help patients manage their own health.  This entails conducting consultations with a focus squarely on the needs and goals of the patient, including addressing concerns presented and the health outcomes valued by patients, as established from patients’ experiences of their medicines and conditions, and what they want from the provision of these services.  Simple enquiry and exploration to </w:t>
      </w:r>
      <w:r w:rsidRPr="003C0D98">
        <w:t>understand what is important to the individual patient</w:t>
      </w:r>
      <w:r>
        <w:t xml:space="preserve"> are consistent with pharmacist professional values, welcomed by patients, and achievable to deliver within existing con</w:t>
      </w:r>
      <w:bookmarkStart w:id="0" w:name="_GoBack"/>
      <w:bookmarkEnd w:id="0"/>
      <w:r>
        <w:t>sultation frameworks.</w:t>
      </w:r>
      <w:r>
        <w:br w:type="page"/>
      </w:r>
    </w:p>
    <w:p w:rsidR="00102289" w:rsidRDefault="00102289" w:rsidP="00FB02EC">
      <w:pPr>
        <w:pStyle w:val="ListParagraph"/>
        <w:tabs>
          <w:tab w:val="num" w:pos="1440"/>
        </w:tabs>
        <w:spacing w:line="240" w:lineRule="auto"/>
        <w:ind w:left="0"/>
        <w:sectPr w:rsidR="00102289" w:rsidSect="00FB02EC">
          <w:footerReference w:type="default" r:id="rId7"/>
          <w:pgSz w:w="11906" w:h="16838"/>
          <w:pgMar w:top="1440" w:right="1440" w:bottom="1440" w:left="1440" w:header="708" w:footer="708" w:gutter="0"/>
          <w:cols w:space="708"/>
          <w:docGrid w:linePitch="360"/>
        </w:sectPr>
      </w:pPr>
    </w:p>
    <w:p w:rsidR="00102289" w:rsidRPr="00F03F01" w:rsidRDefault="00102289" w:rsidP="00FB02EC">
      <w:pPr>
        <w:pStyle w:val="ListParagraph"/>
        <w:tabs>
          <w:tab w:val="num" w:pos="1440"/>
        </w:tabs>
        <w:spacing w:line="240" w:lineRule="auto"/>
        <w:ind w:left="0"/>
      </w:pPr>
    </w:p>
    <w:p w:rsidR="00102289" w:rsidRDefault="00102289" w:rsidP="00FB02EC">
      <w:pPr>
        <w:pStyle w:val="ListParagraph"/>
        <w:tabs>
          <w:tab w:val="num" w:pos="1440"/>
        </w:tabs>
        <w:spacing w:line="240" w:lineRule="auto"/>
        <w:ind w:left="0"/>
      </w:pPr>
      <w:r>
        <w:t xml:space="preserve">Table 1: Characteristics of </w:t>
      </w:r>
      <w:r w:rsidRPr="008C72A5">
        <w:t>RCTs and quasi-experimental studies</w:t>
      </w:r>
    </w:p>
    <w:tbl>
      <w:tblPr>
        <w:tblStyle w:val="TableGrid"/>
        <w:tblpPr w:leftFromText="180" w:rightFromText="180" w:vertAnchor="text" w:tblpY="1"/>
        <w:tblOverlap w:val="never"/>
        <w:tblW w:w="14142" w:type="dxa"/>
        <w:tblLayout w:type="fixed"/>
        <w:tblLook w:val="04A0" w:firstRow="1" w:lastRow="0" w:firstColumn="1" w:lastColumn="0" w:noHBand="0" w:noVBand="1"/>
      </w:tblPr>
      <w:tblGrid>
        <w:gridCol w:w="1430"/>
        <w:gridCol w:w="1122"/>
        <w:gridCol w:w="2376"/>
        <w:gridCol w:w="1276"/>
        <w:gridCol w:w="1400"/>
        <w:gridCol w:w="816"/>
        <w:gridCol w:w="5722"/>
      </w:tblGrid>
      <w:tr w:rsidR="00102289" w:rsidRPr="00F03F01" w:rsidTr="00FB02EC">
        <w:trPr>
          <w:trHeight w:val="300"/>
        </w:trPr>
        <w:tc>
          <w:tcPr>
            <w:tcW w:w="1430" w:type="dxa"/>
            <w:tcBorders>
              <w:top w:val="single" w:sz="4" w:space="0" w:color="auto"/>
              <w:left w:val="nil"/>
              <w:bottom w:val="single" w:sz="4" w:space="0" w:color="auto"/>
              <w:right w:val="nil"/>
            </w:tcBorders>
            <w:hideMark/>
          </w:tcPr>
          <w:p w:rsidR="00102289" w:rsidRPr="00F03F01" w:rsidRDefault="00102289" w:rsidP="00FB02EC">
            <w:pPr>
              <w:jc w:val="both"/>
              <w:rPr>
                <w:b/>
                <w:bCs/>
                <w:sz w:val="20"/>
                <w:szCs w:val="20"/>
              </w:rPr>
            </w:pPr>
            <w:r w:rsidRPr="00F03F01">
              <w:rPr>
                <w:b/>
                <w:bCs/>
                <w:sz w:val="20"/>
                <w:szCs w:val="20"/>
              </w:rPr>
              <w:t>Study</w:t>
            </w:r>
          </w:p>
        </w:tc>
        <w:tc>
          <w:tcPr>
            <w:tcW w:w="1122"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NMS/MUR</w:t>
            </w:r>
          </w:p>
        </w:tc>
        <w:tc>
          <w:tcPr>
            <w:tcW w:w="2376"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Objective(s)</w:t>
            </w:r>
          </w:p>
        </w:tc>
        <w:tc>
          <w:tcPr>
            <w:tcW w:w="1276"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Design</w:t>
            </w:r>
          </w:p>
        </w:tc>
        <w:tc>
          <w:tcPr>
            <w:tcW w:w="1400"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Sample</w:t>
            </w:r>
          </w:p>
        </w:tc>
        <w:tc>
          <w:tcPr>
            <w:tcW w:w="816"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Time frame</w:t>
            </w:r>
          </w:p>
        </w:tc>
        <w:tc>
          <w:tcPr>
            <w:tcW w:w="5722"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Pr>
                <w:b/>
                <w:bCs/>
                <w:sz w:val="20"/>
                <w:szCs w:val="20"/>
              </w:rPr>
              <w:t xml:space="preserve">Key </w:t>
            </w:r>
            <w:r w:rsidRPr="00F03F01">
              <w:rPr>
                <w:b/>
                <w:bCs/>
                <w:sz w:val="20"/>
                <w:szCs w:val="20"/>
              </w:rPr>
              <w:t xml:space="preserve">findings </w:t>
            </w:r>
          </w:p>
        </w:tc>
      </w:tr>
      <w:tr w:rsidR="00102289" w:rsidRPr="00F03F01" w:rsidTr="00FB02EC">
        <w:trPr>
          <w:trHeight w:val="1290"/>
        </w:trPr>
        <w:tc>
          <w:tcPr>
            <w:tcW w:w="1430" w:type="dxa"/>
            <w:tcBorders>
              <w:top w:val="nil"/>
              <w:left w:val="nil"/>
              <w:bottom w:val="nil"/>
              <w:right w:val="nil"/>
            </w:tcBorders>
            <w:hideMark/>
          </w:tcPr>
          <w:p w:rsidR="00102289" w:rsidRPr="00F03F01" w:rsidRDefault="00102289" w:rsidP="00FB02EC">
            <w:pPr>
              <w:rPr>
                <w:sz w:val="20"/>
                <w:szCs w:val="20"/>
              </w:rPr>
            </w:pPr>
            <w:r w:rsidRPr="00F03F01">
              <w:rPr>
                <w:sz w:val="20"/>
                <w:szCs w:val="20"/>
              </w:rPr>
              <w:t xml:space="preserve">Elliott et al. 2016 </w:t>
            </w:r>
            <w:r w:rsidRPr="00AE58B7">
              <w:rPr>
                <w:noProof/>
                <w:sz w:val="20"/>
                <w:szCs w:val="20"/>
                <w:vertAlign w:val="superscript"/>
              </w:rPr>
              <w:t>21</w:t>
            </w:r>
            <w:r w:rsidRPr="00F03F01">
              <w:rPr>
                <w:sz w:val="20"/>
                <w:szCs w:val="20"/>
              </w:rPr>
              <w:t xml:space="preserve"> </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NMS</w:t>
            </w:r>
          </w:p>
        </w:tc>
        <w:tc>
          <w:tcPr>
            <w:tcW w:w="23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Examine the effectiveness of the NMS on medication adherence compared with normal practice</w:t>
            </w:r>
          </w:p>
        </w:tc>
        <w:tc>
          <w:tcPr>
            <w:tcW w:w="12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RCT</w:t>
            </w:r>
          </w:p>
        </w:tc>
        <w:tc>
          <w:tcPr>
            <w:tcW w:w="1400" w:type="dxa"/>
            <w:tcBorders>
              <w:top w:val="nil"/>
              <w:left w:val="nil"/>
              <w:bottom w:val="nil"/>
              <w:right w:val="nil"/>
            </w:tcBorders>
            <w:hideMark/>
          </w:tcPr>
          <w:p w:rsidR="00102289" w:rsidRPr="00F03F01" w:rsidRDefault="00102289" w:rsidP="00FB02EC">
            <w:pPr>
              <w:rPr>
                <w:sz w:val="20"/>
                <w:szCs w:val="20"/>
              </w:rPr>
            </w:pPr>
            <w:r w:rsidRPr="00F03F01">
              <w:rPr>
                <w:sz w:val="20"/>
                <w:szCs w:val="20"/>
              </w:rPr>
              <w:t>504 patients in 46 community pharmacies</w:t>
            </w:r>
          </w:p>
        </w:tc>
        <w:tc>
          <w:tcPr>
            <w:tcW w:w="816" w:type="dxa"/>
            <w:tcBorders>
              <w:top w:val="nil"/>
              <w:left w:val="nil"/>
              <w:bottom w:val="nil"/>
              <w:right w:val="nil"/>
            </w:tcBorders>
            <w:hideMark/>
          </w:tcPr>
          <w:p w:rsidR="00102289" w:rsidRPr="00F03F01" w:rsidRDefault="00102289" w:rsidP="00FB02EC">
            <w:pPr>
              <w:rPr>
                <w:sz w:val="20"/>
                <w:szCs w:val="20"/>
              </w:rPr>
            </w:pPr>
            <w:r w:rsidRPr="00F03F01">
              <w:rPr>
                <w:sz w:val="20"/>
                <w:szCs w:val="20"/>
              </w:rPr>
              <w:t>2012-2013</w:t>
            </w:r>
          </w:p>
        </w:tc>
        <w:tc>
          <w:tcPr>
            <w:tcW w:w="5722" w:type="dxa"/>
            <w:tcBorders>
              <w:top w:val="nil"/>
              <w:left w:val="nil"/>
              <w:bottom w:val="nil"/>
              <w:right w:val="nil"/>
            </w:tcBorders>
            <w:hideMark/>
          </w:tcPr>
          <w:p w:rsidR="00102289" w:rsidRPr="00F03F01" w:rsidRDefault="00102289" w:rsidP="00FB02EC">
            <w:pPr>
              <w:rPr>
                <w:sz w:val="20"/>
                <w:szCs w:val="20"/>
              </w:rPr>
            </w:pPr>
            <w:r>
              <w:rPr>
                <w:sz w:val="20"/>
                <w:szCs w:val="20"/>
              </w:rPr>
              <w:t>A</w:t>
            </w:r>
            <w:r w:rsidRPr="00F03F01">
              <w:rPr>
                <w:sz w:val="20"/>
                <w:szCs w:val="20"/>
              </w:rPr>
              <w:t xml:space="preserve"> significantly greater proportion of NMS patients were adherent compared to normal practice (71% vs 61%) at 10 week follow-up.  Adjusted OR for increased adherence was 1.67 in favour of the NMS arm. </w:t>
            </w:r>
          </w:p>
        </w:tc>
      </w:tr>
      <w:tr w:rsidR="00102289" w:rsidRPr="00F03F01" w:rsidTr="00FB02EC">
        <w:trPr>
          <w:trHeight w:val="1261"/>
        </w:trPr>
        <w:tc>
          <w:tcPr>
            <w:tcW w:w="1430" w:type="dxa"/>
            <w:tcBorders>
              <w:top w:val="nil"/>
              <w:left w:val="nil"/>
              <w:bottom w:val="nil"/>
              <w:right w:val="nil"/>
            </w:tcBorders>
            <w:hideMark/>
          </w:tcPr>
          <w:p w:rsidR="00102289" w:rsidRPr="00F03F01" w:rsidRDefault="00102289" w:rsidP="00FB02EC">
            <w:pPr>
              <w:rPr>
                <w:sz w:val="20"/>
                <w:szCs w:val="20"/>
              </w:rPr>
            </w:pPr>
            <w:r w:rsidRPr="00F03F01">
              <w:rPr>
                <w:sz w:val="20"/>
                <w:szCs w:val="20"/>
              </w:rPr>
              <w:t>Elliott et al. 2017</w:t>
            </w:r>
            <w:r>
              <w:rPr>
                <w:sz w:val="20"/>
                <w:szCs w:val="20"/>
              </w:rPr>
              <w:t xml:space="preserve"> </w:t>
            </w:r>
            <w:r w:rsidRPr="00AE58B7">
              <w:rPr>
                <w:noProof/>
                <w:sz w:val="20"/>
                <w:szCs w:val="20"/>
                <w:vertAlign w:val="superscript"/>
              </w:rPr>
              <w:t>22</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NMS</w:t>
            </w:r>
          </w:p>
        </w:tc>
        <w:tc>
          <w:tcPr>
            <w:tcW w:w="23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Examine the effectiveness of the NMS on medication adherence compared with normal practice</w:t>
            </w:r>
          </w:p>
        </w:tc>
        <w:tc>
          <w:tcPr>
            <w:tcW w:w="12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RCT</w:t>
            </w:r>
          </w:p>
        </w:tc>
        <w:tc>
          <w:tcPr>
            <w:tcW w:w="1400" w:type="dxa"/>
            <w:tcBorders>
              <w:top w:val="nil"/>
              <w:left w:val="nil"/>
              <w:bottom w:val="nil"/>
              <w:right w:val="nil"/>
            </w:tcBorders>
            <w:hideMark/>
          </w:tcPr>
          <w:p w:rsidR="00102289" w:rsidRPr="00F03F01" w:rsidRDefault="00102289" w:rsidP="00FB02EC">
            <w:pPr>
              <w:rPr>
                <w:sz w:val="20"/>
                <w:szCs w:val="20"/>
              </w:rPr>
            </w:pPr>
            <w:r w:rsidRPr="00F03F01">
              <w:rPr>
                <w:sz w:val="20"/>
                <w:szCs w:val="20"/>
              </w:rPr>
              <w:t>504 patients in 46 community pharmacies</w:t>
            </w:r>
          </w:p>
        </w:tc>
        <w:tc>
          <w:tcPr>
            <w:tcW w:w="816" w:type="dxa"/>
            <w:tcBorders>
              <w:top w:val="nil"/>
              <w:left w:val="nil"/>
              <w:bottom w:val="nil"/>
              <w:right w:val="nil"/>
            </w:tcBorders>
            <w:hideMark/>
          </w:tcPr>
          <w:p w:rsidR="00102289" w:rsidRPr="00F03F01" w:rsidRDefault="00102289" w:rsidP="00FB02EC">
            <w:pPr>
              <w:rPr>
                <w:sz w:val="20"/>
                <w:szCs w:val="20"/>
              </w:rPr>
            </w:pPr>
            <w:r w:rsidRPr="00F03F01">
              <w:rPr>
                <w:sz w:val="20"/>
                <w:szCs w:val="20"/>
              </w:rPr>
              <w:t>2012-2013</w:t>
            </w:r>
          </w:p>
        </w:tc>
        <w:tc>
          <w:tcPr>
            <w:tcW w:w="57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NMS generated a mean of 0.05  more QALYs per patient, at a mean reduced cost of -£144 , and a probability of 0.78 [incremental cost-effectiveness ratio (ICER) -£3166 per QALY]</w:t>
            </w:r>
          </w:p>
        </w:tc>
      </w:tr>
      <w:tr w:rsidR="00102289" w:rsidRPr="00F03F01" w:rsidTr="00FB02EC">
        <w:trPr>
          <w:trHeight w:val="1705"/>
        </w:trPr>
        <w:tc>
          <w:tcPr>
            <w:tcW w:w="1430" w:type="dxa"/>
            <w:tcBorders>
              <w:top w:val="nil"/>
              <w:left w:val="nil"/>
              <w:bottom w:val="nil"/>
              <w:right w:val="nil"/>
            </w:tcBorders>
            <w:hideMark/>
          </w:tcPr>
          <w:p w:rsidR="00102289" w:rsidRPr="00F03F01" w:rsidRDefault="00102289" w:rsidP="00FB02EC">
            <w:pPr>
              <w:rPr>
                <w:sz w:val="20"/>
                <w:szCs w:val="20"/>
              </w:rPr>
            </w:pPr>
            <w:r w:rsidRPr="00F03F01">
              <w:rPr>
                <w:sz w:val="20"/>
                <w:szCs w:val="20"/>
              </w:rPr>
              <w:t xml:space="preserve">Elson et al. 2017 </w:t>
            </w:r>
            <w:r w:rsidRPr="00AE58B7">
              <w:rPr>
                <w:noProof/>
                <w:sz w:val="20"/>
                <w:szCs w:val="20"/>
                <w:vertAlign w:val="superscript"/>
              </w:rPr>
              <w:t>24</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MUR</w:t>
            </w:r>
          </w:p>
        </w:tc>
        <w:tc>
          <w:tcPr>
            <w:tcW w:w="23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Determine the effects of targeted hospital pharmacist counselling or post-discharge MURs on patients' knowledge of medication</w:t>
            </w:r>
          </w:p>
        </w:tc>
        <w:tc>
          <w:tcPr>
            <w:tcW w:w="12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Controlled (non-randomised) trial</w:t>
            </w:r>
          </w:p>
        </w:tc>
        <w:tc>
          <w:tcPr>
            <w:tcW w:w="1400" w:type="dxa"/>
            <w:tcBorders>
              <w:top w:val="nil"/>
              <w:left w:val="nil"/>
              <w:bottom w:val="nil"/>
              <w:right w:val="nil"/>
            </w:tcBorders>
            <w:hideMark/>
          </w:tcPr>
          <w:p w:rsidR="00102289" w:rsidRPr="00F03F01" w:rsidRDefault="00102289" w:rsidP="00FB02EC">
            <w:pPr>
              <w:rPr>
                <w:sz w:val="20"/>
                <w:szCs w:val="20"/>
              </w:rPr>
            </w:pPr>
            <w:r w:rsidRPr="00F03F01">
              <w:rPr>
                <w:sz w:val="20"/>
                <w:szCs w:val="20"/>
              </w:rPr>
              <w:t>101 patients</w:t>
            </w:r>
          </w:p>
        </w:tc>
        <w:tc>
          <w:tcPr>
            <w:tcW w:w="816" w:type="dxa"/>
            <w:tcBorders>
              <w:top w:val="nil"/>
              <w:left w:val="nil"/>
              <w:bottom w:val="nil"/>
              <w:right w:val="nil"/>
            </w:tcBorders>
            <w:hideMark/>
          </w:tcPr>
          <w:p w:rsidR="00102289" w:rsidRPr="00F03F01" w:rsidRDefault="00102289" w:rsidP="00FB02EC">
            <w:pPr>
              <w:rPr>
                <w:sz w:val="20"/>
                <w:szCs w:val="20"/>
              </w:rPr>
            </w:pPr>
            <w:r w:rsidRPr="00F03F01">
              <w:rPr>
                <w:sz w:val="20"/>
                <w:szCs w:val="20"/>
              </w:rPr>
              <w:t>2013</w:t>
            </w:r>
          </w:p>
        </w:tc>
        <w:tc>
          <w:tcPr>
            <w:tcW w:w="57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Patients who received pharmacist counselling were more likely to report being told the purpose of their new medicine and how to take it. Fewer than half of allocated to receive a MUR actually received one.</w:t>
            </w:r>
          </w:p>
        </w:tc>
      </w:tr>
      <w:tr w:rsidR="00102289" w:rsidRPr="00F03F01" w:rsidTr="00FB02EC">
        <w:trPr>
          <w:trHeight w:val="1754"/>
        </w:trPr>
        <w:tc>
          <w:tcPr>
            <w:tcW w:w="1430" w:type="dxa"/>
            <w:tcBorders>
              <w:top w:val="nil"/>
              <w:left w:val="nil"/>
              <w:bottom w:val="single" w:sz="4" w:space="0" w:color="auto"/>
              <w:right w:val="nil"/>
            </w:tcBorders>
          </w:tcPr>
          <w:p w:rsidR="00102289" w:rsidRPr="00F03F01" w:rsidRDefault="00102289" w:rsidP="00FB02EC">
            <w:pPr>
              <w:rPr>
                <w:sz w:val="20"/>
                <w:szCs w:val="20"/>
              </w:rPr>
            </w:pPr>
            <w:proofErr w:type="spellStart"/>
            <w:r w:rsidRPr="00F03F01">
              <w:rPr>
                <w:sz w:val="20"/>
                <w:szCs w:val="20"/>
              </w:rPr>
              <w:t>Ramsbottom</w:t>
            </w:r>
            <w:proofErr w:type="spellEnd"/>
            <w:r w:rsidRPr="00F03F01">
              <w:rPr>
                <w:sz w:val="20"/>
                <w:szCs w:val="20"/>
              </w:rPr>
              <w:t xml:space="preserve"> et al. 2018 </w:t>
            </w:r>
            <w:r w:rsidRPr="00AE58B7">
              <w:rPr>
                <w:noProof/>
                <w:sz w:val="20"/>
                <w:szCs w:val="20"/>
                <w:vertAlign w:val="superscript"/>
              </w:rPr>
              <w:t>23</w:t>
            </w:r>
          </w:p>
        </w:tc>
        <w:tc>
          <w:tcPr>
            <w:tcW w:w="1122" w:type="dxa"/>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MUR</w:t>
            </w:r>
          </w:p>
        </w:tc>
        <w:tc>
          <w:tcPr>
            <w:tcW w:w="2376" w:type="dxa"/>
            <w:tcBorders>
              <w:top w:val="nil"/>
              <w:left w:val="nil"/>
              <w:bottom w:val="single" w:sz="4" w:space="0" w:color="auto"/>
              <w:right w:val="nil"/>
            </w:tcBorders>
          </w:tcPr>
          <w:p w:rsidR="00102289" w:rsidRDefault="00102289" w:rsidP="00FB02EC">
            <w:pPr>
              <w:rPr>
                <w:sz w:val="20"/>
                <w:szCs w:val="20"/>
              </w:rPr>
            </w:pPr>
            <w:r w:rsidRPr="00F03F01">
              <w:rPr>
                <w:sz w:val="20"/>
                <w:szCs w:val="20"/>
              </w:rPr>
              <w:t>Evaluate the potential clinical and economic impact of community pharmacists</w:t>
            </w:r>
            <w:r>
              <w:rPr>
                <w:sz w:val="20"/>
                <w:szCs w:val="20"/>
              </w:rPr>
              <w:t>’</w:t>
            </w:r>
            <w:r w:rsidRPr="00F03F01">
              <w:rPr>
                <w:sz w:val="20"/>
                <w:szCs w:val="20"/>
              </w:rPr>
              <w:t xml:space="preserve"> interventions during post-hospital discharge MURs</w:t>
            </w:r>
          </w:p>
          <w:p w:rsidR="00102289" w:rsidRPr="00F03F01" w:rsidRDefault="00102289" w:rsidP="00FB02EC">
            <w:pPr>
              <w:rPr>
                <w:sz w:val="20"/>
                <w:szCs w:val="20"/>
              </w:rPr>
            </w:pPr>
          </w:p>
        </w:tc>
        <w:tc>
          <w:tcPr>
            <w:tcW w:w="1276" w:type="dxa"/>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RCT feasibility study</w:t>
            </w:r>
          </w:p>
        </w:tc>
        <w:tc>
          <w:tcPr>
            <w:tcW w:w="1400" w:type="dxa"/>
            <w:tcBorders>
              <w:top w:val="nil"/>
              <w:left w:val="nil"/>
              <w:bottom w:val="single" w:sz="4" w:space="0" w:color="auto"/>
              <w:right w:val="nil"/>
            </w:tcBorders>
          </w:tcPr>
          <w:p w:rsidR="00102289" w:rsidRPr="00F03F01" w:rsidRDefault="00102289" w:rsidP="00FB02EC">
            <w:pPr>
              <w:tabs>
                <w:tab w:val="left" w:pos="720"/>
              </w:tabs>
              <w:rPr>
                <w:sz w:val="20"/>
                <w:szCs w:val="20"/>
              </w:rPr>
            </w:pPr>
            <w:r w:rsidRPr="00F03F01">
              <w:rPr>
                <w:sz w:val="20"/>
                <w:szCs w:val="20"/>
              </w:rPr>
              <w:t>20 patients</w:t>
            </w:r>
          </w:p>
        </w:tc>
        <w:tc>
          <w:tcPr>
            <w:tcW w:w="816" w:type="dxa"/>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Not stated</w:t>
            </w:r>
          </w:p>
        </w:tc>
        <w:tc>
          <w:tcPr>
            <w:tcW w:w="5722" w:type="dxa"/>
            <w:tcBorders>
              <w:top w:val="nil"/>
              <w:left w:val="nil"/>
              <w:bottom w:val="single" w:sz="4" w:space="0" w:color="auto"/>
              <w:right w:val="nil"/>
            </w:tcBorders>
          </w:tcPr>
          <w:p w:rsidR="00102289" w:rsidRPr="00F03F01" w:rsidRDefault="00102289" w:rsidP="00FB02EC">
            <w:pPr>
              <w:rPr>
                <w:sz w:val="20"/>
                <w:szCs w:val="20"/>
              </w:rPr>
            </w:pPr>
            <w:r>
              <w:rPr>
                <w:sz w:val="20"/>
                <w:szCs w:val="20"/>
              </w:rPr>
              <w:t>A</w:t>
            </w:r>
            <w:r w:rsidRPr="00F03F01">
              <w:rPr>
                <w:sz w:val="20"/>
                <w:szCs w:val="20"/>
              </w:rPr>
              <w:t>n average of 2 interventions were instigated</w:t>
            </w:r>
            <w:r>
              <w:rPr>
                <w:sz w:val="20"/>
                <w:szCs w:val="20"/>
              </w:rPr>
              <w:t xml:space="preserve"> per MUR</w:t>
            </w:r>
            <w:r w:rsidRPr="00F03F01">
              <w:rPr>
                <w:sz w:val="20"/>
                <w:szCs w:val="20"/>
              </w:rPr>
              <w:t xml:space="preserve">.  The most common was to provide information to improve patient understanding of their medication and how to use it in the most effective, convenient and safe way.  Indicative cost savings were </w:t>
            </w:r>
            <w:r>
              <w:rPr>
                <w:sz w:val="20"/>
                <w:szCs w:val="20"/>
              </w:rPr>
              <w:t>found</w:t>
            </w:r>
            <w:r w:rsidRPr="00F03F01">
              <w:rPr>
                <w:sz w:val="20"/>
                <w:szCs w:val="20"/>
              </w:rPr>
              <w:t>.</w:t>
            </w:r>
          </w:p>
        </w:tc>
      </w:tr>
    </w:tbl>
    <w:p w:rsidR="00102289" w:rsidRDefault="00102289">
      <w:pPr>
        <w:rPr>
          <w:b/>
        </w:rPr>
      </w:pPr>
    </w:p>
    <w:p w:rsidR="00102289" w:rsidRDefault="00102289">
      <w:pPr>
        <w:rPr>
          <w:b/>
        </w:rPr>
      </w:pPr>
      <w:r>
        <w:rPr>
          <w:b/>
        </w:rPr>
        <w:br w:type="page"/>
      </w:r>
    </w:p>
    <w:p w:rsidR="00102289" w:rsidRDefault="00102289" w:rsidP="00FB02EC">
      <w:pPr>
        <w:pStyle w:val="ListParagraph"/>
        <w:tabs>
          <w:tab w:val="num" w:pos="1440"/>
        </w:tabs>
        <w:spacing w:line="240" w:lineRule="auto"/>
        <w:ind w:left="0"/>
      </w:pPr>
      <w:r>
        <w:lastRenderedPageBreak/>
        <w:t>Table 2: Characteristics of secondary data analysis studies</w:t>
      </w:r>
    </w:p>
    <w:tbl>
      <w:tblPr>
        <w:tblStyle w:val="TableGrid"/>
        <w:tblpPr w:leftFromText="180" w:rightFromText="180" w:vertAnchor="text" w:tblpY="1"/>
        <w:tblOverlap w:val="never"/>
        <w:tblW w:w="14142" w:type="dxa"/>
        <w:tblLayout w:type="fixed"/>
        <w:tblLook w:val="04A0" w:firstRow="1" w:lastRow="0" w:firstColumn="1" w:lastColumn="0" w:noHBand="0" w:noVBand="1"/>
      </w:tblPr>
      <w:tblGrid>
        <w:gridCol w:w="1430"/>
        <w:gridCol w:w="1122"/>
        <w:gridCol w:w="2376"/>
        <w:gridCol w:w="1276"/>
        <w:gridCol w:w="1400"/>
        <w:gridCol w:w="816"/>
        <w:gridCol w:w="5722"/>
      </w:tblGrid>
      <w:tr w:rsidR="00102289" w:rsidRPr="00F03F01" w:rsidTr="00FB02EC">
        <w:trPr>
          <w:trHeight w:val="300"/>
        </w:trPr>
        <w:tc>
          <w:tcPr>
            <w:tcW w:w="1430" w:type="dxa"/>
            <w:tcBorders>
              <w:top w:val="single" w:sz="4" w:space="0" w:color="auto"/>
              <w:left w:val="nil"/>
              <w:bottom w:val="single" w:sz="4" w:space="0" w:color="auto"/>
              <w:right w:val="nil"/>
            </w:tcBorders>
            <w:hideMark/>
          </w:tcPr>
          <w:p w:rsidR="00102289" w:rsidRPr="00F03F01" w:rsidRDefault="00102289" w:rsidP="00FB02EC">
            <w:pPr>
              <w:jc w:val="both"/>
              <w:rPr>
                <w:b/>
                <w:bCs/>
                <w:sz w:val="20"/>
                <w:szCs w:val="20"/>
              </w:rPr>
            </w:pPr>
            <w:r w:rsidRPr="00F03F01">
              <w:rPr>
                <w:b/>
                <w:bCs/>
                <w:sz w:val="20"/>
                <w:szCs w:val="20"/>
              </w:rPr>
              <w:t>Study</w:t>
            </w:r>
          </w:p>
        </w:tc>
        <w:tc>
          <w:tcPr>
            <w:tcW w:w="1122"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NMS/MUR</w:t>
            </w:r>
          </w:p>
        </w:tc>
        <w:tc>
          <w:tcPr>
            <w:tcW w:w="2376"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Objective(s)</w:t>
            </w:r>
          </w:p>
        </w:tc>
        <w:tc>
          <w:tcPr>
            <w:tcW w:w="1276"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Design</w:t>
            </w:r>
          </w:p>
        </w:tc>
        <w:tc>
          <w:tcPr>
            <w:tcW w:w="1400"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Sample</w:t>
            </w:r>
          </w:p>
        </w:tc>
        <w:tc>
          <w:tcPr>
            <w:tcW w:w="816"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Time frame</w:t>
            </w:r>
          </w:p>
        </w:tc>
        <w:tc>
          <w:tcPr>
            <w:tcW w:w="5722"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Pr>
                <w:b/>
                <w:bCs/>
                <w:sz w:val="20"/>
                <w:szCs w:val="20"/>
              </w:rPr>
              <w:t xml:space="preserve">Key </w:t>
            </w:r>
            <w:r w:rsidRPr="00F03F01">
              <w:rPr>
                <w:b/>
                <w:bCs/>
                <w:sz w:val="20"/>
                <w:szCs w:val="20"/>
              </w:rPr>
              <w:t xml:space="preserve">findings </w:t>
            </w:r>
          </w:p>
        </w:tc>
      </w:tr>
      <w:tr w:rsidR="00102289" w:rsidRPr="00F03F01" w:rsidTr="00FB02EC">
        <w:trPr>
          <w:trHeight w:val="1857"/>
        </w:trPr>
        <w:tc>
          <w:tcPr>
            <w:tcW w:w="1430" w:type="dxa"/>
            <w:tcBorders>
              <w:top w:val="nil"/>
              <w:left w:val="nil"/>
              <w:bottom w:val="nil"/>
              <w:right w:val="nil"/>
            </w:tcBorders>
            <w:hideMark/>
          </w:tcPr>
          <w:p w:rsidR="00102289" w:rsidRPr="00F03F01" w:rsidRDefault="00102289" w:rsidP="00FB02EC">
            <w:pPr>
              <w:rPr>
                <w:sz w:val="20"/>
                <w:szCs w:val="20"/>
              </w:rPr>
            </w:pPr>
            <w:r w:rsidRPr="00F03F01">
              <w:rPr>
                <w:sz w:val="20"/>
                <w:szCs w:val="20"/>
              </w:rPr>
              <w:t xml:space="preserve">Blenkinsopp et al. 2008 </w:t>
            </w:r>
            <w:r w:rsidRPr="00AE58B7">
              <w:rPr>
                <w:noProof/>
                <w:sz w:val="20"/>
                <w:szCs w:val="20"/>
                <w:vertAlign w:val="superscript"/>
              </w:rPr>
              <w:t>25</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MUR</w:t>
            </w:r>
          </w:p>
        </w:tc>
        <w:tc>
          <w:tcPr>
            <w:tcW w:w="23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Evaluate the first three years of the MUR service provision</w:t>
            </w:r>
          </w:p>
        </w:tc>
        <w:tc>
          <w:tcPr>
            <w:tcW w:w="12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Longitudinal analysis of pharmacy MUR provision records</w:t>
            </w:r>
          </w:p>
        </w:tc>
        <w:tc>
          <w:tcPr>
            <w:tcW w:w="1400" w:type="dxa"/>
            <w:tcBorders>
              <w:top w:val="nil"/>
              <w:left w:val="nil"/>
              <w:bottom w:val="nil"/>
              <w:right w:val="nil"/>
            </w:tcBorders>
            <w:hideMark/>
          </w:tcPr>
          <w:p w:rsidR="00102289" w:rsidRPr="00F03F01" w:rsidRDefault="00102289" w:rsidP="00FB02EC">
            <w:pPr>
              <w:rPr>
                <w:sz w:val="20"/>
                <w:szCs w:val="20"/>
              </w:rPr>
            </w:pPr>
            <w:r w:rsidRPr="00F03F01">
              <w:rPr>
                <w:sz w:val="20"/>
                <w:szCs w:val="20"/>
              </w:rPr>
              <w:t>1,090 pharmacies</w:t>
            </w:r>
          </w:p>
        </w:tc>
        <w:tc>
          <w:tcPr>
            <w:tcW w:w="816" w:type="dxa"/>
            <w:tcBorders>
              <w:top w:val="nil"/>
              <w:left w:val="nil"/>
              <w:bottom w:val="nil"/>
              <w:right w:val="nil"/>
            </w:tcBorders>
            <w:hideMark/>
          </w:tcPr>
          <w:p w:rsidR="00102289" w:rsidRPr="00F03F01" w:rsidRDefault="00102289" w:rsidP="00FB02EC">
            <w:pPr>
              <w:rPr>
                <w:sz w:val="20"/>
                <w:szCs w:val="20"/>
              </w:rPr>
            </w:pPr>
            <w:r w:rsidRPr="00F03F01">
              <w:rPr>
                <w:sz w:val="20"/>
                <w:szCs w:val="20"/>
              </w:rPr>
              <w:t>2005-2008</w:t>
            </w:r>
          </w:p>
        </w:tc>
        <w:tc>
          <w:tcPr>
            <w:tcW w:w="57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The number of MURs and pharmacies providing them increased over successive years.  Independents were less likely than multiples to provide MURs, and those</w:t>
            </w:r>
            <w:r>
              <w:rPr>
                <w:sz w:val="20"/>
                <w:szCs w:val="20"/>
              </w:rPr>
              <w:t xml:space="preserve"> independents </w:t>
            </w:r>
            <w:r w:rsidRPr="00F03F01">
              <w:rPr>
                <w:sz w:val="20"/>
                <w:szCs w:val="20"/>
              </w:rPr>
              <w:t>that did conducted fewer.</w:t>
            </w:r>
          </w:p>
        </w:tc>
      </w:tr>
      <w:tr w:rsidR="00102289" w:rsidRPr="00F03F01" w:rsidTr="00FB02EC">
        <w:trPr>
          <w:trHeight w:val="1800"/>
        </w:trPr>
        <w:tc>
          <w:tcPr>
            <w:tcW w:w="1430" w:type="dxa"/>
            <w:tcBorders>
              <w:top w:val="nil"/>
              <w:left w:val="nil"/>
              <w:bottom w:val="nil"/>
              <w:right w:val="nil"/>
            </w:tcBorders>
            <w:hideMark/>
          </w:tcPr>
          <w:p w:rsidR="00102289" w:rsidRPr="00F03F01" w:rsidRDefault="00102289" w:rsidP="00FB02EC">
            <w:pPr>
              <w:rPr>
                <w:sz w:val="20"/>
                <w:szCs w:val="20"/>
              </w:rPr>
            </w:pPr>
            <w:r w:rsidRPr="00F03F01">
              <w:rPr>
                <w:sz w:val="20"/>
                <w:szCs w:val="20"/>
              </w:rPr>
              <w:t xml:space="preserve">Wells et al. 2014 </w:t>
            </w:r>
            <w:r w:rsidRPr="00AE58B7">
              <w:rPr>
                <w:noProof/>
                <w:sz w:val="20"/>
                <w:szCs w:val="20"/>
                <w:vertAlign w:val="superscript"/>
              </w:rPr>
              <w:t>26</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NMS</w:t>
            </w:r>
          </w:p>
        </w:tc>
        <w:tc>
          <w:tcPr>
            <w:tcW w:w="23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Investigate the proportion of prescription items eligible for the NMS and if eligibility is affected by pharmacies' proximity to GP practices</w:t>
            </w:r>
          </w:p>
        </w:tc>
        <w:tc>
          <w:tcPr>
            <w:tcW w:w="12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Cross sectional analysis of prescription data</w:t>
            </w:r>
          </w:p>
        </w:tc>
        <w:tc>
          <w:tcPr>
            <w:tcW w:w="1400" w:type="dxa"/>
            <w:tcBorders>
              <w:top w:val="nil"/>
              <w:left w:val="nil"/>
              <w:bottom w:val="nil"/>
              <w:right w:val="nil"/>
            </w:tcBorders>
            <w:hideMark/>
          </w:tcPr>
          <w:p w:rsidR="00102289" w:rsidRPr="00F03F01" w:rsidRDefault="00102289" w:rsidP="00FB02EC">
            <w:pPr>
              <w:rPr>
                <w:sz w:val="20"/>
                <w:szCs w:val="20"/>
              </w:rPr>
            </w:pPr>
            <w:r w:rsidRPr="00F03F01">
              <w:rPr>
                <w:sz w:val="20"/>
                <w:szCs w:val="20"/>
              </w:rPr>
              <w:t>8005 prescription items</w:t>
            </w:r>
          </w:p>
        </w:tc>
        <w:tc>
          <w:tcPr>
            <w:tcW w:w="816" w:type="dxa"/>
            <w:tcBorders>
              <w:top w:val="nil"/>
              <w:left w:val="nil"/>
              <w:bottom w:val="nil"/>
              <w:right w:val="nil"/>
            </w:tcBorders>
            <w:hideMark/>
          </w:tcPr>
          <w:p w:rsidR="00102289" w:rsidRPr="00F03F01" w:rsidRDefault="00102289" w:rsidP="00FB02EC">
            <w:pPr>
              <w:rPr>
                <w:sz w:val="20"/>
                <w:szCs w:val="20"/>
              </w:rPr>
            </w:pPr>
            <w:r w:rsidRPr="00F03F01">
              <w:rPr>
                <w:sz w:val="20"/>
                <w:szCs w:val="20"/>
              </w:rPr>
              <w:t>2013</w:t>
            </w:r>
          </w:p>
        </w:tc>
        <w:tc>
          <w:tcPr>
            <w:tcW w:w="57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 xml:space="preserve">0.25% of prescription items were eligible for the NMS, lower </w:t>
            </w:r>
            <w:r>
              <w:rPr>
                <w:sz w:val="20"/>
                <w:szCs w:val="20"/>
              </w:rPr>
              <w:t xml:space="preserve">than the assumed </w:t>
            </w:r>
            <w:r w:rsidRPr="00F03F01">
              <w:rPr>
                <w:sz w:val="20"/>
                <w:szCs w:val="20"/>
              </w:rPr>
              <w:t>0.5%. The opportunity rate for NMS was 0.21% of items, as some eligible items did not translate into opportunities to offer the service.  GP proximity made no difference.</w:t>
            </w:r>
          </w:p>
        </w:tc>
      </w:tr>
      <w:tr w:rsidR="00102289" w:rsidRPr="00F03F01" w:rsidTr="00FB02EC">
        <w:trPr>
          <w:trHeight w:val="1735"/>
        </w:trPr>
        <w:tc>
          <w:tcPr>
            <w:tcW w:w="1430" w:type="dxa"/>
            <w:tcBorders>
              <w:top w:val="nil"/>
              <w:left w:val="nil"/>
              <w:bottom w:val="single" w:sz="4" w:space="0" w:color="auto"/>
              <w:right w:val="nil"/>
            </w:tcBorders>
            <w:hideMark/>
          </w:tcPr>
          <w:p w:rsidR="00102289" w:rsidRPr="00F03F01" w:rsidRDefault="00102289" w:rsidP="00FB02EC">
            <w:pPr>
              <w:rPr>
                <w:sz w:val="20"/>
                <w:szCs w:val="20"/>
              </w:rPr>
            </w:pPr>
            <w:proofErr w:type="spellStart"/>
            <w:r w:rsidRPr="00F03F01">
              <w:rPr>
                <w:sz w:val="20"/>
                <w:szCs w:val="20"/>
              </w:rPr>
              <w:t>Nazar</w:t>
            </w:r>
            <w:proofErr w:type="spellEnd"/>
            <w:r w:rsidRPr="00F03F01">
              <w:rPr>
                <w:sz w:val="20"/>
                <w:szCs w:val="20"/>
              </w:rPr>
              <w:t xml:space="preserve"> et al. 2016 </w:t>
            </w:r>
            <w:r w:rsidRPr="00AE58B7">
              <w:rPr>
                <w:noProof/>
                <w:sz w:val="20"/>
                <w:szCs w:val="20"/>
                <w:vertAlign w:val="superscript"/>
              </w:rPr>
              <w:t>27</w:t>
            </w:r>
          </w:p>
        </w:tc>
        <w:tc>
          <w:tcPr>
            <w:tcW w:w="1122" w:type="dxa"/>
            <w:tcBorders>
              <w:top w:val="nil"/>
              <w:left w:val="nil"/>
              <w:bottom w:val="single" w:sz="4" w:space="0" w:color="auto"/>
              <w:right w:val="nil"/>
            </w:tcBorders>
            <w:hideMark/>
          </w:tcPr>
          <w:p w:rsidR="00102289" w:rsidRPr="00F03F01" w:rsidRDefault="00102289" w:rsidP="00FB02EC">
            <w:pPr>
              <w:rPr>
                <w:sz w:val="20"/>
                <w:szCs w:val="20"/>
              </w:rPr>
            </w:pPr>
            <w:r w:rsidRPr="00F03F01">
              <w:rPr>
                <w:sz w:val="20"/>
                <w:szCs w:val="20"/>
              </w:rPr>
              <w:t>NMS/MUR</w:t>
            </w:r>
          </w:p>
        </w:tc>
        <w:tc>
          <w:tcPr>
            <w:tcW w:w="2376" w:type="dxa"/>
            <w:tcBorders>
              <w:top w:val="nil"/>
              <w:left w:val="nil"/>
              <w:bottom w:val="single" w:sz="4" w:space="0" w:color="auto"/>
              <w:right w:val="nil"/>
            </w:tcBorders>
            <w:hideMark/>
          </w:tcPr>
          <w:p w:rsidR="00102289" w:rsidRPr="00F03F01" w:rsidRDefault="00102289" w:rsidP="00FB02EC">
            <w:pPr>
              <w:rPr>
                <w:sz w:val="20"/>
                <w:szCs w:val="20"/>
              </w:rPr>
            </w:pPr>
            <w:r w:rsidRPr="00F03F01">
              <w:rPr>
                <w:sz w:val="20"/>
                <w:szCs w:val="20"/>
              </w:rPr>
              <w:t>Evaluate an electronic patient referral system from hospital to community pharmacies</w:t>
            </w:r>
          </w:p>
        </w:tc>
        <w:tc>
          <w:tcPr>
            <w:tcW w:w="1276" w:type="dxa"/>
            <w:tcBorders>
              <w:top w:val="nil"/>
              <w:left w:val="nil"/>
              <w:bottom w:val="single" w:sz="4" w:space="0" w:color="auto"/>
              <w:right w:val="nil"/>
            </w:tcBorders>
            <w:hideMark/>
          </w:tcPr>
          <w:p w:rsidR="00102289" w:rsidRPr="00F03F01" w:rsidRDefault="00102289" w:rsidP="00FB02EC">
            <w:pPr>
              <w:rPr>
                <w:sz w:val="20"/>
                <w:szCs w:val="20"/>
              </w:rPr>
            </w:pPr>
            <w:r w:rsidRPr="00F03F01">
              <w:rPr>
                <w:sz w:val="20"/>
                <w:szCs w:val="20"/>
              </w:rPr>
              <w:t>Cross sectional analysis of hospital referral data</w:t>
            </w:r>
          </w:p>
        </w:tc>
        <w:tc>
          <w:tcPr>
            <w:tcW w:w="1400" w:type="dxa"/>
            <w:tcBorders>
              <w:top w:val="nil"/>
              <w:left w:val="nil"/>
              <w:bottom w:val="single" w:sz="4" w:space="0" w:color="auto"/>
              <w:right w:val="nil"/>
            </w:tcBorders>
            <w:hideMark/>
          </w:tcPr>
          <w:p w:rsidR="00102289" w:rsidRPr="00F03F01" w:rsidRDefault="00102289" w:rsidP="00FB02EC">
            <w:pPr>
              <w:rPr>
                <w:sz w:val="20"/>
                <w:szCs w:val="20"/>
              </w:rPr>
            </w:pPr>
            <w:r w:rsidRPr="00F03F01">
              <w:rPr>
                <w:sz w:val="20"/>
                <w:szCs w:val="20"/>
              </w:rPr>
              <w:t>2029 patients</w:t>
            </w:r>
          </w:p>
        </w:tc>
        <w:tc>
          <w:tcPr>
            <w:tcW w:w="816" w:type="dxa"/>
            <w:tcBorders>
              <w:top w:val="nil"/>
              <w:left w:val="nil"/>
              <w:bottom w:val="single" w:sz="4" w:space="0" w:color="auto"/>
              <w:right w:val="nil"/>
            </w:tcBorders>
            <w:hideMark/>
          </w:tcPr>
          <w:p w:rsidR="00102289" w:rsidRPr="00F03F01" w:rsidRDefault="00102289" w:rsidP="00FB02EC">
            <w:pPr>
              <w:rPr>
                <w:sz w:val="20"/>
                <w:szCs w:val="20"/>
              </w:rPr>
            </w:pPr>
            <w:r w:rsidRPr="00F03F01">
              <w:rPr>
                <w:sz w:val="20"/>
                <w:szCs w:val="20"/>
              </w:rPr>
              <w:t>2014-2015</w:t>
            </w:r>
          </w:p>
        </w:tc>
        <w:tc>
          <w:tcPr>
            <w:tcW w:w="5722" w:type="dxa"/>
            <w:tcBorders>
              <w:top w:val="nil"/>
              <w:left w:val="nil"/>
              <w:bottom w:val="single" w:sz="4" w:space="0" w:color="auto"/>
              <w:right w:val="nil"/>
            </w:tcBorders>
            <w:hideMark/>
          </w:tcPr>
          <w:p w:rsidR="00102289" w:rsidRDefault="00102289" w:rsidP="00FB02EC">
            <w:pPr>
              <w:rPr>
                <w:sz w:val="20"/>
                <w:szCs w:val="20"/>
              </w:rPr>
            </w:pPr>
            <w:r w:rsidRPr="00F03F01">
              <w:rPr>
                <w:sz w:val="20"/>
                <w:szCs w:val="20"/>
              </w:rPr>
              <w:t>Only 31% of patients received a community pharmacist follow-up consultation.  Most referred patients were over 60 years of and referred for a MUR or the NMS. Patients who received a follow-up consultation had fewer readmissions and shorter hospital stays.</w:t>
            </w:r>
          </w:p>
          <w:p w:rsidR="00102289" w:rsidRPr="00F03F01" w:rsidRDefault="00102289" w:rsidP="00FB02EC">
            <w:pPr>
              <w:rPr>
                <w:sz w:val="20"/>
                <w:szCs w:val="20"/>
              </w:rPr>
            </w:pPr>
          </w:p>
        </w:tc>
      </w:tr>
    </w:tbl>
    <w:p w:rsidR="00102289" w:rsidRDefault="00102289">
      <w:pPr>
        <w:rPr>
          <w:b/>
        </w:rPr>
      </w:pPr>
    </w:p>
    <w:p w:rsidR="00102289" w:rsidRDefault="00102289">
      <w:pPr>
        <w:rPr>
          <w:b/>
        </w:rPr>
      </w:pPr>
      <w:r>
        <w:rPr>
          <w:b/>
        </w:rPr>
        <w:br w:type="page"/>
      </w:r>
    </w:p>
    <w:p w:rsidR="00102289" w:rsidRDefault="00102289" w:rsidP="00FB02EC">
      <w:pPr>
        <w:pStyle w:val="ListParagraph"/>
        <w:tabs>
          <w:tab w:val="num" w:pos="1440"/>
        </w:tabs>
        <w:spacing w:line="240" w:lineRule="auto"/>
        <w:ind w:left="0"/>
      </w:pPr>
      <w:r>
        <w:lastRenderedPageBreak/>
        <w:t>Table 3: Characteristics of mixed methods studies</w:t>
      </w:r>
    </w:p>
    <w:tbl>
      <w:tblPr>
        <w:tblStyle w:val="TableGrid"/>
        <w:tblpPr w:leftFromText="180" w:rightFromText="180" w:vertAnchor="text" w:tblpY="1"/>
        <w:tblOverlap w:val="never"/>
        <w:tblW w:w="14317" w:type="dxa"/>
        <w:tblLayout w:type="fixed"/>
        <w:tblLook w:val="04A0" w:firstRow="1" w:lastRow="0" w:firstColumn="1" w:lastColumn="0" w:noHBand="0" w:noVBand="1"/>
      </w:tblPr>
      <w:tblGrid>
        <w:gridCol w:w="1418"/>
        <w:gridCol w:w="12"/>
        <w:gridCol w:w="1122"/>
        <w:gridCol w:w="2410"/>
        <w:gridCol w:w="1275"/>
        <w:gridCol w:w="1418"/>
        <w:gridCol w:w="850"/>
        <w:gridCol w:w="23"/>
        <w:gridCol w:w="5722"/>
        <w:gridCol w:w="67"/>
      </w:tblGrid>
      <w:tr w:rsidR="00102289" w:rsidRPr="00F03F01" w:rsidTr="00FB02EC">
        <w:trPr>
          <w:gridAfter w:val="1"/>
          <w:wAfter w:w="67" w:type="dxa"/>
          <w:trHeight w:val="300"/>
        </w:trPr>
        <w:tc>
          <w:tcPr>
            <w:tcW w:w="1418" w:type="dxa"/>
            <w:tcBorders>
              <w:top w:val="single" w:sz="4" w:space="0" w:color="auto"/>
              <w:left w:val="nil"/>
              <w:bottom w:val="single" w:sz="4" w:space="0" w:color="auto"/>
              <w:right w:val="nil"/>
            </w:tcBorders>
            <w:hideMark/>
          </w:tcPr>
          <w:p w:rsidR="00102289" w:rsidRPr="00F03F01" w:rsidRDefault="00102289" w:rsidP="00FB02EC">
            <w:pPr>
              <w:jc w:val="both"/>
              <w:rPr>
                <w:b/>
                <w:bCs/>
                <w:sz w:val="20"/>
                <w:szCs w:val="20"/>
              </w:rPr>
            </w:pPr>
            <w:r w:rsidRPr="00F03F01">
              <w:rPr>
                <w:b/>
                <w:bCs/>
                <w:sz w:val="20"/>
                <w:szCs w:val="20"/>
              </w:rPr>
              <w:t>Study</w:t>
            </w:r>
          </w:p>
        </w:tc>
        <w:tc>
          <w:tcPr>
            <w:tcW w:w="1134" w:type="dxa"/>
            <w:gridSpan w:val="2"/>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NMS/MUR</w:t>
            </w:r>
          </w:p>
        </w:tc>
        <w:tc>
          <w:tcPr>
            <w:tcW w:w="2410"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Objective(s)</w:t>
            </w:r>
          </w:p>
        </w:tc>
        <w:tc>
          <w:tcPr>
            <w:tcW w:w="1275"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Design</w:t>
            </w:r>
          </w:p>
        </w:tc>
        <w:tc>
          <w:tcPr>
            <w:tcW w:w="1418"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Sample</w:t>
            </w:r>
          </w:p>
        </w:tc>
        <w:tc>
          <w:tcPr>
            <w:tcW w:w="873" w:type="dxa"/>
            <w:gridSpan w:val="2"/>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Time frame</w:t>
            </w:r>
          </w:p>
        </w:tc>
        <w:tc>
          <w:tcPr>
            <w:tcW w:w="5722"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Pr>
                <w:b/>
                <w:bCs/>
                <w:sz w:val="20"/>
                <w:szCs w:val="20"/>
              </w:rPr>
              <w:t xml:space="preserve">Key </w:t>
            </w:r>
            <w:r w:rsidRPr="00F03F01">
              <w:rPr>
                <w:b/>
                <w:bCs/>
                <w:sz w:val="20"/>
                <w:szCs w:val="20"/>
              </w:rPr>
              <w:t xml:space="preserve">findings </w:t>
            </w:r>
          </w:p>
        </w:tc>
      </w:tr>
      <w:tr w:rsidR="00102289" w:rsidRPr="00F03F01" w:rsidTr="00FB02EC">
        <w:trPr>
          <w:trHeight w:val="1657"/>
        </w:trPr>
        <w:tc>
          <w:tcPr>
            <w:tcW w:w="1430" w:type="dxa"/>
            <w:gridSpan w:val="2"/>
            <w:tcBorders>
              <w:top w:val="nil"/>
              <w:left w:val="nil"/>
              <w:bottom w:val="nil"/>
              <w:right w:val="nil"/>
            </w:tcBorders>
            <w:hideMark/>
          </w:tcPr>
          <w:p w:rsidR="00102289" w:rsidRPr="00F03F01" w:rsidRDefault="00102289" w:rsidP="00FB02EC">
            <w:pPr>
              <w:rPr>
                <w:sz w:val="20"/>
                <w:szCs w:val="20"/>
              </w:rPr>
            </w:pPr>
            <w:r w:rsidRPr="00F03F01">
              <w:rPr>
                <w:sz w:val="20"/>
                <w:szCs w:val="20"/>
              </w:rPr>
              <w:t xml:space="preserve">Blenkinsopp et al. 2007 </w:t>
            </w:r>
            <w:r w:rsidRPr="00AE58B7">
              <w:rPr>
                <w:noProof/>
                <w:sz w:val="20"/>
                <w:szCs w:val="20"/>
                <w:vertAlign w:val="superscript"/>
              </w:rPr>
              <w:t>28</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MUR</w:t>
            </w:r>
          </w:p>
        </w:tc>
        <w:tc>
          <w:tcPr>
            <w:tcW w:w="2410" w:type="dxa"/>
            <w:tcBorders>
              <w:top w:val="nil"/>
              <w:left w:val="nil"/>
              <w:bottom w:val="nil"/>
              <w:right w:val="nil"/>
            </w:tcBorders>
            <w:hideMark/>
          </w:tcPr>
          <w:p w:rsidR="00102289" w:rsidRPr="00F03F01" w:rsidRDefault="00102289" w:rsidP="00FB02EC">
            <w:pPr>
              <w:rPr>
                <w:sz w:val="20"/>
                <w:szCs w:val="20"/>
              </w:rPr>
            </w:pPr>
            <w:r w:rsidRPr="00F03F01">
              <w:rPr>
                <w:sz w:val="20"/>
                <w:szCs w:val="20"/>
              </w:rPr>
              <w:t>Measure MUR provision in first year of implementation</w:t>
            </w:r>
          </w:p>
        </w:tc>
        <w:tc>
          <w:tcPr>
            <w:tcW w:w="1275" w:type="dxa"/>
            <w:tcBorders>
              <w:top w:val="nil"/>
              <w:left w:val="nil"/>
              <w:bottom w:val="nil"/>
              <w:right w:val="nil"/>
            </w:tcBorders>
            <w:hideMark/>
          </w:tcPr>
          <w:p w:rsidR="00102289" w:rsidRPr="00F03F01" w:rsidRDefault="00102289" w:rsidP="00FB02EC">
            <w:pPr>
              <w:rPr>
                <w:sz w:val="20"/>
                <w:szCs w:val="20"/>
              </w:rPr>
            </w:pPr>
            <w:r w:rsidRPr="00F03F01">
              <w:rPr>
                <w:sz w:val="20"/>
                <w:szCs w:val="20"/>
              </w:rPr>
              <w:t>Postal survey; cross sectional analysis of pharmacy records; interviews</w:t>
            </w:r>
          </w:p>
        </w:tc>
        <w:tc>
          <w:tcPr>
            <w:tcW w:w="1418" w:type="dxa"/>
            <w:tcBorders>
              <w:top w:val="nil"/>
              <w:left w:val="nil"/>
              <w:bottom w:val="nil"/>
              <w:right w:val="nil"/>
            </w:tcBorders>
            <w:hideMark/>
          </w:tcPr>
          <w:p w:rsidR="00102289" w:rsidRPr="00F03F01" w:rsidRDefault="00102289" w:rsidP="00FB02EC">
            <w:pPr>
              <w:rPr>
                <w:sz w:val="20"/>
                <w:szCs w:val="20"/>
              </w:rPr>
            </w:pPr>
            <w:r w:rsidRPr="00F03F01">
              <w:rPr>
                <w:sz w:val="20"/>
                <w:szCs w:val="20"/>
              </w:rPr>
              <w:t>1,072 pharmacies; 29 primary care organisations</w:t>
            </w:r>
          </w:p>
        </w:tc>
        <w:tc>
          <w:tcPr>
            <w:tcW w:w="850" w:type="dxa"/>
            <w:tcBorders>
              <w:top w:val="nil"/>
              <w:left w:val="nil"/>
              <w:bottom w:val="nil"/>
              <w:right w:val="nil"/>
            </w:tcBorders>
            <w:hideMark/>
          </w:tcPr>
          <w:p w:rsidR="00102289" w:rsidRPr="00F03F01" w:rsidRDefault="00102289" w:rsidP="00FB02EC">
            <w:pPr>
              <w:rPr>
                <w:sz w:val="20"/>
                <w:szCs w:val="20"/>
              </w:rPr>
            </w:pPr>
            <w:r w:rsidRPr="00F03F01">
              <w:rPr>
                <w:sz w:val="20"/>
                <w:szCs w:val="20"/>
              </w:rPr>
              <w:t>2005-2006</w:t>
            </w:r>
          </w:p>
        </w:tc>
        <w:tc>
          <w:tcPr>
            <w:tcW w:w="5812" w:type="dxa"/>
            <w:gridSpan w:val="3"/>
            <w:tcBorders>
              <w:top w:val="nil"/>
              <w:left w:val="nil"/>
              <w:bottom w:val="nil"/>
              <w:right w:val="nil"/>
            </w:tcBorders>
            <w:hideMark/>
          </w:tcPr>
          <w:p w:rsidR="00102289" w:rsidRDefault="00102289" w:rsidP="00FB02EC">
            <w:pPr>
              <w:rPr>
                <w:i/>
                <w:sz w:val="20"/>
                <w:szCs w:val="20"/>
              </w:rPr>
            </w:pPr>
            <w:r>
              <w:rPr>
                <w:i/>
                <w:sz w:val="20"/>
                <w:szCs w:val="20"/>
              </w:rPr>
              <w:t>Quantitative</w:t>
            </w:r>
            <w:r>
              <w:rPr>
                <w:sz w:val="20"/>
                <w:szCs w:val="20"/>
              </w:rPr>
              <w:t xml:space="preserve">: </w:t>
            </w:r>
            <w:r w:rsidRPr="00F03F01">
              <w:rPr>
                <w:sz w:val="20"/>
                <w:szCs w:val="20"/>
              </w:rPr>
              <w:t>Uptake and spread of MURs was low, and dominated by multiples</w:t>
            </w:r>
            <w:r>
              <w:rPr>
                <w:sz w:val="20"/>
                <w:szCs w:val="20"/>
              </w:rPr>
              <w:t>.</w:t>
            </w:r>
            <w:r w:rsidRPr="00985BCB">
              <w:rPr>
                <w:i/>
                <w:sz w:val="20"/>
                <w:szCs w:val="20"/>
              </w:rPr>
              <w:t xml:space="preserve"> </w:t>
            </w:r>
          </w:p>
          <w:p w:rsidR="00102289" w:rsidRPr="00787ECC" w:rsidRDefault="00102289" w:rsidP="00FB02EC">
            <w:pPr>
              <w:rPr>
                <w:i/>
                <w:sz w:val="20"/>
                <w:szCs w:val="20"/>
              </w:rPr>
            </w:pPr>
            <w:r w:rsidRPr="00985BCB">
              <w:rPr>
                <w:i/>
                <w:sz w:val="20"/>
                <w:szCs w:val="20"/>
              </w:rPr>
              <w:t>Qualitative:</w:t>
            </w:r>
            <w:r>
              <w:rPr>
                <w:sz w:val="20"/>
                <w:szCs w:val="20"/>
              </w:rPr>
              <w:t xml:space="preserve"> </w:t>
            </w:r>
            <w:r w:rsidRPr="00F03F01">
              <w:rPr>
                <w:sz w:val="20"/>
                <w:szCs w:val="20"/>
              </w:rPr>
              <w:t>Relationships between pharmacists and GPs a key barrier to implementation.</w:t>
            </w:r>
          </w:p>
        </w:tc>
      </w:tr>
      <w:tr w:rsidR="00102289" w:rsidRPr="00F03F01" w:rsidTr="00FB02EC">
        <w:trPr>
          <w:trHeight w:val="1978"/>
        </w:trPr>
        <w:tc>
          <w:tcPr>
            <w:tcW w:w="1430" w:type="dxa"/>
            <w:gridSpan w:val="2"/>
            <w:tcBorders>
              <w:top w:val="nil"/>
              <w:left w:val="nil"/>
              <w:bottom w:val="nil"/>
              <w:right w:val="nil"/>
            </w:tcBorders>
            <w:hideMark/>
          </w:tcPr>
          <w:p w:rsidR="00102289" w:rsidRPr="00F03F01" w:rsidRDefault="00102289" w:rsidP="00FB02EC">
            <w:pPr>
              <w:rPr>
                <w:sz w:val="20"/>
                <w:szCs w:val="20"/>
              </w:rPr>
            </w:pPr>
            <w:r w:rsidRPr="00F03F01">
              <w:rPr>
                <w:sz w:val="20"/>
                <w:szCs w:val="20"/>
              </w:rPr>
              <w:t xml:space="preserve">Bradley et al. 2008 </w:t>
            </w:r>
            <w:r w:rsidRPr="00AE58B7">
              <w:rPr>
                <w:noProof/>
                <w:sz w:val="20"/>
                <w:szCs w:val="20"/>
                <w:vertAlign w:val="superscript"/>
              </w:rPr>
              <w:t>29</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MUR</w:t>
            </w:r>
          </w:p>
        </w:tc>
        <w:tc>
          <w:tcPr>
            <w:tcW w:w="2410" w:type="dxa"/>
            <w:tcBorders>
              <w:top w:val="nil"/>
              <w:left w:val="nil"/>
              <w:bottom w:val="nil"/>
              <w:right w:val="nil"/>
            </w:tcBorders>
            <w:hideMark/>
          </w:tcPr>
          <w:p w:rsidR="00102289" w:rsidRPr="00F03F01" w:rsidRDefault="00102289" w:rsidP="00FB02EC">
            <w:pPr>
              <w:rPr>
                <w:sz w:val="20"/>
                <w:szCs w:val="20"/>
              </w:rPr>
            </w:pPr>
            <w:r w:rsidRPr="00F03F01">
              <w:rPr>
                <w:sz w:val="20"/>
                <w:szCs w:val="20"/>
              </w:rPr>
              <w:t>Explore and identify the key determinants influencing uptake of MURs</w:t>
            </w:r>
          </w:p>
        </w:tc>
        <w:tc>
          <w:tcPr>
            <w:tcW w:w="1275" w:type="dxa"/>
            <w:tcBorders>
              <w:top w:val="nil"/>
              <w:left w:val="nil"/>
              <w:bottom w:val="nil"/>
              <w:right w:val="nil"/>
            </w:tcBorders>
            <w:hideMark/>
          </w:tcPr>
          <w:p w:rsidR="00102289" w:rsidRPr="00F03F01" w:rsidRDefault="00102289" w:rsidP="00FB02EC">
            <w:pPr>
              <w:rPr>
                <w:sz w:val="20"/>
                <w:szCs w:val="20"/>
              </w:rPr>
            </w:pPr>
            <w:r w:rsidRPr="00F03F01">
              <w:rPr>
                <w:sz w:val="20"/>
                <w:szCs w:val="20"/>
              </w:rPr>
              <w:t>Survey, interviews and cross sectional analysis of MUR data</w:t>
            </w:r>
          </w:p>
        </w:tc>
        <w:tc>
          <w:tcPr>
            <w:tcW w:w="1418" w:type="dxa"/>
            <w:tcBorders>
              <w:top w:val="nil"/>
              <w:left w:val="nil"/>
              <w:bottom w:val="nil"/>
              <w:right w:val="nil"/>
            </w:tcBorders>
            <w:hideMark/>
          </w:tcPr>
          <w:p w:rsidR="00102289" w:rsidRPr="00F03F01" w:rsidRDefault="00102289" w:rsidP="00FB02EC">
            <w:pPr>
              <w:rPr>
                <w:sz w:val="20"/>
                <w:szCs w:val="20"/>
              </w:rPr>
            </w:pPr>
            <w:r w:rsidRPr="00F03F01">
              <w:rPr>
                <w:sz w:val="20"/>
                <w:szCs w:val="20"/>
              </w:rPr>
              <w:t>MUR data from 9872 pharmacies;</w:t>
            </w:r>
            <w:r w:rsidRPr="00F03F01">
              <w:rPr>
                <w:sz w:val="20"/>
                <w:szCs w:val="20"/>
              </w:rPr>
              <w:br/>
              <w:t>Survey (n=216) of primary care organisations; stakeholder interviews (n=43)</w:t>
            </w:r>
          </w:p>
        </w:tc>
        <w:tc>
          <w:tcPr>
            <w:tcW w:w="850" w:type="dxa"/>
            <w:tcBorders>
              <w:top w:val="nil"/>
              <w:left w:val="nil"/>
              <w:bottom w:val="nil"/>
              <w:right w:val="nil"/>
            </w:tcBorders>
            <w:hideMark/>
          </w:tcPr>
          <w:p w:rsidR="00102289" w:rsidRPr="00F03F01" w:rsidRDefault="00102289" w:rsidP="00FB02EC">
            <w:pPr>
              <w:rPr>
                <w:sz w:val="20"/>
                <w:szCs w:val="20"/>
              </w:rPr>
            </w:pPr>
            <w:r w:rsidRPr="00F03F01">
              <w:rPr>
                <w:sz w:val="20"/>
                <w:szCs w:val="20"/>
              </w:rPr>
              <w:t>2005-2007</w:t>
            </w:r>
          </w:p>
        </w:tc>
        <w:tc>
          <w:tcPr>
            <w:tcW w:w="5812" w:type="dxa"/>
            <w:gridSpan w:val="3"/>
            <w:tcBorders>
              <w:top w:val="nil"/>
              <w:left w:val="nil"/>
              <w:bottom w:val="nil"/>
              <w:right w:val="nil"/>
            </w:tcBorders>
            <w:hideMark/>
          </w:tcPr>
          <w:p w:rsidR="00102289" w:rsidRDefault="00102289" w:rsidP="00FB02EC">
            <w:pPr>
              <w:rPr>
                <w:sz w:val="20"/>
                <w:szCs w:val="20"/>
              </w:rPr>
            </w:pPr>
            <w:r>
              <w:rPr>
                <w:i/>
                <w:sz w:val="20"/>
                <w:szCs w:val="20"/>
              </w:rPr>
              <w:t>Quantitative:</w:t>
            </w:r>
            <w:r w:rsidRPr="00F03F01">
              <w:rPr>
                <w:sz w:val="20"/>
                <w:szCs w:val="20"/>
              </w:rPr>
              <w:t xml:space="preserve"> Rates of MUR</w:t>
            </w:r>
            <w:r>
              <w:rPr>
                <w:sz w:val="20"/>
                <w:szCs w:val="20"/>
              </w:rPr>
              <w:t>s</w:t>
            </w:r>
            <w:r w:rsidRPr="00F03F01">
              <w:rPr>
                <w:sz w:val="20"/>
                <w:szCs w:val="20"/>
              </w:rPr>
              <w:t xml:space="preserve"> </w:t>
            </w:r>
            <w:r>
              <w:rPr>
                <w:sz w:val="20"/>
                <w:szCs w:val="20"/>
              </w:rPr>
              <w:t xml:space="preserve">by </w:t>
            </w:r>
            <w:r w:rsidRPr="00F03F01">
              <w:rPr>
                <w:sz w:val="20"/>
                <w:szCs w:val="20"/>
              </w:rPr>
              <w:t>multiples were almost twice that of independents.   Survey respondents perceived lack of GP support to be the greatest barrier to MUR implementation</w:t>
            </w:r>
            <w:r>
              <w:rPr>
                <w:sz w:val="20"/>
                <w:szCs w:val="20"/>
              </w:rPr>
              <w:t>.</w:t>
            </w:r>
          </w:p>
          <w:p w:rsidR="00102289" w:rsidRPr="00F03F01" w:rsidRDefault="00102289" w:rsidP="00FB02EC">
            <w:pPr>
              <w:rPr>
                <w:sz w:val="20"/>
                <w:szCs w:val="20"/>
              </w:rPr>
            </w:pPr>
            <w:r w:rsidRPr="00985BCB">
              <w:rPr>
                <w:i/>
                <w:sz w:val="20"/>
                <w:szCs w:val="20"/>
              </w:rPr>
              <w:t>Qualitative:</w:t>
            </w:r>
            <w:r>
              <w:rPr>
                <w:i/>
                <w:sz w:val="20"/>
                <w:szCs w:val="20"/>
              </w:rPr>
              <w:t xml:space="preserve"> </w:t>
            </w:r>
            <w:r w:rsidRPr="00F03F01">
              <w:rPr>
                <w:sz w:val="20"/>
                <w:szCs w:val="20"/>
              </w:rPr>
              <w:t>Organisational pressure within multiple pharmacies was identified as driving MUR activity.</w:t>
            </w:r>
          </w:p>
        </w:tc>
      </w:tr>
      <w:tr w:rsidR="00102289" w:rsidRPr="00F03F01" w:rsidTr="00FB02EC">
        <w:trPr>
          <w:trHeight w:val="2100"/>
        </w:trPr>
        <w:tc>
          <w:tcPr>
            <w:tcW w:w="1430" w:type="dxa"/>
            <w:gridSpan w:val="2"/>
            <w:tcBorders>
              <w:top w:val="nil"/>
              <w:left w:val="nil"/>
              <w:bottom w:val="nil"/>
              <w:right w:val="nil"/>
            </w:tcBorders>
            <w:hideMark/>
          </w:tcPr>
          <w:p w:rsidR="00102289" w:rsidRPr="00F03F01" w:rsidRDefault="00102289" w:rsidP="00FB02EC">
            <w:pPr>
              <w:rPr>
                <w:sz w:val="20"/>
                <w:szCs w:val="20"/>
              </w:rPr>
            </w:pPr>
            <w:proofErr w:type="spellStart"/>
            <w:r w:rsidRPr="00F03F01">
              <w:rPr>
                <w:sz w:val="20"/>
                <w:szCs w:val="20"/>
              </w:rPr>
              <w:t>Portlock</w:t>
            </w:r>
            <w:proofErr w:type="spellEnd"/>
            <w:r w:rsidRPr="00F03F01">
              <w:rPr>
                <w:sz w:val="20"/>
                <w:szCs w:val="20"/>
              </w:rPr>
              <w:t xml:space="preserve"> et al. 2009 </w:t>
            </w:r>
            <w:r w:rsidRPr="00AE58B7">
              <w:rPr>
                <w:noProof/>
                <w:sz w:val="20"/>
                <w:szCs w:val="20"/>
                <w:vertAlign w:val="superscript"/>
              </w:rPr>
              <w:t>32</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MUR</w:t>
            </w:r>
          </w:p>
        </w:tc>
        <w:tc>
          <w:tcPr>
            <w:tcW w:w="2410" w:type="dxa"/>
            <w:tcBorders>
              <w:top w:val="nil"/>
              <w:left w:val="nil"/>
              <w:bottom w:val="nil"/>
              <w:right w:val="nil"/>
            </w:tcBorders>
            <w:hideMark/>
          </w:tcPr>
          <w:p w:rsidR="00102289" w:rsidRPr="00F03F01" w:rsidRDefault="00102289" w:rsidP="00FB02EC">
            <w:pPr>
              <w:rPr>
                <w:sz w:val="20"/>
                <w:szCs w:val="20"/>
              </w:rPr>
            </w:pPr>
            <w:r w:rsidRPr="00F03F01">
              <w:rPr>
                <w:sz w:val="20"/>
                <w:szCs w:val="20"/>
              </w:rPr>
              <w:t>Evaluate MUR interventions for asthma</w:t>
            </w:r>
          </w:p>
        </w:tc>
        <w:tc>
          <w:tcPr>
            <w:tcW w:w="1275" w:type="dxa"/>
            <w:tcBorders>
              <w:top w:val="nil"/>
              <w:left w:val="nil"/>
              <w:bottom w:val="nil"/>
              <w:right w:val="nil"/>
            </w:tcBorders>
            <w:hideMark/>
          </w:tcPr>
          <w:p w:rsidR="00102289" w:rsidRPr="00F03F01" w:rsidRDefault="00102289" w:rsidP="00FB02EC">
            <w:pPr>
              <w:rPr>
                <w:sz w:val="20"/>
                <w:szCs w:val="20"/>
              </w:rPr>
            </w:pPr>
            <w:r w:rsidRPr="00F03F01">
              <w:rPr>
                <w:sz w:val="20"/>
                <w:szCs w:val="20"/>
              </w:rPr>
              <w:t>MUR outcome audit; Feedback forms</w:t>
            </w:r>
          </w:p>
          <w:p w:rsidR="00102289" w:rsidRPr="00F03F01" w:rsidRDefault="00102289" w:rsidP="00FB02EC">
            <w:pPr>
              <w:rPr>
                <w:sz w:val="20"/>
                <w:szCs w:val="20"/>
              </w:rPr>
            </w:pPr>
          </w:p>
        </w:tc>
        <w:tc>
          <w:tcPr>
            <w:tcW w:w="1418" w:type="dxa"/>
            <w:tcBorders>
              <w:top w:val="nil"/>
              <w:left w:val="nil"/>
              <w:bottom w:val="nil"/>
              <w:right w:val="nil"/>
            </w:tcBorders>
            <w:hideMark/>
          </w:tcPr>
          <w:p w:rsidR="00102289" w:rsidRPr="00F03F01" w:rsidRDefault="00102289" w:rsidP="00FB02EC">
            <w:pPr>
              <w:rPr>
                <w:sz w:val="20"/>
                <w:szCs w:val="20"/>
              </w:rPr>
            </w:pPr>
            <w:r w:rsidRPr="00F03F01">
              <w:rPr>
                <w:sz w:val="20"/>
                <w:szCs w:val="20"/>
              </w:rPr>
              <w:t>965 patients; 28 pharmacists; 15 GPs</w:t>
            </w:r>
          </w:p>
        </w:tc>
        <w:tc>
          <w:tcPr>
            <w:tcW w:w="850" w:type="dxa"/>
            <w:tcBorders>
              <w:top w:val="nil"/>
              <w:left w:val="nil"/>
              <w:bottom w:val="nil"/>
              <w:right w:val="nil"/>
            </w:tcBorders>
            <w:hideMark/>
          </w:tcPr>
          <w:p w:rsidR="00102289" w:rsidRPr="00F03F01" w:rsidRDefault="00102289" w:rsidP="00FB02EC">
            <w:pPr>
              <w:rPr>
                <w:sz w:val="20"/>
                <w:szCs w:val="20"/>
              </w:rPr>
            </w:pPr>
            <w:r w:rsidRPr="00F03F01">
              <w:rPr>
                <w:sz w:val="20"/>
                <w:szCs w:val="20"/>
              </w:rPr>
              <w:t>2007</w:t>
            </w:r>
          </w:p>
        </w:tc>
        <w:tc>
          <w:tcPr>
            <w:tcW w:w="5812" w:type="dxa"/>
            <w:gridSpan w:val="3"/>
            <w:tcBorders>
              <w:top w:val="nil"/>
              <w:left w:val="nil"/>
              <w:bottom w:val="nil"/>
              <w:right w:val="nil"/>
            </w:tcBorders>
            <w:hideMark/>
          </w:tcPr>
          <w:p w:rsidR="00102289" w:rsidRDefault="00102289" w:rsidP="00FB02EC">
            <w:pPr>
              <w:rPr>
                <w:sz w:val="20"/>
                <w:szCs w:val="20"/>
              </w:rPr>
            </w:pPr>
            <w:r>
              <w:rPr>
                <w:i/>
                <w:sz w:val="20"/>
                <w:szCs w:val="20"/>
              </w:rPr>
              <w:t xml:space="preserve">Quantitative: </w:t>
            </w:r>
            <w:r w:rsidRPr="00F03F01">
              <w:rPr>
                <w:sz w:val="20"/>
                <w:szCs w:val="20"/>
              </w:rPr>
              <w:t xml:space="preserve">MUR numbers varied </w:t>
            </w:r>
            <w:r>
              <w:rPr>
                <w:sz w:val="20"/>
                <w:szCs w:val="20"/>
              </w:rPr>
              <w:t xml:space="preserve">markedly </w:t>
            </w:r>
            <w:r w:rsidRPr="00F03F01">
              <w:rPr>
                <w:sz w:val="20"/>
                <w:szCs w:val="20"/>
              </w:rPr>
              <w:t xml:space="preserve">between pharmacies.  Adherence was greater among patients who had received a GP review in the past year.  MURs increased patient knowledge about their condition and treatment.  </w:t>
            </w:r>
          </w:p>
          <w:p w:rsidR="00102289" w:rsidRPr="00F03F01" w:rsidRDefault="00102289" w:rsidP="00FB02EC">
            <w:pPr>
              <w:rPr>
                <w:sz w:val="20"/>
                <w:szCs w:val="20"/>
              </w:rPr>
            </w:pPr>
            <w:r w:rsidRPr="00985BCB">
              <w:rPr>
                <w:i/>
                <w:sz w:val="20"/>
                <w:szCs w:val="20"/>
              </w:rPr>
              <w:t>Qualitative:</w:t>
            </w:r>
            <w:r>
              <w:rPr>
                <w:i/>
                <w:sz w:val="20"/>
                <w:szCs w:val="20"/>
              </w:rPr>
              <w:t xml:space="preserve"> </w:t>
            </w:r>
            <w:r w:rsidRPr="00F03F01">
              <w:rPr>
                <w:sz w:val="20"/>
                <w:szCs w:val="20"/>
              </w:rPr>
              <w:t>Patient feedback was positive about overall impression of the service, privacy, demonstration of inhalers, explanations of medication and convenience.</w:t>
            </w:r>
          </w:p>
        </w:tc>
      </w:tr>
      <w:tr w:rsidR="00102289" w:rsidRPr="00F03F01" w:rsidTr="00FB02EC">
        <w:trPr>
          <w:trHeight w:val="1985"/>
        </w:trPr>
        <w:tc>
          <w:tcPr>
            <w:tcW w:w="1430" w:type="dxa"/>
            <w:gridSpan w:val="2"/>
            <w:tcBorders>
              <w:top w:val="nil"/>
              <w:left w:val="nil"/>
              <w:bottom w:val="nil"/>
              <w:right w:val="nil"/>
            </w:tcBorders>
            <w:hideMark/>
          </w:tcPr>
          <w:p w:rsidR="00102289" w:rsidRPr="00F03F01" w:rsidRDefault="00102289" w:rsidP="00FB02EC">
            <w:pPr>
              <w:rPr>
                <w:sz w:val="20"/>
                <w:szCs w:val="20"/>
              </w:rPr>
            </w:pPr>
            <w:r w:rsidRPr="00F03F01">
              <w:rPr>
                <w:sz w:val="20"/>
                <w:szCs w:val="20"/>
              </w:rPr>
              <w:lastRenderedPageBreak/>
              <w:t xml:space="preserve">Brown et al. 2014 </w:t>
            </w:r>
            <w:r w:rsidRPr="00AE58B7">
              <w:rPr>
                <w:noProof/>
                <w:sz w:val="20"/>
                <w:szCs w:val="20"/>
                <w:vertAlign w:val="superscript"/>
              </w:rPr>
              <w:t>31</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MUR</w:t>
            </w:r>
          </w:p>
        </w:tc>
        <w:tc>
          <w:tcPr>
            <w:tcW w:w="2410" w:type="dxa"/>
            <w:tcBorders>
              <w:top w:val="nil"/>
              <w:left w:val="nil"/>
              <w:bottom w:val="nil"/>
              <w:right w:val="nil"/>
            </w:tcBorders>
            <w:hideMark/>
          </w:tcPr>
          <w:p w:rsidR="00102289" w:rsidRPr="00F03F01" w:rsidRDefault="00102289" w:rsidP="00FB02EC">
            <w:pPr>
              <w:rPr>
                <w:sz w:val="20"/>
                <w:szCs w:val="20"/>
              </w:rPr>
            </w:pPr>
            <w:r w:rsidRPr="00F03F01">
              <w:rPr>
                <w:sz w:val="20"/>
                <w:szCs w:val="20"/>
              </w:rPr>
              <w:t>Assess the impact of the healthy living pharmacy (HLP) framework on service provision and staff engagement</w:t>
            </w:r>
          </w:p>
        </w:tc>
        <w:tc>
          <w:tcPr>
            <w:tcW w:w="1275" w:type="dxa"/>
            <w:tcBorders>
              <w:top w:val="nil"/>
              <w:left w:val="nil"/>
              <w:bottom w:val="nil"/>
              <w:right w:val="nil"/>
            </w:tcBorders>
            <w:hideMark/>
          </w:tcPr>
          <w:p w:rsidR="00102289" w:rsidRPr="00F03F01" w:rsidRDefault="00102289" w:rsidP="00FB02EC">
            <w:pPr>
              <w:rPr>
                <w:sz w:val="20"/>
                <w:szCs w:val="20"/>
              </w:rPr>
            </w:pPr>
            <w:r w:rsidRPr="00F03F01">
              <w:rPr>
                <w:sz w:val="20"/>
                <w:szCs w:val="20"/>
              </w:rPr>
              <w:t>Cross sectional analysis of pharmacy records; interviews</w:t>
            </w:r>
          </w:p>
        </w:tc>
        <w:tc>
          <w:tcPr>
            <w:tcW w:w="1418" w:type="dxa"/>
            <w:tcBorders>
              <w:top w:val="nil"/>
              <w:left w:val="nil"/>
              <w:bottom w:val="nil"/>
              <w:right w:val="nil"/>
            </w:tcBorders>
            <w:hideMark/>
          </w:tcPr>
          <w:p w:rsidR="00102289" w:rsidRPr="00F03F01" w:rsidRDefault="00102289" w:rsidP="00FB02EC">
            <w:pPr>
              <w:rPr>
                <w:sz w:val="20"/>
                <w:szCs w:val="20"/>
              </w:rPr>
            </w:pPr>
            <w:r w:rsidRPr="00F03F01">
              <w:rPr>
                <w:sz w:val="20"/>
                <w:szCs w:val="20"/>
              </w:rPr>
              <w:t>17 HLPs and 19 non-HLPs; 38 community pharmacy staff, including 25 pharmacists</w:t>
            </w:r>
          </w:p>
        </w:tc>
        <w:tc>
          <w:tcPr>
            <w:tcW w:w="850" w:type="dxa"/>
            <w:tcBorders>
              <w:top w:val="nil"/>
              <w:left w:val="nil"/>
              <w:bottom w:val="nil"/>
              <w:right w:val="nil"/>
            </w:tcBorders>
            <w:hideMark/>
          </w:tcPr>
          <w:p w:rsidR="00102289" w:rsidRPr="00F03F01" w:rsidRDefault="00102289" w:rsidP="00FB02EC">
            <w:pPr>
              <w:rPr>
                <w:sz w:val="20"/>
                <w:szCs w:val="20"/>
              </w:rPr>
            </w:pPr>
            <w:r w:rsidRPr="00F03F01">
              <w:rPr>
                <w:sz w:val="20"/>
                <w:szCs w:val="20"/>
              </w:rPr>
              <w:t>2011-2012</w:t>
            </w:r>
          </w:p>
        </w:tc>
        <w:tc>
          <w:tcPr>
            <w:tcW w:w="5812" w:type="dxa"/>
            <w:gridSpan w:val="3"/>
            <w:tcBorders>
              <w:top w:val="nil"/>
              <w:left w:val="nil"/>
              <w:bottom w:val="nil"/>
              <w:right w:val="nil"/>
            </w:tcBorders>
            <w:hideMark/>
          </w:tcPr>
          <w:p w:rsidR="00102289" w:rsidRDefault="00102289" w:rsidP="00FB02EC">
            <w:pPr>
              <w:rPr>
                <w:sz w:val="20"/>
                <w:szCs w:val="20"/>
              </w:rPr>
            </w:pPr>
            <w:r w:rsidRPr="00985BCB">
              <w:rPr>
                <w:i/>
                <w:sz w:val="20"/>
                <w:szCs w:val="20"/>
              </w:rPr>
              <w:t>Quantitative</w:t>
            </w:r>
            <w:r>
              <w:rPr>
                <w:i/>
                <w:sz w:val="20"/>
                <w:szCs w:val="20"/>
              </w:rPr>
              <w:t xml:space="preserve">: </w:t>
            </w:r>
            <w:r w:rsidRPr="00F03F01">
              <w:rPr>
                <w:sz w:val="20"/>
                <w:szCs w:val="20"/>
              </w:rPr>
              <w:t>Significantly more clients per pharmacy were seen in HLPs than non-HLPs for MURs (medians: 29 vs 11).</w:t>
            </w:r>
          </w:p>
          <w:p w:rsidR="00102289" w:rsidRPr="00F03F01" w:rsidRDefault="00102289" w:rsidP="00FB02EC">
            <w:pPr>
              <w:rPr>
                <w:sz w:val="20"/>
                <w:szCs w:val="20"/>
              </w:rPr>
            </w:pPr>
            <w:r w:rsidRPr="00985BCB">
              <w:rPr>
                <w:i/>
                <w:sz w:val="20"/>
                <w:szCs w:val="20"/>
              </w:rPr>
              <w:t>Qualitative:</w:t>
            </w:r>
            <w:r>
              <w:rPr>
                <w:i/>
                <w:sz w:val="20"/>
                <w:szCs w:val="20"/>
              </w:rPr>
              <w:t xml:space="preserve"> </w:t>
            </w:r>
            <w:r w:rsidRPr="00F03F01">
              <w:rPr>
                <w:sz w:val="20"/>
                <w:szCs w:val="20"/>
              </w:rPr>
              <w:t>None relevant to MURs</w:t>
            </w:r>
            <w:r>
              <w:rPr>
                <w:sz w:val="20"/>
                <w:szCs w:val="20"/>
              </w:rPr>
              <w:t>.</w:t>
            </w:r>
          </w:p>
        </w:tc>
      </w:tr>
      <w:tr w:rsidR="00102289" w:rsidRPr="00985BCB" w:rsidTr="00FB02EC">
        <w:trPr>
          <w:trHeight w:val="2265"/>
        </w:trPr>
        <w:tc>
          <w:tcPr>
            <w:tcW w:w="1430" w:type="dxa"/>
            <w:gridSpan w:val="2"/>
            <w:tcBorders>
              <w:top w:val="nil"/>
              <w:left w:val="nil"/>
              <w:bottom w:val="single" w:sz="4" w:space="0" w:color="auto"/>
              <w:right w:val="nil"/>
            </w:tcBorders>
            <w:hideMark/>
          </w:tcPr>
          <w:p w:rsidR="00102289" w:rsidRPr="00F03F01" w:rsidRDefault="00102289" w:rsidP="00FB02EC">
            <w:pPr>
              <w:rPr>
                <w:sz w:val="20"/>
                <w:szCs w:val="20"/>
              </w:rPr>
            </w:pPr>
            <w:r w:rsidRPr="00F03F01">
              <w:rPr>
                <w:sz w:val="20"/>
                <w:szCs w:val="20"/>
              </w:rPr>
              <w:t xml:space="preserve">Hann et al. 2017 </w:t>
            </w:r>
            <w:r w:rsidRPr="00AE58B7">
              <w:rPr>
                <w:noProof/>
                <w:sz w:val="20"/>
                <w:szCs w:val="20"/>
                <w:vertAlign w:val="superscript"/>
              </w:rPr>
              <w:t>30</w:t>
            </w:r>
          </w:p>
        </w:tc>
        <w:tc>
          <w:tcPr>
            <w:tcW w:w="1122" w:type="dxa"/>
            <w:tcBorders>
              <w:top w:val="nil"/>
              <w:left w:val="nil"/>
              <w:bottom w:val="single" w:sz="4" w:space="0" w:color="auto"/>
              <w:right w:val="nil"/>
            </w:tcBorders>
            <w:hideMark/>
          </w:tcPr>
          <w:p w:rsidR="00102289" w:rsidRPr="00F03F01" w:rsidRDefault="00102289" w:rsidP="00FB02EC">
            <w:pPr>
              <w:rPr>
                <w:sz w:val="20"/>
                <w:szCs w:val="20"/>
              </w:rPr>
            </w:pPr>
            <w:r w:rsidRPr="00F03F01">
              <w:rPr>
                <w:sz w:val="20"/>
                <w:szCs w:val="20"/>
              </w:rPr>
              <w:t>MUR</w:t>
            </w:r>
          </w:p>
        </w:tc>
        <w:tc>
          <w:tcPr>
            <w:tcW w:w="2410" w:type="dxa"/>
            <w:tcBorders>
              <w:top w:val="nil"/>
              <w:left w:val="nil"/>
              <w:bottom w:val="single" w:sz="4" w:space="0" w:color="auto"/>
              <w:right w:val="nil"/>
            </w:tcBorders>
            <w:hideMark/>
          </w:tcPr>
          <w:p w:rsidR="00102289" w:rsidRPr="00F03F01" w:rsidRDefault="00102289" w:rsidP="00FB02EC">
            <w:pPr>
              <w:rPr>
                <w:sz w:val="20"/>
                <w:szCs w:val="20"/>
              </w:rPr>
            </w:pPr>
            <w:r w:rsidRPr="00F03F01">
              <w:rPr>
                <w:sz w:val="20"/>
                <w:szCs w:val="20"/>
              </w:rPr>
              <w:t>Identify factors associated with variation in the volume of services delivered by community pharmacies</w:t>
            </w:r>
          </w:p>
        </w:tc>
        <w:tc>
          <w:tcPr>
            <w:tcW w:w="1275" w:type="dxa"/>
            <w:tcBorders>
              <w:top w:val="nil"/>
              <w:left w:val="nil"/>
              <w:bottom w:val="single" w:sz="4" w:space="0" w:color="auto"/>
              <w:right w:val="nil"/>
            </w:tcBorders>
            <w:hideMark/>
          </w:tcPr>
          <w:p w:rsidR="00102289" w:rsidRPr="00F03F01" w:rsidRDefault="00102289" w:rsidP="00FB02EC">
            <w:pPr>
              <w:rPr>
                <w:sz w:val="20"/>
                <w:szCs w:val="20"/>
              </w:rPr>
            </w:pPr>
            <w:r w:rsidRPr="00F03F01">
              <w:rPr>
                <w:sz w:val="20"/>
                <w:szCs w:val="20"/>
              </w:rPr>
              <w:t>Longitudinal analysis of national MUR data; postal survey</w:t>
            </w:r>
          </w:p>
        </w:tc>
        <w:tc>
          <w:tcPr>
            <w:tcW w:w="1418" w:type="dxa"/>
            <w:tcBorders>
              <w:top w:val="nil"/>
              <w:left w:val="nil"/>
              <w:bottom w:val="single" w:sz="4" w:space="0" w:color="auto"/>
              <w:right w:val="nil"/>
            </w:tcBorders>
            <w:hideMark/>
          </w:tcPr>
          <w:p w:rsidR="00102289" w:rsidRPr="00F03F01" w:rsidRDefault="00102289" w:rsidP="00FB02EC">
            <w:pPr>
              <w:rPr>
                <w:sz w:val="20"/>
                <w:szCs w:val="20"/>
              </w:rPr>
            </w:pPr>
            <w:r w:rsidRPr="00F03F01">
              <w:rPr>
                <w:sz w:val="20"/>
                <w:szCs w:val="20"/>
              </w:rPr>
              <w:t>10,454 pharmacies; 284 pharmacy representatives</w:t>
            </w:r>
          </w:p>
        </w:tc>
        <w:tc>
          <w:tcPr>
            <w:tcW w:w="850" w:type="dxa"/>
            <w:tcBorders>
              <w:top w:val="nil"/>
              <w:left w:val="nil"/>
              <w:bottom w:val="single" w:sz="4" w:space="0" w:color="auto"/>
              <w:right w:val="nil"/>
            </w:tcBorders>
            <w:hideMark/>
          </w:tcPr>
          <w:p w:rsidR="00102289" w:rsidRPr="00F03F01" w:rsidRDefault="00102289" w:rsidP="00FB02EC">
            <w:pPr>
              <w:rPr>
                <w:sz w:val="20"/>
                <w:szCs w:val="20"/>
              </w:rPr>
            </w:pPr>
            <w:r w:rsidRPr="00F03F01">
              <w:rPr>
                <w:sz w:val="20"/>
                <w:szCs w:val="20"/>
              </w:rPr>
              <w:t>2011-2016</w:t>
            </w:r>
          </w:p>
        </w:tc>
        <w:tc>
          <w:tcPr>
            <w:tcW w:w="5812" w:type="dxa"/>
            <w:gridSpan w:val="3"/>
            <w:tcBorders>
              <w:top w:val="nil"/>
              <w:left w:val="nil"/>
              <w:bottom w:val="single" w:sz="4" w:space="0" w:color="auto"/>
              <w:right w:val="nil"/>
            </w:tcBorders>
            <w:hideMark/>
          </w:tcPr>
          <w:p w:rsidR="00102289" w:rsidRDefault="00102289" w:rsidP="00FB02EC">
            <w:pPr>
              <w:rPr>
                <w:sz w:val="20"/>
                <w:szCs w:val="20"/>
              </w:rPr>
            </w:pPr>
            <w:r w:rsidRPr="00985BCB">
              <w:rPr>
                <w:i/>
                <w:sz w:val="20"/>
                <w:szCs w:val="20"/>
              </w:rPr>
              <w:t>Quantitative</w:t>
            </w:r>
            <w:r>
              <w:rPr>
                <w:i/>
                <w:sz w:val="20"/>
                <w:szCs w:val="20"/>
              </w:rPr>
              <w:t xml:space="preserve">: </w:t>
            </w:r>
            <w:r w:rsidRPr="00F03F01">
              <w:rPr>
                <w:sz w:val="20"/>
                <w:szCs w:val="20"/>
              </w:rPr>
              <w:t xml:space="preserve">Greater volume of MURs was associated with pharmacy ownership type (large chains/supermarkets vs independents), greater dispensing volume, and lower disease prevalence.  </w:t>
            </w:r>
            <w:r>
              <w:rPr>
                <w:sz w:val="20"/>
                <w:szCs w:val="20"/>
              </w:rPr>
              <w:t>Survey r</w:t>
            </w:r>
            <w:r w:rsidRPr="00F03F01">
              <w:rPr>
                <w:sz w:val="20"/>
                <w:szCs w:val="20"/>
              </w:rPr>
              <w:t>esponses supported these findings, with MUR volume also associated with weekly opening hours and lower asthma prevalence.</w:t>
            </w:r>
          </w:p>
          <w:p w:rsidR="00102289" w:rsidRPr="00985BCB" w:rsidRDefault="00102289" w:rsidP="00FB02EC">
            <w:pPr>
              <w:rPr>
                <w:sz w:val="20"/>
                <w:szCs w:val="20"/>
              </w:rPr>
            </w:pPr>
          </w:p>
        </w:tc>
      </w:tr>
    </w:tbl>
    <w:p w:rsidR="00102289" w:rsidRDefault="00102289" w:rsidP="00FB02EC"/>
    <w:p w:rsidR="00102289" w:rsidRDefault="00102289">
      <w:pPr>
        <w:rPr>
          <w:b/>
        </w:rPr>
      </w:pPr>
      <w:r>
        <w:rPr>
          <w:b/>
        </w:rPr>
        <w:br w:type="page"/>
      </w:r>
    </w:p>
    <w:p w:rsidR="00102289" w:rsidRDefault="00102289" w:rsidP="00FB02EC">
      <w:pPr>
        <w:pStyle w:val="ListParagraph"/>
        <w:tabs>
          <w:tab w:val="num" w:pos="1440"/>
        </w:tabs>
        <w:spacing w:line="240" w:lineRule="auto"/>
        <w:ind w:left="0"/>
      </w:pPr>
      <w:r>
        <w:lastRenderedPageBreak/>
        <w:t>Table 4: Characteristics of surveys</w:t>
      </w:r>
    </w:p>
    <w:tbl>
      <w:tblPr>
        <w:tblStyle w:val="TableGrid"/>
        <w:tblpPr w:leftFromText="180" w:rightFromText="180" w:vertAnchor="text" w:tblpY="1"/>
        <w:tblOverlap w:val="never"/>
        <w:tblW w:w="14142" w:type="dxa"/>
        <w:tblLayout w:type="fixed"/>
        <w:tblLook w:val="04A0" w:firstRow="1" w:lastRow="0" w:firstColumn="1" w:lastColumn="0" w:noHBand="0" w:noVBand="1"/>
      </w:tblPr>
      <w:tblGrid>
        <w:gridCol w:w="1430"/>
        <w:gridCol w:w="1122"/>
        <w:gridCol w:w="2376"/>
        <w:gridCol w:w="1276"/>
        <w:gridCol w:w="1400"/>
        <w:gridCol w:w="816"/>
        <w:gridCol w:w="5722"/>
      </w:tblGrid>
      <w:tr w:rsidR="00102289" w:rsidRPr="00F03F01" w:rsidTr="00FB02EC">
        <w:trPr>
          <w:trHeight w:val="300"/>
        </w:trPr>
        <w:tc>
          <w:tcPr>
            <w:tcW w:w="1430" w:type="dxa"/>
            <w:tcBorders>
              <w:top w:val="single" w:sz="4" w:space="0" w:color="auto"/>
              <w:left w:val="nil"/>
              <w:bottom w:val="single" w:sz="4" w:space="0" w:color="auto"/>
              <w:right w:val="nil"/>
            </w:tcBorders>
            <w:hideMark/>
          </w:tcPr>
          <w:p w:rsidR="00102289" w:rsidRPr="00F03F01" w:rsidRDefault="00102289" w:rsidP="00FB02EC">
            <w:pPr>
              <w:jc w:val="both"/>
              <w:rPr>
                <w:b/>
                <w:bCs/>
                <w:sz w:val="20"/>
                <w:szCs w:val="20"/>
              </w:rPr>
            </w:pPr>
            <w:r w:rsidRPr="00F03F01">
              <w:rPr>
                <w:b/>
                <w:bCs/>
                <w:sz w:val="20"/>
                <w:szCs w:val="20"/>
              </w:rPr>
              <w:t>Study</w:t>
            </w:r>
          </w:p>
        </w:tc>
        <w:tc>
          <w:tcPr>
            <w:tcW w:w="1122"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NMS/MUR</w:t>
            </w:r>
          </w:p>
        </w:tc>
        <w:tc>
          <w:tcPr>
            <w:tcW w:w="2376"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Objective(s)</w:t>
            </w:r>
          </w:p>
        </w:tc>
        <w:tc>
          <w:tcPr>
            <w:tcW w:w="1276"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Design</w:t>
            </w:r>
          </w:p>
        </w:tc>
        <w:tc>
          <w:tcPr>
            <w:tcW w:w="1400"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Sample</w:t>
            </w:r>
          </w:p>
        </w:tc>
        <w:tc>
          <w:tcPr>
            <w:tcW w:w="816"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Time frame</w:t>
            </w:r>
          </w:p>
        </w:tc>
        <w:tc>
          <w:tcPr>
            <w:tcW w:w="5722"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Pr>
                <w:b/>
                <w:bCs/>
                <w:sz w:val="20"/>
                <w:szCs w:val="20"/>
              </w:rPr>
              <w:t xml:space="preserve">Key </w:t>
            </w:r>
            <w:r w:rsidRPr="00F03F01">
              <w:rPr>
                <w:b/>
                <w:bCs/>
                <w:sz w:val="20"/>
                <w:szCs w:val="20"/>
              </w:rPr>
              <w:t xml:space="preserve">findings </w:t>
            </w:r>
          </w:p>
        </w:tc>
      </w:tr>
      <w:tr w:rsidR="00102289" w:rsidRPr="00F03F01" w:rsidTr="00FB02EC">
        <w:trPr>
          <w:trHeight w:val="1290"/>
        </w:trPr>
        <w:tc>
          <w:tcPr>
            <w:tcW w:w="1430" w:type="dxa"/>
            <w:tcBorders>
              <w:top w:val="nil"/>
              <w:left w:val="nil"/>
              <w:bottom w:val="nil"/>
              <w:right w:val="nil"/>
            </w:tcBorders>
            <w:hideMark/>
          </w:tcPr>
          <w:p w:rsidR="00102289" w:rsidRPr="00F03F01" w:rsidRDefault="00102289" w:rsidP="00FB02EC">
            <w:pPr>
              <w:rPr>
                <w:sz w:val="20"/>
                <w:szCs w:val="20"/>
              </w:rPr>
            </w:pPr>
            <w:r w:rsidRPr="00F03F01">
              <w:rPr>
                <w:sz w:val="20"/>
                <w:szCs w:val="20"/>
              </w:rPr>
              <w:t xml:space="preserve">Wilcock &amp; Harding  2007 </w:t>
            </w:r>
            <w:r w:rsidRPr="00194C58">
              <w:rPr>
                <w:noProof/>
                <w:sz w:val="20"/>
                <w:szCs w:val="20"/>
                <w:vertAlign w:val="superscript"/>
              </w:rPr>
              <w:t>36</w:t>
            </w:r>
            <w:r w:rsidRPr="00F03F01">
              <w:rPr>
                <w:sz w:val="20"/>
                <w:szCs w:val="20"/>
              </w:rPr>
              <w:t xml:space="preserve"> </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MUR</w:t>
            </w:r>
          </w:p>
        </w:tc>
        <w:tc>
          <w:tcPr>
            <w:tcW w:w="23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Explore GPs' perceptions of MURs</w:t>
            </w:r>
          </w:p>
        </w:tc>
        <w:tc>
          <w:tcPr>
            <w:tcW w:w="12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Self-complete survey</w:t>
            </w:r>
          </w:p>
        </w:tc>
        <w:tc>
          <w:tcPr>
            <w:tcW w:w="1400" w:type="dxa"/>
            <w:tcBorders>
              <w:top w:val="nil"/>
              <w:left w:val="nil"/>
              <w:bottom w:val="nil"/>
              <w:right w:val="nil"/>
            </w:tcBorders>
            <w:hideMark/>
          </w:tcPr>
          <w:p w:rsidR="00102289" w:rsidRPr="00F03F01" w:rsidRDefault="00102289" w:rsidP="00FB02EC">
            <w:pPr>
              <w:rPr>
                <w:sz w:val="20"/>
                <w:szCs w:val="20"/>
              </w:rPr>
            </w:pPr>
            <w:r w:rsidRPr="00F03F01">
              <w:rPr>
                <w:sz w:val="20"/>
                <w:szCs w:val="20"/>
              </w:rPr>
              <w:t>52 GPs</w:t>
            </w:r>
          </w:p>
        </w:tc>
        <w:tc>
          <w:tcPr>
            <w:tcW w:w="816" w:type="dxa"/>
            <w:tcBorders>
              <w:top w:val="nil"/>
              <w:left w:val="nil"/>
              <w:bottom w:val="nil"/>
              <w:right w:val="nil"/>
            </w:tcBorders>
            <w:hideMark/>
          </w:tcPr>
          <w:p w:rsidR="00102289" w:rsidRPr="00F03F01" w:rsidRDefault="00102289" w:rsidP="00FB02EC">
            <w:pPr>
              <w:rPr>
                <w:sz w:val="20"/>
                <w:szCs w:val="20"/>
              </w:rPr>
            </w:pPr>
            <w:r w:rsidRPr="00F03F01">
              <w:rPr>
                <w:sz w:val="20"/>
                <w:szCs w:val="20"/>
              </w:rPr>
              <w:t>2007</w:t>
            </w:r>
          </w:p>
        </w:tc>
        <w:tc>
          <w:tcPr>
            <w:tcW w:w="57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GPs reported good relationships with community pharmacists, but had negative views about MURs.  Lack of clarity about the purpose of MURs and concerns about pharmacists advising on clinical rather than practical issues were raised.</w:t>
            </w:r>
          </w:p>
        </w:tc>
      </w:tr>
      <w:tr w:rsidR="00102289" w:rsidRPr="00F03F01" w:rsidTr="00FB02EC">
        <w:trPr>
          <w:trHeight w:val="1828"/>
        </w:trPr>
        <w:tc>
          <w:tcPr>
            <w:tcW w:w="1430" w:type="dxa"/>
            <w:tcBorders>
              <w:top w:val="nil"/>
              <w:left w:val="nil"/>
              <w:bottom w:val="nil"/>
              <w:right w:val="nil"/>
            </w:tcBorders>
          </w:tcPr>
          <w:p w:rsidR="00102289" w:rsidRPr="00F03F01" w:rsidRDefault="00102289" w:rsidP="00FB02EC">
            <w:pPr>
              <w:rPr>
                <w:sz w:val="20"/>
                <w:szCs w:val="20"/>
              </w:rPr>
            </w:pPr>
            <w:r w:rsidRPr="00F03F01">
              <w:rPr>
                <w:sz w:val="20"/>
                <w:szCs w:val="20"/>
              </w:rPr>
              <w:t xml:space="preserve">Latif &amp; Boardman 2008 </w:t>
            </w:r>
            <w:r w:rsidRPr="00194C58">
              <w:rPr>
                <w:noProof/>
                <w:sz w:val="20"/>
                <w:szCs w:val="20"/>
                <w:vertAlign w:val="superscript"/>
              </w:rPr>
              <w:t>43</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MUR</w:t>
            </w:r>
          </w:p>
        </w:tc>
        <w:tc>
          <w:tcPr>
            <w:tcW w:w="2376" w:type="dxa"/>
            <w:tcBorders>
              <w:top w:val="nil"/>
              <w:left w:val="nil"/>
              <w:bottom w:val="nil"/>
              <w:right w:val="nil"/>
            </w:tcBorders>
          </w:tcPr>
          <w:p w:rsidR="00102289" w:rsidRPr="00F03F01" w:rsidRDefault="00102289" w:rsidP="00FB02EC">
            <w:pPr>
              <w:rPr>
                <w:sz w:val="20"/>
                <w:szCs w:val="20"/>
              </w:rPr>
            </w:pPr>
            <w:r w:rsidRPr="00F03F01">
              <w:rPr>
                <w:sz w:val="20"/>
                <w:szCs w:val="20"/>
              </w:rPr>
              <w:t>Investigate factors that influence the number of MURs performed by community pharmacists and pharmacists' attitudes towards the service</w:t>
            </w:r>
          </w:p>
        </w:tc>
        <w:tc>
          <w:tcPr>
            <w:tcW w:w="1276" w:type="dxa"/>
            <w:tcBorders>
              <w:top w:val="nil"/>
              <w:left w:val="nil"/>
              <w:bottom w:val="nil"/>
              <w:right w:val="nil"/>
            </w:tcBorders>
          </w:tcPr>
          <w:p w:rsidR="00102289" w:rsidRPr="00F03F01" w:rsidRDefault="00102289" w:rsidP="00FB02EC">
            <w:pPr>
              <w:rPr>
                <w:sz w:val="20"/>
                <w:szCs w:val="20"/>
              </w:rPr>
            </w:pPr>
            <w:r w:rsidRPr="00F03F01">
              <w:rPr>
                <w:sz w:val="20"/>
                <w:szCs w:val="20"/>
              </w:rPr>
              <w:t>Postal survey</w:t>
            </w:r>
          </w:p>
        </w:tc>
        <w:tc>
          <w:tcPr>
            <w:tcW w:w="1400" w:type="dxa"/>
            <w:tcBorders>
              <w:top w:val="nil"/>
              <w:left w:val="nil"/>
              <w:bottom w:val="nil"/>
              <w:right w:val="nil"/>
            </w:tcBorders>
          </w:tcPr>
          <w:p w:rsidR="00102289" w:rsidRPr="00F03F01" w:rsidRDefault="00102289" w:rsidP="00FB02EC">
            <w:pPr>
              <w:rPr>
                <w:sz w:val="20"/>
                <w:szCs w:val="20"/>
              </w:rPr>
            </w:pPr>
            <w:r w:rsidRPr="00F03F01">
              <w:rPr>
                <w:sz w:val="20"/>
                <w:szCs w:val="20"/>
              </w:rPr>
              <w:t>167 community pharmacists from one pharmacy chain</w:t>
            </w:r>
          </w:p>
        </w:tc>
        <w:tc>
          <w:tcPr>
            <w:tcW w:w="816" w:type="dxa"/>
            <w:tcBorders>
              <w:top w:val="nil"/>
              <w:left w:val="nil"/>
              <w:bottom w:val="nil"/>
              <w:right w:val="nil"/>
            </w:tcBorders>
          </w:tcPr>
          <w:p w:rsidR="00102289" w:rsidRPr="00F03F01" w:rsidRDefault="00102289" w:rsidP="00FB02EC">
            <w:pPr>
              <w:rPr>
                <w:sz w:val="20"/>
                <w:szCs w:val="20"/>
              </w:rPr>
            </w:pPr>
            <w:r w:rsidRPr="00F03F01">
              <w:rPr>
                <w:sz w:val="20"/>
                <w:szCs w:val="20"/>
              </w:rPr>
              <w:t>2006</w:t>
            </w:r>
          </w:p>
        </w:tc>
        <w:tc>
          <w:tcPr>
            <w:tcW w:w="5722" w:type="dxa"/>
            <w:tcBorders>
              <w:top w:val="nil"/>
              <w:left w:val="nil"/>
              <w:bottom w:val="nil"/>
              <w:right w:val="nil"/>
            </w:tcBorders>
          </w:tcPr>
          <w:p w:rsidR="00102289" w:rsidRPr="00F03F01" w:rsidRDefault="00102289" w:rsidP="00FB02EC">
            <w:pPr>
              <w:rPr>
                <w:sz w:val="20"/>
                <w:szCs w:val="20"/>
              </w:rPr>
            </w:pPr>
            <w:r w:rsidRPr="00F03F01">
              <w:rPr>
                <w:sz w:val="20"/>
                <w:szCs w:val="20"/>
              </w:rPr>
              <w:t>More MURs were performed by store based pharmacists than locums, and by those with access to a consultation room.  Most respondents felt that MURs would be of benefit to patients, but reported concerns about GP opinions of the service, and lack of time and support staff to conduct MURs.</w:t>
            </w:r>
          </w:p>
        </w:tc>
      </w:tr>
      <w:tr w:rsidR="00102289" w:rsidRPr="00F03F01" w:rsidTr="00FB02EC">
        <w:trPr>
          <w:trHeight w:val="1132"/>
        </w:trPr>
        <w:tc>
          <w:tcPr>
            <w:tcW w:w="1430" w:type="dxa"/>
            <w:tcBorders>
              <w:top w:val="nil"/>
              <w:left w:val="nil"/>
              <w:bottom w:val="nil"/>
              <w:right w:val="nil"/>
            </w:tcBorders>
            <w:hideMark/>
          </w:tcPr>
          <w:p w:rsidR="00102289" w:rsidRPr="00F03F01" w:rsidRDefault="00102289" w:rsidP="00FB02EC">
            <w:pPr>
              <w:rPr>
                <w:sz w:val="20"/>
                <w:szCs w:val="20"/>
              </w:rPr>
            </w:pPr>
            <w:r w:rsidRPr="00F03F01">
              <w:rPr>
                <w:sz w:val="20"/>
                <w:szCs w:val="20"/>
              </w:rPr>
              <w:t xml:space="preserve">James et al. 2008 </w:t>
            </w:r>
            <w:r w:rsidRPr="00194C58">
              <w:rPr>
                <w:noProof/>
                <w:sz w:val="20"/>
                <w:szCs w:val="20"/>
                <w:vertAlign w:val="superscript"/>
              </w:rPr>
              <w:t>57</w:t>
            </w:r>
            <w:r w:rsidRPr="00F03F01">
              <w:rPr>
                <w:sz w:val="20"/>
                <w:szCs w:val="20"/>
              </w:rPr>
              <w:t xml:space="preserve"> </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MUR</w:t>
            </w:r>
          </w:p>
        </w:tc>
        <w:tc>
          <w:tcPr>
            <w:tcW w:w="23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Develop criteria for assessment of MUR referral documentation</w:t>
            </w:r>
          </w:p>
        </w:tc>
        <w:tc>
          <w:tcPr>
            <w:tcW w:w="12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Delphi study</w:t>
            </w:r>
          </w:p>
        </w:tc>
        <w:tc>
          <w:tcPr>
            <w:tcW w:w="1400" w:type="dxa"/>
            <w:tcBorders>
              <w:top w:val="nil"/>
              <w:left w:val="nil"/>
              <w:bottom w:val="nil"/>
              <w:right w:val="nil"/>
            </w:tcBorders>
            <w:hideMark/>
          </w:tcPr>
          <w:p w:rsidR="00102289" w:rsidRPr="00F03F01" w:rsidRDefault="00102289" w:rsidP="00FB02EC">
            <w:pPr>
              <w:rPr>
                <w:sz w:val="20"/>
                <w:szCs w:val="20"/>
              </w:rPr>
            </w:pPr>
            <w:r w:rsidRPr="00F03F01">
              <w:rPr>
                <w:sz w:val="20"/>
                <w:szCs w:val="20"/>
              </w:rPr>
              <w:t>16 Delphi panellists</w:t>
            </w:r>
          </w:p>
        </w:tc>
        <w:tc>
          <w:tcPr>
            <w:tcW w:w="816" w:type="dxa"/>
            <w:tcBorders>
              <w:top w:val="nil"/>
              <w:left w:val="nil"/>
              <w:bottom w:val="nil"/>
              <w:right w:val="nil"/>
            </w:tcBorders>
            <w:hideMark/>
          </w:tcPr>
          <w:p w:rsidR="00102289" w:rsidRPr="00F03F01" w:rsidRDefault="00102289" w:rsidP="00FB02EC">
            <w:pPr>
              <w:rPr>
                <w:sz w:val="20"/>
                <w:szCs w:val="20"/>
              </w:rPr>
            </w:pPr>
            <w:r w:rsidRPr="00F03F01">
              <w:rPr>
                <w:sz w:val="20"/>
                <w:szCs w:val="20"/>
              </w:rPr>
              <w:t>2006</w:t>
            </w:r>
          </w:p>
        </w:tc>
        <w:tc>
          <w:tcPr>
            <w:tcW w:w="57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 xml:space="preserve">Twenty </w:t>
            </w:r>
            <w:r>
              <w:rPr>
                <w:sz w:val="20"/>
                <w:szCs w:val="20"/>
              </w:rPr>
              <w:t xml:space="preserve">MUR </w:t>
            </w:r>
            <w:r w:rsidRPr="00F03F01">
              <w:rPr>
                <w:sz w:val="20"/>
                <w:szCs w:val="20"/>
              </w:rPr>
              <w:t>quality indicators were agreed</w:t>
            </w:r>
            <w:r>
              <w:rPr>
                <w:sz w:val="20"/>
                <w:szCs w:val="20"/>
              </w:rPr>
              <w:t>.</w:t>
            </w:r>
          </w:p>
        </w:tc>
      </w:tr>
      <w:tr w:rsidR="00102289" w:rsidRPr="00F03F01" w:rsidTr="00FB02EC">
        <w:trPr>
          <w:trHeight w:val="1289"/>
        </w:trPr>
        <w:tc>
          <w:tcPr>
            <w:tcW w:w="1430" w:type="dxa"/>
            <w:tcBorders>
              <w:top w:val="nil"/>
              <w:left w:val="nil"/>
              <w:bottom w:val="nil"/>
              <w:right w:val="nil"/>
            </w:tcBorders>
            <w:hideMark/>
          </w:tcPr>
          <w:p w:rsidR="00102289" w:rsidRPr="00F03F01" w:rsidRDefault="00102289" w:rsidP="00FB02EC">
            <w:pPr>
              <w:rPr>
                <w:sz w:val="20"/>
                <w:szCs w:val="20"/>
              </w:rPr>
            </w:pPr>
            <w:r w:rsidRPr="00F03F01">
              <w:rPr>
                <w:sz w:val="20"/>
                <w:szCs w:val="20"/>
              </w:rPr>
              <w:t xml:space="preserve">Youssef et al. 2009 </w:t>
            </w:r>
            <w:r w:rsidRPr="00194C58">
              <w:rPr>
                <w:noProof/>
                <w:sz w:val="20"/>
                <w:szCs w:val="20"/>
                <w:vertAlign w:val="superscript"/>
              </w:rPr>
              <w:t>54</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MUR</w:t>
            </w:r>
          </w:p>
        </w:tc>
        <w:tc>
          <w:tcPr>
            <w:tcW w:w="23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Evaluate MUR workshops for undergraduate pharmacy students</w:t>
            </w:r>
          </w:p>
        </w:tc>
        <w:tc>
          <w:tcPr>
            <w:tcW w:w="12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Self-complete survey</w:t>
            </w:r>
          </w:p>
        </w:tc>
        <w:tc>
          <w:tcPr>
            <w:tcW w:w="1400" w:type="dxa"/>
            <w:tcBorders>
              <w:top w:val="nil"/>
              <w:left w:val="nil"/>
              <w:bottom w:val="nil"/>
              <w:right w:val="nil"/>
            </w:tcBorders>
            <w:hideMark/>
          </w:tcPr>
          <w:p w:rsidR="00102289" w:rsidRPr="00F03F01" w:rsidRDefault="00102289" w:rsidP="00FB02EC">
            <w:pPr>
              <w:rPr>
                <w:sz w:val="20"/>
                <w:szCs w:val="20"/>
              </w:rPr>
            </w:pPr>
            <w:r w:rsidRPr="00F03F01">
              <w:rPr>
                <w:sz w:val="20"/>
                <w:szCs w:val="20"/>
              </w:rPr>
              <w:t>107 undergraduate pharmacy students</w:t>
            </w:r>
          </w:p>
        </w:tc>
        <w:tc>
          <w:tcPr>
            <w:tcW w:w="816" w:type="dxa"/>
            <w:tcBorders>
              <w:top w:val="nil"/>
              <w:left w:val="nil"/>
              <w:bottom w:val="nil"/>
              <w:right w:val="nil"/>
            </w:tcBorders>
            <w:hideMark/>
          </w:tcPr>
          <w:p w:rsidR="00102289" w:rsidRPr="00F03F01" w:rsidRDefault="00102289" w:rsidP="00FB02EC">
            <w:pPr>
              <w:rPr>
                <w:sz w:val="20"/>
                <w:szCs w:val="20"/>
              </w:rPr>
            </w:pPr>
            <w:r w:rsidRPr="00F03F01">
              <w:rPr>
                <w:sz w:val="20"/>
                <w:szCs w:val="20"/>
              </w:rPr>
              <w:t>Not stated</w:t>
            </w:r>
          </w:p>
        </w:tc>
        <w:tc>
          <w:tcPr>
            <w:tcW w:w="57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Students would value demonstration of well and poorly conducted MURs, with real life case studies.</w:t>
            </w:r>
          </w:p>
        </w:tc>
      </w:tr>
      <w:tr w:rsidR="00102289" w:rsidRPr="00F03F01" w:rsidTr="00FB02EC">
        <w:trPr>
          <w:trHeight w:val="80"/>
        </w:trPr>
        <w:tc>
          <w:tcPr>
            <w:tcW w:w="1430" w:type="dxa"/>
            <w:tcBorders>
              <w:top w:val="nil"/>
              <w:left w:val="nil"/>
              <w:bottom w:val="nil"/>
              <w:right w:val="nil"/>
            </w:tcBorders>
          </w:tcPr>
          <w:p w:rsidR="00102289" w:rsidRPr="00F03F01" w:rsidRDefault="00102289" w:rsidP="00FB02EC">
            <w:pPr>
              <w:rPr>
                <w:sz w:val="20"/>
                <w:szCs w:val="20"/>
              </w:rPr>
            </w:pPr>
            <w:r w:rsidRPr="00F03F01">
              <w:rPr>
                <w:sz w:val="20"/>
                <w:szCs w:val="20"/>
              </w:rPr>
              <w:t xml:space="preserve">Harding &amp; Wilcock  2010 </w:t>
            </w:r>
            <w:r w:rsidRPr="00194C58">
              <w:rPr>
                <w:noProof/>
                <w:sz w:val="20"/>
                <w:szCs w:val="20"/>
                <w:vertAlign w:val="superscript"/>
              </w:rPr>
              <w:t>55</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MUR</w:t>
            </w:r>
          </w:p>
        </w:tc>
        <w:tc>
          <w:tcPr>
            <w:tcW w:w="2376" w:type="dxa"/>
            <w:tcBorders>
              <w:top w:val="nil"/>
              <w:left w:val="nil"/>
              <w:bottom w:val="nil"/>
              <w:right w:val="nil"/>
            </w:tcBorders>
          </w:tcPr>
          <w:p w:rsidR="00102289" w:rsidRDefault="00102289" w:rsidP="00FB02EC">
            <w:pPr>
              <w:rPr>
                <w:sz w:val="20"/>
                <w:szCs w:val="20"/>
              </w:rPr>
            </w:pPr>
            <w:r w:rsidRPr="00F03F01">
              <w:rPr>
                <w:sz w:val="20"/>
                <w:szCs w:val="20"/>
              </w:rPr>
              <w:t>Explore existing mechanism to ensure quality assurance of medicine use reviews (MURs), and to identify those parameters of an MUR that community pharmacists consider as indicators of quality</w:t>
            </w:r>
          </w:p>
          <w:p w:rsidR="00102289" w:rsidRPr="00F03F01" w:rsidRDefault="00102289" w:rsidP="00FB02EC">
            <w:pPr>
              <w:rPr>
                <w:sz w:val="20"/>
                <w:szCs w:val="20"/>
              </w:rPr>
            </w:pPr>
          </w:p>
        </w:tc>
        <w:tc>
          <w:tcPr>
            <w:tcW w:w="1276" w:type="dxa"/>
            <w:tcBorders>
              <w:top w:val="nil"/>
              <w:left w:val="nil"/>
              <w:bottom w:val="nil"/>
              <w:right w:val="nil"/>
            </w:tcBorders>
          </w:tcPr>
          <w:p w:rsidR="00102289" w:rsidRPr="00F03F01" w:rsidRDefault="00102289" w:rsidP="00FB02EC">
            <w:pPr>
              <w:rPr>
                <w:sz w:val="20"/>
                <w:szCs w:val="20"/>
              </w:rPr>
            </w:pPr>
            <w:r w:rsidRPr="00F03F01">
              <w:rPr>
                <w:sz w:val="20"/>
                <w:szCs w:val="20"/>
              </w:rPr>
              <w:t>Postal survey</w:t>
            </w:r>
          </w:p>
        </w:tc>
        <w:tc>
          <w:tcPr>
            <w:tcW w:w="1400" w:type="dxa"/>
            <w:tcBorders>
              <w:top w:val="nil"/>
              <w:left w:val="nil"/>
              <w:bottom w:val="nil"/>
              <w:right w:val="nil"/>
            </w:tcBorders>
          </w:tcPr>
          <w:p w:rsidR="00102289" w:rsidRPr="00F03F01" w:rsidRDefault="00102289" w:rsidP="00FB02EC">
            <w:pPr>
              <w:rPr>
                <w:sz w:val="20"/>
                <w:szCs w:val="20"/>
              </w:rPr>
            </w:pPr>
            <w:r w:rsidRPr="00F03F01">
              <w:rPr>
                <w:sz w:val="20"/>
                <w:szCs w:val="20"/>
              </w:rPr>
              <w:t>50 community pharmacists</w:t>
            </w:r>
          </w:p>
        </w:tc>
        <w:tc>
          <w:tcPr>
            <w:tcW w:w="816" w:type="dxa"/>
            <w:tcBorders>
              <w:top w:val="nil"/>
              <w:left w:val="nil"/>
              <w:bottom w:val="nil"/>
              <w:right w:val="nil"/>
            </w:tcBorders>
          </w:tcPr>
          <w:p w:rsidR="00102289" w:rsidRPr="00F03F01" w:rsidRDefault="00102289" w:rsidP="00FB02EC">
            <w:pPr>
              <w:rPr>
                <w:sz w:val="20"/>
                <w:szCs w:val="20"/>
              </w:rPr>
            </w:pPr>
            <w:r w:rsidRPr="00F03F01">
              <w:rPr>
                <w:sz w:val="20"/>
                <w:szCs w:val="20"/>
              </w:rPr>
              <w:t>2008</w:t>
            </w:r>
          </w:p>
        </w:tc>
        <w:tc>
          <w:tcPr>
            <w:tcW w:w="5722" w:type="dxa"/>
            <w:tcBorders>
              <w:top w:val="nil"/>
              <w:left w:val="nil"/>
              <w:bottom w:val="nil"/>
              <w:right w:val="nil"/>
            </w:tcBorders>
          </w:tcPr>
          <w:p w:rsidR="00102289" w:rsidRPr="00F03F01" w:rsidRDefault="00102289" w:rsidP="00FB02EC">
            <w:pPr>
              <w:rPr>
                <w:sz w:val="20"/>
                <w:szCs w:val="20"/>
              </w:rPr>
            </w:pPr>
            <w:r w:rsidRPr="00F03F01">
              <w:rPr>
                <w:sz w:val="20"/>
                <w:szCs w:val="20"/>
              </w:rPr>
              <w:t>Pharmacists exercise their judgement about whether to undertake a MUR with a patient.  Pharmacists shared a common sense of poor practice, but were less clear about defining a well conducted MUR.</w:t>
            </w:r>
          </w:p>
        </w:tc>
      </w:tr>
      <w:tr w:rsidR="00102289" w:rsidRPr="00F03F01" w:rsidTr="00FB02EC">
        <w:trPr>
          <w:trHeight w:val="1282"/>
        </w:trPr>
        <w:tc>
          <w:tcPr>
            <w:tcW w:w="1430" w:type="dxa"/>
            <w:tcBorders>
              <w:top w:val="nil"/>
              <w:left w:val="nil"/>
              <w:bottom w:val="nil"/>
              <w:right w:val="nil"/>
            </w:tcBorders>
            <w:hideMark/>
          </w:tcPr>
          <w:p w:rsidR="00102289" w:rsidRPr="00F03F01" w:rsidRDefault="00102289" w:rsidP="00FB02EC">
            <w:pPr>
              <w:rPr>
                <w:sz w:val="20"/>
                <w:szCs w:val="20"/>
              </w:rPr>
            </w:pPr>
            <w:r w:rsidRPr="00F03F01">
              <w:rPr>
                <w:sz w:val="20"/>
                <w:szCs w:val="20"/>
              </w:rPr>
              <w:lastRenderedPageBreak/>
              <w:t xml:space="preserve">Youssef et al. 2010 </w:t>
            </w:r>
            <w:r w:rsidRPr="00194C58">
              <w:rPr>
                <w:noProof/>
                <w:sz w:val="20"/>
                <w:szCs w:val="20"/>
                <w:vertAlign w:val="superscript"/>
              </w:rPr>
              <w:t>50</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MUR</w:t>
            </w:r>
          </w:p>
        </w:tc>
        <w:tc>
          <w:tcPr>
            <w:tcW w:w="23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Examine patient benefit following MURs</w:t>
            </w:r>
          </w:p>
        </w:tc>
        <w:tc>
          <w:tcPr>
            <w:tcW w:w="12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Postal survey</w:t>
            </w:r>
          </w:p>
        </w:tc>
        <w:tc>
          <w:tcPr>
            <w:tcW w:w="1400" w:type="dxa"/>
            <w:tcBorders>
              <w:top w:val="nil"/>
              <w:left w:val="nil"/>
              <w:bottom w:val="nil"/>
              <w:right w:val="nil"/>
            </w:tcBorders>
            <w:hideMark/>
          </w:tcPr>
          <w:p w:rsidR="00102289" w:rsidRPr="00F03F01" w:rsidRDefault="00102289" w:rsidP="00FB02EC">
            <w:pPr>
              <w:rPr>
                <w:sz w:val="20"/>
                <w:szCs w:val="20"/>
              </w:rPr>
            </w:pPr>
            <w:r w:rsidRPr="00F03F01">
              <w:rPr>
                <w:sz w:val="20"/>
                <w:szCs w:val="20"/>
              </w:rPr>
              <w:t>81 patients</w:t>
            </w:r>
          </w:p>
        </w:tc>
        <w:tc>
          <w:tcPr>
            <w:tcW w:w="816" w:type="dxa"/>
            <w:tcBorders>
              <w:top w:val="nil"/>
              <w:left w:val="nil"/>
              <w:bottom w:val="nil"/>
              <w:right w:val="nil"/>
            </w:tcBorders>
            <w:hideMark/>
          </w:tcPr>
          <w:p w:rsidR="00102289" w:rsidRPr="00F03F01" w:rsidRDefault="00102289" w:rsidP="00FB02EC">
            <w:pPr>
              <w:rPr>
                <w:sz w:val="20"/>
                <w:szCs w:val="20"/>
              </w:rPr>
            </w:pPr>
            <w:r w:rsidRPr="00F03F01">
              <w:rPr>
                <w:sz w:val="20"/>
                <w:szCs w:val="20"/>
              </w:rPr>
              <w:t>2008</w:t>
            </w:r>
          </w:p>
        </w:tc>
        <w:tc>
          <w:tcPr>
            <w:tcW w:w="57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 xml:space="preserve">Two thirds of patients thought they learnt more about their medicines after the MUR, 58% thought the MUR increased awareness of medicine side effects, and 83% thought the MUR improved their compliance.  Older patients perceived more benefit. </w:t>
            </w:r>
          </w:p>
        </w:tc>
      </w:tr>
      <w:tr w:rsidR="00102289" w:rsidRPr="00F03F01" w:rsidTr="00FB02EC">
        <w:trPr>
          <w:trHeight w:val="2122"/>
        </w:trPr>
        <w:tc>
          <w:tcPr>
            <w:tcW w:w="1430" w:type="dxa"/>
            <w:tcBorders>
              <w:top w:val="nil"/>
              <w:left w:val="nil"/>
              <w:bottom w:val="nil"/>
              <w:right w:val="nil"/>
            </w:tcBorders>
            <w:hideMark/>
          </w:tcPr>
          <w:p w:rsidR="00102289" w:rsidRPr="00F03F01" w:rsidRDefault="00102289" w:rsidP="00FB02EC">
            <w:pPr>
              <w:rPr>
                <w:sz w:val="20"/>
                <w:szCs w:val="20"/>
              </w:rPr>
            </w:pPr>
            <w:r w:rsidRPr="00F03F01">
              <w:rPr>
                <w:sz w:val="20"/>
                <w:szCs w:val="20"/>
              </w:rPr>
              <w:t xml:space="preserve">Tucker 2013 </w:t>
            </w:r>
            <w:r w:rsidRPr="00194C58">
              <w:rPr>
                <w:noProof/>
                <w:sz w:val="20"/>
                <w:szCs w:val="20"/>
                <w:vertAlign w:val="superscript"/>
              </w:rPr>
              <w:t>41</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MUR</w:t>
            </w:r>
          </w:p>
        </w:tc>
        <w:tc>
          <w:tcPr>
            <w:tcW w:w="23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Explore the range of dermatology MURs undertaken by pharmacists and their confidence in dealing with the provision of advice to patients.</w:t>
            </w:r>
          </w:p>
        </w:tc>
        <w:tc>
          <w:tcPr>
            <w:tcW w:w="12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Postal survey</w:t>
            </w:r>
          </w:p>
        </w:tc>
        <w:tc>
          <w:tcPr>
            <w:tcW w:w="1400" w:type="dxa"/>
            <w:tcBorders>
              <w:top w:val="nil"/>
              <w:left w:val="nil"/>
              <w:bottom w:val="nil"/>
              <w:right w:val="nil"/>
            </w:tcBorders>
            <w:hideMark/>
          </w:tcPr>
          <w:p w:rsidR="00102289" w:rsidRPr="00F03F01" w:rsidRDefault="00102289" w:rsidP="00FB02EC">
            <w:pPr>
              <w:rPr>
                <w:sz w:val="20"/>
                <w:szCs w:val="20"/>
              </w:rPr>
            </w:pPr>
            <w:r w:rsidRPr="00F03F01">
              <w:rPr>
                <w:sz w:val="20"/>
                <w:szCs w:val="20"/>
              </w:rPr>
              <w:t>870 community pharmacists</w:t>
            </w:r>
          </w:p>
        </w:tc>
        <w:tc>
          <w:tcPr>
            <w:tcW w:w="816" w:type="dxa"/>
            <w:tcBorders>
              <w:top w:val="nil"/>
              <w:left w:val="nil"/>
              <w:bottom w:val="nil"/>
              <w:right w:val="nil"/>
            </w:tcBorders>
            <w:hideMark/>
          </w:tcPr>
          <w:p w:rsidR="00102289" w:rsidRPr="00F03F01" w:rsidRDefault="00102289" w:rsidP="00FB02EC">
            <w:pPr>
              <w:rPr>
                <w:sz w:val="20"/>
                <w:szCs w:val="20"/>
              </w:rPr>
            </w:pPr>
            <w:r w:rsidRPr="00F03F01">
              <w:rPr>
                <w:sz w:val="20"/>
                <w:szCs w:val="20"/>
              </w:rPr>
              <w:t>Not stated</w:t>
            </w:r>
          </w:p>
        </w:tc>
        <w:tc>
          <w:tcPr>
            <w:tcW w:w="57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Over 40% of pharmacists undertook dermatology MURs and rated themselves as confident in this role.  More MURs were conducted by pharmacists employed by multiples.</w:t>
            </w:r>
          </w:p>
        </w:tc>
      </w:tr>
      <w:tr w:rsidR="00102289" w:rsidRPr="00F03F01" w:rsidTr="00FB02EC">
        <w:trPr>
          <w:trHeight w:val="2975"/>
        </w:trPr>
        <w:tc>
          <w:tcPr>
            <w:tcW w:w="1430" w:type="dxa"/>
            <w:tcBorders>
              <w:top w:val="nil"/>
              <w:left w:val="nil"/>
              <w:bottom w:val="nil"/>
              <w:right w:val="nil"/>
            </w:tcBorders>
          </w:tcPr>
          <w:p w:rsidR="00102289" w:rsidRPr="00F03F01" w:rsidRDefault="00102289" w:rsidP="00FB02EC">
            <w:pPr>
              <w:rPr>
                <w:sz w:val="20"/>
                <w:szCs w:val="20"/>
              </w:rPr>
            </w:pPr>
            <w:proofErr w:type="spellStart"/>
            <w:r w:rsidRPr="00F03F01">
              <w:rPr>
                <w:sz w:val="20"/>
                <w:szCs w:val="20"/>
              </w:rPr>
              <w:t>Merks</w:t>
            </w:r>
            <w:proofErr w:type="spellEnd"/>
            <w:r w:rsidRPr="00F03F01">
              <w:rPr>
                <w:sz w:val="20"/>
                <w:szCs w:val="20"/>
              </w:rPr>
              <w:t xml:space="preserve"> et al.  2016 </w:t>
            </w:r>
            <w:r w:rsidRPr="00194C58">
              <w:rPr>
                <w:noProof/>
                <w:sz w:val="20"/>
                <w:szCs w:val="20"/>
                <w:vertAlign w:val="superscript"/>
              </w:rPr>
              <w:t>45</w:t>
            </w:r>
            <w:r w:rsidRPr="00F03F01">
              <w:rPr>
                <w:sz w:val="20"/>
                <w:szCs w:val="20"/>
              </w:rPr>
              <w:t xml:space="preserve"> </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MUR</w:t>
            </w:r>
          </w:p>
        </w:tc>
        <w:tc>
          <w:tcPr>
            <w:tcW w:w="2376" w:type="dxa"/>
            <w:tcBorders>
              <w:top w:val="nil"/>
              <w:left w:val="nil"/>
              <w:bottom w:val="nil"/>
              <w:right w:val="nil"/>
            </w:tcBorders>
          </w:tcPr>
          <w:p w:rsidR="00102289" w:rsidRPr="00F03F01" w:rsidRDefault="00102289" w:rsidP="00FB02EC">
            <w:pPr>
              <w:rPr>
                <w:sz w:val="20"/>
                <w:szCs w:val="20"/>
              </w:rPr>
            </w:pPr>
            <w:r w:rsidRPr="00F03F01">
              <w:rPr>
                <w:sz w:val="20"/>
                <w:szCs w:val="20"/>
              </w:rPr>
              <w:t xml:space="preserve">Assess patients’ opinion about prevalence of pharmaceutical services available in a community pharmacy </w:t>
            </w:r>
            <w:r>
              <w:rPr>
                <w:sz w:val="20"/>
                <w:szCs w:val="20"/>
              </w:rPr>
              <w:t xml:space="preserve">in a rural area and </w:t>
            </w:r>
            <w:r w:rsidRPr="00F03F01">
              <w:rPr>
                <w:sz w:val="20"/>
                <w:szCs w:val="20"/>
              </w:rPr>
              <w:t>identify appropriate action(s) to enhance patients’ awareness of pharmaceutical services in rural areas.</w:t>
            </w:r>
          </w:p>
        </w:tc>
        <w:tc>
          <w:tcPr>
            <w:tcW w:w="1276" w:type="dxa"/>
            <w:tcBorders>
              <w:top w:val="nil"/>
              <w:left w:val="nil"/>
              <w:bottom w:val="nil"/>
              <w:right w:val="nil"/>
            </w:tcBorders>
          </w:tcPr>
          <w:p w:rsidR="00102289" w:rsidRPr="00F03F01" w:rsidRDefault="00102289" w:rsidP="00FB02EC">
            <w:pPr>
              <w:rPr>
                <w:sz w:val="20"/>
                <w:szCs w:val="20"/>
              </w:rPr>
            </w:pPr>
            <w:r w:rsidRPr="00F03F01">
              <w:rPr>
                <w:sz w:val="20"/>
                <w:szCs w:val="20"/>
              </w:rPr>
              <w:t>Self-complete Survey</w:t>
            </w:r>
          </w:p>
        </w:tc>
        <w:tc>
          <w:tcPr>
            <w:tcW w:w="1400" w:type="dxa"/>
            <w:tcBorders>
              <w:top w:val="nil"/>
              <w:left w:val="nil"/>
              <w:bottom w:val="nil"/>
              <w:right w:val="nil"/>
            </w:tcBorders>
          </w:tcPr>
          <w:p w:rsidR="00102289" w:rsidRPr="00F03F01" w:rsidRDefault="00102289" w:rsidP="00FB02EC">
            <w:pPr>
              <w:rPr>
                <w:sz w:val="20"/>
                <w:szCs w:val="20"/>
              </w:rPr>
            </w:pPr>
            <w:r w:rsidRPr="00F03F01">
              <w:rPr>
                <w:sz w:val="20"/>
                <w:szCs w:val="20"/>
              </w:rPr>
              <w:t>103 patients</w:t>
            </w:r>
          </w:p>
        </w:tc>
        <w:tc>
          <w:tcPr>
            <w:tcW w:w="816" w:type="dxa"/>
            <w:tcBorders>
              <w:top w:val="nil"/>
              <w:left w:val="nil"/>
              <w:bottom w:val="nil"/>
              <w:right w:val="nil"/>
            </w:tcBorders>
          </w:tcPr>
          <w:p w:rsidR="00102289" w:rsidRPr="00F03F01" w:rsidRDefault="00102289" w:rsidP="00FB02EC">
            <w:pPr>
              <w:rPr>
                <w:sz w:val="20"/>
                <w:szCs w:val="20"/>
              </w:rPr>
            </w:pPr>
            <w:r w:rsidRPr="00F03F01">
              <w:rPr>
                <w:sz w:val="20"/>
                <w:szCs w:val="20"/>
              </w:rPr>
              <w:t>2015</w:t>
            </w:r>
          </w:p>
        </w:tc>
        <w:tc>
          <w:tcPr>
            <w:tcW w:w="5722" w:type="dxa"/>
            <w:tcBorders>
              <w:top w:val="nil"/>
              <w:left w:val="nil"/>
              <w:bottom w:val="nil"/>
              <w:right w:val="nil"/>
            </w:tcBorders>
          </w:tcPr>
          <w:p w:rsidR="00102289" w:rsidRPr="00F03F01" w:rsidRDefault="00102289" w:rsidP="00FB02EC">
            <w:pPr>
              <w:rPr>
                <w:sz w:val="20"/>
                <w:szCs w:val="20"/>
              </w:rPr>
            </w:pPr>
            <w:r w:rsidRPr="00F03F01">
              <w:rPr>
                <w:sz w:val="20"/>
                <w:szCs w:val="20"/>
              </w:rPr>
              <w:t xml:space="preserve">Awareness of expanded pharmaceutical services was poor; MUR was </w:t>
            </w:r>
            <w:r>
              <w:rPr>
                <w:sz w:val="20"/>
                <w:szCs w:val="20"/>
              </w:rPr>
              <w:t xml:space="preserve">the only advanced service used </w:t>
            </w:r>
            <w:r w:rsidRPr="00F03F01">
              <w:rPr>
                <w:sz w:val="20"/>
                <w:szCs w:val="20"/>
              </w:rPr>
              <w:t>(by 13% of respondents), primarily by men.</w:t>
            </w:r>
          </w:p>
        </w:tc>
      </w:tr>
      <w:tr w:rsidR="00102289" w:rsidRPr="00F03F01" w:rsidTr="00FB02EC">
        <w:trPr>
          <w:trHeight w:val="80"/>
        </w:trPr>
        <w:tc>
          <w:tcPr>
            <w:tcW w:w="1430" w:type="dxa"/>
            <w:tcBorders>
              <w:top w:val="nil"/>
              <w:left w:val="nil"/>
              <w:bottom w:val="nil"/>
              <w:right w:val="nil"/>
            </w:tcBorders>
          </w:tcPr>
          <w:p w:rsidR="00102289" w:rsidRPr="00F03F01" w:rsidRDefault="00102289" w:rsidP="00FB02EC">
            <w:pPr>
              <w:rPr>
                <w:sz w:val="20"/>
                <w:szCs w:val="20"/>
              </w:rPr>
            </w:pPr>
            <w:r w:rsidRPr="00F03F01">
              <w:rPr>
                <w:sz w:val="20"/>
                <w:szCs w:val="20"/>
              </w:rPr>
              <w:t xml:space="preserve">Rodgers et al. 2016 </w:t>
            </w:r>
            <w:r w:rsidRPr="00194C58">
              <w:rPr>
                <w:noProof/>
                <w:sz w:val="20"/>
                <w:szCs w:val="20"/>
                <w:vertAlign w:val="superscript"/>
              </w:rPr>
              <w:t>48</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NMS/MUR</w:t>
            </w:r>
          </w:p>
        </w:tc>
        <w:tc>
          <w:tcPr>
            <w:tcW w:w="2376" w:type="dxa"/>
            <w:tcBorders>
              <w:top w:val="nil"/>
              <w:left w:val="nil"/>
              <w:bottom w:val="nil"/>
              <w:right w:val="nil"/>
            </w:tcBorders>
          </w:tcPr>
          <w:p w:rsidR="00102289" w:rsidRPr="00F03F01" w:rsidRDefault="00102289" w:rsidP="00FB02EC">
            <w:pPr>
              <w:rPr>
                <w:sz w:val="20"/>
                <w:szCs w:val="20"/>
              </w:rPr>
            </w:pPr>
            <w:r w:rsidRPr="00F03F01">
              <w:rPr>
                <w:sz w:val="20"/>
                <w:szCs w:val="20"/>
              </w:rPr>
              <w:t>Compare the perceptions of pharmacists and the general public on MURs and the NMS.</w:t>
            </w:r>
          </w:p>
        </w:tc>
        <w:tc>
          <w:tcPr>
            <w:tcW w:w="1276" w:type="dxa"/>
            <w:tcBorders>
              <w:top w:val="nil"/>
              <w:left w:val="nil"/>
              <w:bottom w:val="nil"/>
              <w:right w:val="nil"/>
            </w:tcBorders>
          </w:tcPr>
          <w:p w:rsidR="00102289" w:rsidRPr="00F03F01" w:rsidRDefault="00102289" w:rsidP="00FB02EC">
            <w:pPr>
              <w:rPr>
                <w:sz w:val="20"/>
                <w:szCs w:val="20"/>
              </w:rPr>
            </w:pPr>
            <w:r w:rsidRPr="00F03F01">
              <w:rPr>
                <w:sz w:val="20"/>
                <w:szCs w:val="20"/>
              </w:rPr>
              <w:t>Street and postal surveys</w:t>
            </w:r>
          </w:p>
        </w:tc>
        <w:tc>
          <w:tcPr>
            <w:tcW w:w="1400" w:type="dxa"/>
            <w:tcBorders>
              <w:top w:val="nil"/>
              <w:left w:val="nil"/>
              <w:bottom w:val="nil"/>
              <w:right w:val="nil"/>
            </w:tcBorders>
          </w:tcPr>
          <w:p w:rsidR="00102289" w:rsidRPr="00F03F01" w:rsidRDefault="00102289" w:rsidP="00FB02EC">
            <w:pPr>
              <w:rPr>
                <w:sz w:val="20"/>
                <w:szCs w:val="20"/>
              </w:rPr>
            </w:pPr>
            <w:r w:rsidRPr="00F03F01">
              <w:rPr>
                <w:sz w:val="20"/>
                <w:szCs w:val="20"/>
              </w:rPr>
              <w:t>1000 public respondents; 341 pharmacists</w:t>
            </w:r>
          </w:p>
        </w:tc>
        <w:tc>
          <w:tcPr>
            <w:tcW w:w="816" w:type="dxa"/>
            <w:tcBorders>
              <w:top w:val="nil"/>
              <w:left w:val="nil"/>
              <w:bottom w:val="nil"/>
              <w:right w:val="nil"/>
            </w:tcBorders>
          </w:tcPr>
          <w:p w:rsidR="00102289" w:rsidRPr="00F03F01" w:rsidRDefault="00102289" w:rsidP="00FB02EC">
            <w:pPr>
              <w:rPr>
                <w:sz w:val="20"/>
                <w:szCs w:val="20"/>
              </w:rPr>
            </w:pPr>
            <w:r w:rsidRPr="00F03F01">
              <w:rPr>
                <w:sz w:val="20"/>
                <w:szCs w:val="20"/>
              </w:rPr>
              <w:t>2012</w:t>
            </w:r>
          </w:p>
        </w:tc>
        <w:tc>
          <w:tcPr>
            <w:tcW w:w="5722" w:type="dxa"/>
            <w:tcBorders>
              <w:top w:val="nil"/>
              <w:left w:val="nil"/>
              <w:bottom w:val="nil"/>
              <w:right w:val="nil"/>
            </w:tcBorders>
          </w:tcPr>
          <w:p w:rsidR="00102289" w:rsidRDefault="00102289" w:rsidP="00FB02EC">
            <w:pPr>
              <w:rPr>
                <w:sz w:val="20"/>
                <w:szCs w:val="20"/>
              </w:rPr>
            </w:pPr>
            <w:r w:rsidRPr="00F03F01">
              <w:rPr>
                <w:sz w:val="20"/>
                <w:szCs w:val="20"/>
              </w:rPr>
              <w:t xml:space="preserve">Few from the public sample were aware of MURs or the NMS.  Pharmacists estimated spending 10 minutes on MURs and 12 minutes on NMS; acceptable to both pharmacists and the public. Expectations </w:t>
            </w:r>
            <w:r>
              <w:rPr>
                <w:sz w:val="20"/>
                <w:szCs w:val="20"/>
              </w:rPr>
              <w:t xml:space="preserve">of </w:t>
            </w:r>
            <w:r w:rsidRPr="00F03F01">
              <w:rPr>
                <w:sz w:val="20"/>
                <w:szCs w:val="20"/>
              </w:rPr>
              <w:t>services increas</w:t>
            </w:r>
            <w:r>
              <w:rPr>
                <w:sz w:val="20"/>
                <w:szCs w:val="20"/>
              </w:rPr>
              <w:t xml:space="preserve">ing </w:t>
            </w:r>
            <w:r w:rsidRPr="00F03F01">
              <w:rPr>
                <w:sz w:val="20"/>
                <w:szCs w:val="20"/>
              </w:rPr>
              <w:t xml:space="preserve">knowledge and understanding of medication were high, but did reflect public experiences of the services. </w:t>
            </w:r>
          </w:p>
          <w:p w:rsidR="00102289" w:rsidRPr="00F03F01" w:rsidRDefault="00102289" w:rsidP="00FB02EC">
            <w:pPr>
              <w:rPr>
                <w:sz w:val="20"/>
                <w:szCs w:val="20"/>
              </w:rPr>
            </w:pPr>
          </w:p>
        </w:tc>
      </w:tr>
      <w:tr w:rsidR="00102289" w:rsidRPr="00F03F01" w:rsidTr="00FB02EC">
        <w:trPr>
          <w:trHeight w:val="1800"/>
        </w:trPr>
        <w:tc>
          <w:tcPr>
            <w:tcW w:w="1430" w:type="dxa"/>
            <w:tcBorders>
              <w:top w:val="nil"/>
              <w:left w:val="nil"/>
              <w:bottom w:val="nil"/>
              <w:right w:val="nil"/>
            </w:tcBorders>
            <w:hideMark/>
          </w:tcPr>
          <w:p w:rsidR="00102289" w:rsidRPr="00F03F01" w:rsidRDefault="00102289" w:rsidP="00FB02EC">
            <w:pPr>
              <w:rPr>
                <w:sz w:val="20"/>
                <w:szCs w:val="20"/>
              </w:rPr>
            </w:pPr>
            <w:proofErr w:type="spellStart"/>
            <w:r w:rsidRPr="00F03F01">
              <w:rPr>
                <w:sz w:val="20"/>
                <w:szCs w:val="20"/>
              </w:rPr>
              <w:lastRenderedPageBreak/>
              <w:t>Twigg</w:t>
            </w:r>
            <w:proofErr w:type="spellEnd"/>
            <w:r w:rsidRPr="00F03F01">
              <w:rPr>
                <w:sz w:val="20"/>
                <w:szCs w:val="20"/>
              </w:rPr>
              <w:t xml:space="preserve"> et al. 2016 </w:t>
            </w:r>
            <w:r w:rsidRPr="00194C58">
              <w:rPr>
                <w:noProof/>
                <w:sz w:val="20"/>
                <w:szCs w:val="20"/>
                <w:vertAlign w:val="superscript"/>
              </w:rPr>
              <w:t>64</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MUR</w:t>
            </w:r>
          </w:p>
        </w:tc>
        <w:tc>
          <w:tcPr>
            <w:tcW w:w="23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Examine information needs and reported adherence of patients who received a community pharmacy advanced service.</w:t>
            </w:r>
          </w:p>
        </w:tc>
        <w:tc>
          <w:tcPr>
            <w:tcW w:w="12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Postal survey</w:t>
            </w:r>
          </w:p>
        </w:tc>
        <w:tc>
          <w:tcPr>
            <w:tcW w:w="1400" w:type="dxa"/>
            <w:tcBorders>
              <w:top w:val="nil"/>
              <w:left w:val="nil"/>
              <w:bottom w:val="nil"/>
              <w:right w:val="nil"/>
            </w:tcBorders>
            <w:hideMark/>
          </w:tcPr>
          <w:p w:rsidR="00102289" w:rsidRPr="00F03F01" w:rsidRDefault="00102289" w:rsidP="00FB02EC">
            <w:pPr>
              <w:rPr>
                <w:sz w:val="20"/>
                <w:szCs w:val="20"/>
              </w:rPr>
            </w:pPr>
            <w:r w:rsidRPr="00F03F01">
              <w:rPr>
                <w:sz w:val="20"/>
                <w:szCs w:val="20"/>
              </w:rPr>
              <w:t>232 patients from 4 community pharmacies</w:t>
            </w:r>
          </w:p>
        </w:tc>
        <w:tc>
          <w:tcPr>
            <w:tcW w:w="816" w:type="dxa"/>
            <w:tcBorders>
              <w:top w:val="nil"/>
              <w:left w:val="nil"/>
              <w:bottom w:val="nil"/>
              <w:right w:val="nil"/>
            </w:tcBorders>
            <w:hideMark/>
          </w:tcPr>
          <w:p w:rsidR="00102289" w:rsidRPr="00F03F01" w:rsidRDefault="00102289" w:rsidP="00FB02EC">
            <w:pPr>
              <w:rPr>
                <w:sz w:val="20"/>
                <w:szCs w:val="20"/>
              </w:rPr>
            </w:pPr>
            <w:r w:rsidRPr="00F03F01">
              <w:rPr>
                <w:sz w:val="20"/>
                <w:szCs w:val="20"/>
              </w:rPr>
              <w:t>Not stated</w:t>
            </w:r>
          </w:p>
        </w:tc>
        <w:tc>
          <w:tcPr>
            <w:tcW w:w="57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All respondents desired further information about their prescribed medicines, particularly about potential medication problems. Satisfaction with information about medicines and adherence were significantly greater among patients who had received an advanced service, such as a MUR.</w:t>
            </w:r>
          </w:p>
        </w:tc>
      </w:tr>
      <w:tr w:rsidR="00102289" w:rsidRPr="00F03F01" w:rsidTr="00FB02EC">
        <w:trPr>
          <w:trHeight w:val="1599"/>
        </w:trPr>
        <w:tc>
          <w:tcPr>
            <w:tcW w:w="1430" w:type="dxa"/>
            <w:tcBorders>
              <w:top w:val="nil"/>
              <w:left w:val="nil"/>
              <w:bottom w:val="nil"/>
              <w:right w:val="nil"/>
            </w:tcBorders>
          </w:tcPr>
          <w:p w:rsidR="00102289" w:rsidRPr="00F03F01" w:rsidRDefault="00102289" w:rsidP="00FB02EC">
            <w:pPr>
              <w:rPr>
                <w:sz w:val="20"/>
                <w:szCs w:val="20"/>
              </w:rPr>
            </w:pPr>
            <w:r w:rsidRPr="00F03F01">
              <w:rPr>
                <w:sz w:val="20"/>
                <w:szCs w:val="20"/>
              </w:rPr>
              <w:t xml:space="preserve">Cheema et al. 2017 </w:t>
            </w:r>
            <w:r w:rsidRPr="00194C58">
              <w:rPr>
                <w:noProof/>
                <w:sz w:val="20"/>
                <w:szCs w:val="20"/>
                <w:vertAlign w:val="superscript"/>
              </w:rPr>
              <w:t>60</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NMS</w:t>
            </w:r>
          </w:p>
        </w:tc>
        <w:tc>
          <w:tcPr>
            <w:tcW w:w="2376" w:type="dxa"/>
            <w:tcBorders>
              <w:top w:val="nil"/>
              <w:left w:val="nil"/>
              <w:bottom w:val="nil"/>
              <w:right w:val="nil"/>
            </w:tcBorders>
          </w:tcPr>
          <w:p w:rsidR="00102289" w:rsidRPr="00F03F01" w:rsidRDefault="00102289" w:rsidP="00FB02EC">
            <w:pPr>
              <w:rPr>
                <w:sz w:val="20"/>
                <w:szCs w:val="20"/>
              </w:rPr>
            </w:pPr>
            <w:r w:rsidRPr="00F03F01">
              <w:rPr>
                <w:sz w:val="20"/>
                <w:szCs w:val="20"/>
              </w:rPr>
              <w:t>Assess the impact of the NMS on medication use by patients starting a new medication for a long-term medical condition</w:t>
            </w:r>
            <w:r>
              <w:rPr>
                <w:sz w:val="20"/>
                <w:szCs w:val="20"/>
              </w:rPr>
              <w:t>.</w:t>
            </w:r>
          </w:p>
        </w:tc>
        <w:tc>
          <w:tcPr>
            <w:tcW w:w="1276" w:type="dxa"/>
            <w:tcBorders>
              <w:top w:val="nil"/>
              <w:left w:val="nil"/>
              <w:bottom w:val="nil"/>
              <w:right w:val="nil"/>
            </w:tcBorders>
          </w:tcPr>
          <w:p w:rsidR="00102289" w:rsidRPr="00F03F01" w:rsidRDefault="00102289" w:rsidP="00FB02EC">
            <w:pPr>
              <w:rPr>
                <w:sz w:val="20"/>
                <w:szCs w:val="20"/>
              </w:rPr>
            </w:pPr>
            <w:r w:rsidRPr="00F03F01">
              <w:rPr>
                <w:sz w:val="20"/>
                <w:szCs w:val="20"/>
              </w:rPr>
              <w:t xml:space="preserve">Pharmacist completed questionnaires </w:t>
            </w:r>
          </w:p>
        </w:tc>
        <w:tc>
          <w:tcPr>
            <w:tcW w:w="1400" w:type="dxa"/>
            <w:tcBorders>
              <w:top w:val="nil"/>
              <w:left w:val="nil"/>
              <w:bottom w:val="nil"/>
              <w:right w:val="nil"/>
            </w:tcBorders>
          </w:tcPr>
          <w:p w:rsidR="00102289" w:rsidRPr="00F03F01" w:rsidRDefault="00102289" w:rsidP="00FB02EC">
            <w:pPr>
              <w:rPr>
                <w:sz w:val="20"/>
                <w:szCs w:val="20"/>
              </w:rPr>
            </w:pPr>
            <w:r w:rsidRPr="00F03F01">
              <w:rPr>
                <w:sz w:val="20"/>
                <w:szCs w:val="20"/>
              </w:rPr>
              <w:t>285 patients</w:t>
            </w:r>
          </w:p>
        </w:tc>
        <w:tc>
          <w:tcPr>
            <w:tcW w:w="816" w:type="dxa"/>
            <w:tcBorders>
              <w:top w:val="nil"/>
              <w:left w:val="nil"/>
              <w:bottom w:val="nil"/>
              <w:right w:val="nil"/>
            </w:tcBorders>
          </w:tcPr>
          <w:p w:rsidR="00102289" w:rsidRPr="00F03F01" w:rsidRDefault="00102289" w:rsidP="00FB02EC">
            <w:pPr>
              <w:rPr>
                <w:sz w:val="20"/>
                <w:szCs w:val="20"/>
              </w:rPr>
            </w:pPr>
            <w:r w:rsidRPr="00F03F01">
              <w:rPr>
                <w:sz w:val="20"/>
                <w:szCs w:val="20"/>
              </w:rPr>
              <w:t>2012</w:t>
            </w:r>
          </w:p>
        </w:tc>
        <w:tc>
          <w:tcPr>
            <w:tcW w:w="5722" w:type="dxa"/>
            <w:tcBorders>
              <w:top w:val="nil"/>
              <w:left w:val="nil"/>
              <w:bottom w:val="nil"/>
              <w:right w:val="nil"/>
            </w:tcBorders>
          </w:tcPr>
          <w:p w:rsidR="00102289" w:rsidRPr="00F03F01" w:rsidRDefault="00102289" w:rsidP="00FB02EC">
            <w:pPr>
              <w:rPr>
                <w:sz w:val="20"/>
                <w:szCs w:val="20"/>
              </w:rPr>
            </w:pPr>
            <w:r w:rsidRPr="00F03F01">
              <w:rPr>
                <w:sz w:val="20"/>
                <w:szCs w:val="20"/>
              </w:rPr>
              <w:t>On the first NMS assessment, 82 patients reported drug-related problems of whom 58 received pharmacists' advice. At follow up 39 (67%) of these 58 patients reported resolution of problems compared to 17% of the patients who did not receive pharmacists' advice (OR=10.2).</w:t>
            </w:r>
          </w:p>
        </w:tc>
      </w:tr>
      <w:tr w:rsidR="00102289" w:rsidRPr="00F03F01" w:rsidTr="00FB02EC">
        <w:trPr>
          <w:trHeight w:val="2265"/>
        </w:trPr>
        <w:tc>
          <w:tcPr>
            <w:tcW w:w="1430" w:type="dxa"/>
            <w:tcBorders>
              <w:top w:val="nil"/>
              <w:left w:val="nil"/>
              <w:bottom w:val="nil"/>
              <w:right w:val="nil"/>
            </w:tcBorders>
            <w:hideMark/>
          </w:tcPr>
          <w:p w:rsidR="00102289" w:rsidRPr="00F03F01" w:rsidRDefault="00102289" w:rsidP="00FB02EC">
            <w:pPr>
              <w:rPr>
                <w:sz w:val="20"/>
                <w:szCs w:val="20"/>
              </w:rPr>
            </w:pPr>
            <w:proofErr w:type="spellStart"/>
            <w:r w:rsidRPr="00F03F01">
              <w:rPr>
                <w:sz w:val="20"/>
                <w:szCs w:val="20"/>
              </w:rPr>
              <w:t>Hamedi</w:t>
            </w:r>
            <w:proofErr w:type="spellEnd"/>
            <w:r w:rsidRPr="00F03F01">
              <w:rPr>
                <w:sz w:val="20"/>
                <w:szCs w:val="20"/>
              </w:rPr>
              <w:t xml:space="preserve"> et al.  2017 </w:t>
            </w:r>
            <w:r w:rsidRPr="00194C58">
              <w:rPr>
                <w:noProof/>
                <w:sz w:val="20"/>
                <w:szCs w:val="20"/>
                <w:vertAlign w:val="superscript"/>
              </w:rPr>
              <w:t>58</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NMS</w:t>
            </w:r>
          </w:p>
        </w:tc>
        <w:tc>
          <w:tcPr>
            <w:tcW w:w="23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Assess community pharmacists' practice, knowledge and confidence in supporting patients' adherence as part of the NMS for patients on Oral Anti-Coagulants for stroke prevention in Atrial Fibrillation</w:t>
            </w:r>
          </w:p>
        </w:tc>
        <w:tc>
          <w:tcPr>
            <w:tcW w:w="12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On-line survey</w:t>
            </w:r>
          </w:p>
        </w:tc>
        <w:tc>
          <w:tcPr>
            <w:tcW w:w="1400" w:type="dxa"/>
            <w:tcBorders>
              <w:top w:val="nil"/>
              <w:left w:val="nil"/>
              <w:bottom w:val="nil"/>
              <w:right w:val="nil"/>
            </w:tcBorders>
            <w:hideMark/>
          </w:tcPr>
          <w:p w:rsidR="00102289" w:rsidRPr="00F03F01" w:rsidRDefault="00102289" w:rsidP="00FB02EC">
            <w:pPr>
              <w:rPr>
                <w:sz w:val="20"/>
                <w:szCs w:val="20"/>
              </w:rPr>
            </w:pPr>
            <w:r w:rsidRPr="00F03F01">
              <w:rPr>
                <w:sz w:val="20"/>
                <w:szCs w:val="20"/>
              </w:rPr>
              <w:t>257 patients</w:t>
            </w:r>
            <w:r w:rsidRPr="00F03F01">
              <w:rPr>
                <w:sz w:val="20"/>
                <w:szCs w:val="20"/>
              </w:rPr>
              <w:tab/>
            </w:r>
          </w:p>
        </w:tc>
        <w:tc>
          <w:tcPr>
            <w:tcW w:w="816" w:type="dxa"/>
            <w:tcBorders>
              <w:top w:val="nil"/>
              <w:left w:val="nil"/>
              <w:bottom w:val="nil"/>
              <w:right w:val="nil"/>
            </w:tcBorders>
            <w:hideMark/>
          </w:tcPr>
          <w:p w:rsidR="00102289" w:rsidRPr="00F03F01" w:rsidRDefault="00102289" w:rsidP="00FB02EC">
            <w:pPr>
              <w:rPr>
                <w:sz w:val="20"/>
                <w:szCs w:val="20"/>
              </w:rPr>
            </w:pPr>
            <w:r w:rsidRPr="00F03F01">
              <w:rPr>
                <w:sz w:val="20"/>
                <w:szCs w:val="20"/>
              </w:rPr>
              <w:t>2014-2015</w:t>
            </w:r>
          </w:p>
        </w:tc>
        <w:tc>
          <w:tcPr>
            <w:tcW w:w="57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Priorities during the NMS consultation were to discuss actions to take when bleeding occurs and supporting adherence. Pharmacists were more confident in their knowledge, skills and access to resources for Vitamin-K Antagonists than for new oral anticoagulants.</w:t>
            </w:r>
          </w:p>
        </w:tc>
      </w:tr>
      <w:tr w:rsidR="00102289" w:rsidRPr="00F03F01" w:rsidTr="00FB02EC">
        <w:trPr>
          <w:trHeight w:val="1418"/>
        </w:trPr>
        <w:tc>
          <w:tcPr>
            <w:tcW w:w="1430" w:type="dxa"/>
            <w:tcBorders>
              <w:top w:val="nil"/>
              <w:left w:val="nil"/>
              <w:bottom w:val="nil"/>
              <w:right w:val="nil"/>
            </w:tcBorders>
          </w:tcPr>
          <w:p w:rsidR="00102289" w:rsidRPr="00F03F01" w:rsidRDefault="00102289" w:rsidP="00FB02EC">
            <w:pPr>
              <w:rPr>
                <w:sz w:val="20"/>
                <w:szCs w:val="20"/>
              </w:rPr>
            </w:pPr>
            <w:r w:rsidRPr="00F03F01">
              <w:rPr>
                <w:sz w:val="20"/>
                <w:szCs w:val="20"/>
              </w:rPr>
              <w:t xml:space="preserve">Hindi et al. 2017 </w:t>
            </w:r>
            <w:r w:rsidRPr="00194C58">
              <w:rPr>
                <w:noProof/>
                <w:sz w:val="20"/>
                <w:szCs w:val="20"/>
                <w:vertAlign w:val="superscript"/>
              </w:rPr>
              <w:t>49</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MUR</w:t>
            </w:r>
          </w:p>
        </w:tc>
        <w:tc>
          <w:tcPr>
            <w:tcW w:w="2376" w:type="dxa"/>
            <w:tcBorders>
              <w:top w:val="nil"/>
              <w:left w:val="nil"/>
              <w:bottom w:val="nil"/>
              <w:right w:val="nil"/>
            </w:tcBorders>
          </w:tcPr>
          <w:p w:rsidR="00102289" w:rsidRPr="00F03F01" w:rsidRDefault="00102289" w:rsidP="00FB02EC">
            <w:pPr>
              <w:rPr>
                <w:sz w:val="20"/>
                <w:szCs w:val="20"/>
              </w:rPr>
            </w:pPr>
            <w:r w:rsidRPr="00F03F01">
              <w:rPr>
                <w:sz w:val="20"/>
                <w:szCs w:val="20"/>
              </w:rPr>
              <w:t>Develop, pilot, and utilize a MUR patient satisfaction questionnaire</w:t>
            </w:r>
          </w:p>
        </w:tc>
        <w:tc>
          <w:tcPr>
            <w:tcW w:w="1276" w:type="dxa"/>
            <w:tcBorders>
              <w:top w:val="nil"/>
              <w:left w:val="nil"/>
              <w:bottom w:val="nil"/>
              <w:right w:val="nil"/>
            </w:tcBorders>
          </w:tcPr>
          <w:p w:rsidR="00102289" w:rsidRPr="00F03F01" w:rsidRDefault="00102289" w:rsidP="00FB02EC">
            <w:pPr>
              <w:rPr>
                <w:sz w:val="20"/>
                <w:szCs w:val="20"/>
              </w:rPr>
            </w:pPr>
            <w:r w:rsidRPr="00F03F01">
              <w:rPr>
                <w:sz w:val="20"/>
                <w:szCs w:val="20"/>
              </w:rPr>
              <w:t>Postal survey</w:t>
            </w:r>
          </w:p>
        </w:tc>
        <w:tc>
          <w:tcPr>
            <w:tcW w:w="1400" w:type="dxa"/>
            <w:tcBorders>
              <w:top w:val="nil"/>
              <w:left w:val="nil"/>
              <w:bottom w:val="nil"/>
              <w:right w:val="nil"/>
            </w:tcBorders>
          </w:tcPr>
          <w:p w:rsidR="00102289" w:rsidRPr="00F03F01" w:rsidRDefault="00102289" w:rsidP="00FB02EC">
            <w:pPr>
              <w:rPr>
                <w:sz w:val="20"/>
                <w:szCs w:val="20"/>
              </w:rPr>
            </w:pPr>
            <w:r w:rsidRPr="00F03F01">
              <w:rPr>
                <w:sz w:val="20"/>
                <w:szCs w:val="20"/>
              </w:rPr>
              <w:t>505 patients</w:t>
            </w:r>
          </w:p>
        </w:tc>
        <w:tc>
          <w:tcPr>
            <w:tcW w:w="816" w:type="dxa"/>
            <w:tcBorders>
              <w:top w:val="nil"/>
              <w:left w:val="nil"/>
              <w:bottom w:val="nil"/>
              <w:right w:val="nil"/>
            </w:tcBorders>
          </w:tcPr>
          <w:p w:rsidR="00102289" w:rsidRPr="00F03F01" w:rsidRDefault="00102289" w:rsidP="00FB02EC">
            <w:pPr>
              <w:rPr>
                <w:sz w:val="20"/>
                <w:szCs w:val="20"/>
              </w:rPr>
            </w:pPr>
            <w:r w:rsidRPr="00F03F01">
              <w:rPr>
                <w:sz w:val="20"/>
                <w:szCs w:val="20"/>
              </w:rPr>
              <w:t>2016</w:t>
            </w:r>
          </w:p>
        </w:tc>
        <w:tc>
          <w:tcPr>
            <w:tcW w:w="5722" w:type="dxa"/>
            <w:tcBorders>
              <w:top w:val="nil"/>
              <w:left w:val="nil"/>
              <w:bottom w:val="nil"/>
              <w:right w:val="nil"/>
            </w:tcBorders>
          </w:tcPr>
          <w:p w:rsidR="00102289" w:rsidRPr="00F03F01" w:rsidRDefault="00102289" w:rsidP="00FB02EC">
            <w:pPr>
              <w:rPr>
                <w:sz w:val="20"/>
                <w:szCs w:val="20"/>
              </w:rPr>
            </w:pPr>
            <w:r w:rsidRPr="00F03F01">
              <w:rPr>
                <w:sz w:val="20"/>
                <w:szCs w:val="20"/>
              </w:rPr>
              <w:t xml:space="preserve">Patients showed a high degree of overall satisfaction with MURs, even if initially reluctant to take part in one. </w:t>
            </w:r>
          </w:p>
        </w:tc>
      </w:tr>
      <w:tr w:rsidR="00102289" w:rsidRPr="00F03F01" w:rsidTr="00FB02EC">
        <w:trPr>
          <w:trHeight w:val="1843"/>
        </w:trPr>
        <w:tc>
          <w:tcPr>
            <w:tcW w:w="1430" w:type="dxa"/>
            <w:tcBorders>
              <w:top w:val="nil"/>
              <w:left w:val="nil"/>
              <w:bottom w:val="nil"/>
              <w:right w:val="nil"/>
            </w:tcBorders>
            <w:hideMark/>
          </w:tcPr>
          <w:p w:rsidR="00102289" w:rsidRPr="00F03F01" w:rsidRDefault="00102289" w:rsidP="00FB02EC">
            <w:pPr>
              <w:rPr>
                <w:sz w:val="20"/>
                <w:szCs w:val="20"/>
              </w:rPr>
            </w:pPr>
            <w:r w:rsidRPr="00F03F01">
              <w:rPr>
                <w:sz w:val="20"/>
                <w:szCs w:val="20"/>
              </w:rPr>
              <w:lastRenderedPageBreak/>
              <w:t xml:space="preserve">Rutter et al. 2017 </w:t>
            </w:r>
            <w:r w:rsidRPr="00194C58">
              <w:rPr>
                <w:noProof/>
                <w:sz w:val="20"/>
                <w:szCs w:val="20"/>
                <w:vertAlign w:val="superscript"/>
              </w:rPr>
              <w:t>44</w:t>
            </w:r>
          </w:p>
        </w:tc>
        <w:tc>
          <w:tcPr>
            <w:tcW w:w="11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MUR</w:t>
            </w:r>
          </w:p>
        </w:tc>
        <w:tc>
          <w:tcPr>
            <w:tcW w:w="23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Investigate the perspective of community pharmacists on the usefulness of and suitability of MUR referrals from hospital</w:t>
            </w:r>
            <w:r>
              <w:rPr>
                <w:sz w:val="20"/>
                <w:szCs w:val="20"/>
              </w:rPr>
              <w:t>.</w:t>
            </w:r>
          </w:p>
        </w:tc>
        <w:tc>
          <w:tcPr>
            <w:tcW w:w="1276" w:type="dxa"/>
            <w:tcBorders>
              <w:top w:val="nil"/>
              <w:left w:val="nil"/>
              <w:bottom w:val="nil"/>
              <w:right w:val="nil"/>
            </w:tcBorders>
            <w:hideMark/>
          </w:tcPr>
          <w:p w:rsidR="00102289" w:rsidRPr="00F03F01" w:rsidRDefault="00102289" w:rsidP="00FB02EC">
            <w:pPr>
              <w:rPr>
                <w:sz w:val="20"/>
                <w:szCs w:val="20"/>
              </w:rPr>
            </w:pPr>
            <w:r w:rsidRPr="00F03F01">
              <w:rPr>
                <w:sz w:val="20"/>
                <w:szCs w:val="20"/>
              </w:rPr>
              <w:t>Postal survey</w:t>
            </w:r>
          </w:p>
        </w:tc>
        <w:tc>
          <w:tcPr>
            <w:tcW w:w="1400" w:type="dxa"/>
            <w:tcBorders>
              <w:top w:val="nil"/>
              <w:left w:val="nil"/>
              <w:bottom w:val="nil"/>
              <w:right w:val="nil"/>
            </w:tcBorders>
            <w:hideMark/>
          </w:tcPr>
          <w:p w:rsidR="00102289" w:rsidRPr="00F03F01" w:rsidRDefault="00102289" w:rsidP="00FB02EC">
            <w:pPr>
              <w:rPr>
                <w:sz w:val="20"/>
                <w:szCs w:val="20"/>
              </w:rPr>
            </w:pPr>
            <w:r w:rsidRPr="00F03F01">
              <w:rPr>
                <w:sz w:val="20"/>
                <w:szCs w:val="20"/>
              </w:rPr>
              <w:t>19 community pharmacists</w:t>
            </w:r>
          </w:p>
        </w:tc>
        <w:tc>
          <w:tcPr>
            <w:tcW w:w="816" w:type="dxa"/>
            <w:tcBorders>
              <w:top w:val="nil"/>
              <w:left w:val="nil"/>
              <w:bottom w:val="nil"/>
              <w:right w:val="nil"/>
            </w:tcBorders>
            <w:hideMark/>
          </w:tcPr>
          <w:p w:rsidR="00102289" w:rsidRPr="00F03F01" w:rsidRDefault="00102289" w:rsidP="00FB02EC">
            <w:pPr>
              <w:rPr>
                <w:sz w:val="20"/>
                <w:szCs w:val="20"/>
              </w:rPr>
            </w:pPr>
            <w:r w:rsidRPr="00F03F01">
              <w:rPr>
                <w:sz w:val="20"/>
                <w:szCs w:val="20"/>
              </w:rPr>
              <w:t>Not stated</w:t>
            </w:r>
          </w:p>
        </w:tc>
        <w:tc>
          <w:tcPr>
            <w:tcW w:w="5722" w:type="dxa"/>
            <w:tcBorders>
              <w:top w:val="nil"/>
              <w:left w:val="nil"/>
              <w:bottom w:val="nil"/>
              <w:right w:val="nil"/>
            </w:tcBorders>
            <w:hideMark/>
          </w:tcPr>
          <w:p w:rsidR="00102289" w:rsidRPr="00F03F01" w:rsidRDefault="00102289" w:rsidP="00FB02EC">
            <w:pPr>
              <w:rPr>
                <w:sz w:val="20"/>
                <w:szCs w:val="20"/>
              </w:rPr>
            </w:pPr>
            <w:r w:rsidRPr="00F03F01">
              <w:rPr>
                <w:sz w:val="20"/>
                <w:szCs w:val="20"/>
              </w:rPr>
              <w:t>Barriers to implementation were failure or inability of patients to attend the pharmacy.  Community pharmacists' views of the service were positive, but felt further medications information would be useful for referrals.</w:t>
            </w:r>
          </w:p>
        </w:tc>
      </w:tr>
      <w:tr w:rsidR="00102289" w:rsidRPr="00F03F01" w:rsidTr="00FB02EC">
        <w:trPr>
          <w:trHeight w:val="2265"/>
        </w:trPr>
        <w:tc>
          <w:tcPr>
            <w:tcW w:w="1430" w:type="dxa"/>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 xml:space="preserve">Aston et al 2018  </w:t>
            </w:r>
            <w:r w:rsidRPr="00194C58">
              <w:rPr>
                <w:noProof/>
                <w:sz w:val="20"/>
                <w:szCs w:val="20"/>
                <w:vertAlign w:val="superscript"/>
              </w:rPr>
              <w:t>46</w:t>
            </w:r>
          </w:p>
        </w:tc>
        <w:tc>
          <w:tcPr>
            <w:tcW w:w="1122" w:type="dxa"/>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NMS/MUR</w:t>
            </w:r>
          </w:p>
        </w:tc>
        <w:tc>
          <w:tcPr>
            <w:tcW w:w="2376" w:type="dxa"/>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 xml:space="preserve">Determine whether community pharmacists undertake MUR or NMS with children/their </w:t>
            </w:r>
            <w:proofErr w:type="spellStart"/>
            <w:r w:rsidRPr="00F03F01">
              <w:rPr>
                <w:sz w:val="20"/>
                <w:szCs w:val="20"/>
              </w:rPr>
              <w:t>carers</w:t>
            </w:r>
            <w:proofErr w:type="spellEnd"/>
            <w:r w:rsidRPr="00F03F01">
              <w:rPr>
                <w:sz w:val="20"/>
                <w:szCs w:val="20"/>
              </w:rPr>
              <w:t xml:space="preserve"> and identify the type of medication-related experiences presented to them when a child is taking long-term medication</w:t>
            </w:r>
          </w:p>
        </w:tc>
        <w:tc>
          <w:tcPr>
            <w:tcW w:w="1276" w:type="dxa"/>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Postal survey</w:t>
            </w:r>
          </w:p>
        </w:tc>
        <w:tc>
          <w:tcPr>
            <w:tcW w:w="1400" w:type="dxa"/>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76 community pharmacists</w:t>
            </w:r>
          </w:p>
        </w:tc>
        <w:tc>
          <w:tcPr>
            <w:tcW w:w="816" w:type="dxa"/>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2015</w:t>
            </w:r>
          </w:p>
        </w:tc>
        <w:tc>
          <w:tcPr>
            <w:tcW w:w="5722" w:type="dxa"/>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 xml:space="preserve">MUR and NMS utilised by community pharmacists for children/carers.  Presentations were for non-adherence including stopping medication and changing dose. Pharmacists were directly asked about dose, administration and adverse effects. </w:t>
            </w:r>
          </w:p>
        </w:tc>
      </w:tr>
    </w:tbl>
    <w:p w:rsidR="00102289" w:rsidRDefault="00102289" w:rsidP="00FB02EC"/>
    <w:p w:rsidR="00102289" w:rsidRDefault="00102289">
      <w:pPr>
        <w:rPr>
          <w:b/>
        </w:rPr>
      </w:pPr>
    </w:p>
    <w:p w:rsidR="00004558" w:rsidRDefault="00004558">
      <w:r>
        <w:br w:type="page"/>
      </w:r>
    </w:p>
    <w:p w:rsidR="00102289" w:rsidRDefault="00102289" w:rsidP="00FB02EC">
      <w:pPr>
        <w:pStyle w:val="ListParagraph"/>
        <w:tabs>
          <w:tab w:val="num" w:pos="1440"/>
        </w:tabs>
        <w:spacing w:line="240" w:lineRule="auto"/>
        <w:ind w:left="0"/>
      </w:pPr>
      <w:r>
        <w:lastRenderedPageBreak/>
        <w:t>Table 5: Characteristics of qualitative studies</w:t>
      </w:r>
    </w:p>
    <w:tbl>
      <w:tblPr>
        <w:tblStyle w:val="TableGrid"/>
        <w:tblpPr w:leftFromText="180" w:rightFromText="180" w:vertAnchor="text" w:tblpY="1"/>
        <w:tblOverlap w:val="never"/>
        <w:tblW w:w="14317" w:type="dxa"/>
        <w:tblLayout w:type="fixed"/>
        <w:tblLook w:val="04A0" w:firstRow="1" w:lastRow="0" w:firstColumn="1" w:lastColumn="0" w:noHBand="0" w:noVBand="1"/>
      </w:tblPr>
      <w:tblGrid>
        <w:gridCol w:w="1418"/>
        <w:gridCol w:w="12"/>
        <w:gridCol w:w="1122"/>
        <w:gridCol w:w="1843"/>
        <w:gridCol w:w="1549"/>
        <w:gridCol w:w="10"/>
        <w:gridCol w:w="1559"/>
        <w:gridCol w:w="851"/>
        <w:gridCol w:w="56"/>
        <w:gridCol w:w="5830"/>
        <w:gridCol w:w="67"/>
      </w:tblGrid>
      <w:tr w:rsidR="00102289" w:rsidRPr="00F03F01" w:rsidTr="00FB02EC">
        <w:trPr>
          <w:gridAfter w:val="1"/>
          <w:wAfter w:w="67" w:type="dxa"/>
          <w:trHeight w:val="300"/>
        </w:trPr>
        <w:tc>
          <w:tcPr>
            <w:tcW w:w="1418"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Study</w:t>
            </w:r>
          </w:p>
        </w:tc>
        <w:tc>
          <w:tcPr>
            <w:tcW w:w="1134" w:type="dxa"/>
            <w:gridSpan w:val="2"/>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NMS/MUR</w:t>
            </w:r>
          </w:p>
        </w:tc>
        <w:tc>
          <w:tcPr>
            <w:tcW w:w="1843"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Objective(s)</w:t>
            </w:r>
          </w:p>
        </w:tc>
        <w:tc>
          <w:tcPr>
            <w:tcW w:w="1559" w:type="dxa"/>
            <w:gridSpan w:val="2"/>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Design</w:t>
            </w:r>
          </w:p>
        </w:tc>
        <w:tc>
          <w:tcPr>
            <w:tcW w:w="1559"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Sample</w:t>
            </w:r>
          </w:p>
        </w:tc>
        <w:tc>
          <w:tcPr>
            <w:tcW w:w="851" w:type="dxa"/>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sidRPr="00F03F01">
              <w:rPr>
                <w:b/>
                <w:bCs/>
                <w:sz w:val="20"/>
                <w:szCs w:val="20"/>
              </w:rPr>
              <w:t>Time frame</w:t>
            </w:r>
          </w:p>
        </w:tc>
        <w:tc>
          <w:tcPr>
            <w:tcW w:w="5886" w:type="dxa"/>
            <w:gridSpan w:val="2"/>
            <w:tcBorders>
              <w:top w:val="single" w:sz="4" w:space="0" w:color="auto"/>
              <w:left w:val="nil"/>
              <w:bottom w:val="single" w:sz="4" w:space="0" w:color="auto"/>
              <w:right w:val="nil"/>
            </w:tcBorders>
            <w:hideMark/>
          </w:tcPr>
          <w:p w:rsidR="00102289" w:rsidRPr="00F03F01" w:rsidRDefault="00102289" w:rsidP="00FB02EC">
            <w:pPr>
              <w:rPr>
                <w:b/>
                <w:bCs/>
                <w:sz w:val="20"/>
                <w:szCs w:val="20"/>
              </w:rPr>
            </w:pPr>
            <w:r>
              <w:rPr>
                <w:b/>
                <w:bCs/>
                <w:sz w:val="20"/>
                <w:szCs w:val="20"/>
              </w:rPr>
              <w:t xml:space="preserve">Key </w:t>
            </w:r>
            <w:r w:rsidRPr="00F03F01">
              <w:rPr>
                <w:b/>
                <w:bCs/>
                <w:sz w:val="20"/>
                <w:szCs w:val="20"/>
              </w:rPr>
              <w:t xml:space="preserve">findings </w:t>
            </w:r>
          </w:p>
        </w:tc>
      </w:tr>
      <w:tr w:rsidR="00102289" w:rsidRPr="00F03F01" w:rsidTr="00FB02EC">
        <w:trPr>
          <w:trHeight w:val="1288"/>
        </w:trPr>
        <w:tc>
          <w:tcPr>
            <w:tcW w:w="1430"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 xml:space="preserve">Urban et al. 2008 </w:t>
            </w:r>
            <w:r w:rsidRPr="00194C58">
              <w:rPr>
                <w:noProof/>
                <w:sz w:val="20"/>
                <w:szCs w:val="20"/>
                <w:vertAlign w:val="superscript"/>
              </w:rPr>
              <w:t>39</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MUR</w:t>
            </w:r>
          </w:p>
        </w:tc>
        <w:tc>
          <w:tcPr>
            <w:tcW w:w="1843" w:type="dxa"/>
            <w:tcBorders>
              <w:top w:val="nil"/>
              <w:left w:val="nil"/>
              <w:bottom w:val="nil"/>
              <w:right w:val="nil"/>
            </w:tcBorders>
          </w:tcPr>
          <w:p w:rsidR="00102289" w:rsidRPr="00F03F01" w:rsidRDefault="00102289" w:rsidP="00FB02EC">
            <w:pPr>
              <w:rPr>
                <w:sz w:val="20"/>
                <w:szCs w:val="20"/>
              </w:rPr>
            </w:pPr>
            <w:r w:rsidRPr="00F03F01">
              <w:rPr>
                <w:sz w:val="20"/>
                <w:szCs w:val="20"/>
              </w:rPr>
              <w:t>Explore community pharmacists' experience of conducting MJRs</w:t>
            </w:r>
          </w:p>
        </w:tc>
        <w:tc>
          <w:tcPr>
            <w:tcW w:w="1549" w:type="dxa"/>
            <w:tcBorders>
              <w:top w:val="nil"/>
              <w:left w:val="nil"/>
              <w:bottom w:val="nil"/>
              <w:right w:val="nil"/>
            </w:tcBorders>
          </w:tcPr>
          <w:p w:rsidR="00102289" w:rsidRPr="00F03F01" w:rsidRDefault="00102289" w:rsidP="00FB02EC">
            <w:pPr>
              <w:rPr>
                <w:sz w:val="20"/>
                <w:szCs w:val="20"/>
              </w:rPr>
            </w:pPr>
            <w:r w:rsidRPr="00F03F01">
              <w:rPr>
                <w:sz w:val="20"/>
                <w:szCs w:val="20"/>
              </w:rPr>
              <w:t>Interviews</w:t>
            </w:r>
          </w:p>
        </w:tc>
        <w:tc>
          <w:tcPr>
            <w:tcW w:w="1569"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21 community pharmacists</w:t>
            </w:r>
          </w:p>
        </w:tc>
        <w:tc>
          <w:tcPr>
            <w:tcW w:w="90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Not stated</w:t>
            </w:r>
          </w:p>
        </w:tc>
        <w:tc>
          <w:tcPr>
            <w:tcW w:w="5897" w:type="dxa"/>
            <w:gridSpan w:val="2"/>
            <w:tcBorders>
              <w:top w:val="nil"/>
              <w:left w:val="nil"/>
              <w:bottom w:val="nil"/>
              <w:right w:val="nil"/>
            </w:tcBorders>
          </w:tcPr>
          <w:p w:rsidR="00102289" w:rsidRPr="00F03F01" w:rsidRDefault="00102289" w:rsidP="00FB02EC">
            <w:pPr>
              <w:rPr>
                <w:sz w:val="20"/>
                <w:szCs w:val="20"/>
              </w:rPr>
            </w:pPr>
            <w:r>
              <w:rPr>
                <w:sz w:val="20"/>
                <w:szCs w:val="20"/>
              </w:rPr>
              <w:t>U</w:t>
            </w:r>
            <w:r w:rsidRPr="00F03F01">
              <w:rPr>
                <w:sz w:val="20"/>
                <w:szCs w:val="20"/>
              </w:rPr>
              <w:t>ncertainty about the best ways to select and recruit patients for MURs.  Perception that MURs improve patient understanding and use of their medications.  Perce</w:t>
            </w:r>
            <w:r>
              <w:rPr>
                <w:sz w:val="20"/>
                <w:szCs w:val="20"/>
              </w:rPr>
              <w:t xml:space="preserve">ption that </w:t>
            </w:r>
            <w:r w:rsidRPr="00F03F01">
              <w:rPr>
                <w:sz w:val="20"/>
                <w:szCs w:val="20"/>
              </w:rPr>
              <w:t xml:space="preserve">GPs </w:t>
            </w:r>
            <w:r>
              <w:rPr>
                <w:sz w:val="20"/>
                <w:szCs w:val="20"/>
              </w:rPr>
              <w:t xml:space="preserve">have doubts about </w:t>
            </w:r>
            <w:r w:rsidRPr="00F03F01">
              <w:rPr>
                <w:sz w:val="20"/>
                <w:szCs w:val="20"/>
              </w:rPr>
              <w:t>the value of MURs.</w:t>
            </w:r>
          </w:p>
        </w:tc>
      </w:tr>
      <w:tr w:rsidR="00102289" w:rsidRPr="00F03F01" w:rsidTr="00FB02EC">
        <w:trPr>
          <w:trHeight w:val="1543"/>
        </w:trPr>
        <w:tc>
          <w:tcPr>
            <w:tcW w:w="1430"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 xml:space="preserve">McDonald et al. 2010 </w:t>
            </w:r>
            <w:r w:rsidRPr="00194C58">
              <w:rPr>
                <w:noProof/>
                <w:sz w:val="20"/>
                <w:szCs w:val="20"/>
                <w:vertAlign w:val="superscript"/>
              </w:rPr>
              <w:t>42</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MUR</w:t>
            </w:r>
          </w:p>
        </w:tc>
        <w:tc>
          <w:tcPr>
            <w:tcW w:w="1843" w:type="dxa"/>
            <w:tcBorders>
              <w:top w:val="nil"/>
              <w:left w:val="nil"/>
              <w:bottom w:val="nil"/>
              <w:right w:val="nil"/>
            </w:tcBorders>
          </w:tcPr>
          <w:p w:rsidR="00102289" w:rsidRPr="00F03F01" w:rsidRDefault="00102289" w:rsidP="00FB02EC">
            <w:pPr>
              <w:rPr>
                <w:sz w:val="20"/>
                <w:szCs w:val="20"/>
              </w:rPr>
            </w:pPr>
            <w:r w:rsidRPr="00F03F01">
              <w:rPr>
                <w:sz w:val="20"/>
                <w:szCs w:val="20"/>
              </w:rPr>
              <w:t>Explore community pharmacists' reactions to the introduction of MURs</w:t>
            </w:r>
          </w:p>
        </w:tc>
        <w:tc>
          <w:tcPr>
            <w:tcW w:w="1549" w:type="dxa"/>
            <w:tcBorders>
              <w:top w:val="nil"/>
              <w:left w:val="nil"/>
              <w:bottom w:val="nil"/>
              <w:right w:val="nil"/>
            </w:tcBorders>
          </w:tcPr>
          <w:p w:rsidR="00102289" w:rsidRPr="00F03F01" w:rsidRDefault="00102289" w:rsidP="00FB02EC">
            <w:pPr>
              <w:rPr>
                <w:sz w:val="20"/>
                <w:szCs w:val="20"/>
              </w:rPr>
            </w:pPr>
            <w:r w:rsidRPr="00F03F01">
              <w:rPr>
                <w:sz w:val="20"/>
                <w:szCs w:val="20"/>
              </w:rPr>
              <w:t>Interviews</w:t>
            </w:r>
          </w:p>
        </w:tc>
        <w:tc>
          <w:tcPr>
            <w:tcW w:w="1569"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49 community pharmacists</w:t>
            </w:r>
          </w:p>
        </w:tc>
        <w:tc>
          <w:tcPr>
            <w:tcW w:w="90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2007-2008</w:t>
            </w:r>
          </w:p>
        </w:tc>
        <w:tc>
          <w:tcPr>
            <w:tcW w:w="589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Support for MURs was high, although workload pressures hindered pharmacists ability to undertaken them.  Some pharmacists (from multiples) felt under pressure to meet MUR targets.</w:t>
            </w:r>
          </w:p>
        </w:tc>
      </w:tr>
      <w:tr w:rsidR="00102289" w:rsidRPr="00F03F01" w:rsidTr="00FB02EC">
        <w:trPr>
          <w:trHeight w:val="1990"/>
        </w:trPr>
        <w:tc>
          <w:tcPr>
            <w:tcW w:w="1430"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 xml:space="preserve">van den Berg M &amp; </w:t>
            </w:r>
            <w:proofErr w:type="spellStart"/>
            <w:r w:rsidRPr="00F03F01">
              <w:rPr>
                <w:sz w:val="20"/>
                <w:szCs w:val="20"/>
              </w:rPr>
              <w:t>Donyai</w:t>
            </w:r>
            <w:proofErr w:type="spellEnd"/>
            <w:r w:rsidRPr="00F03F01">
              <w:rPr>
                <w:sz w:val="20"/>
                <w:szCs w:val="20"/>
              </w:rPr>
              <w:t xml:space="preserve"> 2010 </w:t>
            </w:r>
            <w:r w:rsidRPr="00194C58">
              <w:rPr>
                <w:noProof/>
                <w:sz w:val="20"/>
                <w:szCs w:val="20"/>
                <w:vertAlign w:val="superscript"/>
              </w:rPr>
              <w:t>53</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MUR</w:t>
            </w:r>
          </w:p>
        </w:tc>
        <w:tc>
          <w:tcPr>
            <w:tcW w:w="1843" w:type="dxa"/>
            <w:tcBorders>
              <w:top w:val="nil"/>
              <w:left w:val="nil"/>
              <w:bottom w:val="nil"/>
              <w:right w:val="nil"/>
            </w:tcBorders>
          </w:tcPr>
          <w:p w:rsidR="00102289" w:rsidRDefault="00102289" w:rsidP="00FB02EC">
            <w:pPr>
              <w:rPr>
                <w:sz w:val="20"/>
                <w:szCs w:val="20"/>
              </w:rPr>
            </w:pPr>
            <w:r w:rsidRPr="00F03F01">
              <w:rPr>
                <w:sz w:val="20"/>
                <w:szCs w:val="20"/>
              </w:rPr>
              <w:t>Investigate the depiction of the patient–pharmacist power relationship within MUR patient information leaflets</w:t>
            </w:r>
          </w:p>
          <w:p w:rsidR="00102289" w:rsidRPr="00F03F01" w:rsidRDefault="00102289" w:rsidP="00FB02EC">
            <w:pPr>
              <w:rPr>
                <w:sz w:val="20"/>
                <w:szCs w:val="20"/>
              </w:rPr>
            </w:pPr>
          </w:p>
        </w:tc>
        <w:tc>
          <w:tcPr>
            <w:tcW w:w="1549" w:type="dxa"/>
            <w:tcBorders>
              <w:top w:val="nil"/>
              <w:left w:val="nil"/>
              <w:bottom w:val="nil"/>
              <w:right w:val="nil"/>
            </w:tcBorders>
          </w:tcPr>
          <w:p w:rsidR="00102289" w:rsidRPr="00F03F01" w:rsidRDefault="00102289" w:rsidP="00FB02EC">
            <w:pPr>
              <w:rPr>
                <w:sz w:val="20"/>
                <w:szCs w:val="20"/>
              </w:rPr>
            </w:pPr>
            <w:r w:rsidRPr="00F03F01">
              <w:rPr>
                <w:sz w:val="20"/>
                <w:szCs w:val="20"/>
              </w:rPr>
              <w:t>Discourse analysis</w:t>
            </w:r>
          </w:p>
        </w:tc>
        <w:tc>
          <w:tcPr>
            <w:tcW w:w="1569"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11 leaflets</w:t>
            </w:r>
          </w:p>
        </w:tc>
        <w:tc>
          <w:tcPr>
            <w:tcW w:w="90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2006</w:t>
            </w:r>
          </w:p>
        </w:tc>
        <w:tc>
          <w:tcPr>
            <w:tcW w:w="589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 xml:space="preserve">A variety of terminology was used to describe MURs, with the intended cooperative nature of the service not fully described.  </w:t>
            </w:r>
          </w:p>
        </w:tc>
      </w:tr>
      <w:tr w:rsidR="00102289" w:rsidRPr="00F03F01" w:rsidTr="00FB02EC">
        <w:trPr>
          <w:trHeight w:val="1135"/>
        </w:trPr>
        <w:tc>
          <w:tcPr>
            <w:tcW w:w="1430"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 xml:space="preserve">Latif et al. 2011 </w:t>
            </w:r>
            <w:r w:rsidRPr="00AE58B7">
              <w:rPr>
                <w:noProof/>
                <w:sz w:val="20"/>
                <w:szCs w:val="20"/>
                <w:vertAlign w:val="superscript"/>
              </w:rPr>
              <w:t>17</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MUR</w:t>
            </w:r>
          </w:p>
        </w:tc>
        <w:tc>
          <w:tcPr>
            <w:tcW w:w="1843" w:type="dxa"/>
            <w:tcBorders>
              <w:top w:val="nil"/>
              <w:left w:val="nil"/>
              <w:bottom w:val="nil"/>
              <w:right w:val="nil"/>
            </w:tcBorders>
          </w:tcPr>
          <w:p w:rsidR="00102289" w:rsidRPr="00F03F01" w:rsidRDefault="00102289" w:rsidP="00FB02EC">
            <w:pPr>
              <w:rPr>
                <w:sz w:val="20"/>
                <w:szCs w:val="20"/>
              </w:rPr>
            </w:pPr>
            <w:r w:rsidRPr="00F03F01">
              <w:rPr>
                <w:sz w:val="20"/>
                <w:szCs w:val="20"/>
              </w:rPr>
              <w:t>Understand the contribution of MURs to counselling practice</w:t>
            </w:r>
          </w:p>
        </w:tc>
        <w:tc>
          <w:tcPr>
            <w:tcW w:w="1549" w:type="dxa"/>
            <w:tcBorders>
              <w:top w:val="nil"/>
              <w:left w:val="nil"/>
              <w:bottom w:val="nil"/>
              <w:right w:val="nil"/>
            </w:tcBorders>
          </w:tcPr>
          <w:p w:rsidR="00102289" w:rsidRPr="00F03F01" w:rsidRDefault="00102289" w:rsidP="00FB02EC">
            <w:pPr>
              <w:rPr>
                <w:sz w:val="20"/>
                <w:szCs w:val="20"/>
              </w:rPr>
            </w:pPr>
            <w:r w:rsidRPr="00F03F01">
              <w:rPr>
                <w:sz w:val="20"/>
                <w:szCs w:val="20"/>
              </w:rPr>
              <w:t>Observations, patient and pharmacy staff interviews</w:t>
            </w:r>
          </w:p>
        </w:tc>
        <w:tc>
          <w:tcPr>
            <w:tcW w:w="1569"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54 MURs,  34 patient interviews, 17 staff interviews, from 2 community pharmacies</w:t>
            </w:r>
          </w:p>
        </w:tc>
        <w:tc>
          <w:tcPr>
            <w:tcW w:w="90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2008-2009</w:t>
            </w:r>
          </w:p>
        </w:tc>
        <w:tc>
          <w:tcPr>
            <w:tcW w:w="5897" w:type="dxa"/>
            <w:gridSpan w:val="2"/>
            <w:tcBorders>
              <w:top w:val="nil"/>
              <w:left w:val="nil"/>
              <w:bottom w:val="nil"/>
              <w:right w:val="nil"/>
            </w:tcBorders>
          </w:tcPr>
          <w:p w:rsidR="00102289" w:rsidRPr="00F03F01" w:rsidRDefault="00102289" w:rsidP="00FB02EC">
            <w:pPr>
              <w:rPr>
                <w:sz w:val="20"/>
                <w:szCs w:val="20"/>
              </w:rPr>
            </w:pPr>
            <w:r w:rsidRPr="00F03F01">
              <w:rPr>
                <w:rFonts w:cs="Arial"/>
                <w:color w:val="000000"/>
                <w:sz w:val="20"/>
                <w:szCs w:val="20"/>
                <w:shd w:val="clear" w:color="auto" w:fill="FFFFFF"/>
              </w:rPr>
              <w:t>MURs were short, with pharmacists asking mainly closed questions.  Patients rarely asked questions. Knowledge and use of medicines was largely unaffected.  Practical factors hindered MUR implementation.</w:t>
            </w:r>
          </w:p>
        </w:tc>
      </w:tr>
      <w:tr w:rsidR="00102289" w:rsidRPr="00985BCB" w:rsidTr="00FB02EC">
        <w:trPr>
          <w:trHeight w:val="2265"/>
        </w:trPr>
        <w:tc>
          <w:tcPr>
            <w:tcW w:w="1430"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lastRenderedPageBreak/>
              <w:t xml:space="preserve">Latif et al. 2013 </w:t>
            </w:r>
            <w:r w:rsidRPr="00AE58B7">
              <w:rPr>
                <w:noProof/>
                <w:sz w:val="20"/>
                <w:szCs w:val="20"/>
                <w:vertAlign w:val="superscript"/>
              </w:rPr>
              <w:t>33</w:t>
            </w:r>
            <w:r w:rsidRPr="00F03F01">
              <w:rPr>
                <w:sz w:val="20"/>
                <w:szCs w:val="20"/>
              </w:rPr>
              <w:t xml:space="preserve"> </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MUR</w:t>
            </w:r>
          </w:p>
        </w:tc>
        <w:tc>
          <w:tcPr>
            <w:tcW w:w="1843" w:type="dxa"/>
            <w:tcBorders>
              <w:top w:val="nil"/>
              <w:left w:val="nil"/>
              <w:bottom w:val="nil"/>
              <w:right w:val="nil"/>
            </w:tcBorders>
          </w:tcPr>
          <w:p w:rsidR="00102289" w:rsidRPr="00F03F01" w:rsidRDefault="00102289" w:rsidP="00FB02EC">
            <w:pPr>
              <w:rPr>
                <w:sz w:val="20"/>
                <w:szCs w:val="20"/>
              </w:rPr>
            </w:pPr>
            <w:r w:rsidRPr="00E32DF0">
              <w:rPr>
                <w:sz w:val="20"/>
                <w:szCs w:val="20"/>
              </w:rPr>
              <w:t>Examine patient perspectives  of MURs and GP-pharmacist collaboration</w:t>
            </w:r>
          </w:p>
        </w:tc>
        <w:tc>
          <w:tcPr>
            <w:tcW w:w="1549" w:type="dxa"/>
            <w:tcBorders>
              <w:top w:val="nil"/>
              <w:left w:val="nil"/>
              <w:bottom w:val="nil"/>
              <w:right w:val="nil"/>
            </w:tcBorders>
          </w:tcPr>
          <w:p w:rsidR="00102289" w:rsidRPr="00F03F01" w:rsidRDefault="00102289" w:rsidP="00FB02EC">
            <w:pPr>
              <w:rPr>
                <w:sz w:val="20"/>
                <w:szCs w:val="20"/>
              </w:rPr>
            </w:pPr>
            <w:r w:rsidRPr="00F03F01">
              <w:rPr>
                <w:sz w:val="20"/>
                <w:szCs w:val="20"/>
              </w:rPr>
              <w:t>Observations and interviews</w:t>
            </w:r>
          </w:p>
        </w:tc>
        <w:tc>
          <w:tcPr>
            <w:tcW w:w="1569"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54 MURs, 34 patient interviews, 17 staff interviews, from 2 community pharmacies</w:t>
            </w:r>
          </w:p>
        </w:tc>
        <w:tc>
          <w:tcPr>
            <w:tcW w:w="90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2008-2009</w:t>
            </w:r>
          </w:p>
        </w:tc>
        <w:tc>
          <w:tcPr>
            <w:tcW w:w="589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 xml:space="preserve">Patients reported positive views about MURs.  Little evidence of pharmacists and GPs working collaboratively. MURs conducted in isolation from other aspects of patient care. Potential for MURs to cause tensions with GPs. </w:t>
            </w:r>
          </w:p>
        </w:tc>
      </w:tr>
      <w:tr w:rsidR="00102289" w:rsidRPr="00985BCB" w:rsidTr="00FB02EC">
        <w:trPr>
          <w:trHeight w:val="1976"/>
        </w:trPr>
        <w:tc>
          <w:tcPr>
            <w:tcW w:w="1430"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 xml:space="preserve">Latif et al. 2013 </w:t>
            </w:r>
            <w:r w:rsidRPr="00AE58B7">
              <w:rPr>
                <w:noProof/>
                <w:sz w:val="20"/>
                <w:szCs w:val="20"/>
                <w:vertAlign w:val="superscript"/>
              </w:rPr>
              <w:t>34</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MUR</w:t>
            </w:r>
          </w:p>
        </w:tc>
        <w:tc>
          <w:tcPr>
            <w:tcW w:w="1843" w:type="dxa"/>
            <w:tcBorders>
              <w:top w:val="nil"/>
              <w:left w:val="nil"/>
              <w:bottom w:val="nil"/>
              <w:right w:val="nil"/>
            </w:tcBorders>
          </w:tcPr>
          <w:p w:rsidR="00102289" w:rsidRPr="00F03F01" w:rsidRDefault="00102289" w:rsidP="00FB02EC">
            <w:pPr>
              <w:rPr>
                <w:sz w:val="20"/>
                <w:szCs w:val="20"/>
              </w:rPr>
            </w:pPr>
            <w:r>
              <w:rPr>
                <w:sz w:val="20"/>
                <w:szCs w:val="20"/>
              </w:rPr>
              <w:t>D</w:t>
            </w:r>
            <w:r w:rsidRPr="00F03F01">
              <w:rPr>
                <w:sz w:val="20"/>
                <w:szCs w:val="20"/>
              </w:rPr>
              <w:t xml:space="preserve">escribe patients' perspective of the MUR service and </w:t>
            </w:r>
            <w:r>
              <w:rPr>
                <w:sz w:val="20"/>
                <w:szCs w:val="20"/>
              </w:rPr>
              <w:t xml:space="preserve">what </w:t>
            </w:r>
            <w:r w:rsidRPr="00F03F01">
              <w:rPr>
                <w:sz w:val="20"/>
                <w:szCs w:val="20"/>
              </w:rPr>
              <w:t>value that they derive from it.</w:t>
            </w:r>
          </w:p>
        </w:tc>
        <w:tc>
          <w:tcPr>
            <w:tcW w:w="1549" w:type="dxa"/>
            <w:tcBorders>
              <w:top w:val="nil"/>
              <w:left w:val="nil"/>
              <w:bottom w:val="nil"/>
              <w:right w:val="nil"/>
            </w:tcBorders>
          </w:tcPr>
          <w:p w:rsidR="00102289" w:rsidRPr="00F03F01" w:rsidRDefault="00102289" w:rsidP="00FB02EC">
            <w:pPr>
              <w:rPr>
                <w:sz w:val="20"/>
                <w:szCs w:val="20"/>
              </w:rPr>
            </w:pPr>
            <w:r w:rsidRPr="00F03F01">
              <w:rPr>
                <w:sz w:val="20"/>
                <w:szCs w:val="20"/>
              </w:rPr>
              <w:t>Observations and interviews</w:t>
            </w:r>
          </w:p>
        </w:tc>
        <w:tc>
          <w:tcPr>
            <w:tcW w:w="1569"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34 patients from 2 community pharmacies</w:t>
            </w:r>
          </w:p>
        </w:tc>
        <w:tc>
          <w:tcPr>
            <w:tcW w:w="90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2008-2009</w:t>
            </w:r>
          </w:p>
        </w:tc>
        <w:tc>
          <w:tcPr>
            <w:tcW w:w="589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Patients were comfortable speaking with the pharmacist and the MUR provided reassurance about their medicines.  T</w:t>
            </w:r>
            <w:r>
              <w:rPr>
                <w:sz w:val="20"/>
                <w:szCs w:val="20"/>
              </w:rPr>
              <w:t>he</w:t>
            </w:r>
            <w:r w:rsidRPr="00F03F01">
              <w:rPr>
                <w:sz w:val="20"/>
                <w:szCs w:val="20"/>
              </w:rPr>
              <w:t xml:space="preserve"> purpose of MURs was unclear to patients and did not improve their medicine knowledge or use.</w:t>
            </w:r>
          </w:p>
        </w:tc>
      </w:tr>
      <w:tr w:rsidR="00102289" w:rsidRPr="00985BCB" w:rsidTr="00FB02EC">
        <w:trPr>
          <w:trHeight w:val="1704"/>
        </w:trPr>
        <w:tc>
          <w:tcPr>
            <w:tcW w:w="1430"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 xml:space="preserve">Latif et al. 2013 </w:t>
            </w:r>
            <w:r w:rsidRPr="00AE58B7">
              <w:rPr>
                <w:noProof/>
                <w:sz w:val="20"/>
                <w:szCs w:val="20"/>
                <w:vertAlign w:val="superscript"/>
              </w:rPr>
              <w:t>35</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MUR</w:t>
            </w:r>
          </w:p>
        </w:tc>
        <w:tc>
          <w:tcPr>
            <w:tcW w:w="1843" w:type="dxa"/>
            <w:tcBorders>
              <w:top w:val="nil"/>
              <w:left w:val="nil"/>
              <w:bottom w:val="nil"/>
              <w:right w:val="nil"/>
            </w:tcBorders>
          </w:tcPr>
          <w:p w:rsidR="00102289" w:rsidRPr="00F03F01" w:rsidRDefault="00102289" w:rsidP="00FB02EC">
            <w:pPr>
              <w:rPr>
                <w:sz w:val="20"/>
                <w:szCs w:val="20"/>
              </w:rPr>
            </w:pPr>
            <w:r w:rsidRPr="00F03F01">
              <w:rPr>
                <w:sz w:val="20"/>
                <w:szCs w:val="20"/>
              </w:rPr>
              <w:t>Explore the impact and consequences of MURs on pharmacy support-staff</w:t>
            </w:r>
          </w:p>
        </w:tc>
        <w:tc>
          <w:tcPr>
            <w:tcW w:w="1549" w:type="dxa"/>
            <w:tcBorders>
              <w:top w:val="nil"/>
              <w:left w:val="nil"/>
              <w:bottom w:val="nil"/>
              <w:right w:val="nil"/>
            </w:tcBorders>
          </w:tcPr>
          <w:p w:rsidR="00102289" w:rsidRPr="00F03F01" w:rsidRDefault="00102289" w:rsidP="00FB02EC">
            <w:pPr>
              <w:rPr>
                <w:sz w:val="20"/>
                <w:szCs w:val="20"/>
              </w:rPr>
            </w:pPr>
            <w:r w:rsidRPr="00F03F01">
              <w:rPr>
                <w:sz w:val="20"/>
                <w:szCs w:val="20"/>
              </w:rPr>
              <w:t>Observations and interviews</w:t>
            </w:r>
          </w:p>
        </w:tc>
        <w:tc>
          <w:tcPr>
            <w:tcW w:w="1569"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5 community pharmacists; 12 support staff</w:t>
            </w:r>
          </w:p>
        </w:tc>
        <w:tc>
          <w:tcPr>
            <w:tcW w:w="90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2008-2009</w:t>
            </w:r>
          </w:p>
        </w:tc>
        <w:tc>
          <w:tcPr>
            <w:tcW w:w="589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 xml:space="preserve">Some support-staff felt frustrated when left to explain to patients why the pharmacist was not available when carrying out an MUR.  </w:t>
            </w:r>
          </w:p>
        </w:tc>
      </w:tr>
      <w:tr w:rsidR="00102289" w:rsidRPr="00985BCB" w:rsidTr="00FB02EC">
        <w:trPr>
          <w:trHeight w:val="1692"/>
        </w:trPr>
        <w:tc>
          <w:tcPr>
            <w:tcW w:w="1430"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 xml:space="preserve">van den Berg M &amp; </w:t>
            </w:r>
            <w:proofErr w:type="spellStart"/>
            <w:r w:rsidRPr="00F03F01">
              <w:rPr>
                <w:sz w:val="20"/>
                <w:szCs w:val="20"/>
              </w:rPr>
              <w:t>Donyai</w:t>
            </w:r>
            <w:proofErr w:type="spellEnd"/>
            <w:r w:rsidRPr="00F03F01">
              <w:rPr>
                <w:sz w:val="20"/>
                <w:szCs w:val="20"/>
              </w:rPr>
              <w:t xml:space="preserve"> 2014</w:t>
            </w:r>
            <w:r>
              <w:rPr>
                <w:sz w:val="20"/>
                <w:szCs w:val="20"/>
              </w:rPr>
              <w:t xml:space="preserve"> </w:t>
            </w:r>
            <w:r w:rsidRPr="00194C58">
              <w:rPr>
                <w:noProof/>
                <w:sz w:val="20"/>
                <w:szCs w:val="20"/>
                <w:vertAlign w:val="superscript"/>
              </w:rPr>
              <w:t>51</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MUR</w:t>
            </w:r>
          </w:p>
        </w:tc>
        <w:tc>
          <w:tcPr>
            <w:tcW w:w="1843" w:type="dxa"/>
            <w:tcBorders>
              <w:top w:val="nil"/>
              <w:left w:val="nil"/>
              <w:bottom w:val="nil"/>
              <w:right w:val="nil"/>
            </w:tcBorders>
          </w:tcPr>
          <w:p w:rsidR="00102289" w:rsidRPr="00F03F01" w:rsidRDefault="00102289" w:rsidP="00FB02EC">
            <w:pPr>
              <w:rPr>
                <w:sz w:val="20"/>
                <w:szCs w:val="20"/>
              </w:rPr>
            </w:pPr>
            <w:r>
              <w:rPr>
                <w:sz w:val="20"/>
                <w:szCs w:val="20"/>
              </w:rPr>
              <w:t>D</w:t>
            </w:r>
            <w:r w:rsidRPr="00F03F01">
              <w:rPr>
                <w:sz w:val="20"/>
                <w:szCs w:val="20"/>
              </w:rPr>
              <w:t xml:space="preserve">evelop a patient satisfaction conceptual framework </w:t>
            </w:r>
          </w:p>
        </w:tc>
        <w:tc>
          <w:tcPr>
            <w:tcW w:w="1549" w:type="dxa"/>
            <w:tcBorders>
              <w:top w:val="nil"/>
              <w:left w:val="nil"/>
              <w:bottom w:val="nil"/>
              <w:right w:val="nil"/>
            </w:tcBorders>
          </w:tcPr>
          <w:p w:rsidR="00102289" w:rsidRPr="00F03F01" w:rsidRDefault="00102289" w:rsidP="00FB02EC">
            <w:pPr>
              <w:rPr>
                <w:sz w:val="20"/>
                <w:szCs w:val="20"/>
              </w:rPr>
            </w:pPr>
            <w:r w:rsidRPr="00F03F01">
              <w:rPr>
                <w:sz w:val="20"/>
                <w:szCs w:val="20"/>
              </w:rPr>
              <w:t>Observations and  interviews</w:t>
            </w:r>
          </w:p>
        </w:tc>
        <w:tc>
          <w:tcPr>
            <w:tcW w:w="1569"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7 MURs and 15 patient interviews</w:t>
            </w:r>
          </w:p>
        </w:tc>
        <w:tc>
          <w:tcPr>
            <w:tcW w:w="90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2008-2010</w:t>
            </w:r>
          </w:p>
        </w:tc>
        <w:tc>
          <w:tcPr>
            <w:tcW w:w="589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 xml:space="preserve">Five themes identified: relationships with healthcare providers; attitudes towards healthcare providers; patients' experience of health, healthcare and medicines; patients' views of the MUR service; the logistics of the MUR service. </w:t>
            </w:r>
          </w:p>
        </w:tc>
      </w:tr>
      <w:tr w:rsidR="00102289" w:rsidRPr="00985BCB" w:rsidTr="00FB02EC">
        <w:trPr>
          <w:trHeight w:val="2265"/>
        </w:trPr>
        <w:tc>
          <w:tcPr>
            <w:tcW w:w="1430"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lastRenderedPageBreak/>
              <w:t>Wells et al. 2014</w:t>
            </w:r>
            <w:r w:rsidRPr="00194C58">
              <w:rPr>
                <w:noProof/>
                <w:sz w:val="20"/>
                <w:szCs w:val="20"/>
                <w:vertAlign w:val="superscript"/>
              </w:rPr>
              <w:t>40</w:t>
            </w:r>
            <w:r w:rsidRPr="00F03F01">
              <w:rPr>
                <w:sz w:val="20"/>
                <w:szCs w:val="20"/>
              </w:rPr>
              <w:t xml:space="preserve"> </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NMS</w:t>
            </w:r>
          </w:p>
        </w:tc>
        <w:tc>
          <w:tcPr>
            <w:tcW w:w="1843" w:type="dxa"/>
            <w:tcBorders>
              <w:top w:val="nil"/>
              <w:left w:val="nil"/>
              <w:bottom w:val="nil"/>
              <w:right w:val="nil"/>
            </w:tcBorders>
          </w:tcPr>
          <w:p w:rsidR="00102289" w:rsidRPr="00F03F01" w:rsidRDefault="00102289" w:rsidP="00FB02EC">
            <w:pPr>
              <w:rPr>
                <w:sz w:val="20"/>
                <w:szCs w:val="20"/>
              </w:rPr>
            </w:pPr>
            <w:r w:rsidRPr="00F03F01">
              <w:rPr>
                <w:sz w:val="20"/>
                <w:szCs w:val="20"/>
              </w:rPr>
              <w:t>Explore pharmacists' views and experiences of the NMS prior to implementation to identify facilitators and barriers to its success</w:t>
            </w:r>
          </w:p>
        </w:tc>
        <w:tc>
          <w:tcPr>
            <w:tcW w:w="1549" w:type="dxa"/>
            <w:tcBorders>
              <w:top w:val="nil"/>
              <w:left w:val="nil"/>
              <w:bottom w:val="nil"/>
              <w:right w:val="nil"/>
            </w:tcBorders>
          </w:tcPr>
          <w:p w:rsidR="00102289" w:rsidRPr="00F03F01" w:rsidRDefault="00102289" w:rsidP="00FB02EC">
            <w:pPr>
              <w:rPr>
                <w:sz w:val="20"/>
                <w:szCs w:val="20"/>
              </w:rPr>
            </w:pPr>
            <w:r w:rsidRPr="00F03F01">
              <w:rPr>
                <w:sz w:val="20"/>
                <w:szCs w:val="20"/>
              </w:rPr>
              <w:t>Focus groups and interviews</w:t>
            </w:r>
          </w:p>
        </w:tc>
        <w:tc>
          <w:tcPr>
            <w:tcW w:w="1569"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15 community pharmacists; 5 superintendent pharmacists</w:t>
            </w:r>
          </w:p>
        </w:tc>
        <w:tc>
          <w:tcPr>
            <w:tcW w:w="90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2011</w:t>
            </w:r>
          </w:p>
        </w:tc>
        <w:tc>
          <w:tcPr>
            <w:tcW w:w="589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Views of the NMS were positive.  Potential barriers included lack of interest/awareness by GPs and the payment structure, speed of implementation, and absence of some support materials.</w:t>
            </w:r>
          </w:p>
        </w:tc>
      </w:tr>
      <w:tr w:rsidR="00102289" w:rsidRPr="00985BCB" w:rsidTr="00FB02EC">
        <w:trPr>
          <w:trHeight w:val="1726"/>
        </w:trPr>
        <w:tc>
          <w:tcPr>
            <w:tcW w:w="1430"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 xml:space="preserve">Lucas &amp; Blenkinsopp 2015 </w:t>
            </w:r>
            <w:r w:rsidRPr="00194C58">
              <w:rPr>
                <w:noProof/>
                <w:sz w:val="20"/>
                <w:szCs w:val="20"/>
                <w:vertAlign w:val="superscript"/>
              </w:rPr>
              <w:t>38</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NMS</w:t>
            </w:r>
          </w:p>
        </w:tc>
        <w:tc>
          <w:tcPr>
            <w:tcW w:w="1843" w:type="dxa"/>
            <w:tcBorders>
              <w:top w:val="nil"/>
              <w:left w:val="nil"/>
              <w:bottom w:val="nil"/>
              <w:right w:val="nil"/>
            </w:tcBorders>
          </w:tcPr>
          <w:p w:rsidR="00102289" w:rsidRPr="00F03F01" w:rsidRDefault="00102289" w:rsidP="00FB02EC">
            <w:pPr>
              <w:rPr>
                <w:sz w:val="20"/>
                <w:szCs w:val="20"/>
              </w:rPr>
            </w:pPr>
            <w:r>
              <w:rPr>
                <w:sz w:val="20"/>
                <w:szCs w:val="20"/>
              </w:rPr>
              <w:t>E</w:t>
            </w:r>
            <w:r w:rsidRPr="00F03F01">
              <w:rPr>
                <w:sz w:val="20"/>
                <w:szCs w:val="20"/>
              </w:rPr>
              <w:t>xplore community pharmacists' experiences and perceptions of NMS</w:t>
            </w:r>
          </w:p>
        </w:tc>
        <w:tc>
          <w:tcPr>
            <w:tcW w:w="1549" w:type="dxa"/>
            <w:tcBorders>
              <w:top w:val="nil"/>
              <w:left w:val="nil"/>
              <w:bottom w:val="nil"/>
              <w:right w:val="nil"/>
            </w:tcBorders>
          </w:tcPr>
          <w:p w:rsidR="00102289" w:rsidRPr="00F03F01" w:rsidRDefault="00102289" w:rsidP="00FB02EC">
            <w:pPr>
              <w:rPr>
                <w:sz w:val="20"/>
                <w:szCs w:val="20"/>
              </w:rPr>
            </w:pPr>
            <w:r w:rsidRPr="00F03F01">
              <w:rPr>
                <w:sz w:val="20"/>
                <w:szCs w:val="20"/>
              </w:rPr>
              <w:t>Interviews</w:t>
            </w:r>
          </w:p>
        </w:tc>
        <w:tc>
          <w:tcPr>
            <w:tcW w:w="1569"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14 community pharmacists</w:t>
            </w:r>
          </w:p>
        </w:tc>
        <w:tc>
          <w:tcPr>
            <w:tcW w:w="90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2012</w:t>
            </w:r>
          </w:p>
        </w:tc>
        <w:tc>
          <w:tcPr>
            <w:tcW w:w="589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Pharmacists perceived the NMS as beneficial, providing additional advice and reassurance to patients.  The opportunity to utilise their professional expertise was welcomed, but different levels of collaborative working with GPs were reported.</w:t>
            </w:r>
          </w:p>
        </w:tc>
      </w:tr>
      <w:tr w:rsidR="00102289" w:rsidRPr="00985BCB" w:rsidTr="00FB02EC">
        <w:trPr>
          <w:trHeight w:val="1265"/>
        </w:trPr>
        <w:tc>
          <w:tcPr>
            <w:tcW w:w="1430"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 xml:space="preserve">Latif et al. 2016 </w:t>
            </w:r>
            <w:r w:rsidRPr="00194C58">
              <w:rPr>
                <w:noProof/>
                <w:sz w:val="20"/>
                <w:szCs w:val="20"/>
                <w:vertAlign w:val="superscript"/>
              </w:rPr>
              <w:t>37</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NMS</w:t>
            </w:r>
          </w:p>
        </w:tc>
        <w:tc>
          <w:tcPr>
            <w:tcW w:w="1843" w:type="dxa"/>
            <w:tcBorders>
              <w:top w:val="nil"/>
              <w:left w:val="nil"/>
              <w:bottom w:val="nil"/>
              <w:right w:val="nil"/>
            </w:tcBorders>
          </w:tcPr>
          <w:p w:rsidR="00102289" w:rsidRPr="00F03F01" w:rsidRDefault="00102289" w:rsidP="00FB02EC">
            <w:pPr>
              <w:rPr>
                <w:sz w:val="20"/>
                <w:szCs w:val="20"/>
              </w:rPr>
            </w:pPr>
            <w:r w:rsidRPr="00F03F01">
              <w:rPr>
                <w:sz w:val="20"/>
                <w:szCs w:val="20"/>
              </w:rPr>
              <w:t xml:space="preserve">Explore NMS implementation </w:t>
            </w:r>
          </w:p>
        </w:tc>
        <w:tc>
          <w:tcPr>
            <w:tcW w:w="1549" w:type="dxa"/>
            <w:tcBorders>
              <w:top w:val="nil"/>
              <w:left w:val="nil"/>
              <w:bottom w:val="nil"/>
              <w:right w:val="nil"/>
            </w:tcBorders>
          </w:tcPr>
          <w:p w:rsidR="00102289" w:rsidRPr="00F03F01" w:rsidRDefault="00102289" w:rsidP="00FB02EC">
            <w:pPr>
              <w:rPr>
                <w:sz w:val="20"/>
                <w:szCs w:val="20"/>
              </w:rPr>
            </w:pPr>
            <w:r w:rsidRPr="00F03F01">
              <w:rPr>
                <w:sz w:val="20"/>
                <w:szCs w:val="20"/>
              </w:rPr>
              <w:t>Observations and interviews</w:t>
            </w:r>
          </w:p>
        </w:tc>
        <w:tc>
          <w:tcPr>
            <w:tcW w:w="1569"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47 community pharmacists and 11 GPs</w:t>
            </w:r>
          </w:p>
        </w:tc>
        <w:tc>
          <w:tcPr>
            <w:tcW w:w="90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2012-2013</w:t>
            </w:r>
          </w:p>
        </w:tc>
        <w:tc>
          <w:tcPr>
            <w:tcW w:w="589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Pharmacists were pragmatic, simplifying, and adapting the NMS to facilitate delivery. Pharmacists held positive views about the value of the NMS, but reported not identifying problems with medicines.  Poor pharmacist-GP relationships impeded implementation.</w:t>
            </w:r>
          </w:p>
        </w:tc>
      </w:tr>
      <w:tr w:rsidR="00102289" w:rsidRPr="00985BCB" w:rsidTr="00FB02EC">
        <w:trPr>
          <w:trHeight w:val="1985"/>
        </w:trPr>
        <w:tc>
          <w:tcPr>
            <w:tcW w:w="1430"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 xml:space="preserve">Waring et al. 2016 </w:t>
            </w:r>
            <w:r w:rsidRPr="00194C58">
              <w:rPr>
                <w:noProof/>
                <w:sz w:val="20"/>
                <w:szCs w:val="20"/>
                <w:vertAlign w:val="superscript"/>
              </w:rPr>
              <w:t>59</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NMS</w:t>
            </w:r>
          </w:p>
        </w:tc>
        <w:tc>
          <w:tcPr>
            <w:tcW w:w="1843" w:type="dxa"/>
            <w:tcBorders>
              <w:top w:val="nil"/>
              <w:left w:val="nil"/>
              <w:bottom w:val="nil"/>
              <w:right w:val="nil"/>
            </w:tcBorders>
          </w:tcPr>
          <w:p w:rsidR="00102289" w:rsidRPr="00F03F01" w:rsidRDefault="00102289" w:rsidP="00FB02EC">
            <w:pPr>
              <w:rPr>
                <w:sz w:val="20"/>
                <w:szCs w:val="20"/>
              </w:rPr>
            </w:pPr>
            <w:r w:rsidRPr="00F03F01">
              <w:rPr>
                <w:sz w:val="20"/>
                <w:szCs w:val="20"/>
              </w:rPr>
              <w:t>Explore changing dynamics of pharmacist-patient power after introduction of the NMS</w:t>
            </w:r>
          </w:p>
        </w:tc>
        <w:tc>
          <w:tcPr>
            <w:tcW w:w="1549" w:type="dxa"/>
            <w:tcBorders>
              <w:top w:val="nil"/>
              <w:left w:val="nil"/>
              <w:bottom w:val="nil"/>
              <w:right w:val="nil"/>
            </w:tcBorders>
          </w:tcPr>
          <w:p w:rsidR="00102289" w:rsidRPr="00F03F01" w:rsidRDefault="00102289" w:rsidP="00FB02EC">
            <w:pPr>
              <w:rPr>
                <w:sz w:val="20"/>
                <w:szCs w:val="20"/>
              </w:rPr>
            </w:pPr>
            <w:r w:rsidRPr="00F03F01">
              <w:rPr>
                <w:sz w:val="20"/>
                <w:szCs w:val="20"/>
              </w:rPr>
              <w:t>Observations and interviews</w:t>
            </w:r>
          </w:p>
        </w:tc>
        <w:tc>
          <w:tcPr>
            <w:tcW w:w="1569"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20 patients and 27 community pharmacists</w:t>
            </w:r>
          </w:p>
        </w:tc>
        <w:tc>
          <w:tcPr>
            <w:tcW w:w="90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2012-2013</w:t>
            </w:r>
          </w:p>
        </w:tc>
        <w:tc>
          <w:tcPr>
            <w:tcW w:w="589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 xml:space="preserve">NMS extends the ‘pharmacy gaze’ to further aspects of patients' health and lifestyle, beyond dispensing and advice giving, and results in greater complexity in pharmacist-patient relational power.  </w:t>
            </w:r>
          </w:p>
        </w:tc>
      </w:tr>
      <w:tr w:rsidR="00102289" w:rsidRPr="00985BCB" w:rsidTr="00FB02EC">
        <w:trPr>
          <w:trHeight w:val="2692"/>
        </w:trPr>
        <w:tc>
          <w:tcPr>
            <w:tcW w:w="1430" w:type="dxa"/>
            <w:gridSpan w:val="2"/>
            <w:tcBorders>
              <w:top w:val="nil"/>
              <w:left w:val="nil"/>
              <w:bottom w:val="nil"/>
              <w:right w:val="nil"/>
            </w:tcBorders>
          </w:tcPr>
          <w:p w:rsidR="00102289" w:rsidRPr="00F03F01" w:rsidRDefault="00102289" w:rsidP="006044DE">
            <w:pPr>
              <w:rPr>
                <w:sz w:val="20"/>
                <w:szCs w:val="20"/>
              </w:rPr>
            </w:pPr>
            <w:r w:rsidRPr="00F03F01">
              <w:rPr>
                <w:sz w:val="20"/>
                <w:szCs w:val="20"/>
              </w:rPr>
              <w:lastRenderedPageBreak/>
              <w:t xml:space="preserve">Latif et al. 2018  </w:t>
            </w:r>
            <w:r w:rsidRPr="00194C58">
              <w:rPr>
                <w:noProof/>
                <w:sz w:val="20"/>
                <w:szCs w:val="20"/>
                <w:vertAlign w:val="superscript"/>
              </w:rPr>
              <w:t>47</w:t>
            </w:r>
          </w:p>
        </w:tc>
        <w:tc>
          <w:tcPr>
            <w:tcW w:w="1122" w:type="dxa"/>
            <w:tcBorders>
              <w:top w:val="nil"/>
              <w:left w:val="nil"/>
              <w:bottom w:val="nil"/>
              <w:right w:val="nil"/>
            </w:tcBorders>
          </w:tcPr>
          <w:p w:rsidR="00102289" w:rsidRPr="00F03F01" w:rsidRDefault="00102289" w:rsidP="00FB02EC">
            <w:pPr>
              <w:rPr>
                <w:sz w:val="20"/>
                <w:szCs w:val="20"/>
              </w:rPr>
            </w:pPr>
            <w:r w:rsidRPr="00F03F01">
              <w:rPr>
                <w:sz w:val="20"/>
                <w:szCs w:val="20"/>
              </w:rPr>
              <w:t>MUR</w:t>
            </w:r>
          </w:p>
        </w:tc>
        <w:tc>
          <w:tcPr>
            <w:tcW w:w="1843" w:type="dxa"/>
            <w:tcBorders>
              <w:top w:val="nil"/>
              <w:left w:val="nil"/>
              <w:bottom w:val="nil"/>
              <w:right w:val="nil"/>
            </w:tcBorders>
          </w:tcPr>
          <w:p w:rsidR="00102289" w:rsidRPr="00F03F01" w:rsidRDefault="00102289" w:rsidP="00FB02EC">
            <w:pPr>
              <w:rPr>
                <w:sz w:val="20"/>
                <w:szCs w:val="20"/>
              </w:rPr>
            </w:pPr>
            <w:r w:rsidRPr="00F03F01">
              <w:rPr>
                <w:sz w:val="20"/>
                <w:szCs w:val="20"/>
              </w:rPr>
              <w:t>Explore the medicine n</w:t>
            </w:r>
            <w:r>
              <w:rPr>
                <w:sz w:val="20"/>
                <w:szCs w:val="20"/>
              </w:rPr>
              <w:t>eeds of patients from marginalis</w:t>
            </w:r>
            <w:r w:rsidRPr="00F03F01">
              <w:rPr>
                <w:sz w:val="20"/>
                <w:szCs w:val="20"/>
              </w:rPr>
              <w:t xml:space="preserve">ed communities and how services could better </w:t>
            </w:r>
            <w:r>
              <w:rPr>
                <w:sz w:val="20"/>
                <w:szCs w:val="20"/>
              </w:rPr>
              <w:t>meet</w:t>
            </w:r>
            <w:r w:rsidRPr="00F03F01">
              <w:rPr>
                <w:sz w:val="20"/>
                <w:szCs w:val="20"/>
              </w:rPr>
              <w:t xml:space="preserve"> their requirements</w:t>
            </w:r>
          </w:p>
        </w:tc>
        <w:tc>
          <w:tcPr>
            <w:tcW w:w="1549" w:type="dxa"/>
            <w:tcBorders>
              <w:top w:val="nil"/>
              <w:left w:val="nil"/>
              <w:bottom w:val="nil"/>
              <w:right w:val="nil"/>
            </w:tcBorders>
          </w:tcPr>
          <w:p w:rsidR="00102289" w:rsidRPr="00F03F01" w:rsidRDefault="00102289" w:rsidP="00FB02EC">
            <w:pPr>
              <w:rPr>
                <w:sz w:val="20"/>
                <w:szCs w:val="20"/>
              </w:rPr>
            </w:pPr>
            <w:r w:rsidRPr="00F03F01">
              <w:rPr>
                <w:sz w:val="20"/>
                <w:szCs w:val="20"/>
              </w:rPr>
              <w:t>Workshops and interviews</w:t>
            </w:r>
          </w:p>
        </w:tc>
        <w:tc>
          <w:tcPr>
            <w:tcW w:w="1569"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Workshops: 23 patients; 24 pharmacy professionals</w:t>
            </w:r>
            <w:r w:rsidRPr="00F03F01">
              <w:rPr>
                <w:sz w:val="20"/>
                <w:szCs w:val="20"/>
              </w:rPr>
              <w:br/>
              <w:t>Interviews: 10 patients; 10 pharmacy staff</w:t>
            </w:r>
          </w:p>
        </w:tc>
        <w:tc>
          <w:tcPr>
            <w:tcW w:w="90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2016</w:t>
            </w:r>
          </w:p>
        </w:tc>
        <w:tc>
          <w:tcPr>
            <w:tcW w:w="5897" w:type="dxa"/>
            <w:gridSpan w:val="2"/>
            <w:tcBorders>
              <w:top w:val="nil"/>
              <w:left w:val="nil"/>
              <w:bottom w:val="nil"/>
              <w:right w:val="nil"/>
            </w:tcBorders>
          </w:tcPr>
          <w:p w:rsidR="00102289" w:rsidRPr="00F03F01" w:rsidRDefault="00102289" w:rsidP="00FB02EC">
            <w:pPr>
              <w:rPr>
                <w:sz w:val="20"/>
                <w:szCs w:val="20"/>
              </w:rPr>
            </w:pPr>
            <w:r w:rsidRPr="00F03F01">
              <w:rPr>
                <w:sz w:val="20"/>
                <w:szCs w:val="20"/>
              </w:rPr>
              <w:t>Patients reported poor management of their conditions and problems with adherence. Experiences of pharmacy services were variable, with many experiencing discrimination or disadvantage.</w:t>
            </w:r>
          </w:p>
        </w:tc>
      </w:tr>
      <w:tr w:rsidR="00102289" w:rsidRPr="00985BCB" w:rsidTr="00FB02EC">
        <w:trPr>
          <w:trHeight w:val="2265"/>
        </w:trPr>
        <w:tc>
          <w:tcPr>
            <w:tcW w:w="1430" w:type="dxa"/>
            <w:gridSpan w:val="2"/>
            <w:tcBorders>
              <w:top w:val="nil"/>
              <w:left w:val="nil"/>
              <w:bottom w:val="single" w:sz="4" w:space="0" w:color="auto"/>
              <w:right w:val="nil"/>
            </w:tcBorders>
          </w:tcPr>
          <w:p w:rsidR="00102289" w:rsidRPr="00F03F01" w:rsidRDefault="00102289" w:rsidP="006044DE">
            <w:pPr>
              <w:rPr>
                <w:sz w:val="20"/>
                <w:szCs w:val="20"/>
              </w:rPr>
            </w:pPr>
            <w:r w:rsidRPr="00F03F01">
              <w:rPr>
                <w:sz w:val="20"/>
                <w:szCs w:val="20"/>
              </w:rPr>
              <w:t xml:space="preserve">Latif et al. 2018 </w:t>
            </w:r>
            <w:r w:rsidRPr="00194C58">
              <w:rPr>
                <w:noProof/>
                <w:sz w:val="20"/>
                <w:szCs w:val="20"/>
                <w:vertAlign w:val="superscript"/>
              </w:rPr>
              <w:t>52</w:t>
            </w:r>
          </w:p>
        </w:tc>
        <w:tc>
          <w:tcPr>
            <w:tcW w:w="1122" w:type="dxa"/>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NMS</w:t>
            </w:r>
          </w:p>
        </w:tc>
        <w:tc>
          <w:tcPr>
            <w:tcW w:w="1843" w:type="dxa"/>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Examine implementation of the NMS</w:t>
            </w:r>
          </w:p>
        </w:tc>
        <w:tc>
          <w:tcPr>
            <w:tcW w:w="1549" w:type="dxa"/>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Observation and interviews</w:t>
            </w:r>
          </w:p>
        </w:tc>
        <w:tc>
          <w:tcPr>
            <w:tcW w:w="1569" w:type="dxa"/>
            <w:gridSpan w:val="2"/>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Observation: 20 patients</w:t>
            </w:r>
            <w:r w:rsidRPr="00F03F01">
              <w:rPr>
                <w:sz w:val="20"/>
                <w:szCs w:val="20"/>
              </w:rPr>
              <w:br/>
              <w:t>Interviews: 35 patients; 47  community pharmacists; 11 GPs</w:t>
            </w:r>
          </w:p>
        </w:tc>
        <w:tc>
          <w:tcPr>
            <w:tcW w:w="907" w:type="dxa"/>
            <w:gridSpan w:val="2"/>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2012-2013</w:t>
            </w:r>
          </w:p>
        </w:tc>
        <w:tc>
          <w:tcPr>
            <w:tcW w:w="5897" w:type="dxa"/>
            <w:gridSpan w:val="2"/>
            <w:tcBorders>
              <w:top w:val="nil"/>
              <w:left w:val="nil"/>
              <w:bottom w:val="single" w:sz="4" w:space="0" w:color="auto"/>
              <w:right w:val="nil"/>
            </w:tcBorders>
          </w:tcPr>
          <w:p w:rsidR="00102289" w:rsidRPr="00F03F01" w:rsidRDefault="00102289" w:rsidP="00FB02EC">
            <w:pPr>
              <w:rPr>
                <w:sz w:val="20"/>
                <w:szCs w:val="20"/>
              </w:rPr>
            </w:pPr>
            <w:r w:rsidRPr="00F03F01">
              <w:rPr>
                <w:sz w:val="20"/>
                <w:szCs w:val="20"/>
              </w:rPr>
              <w:t xml:space="preserve">Patients were generally unaware of </w:t>
            </w:r>
            <w:r>
              <w:rPr>
                <w:sz w:val="20"/>
                <w:szCs w:val="20"/>
              </w:rPr>
              <w:t xml:space="preserve">the </w:t>
            </w:r>
            <w:r w:rsidRPr="00F03F01">
              <w:rPr>
                <w:sz w:val="20"/>
                <w:szCs w:val="20"/>
              </w:rPr>
              <w:t>NMS.  Patients tended to report having no problems with their medicines or to adopt their own strategies for dealing with them.  Consultations were generally passive and focussed on how patients were 'getting on' with their medication.</w:t>
            </w:r>
          </w:p>
        </w:tc>
      </w:tr>
    </w:tbl>
    <w:p w:rsidR="00102289" w:rsidRDefault="00102289" w:rsidP="00FB02EC"/>
    <w:p w:rsidR="00102289" w:rsidRDefault="00102289">
      <w:pPr>
        <w:rPr>
          <w:b/>
        </w:rPr>
        <w:sectPr w:rsidR="00102289" w:rsidSect="00FB02EC">
          <w:pgSz w:w="16838" w:h="11906" w:orient="landscape"/>
          <w:pgMar w:top="1440" w:right="1440" w:bottom="1440" w:left="1440" w:header="708" w:footer="708" w:gutter="0"/>
          <w:cols w:space="708"/>
          <w:docGrid w:linePitch="360"/>
        </w:sectPr>
      </w:pPr>
    </w:p>
    <w:p w:rsidR="00102289" w:rsidRPr="00771410" w:rsidRDefault="00102289" w:rsidP="00FB02EC">
      <w:pPr>
        <w:rPr>
          <w:rFonts w:ascii="Calibri" w:hAnsi="Calibri"/>
        </w:rPr>
      </w:pPr>
      <w:r w:rsidRPr="00771410">
        <w:rPr>
          <w:rFonts w:ascii="Calibri" w:hAnsi="Calibri"/>
          <w:noProof/>
          <w:color w:val="000000"/>
          <w:kern w:val="28"/>
          <w:lang w:eastAsia="en-GB"/>
        </w:rPr>
        <w:lastRenderedPageBreak/>
        <mc:AlternateContent>
          <mc:Choice Requires="wps">
            <w:drawing>
              <wp:anchor distT="36576" distB="36576" distL="36576" distR="36576" simplePos="0" relativeHeight="251674624" behindDoc="0" locked="0" layoutInCell="1" allowOverlap="1" wp14:anchorId="16FEE6E6" wp14:editId="5F803D6F">
                <wp:simplePos x="0" y="0"/>
                <wp:positionH relativeFrom="column">
                  <wp:posOffset>2743200</wp:posOffset>
                </wp:positionH>
                <wp:positionV relativeFrom="paragraph">
                  <wp:posOffset>3564255</wp:posOffset>
                </wp:positionV>
                <wp:extent cx="12700" cy="742950"/>
                <wp:effectExtent l="47625" t="11430" r="53975" b="1714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7429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401000" id="_x0000_t32" coordsize="21600,21600" o:spt="32" o:oned="t" path="m,l21600,21600e" filled="f">
                <v:path arrowok="t" fillok="f" o:connecttype="none"/>
                <o:lock v:ext="edit" shapetype="t"/>
              </v:shapetype>
              <v:shape id="Straight Arrow Connector 16" o:spid="_x0000_s1026" type="#_x0000_t32" style="position:absolute;margin-left:3in;margin-top:280.65pt;width:1pt;height:58.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QxpctAIAAKoFAAAOAAAAZHJzL2Uyb0RvYy54bWysVE2P2yAQvVfqf0DcvbYTOx/WJqus7fSy bVfKVj0Tg2NUDBaQOFHV/96BJO5me6mq5YAYYB4zb95w/3BsBTowbbiSCxzfRRgxWSnK5W6Bv72s gxlGxhJJiVCSLfCJGfyw/Pjhvu8yNlKNEpRpBCDSZH23wI21XRaGpmpYS8yd6piEw1rpllgw9S6k mvSA3opwFEWTsFeadlpVzBjYLc6HeOnx65pV9mtdG2aRWGCIzfpZ+3nr5nB5T7KdJl3Dq0sY5D+i aAmX8OgAVRBL0F7zv6BaXmllVG3vKtWGqq55xXwOkE0cvclm05CO+VyAHNMNNJn3g62+HJ414hRq N8FIkhZqtLGa8F1j0Upr1aNcSQk8Ko3gCvDVdyYDt1w+a5dxdZSb7klVPwySKm+I3DEf98upA6zY eYQ3Ls4wHby67T8rCnfI3ipP3rHWrYMEWtDR1+g01IgdLapgMx5NIyhkBSfTZDRPfQlDkl19O23s J6Za5BYLbC65DEnE/iVyeDLWRUayq4N7WKo1F8JrQkjUL/A8HaXewSjBqTt014zebXOh0YE4Vfnh 04ST19e02kvqwRpGaHlZW8IFrJH1/FjNgTHBsHutZRQjwaCR3OocnpDuRealfI4ZrKOFpd8HVrzM fs6jeTkrZ0mQjCZlkERFEazWeRJM1vE0LcZFnhfxL5dKnGQNp5RJl81V8nHyb5K6NN9ZrIPoB9rC W3TPLwR7G+lqnUbTZDwLptN0HCTjMgoeZ+s8WOXxZDItH/PH8k2kpc/evE+wA5UuKrW3TG8a2iPK nVzG6XwUYzDgi3BCg4ERETsoSWU1RlrZ79w2XuBOmg7jRg25H5faDehnIq41dNZQhUtuf6gCSV7r 6/vGtcq56baKnp61k4VrIfgQvNPl83I/zmvb3/rzxS5/AwAA//8DAFBLAwQUAAYACAAAACEAzxpJ NOIAAAALAQAADwAAAGRycy9kb3ducmV2LnhtbEyPzU7DMBCE70i8g7VI3KiTOkmrkE2FKoFQbw0/ 4ujGSxIR25HttoGnrznBcXZGs99Um1mP7ETOD9YgpIsEGJnWqsF0CK8vj3drYD5Io+RoDSF8k4dN fX1VyVLZs9nTqQkdiyXGlxKhD2EqOfdtT1r6hZ3IRO/TOi1DlK7jyslzLNcjXyZJwbUcTPzQy4m2 PbVfzVEjzD+7nLr3IQvP6dPK7fLth3hrEG9v5od7YIHm8BeGX/yIDnVkOtijUZ6NCJlYxi0BIS9S ASwmMpHFywGhWK0F8Lri/zfUFwAAAP//AwBQSwECLQAUAAYACAAAACEAtoM4kv4AAADhAQAAEwAA AAAAAAAAAAAAAAAAAAAAW0NvbnRlbnRfVHlwZXNdLnhtbFBLAQItABQABgAIAAAAIQA4/SH/1gAA AJQBAAALAAAAAAAAAAAAAAAAAC8BAABfcmVscy8ucmVsc1BLAQItABQABgAIAAAAIQCiQxpctAIA AKoFAAAOAAAAAAAAAAAAAAAAAC4CAABkcnMvZTJvRG9jLnhtbFBLAQItABQABgAIAAAAIQDPGkk0 4gAAAAsBAAAPAAAAAAAAAAAAAAAAAA4FAABkcnMvZG93bnJldi54bWxQSwUGAAAAAAQABADzAAAA HQYAAAAA ">
                <v:stroke endarrow="block"/>
                <v:shadow color="#ccc"/>
              </v:shape>
            </w:pict>
          </mc:Fallback>
        </mc:AlternateContent>
      </w:r>
      <w:r w:rsidRPr="00771410">
        <w:rPr>
          <w:rFonts w:ascii="Calibri" w:hAnsi="Calibri"/>
          <w:noProof/>
          <w:color w:val="000000"/>
          <w:kern w:val="28"/>
          <w:lang w:eastAsia="en-GB"/>
        </w:rPr>
        <mc:AlternateContent>
          <mc:Choice Requires="wps">
            <w:drawing>
              <wp:anchor distT="36576" distB="36576" distL="36576" distR="36576" simplePos="0" relativeHeight="251676672" behindDoc="0" locked="0" layoutInCell="1" allowOverlap="1" wp14:anchorId="57742C2F" wp14:editId="14C5A5B8">
                <wp:simplePos x="0" y="0"/>
                <wp:positionH relativeFrom="column">
                  <wp:posOffset>3613150</wp:posOffset>
                </wp:positionH>
                <wp:positionV relativeFrom="paragraph">
                  <wp:posOffset>4650105</wp:posOffset>
                </wp:positionV>
                <wp:extent cx="647700" cy="635"/>
                <wp:effectExtent l="12700" t="59055" r="15875" b="5461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69DCDD" id="Straight Arrow Connector 14" o:spid="_x0000_s1026" type="#_x0000_t32" style="position:absolute;margin-left:284.5pt;margin-top:366.15pt;width:51pt;height:.0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QrnbsAIAAKgFAAAOAAAAZHJzL2Uyb0RvYy54bWysVMuO2yAU3VfqPyD2HtuJ87LGGWUcp5tp O1Km6poYHKNisIDEiar+ey/E8TTTTVUNC8TrHs4998D9w6kR6Mi04UpmOL6LMGKyVJTLfYa/vWyC OUbGEkmJUJJl+MwMflh+/HDftSkbqVoJyjQCEGnSrs1wbW2bhqEpa9YQc6daJmGzUrohFqZ6H1JN OkBvRDiKomnYKU1brUpmDKyuL5t46fGripX2a1UZZpHIMHCzvte+37k+XN6TdK9JW/Oyp0H+g0VD uIRLB6g1sQQdNP8LquGlVkZV9q5UTaiqipfM5wDZxNGbbLY1aZnPBcQx7SCTeT/Y8svxWSNOoXYJ RpI0UKOt1YTva4tWWqsO5UpK0FFpBEdAr641KYTl8lm7jMuT3LZPqvxhkFR5TeSeed4v5xawYhcR 3oS4iWnh1l33WVE4Qw5WefFOlW4cJMiCTr5G56FG7GRRCYvTZDaLoJIlbE3HEw9P0mtkq439xFSD 3CDDps9kSCH295Djk7GOF0mvAe5aqTZcCO8IIVGX4cVkNPEBRglO3aY7ZvR+lwuNjsR5yreexc0x rQ6SerCaEVr0Y0u4gDGyXh2rOeglGHa3NYxiJBg8Ize60BPS3ci8kS+cYXayMPTroIk32c9FtCjm xTwJktG0CJJovQ5WmzwJppt4NlmP13m+jn+5VOIkrTmlTLpsroaPk38zVP/0LlYdLD/IFt6ie32B 7C3T1WYSzZLxPJjNJuMgGRdR8Djf5MEqj6fTWfGYPxZvmBY+e/M+ZAcpHSt1sExva9ohyp1dxpPF KMYwgQ9iBC6DhhEReyhJaTVGWtnv3Nbe3s6YDuPGDblvfe0G9IsQ1xq62VCFPrdXqcCS1/r6V+Me yuXJ7RQ9P2tnC/eA4DvwQf3X5f6bP+f+1OsHu/wNAAD//wMAUEsDBBQABgAIAAAAIQDojNWR4AAA AAsBAAAPAAAAZHJzL2Rvd25yZXYueG1sTI/NTsMwEITvSLyDtUjcqJOmSSDEqVAlEOqt4Ucc3XhJ IuJ1FLtt4OlZuMBxZ0cz35Tr2Q7iiJPvHSmIFxEIpMaZnloFz0/3V9cgfNBk9OAIFXyih3V1flbq wrgT7fBYh1ZwCPlCK+hCGAspfdOh1X7hRiT+vbvJ6sDn1Eoz6ROH20EuoyiTVvfEDZ0ecdNh81Ef rIL5a5ti+9qvwmP8kE/bdPOWvNRKXV7Md7cgAs7hzww/+IwOFTPt3YGMF4OCNLvhLUFBniwTEOzI 8piV/a+yAlmV8v+G6hsAAP//AwBQSwECLQAUAAYACAAAACEAtoM4kv4AAADhAQAAEwAAAAAAAAAA AAAAAAAAAAAAW0NvbnRlbnRfVHlwZXNdLnhtbFBLAQItABQABgAIAAAAIQA4/SH/1gAAAJQBAAAL AAAAAAAAAAAAAAAAAC8BAABfcmVscy8ucmVsc1BLAQItABQABgAIAAAAIQBYQrnbsAIAAKgFAAAO AAAAAAAAAAAAAAAAAC4CAABkcnMvZTJvRG9jLnhtbFBLAQItABQABgAIAAAAIQDojNWR4AAAAAsB AAAPAAAAAAAAAAAAAAAAAAoFAABkcnMvZG93bnJldi54bWxQSwUGAAAAAAQABADzAAAAFwYAAAAA ">
                <v:stroke endarrow="block"/>
                <v:shadow color="#ccc"/>
              </v:shape>
            </w:pict>
          </mc:Fallback>
        </mc:AlternateContent>
      </w:r>
      <w:r w:rsidRPr="00771410">
        <w:rPr>
          <w:rFonts w:ascii="Calibri" w:hAnsi="Calibri"/>
          <w:noProof/>
          <w:color w:val="000000"/>
          <w:kern w:val="28"/>
          <w:lang w:eastAsia="en-GB"/>
        </w:rPr>
        <mc:AlternateContent>
          <mc:Choice Requires="wps">
            <w:drawing>
              <wp:anchor distT="36576" distB="36576" distL="36576" distR="36576" simplePos="0" relativeHeight="251675648" behindDoc="0" locked="0" layoutInCell="1" allowOverlap="1" wp14:anchorId="1ECFEBC8" wp14:editId="7A16AD81">
                <wp:simplePos x="0" y="0"/>
                <wp:positionH relativeFrom="column">
                  <wp:posOffset>3578225</wp:posOffset>
                </wp:positionH>
                <wp:positionV relativeFrom="paragraph">
                  <wp:posOffset>3268980</wp:posOffset>
                </wp:positionV>
                <wp:extent cx="650875" cy="0"/>
                <wp:effectExtent l="6350" t="59055" r="19050" b="5524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BF4752" id="Straight Arrow Connector 13" o:spid="_x0000_s1026" type="#_x0000_t32" style="position:absolute;margin-left:281.75pt;margin-top:257.4pt;width:51.25pt;height:0;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3On7sAIAAKYFAAAOAAAAZHJzL2Uyb0RvYy54bWysVE2PmzAQvVfqf7B8Z4EE8oGWrLKE9LJt V8pWPTvYBKvGRrYTElX97x07Cd1sL1W1HJDH9ryZefPG9w/HVqAD04YrmeP4LsKIyUpRLnc5/vay DmYYGUskJUJJluMTM/hh8fHDfd9lbKQaJSjTCECkyfoux421XRaGpmpYS8yd6piEw1rpllgw9S6k mvSA3opwFEWTsFeadlpVzBjYXZ0P8cLj1zWr7Ne6NswikWPIzfq/9v+t+4eLe5LtNOkaXl3SIP+R RUu4hKAD1IpYgvaa/wXV8koro2p7V6k2VHXNK+ZrgGri6E01m4Z0zNcC5JhuoMm8H2z15fCsEafQ uzFGkrTQo43VhO8ai5Zaqx4VSkrgUWkEV4CvvjMZuBXyWbuKq6PcdE+q+mGQVEVD5I75vF9OHWDF ziO8cXGG6SDqtv+sKNwhe6s8ecdatw4SaEFH36PT0CN2tKiCzUkazaYpRtX1KCTZ1a/Txn5iqkVu kWNzqWMoIPZRyOHJWJcVya4OLqhUay6E14OQqM/xPB2l3sEowak7dNeM3m0LodGBOEX5z5cIJ6+v abWX1IM1jNDysraEC1gj67mxmgNbgmEXrWUUI8FgiNzqnJ6QLiLzMj7nDNbRwtLvAyNeYj/n0byc lbMkSEaTMkii1SpYroskmKzjaboar4piFf9ypcRJ1nBKmXTVXOUeJ/8mp8vgnYU6CH6gLbxF9/xC sreZLtdpNE3Gs2A6TcdBMi6j4HG2LoJlEU8m0/KxeCzfZFr66s37JDtQ6bJSe8v0pqE9otzJZZzO RzEGA56H0fTcWUTEDlpSWY2RVvY7t40Xt5Olw7hRQ+G/S+8G9DMR1x46a+jCpbY/VIEkr/31M+PG 5DxwW0VPz9rJwo0PPAbe6fJwudfmte1v/XleF78BAAD//wMAUEsDBBQABgAIAAAAIQChNhaA3gAA AAsBAAAPAAAAZHJzL2Rvd25yZXYueG1sTI9PS8QwEMXvgt8hjODNTetuo9SmiywosjfrHzxmm7Et NpOSZHern94RBL3NzHu8+b1qPbtRHDDEwZOGfJGBQGq9HajT8Px0d3ENIiZD1oyeUMMnRljXpyeV Ka0/0iMemtQJDqFYGg19SlMpZWx7dCYu/ITE2rsPziReQydtMEcOd6O8zDIlnRmIP/Rmwk2P7Uez dxrmr22B3euwSg/5/VXYFpu35Uuj9fnZfHsDIuGc/szwg8/oUDPTzu/JRjFqKNSyYCsP+Yo7sEMp xe12vxdZV/J/h/obAAD//wMAUEsBAi0AFAAGAAgAAAAhALaDOJL+AAAA4QEAABMAAAAAAAAAAAAA AAAAAAAAAFtDb250ZW50X1R5cGVzXS54bWxQSwECLQAUAAYACAAAACEAOP0h/9YAAACUAQAACwAA AAAAAAAAAAAAAAAvAQAAX3JlbHMvLnJlbHNQSwECLQAUAAYACAAAACEARtzp+7ACAACmBQAADgAA AAAAAAAAAAAAAAAuAgAAZHJzL2Uyb0RvYy54bWxQSwECLQAUAAYACAAAACEAoTYWgN4AAAALAQAA DwAAAAAAAAAAAAAAAAAKBQAAZHJzL2Rvd25yZXYueG1sUEsFBgAAAAAEAAQA8wAAABUGAAAAAA== ">
                <v:stroke endarrow="block"/>
                <v:shadow color="#ccc"/>
              </v:shape>
            </w:pict>
          </mc:Fallback>
        </mc:AlternateContent>
      </w:r>
      <w:r w:rsidRPr="00771410">
        <w:rPr>
          <w:rFonts w:ascii="Calibri" w:hAnsi="Calibri"/>
          <w:noProof/>
          <w:color w:val="000000"/>
          <w:kern w:val="28"/>
          <w:lang w:eastAsia="en-GB"/>
        </w:rPr>
        <mc:AlternateContent>
          <mc:Choice Requires="wps">
            <w:drawing>
              <wp:anchor distT="0" distB="0" distL="114300" distR="114300" simplePos="0" relativeHeight="251669504" behindDoc="0" locked="0" layoutInCell="1" allowOverlap="1" wp14:anchorId="29950FEE" wp14:editId="5FB87B29">
                <wp:simplePos x="0" y="0"/>
                <wp:positionH relativeFrom="column">
                  <wp:posOffset>4229100</wp:posOffset>
                </wp:positionH>
                <wp:positionV relativeFrom="paragraph">
                  <wp:posOffset>2983230</wp:posOffset>
                </wp:positionV>
                <wp:extent cx="1714500" cy="571500"/>
                <wp:effectExtent l="9525" t="11430" r="9525"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1A0AFA" w:rsidRDefault="001A0AFA" w:rsidP="00FB02EC">
                            <w:pPr>
                              <w:jc w:val="center"/>
                              <w:rPr>
                                <w:rFonts w:ascii="Calibri" w:hAnsi="Calibri"/>
                                <w:lang w:val="en"/>
                              </w:rPr>
                            </w:pPr>
                            <w:r>
                              <w:rPr>
                                <w:rFonts w:ascii="Calibri" w:hAnsi="Calibri"/>
                              </w:rPr>
                              <w:t>Records excluded</w:t>
                            </w:r>
                            <w:r>
                              <w:rPr>
                                <w:rFonts w:ascii="Calibri" w:hAnsi="Calibri"/>
                              </w:rPr>
                              <w:br/>
                              <w:t>(n =95)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50FEE" id="Rectangle 12" o:spid="_x0000_s1026" style="position:absolute;margin-left:333pt;margin-top:234.9pt;width:13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">
                <v:textbox inset=",7.2pt,,7.2pt">
                  <w:txbxContent>
                    <w:p w:rsidR="001A0AFA" w:rsidRDefault="001A0AFA" w:rsidP="00FB02EC">
                      <w:pPr>
                        <w:jc w:val="center"/>
                        <w:rPr>
                          <w:rFonts w:ascii="Calibri" w:hAnsi="Calibri"/>
                          <w:lang w:val="en"/>
                        </w:rPr>
                      </w:pPr>
                      <w:r>
                        <w:rPr>
                          <w:rFonts w:ascii="Calibri" w:hAnsi="Calibri"/>
                        </w:rPr>
                        <w:t>Records excluded</w:t>
                      </w:r>
                      <w:r>
                        <w:rPr>
                          <w:rFonts w:ascii="Calibri" w:hAnsi="Calibri"/>
                        </w:rPr>
                        <w:br/>
                        <w:t>(n =95)</w:t>
                      </w:r>
                    </w:p>
                  </w:txbxContent>
                </v:textbox>
              </v:rect>
            </w:pict>
          </mc:Fallback>
        </mc:AlternateContent>
      </w:r>
      <w:r w:rsidRPr="00771410">
        <w:rPr>
          <w:rFonts w:ascii="Calibri" w:hAnsi="Calibri"/>
          <w:noProof/>
          <w:color w:val="000000"/>
          <w:kern w:val="28"/>
          <w:lang w:eastAsia="en-GB"/>
        </w:rPr>
        <mc:AlternateContent>
          <mc:Choice Requires="wps">
            <w:drawing>
              <wp:anchor distT="0" distB="0" distL="114300" distR="114300" simplePos="0" relativeHeight="251668480" behindDoc="0" locked="0" layoutInCell="1" allowOverlap="1" wp14:anchorId="5690E0BF" wp14:editId="79565639">
                <wp:simplePos x="0" y="0"/>
                <wp:positionH relativeFrom="column">
                  <wp:posOffset>1908175</wp:posOffset>
                </wp:positionH>
                <wp:positionV relativeFrom="paragraph">
                  <wp:posOffset>2983230</wp:posOffset>
                </wp:positionV>
                <wp:extent cx="1670050" cy="571500"/>
                <wp:effectExtent l="12700" t="11430" r="1270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rsidR="001A0AFA" w:rsidRDefault="001A0AFA" w:rsidP="00FB02EC">
                            <w:pPr>
                              <w:jc w:val="center"/>
                              <w:rPr>
                                <w:rFonts w:ascii="Calibri" w:hAnsi="Calibri"/>
                                <w:lang w:val="en"/>
                              </w:rPr>
                            </w:pPr>
                            <w:r>
                              <w:rPr>
                                <w:rFonts w:ascii="Calibri" w:hAnsi="Calibri"/>
                              </w:rPr>
                              <w:t>Records screened</w:t>
                            </w:r>
                            <w:r>
                              <w:rPr>
                                <w:rFonts w:ascii="Calibri" w:hAnsi="Calibri"/>
                              </w:rPr>
                              <w:br/>
                              <w:t>(n =141)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0E0BF" id="Rectangle 11" o:spid="_x0000_s1027" style="position:absolute;margin-left:150.25pt;margin-top:234.9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">
                <v:textbox inset=",7.2pt,,7.2pt">
                  <w:txbxContent>
                    <w:p w:rsidR="001A0AFA" w:rsidRDefault="001A0AFA" w:rsidP="00FB02EC">
                      <w:pPr>
                        <w:jc w:val="center"/>
                        <w:rPr>
                          <w:rFonts w:ascii="Calibri" w:hAnsi="Calibri"/>
                          <w:lang w:val="en"/>
                        </w:rPr>
                      </w:pPr>
                      <w:r>
                        <w:rPr>
                          <w:rFonts w:ascii="Calibri" w:hAnsi="Calibri"/>
                        </w:rPr>
                        <w:t>Records screened</w:t>
                      </w:r>
                      <w:r>
                        <w:rPr>
                          <w:rFonts w:ascii="Calibri" w:hAnsi="Calibri"/>
                        </w:rPr>
                        <w:br/>
                        <w:t>(n =141)</w:t>
                      </w:r>
                    </w:p>
                  </w:txbxContent>
                </v:textbox>
              </v:rect>
            </w:pict>
          </mc:Fallback>
        </mc:AlternateContent>
      </w:r>
      <w:r w:rsidRPr="00771410">
        <w:rPr>
          <w:rFonts w:ascii="Calibri" w:hAnsi="Calibri"/>
          <w:noProof/>
          <w:color w:val="000000"/>
          <w:kern w:val="28"/>
          <w:lang w:eastAsia="en-GB"/>
        </w:rPr>
        <mc:AlternateContent>
          <mc:Choice Requires="wps">
            <w:drawing>
              <wp:anchor distT="36576" distB="36576" distL="36576" distR="36576" simplePos="0" relativeHeight="251673600" behindDoc="0" locked="0" layoutInCell="1" allowOverlap="1" wp14:anchorId="0F0ADD93" wp14:editId="71D809C8">
                <wp:simplePos x="0" y="0"/>
                <wp:positionH relativeFrom="column">
                  <wp:posOffset>2743200</wp:posOffset>
                </wp:positionH>
                <wp:positionV relativeFrom="paragraph">
                  <wp:posOffset>2526030</wp:posOffset>
                </wp:positionV>
                <wp:extent cx="0" cy="457200"/>
                <wp:effectExtent l="57150" t="11430" r="57150" b="1714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9FC5F1" id="Straight Arrow Connector 10" o:spid="_x0000_s1026" type="#_x0000_t32" style="position:absolute;margin-left:3in;margin-top:198.9pt;width:0;height:36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go/ErAIAAKYFAAAOAAAAZHJzL2Uyb0RvYy54bWysVE2P2yAQvVfqf0DcvbYT58vaZJV1nF62 7UrZqmdicIyKwQISJ6r63ztgx9tsL1W1PiAGM483bx7cP5xrgU5MG67kEsd3EUZMFopyeVjiby/b YI6RsURSIpRkS3xhBj+sPn64b5uUjVSlBGUaAYg0adsscWVtk4ahKSpWE3OnGibhZ6l0TSyE+hBS TVpAr0U4iqJp2CpNG60KZgysbrqfeOXxy5IV9mtZGmaRWGLgZv2o/bh3Y7i6J+lBk6biRU+D/AeL mnAJhw5QG2IJOmr+F1TNC62MKu1doepQlSUvmK8BqomjN9XsKtIwXwuIY5pBJvN+sMWX07NGnELv QB5JaujRzmrCD5VFa61VizIlJeioNIItoFfbmBTSMvmsXcXFWe6aJ1X8MEiqrCLywDzvl0sDWLHL CG9SXGAaOHXfflYU9pCjVV68c6lrBwmyoLPv0WXoETtbVHSLBawmkxm034OT9JrXaGM/MVUjN1li 09cxFBD7U8jpyVjHiqTXBHeoVFsuhPeDkKhd4sVkNPEJRglO3U+3zejDPhManYhzlP96FjfbtDpK 6sEqRmjezy3hAubIem2s5qCWYNidVjOKkWBwidysoyekO5F5G3ecITpbmPp1UMRb7OciWuTzfJ4E yWiaB0m02QTrbZYE0208m2zGmyzbxL9cKXGSVpxSJl01V7vHyb/Zqb94nVEHww+yhbfoXl8ge8t0 vZ1Es2Q8D2azyThIxnkUPM63WbDO4ul0lj9mj/kbprmv3rwP2UFKx0odLdO7iraIcmeX8WQxijEE 8DyMZl1nEREHaElhNUZa2e/cVt7czpYO48YNmf/63g3onRDXHrpo6EJf26tUYMlrf/2dcdeku3B7 RS/P2tnCXR94DHxS/3C51+bP2O96fV5XvwEAAP//AwBQSwMEFAAGAAgAAAAhAHewSbjgAAAACwEA AA8AAABkcnMvZG93bnJldi54bWxMj81OwzAQhO9IvIO1SNyo06a/IU6FKoFQbw0t4ujGSxIRryPb bQNPzyIOcNvdGc1+k68H24kz+tA6UjAeJSCQKmdaqhXsXx7vliBC1GR05wgVfGKAdXF9levMuAvt 8FzGWnAIhUwraGLsMylD1aDVYeR6JNbenbc68upraby+cLjt5CRJ5tLqlvhDo3vcNFh9lCerYPja zrB+bafxefy08NvZ5i09lErd3gwP9yAiDvHPDD/4jA4FMx3diUwQnYJpOuEuUUG6WnAHdvxejjzM V0uQRS7/dyi+AQAA//8DAFBLAQItABQABgAIAAAAIQC2gziS/gAAAOEBAAATAAAAAAAAAAAAAAAA AAAAAABbQ29udGVudF9UeXBlc10ueG1sUEsBAi0AFAAGAAgAAAAhADj9If/WAAAAlAEAAAsAAAAA AAAAAAAAAAAALwEAAF9yZWxzLy5yZWxzUEsBAi0AFAAGAAgAAAAhAFCCj8SsAgAApgUAAA4AAAAA AAAAAAAAAAAALgIAAGRycy9lMm9Eb2MueG1sUEsBAi0AFAAGAAgAAAAhAHewSbjgAAAACwEAAA8A AAAAAAAAAAAAAAAABgUAAGRycy9kb3ducmV2LnhtbFBLBQYAAAAABAAEAPMAAAATBgAAAAA= ">
                <v:stroke endarrow="block"/>
                <v:shadow color="#ccc"/>
              </v:shape>
            </w:pict>
          </mc:Fallback>
        </mc:AlternateContent>
      </w:r>
      <w:r w:rsidRPr="00771410">
        <w:rPr>
          <w:rFonts w:ascii="Calibri" w:hAnsi="Calibri"/>
          <w:noProof/>
          <w:color w:val="000000"/>
          <w:kern w:val="28"/>
          <w:lang w:eastAsia="en-GB"/>
        </w:rPr>
        <mc:AlternateContent>
          <mc:Choice Requires="wps">
            <w:drawing>
              <wp:anchor distT="36576" distB="36576" distL="36576" distR="36576" simplePos="0" relativeHeight="251664384" behindDoc="0" locked="0" layoutInCell="1" allowOverlap="1" wp14:anchorId="2EE3103E" wp14:editId="086DAD01">
                <wp:simplePos x="0" y="0"/>
                <wp:positionH relativeFrom="column">
                  <wp:posOffset>3886200</wp:posOffset>
                </wp:positionH>
                <wp:positionV relativeFrom="paragraph">
                  <wp:posOffset>1497330</wp:posOffset>
                </wp:positionV>
                <wp:extent cx="0" cy="457200"/>
                <wp:effectExtent l="57150" t="11430" r="57150" b="1714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4D5840" id="Straight Arrow Connector 9" o:spid="_x0000_s1026" type="#_x0000_t32" style="position:absolute;margin-left:306pt;margin-top:117.9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J6dK/qwIAAKQFAAAOAAAAZHJzL2Uyb0RvYy54bWysVE2P2yAQvVfqf0DcvbYT58vaZJV1nF62 7UrZqmdicIyKwQISJ6r63ztgx9tsL1W1PiAGM483bx7cP5xrgU5MG67kEsd3EUZMFopyeVjiby/b YI6RsURSIpRkS3xhBj+sPn64b5uUjVSlBGUaAYg0adsscWVtk4ahKSpWE3OnGibhZ6l0TSyE+hBS TVpAr0U4iqJp2CpNG60KZgysbrqfeOXxy5IV9mtZGmaRWGLgZv2o/bh3Y7i6J+lBk6biRU+D/AeL mnAJhw5QG2IJOmr+F1TNC62MKu1doepQlSUvmK8BqomjN9XsKtIwXwuIY5pBJvN+sMWX07NGnC7x AiNJamjRzmrCD5VFa61VizIlJcioNFo4tdrGpJCUyWft6i3Octc8qeKHQVJlFZEH5lm/XBqAil1G eJPiAtPAmfv2s6Kwhxyt8tKdS107SBAFnX2HLkOH2NmiolssYDWZzKD5Hpyk17xGG/uJqRq5yRKb voyBf+xPIacnYx0rkl4T3KFSbbkQ3g1CohbkmIwmPsEowan76bYZfdhnQqMTcX7yX8/iZptWR0k9 WMUIzfu5JVzAHFmvjdUc1BIMu9NqRjESDK6Qm3X0hHQnMm/ijjNEZwtTvw6KeIP9XESLfJ7PkyAZ TfMgiTabYL3NkmC6jWeTzXiTZZv4lyslTtKKU8qkq+Zq9jj5NzP1166z6WD3QbbwFt3rC2Rvma63 k2iWjOfBbDYZB8k4j4LH+TYL1lk8nc7yx+wxf8M099Wb9yE7SOlYqaNlelfRFlHu7DKeLEYxhgAe h9Gs6ywi4gAtKazGSCv7ndvKm9vZ0mHcuCHzX9+7Ab0T4tpDFw1d6Gt7lQosee2vvzPumnQXbq/o 5Vk7W7jrA0+BT+qfLffW/Bn7Xa+P6+o3AAAA//8DAFBLAwQUAAYACAAAACEA4HkUAuAAAAALAQAA DwAAAGRycy9kb3ducmV2LnhtbEyPy07DMBBF90j8gzVI7KjzIG0VMqlQJRDqjvAQSzcekoh4HNlu G/h6jFjAcmau7pxTbWYziiM5P1hGSBcJCOLW6oE7hOenu6s1CB8UazVaJoRP8rCpz88qVWp74kc6 NqETsYR9qRD6EKZSSt/2ZJRf2Ik43t6tMyrE0XVSO3WK5WaUWZIspVEDxw+9mmjbU/vRHAzC/LUr qHsdrsNDer9yu2L7lr80iJcX8+0NiEBz+AvDD35Ehzoy7e2BtRcjwjLNoktAyPIiOsTE72aPkCer Nci6kv8d6m8AAAD//wMAUEsBAi0AFAAGAAgAAAAhALaDOJL+AAAA4QEAABMAAAAAAAAAAAAAAAAA AAAAAFtDb250ZW50X1R5cGVzXS54bWxQSwECLQAUAAYACAAAACEAOP0h/9YAAACUAQAACwAAAAAA AAAAAAAAAAAvAQAAX3JlbHMvLnJlbHNQSwECLQAUAAYACAAAACEAyenSv6sCAACkBQAADgAAAAAA AAAAAAAAAAAuAgAAZHJzL2Uyb0RvYy54bWxQSwECLQAUAAYACAAAACEA4HkUAuAAAAALAQAADwAA AAAAAAAAAAAAAAAFBQAAZHJzL2Rvd25yZXYueG1sUEsFBgAAAAAEAAQA8wAAABIGAAAAAA== ">
                <v:stroke endarrow="block"/>
                <v:shadow color="#ccc"/>
              </v:shape>
            </w:pict>
          </mc:Fallback>
        </mc:AlternateContent>
      </w:r>
      <w:r w:rsidRPr="00771410">
        <w:rPr>
          <w:rFonts w:ascii="Calibri" w:hAnsi="Calibri"/>
          <w:noProof/>
          <w:color w:val="000000"/>
          <w:kern w:val="28"/>
          <w:lang w:eastAsia="en-GB"/>
        </w:rPr>
        <mc:AlternateContent>
          <mc:Choice Requires="wps">
            <w:drawing>
              <wp:anchor distT="36576" distB="36576" distL="36576" distR="36576" simplePos="0" relativeHeight="251663360" behindDoc="0" locked="0" layoutInCell="1" allowOverlap="1" wp14:anchorId="57F2EB12" wp14:editId="6BDE7600">
                <wp:simplePos x="0" y="0"/>
                <wp:positionH relativeFrom="column">
                  <wp:posOffset>1600200</wp:posOffset>
                </wp:positionH>
                <wp:positionV relativeFrom="paragraph">
                  <wp:posOffset>1497330</wp:posOffset>
                </wp:positionV>
                <wp:extent cx="0" cy="457200"/>
                <wp:effectExtent l="57150" t="11430" r="57150" b="1714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63E024" id="Straight Arrow Connector 8" o:spid="_x0000_s1026" type="#_x0000_t32" style="position:absolute;margin-left:126pt;margin-top:117.9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yOodqwIAAKQFAAAOAAAAZHJzL2Uyb0RvYy54bWysVE2PmzAQvVfqf7B8Z4GEfKElqywhvWzb lbJVzw42YBVsZDshUdX/3rEhbLO9VNVysDzG8/zmzbPvH85NjU5MaS5FgsO7ACMmckm5KBP87WXn LTHShghKailYgi9M44f1xw/3XRuziaxkTZlCACJ03LUJroxpY9/XecUaou9kywT8LKRqiIFQlT5V pAP0pvYnQTD3O6loq2TOtIbVbf8Trx1+UbDcfC0KzQyqEwzcjBuVGw929Nf3JC4VaSueDzTIf7Bo CBdw6Ai1JYago+J/QTU8V1LLwtzlsvFlUfCcuRqgmjB4U82+Ii1ztYA4uh1l0u8Hm385PSvEaYKh UYI00KK9UYSXlUEbpWSHUikEyCgVWlq1ulbHkJSKZ2Xrzc9i3z7J/IdGQqYVESVzrF8uLUCFNsO/ SbGBbuHMQ/dZUthDjkY66c6FaiwkiILOrkOXsUPsbFDeL+awGs0W0HwHTuJrXqu0+cRkg+wkwXoo Y+QfulPI6Ukby4rE1wR7qJA7XtfODbVAXYJXs8nMJWhZc2p/2m1alYe0VuhErJ/cN7C42abkUVAH VjFCs2FuCK9hjozTxigOatUM29MaRjGqGVwhO+vp1cKeyJyJe84QnQ1M3Too4gz2cxWssmW2jLxo Ms+8KNhuvc0ujbz5LlzMttNtmm7DX7aUMIorTikTtpqr2cPo38w0XLvepqPdR9n8W3SnL5C9ZbrZ zYJFNF16i8Vs6kXTLPAel7vU26ThfL7IHtPH7A3TzFWv34fsKKVlJY+GqX1FO0S5tct0tpqEGAJ4 HCaLvrOI1CW0JDcKIyXNd24qZ25rS4tx44bUfUPvRvReiGsPbTR2YajtVSqw5LW/7s7Ya9JfuIOk l2dlbWGvDzwFLml4tuxb82fsdr0+ruvfAAAA//8DAFBLAwQUAAYACAAAACEAe1M8buAAAAALAQAA DwAAAGRycy9kb3ducmV2LnhtbEyPQU/DMAyF70j8h8hI3Fi6lrKpNJ3QJBDajQLTjllj2orGqZJs K/x6jHaAm+339Py9cjXZQRzRh96RgvksAYHUONNTq+Dt9fFmCSJETUYPjlDBFwZYVZcXpS6MO9EL HuvYCg6hUGgFXYxjIWVoOrQ6zNyIxNqH81ZHXn0rjdcnDreDTJPkTlrdE3/o9IjrDpvP+mAVTN+b HNttfxuf508Lv8nXu+y9Vur6anq4BxFxin9m+MVndKiYae8OZIIYFKR5yl0iD1nOHdhxvuwVZMli CbIq5f8O1Q8AAAD//wMAUEsBAi0AFAAGAAgAAAAhALaDOJL+AAAA4QEAABMAAAAAAAAAAAAAAAAA AAAAAFtDb250ZW50X1R5cGVzXS54bWxQSwECLQAUAAYACAAAACEAOP0h/9YAAACUAQAACwAAAAAA AAAAAAAAAAAvAQAAX3JlbHMvLnJlbHNQSwECLQAUAAYACAAAACEAoMjqHasCAACkBQAADgAAAAAA AAAAAAAAAAAuAgAAZHJzL2Uyb0RvYy54bWxQSwECLQAUAAYACAAAACEAe1M8buAAAAALAQAADwAA AAAAAAAAAAAAAAAFBQAAZHJzL2Rvd25yZXYueG1sUEsFBgAAAAAEAAQA8wAAABIGAAAAAA== ">
                <v:stroke endarrow="block"/>
                <v:shadow color="#ccc"/>
              </v:shape>
            </w:pict>
          </mc:Fallback>
        </mc:AlternateContent>
      </w:r>
      <w:r w:rsidRPr="00771410">
        <w:rPr>
          <w:rFonts w:ascii="Calibri" w:hAnsi="Calibri"/>
          <w:noProof/>
          <w:color w:val="000000"/>
          <w:kern w:val="28"/>
          <w:lang w:eastAsia="en-GB"/>
        </w:rPr>
        <mc:AlternateContent>
          <mc:Choice Requires="wps">
            <w:drawing>
              <wp:anchor distT="0" distB="0" distL="114300" distR="114300" simplePos="0" relativeHeight="251667456" behindDoc="0" locked="0" layoutInCell="1" allowOverlap="1" wp14:anchorId="1D30F57F" wp14:editId="3866FD3E">
                <wp:simplePos x="0" y="0"/>
                <wp:positionH relativeFrom="column">
                  <wp:posOffset>1356995</wp:posOffset>
                </wp:positionH>
                <wp:positionV relativeFrom="paragraph">
                  <wp:posOffset>1954530</wp:posOffset>
                </wp:positionV>
                <wp:extent cx="2771775" cy="571500"/>
                <wp:effectExtent l="13970" t="11430" r="5080"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rsidR="001A0AFA" w:rsidRDefault="001A0AFA" w:rsidP="00FB02EC">
                            <w:pPr>
                              <w:jc w:val="center"/>
                              <w:rPr>
                                <w:rFonts w:ascii="Calibri" w:hAnsi="Calibri"/>
                                <w:lang w:val="en"/>
                              </w:rPr>
                            </w:pPr>
                            <w:r>
                              <w:rPr>
                                <w:rFonts w:ascii="Calibri" w:hAnsi="Calibri"/>
                              </w:rPr>
                              <w:t>Records after duplicates removed</w:t>
                            </w:r>
                            <w:r>
                              <w:rPr>
                                <w:rFonts w:ascii="Calibri" w:hAnsi="Calibri"/>
                              </w:rPr>
                              <w:br/>
                              <w:t>(n = 141)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0F57F" id="Rectangle 7" o:spid="_x0000_s1028" style="position:absolute;margin-left:106.85pt;margin-top:153.9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">
                <v:textbox inset=",7.2pt,,7.2pt">
                  <w:txbxContent>
                    <w:p w:rsidR="001A0AFA" w:rsidRDefault="001A0AFA" w:rsidP="00FB02EC">
                      <w:pPr>
                        <w:jc w:val="center"/>
                        <w:rPr>
                          <w:rFonts w:ascii="Calibri" w:hAnsi="Calibri"/>
                          <w:lang w:val="en"/>
                        </w:rPr>
                      </w:pPr>
                      <w:r>
                        <w:rPr>
                          <w:rFonts w:ascii="Calibri" w:hAnsi="Calibri"/>
                        </w:rPr>
                        <w:t>Records after duplicates removed</w:t>
                      </w:r>
                      <w:r>
                        <w:rPr>
                          <w:rFonts w:ascii="Calibri" w:hAnsi="Calibri"/>
                        </w:rPr>
                        <w:br/>
                        <w:t>(n = 141)</w:t>
                      </w:r>
                    </w:p>
                  </w:txbxContent>
                </v:textbox>
              </v:rect>
            </w:pict>
          </mc:Fallback>
        </mc:AlternateContent>
      </w:r>
      <w:r w:rsidRPr="00771410">
        <w:rPr>
          <w:rFonts w:ascii="Calibri" w:hAnsi="Calibri"/>
        </w:rPr>
        <w:t>Figure 1:</w:t>
      </w:r>
      <w:r>
        <w:rPr>
          <w:rFonts w:ascii="Calibri" w:hAnsi="Calibri"/>
        </w:rPr>
        <w:t xml:space="preserve"> </w:t>
      </w:r>
      <w:r w:rsidRPr="00771410">
        <w:rPr>
          <w:rFonts w:ascii="Calibri" w:hAnsi="Calibri"/>
        </w:rPr>
        <w:t>PRISMA flow chart of search strategy and article selection</w:t>
      </w:r>
    </w:p>
    <w:p w:rsidR="00102289" w:rsidRDefault="00102289">
      <w:pPr>
        <w:rPr>
          <w:rFonts w:ascii="Calibri" w:hAnsi="Calibri"/>
          <w:b/>
          <w:noProof/>
          <w:lang w:val="en-US"/>
        </w:rPr>
      </w:pPr>
      <w:r w:rsidRPr="00771410">
        <w:rPr>
          <w:rFonts w:ascii="Calibri" w:hAnsi="Calibri"/>
          <w:noProof/>
          <w:color w:val="000000"/>
          <w:kern w:val="28"/>
          <w:lang w:eastAsia="en-GB"/>
        </w:rPr>
        <mc:AlternateContent>
          <mc:Choice Requires="wps">
            <w:drawing>
              <wp:anchor distT="0" distB="0" distL="114300" distR="114300" simplePos="0" relativeHeight="251671552" behindDoc="0" locked="0" layoutInCell="1" allowOverlap="1" wp14:anchorId="469681D0" wp14:editId="3365B848">
                <wp:simplePos x="0" y="0"/>
                <wp:positionH relativeFrom="column">
                  <wp:posOffset>4248150</wp:posOffset>
                </wp:positionH>
                <wp:positionV relativeFrom="paragraph">
                  <wp:posOffset>3733800</wp:posOffset>
                </wp:positionV>
                <wp:extent cx="2019300" cy="12573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257300"/>
                        </a:xfrm>
                        <a:prstGeom prst="rect">
                          <a:avLst/>
                        </a:prstGeom>
                        <a:solidFill>
                          <a:srgbClr val="FFFFFF"/>
                        </a:solidFill>
                        <a:ln w="9525">
                          <a:solidFill>
                            <a:srgbClr val="000000"/>
                          </a:solidFill>
                          <a:miter lim="800000"/>
                          <a:headEnd/>
                          <a:tailEnd/>
                        </a:ln>
                      </wps:spPr>
                      <wps:txbx>
                        <w:txbxContent>
                          <w:p w:rsidR="001A0AFA" w:rsidRDefault="001A0AFA" w:rsidP="00FB02EC">
                            <w:pPr>
                              <w:spacing w:after="0" w:line="240" w:lineRule="auto"/>
                              <w:jc w:val="center"/>
                              <w:rPr>
                                <w:rFonts w:ascii="Calibri" w:hAnsi="Calibri"/>
                              </w:rPr>
                            </w:pPr>
                            <w:r>
                              <w:rPr>
                                <w:rFonts w:ascii="Calibri" w:hAnsi="Calibri"/>
                              </w:rPr>
                              <w:t>Full-text articles excluded, with reasons (n = 5)</w:t>
                            </w:r>
                          </w:p>
                          <w:p w:rsidR="001A0AFA" w:rsidRDefault="001A0AFA" w:rsidP="00FB02EC">
                            <w:pPr>
                              <w:spacing w:after="0" w:line="240" w:lineRule="auto"/>
                              <w:jc w:val="center"/>
                              <w:rPr>
                                <w:rFonts w:ascii="Calibri" w:hAnsi="Calibri"/>
                              </w:rPr>
                            </w:pPr>
                          </w:p>
                          <w:p w:rsidR="001A0AFA" w:rsidRDefault="001A0AFA" w:rsidP="00FB02EC">
                            <w:pPr>
                              <w:spacing w:after="0" w:line="240" w:lineRule="auto"/>
                              <w:rPr>
                                <w:rFonts w:ascii="Calibri" w:hAnsi="Calibri"/>
                              </w:rPr>
                            </w:pPr>
                            <w:r>
                              <w:rPr>
                                <w:rFonts w:ascii="Calibri" w:hAnsi="Calibri"/>
                              </w:rPr>
                              <w:t>-No empirical data (n = 3)</w:t>
                            </w:r>
                          </w:p>
                          <w:p w:rsidR="001A0AFA" w:rsidRPr="00655ED8" w:rsidRDefault="001A0AFA" w:rsidP="00FB02EC">
                            <w:pPr>
                              <w:spacing w:after="0" w:line="240" w:lineRule="auto"/>
                              <w:rPr>
                                <w:rFonts w:ascii="Calibri" w:hAnsi="Calibri"/>
                              </w:rPr>
                            </w:pPr>
                            <w:r>
                              <w:rPr>
                                <w:rFonts w:ascii="Calibri" w:hAnsi="Calibri"/>
                              </w:rPr>
                              <w:t>-</w:t>
                            </w:r>
                            <w:r w:rsidRPr="00655ED8">
                              <w:rPr>
                                <w:rFonts w:ascii="Calibri" w:hAnsi="Calibri"/>
                              </w:rPr>
                              <w:t xml:space="preserve">Not </w:t>
                            </w:r>
                            <w:r>
                              <w:rPr>
                                <w:rFonts w:ascii="Calibri" w:hAnsi="Calibri"/>
                              </w:rPr>
                              <w:t>MUR or NMS (n = 1)</w:t>
                            </w:r>
                          </w:p>
                          <w:p w:rsidR="001A0AFA" w:rsidRPr="00655ED8" w:rsidRDefault="001A0AFA" w:rsidP="00FB02EC">
                            <w:pPr>
                              <w:spacing w:after="0" w:line="240" w:lineRule="auto"/>
                              <w:rPr>
                                <w:rFonts w:ascii="Calibri" w:hAnsi="Calibri"/>
                              </w:rPr>
                            </w:pPr>
                            <w:r>
                              <w:rPr>
                                <w:rFonts w:ascii="Calibri" w:hAnsi="Calibri"/>
                              </w:rPr>
                              <w:t>-</w:t>
                            </w:r>
                            <w:r w:rsidRPr="00655ED8">
                              <w:rPr>
                                <w:rFonts w:ascii="Calibri" w:hAnsi="Calibri"/>
                              </w:rPr>
                              <w:t xml:space="preserve">Feasibility </w:t>
                            </w:r>
                            <w:r>
                              <w:rPr>
                                <w:rFonts w:ascii="Calibri" w:hAnsi="Calibri"/>
                              </w:rPr>
                              <w:t>study</w:t>
                            </w:r>
                            <w:r w:rsidRPr="00655ED8">
                              <w:rPr>
                                <w:rFonts w:ascii="Calibri" w:hAnsi="Calibri"/>
                              </w:rPr>
                              <w:t xml:space="preserve"> (n</w:t>
                            </w:r>
                            <w:r>
                              <w:rPr>
                                <w:rFonts w:ascii="Calibri" w:hAnsi="Calibri"/>
                              </w:rPr>
                              <w:t xml:space="preserve"> </w:t>
                            </w:r>
                            <w:r w:rsidRPr="00655ED8">
                              <w:rPr>
                                <w:rFonts w:ascii="Calibri" w:hAnsi="Calibri"/>
                              </w:rPr>
                              <w:t>=</w:t>
                            </w:r>
                            <w:r>
                              <w:rPr>
                                <w:rFonts w:ascii="Calibri" w:hAnsi="Calibri"/>
                              </w:rPr>
                              <w:t xml:space="preserve"> </w:t>
                            </w:r>
                            <w:r w:rsidRPr="00655ED8">
                              <w:rPr>
                                <w:rFonts w:ascii="Calibri" w:hAnsi="Calibri"/>
                              </w:rPr>
                              <w:t>1)</w:t>
                            </w:r>
                          </w:p>
                          <w:p w:rsidR="001A0AFA" w:rsidRDefault="001A0AFA" w:rsidP="00FB02EC">
                            <w:pPr>
                              <w:jc w:val="cente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681D0" id="Rectangle 17" o:spid="_x0000_s1029" style="position:absolute;margin-left:334.5pt;margin-top:294pt;width:159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">
                <v:textbox inset=",7.2pt,,7.2pt">
                  <w:txbxContent>
                    <w:p w:rsidR="001A0AFA" w:rsidRDefault="001A0AFA" w:rsidP="00FB02EC">
                      <w:pPr>
                        <w:spacing w:after="0" w:line="240" w:lineRule="auto"/>
                        <w:jc w:val="center"/>
                        <w:rPr>
                          <w:rFonts w:ascii="Calibri" w:hAnsi="Calibri"/>
                        </w:rPr>
                      </w:pPr>
                      <w:r>
                        <w:rPr>
                          <w:rFonts w:ascii="Calibri" w:hAnsi="Calibri"/>
                        </w:rPr>
                        <w:t>Full-text articles excluded, with reasons (n = 5)</w:t>
                      </w:r>
                    </w:p>
                    <w:p w:rsidR="001A0AFA" w:rsidRDefault="001A0AFA" w:rsidP="00FB02EC">
                      <w:pPr>
                        <w:spacing w:after="0" w:line="240" w:lineRule="auto"/>
                        <w:jc w:val="center"/>
                        <w:rPr>
                          <w:rFonts w:ascii="Calibri" w:hAnsi="Calibri"/>
                        </w:rPr>
                      </w:pPr>
                    </w:p>
                    <w:p w:rsidR="001A0AFA" w:rsidRDefault="001A0AFA" w:rsidP="00FB02EC">
                      <w:pPr>
                        <w:spacing w:after="0" w:line="240" w:lineRule="auto"/>
                        <w:rPr>
                          <w:rFonts w:ascii="Calibri" w:hAnsi="Calibri"/>
                        </w:rPr>
                      </w:pPr>
                      <w:r>
                        <w:rPr>
                          <w:rFonts w:ascii="Calibri" w:hAnsi="Calibri"/>
                        </w:rPr>
                        <w:t>-No empirical data (n = 3)</w:t>
                      </w:r>
                    </w:p>
                    <w:p w:rsidR="001A0AFA" w:rsidRPr="00655ED8" w:rsidRDefault="001A0AFA" w:rsidP="00FB02EC">
                      <w:pPr>
                        <w:spacing w:after="0" w:line="240" w:lineRule="auto"/>
                        <w:rPr>
                          <w:rFonts w:ascii="Calibri" w:hAnsi="Calibri"/>
                        </w:rPr>
                      </w:pPr>
                      <w:r>
                        <w:rPr>
                          <w:rFonts w:ascii="Calibri" w:hAnsi="Calibri"/>
                        </w:rPr>
                        <w:t>-</w:t>
                      </w:r>
                      <w:r w:rsidRPr="00655ED8">
                        <w:rPr>
                          <w:rFonts w:ascii="Calibri" w:hAnsi="Calibri"/>
                        </w:rPr>
                        <w:t xml:space="preserve">Not </w:t>
                      </w:r>
                      <w:r>
                        <w:rPr>
                          <w:rFonts w:ascii="Calibri" w:hAnsi="Calibri"/>
                        </w:rPr>
                        <w:t>MUR or NMS (n = 1)</w:t>
                      </w:r>
                    </w:p>
                    <w:p w:rsidR="001A0AFA" w:rsidRPr="00655ED8" w:rsidRDefault="001A0AFA" w:rsidP="00FB02EC">
                      <w:pPr>
                        <w:spacing w:after="0" w:line="240" w:lineRule="auto"/>
                        <w:rPr>
                          <w:rFonts w:ascii="Calibri" w:hAnsi="Calibri"/>
                        </w:rPr>
                      </w:pPr>
                      <w:r>
                        <w:rPr>
                          <w:rFonts w:ascii="Calibri" w:hAnsi="Calibri"/>
                        </w:rPr>
                        <w:t>-</w:t>
                      </w:r>
                      <w:r w:rsidRPr="00655ED8">
                        <w:rPr>
                          <w:rFonts w:ascii="Calibri" w:hAnsi="Calibri"/>
                        </w:rPr>
                        <w:t xml:space="preserve">Feasibility </w:t>
                      </w:r>
                      <w:r>
                        <w:rPr>
                          <w:rFonts w:ascii="Calibri" w:hAnsi="Calibri"/>
                        </w:rPr>
                        <w:t>study</w:t>
                      </w:r>
                      <w:r w:rsidRPr="00655ED8">
                        <w:rPr>
                          <w:rFonts w:ascii="Calibri" w:hAnsi="Calibri"/>
                        </w:rPr>
                        <w:t xml:space="preserve"> (n</w:t>
                      </w:r>
                      <w:r>
                        <w:rPr>
                          <w:rFonts w:ascii="Calibri" w:hAnsi="Calibri"/>
                        </w:rPr>
                        <w:t xml:space="preserve"> </w:t>
                      </w:r>
                      <w:r w:rsidRPr="00655ED8">
                        <w:rPr>
                          <w:rFonts w:ascii="Calibri" w:hAnsi="Calibri"/>
                        </w:rPr>
                        <w:t>=</w:t>
                      </w:r>
                      <w:r>
                        <w:rPr>
                          <w:rFonts w:ascii="Calibri" w:hAnsi="Calibri"/>
                        </w:rPr>
                        <w:t xml:space="preserve"> </w:t>
                      </w:r>
                      <w:r w:rsidRPr="00655ED8">
                        <w:rPr>
                          <w:rFonts w:ascii="Calibri" w:hAnsi="Calibri"/>
                        </w:rPr>
                        <w:t>1)</w:t>
                      </w:r>
                    </w:p>
                    <w:p w:rsidR="001A0AFA" w:rsidRDefault="001A0AFA" w:rsidP="00FB02EC">
                      <w:pPr>
                        <w:jc w:val="center"/>
                        <w:rPr>
                          <w:rFonts w:ascii="Calibri" w:hAnsi="Calibri"/>
                          <w:lang w:val="en"/>
                        </w:rPr>
                      </w:pPr>
                    </w:p>
                  </w:txbxContent>
                </v:textbox>
              </v:rect>
            </w:pict>
          </mc:Fallback>
        </mc:AlternateContent>
      </w:r>
      <w:r w:rsidRPr="00771410">
        <w:rPr>
          <w:rFonts w:ascii="Calibri" w:hAnsi="Calibri"/>
          <w:noProof/>
          <w:color w:val="000000"/>
          <w:kern w:val="28"/>
          <w:lang w:eastAsia="en-GB"/>
        </w:rPr>
        <mc:AlternateContent>
          <mc:Choice Requires="wps">
            <w:drawing>
              <wp:anchor distT="0" distB="0" distL="114300" distR="114300" simplePos="0" relativeHeight="251672576" behindDoc="0" locked="0" layoutInCell="1" allowOverlap="1" wp14:anchorId="6D124646" wp14:editId="4E5E4DCC">
                <wp:simplePos x="0" y="0"/>
                <wp:positionH relativeFrom="column">
                  <wp:posOffset>1905000</wp:posOffset>
                </wp:positionH>
                <wp:positionV relativeFrom="paragraph">
                  <wp:posOffset>5514975</wp:posOffset>
                </wp:positionV>
                <wp:extent cx="1714500" cy="7810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81050"/>
                        </a:xfrm>
                        <a:prstGeom prst="rect">
                          <a:avLst/>
                        </a:prstGeom>
                        <a:solidFill>
                          <a:srgbClr val="FFFFFF"/>
                        </a:solidFill>
                        <a:ln w="9525">
                          <a:solidFill>
                            <a:srgbClr val="000000"/>
                          </a:solidFill>
                          <a:miter lim="800000"/>
                          <a:headEnd/>
                          <a:tailEnd/>
                        </a:ln>
                      </wps:spPr>
                      <wps:txbx>
                        <w:txbxContent>
                          <w:p w:rsidR="001A0AFA" w:rsidRDefault="001A0AFA" w:rsidP="00FB02EC">
                            <w:pPr>
                              <w:jc w:val="center"/>
                              <w:rPr>
                                <w:rFonts w:ascii="Calibri" w:hAnsi="Calibri"/>
                                <w:lang w:val="en"/>
                              </w:rPr>
                            </w:pPr>
                            <w:r>
                              <w:rPr>
                                <w:rFonts w:ascii="Calibri" w:hAnsi="Calibri"/>
                              </w:rPr>
                              <w:t>Articles included in synthesis</w:t>
                            </w:r>
                            <w:r>
                              <w:rPr>
                                <w:rFonts w:ascii="Calibri" w:hAnsi="Calibri"/>
                              </w:rPr>
                              <w:br/>
                              <w:t>(n = 41)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24646" id="Rectangle 19" o:spid="_x0000_s1030" style="position:absolute;margin-left:150pt;margin-top:434.25pt;width:13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">
                <v:textbox inset=",7.2pt,,7.2pt">
                  <w:txbxContent>
                    <w:p w:rsidR="001A0AFA" w:rsidRDefault="001A0AFA" w:rsidP="00FB02EC">
                      <w:pPr>
                        <w:jc w:val="center"/>
                        <w:rPr>
                          <w:rFonts w:ascii="Calibri" w:hAnsi="Calibri"/>
                          <w:lang w:val="en"/>
                        </w:rPr>
                      </w:pPr>
                      <w:r>
                        <w:rPr>
                          <w:rFonts w:ascii="Calibri" w:hAnsi="Calibri"/>
                        </w:rPr>
                        <w:t>Articles included in synthesis</w:t>
                      </w:r>
                      <w:r>
                        <w:rPr>
                          <w:rFonts w:ascii="Calibri" w:hAnsi="Calibri"/>
                        </w:rPr>
                        <w:br/>
                        <w:t>(n = 41)</w:t>
                      </w:r>
                    </w:p>
                  </w:txbxContent>
                </v:textbox>
              </v:rect>
            </w:pict>
          </mc:Fallback>
        </mc:AlternateContent>
      </w:r>
      <w:r w:rsidRPr="00771410">
        <w:rPr>
          <w:rFonts w:ascii="Calibri" w:hAnsi="Calibri"/>
          <w:noProof/>
          <w:color w:val="000000"/>
          <w:kern w:val="28"/>
          <w:lang w:eastAsia="en-GB"/>
        </w:rPr>
        <mc:AlternateContent>
          <mc:Choice Requires="wps">
            <w:drawing>
              <wp:anchor distT="36576" distB="36576" distL="36576" distR="36576" simplePos="0" relativeHeight="251677696" behindDoc="0" locked="0" layoutInCell="1" allowOverlap="1" wp14:anchorId="3580B4A6" wp14:editId="47A33358">
                <wp:simplePos x="0" y="0"/>
                <wp:positionH relativeFrom="column">
                  <wp:posOffset>2755900</wp:posOffset>
                </wp:positionH>
                <wp:positionV relativeFrom="paragraph">
                  <wp:posOffset>4800600</wp:posOffset>
                </wp:positionV>
                <wp:extent cx="12700" cy="742950"/>
                <wp:effectExtent l="47625" t="11430" r="53975" b="1714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7429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264974" id="Straight Arrow Connector 20" o:spid="_x0000_s1026" type="#_x0000_t32" style="position:absolute;margin-left:217pt;margin-top:378pt;width:1pt;height:58.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QVYSswIAAKoFAAAOAAAAZHJzL2Uyb0RvYy54bWysVE2P2yAQvVfqf0Dcvf6I82Wts8o6Ti/b dqVs1TMxOEbFYAGJE1X97x1I4m62l6paDogBZnjz5g33D8dWoAPThiuZ4/guwojJSlEudzn+9rIO ZhgZSyQlQkmW4xMz+GHx8cN932UsUY0SlGkEQaTJ+i7HjbVdFoamalhLzJ3qmITDWumWWDD1LqSa 9BC9FWESRZOwV5p2WlXMGNhdnQ/xwseva1bZr3VtmEUix4DN+ln7eevmcHFPsp0mXcOrCwzyHyha wiU8OoRaEUvQXvO/QrW80sqo2t5Vqg1VXfOK+Rwgmzh6k82mIR3zuQA5phtoMu8XtvpyeNaI0xwn QI8kLdRoYzXhu8aipdaqR4WSEnhUGsEV4KvvTAZuhXzWLuPqKDfdk6p+GCRV0RC5Yx73y6mDWLHz CG9cnGE6eHXbf1YU7pC9VZ68Y61bFxJoQUdfo9NQI3a0qILNOJlGgLSCk2mazMceUkiyq2+njf3E VIvcIsfmksuQROxfIocnYx0ykl0d3MNSrbkQXhNCoj7H83Ey9g5GCU7dobtm9G5bCI0OxKnKD58m nLy+ptVeUh+sYYSWl7UlXMAaWc+P1RwYEwy711pGMRIMGsmtzvCEdC8yL+UzZrCOFpZ+H1jxMvs5 j+blrJylQZpMyiCNVqtguS7SYLKOp+PVaFUUq/iXSyVOs4ZTyqTL5ir5OP03SV2a7yzWQfQDbeFt dM8vgL1FulyPo2k6mgXT6XgUpKMyCh5n6yJYFvFkMi0fi8fyDdLSZ2/eB+xApUOl9pbpTUN7RLmT y2g8T2IMBnwRTmgwMCJiByWprMZIK/ud28YL3EnTxbhRQ+HHpXZD9DMR1xo6a6jCJbc/VIEkr/X1 feNa5dx0W0VPz9rJwrUQfAje6fJ5uR/nte1v/fliF78BAAD//wMAUEsDBBQABgAIAAAAIQCxCO0e 4AAAAAsBAAAPAAAAZHJzL2Rvd25yZXYueG1sTI/NTsMwEITvSLyDtUjcqFOSNFXIpkKVQKg3wo84 uvGSRMR2ZLtt4OnZnuA2ox3NflNtZjOKI/kwOIuwXCQgyLZOD7ZDeH15uFmDCFFZrUZnCeGbAmzq y4tKldqd7DMdm9gJLrGhVAh9jFMpZWh7Mios3ESWb5/OGxXZ+k5qr05cbkZ5myQradRg+UOvJtr2 1H41B4Mw/+xy6t6HLD4tHwu/y7cf6VuDeH0139+BiDTHvzCc8Rkdambau4PVQYwIWZrxlohQ5CsW nMjSs9gjrIs0AVlX8v+G+hcAAP//AwBQSwECLQAUAAYACAAAACEAtoM4kv4AAADhAQAAEwAAAAAA AAAAAAAAAAAAAAAAW0NvbnRlbnRfVHlwZXNdLnhtbFBLAQItABQABgAIAAAAIQA4/SH/1gAAAJQB AAALAAAAAAAAAAAAAAAAAC8BAABfcmVscy8ucmVsc1BLAQItABQABgAIAAAAIQBeQVYSswIAAKoF AAAOAAAAAAAAAAAAAAAAAC4CAABkcnMvZTJvRG9jLnhtbFBLAQItABQABgAIAAAAIQCxCO0e4AAA AAsBAAAPAAAAAAAAAAAAAAAAAA0FAABkcnMvZG93bnJldi54bWxQSwUGAAAAAAQABADzAAAAGgYA AAAA ">
                <v:stroke endarrow="block"/>
                <v:shadow color="#ccc"/>
              </v:shape>
            </w:pict>
          </mc:Fallback>
        </mc:AlternateContent>
      </w:r>
      <w:r w:rsidRPr="00771410">
        <w:rPr>
          <w:rFonts w:ascii="Calibri" w:hAnsi="Calibri"/>
          <w:noProof/>
          <w:color w:val="000000"/>
          <w:kern w:val="28"/>
          <w:lang w:eastAsia="en-GB"/>
        </w:rPr>
        <mc:AlternateContent>
          <mc:Choice Requires="wps">
            <w:drawing>
              <wp:anchor distT="0" distB="0" distL="114300" distR="114300" simplePos="0" relativeHeight="251670528" behindDoc="0" locked="0" layoutInCell="1" allowOverlap="1" wp14:anchorId="4BECD354" wp14:editId="6080299D">
                <wp:simplePos x="0" y="0"/>
                <wp:positionH relativeFrom="column">
                  <wp:posOffset>1895475</wp:posOffset>
                </wp:positionH>
                <wp:positionV relativeFrom="paragraph">
                  <wp:posOffset>4057650</wp:posOffset>
                </wp:positionV>
                <wp:extent cx="1714500" cy="74295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42950"/>
                        </a:xfrm>
                        <a:prstGeom prst="rect">
                          <a:avLst/>
                        </a:prstGeom>
                        <a:solidFill>
                          <a:srgbClr val="FFFFFF"/>
                        </a:solidFill>
                        <a:ln w="9525">
                          <a:solidFill>
                            <a:srgbClr val="000000"/>
                          </a:solidFill>
                          <a:miter lim="800000"/>
                          <a:headEnd/>
                          <a:tailEnd/>
                        </a:ln>
                      </wps:spPr>
                      <wps:txbx>
                        <w:txbxContent>
                          <w:p w:rsidR="001A0AFA" w:rsidRDefault="001A0AFA" w:rsidP="00FB02EC">
                            <w:pPr>
                              <w:jc w:val="center"/>
                              <w:rPr>
                                <w:rFonts w:ascii="Calibri" w:hAnsi="Calibri"/>
                                <w:lang w:val="en"/>
                              </w:rPr>
                            </w:pPr>
                            <w:r>
                              <w:rPr>
                                <w:rFonts w:ascii="Calibri" w:hAnsi="Calibri"/>
                              </w:rPr>
                              <w:t>Full-text articles assessed for eligibility</w:t>
                            </w:r>
                            <w:r>
                              <w:rPr>
                                <w:rFonts w:ascii="Calibri" w:hAnsi="Calibri"/>
                              </w:rPr>
                              <w:br/>
                              <w:t>(n = 46)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D354" id="Rectangle 15" o:spid="_x0000_s1031" style="position:absolute;margin-left:149.25pt;margin-top:319.5pt;width:13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">
                <v:textbox inset=",7.2pt,,7.2pt">
                  <w:txbxContent>
                    <w:p w:rsidR="001A0AFA" w:rsidRDefault="001A0AFA" w:rsidP="00FB02EC">
                      <w:pPr>
                        <w:jc w:val="center"/>
                        <w:rPr>
                          <w:rFonts w:ascii="Calibri" w:hAnsi="Calibri"/>
                          <w:lang w:val="en"/>
                        </w:rPr>
                      </w:pPr>
                      <w:r>
                        <w:rPr>
                          <w:rFonts w:ascii="Calibri" w:hAnsi="Calibri"/>
                        </w:rPr>
                        <w:t>Full-text articles assessed for eligibility</w:t>
                      </w:r>
                      <w:r>
                        <w:rPr>
                          <w:rFonts w:ascii="Calibri" w:hAnsi="Calibri"/>
                        </w:rPr>
                        <w:br/>
                        <w:t>(n = 46)</w:t>
                      </w:r>
                    </w:p>
                  </w:txbxContent>
                </v:textbox>
              </v:rect>
            </w:pict>
          </mc:Fallback>
        </mc:AlternateContent>
      </w:r>
      <w:r w:rsidRPr="00771410">
        <w:rPr>
          <w:rFonts w:ascii="Calibri" w:hAnsi="Calibri"/>
          <w:noProof/>
          <w:color w:val="000000"/>
          <w:kern w:val="28"/>
          <w:lang w:eastAsia="en-GB"/>
        </w:rPr>
        <mc:AlternateContent>
          <mc:Choice Requires="wps">
            <w:drawing>
              <wp:anchor distT="0" distB="0" distL="114300" distR="114300" simplePos="0" relativeHeight="251666432" behindDoc="0" locked="0" layoutInCell="1" allowOverlap="1" wp14:anchorId="7A46C873" wp14:editId="5A960572">
                <wp:simplePos x="0" y="0"/>
                <wp:positionH relativeFrom="column">
                  <wp:posOffset>2914650</wp:posOffset>
                </wp:positionH>
                <wp:positionV relativeFrom="paragraph">
                  <wp:posOffset>466725</wp:posOffset>
                </wp:positionV>
                <wp:extent cx="2228850" cy="7429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42950"/>
                        </a:xfrm>
                        <a:prstGeom prst="rect">
                          <a:avLst/>
                        </a:prstGeom>
                        <a:solidFill>
                          <a:srgbClr val="FFFFFF"/>
                        </a:solidFill>
                        <a:ln w="9525">
                          <a:solidFill>
                            <a:srgbClr val="000000"/>
                          </a:solidFill>
                          <a:miter lim="800000"/>
                          <a:headEnd/>
                          <a:tailEnd/>
                        </a:ln>
                      </wps:spPr>
                      <wps:txbx>
                        <w:txbxContent>
                          <w:p w:rsidR="001A0AFA" w:rsidRDefault="001A0AFA" w:rsidP="00FB02EC">
                            <w:pPr>
                              <w:jc w:val="center"/>
                              <w:rPr>
                                <w:rFonts w:ascii="Calibri" w:hAnsi="Calibri"/>
                                <w:lang w:val="en"/>
                              </w:rPr>
                            </w:pPr>
                            <w:r>
                              <w:rPr>
                                <w:rFonts w:ascii="Calibri" w:hAnsi="Calibri"/>
                              </w:rPr>
                              <w:t xml:space="preserve">Additional records identified from hand searches </w:t>
                            </w:r>
                            <w:r>
                              <w:rPr>
                                <w:rFonts w:ascii="Calibri" w:hAnsi="Calibri"/>
                              </w:rPr>
                              <w:br/>
                              <w:t>(n = 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6C873" id="Rectangle 6" o:spid="_x0000_s1032" style="position:absolute;margin-left:229.5pt;margin-top:36.75pt;width:175.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">
                <v:textbox inset=",7.2pt,,7.2pt">
                  <w:txbxContent>
                    <w:p w:rsidR="001A0AFA" w:rsidRDefault="001A0AFA" w:rsidP="00FB02EC">
                      <w:pPr>
                        <w:jc w:val="center"/>
                        <w:rPr>
                          <w:rFonts w:ascii="Calibri" w:hAnsi="Calibri"/>
                          <w:lang w:val="en"/>
                        </w:rPr>
                      </w:pPr>
                      <w:r>
                        <w:rPr>
                          <w:rFonts w:ascii="Calibri" w:hAnsi="Calibri"/>
                        </w:rPr>
                        <w:t xml:space="preserve">Additional records identified from hand searches </w:t>
                      </w:r>
                      <w:r>
                        <w:rPr>
                          <w:rFonts w:ascii="Calibri" w:hAnsi="Calibri"/>
                        </w:rPr>
                        <w:br/>
                        <w:t>(n = 6)</w:t>
                      </w:r>
                    </w:p>
                  </w:txbxContent>
                </v:textbox>
              </v:rect>
            </w:pict>
          </mc:Fallback>
        </mc:AlternateContent>
      </w:r>
      <w:r w:rsidRPr="00771410">
        <w:rPr>
          <w:rFonts w:ascii="Calibri" w:hAnsi="Calibri"/>
          <w:noProof/>
          <w:color w:val="000000"/>
          <w:kern w:val="28"/>
          <w:lang w:eastAsia="en-GB"/>
        </w:rPr>
        <mc:AlternateContent>
          <mc:Choice Requires="wps">
            <w:drawing>
              <wp:anchor distT="0" distB="0" distL="114300" distR="114300" simplePos="0" relativeHeight="251659264" behindDoc="0" locked="0" layoutInCell="1" allowOverlap="1" wp14:anchorId="422F2992" wp14:editId="5E0B965E">
                <wp:simplePos x="0" y="0"/>
                <wp:positionH relativeFrom="column">
                  <wp:posOffset>342900</wp:posOffset>
                </wp:positionH>
                <wp:positionV relativeFrom="paragraph">
                  <wp:posOffset>476251</wp:posOffset>
                </wp:positionV>
                <wp:extent cx="2228850" cy="730250"/>
                <wp:effectExtent l="0" t="0" r="1905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30250"/>
                        </a:xfrm>
                        <a:prstGeom prst="rect">
                          <a:avLst/>
                        </a:prstGeom>
                        <a:solidFill>
                          <a:srgbClr val="FFFFFF"/>
                        </a:solidFill>
                        <a:ln w="9525">
                          <a:solidFill>
                            <a:srgbClr val="000000"/>
                          </a:solidFill>
                          <a:miter lim="800000"/>
                          <a:headEnd/>
                          <a:tailEnd/>
                        </a:ln>
                      </wps:spPr>
                      <wps:txbx>
                        <w:txbxContent>
                          <w:p w:rsidR="001A0AFA" w:rsidRDefault="001A0AFA" w:rsidP="00FB02EC">
                            <w:pPr>
                              <w:jc w:val="center"/>
                              <w:rPr>
                                <w:rFonts w:ascii="Calibri" w:hAnsi="Calibri"/>
                                <w:lang w:val="en"/>
                              </w:rPr>
                            </w:pPr>
                            <w:r>
                              <w:rPr>
                                <w:rFonts w:ascii="Calibri" w:hAnsi="Calibri"/>
                              </w:rPr>
                              <w:t xml:space="preserve">Records identified through database searching </w:t>
                            </w:r>
                            <w:r>
                              <w:rPr>
                                <w:rFonts w:ascii="Calibri" w:hAnsi="Calibri"/>
                              </w:rPr>
                              <w:br/>
                              <w:t>(n =461)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F2992" id="Rectangle 1" o:spid="_x0000_s1033" style="position:absolute;margin-left:27pt;margin-top:37.5pt;width:175.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">
                <v:textbox inset=",7.2pt,,7.2pt">
                  <w:txbxContent>
                    <w:p w:rsidR="001A0AFA" w:rsidRDefault="001A0AFA" w:rsidP="00FB02EC">
                      <w:pPr>
                        <w:jc w:val="center"/>
                        <w:rPr>
                          <w:rFonts w:ascii="Calibri" w:hAnsi="Calibri"/>
                          <w:lang w:val="en"/>
                        </w:rPr>
                      </w:pPr>
                      <w:r>
                        <w:rPr>
                          <w:rFonts w:ascii="Calibri" w:hAnsi="Calibri"/>
                        </w:rPr>
                        <w:t xml:space="preserve">Records identified through database searching </w:t>
                      </w:r>
                      <w:r>
                        <w:rPr>
                          <w:rFonts w:ascii="Calibri" w:hAnsi="Calibri"/>
                        </w:rPr>
                        <w:br/>
                        <w:t>(n =461)</w:t>
                      </w:r>
                    </w:p>
                  </w:txbxContent>
                </v:textbox>
              </v:rect>
            </w:pict>
          </mc:Fallback>
        </mc:AlternateContent>
      </w:r>
      <w:r w:rsidRPr="00771410">
        <w:rPr>
          <w:rFonts w:ascii="Calibri" w:hAnsi="Calibri"/>
          <w:noProof/>
          <w:color w:val="000000"/>
          <w:kern w:val="28"/>
          <w:lang w:eastAsia="en-GB"/>
        </w:rPr>
        <mc:AlternateContent>
          <mc:Choice Requires="wps">
            <w:drawing>
              <wp:anchor distT="0" distB="0" distL="114300" distR="114300" simplePos="0" relativeHeight="251661312" behindDoc="0" locked="0" layoutInCell="1" allowOverlap="1" wp14:anchorId="576A12B4" wp14:editId="35BC3CB9">
                <wp:simplePos x="0" y="0"/>
                <wp:positionH relativeFrom="column">
                  <wp:posOffset>-972026</wp:posOffset>
                </wp:positionH>
                <wp:positionV relativeFrom="paragraph">
                  <wp:posOffset>5610701</wp:posOffset>
                </wp:positionV>
                <wp:extent cx="1371600" cy="343852"/>
                <wp:effectExtent l="0" t="318" r="18733" b="18732"/>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43852"/>
                        </a:xfrm>
                        <a:prstGeom prst="roundRect">
                          <a:avLst>
                            <a:gd name="adj" fmla="val 16667"/>
                          </a:avLst>
                        </a:prstGeom>
                        <a:solidFill>
                          <a:srgbClr val="CCECFF"/>
                        </a:solidFill>
                        <a:ln w="9525">
                          <a:solidFill>
                            <a:srgbClr val="000000"/>
                          </a:solidFill>
                          <a:round/>
                          <a:headEnd/>
                          <a:tailEnd/>
                        </a:ln>
                      </wps:spPr>
                      <wps:txbx>
                        <w:txbxContent>
                          <w:p w:rsidR="001A0AFA" w:rsidRPr="00707899" w:rsidRDefault="001A0AFA" w:rsidP="00FB02EC">
                            <w:pPr>
                              <w:pStyle w:val="Heading2"/>
                              <w:rPr>
                                <w:rFonts w:ascii="Calibri" w:hAnsi="Calibri"/>
                                <w:color w:val="000000" w:themeColor="text1"/>
                                <w:lang w:val="en"/>
                              </w:rPr>
                            </w:pPr>
                            <w:r w:rsidRPr="00707899">
                              <w:rPr>
                                <w:rFonts w:ascii="Calibri" w:hAnsi="Calibri"/>
                                <w:color w:val="000000" w:themeColor="text1"/>
                                <w:lang w:val="en"/>
                              </w:rPr>
                              <w:t>I</w:t>
                            </w:r>
                            <w:r w:rsidRPr="000F4B2A">
                              <w:rPr>
                                <w:rFonts w:ascii="Calibri" w:hAnsi="Calibri"/>
                                <w:color w:val="000000" w:themeColor="text1"/>
                                <w:sz w:val="22"/>
                                <w:szCs w:val="22"/>
                                <w:lang w:val="en"/>
                              </w:rPr>
                              <w:t>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A12B4" id="Rounded Rectangle 3" o:spid="_x0000_s1034" style="position:absolute;margin-left:-76.55pt;margin-top:441.8pt;width:108pt;height:27.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" fillcolor="#ccecff">
                <v:textbox style="layout-flow:vertical;mso-layout-flow-alt:bottom-to-top" inset="3.6pt,,3.6pt">
                  <w:txbxContent>
                    <w:p w:rsidR="001A0AFA" w:rsidRPr="00707899" w:rsidRDefault="001A0AFA" w:rsidP="00FB02EC">
                      <w:pPr>
                        <w:pStyle w:val="Heading2"/>
                        <w:rPr>
                          <w:rFonts w:ascii="Calibri" w:hAnsi="Calibri"/>
                          <w:color w:val="000000" w:themeColor="text1"/>
                          <w:lang w:val="en"/>
                        </w:rPr>
                      </w:pPr>
                      <w:r w:rsidRPr="00707899">
                        <w:rPr>
                          <w:rFonts w:ascii="Calibri" w:hAnsi="Calibri"/>
                          <w:color w:val="000000" w:themeColor="text1"/>
                          <w:lang w:val="en"/>
                        </w:rPr>
                        <w:t>I</w:t>
                      </w:r>
                      <w:r w:rsidRPr="000F4B2A">
                        <w:rPr>
                          <w:rFonts w:ascii="Calibri" w:hAnsi="Calibri"/>
                          <w:color w:val="000000" w:themeColor="text1"/>
                          <w:sz w:val="22"/>
                          <w:szCs w:val="22"/>
                          <w:lang w:val="en"/>
                        </w:rPr>
                        <w:t>ncluded</w:t>
                      </w:r>
                    </w:p>
                  </w:txbxContent>
                </v:textbox>
              </v:roundrect>
            </w:pict>
          </mc:Fallback>
        </mc:AlternateContent>
      </w:r>
      <w:r w:rsidRPr="00771410">
        <w:rPr>
          <w:rFonts w:ascii="Calibri" w:hAnsi="Calibri"/>
          <w:noProof/>
          <w:color w:val="000000"/>
          <w:kern w:val="28"/>
          <w:lang w:eastAsia="en-GB"/>
        </w:rPr>
        <mc:AlternateContent>
          <mc:Choice Requires="wps">
            <w:drawing>
              <wp:anchor distT="0" distB="0" distL="114300" distR="114300" simplePos="0" relativeHeight="251662336" behindDoc="0" locked="0" layoutInCell="1" allowOverlap="1" wp14:anchorId="6A36E7DE" wp14:editId="24A473CB">
                <wp:simplePos x="0" y="0"/>
                <wp:positionH relativeFrom="column">
                  <wp:posOffset>-967264</wp:posOffset>
                </wp:positionH>
                <wp:positionV relativeFrom="paragraph">
                  <wp:posOffset>4005738</wp:posOffset>
                </wp:positionV>
                <wp:extent cx="1371600" cy="353377"/>
                <wp:effectExtent l="0" t="5080" r="13970" b="1397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53377"/>
                        </a:xfrm>
                        <a:prstGeom prst="roundRect">
                          <a:avLst>
                            <a:gd name="adj" fmla="val 16667"/>
                          </a:avLst>
                        </a:prstGeom>
                        <a:solidFill>
                          <a:srgbClr val="CCECFF"/>
                        </a:solidFill>
                        <a:ln w="9525">
                          <a:solidFill>
                            <a:srgbClr val="000000"/>
                          </a:solidFill>
                          <a:round/>
                          <a:headEnd/>
                          <a:tailEnd/>
                        </a:ln>
                      </wps:spPr>
                      <wps:txbx>
                        <w:txbxContent>
                          <w:p w:rsidR="001A0AFA" w:rsidRPr="00707899" w:rsidRDefault="001A0AFA" w:rsidP="00FB02EC">
                            <w:pPr>
                              <w:pStyle w:val="Heading2"/>
                              <w:rPr>
                                <w:rFonts w:ascii="Calibri" w:hAnsi="Calibri"/>
                                <w:color w:val="000000" w:themeColor="text1"/>
                                <w:sz w:val="22"/>
                                <w:szCs w:val="22"/>
                                <w:lang w:val="en"/>
                              </w:rPr>
                            </w:pPr>
                            <w:r w:rsidRPr="00707899">
                              <w:rPr>
                                <w:rFonts w:ascii="Calibri" w:hAnsi="Calibri"/>
                                <w:color w:val="000000" w:themeColor="text1"/>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6E7DE" id="Rounded Rectangle 4" o:spid="_x0000_s1035" style="position:absolute;margin-left:-76.15pt;margin-top:315.4pt;width:108pt;height:27.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" fillcolor="#ccecff">
                <v:textbox style="layout-flow:vertical;mso-layout-flow-alt:bottom-to-top" inset="3.6pt,,3.6pt">
                  <w:txbxContent>
                    <w:p w:rsidR="001A0AFA" w:rsidRPr="00707899" w:rsidRDefault="001A0AFA" w:rsidP="00FB02EC">
                      <w:pPr>
                        <w:pStyle w:val="Heading2"/>
                        <w:rPr>
                          <w:rFonts w:ascii="Calibri" w:hAnsi="Calibri"/>
                          <w:color w:val="000000" w:themeColor="text1"/>
                          <w:sz w:val="22"/>
                          <w:szCs w:val="22"/>
                          <w:lang w:val="en"/>
                        </w:rPr>
                      </w:pPr>
                      <w:r w:rsidRPr="00707899">
                        <w:rPr>
                          <w:rFonts w:ascii="Calibri" w:hAnsi="Calibri"/>
                          <w:color w:val="000000" w:themeColor="text1"/>
                          <w:sz w:val="22"/>
                          <w:szCs w:val="22"/>
                          <w:lang w:val="en"/>
                        </w:rPr>
                        <w:t>Eligibility</w:t>
                      </w:r>
                    </w:p>
                  </w:txbxContent>
                </v:textbox>
              </v:roundrect>
            </w:pict>
          </mc:Fallback>
        </mc:AlternateContent>
      </w:r>
      <w:r w:rsidRPr="00771410">
        <w:rPr>
          <w:rFonts w:ascii="Calibri" w:hAnsi="Calibri"/>
          <w:noProof/>
          <w:color w:val="000000"/>
          <w:kern w:val="28"/>
          <w:lang w:eastAsia="en-GB"/>
        </w:rPr>
        <mc:AlternateContent>
          <mc:Choice Requires="wps">
            <w:drawing>
              <wp:anchor distT="0" distB="0" distL="114300" distR="114300" simplePos="0" relativeHeight="251660288" behindDoc="0" locked="0" layoutInCell="1" allowOverlap="1" wp14:anchorId="1B5C622D" wp14:editId="483FC33D">
                <wp:simplePos x="0" y="0"/>
                <wp:positionH relativeFrom="column">
                  <wp:posOffset>-957262</wp:posOffset>
                </wp:positionH>
                <wp:positionV relativeFrom="paragraph">
                  <wp:posOffset>2405062</wp:posOffset>
                </wp:positionV>
                <wp:extent cx="1371600" cy="362586"/>
                <wp:effectExtent l="9207" t="0" r="28258" b="28257"/>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62586"/>
                        </a:xfrm>
                        <a:prstGeom prst="roundRect">
                          <a:avLst>
                            <a:gd name="adj" fmla="val 16667"/>
                          </a:avLst>
                        </a:prstGeom>
                        <a:solidFill>
                          <a:srgbClr val="CCECFF"/>
                        </a:solidFill>
                        <a:ln w="9525">
                          <a:solidFill>
                            <a:srgbClr val="000000"/>
                          </a:solidFill>
                          <a:round/>
                          <a:headEnd/>
                          <a:tailEnd/>
                        </a:ln>
                      </wps:spPr>
                      <wps:txbx>
                        <w:txbxContent>
                          <w:p w:rsidR="001A0AFA" w:rsidRPr="000F4B2A" w:rsidRDefault="001A0AFA" w:rsidP="00FB02EC">
                            <w:pPr>
                              <w:pStyle w:val="Heading2"/>
                              <w:rPr>
                                <w:rFonts w:ascii="Calibri" w:hAnsi="Calibri"/>
                                <w:color w:val="000000" w:themeColor="text1"/>
                                <w:sz w:val="22"/>
                                <w:szCs w:val="22"/>
                                <w:lang w:val="en"/>
                              </w:rPr>
                            </w:pPr>
                            <w:r w:rsidRPr="000F4B2A">
                              <w:rPr>
                                <w:rFonts w:ascii="Calibri" w:hAnsi="Calibri"/>
                                <w:color w:val="000000" w:themeColor="text1"/>
                                <w:sz w:val="22"/>
                                <w:szCs w:val="22"/>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C622D" id="Rounded Rectangle 2" o:spid="_x0000_s1036" style="position:absolute;margin-left:-75.35pt;margin-top:189.35pt;width:108pt;height:28.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" fillcolor="#ccecff">
                <v:textbox style="layout-flow:vertical;mso-layout-flow-alt:bottom-to-top" inset="3.6pt,,3.6pt">
                  <w:txbxContent>
                    <w:p w:rsidR="001A0AFA" w:rsidRPr="000F4B2A" w:rsidRDefault="001A0AFA" w:rsidP="00FB02EC">
                      <w:pPr>
                        <w:pStyle w:val="Heading2"/>
                        <w:rPr>
                          <w:rFonts w:ascii="Calibri" w:hAnsi="Calibri"/>
                          <w:color w:val="000000" w:themeColor="text1"/>
                          <w:sz w:val="22"/>
                          <w:szCs w:val="22"/>
                          <w:lang w:val="en"/>
                        </w:rPr>
                      </w:pPr>
                      <w:r w:rsidRPr="000F4B2A">
                        <w:rPr>
                          <w:rFonts w:ascii="Calibri" w:hAnsi="Calibri"/>
                          <w:color w:val="000000" w:themeColor="text1"/>
                          <w:sz w:val="22"/>
                          <w:szCs w:val="22"/>
                          <w:lang w:val="en"/>
                        </w:rPr>
                        <w:t>Screening</w:t>
                      </w:r>
                    </w:p>
                  </w:txbxContent>
                </v:textbox>
              </v:roundrect>
            </w:pict>
          </mc:Fallback>
        </mc:AlternateContent>
      </w:r>
      <w:r w:rsidRPr="00771410">
        <w:rPr>
          <w:rFonts w:ascii="Calibri" w:hAnsi="Calibri"/>
          <w:noProof/>
          <w:color w:val="000000"/>
          <w:kern w:val="28"/>
          <w:lang w:eastAsia="en-GB"/>
        </w:rPr>
        <mc:AlternateContent>
          <mc:Choice Requires="wps">
            <w:drawing>
              <wp:anchor distT="0" distB="0" distL="114300" distR="114300" simplePos="0" relativeHeight="251665408" behindDoc="0" locked="0" layoutInCell="1" allowOverlap="1" wp14:anchorId="0884D047" wp14:editId="611C08AB">
                <wp:simplePos x="0" y="0"/>
                <wp:positionH relativeFrom="column">
                  <wp:posOffset>-957739</wp:posOffset>
                </wp:positionH>
                <wp:positionV relativeFrom="paragraph">
                  <wp:posOffset>795813</wp:posOffset>
                </wp:positionV>
                <wp:extent cx="1371600" cy="372427"/>
                <wp:effectExtent l="4445" t="0" r="23495" b="2349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372427"/>
                        </a:xfrm>
                        <a:prstGeom prst="roundRect">
                          <a:avLst>
                            <a:gd name="adj" fmla="val 16667"/>
                          </a:avLst>
                        </a:prstGeom>
                        <a:solidFill>
                          <a:srgbClr val="CCECFF"/>
                        </a:solidFill>
                        <a:ln w="9525">
                          <a:solidFill>
                            <a:srgbClr val="000000"/>
                          </a:solidFill>
                          <a:round/>
                          <a:headEnd/>
                          <a:tailEnd/>
                        </a:ln>
                      </wps:spPr>
                      <wps:txbx>
                        <w:txbxContent>
                          <w:p w:rsidR="001A0AFA" w:rsidRPr="000F4B2A" w:rsidRDefault="001A0AFA" w:rsidP="00FB02EC">
                            <w:pPr>
                              <w:pStyle w:val="Heading2"/>
                              <w:rPr>
                                <w:rFonts w:ascii="Calibri" w:hAnsi="Calibri"/>
                                <w:sz w:val="22"/>
                                <w:szCs w:val="22"/>
                                <w:lang w:val="en"/>
                              </w:rPr>
                            </w:pPr>
                            <w:r w:rsidRPr="000F4B2A">
                              <w:rPr>
                                <w:rFonts w:ascii="Calibri" w:hAnsi="Calibri"/>
                                <w:color w:val="000000" w:themeColor="text1"/>
                                <w:sz w:val="22"/>
                                <w:szCs w:val="22"/>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84D047" id="Rounded Rectangle 5" o:spid="_x0000_s1037" style="position:absolute;margin-left:-75.4pt;margin-top:62.65pt;width:108pt;height:29.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" fillcolor="#ccecff">
                <v:textbox style="layout-flow:vertical;mso-layout-flow-alt:bottom-to-top" inset="3.6pt,,3.6pt">
                  <w:txbxContent>
                    <w:p w:rsidR="001A0AFA" w:rsidRPr="000F4B2A" w:rsidRDefault="001A0AFA" w:rsidP="00FB02EC">
                      <w:pPr>
                        <w:pStyle w:val="Heading2"/>
                        <w:rPr>
                          <w:rFonts w:ascii="Calibri" w:hAnsi="Calibri"/>
                          <w:sz w:val="22"/>
                          <w:szCs w:val="22"/>
                          <w:lang w:val="en"/>
                        </w:rPr>
                      </w:pPr>
                      <w:r w:rsidRPr="000F4B2A">
                        <w:rPr>
                          <w:rFonts w:ascii="Calibri" w:hAnsi="Calibri"/>
                          <w:color w:val="000000" w:themeColor="text1"/>
                          <w:sz w:val="22"/>
                          <w:szCs w:val="22"/>
                          <w:lang w:val="en"/>
                        </w:rPr>
                        <w:t>Identification</w:t>
                      </w:r>
                    </w:p>
                  </w:txbxContent>
                </v:textbox>
              </v:roundrect>
            </w:pict>
          </mc:Fallback>
        </mc:AlternateContent>
      </w:r>
      <w:r>
        <w:rPr>
          <w:b/>
        </w:rPr>
        <w:br w:type="page"/>
      </w:r>
    </w:p>
    <w:p w:rsidR="00102289" w:rsidRDefault="00102289" w:rsidP="00FB02EC">
      <w:pPr>
        <w:pStyle w:val="EndNoteBibliography"/>
        <w:spacing w:after="0"/>
        <w:ind w:left="720" w:hanging="720"/>
        <w:rPr>
          <w:b/>
        </w:rPr>
      </w:pPr>
      <w:r>
        <w:rPr>
          <w:b/>
        </w:rPr>
        <w:lastRenderedPageBreak/>
        <w:t>REFERENCES</w:t>
      </w:r>
    </w:p>
    <w:p w:rsidR="00102289" w:rsidRDefault="00102289" w:rsidP="00FB02EC">
      <w:pPr>
        <w:pStyle w:val="EndNoteBibliography"/>
        <w:spacing w:after="0"/>
        <w:ind w:left="720" w:hanging="720"/>
        <w:rPr>
          <w:b/>
        </w:rPr>
      </w:pPr>
    </w:p>
    <w:p w:rsidR="00102289" w:rsidRPr="00C22B52" w:rsidRDefault="00102289" w:rsidP="00FB02EC">
      <w:pPr>
        <w:pStyle w:val="EndNoteBibliography"/>
        <w:spacing w:after="0"/>
        <w:ind w:left="720" w:hanging="720"/>
      </w:pPr>
      <w:r w:rsidRPr="00C22B52">
        <w:rPr>
          <w:b/>
        </w:rPr>
        <w:t>1.</w:t>
      </w:r>
      <w:r w:rsidRPr="00C22B52">
        <w:tab/>
        <w:t xml:space="preserve">Blenkinsopp A, Bond C, Raynor DK. Medication reviews. </w:t>
      </w:r>
      <w:r w:rsidRPr="00C22B52">
        <w:rPr>
          <w:i/>
        </w:rPr>
        <w:t>Br</w:t>
      </w:r>
      <w:r>
        <w:rPr>
          <w:i/>
        </w:rPr>
        <w:t xml:space="preserve"> J Clin Pharm</w:t>
      </w:r>
      <w:r w:rsidRPr="00C22B52">
        <w:rPr>
          <w:i/>
        </w:rPr>
        <w:t>.</w:t>
      </w:r>
      <w:r w:rsidRPr="00C22B52">
        <w:t xml:space="preserve"> 2012;74:573-580.</w:t>
      </w:r>
    </w:p>
    <w:p w:rsidR="00102289" w:rsidRPr="00C22B52" w:rsidRDefault="00102289" w:rsidP="00FB02EC">
      <w:pPr>
        <w:pStyle w:val="EndNoteBibliography"/>
        <w:spacing w:after="0"/>
        <w:ind w:left="720" w:hanging="720"/>
      </w:pPr>
      <w:r w:rsidRPr="00C22B52">
        <w:rPr>
          <w:b/>
        </w:rPr>
        <w:t>2.</w:t>
      </w:r>
      <w:r w:rsidRPr="00C22B52">
        <w:tab/>
        <w:t xml:space="preserve">Jokanovic N, Tan EC, Sudhakaran S, et al. Pharmacist-led medication review in community settings: An overview of systematic reviews. </w:t>
      </w:r>
      <w:r w:rsidRPr="00C22B52">
        <w:rPr>
          <w:i/>
        </w:rPr>
        <w:t>Res Social Adm Pharm.</w:t>
      </w:r>
      <w:r w:rsidRPr="00C22B52">
        <w:t xml:space="preserve"> 2017;13:661-685.</w:t>
      </w:r>
    </w:p>
    <w:p w:rsidR="00102289" w:rsidRPr="00C22B52" w:rsidRDefault="00102289" w:rsidP="00FB02EC">
      <w:pPr>
        <w:pStyle w:val="EndNoteBibliography"/>
        <w:spacing w:after="0"/>
        <w:ind w:left="720" w:hanging="720"/>
      </w:pPr>
      <w:r w:rsidRPr="00C22B52">
        <w:rPr>
          <w:b/>
        </w:rPr>
        <w:t>3.</w:t>
      </w:r>
      <w:r w:rsidRPr="00C22B52">
        <w:tab/>
        <w:t xml:space="preserve">Hatah E, Braund R, Tordoff J, Duffull SB. A systematic review and meta-analysis of pharmacist-led fee-for-services medication review. </w:t>
      </w:r>
      <w:r w:rsidRPr="00C22B52">
        <w:rPr>
          <w:i/>
        </w:rPr>
        <w:t>Br J Clin Pharmacol.</w:t>
      </w:r>
      <w:r w:rsidRPr="00C22B52">
        <w:t xml:space="preserve"> 2014;77:102-115.</w:t>
      </w:r>
    </w:p>
    <w:p w:rsidR="00102289" w:rsidRPr="00C22B52" w:rsidRDefault="00102289" w:rsidP="00FB02EC">
      <w:pPr>
        <w:pStyle w:val="EndNoteBibliography"/>
        <w:spacing w:after="0"/>
        <w:ind w:left="720" w:hanging="720"/>
      </w:pPr>
      <w:r w:rsidRPr="00C22B52">
        <w:rPr>
          <w:b/>
        </w:rPr>
        <w:t>4.</w:t>
      </w:r>
      <w:r w:rsidRPr="00C22B52">
        <w:tab/>
        <w:t xml:space="preserve">Viswanathan M, Kahwati LC, Golin CE, et al. Medication therapy management interventions in outpatient settings: A systematic review and meta-analysis. </w:t>
      </w:r>
      <w:r w:rsidRPr="00C22B52">
        <w:rPr>
          <w:i/>
        </w:rPr>
        <w:t>JAMA Internal Medicine.</w:t>
      </w:r>
      <w:r w:rsidRPr="00C22B52">
        <w:t xml:space="preserve"> 2015;175:76-87.</w:t>
      </w:r>
    </w:p>
    <w:p w:rsidR="00102289" w:rsidRPr="00C22B52" w:rsidRDefault="00102289" w:rsidP="00FB02EC">
      <w:pPr>
        <w:pStyle w:val="EndNoteBibliography"/>
        <w:spacing w:after="0"/>
        <w:ind w:left="720" w:hanging="720"/>
      </w:pPr>
      <w:r w:rsidRPr="00C22B52">
        <w:rPr>
          <w:b/>
        </w:rPr>
        <w:t>5.</w:t>
      </w:r>
      <w:r w:rsidRPr="00C22B52">
        <w:tab/>
        <w:t xml:space="preserve">Jokanovic N, Tan ECK, van den Bosch D, Kirkpatrick CM, Dooley MJ, Bell JS. Clinical medication review in Australia: A systematic review. </w:t>
      </w:r>
      <w:r w:rsidRPr="00C22B52">
        <w:rPr>
          <w:i/>
        </w:rPr>
        <w:t>Res Social Adm Pharm.</w:t>
      </w:r>
      <w:r w:rsidRPr="00C22B52">
        <w:t xml:space="preserve"> 2016;12:384-418.</w:t>
      </w:r>
    </w:p>
    <w:p w:rsidR="00102289" w:rsidRPr="00C22B52" w:rsidRDefault="00102289" w:rsidP="00FB02EC">
      <w:pPr>
        <w:pStyle w:val="EndNoteBibliography"/>
        <w:spacing w:after="0"/>
        <w:ind w:left="720" w:hanging="720"/>
      </w:pPr>
      <w:r w:rsidRPr="00C22B52">
        <w:rPr>
          <w:b/>
        </w:rPr>
        <w:t>6.</w:t>
      </w:r>
      <w:r w:rsidRPr="00C22B52">
        <w:tab/>
        <w:t>Department of Health and Social Care. Pharmaceutical Services (Advanced and Enhanced Services) (England) Directions 2013: Department of Health and Social Care; 2013.</w:t>
      </w:r>
    </w:p>
    <w:p w:rsidR="00102289" w:rsidRPr="00C22B52" w:rsidRDefault="00102289" w:rsidP="00FB02EC">
      <w:pPr>
        <w:pStyle w:val="EndNoteBibliography"/>
        <w:spacing w:after="0"/>
        <w:ind w:left="720" w:hanging="720"/>
      </w:pPr>
      <w:r w:rsidRPr="00C22B52">
        <w:rPr>
          <w:b/>
        </w:rPr>
        <w:t>7.</w:t>
      </w:r>
      <w:r w:rsidRPr="00C22B52">
        <w:tab/>
        <w:t>Pharmaceutical Services Negotiating Commit</w:t>
      </w:r>
      <w:r>
        <w:t xml:space="preserve">tee. Advanced Service Payments; </w:t>
      </w:r>
      <w:hyperlink r:id="rId8" w:history="1">
        <w:r w:rsidRPr="005B1B93">
          <w:rPr>
            <w:rStyle w:val="Hyperlink"/>
          </w:rPr>
          <w:t>https://psnc.org.uk/funding-and-statistics/funding-distribution/advanced-service-payments/</w:t>
        </w:r>
      </w:hyperlink>
      <w:r>
        <w:t>; Accessed 03.02.19</w:t>
      </w:r>
    </w:p>
    <w:p w:rsidR="00102289" w:rsidRPr="00C22B52" w:rsidRDefault="00102289" w:rsidP="00102289">
      <w:pPr>
        <w:pStyle w:val="EndNoteBibliography"/>
        <w:spacing w:after="0"/>
        <w:ind w:left="720" w:hanging="720"/>
      </w:pPr>
      <w:r w:rsidRPr="00C22B52">
        <w:rPr>
          <w:b/>
        </w:rPr>
        <w:t>8.</w:t>
      </w:r>
      <w:r w:rsidRPr="00C22B52">
        <w:tab/>
        <w:t>Pharmaceutical Services Negotiating Committee. MURs: the basics</w:t>
      </w:r>
      <w:r>
        <w:t xml:space="preserve">; </w:t>
      </w:r>
      <w:hyperlink r:id="rId9" w:history="1">
        <w:r w:rsidRPr="005B1B93">
          <w:rPr>
            <w:rStyle w:val="Hyperlink"/>
          </w:rPr>
          <w:t>https://psnc.org.uk/services-commissioning/advanced-services/murs/murs-the-basics/</w:t>
        </w:r>
      </w:hyperlink>
      <w:r>
        <w:t>; Accessed 05.07.18</w:t>
      </w:r>
      <w:r w:rsidRPr="009A5DC0">
        <w:t>.</w:t>
      </w:r>
    </w:p>
    <w:p w:rsidR="00102289" w:rsidRPr="00C22B52" w:rsidRDefault="00102289" w:rsidP="00102289">
      <w:pPr>
        <w:pStyle w:val="EndNoteBibliography"/>
        <w:spacing w:after="0"/>
        <w:ind w:left="720" w:hanging="720"/>
      </w:pPr>
      <w:r w:rsidRPr="00C22B52">
        <w:rPr>
          <w:b/>
        </w:rPr>
        <w:t>9.</w:t>
      </w:r>
      <w:r w:rsidRPr="00C22B52">
        <w:tab/>
        <w:t>Pharmaceutical Services Negotiatinig Committee. New Medicine Service (NMS)</w:t>
      </w:r>
      <w:r>
        <w:t xml:space="preserve">; </w:t>
      </w:r>
      <w:hyperlink r:id="rId10" w:history="1">
        <w:r w:rsidRPr="005B1B93">
          <w:rPr>
            <w:rStyle w:val="Hyperlink"/>
          </w:rPr>
          <w:t>https://psnc.org.uk/services-commissioning/advanced-services/nms/</w:t>
        </w:r>
      </w:hyperlink>
      <w:r>
        <w:rPr>
          <w:rStyle w:val="Hyperlink"/>
        </w:rPr>
        <w:t>;</w:t>
      </w:r>
      <w:r>
        <w:t xml:space="preserve"> Accessed 05.07.18</w:t>
      </w:r>
      <w:r w:rsidRPr="00C22B52">
        <w:t>.</w:t>
      </w:r>
    </w:p>
    <w:p w:rsidR="00102289" w:rsidRPr="00C22B52" w:rsidRDefault="00102289" w:rsidP="00FB02EC">
      <w:pPr>
        <w:pStyle w:val="EndNoteBibliography"/>
        <w:spacing w:after="0"/>
        <w:ind w:left="720" w:hanging="720"/>
      </w:pPr>
      <w:r w:rsidRPr="00C22B52">
        <w:rPr>
          <w:b/>
        </w:rPr>
        <w:t>10.</w:t>
      </w:r>
      <w:r w:rsidRPr="00C22B52">
        <w:tab/>
        <w:t xml:space="preserve">Hall NJ, Donovan G, Wilkes S. A qualitative synthesis of pharmacist, other health professional and lay perspectives on the role of community pharmacy in facilitating care for people with long-term conditions. </w:t>
      </w:r>
      <w:r w:rsidRPr="00C22B52">
        <w:rPr>
          <w:i/>
        </w:rPr>
        <w:t>Res Social Adm Pharm.</w:t>
      </w:r>
      <w:r w:rsidRPr="00C22B52">
        <w:t xml:space="preserve"> 2018.</w:t>
      </w:r>
    </w:p>
    <w:p w:rsidR="00102289" w:rsidRPr="00C22B52" w:rsidRDefault="00102289" w:rsidP="00FB02EC">
      <w:pPr>
        <w:pStyle w:val="EndNoteBibliography"/>
        <w:spacing w:after="0"/>
        <w:ind w:left="720" w:hanging="720"/>
      </w:pPr>
      <w:r w:rsidRPr="00C22B52">
        <w:rPr>
          <w:b/>
        </w:rPr>
        <w:t>11.</w:t>
      </w:r>
      <w:r w:rsidRPr="00C22B52">
        <w:tab/>
        <w:t xml:space="preserve">Anderson C, Blenkinsopp A, Armstrong M. Feedback from community pharmacy users on the contribution of community pharmacy to improving public’s health: a systematic review of the peer reviewed and non-peer reviewed literature 1990-2002. </w:t>
      </w:r>
      <w:r w:rsidRPr="00C22B52">
        <w:rPr>
          <w:i/>
        </w:rPr>
        <w:t>Health Expect.</w:t>
      </w:r>
      <w:r w:rsidRPr="00C22B52">
        <w:t xml:space="preserve"> 2004;7:191-202.</w:t>
      </w:r>
    </w:p>
    <w:p w:rsidR="00102289" w:rsidRPr="00C22B52" w:rsidRDefault="00102289" w:rsidP="00FB02EC">
      <w:pPr>
        <w:pStyle w:val="EndNoteBibliography"/>
        <w:spacing w:after="0"/>
        <w:ind w:left="720" w:hanging="720"/>
      </w:pPr>
      <w:r w:rsidRPr="00C22B52">
        <w:rPr>
          <w:b/>
        </w:rPr>
        <w:t>12.</w:t>
      </w:r>
      <w:r w:rsidRPr="00C22B52">
        <w:tab/>
        <w:t xml:space="preserve">Blenkinsopp A, Anderson C, Armstrong M. Systematic review of the effectiveness of community pharmacy-based interventions to reduce risk behaviours and risk factors for coronary heart disease. </w:t>
      </w:r>
      <w:r w:rsidRPr="00C22B52">
        <w:rPr>
          <w:i/>
        </w:rPr>
        <w:t>J</w:t>
      </w:r>
      <w:r>
        <w:rPr>
          <w:i/>
        </w:rPr>
        <w:t xml:space="preserve"> Public Health Med</w:t>
      </w:r>
      <w:r w:rsidRPr="00C22B52">
        <w:rPr>
          <w:i/>
        </w:rPr>
        <w:t>.</w:t>
      </w:r>
      <w:r w:rsidRPr="00C22B52">
        <w:t xml:space="preserve"> 2003;25:144-153.</w:t>
      </w:r>
    </w:p>
    <w:p w:rsidR="00102289" w:rsidRPr="00C22B52" w:rsidRDefault="00102289" w:rsidP="00FB02EC">
      <w:pPr>
        <w:pStyle w:val="EndNoteBibliography"/>
        <w:spacing w:after="0"/>
        <w:ind w:left="720" w:hanging="720"/>
      </w:pPr>
      <w:r w:rsidRPr="00C22B52">
        <w:rPr>
          <w:b/>
        </w:rPr>
        <w:t>13.</w:t>
      </w:r>
      <w:r w:rsidRPr="00C22B52">
        <w:tab/>
        <w:t xml:space="preserve">Brown D, Portlock J, Rutter P, Nazar Z. From community pharmacy to healthy living pharmacy: positive early experiences from Portsmouth, England. </w:t>
      </w:r>
      <w:r w:rsidRPr="00C22B52">
        <w:rPr>
          <w:i/>
        </w:rPr>
        <w:t>Res Social Adm Pharm.</w:t>
      </w:r>
      <w:r w:rsidRPr="00C22B52">
        <w:t xml:space="preserve"> 2014;10:72-87.</w:t>
      </w:r>
    </w:p>
    <w:p w:rsidR="00102289" w:rsidRPr="00C22B52" w:rsidRDefault="00102289" w:rsidP="00FB02EC">
      <w:pPr>
        <w:pStyle w:val="EndNoteBibliography"/>
        <w:spacing w:after="0"/>
        <w:ind w:left="720" w:hanging="720"/>
      </w:pPr>
      <w:r w:rsidRPr="00C22B52">
        <w:rPr>
          <w:b/>
        </w:rPr>
        <w:t>14.</w:t>
      </w:r>
      <w:r w:rsidRPr="00C22B52">
        <w:tab/>
        <w:t>NHS England. NHS: Five year forward view2014.</w:t>
      </w:r>
    </w:p>
    <w:p w:rsidR="00102289" w:rsidRPr="00C22B52" w:rsidRDefault="00102289" w:rsidP="00FB02EC">
      <w:pPr>
        <w:pStyle w:val="EndNoteBibliography"/>
        <w:spacing w:after="0"/>
        <w:ind w:left="720" w:hanging="720"/>
      </w:pPr>
      <w:r w:rsidRPr="00C22B52">
        <w:rPr>
          <w:b/>
        </w:rPr>
        <w:t>15.</w:t>
      </w:r>
      <w:r w:rsidRPr="00C22B52">
        <w:tab/>
        <w:t xml:space="preserve">Brown TJ, Todd A, O'Malley C, et al. Community pharmacy-delivered interventions for public health priorities: a systematic review of interventions for alcohol reduction, smoking cessation and weight management, including meta-analysis for smoking cessation. </w:t>
      </w:r>
      <w:r w:rsidRPr="00C22B52">
        <w:rPr>
          <w:i/>
        </w:rPr>
        <w:t>BMJ Open.</w:t>
      </w:r>
      <w:r w:rsidRPr="00C22B52">
        <w:t xml:space="preserve"> 2016;6:e009828.</w:t>
      </w:r>
    </w:p>
    <w:p w:rsidR="00102289" w:rsidRPr="00C22B52" w:rsidRDefault="00102289" w:rsidP="00FB02EC">
      <w:pPr>
        <w:pStyle w:val="EndNoteBibliography"/>
        <w:spacing w:after="0"/>
        <w:ind w:left="720" w:hanging="720"/>
      </w:pPr>
      <w:r w:rsidRPr="00C22B52">
        <w:rPr>
          <w:b/>
        </w:rPr>
        <w:t>16.</w:t>
      </w:r>
      <w:r w:rsidRPr="00C22B52">
        <w:tab/>
        <w:t xml:space="preserve">Eades CE, Ferguson JS, O'Carroll RE. Public health in community pharmacy: A systematic review of pharmacist and consumer views. </w:t>
      </w:r>
      <w:r w:rsidRPr="00C22B52">
        <w:rPr>
          <w:i/>
        </w:rPr>
        <w:t>BMC Public Health.</w:t>
      </w:r>
      <w:r w:rsidRPr="00C22B52">
        <w:t xml:space="preserve"> 2011;11:582.</w:t>
      </w:r>
    </w:p>
    <w:p w:rsidR="00102289" w:rsidRPr="00C22B52" w:rsidRDefault="00102289" w:rsidP="00FB02EC">
      <w:pPr>
        <w:pStyle w:val="EndNoteBibliography"/>
        <w:spacing w:after="0"/>
        <w:ind w:left="720" w:hanging="720"/>
      </w:pPr>
      <w:r w:rsidRPr="00C22B52">
        <w:rPr>
          <w:b/>
        </w:rPr>
        <w:t>17.</w:t>
      </w:r>
      <w:r w:rsidRPr="00C22B52">
        <w:tab/>
        <w:t xml:space="preserve">Latif A, Pollock K, Boardman HF. The contribution of the Medicines Use Review (MUR) consultation to counseling practice in community pharmacies. </w:t>
      </w:r>
      <w:r w:rsidRPr="00C22B52">
        <w:rPr>
          <w:i/>
        </w:rPr>
        <w:t>Patient Educ Couns.</w:t>
      </w:r>
      <w:r w:rsidRPr="00C22B52">
        <w:t xml:space="preserve"> 2011;83:336-344.</w:t>
      </w:r>
    </w:p>
    <w:p w:rsidR="00102289" w:rsidRPr="00C22B52" w:rsidRDefault="00102289" w:rsidP="00FB02EC">
      <w:pPr>
        <w:pStyle w:val="EndNoteBibliography"/>
        <w:spacing w:after="0"/>
        <w:ind w:left="720" w:hanging="720"/>
      </w:pPr>
      <w:r w:rsidRPr="00C22B52">
        <w:rPr>
          <w:b/>
        </w:rPr>
        <w:t>18.</w:t>
      </w:r>
      <w:r w:rsidRPr="00C22B52">
        <w:tab/>
        <w:t>General Pharmaceutical Council. Standards for pharmacy professionals. London: General Pharmaceutical Council; 2017.</w:t>
      </w:r>
    </w:p>
    <w:p w:rsidR="00102289" w:rsidRPr="00C22B52" w:rsidRDefault="00102289" w:rsidP="00FB02EC">
      <w:pPr>
        <w:pStyle w:val="EndNoteBibliography"/>
        <w:spacing w:after="0"/>
        <w:ind w:left="720" w:hanging="720"/>
      </w:pPr>
      <w:r w:rsidRPr="00C22B52">
        <w:rPr>
          <w:b/>
        </w:rPr>
        <w:t>19.</w:t>
      </w:r>
      <w:r w:rsidRPr="00C22B52">
        <w:tab/>
        <w:t xml:space="preserve">Abdel-Tawab R, James DH, Fichtinger A, Clatworthy J, Horne R, Davies G. Development and validation of the Medication-Related Consultation Framework (MRCF). </w:t>
      </w:r>
      <w:r w:rsidRPr="00C22B52">
        <w:rPr>
          <w:i/>
        </w:rPr>
        <w:t>Patient Educ Couns.</w:t>
      </w:r>
      <w:r w:rsidRPr="00C22B52">
        <w:t xml:space="preserve"> 2011;83:451-457.</w:t>
      </w:r>
    </w:p>
    <w:p w:rsidR="00102289" w:rsidRPr="00C22B52" w:rsidRDefault="00102289" w:rsidP="00FB02EC">
      <w:pPr>
        <w:pStyle w:val="EndNoteBibliography"/>
        <w:spacing w:after="0"/>
        <w:ind w:left="720" w:hanging="720"/>
      </w:pPr>
      <w:r w:rsidRPr="00C22B52">
        <w:rPr>
          <w:b/>
        </w:rPr>
        <w:lastRenderedPageBreak/>
        <w:t>20.</w:t>
      </w:r>
      <w:r w:rsidRPr="00C22B52">
        <w:tab/>
        <w:t>Centre for Pharmacy Postgraduate Education. Conusltation skills for pharmacy practice: taking a patient-centred approach. Manchester: CPPE; 2014.</w:t>
      </w:r>
    </w:p>
    <w:p w:rsidR="00102289" w:rsidRPr="00C22B52" w:rsidRDefault="00102289" w:rsidP="00FB02EC">
      <w:pPr>
        <w:pStyle w:val="EndNoteBibliography"/>
        <w:spacing w:after="0"/>
        <w:ind w:left="720" w:hanging="720"/>
      </w:pPr>
      <w:r w:rsidRPr="00C22B52">
        <w:rPr>
          <w:b/>
        </w:rPr>
        <w:t>21.</w:t>
      </w:r>
      <w:r w:rsidRPr="00C22B52">
        <w:tab/>
        <w:t xml:space="preserve">Elliott RA, Boyd MJ, Salema NE, et al. Supporting adherence for people starting a new medication for a long-term condition through community pharmacies: A pragmatic randomised controlled trial of the New Medicine Service. </w:t>
      </w:r>
      <w:r w:rsidRPr="00C22B52">
        <w:rPr>
          <w:i/>
        </w:rPr>
        <w:t>BMJ Qual Saf.</w:t>
      </w:r>
      <w:r w:rsidRPr="00C22B52">
        <w:t xml:space="preserve"> 2016;25:747-758.</w:t>
      </w:r>
    </w:p>
    <w:p w:rsidR="00102289" w:rsidRPr="00C22B52" w:rsidRDefault="00102289" w:rsidP="00FB02EC">
      <w:pPr>
        <w:pStyle w:val="EndNoteBibliography"/>
        <w:spacing w:after="0"/>
        <w:ind w:left="720" w:hanging="720"/>
      </w:pPr>
      <w:r w:rsidRPr="00C22B52">
        <w:rPr>
          <w:b/>
        </w:rPr>
        <w:t>22.</w:t>
      </w:r>
      <w:r w:rsidRPr="00C22B52">
        <w:tab/>
        <w:t xml:space="preserve">Elliott RA, Tanajewski L, Gkountouras G, et al. Cost Effectiveness of Support for People Starting a New Medication for a Long-Term Condition Through Community Pharmacies: An Economic Evaluation of the New Medicine Service (NMS) Compared with Normal Practice. </w:t>
      </w:r>
      <w:r w:rsidRPr="00C22B52">
        <w:rPr>
          <w:i/>
        </w:rPr>
        <w:t>PharmacoEconomics.</w:t>
      </w:r>
      <w:r w:rsidRPr="00C22B52">
        <w:t xml:space="preserve"> 2017;35:1237-1255.</w:t>
      </w:r>
    </w:p>
    <w:p w:rsidR="00102289" w:rsidRPr="00C22B52" w:rsidRDefault="00102289" w:rsidP="00FB02EC">
      <w:pPr>
        <w:pStyle w:val="EndNoteBibliography"/>
        <w:spacing w:after="0"/>
        <w:ind w:left="720" w:hanging="720"/>
      </w:pPr>
      <w:r w:rsidRPr="00C22B52">
        <w:rPr>
          <w:b/>
        </w:rPr>
        <w:t>23.</w:t>
      </w:r>
      <w:r w:rsidRPr="00C22B52">
        <w:tab/>
        <w:t xml:space="preserve">Ramsbottom H, Rutter P, Fitzpatrick R. Post discharge medicines use review (dMUR) service for older patients: Cost-savings from community pharmacist interventions. </w:t>
      </w:r>
      <w:r w:rsidRPr="00C22B52">
        <w:rPr>
          <w:i/>
        </w:rPr>
        <w:t>Res Social Adm Pharm.</w:t>
      </w:r>
      <w:r w:rsidRPr="00C22B52">
        <w:t xml:space="preserve"> 2018;14:203-206.</w:t>
      </w:r>
    </w:p>
    <w:p w:rsidR="00102289" w:rsidRPr="00C22B52" w:rsidRDefault="00102289" w:rsidP="00FB02EC">
      <w:pPr>
        <w:pStyle w:val="EndNoteBibliography"/>
        <w:spacing w:after="0"/>
        <w:ind w:left="720" w:hanging="720"/>
      </w:pPr>
      <w:r w:rsidRPr="00C22B52">
        <w:rPr>
          <w:b/>
        </w:rPr>
        <w:t>24.</w:t>
      </w:r>
      <w:r w:rsidRPr="00C22B52">
        <w:tab/>
        <w:t xml:space="preserve">Elson R, Cook H, Blenkinsopp A. Patients' knowledge of new medicines after discharge from hospital: What are the effects of hospital-based discharge counseling and community-based medicines use reviews (MURs)? </w:t>
      </w:r>
      <w:r w:rsidRPr="00C22B52">
        <w:rPr>
          <w:i/>
        </w:rPr>
        <w:t>Res Social Adm Pharm.</w:t>
      </w:r>
      <w:r w:rsidRPr="00C22B52">
        <w:t xml:space="preserve"> 2017;13:628-633.</w:t>
      </w:r>
    </w:p>
    <w:p w:rsidR="00102289" w:rsidRPr="00C22B52" w:rsidRDefault="00102289" w:rsidP="00FB02EC">
      <w:pPr>
        <w:pStyle w:val="EndNoteBibliography"/>
        <w:spacing w:after="0"/>
        <w:ind w:left="720" w:hanging="720"/>
      </w:pPr>
      <w:r w:rsidRPr="00C22B52">
        <w:rPr>
          <w:b/>
        </w:rPr>
        <w:t>25.</w:t>
      </w:r>
      <w:r w:rsidRPr="00C22B52">
        <w:tab/>
        <w:t xml:space="preserve">Blenkinsopp A, Bond C, Celino G, Inch J, Gray N. Medicines use review: Adoption and spread of a service innovation. </w:t>
      </w:r>
      <w:r w:rsidRPr="00C22B52">
        <w:rPr>
          <w:i/>
        </w:rPr>
        <w:t>Int J Pharm Pract.</w:t>
      </w:r>
      <w:r w:rsidRPr="00C22B52">
        <w:t xml:space="preserve"> 2008;16:271-276.</w:t>
      </w:r>
    </w:p>
    <w:p w:rsidR="00102289" w:rsidRPr="00C22B52" w:rsidRDefault="00102289" w:rsidP="00FB02EC">
      <w:pPr>
        <w:pStyle w:val="EndNoteBibliography"/>
        <w:spacing w:after="0"/>
        <w:ind w:left="720" w:hanging="720"/>
      </w:pPr>
      <w:r w:rsidRPr="00C22B52">
        <w:rPr>
          <w:b/>
        </w:rPr>
        <w:t>26.</w:t>
      </w:r>
      <w:r w:rsidRPr="00C22B52">
        <w:tab/>
        <w:t xml:space="preserve">Wells KM, Boyd MJ, Thornley T, Boardman HF. What proportion of prescription items dispensed in community pharmacies are eligible for the New Medicine Service? </w:t>
      </w:r>
      <w:r w:rsidRPr="00C22B52">
        <w:rPr>
          <w:i/>
        </w:rPr>
        <w:t>BMC Health Serv Res.</w:t>
      </w:r>
      <w:r w:rsidRPr="00C22B52">
        <w:t xml:space="preserve"> 2014;14:115.</w:t>
      </w:r>
    </w:p>
    <w:p w:rsidR="00102289" w:rsidRPr="00C22B52" w:rsidRDefault="00102289" w:rsidP="00FB02EC">
      <w:pPr>
        <w:pStyle w:val="EndNoteBibliography"/>
        <w:spacing w:after="0"/>
        <w:ind w:left="720" w:hanging="720"/>
      </w:pPr>
      <w:r w:rsidRPr="00C22B52">
        <w:rPr>
          <w:b/>
        </w:rPr>
        <w:t>27.</w:t>
      </w:r>
      <w:r w:rsidRPr="00C22B52">
        <w:tab/>
        <w:t xml:space="preserve">Nazar H, Brice S, Akhter N, et al. New transfer of care initiative of electronic referral from hospital to community pharmacy in England: a formative service evaluation. </w:t>
      </w:r>
      <w:r w:rsidRPr="00C22B52">
        <w:rPr>
          <w:i/>
        </w:rPr>
        <w:t>BMJ open.</w:t>
      </w:r>
      <w:r w:rsidRPr="00C22B52">
        <w:t xml:space="preserve"> 2016;6:e012532.</w:t>
      </w:r>
    </w:p>
    <w:p w:rsidR="00102289" w:rsidRPr="00C22B52" w:rsidRDefault="00102289" w:rsidP="00FB02EC">
      <w:pPr>
        <w:pStyle w:val="EndNoteBibliography"/>
        <w:spacing w:after="0"/>
        <w:ind w:left="720" w:hanging="720"/>
      </w:pPr>
      <w:r w:rsidRPr="00C22B52">
        <w:rPr>
          <w:b/>
        </w:rPr>
        <w:t>28.</w:t>
      </w:r>
      <w:r w:rsidRPr="00C22B52">
        <w:tab/>
        <w:t xml:space="preserve">Blenkinsopp A, Celino G, bond C, Inch J. Medicines use reviews: the first year of a new community pharmacy service. </w:t>
      </w:r>
      <w:r w:rsidRPr="00C22B52">
        <w:rPr>
          <w:i/>
        </w:rPr>
        <w:t>Pharm J.</w:t>
      </w:r>
      <w:r w:rsidRPr="00C22B52">
        <w:t xml:space="preserve"> 2007;278:218-223.</w:t>
      </w:r>
    </w:p>
    <w:p w:rsidR="00102289" w:rsidRPr="00C22B52" w:rsidRDefault="00102289" w:rsidP="00FB02EC">
      <w:pPr>
        <w:pStyle w:val="EndNoteBibliography"/>
        <w:spacing w:after="0"/>
        <w:ind w:left="720" w:hanging="720"/>
      </w:pPr>
      <w:r w:rsidRPr="00C22B52">
        <w:rPr>
          <w:b/>
        </w:rPr>
        <w:t>29.</w:t>
      </w:r>
      <w:r w:rsidRPr="00C22B52">
        <w:tab/>
        <w:t xml:space="preserve">Bradley F, Wagner AC, Elvey R, Noyce PR, Ashcroft DM. Determinants of the uptake of medicines use reviews (MURs) by community pharmacies in England: A multi-method study. </w:t>
      </w:r>
      <w:r w:rsidRPr="00C22B52">
        <w:rPr>
          <w:i/>
        </w:rPr>
        <w:t>Health Policy.</w:t>
      </w:r>
      <w:r w:rsidRPr="00C22B52">
        <w:t xml:space="preserve"> 2008;88:258-268.</w:t>
      </w:r>
    </w:p>
    <w:p w:rsidR="00102289" w:rsidRPr="00C22B52" w:rsidRDefault="00102289" w:rsidP="00FB02EC">
      <w:pPr>
        <w:pStyle w:val="EndNoteBibliography"/>
        <w:spacing w:after="0"/>
        <w:ind w:left="720" w:hanging="720"/>
      </w:pPr>
      <w:r w:rsidRPr="00C22B52">
        <w:rPr>
          <w:b/>
        </w:rPr>
        <w:t>30.</w:t>
      </w:r>
      <w:r w:rsidRPr="00C22B52">
        <w:tab/>
        <w:t xml:space="preserve">Hann M, Schafheutle EI, Bradley F, et al. Organisational and extraorganisational determinants of volume of service delivery by English community pharmacies: a cross-sectional survey and secondary data analysis. </w:t>
      </w:r>
      <w:r w:rsidRPr="00C22B52">
        <w:rPr>
          <w:i/>
        </w:rPr>
        <w:t>BMJ Open.</w:t>
      </w:r>
      <w:r w:rsidRPr="00C22B52">
        <w:t xml:space="preserve"> 2017;7.</w:t>
      </w:r>
    </w:p>
    <w:p w:rsidR="00102289" w:rsidRPr="00C22B52" w:rsidRDefault="00102289" w:rsidP="00FB02EC">
      <w:pPr>
        <w:pStyle w:val="EndNoteBibliography"/>
        <w:spacing w:after="0"/>
        <w:ind w:left="720" w:hanging="720"/>
      </w:pPr>
      <w:r w:rsidRPr="00C22B52">
        <w:rPr>
          <w:b/>
        </w:rPr>
        <w:t>31.</w:t>
      </w:r>
      <w:r w:rsidRPr="00C22B52">
        <w:tab/>
        <w:t xml:space="preserve">Brown D, Portlock J, Rutter P, Nazar Z. From community pharmacy to healthy living pharmacy: Positive early experiences from Portsmouth, England. </w:t>
      </w:r>
      <w:r w:rsidRPr="00C22B52">
        <w:rPr>
          <w:i/>
        </w:rPr>
        <w:t>Res Social Adm Pharm.</w:t>
      </w:r>
      <w:r w:rsidRPr="00C22B52">
        <w:t xml:space="preserve"> 2014;10:72-87.</w:t>
      </w:r>
    </w:p>
    <w:p w:rsidR="00102289" w:rsidRPr="00C22B52" w:rsidRDefault="00102289" w:rsidP="00FB02EC">
      <w:pPr>
        <w:pStyle w:val="EndNoteBibliography"/>
        <w:spacing w:after="0"/>
        <w:ind w:left="720" w:hanging="720"/>
      </w:pPr>
      <w:r w:rsidRPr="00C22B52">
        <w:rPr>
          <w:b/>
        </w:rPr>
        <w:t>32.</w:t>
      </w:r>
      <w:r w:rsidRPr="00C22B52">
        <w:tab/>
        <w:t xml:space="preserve">Portlock J, Holden M, Patel S. A community pharmacy asthma MUR project in Hampshire and the Isle of Wight. </w:t>
      </w:r>
      <w:r w:rsidRPr="00C22B52">
        <w:rPr>
          <w:i/>
        </w:rPr>
        <w:t>Pharm J.</w:t>
      </w:r>
      <w:r w:rsidRPr="00C22B52">
        <w:t xml:space="preserve"> 2009;282:109-112.</w:t>
      </w:r>
    </w:p>
    <w:p w:rsidR="00102289" w:rsidRPr="00C22B52" w:rsidRDefault="00102289" w:rsidP="00FB02EC">
      <w:pPr>
        <w:pStyle w:val="EndNoteBibliography"/>
        <w:spacing w:after="0"/>
        <w:ind w:left="720" w:hanging="720"/>
      </w:pPr>
      <w:r w:rsidRPr="00C22B52">
        <w:rPr>
          <w:b/>
        </w:rPr>
        <w:t>33.</w:t>
      </w:r>
      <w:r w:rsidRPr="00C22B52">
        <w:tab/>
        <w:t xml:space="preserve">Latif A, Pollock K, Boardman HF. Medicines use reviews: a potential resource or lost opportunity for general practice? </w:t>
      </w:r>
      <w:r w:rsidRPr="00C22B52">
        <w:rPr>
          <w:i/>
        </w:rPr>
        <w:t>BMC family practice.</w:t>
      </w:r>
      <w:r w:rsidRPr="00C22B52">
        <w:t xml:space="preserve"> 2013;14:57.</w:t>
      </w:r>
    </w:p>
    <w:p w:rsidR="00102289" w:rsidRPr="00C22B52" w:rsidRDefault="00102289" w:rsidP="00FB02EC">
      <w:pPr>
        <w:pStyle w:val="EndNoteBibliography"/>
        <w:spacing w:after="0"/>
        <w:ind w:left="720" w:hanging="720"/>
      </w:pPr>
      <w:r w:rsidRPr="00C22B52">
        <w:rPr>
          <w:b/>
        </w:rPr>
        <w:t>34.</w:t>
      </w:r>
      <w:r w:rsidRPr="00C22B52">
        <w:tab/>
        <w:t xml:space="preserve">Latif A, Boardman HF, Pollock K. Understanding the patient perspective of the English community pharmacy Medicines Use Review (MUR). </w:t>
      </w:r>
      <w:r w:rsidRPr="00C22B52">
        <w:rPr>
          <w:i/>
        </w:rPr>
        <w:t>Res Social Adm Pharm.</w:t>
      </w:r>
      <w:r w:rsidRPr="00C22B52">
        <w:t xml:space="preserve"> 2013;9:949-957.</w:t>
      </w:r>
    </w:p>
    <w:p w:rsidR="00102289" w:rsidRPr="00C22B52" w:rsidRDefault="00102289" w:rsidP="00FB02EC">
      <w:pPr>
        <w:pStyle w:val="EndNoteBibliography"/>
        <w:spacing w:after="0"/>
        <w:ind w:left="720" w:hanging="720"/>
      </w:pPr>
      <w:r w:rsidRPr="00C22B52">
        <w:rPr>
          <w:b/>
        </w:rPr>
        <w:t>35.</w:t>
      </w:r>
      <w:r w:rsidRPr="00C22B52">
        <w:tab/>
        <w:t xml:space="preserve">Latif A, Boardman HF, Pollock K. A qualitative study exploring the impact and consequence of the medicines use review service on pharmacy support-staff. </w:t>
      </w:r>
      <w:r w:rsidRPr="00C22B52">
        <w:rPr>
          <w:i/>
        </w:rPr>
        <w:t>Pharm Pract.</w:t>
      </w:r>
      <w:r w:rsidRPr="00C22B52">
        <w:t xml:space="preserve"> 2013;11:118-124.</w:t>
      </w:r>
    </w:p>
    <w:p w:rsidR="00102289" w:rsidRPr="00C22B52" w:rsidRDefault="00102289" w:rsidP="00FB02EC">
      <w:pPr>
        <w:pStyle w:val="EndNoteBibliography"/>
        <w:spacing w:after="0"/>
        <w:ind w:left="720" w:hanging="720"/>
      </w:pPr>
      <w:r w:rsidRPr="00C22B52">
        <w:rPr>
          <w:b/>
        </w:rPr>
        <w:t>36.</w:t>
      </w:r>
      <w:r w:rsidRPr="00C22B52">
        <w:tab/>
        <w:t xml:space="preserve">Wilcock M, Harding G. General practitioners' perceptions of medicines use reviews by pharmacists. </w:t>
      </w:r>
      <w:r w:rsidRPr="00C22B52">
        <w:rPr>
          <w:i/>
        </w:rPr>
        <w:t>Pharm J.</w:t>
      </w:r>
      <w:r w:rsidRPr="00C22B52">
        <w:t xml:space="preserve"> 2007;279:501-503.</w:t>
      </w:r>
    </w:p>
    <w:p w:rsidR="00102289" w:rsidRPr="00C22B52" w:rsidRDefault="00102289" w:rsidP="00FB02EC">
      <w:pPr>
        <w:pStyle w:val="EndNoteBibliography"/>
        <w:spacing w:after="0"/>
        <w:ind w:left="720" w:hanging="720"/>
      </w:pPr>
      <w:r w:rsidRPr="00C22B52">
        <w:rPr>
          <w:b/>
        </w:rPr>
        <w:t>37.</w:t>
      </w:r>
      <w:r w:rsidRPr="00C22B52">
        <w:tab/>
        <w:t xml:space="preserve">Latif A, Waring J, Watmough D, et al. Examination of England's New Medicine Service (NMS) of complex health care interventions in community pharmacy. </w:t>
      </w:r>
      <w:r w:rsidRPr="00C22B52">
        <w:rPr>
          <w:i/>
        </w:rPr>
        <w:t>Res Social Adm Pharm.</w:t>
      </w:r>
      <w:r w:rsidRPr="00C22B52">
        <w:t xml:space="preserve"> 2016;12:966-989.</w:t>
      </w:r>
    </w:p>
    <w:p w:rsidR="00102289" w:rsidRPr="00C22B52" w:rsidRDefault="00102289" w:rsidP="00FB02EC">
      <w:pPr>
        <w:pStyle w:val="EndNoteBibliography"/>
        <w:spacing w:after="0"/>
        <w:ind w:left="720" w:hanging="720"/>
      </w:pPr>
      <w:r w:rsidRPr="00C22B52">
        <w:rPr>
          <w:b/>
        </w:rPr>
        <w:t>38.</w:t>
      </w:r>
      <w:r w:rsidRPr="00C22B52">
        <w:tab/>
        <w:t xml:space="preserve">Lucas B, Blenkinsopp A. Community pharmacists' experience and perceptions of the New Medicines Service (NMS). </w:t>
      </w:r>
      <w:r w:rsidRPr="00C22B52">
        <w:rPr>
          <w:i/>
        </w:rPr>
        <w:t>Int J Pharm Pract.</w:t>
      </w:r>
      <w:r w:rsidRPr="00C22B52">
        <w:t xml:space="preserve"> 2015;23:399-406.</w:t>
      </w:r>
    </w:p>
    <w:p w:rsidR="00102289" w:rsidRPr="00C22B52" w:rsidRDefault="00102289" w:rsidP="00FB02EC">
      <w:pPr>
        <w:pStyle w:val="EndNoteBibliography"/>
        <w:spacing w:after="0"/>
        <w:ind w:left="720" w:hanging="720"/>
      </w:pPr>
      <w:r w:rsidRPr="00C22B52">
        <w:rPr>
          <w:b/>
        </w:rPr>
        <w:lastRenderedPageBreak/>
        <w:t>39.</w:t>
      </w:r>
      <w:r w:rsidRPr="00C22B52">
        <w:tab/>
        <w:t xml:space="preserve">Urban R, Rivers P, Morgan J. Perceptions of medicines use reviews: the views of community pharmacists within a West Yorkshire primary care Trust. </w:t>
      </w:r>
      <w:r w:rsidRPr="00C22B52">
        <w:rPr>
          <w:i/>
        </w:rPr>
        <w:t>Pharm J.</w:t>
      </w:r>
      <w:r w:rsidRPr="00C22B52">
        <w:t xml:space="preserve"> 2008;281:303-305.</w:t>
      </w:r>
    </w:p>
    <w:p w:rsidR="00102289" w:rsidRPr="00C22B52" w:rsidRDefault="00102289" w:rsidP="00FB02EC">
      <w:pPr>
        <w:pStyle w:val="EndNoteBibliography"/>
        <w:spacing w:after="0"/>
        <w:ind w:left="720" w:hanging="720"/>
      </w:pPr>
      <w:r w:rsidRPr="00C22B52">
        <w:rPr>
          <w:b/>
        </w:rPr>
        <w:t>40.</w:t>
      </w:r>
      <w:r w:rsidRPr="00C22B52">
        <w:tab/>
        <w:t xml:space="preserve">Wells KM, Thornley T, Boyd MJ, Boardman HF. Views and experiences of community pharmacists and superintendent pharmacists regarding the New Medicine Service in England prior to implementation. </w:t>
      </w:r>
      <w:r w:rsidRPr="00C22B52">
        <w:rPr>
          <w:i/>
        </w:rPr>
        <w:t>Res Social Adm Pharm.</w:t>
      </w:r>
      <w:r w:rsidRPr="00C22B52">
        <w:t xml:space="preserve"> 2014;10:58-71.</w:t>
      </w:r>
    </w:p>
    <w:p w:rsidR="00102289" w:rsidRPr="00C22B52" w:rsidRDefault="00102289" w:rsidP="00FB02EC">
      <w:pPr>
        <w:pStyle w:val="EndNoteBibliography"/>
        <w:spacing w:after="0"/>
        <w:ind w:left="720" w:hanging="720"/>
      </w:pPr>
      <w:r w:rsidRPr="00C22B52">
        <w:rPr>
          <w:b/>
        </w:rPr>
        <w:t>41.</w:t>
      </w:r>
      <w:r w:rsidRPr="00C22B52">
        <w:tab/>
        <w:t>Tucker R. The medicines use review in patients with chronic skin diseases: are pharmacists doing them and how confident are they?</w:t>
      </w:r>
      <w:r w:rsidRPr="00102289">
        <w:rPr>
          <w:i/>
        </w:rPr>
        <w:t xml:space="preserve"> </w:t>
      </w:r>
      <w:r w:rsidRPr="00C22B52">
        <w:rPr>
          <w:i/>
        </w:rPr>
        <w:t>Int J Pharm Pract.</w:t>
      </w:r>
      <w:r w:rsidRPr="00C22B52">
        <w:t xml:space="preserve"> 2013;21:202-204.</w:t>
      </w:r>
    </w:p>
    <w:p w:rsidR="00102289" w:rsidRPr="00C22B52" w:rsidRDefault="00102289" w:rsidP="00FB02EC">
      <w:pPr>
        <w:pStyle w:val="EndNoteBibliography"/>
        <w:spacing w:after="0"/>
        <w:ind w:left="720" w:hanging="720"/>
      </w:pPr>
      <w:r w:rsidRPr="00C22B52">
        <w:rPr>
          <w:b/>
        </w:rPr>
        <w:t>42.</w:t>
      </w:r>
      <w:r w:rsidRPr="00C22B52">
        <w:tab/>
        <w:t xml:space="preserve">McDonald R, Cheraghi-Sohi S, Sanders C, Ashcroft D. Professional status in a changing world: The case of medicines use reviews in English community pharmacy. </w:t>
      </w:r>
      <w:r w:rsidRPr="00C22B52">
        <w:rPr>
          <w:i/>
        </w:rPr>
        <w:t>Soc Sci Med.</w:t>
      </w:r>
      <w:r w:rsidRPr="00C22B52">
        <w:t xml:space="preserve"> 2010;71:451-458.</w:t>
      </w:r>
    </w:p>
    <w:p w:rsidR="00102289" w:rsidRPr="00C22B52" w:rsidRDefault="00102289" w:rsidP="00FB02EC">
      <w:pPr>
        <w:pStyle w:val="EndNoteBibliography"/>
        <w:spacing w:after="0"/>
        <w:ind w:left="720" w:hanging="720"/>
      </w:pPr>
      <w:r w:rsidRPr="00C22B52">
        <w:rPr>
          <w:b/>
        </w:rPr>
        <w:t>43.</w:t>
      </w:r>
      <w:r w:rsidRPr="00C22B52">
        <w:tab/>
        <w:t xml:space="preserve">Latif A, Boardman H. Community pharmacists' attitudes towards medicines use reviews and factors affecting the numbers performed. </w:t>
      </w:r>
      <w:r w:rsidRPr="00C22B52">
        <w:rPr>
          <w:i/>
        </w:rPr>
        <w:t>Pharm World Sci.</w:t>
      </w:r>
      <w:r w:rsidRPr="00C22B52">
        <w:t xml:space="preserve"> 2008;30:536-543.</w:t>
      </w:r>
    </w:p>
    <w:p w:rsidR="00102289" w:rsidRPr="00C22B52" w:rsidRDefault="00102289" w:rsidP="00FB02EC">
      <w:pPr>
        <w:pStyle w:val="EndNoteBibliography"/>
        <w:spacing w:after="0"/>
        <w:ind w:left="720" w:hanging="720"/>
      </w:pPr>
      <w:r w:rsidRPr="00C22B52">
        <w:rPr>
          <w:b/>
        </w:rPr>
        <w:t>44.</w:t>
      </w:r>
      <w:r w:rsidRPr="00C22B52">
        <w:tab/>
        <w:t xml:space="preserve">Rutter P, Ramsbottom H, Fitzpatrick R. Community pharmacist perceptions of delivering post-hospital discharge Medicines Use Reviews for elderly patients. </w:t>
      </w:r>
      <w:r w:rsidRPr="00C22B52">
        <w:rPr>
          <w:i/>
        </w:rPr>
        <w:t>Int J Clin Pharm.</w:t>
      </w:r>
      <w:r w:rsidRPr="00C22B52">
        <w:t xml:space="preserve"> 2017;39:33-36.</w:t>
      </w:r>
    </w:p>
    <w:p w:rsidR="00102289" w:rsidRPr="00C22B52" w:rsidRDefault="00102289" w:rsidP="00FB02EC">
      <w:pPr>
        <w:pStyle w:val="EndNoteBibliography"/>
        <w:spacing w:after="0"/>
        <w:ind w:left="720" w:hanging="720"/>
      </w:pPr>
      <w:r w:rsidRPr="00C22B52">
        <w:rPr>
          <w:b/>
        </w:rPr>
        <w:t>45.</w:t>
      </w:r>
      <w:r w:rsidRPr="00C22B52">
        <w:tab/>
        <w:t xml:space="preserve">Merks P, Swieczkowski D, Jaguszewski MJ. Patients' perception of pharmaceutical services available in a community pharmacy among patients living in a rural area of the United Kingdom. </w:t>
      </w:r>
      <w:r w:rsidRPr="00C22B52">
        <w:rPr>
          <w:i/>
        </w:rPr>
        <w:t>Pharm Pract.</w:t>
      </w:r>
      <w:r w:rsidRPr="00C22B52">
        <w:t xml:space="preserve"> 2016;14:774.</w:t>
      </w:r>
    </w:p>
    <w:p w:rsidR="00102289" w:rsidRPr="00C22B52" w:rsidRDefault="00102289" w:rsidP="00FB02EC">
      <w:pPr>
        <w:pStyle w:val="EndNoteBibliography"/>
        <w:spacing w:after="0"/>
        <w:ind w:left="720" w:hanging="720"/>
      </w:pPr>
      <w:r w:rsidRPr="00C22B52">
        <w:rPr>
          <w:b/>
        </w:rPr>
        <w:t>46.</w:t>
      </w:r>
      <w:r w:rsidRPr="00C22B52">
        <w:tab/>
        <w:t xml:space="preserve">Aston J, Wilson KA, Terry DRP. Children/young people taking long-term medication: a survey of community pharmacists' experiences in England. </w:t>
      </w:r>
      <w:r w:rsidRPr="00C22B52">
        <w:rPr>
          <w:i/>
        </w:rPr>
        <w:t>Int J Pharm Pract.</w:t>
      </w:r>
      <w:r w:rsidRPr="00C22B52">
        <w:t xml:space="preserve"> 2018;26:104-110.</w:t>
      </w:r>
    </w:p>
    <w:p w:rsidR="00102289" w:rsidRPr="00C22B52" w:rsidRDefault="00102289" w:rsidP="00FB02EC">
      <w:pPr>
        <w:pStyle w:val="EndNoteBibliography"/>
        <w:spacing w:after="0"/>
        <w:ind w:left="720" w:hanging="720"/>
      </w:pPr>
      <w:r w:rsidRPr="00C22B52">
        <w:rPr>
          <w:b/>
        </w:rPr>
        <w:t>47.</w:t>
      </w:r>
      <w:r w:rsidRPr="00C22B52">
        <w:tab/>
        <w:t xml:space="preserve">Latif A, Tariq S, Abbasi N, Mandane B. Giving Voice to the Medically Under-Served: A Qualitative Co-Production Approach to Explore Patient Medicine Experiences and Improve Services to Marginalized Communities. </w:t>
      </w:r>
      <w:r w:rsidRPr="00C22B52">
        <w:rPr>
          <w:i/>
        </w:rPr>
        <w:t>Pharmacy (Basel, Switzerland).</w:t>
      </w:r>
      <w:r w:rsidRPr="00C22B52">
        <w:t xml:space="preserve"> 2018;6.</w:t>
      </w:r>
    </w:p>
    <w:p w:rsidR="00102289" w:rsidRPr="00C22B52" w:rsidRDefault="00102289" w:rsidP="00FB02EC">
      <w:pPr>
        <w:pStyle w:val="EndNoteBibliography"/>
        <w:spacing w:after="0"/>
        <w:ind w:left="720" w:hanging="720"/>
      </w:pPr>
      <w:r w:rsidRPr="00C22B52">
        <w:rPr>
          <w:b/>
        </w:rPr>
        <w:t>48.</w:t>
      </w:r>
      <w:r w:rsidRPr="00C22B52">
        <w:tab/>
        <w:t xml:space="preserve">Rodgers RM, Gammie SM, Loo RL, Corlett SA, Krska J. Comparison of pharmacist and public views and experiences of community pharmacy medicines-related services in England. </w:t>
      </w:r>
      <w:r w:rsidRPr="00C22B52">
        <w:rPr>
          <w:i/>
        </w:rPr>
        <w:t>Patient Prefer Adher.</w:t>
      </w:r>
      <w:r w:rsidRPr="00C22B52">
        <w:t xml:space="preserve"> 2016;10:1749-1758.</w:t>
      </w:r>
    </w:p>
    <w:p w:rsidR="00102289" w:rsidRPr="00C22B52" w:rsidRDefault="00102289" w:rsidP="00FB02EC">
      <w:pPr>
        <w:pStyle w:val="EndNoteBibliography"/>
        <w:spacing w:after="0"/>
        <w:ind w:left="720" w:hanging="720"/>
      </w:pPr>
      <w:r w:rsidRPr="00C22B52">
        <w:rPr>
          <w:b/>
        </w:rPr>
        <w:t>49.</w:t>
      </w:r>
      <w:r w:rsidRPr="00C22B52">
        <w:tab/>
        <w:t xml:space="preserve">Hindi A, Parkhurst C, Rashidi Y, Ho SY, Patel N, Donyai P. Development and utilization of the Medicines Use Review patient satisfaction questionnaire. </w:t>
      </w:r>
      <w:r w:rsidRPr="00C22B52">
        <w:rPr>
          <w:i/>
        </w:rPr>
        <w:t>Patient Prefer Adherence.</w:t>
      </w:r>
      <w:r w:rsidRPr="00C22B52">
        <w:t xml:space="preserve"> 2017;11:1797-1806.</w:t>
      </w:r>
    </w:p>
    <w:p w:rsidR="00102289" w:rsidRPr="00C22B52" w:rsidRDefault="00102289" w:rsidP="00FB02EC">
      <w:pPr>
        <w:pStyle w:val="EndNoteBibliography"/>
        <w:spacing w:after="0"/>
        <w:ind w:left="720" w:hanging="720"/>
      </w:pPr>
      <w:r w:rsidRPr="00C22B52">
        <w:rPr>
          <w:b/>
        </w:rPr>
        <w:t>50.</w:t>
      </w:r>
      <w:r w:rsidRPr="00C22B52">
        <w:tab/>
        <w:t xml:space="preserve">Youssef S, Hussain S, Upton D. Do patients perceive any benefit from medicines use reviews offered to them in community pharmacies? </w:t>
      </w:r>
      <w:r w:rsidRPr="00C22B52">
        <w:rPr>
          <w:i/>
        </w:rPr>
        <w:t>Pharm J.</w:t>
      </w:r>
      <w:r w:rsidRPr="00C22B52">
        <w:t xml:space="preserve"> 2010;284:165-166.</w:t>
      </w:r>
    </w:p>
    <w:p w:rsidR="00102289" w:rsidRPr="00C22B52" w:rsidRDefault="00102289" w:rsidP="00FB02EC">
      <w:pPr>
        <w:pStyle w:val="EndNoteBibliography"/>
        <w:spacing w:after="0"/>
        <w:ind w:left="720" w:hanging="720"/>
      </w:pPr>
      <w:r w:rsidRPr="00C22B52">
        <w:rPr>
          <w:b/>
        </w:rPr>
        <w:t>51.</w:t>
      </w:r>
      <w:r w:rsidRPr="00C22B52">
        <w:tab/>
        <w:t xml:space="preserve">Van Den Berg M, Donyai P. A conceptual framework of patient satisfaction with a pharmacy adherence service. </w:t>
      </w:r>
      <w:r w:rsidRPr="00C22B52">
        <w:rPr>
          <w:i/>
        </w:rPr>
        <w:t>Int J Clin Pharm.</w:t>
      </w:r>
      <w:r w:rsidRPr="00C22B52">
        <w:t xml:space="preserve"> 2014;36:182-191.</w:t>
      </w:r>
    </w:p>
    <w:p w:rsidR="00102289" w:rsidRPr="00C22B52" w:rsidRDefault="00102289" w:rsidP="00FB02EC">
      <w:pPr>
        <w:pStyle w:val="EndNoteBibliography"/>
        <w:spacing w:after="0"/>
        <w:ind w:left="720" w:hanging="720"/>
      </w:pPr>
      <w:r w:rsidRPr="00C22B52">
        <w:rPr>
          <w:b/>
        </w:rPr>
        <w:t>52.</w:t>
      </w:r>
      <w:r w:rsidRPr="00C22B52">
        <w:tab/>
        <w:t xml:space="preserve">Latif A, Waring J, Watmough D, Boyd MJ, Elliott RA. 'I expected just to walk in, get my tablets and then walk out': on framing new community pharmacy services in the English healthcare system. </w:t>
      </w:r>
      <w:r w:rsidRPr="00C22B52">
        <w:rPr>
          <w:i/>
        </w:rPr>
        <w:t>Sociology of health &amp; illness.</w:t>
      </w:r>
      <w:r w:rsidRPr="00C22B52">
        <w:t xml:space="preserve"> 2018;40:1019-1036.</w:t>
      </w:r>
    </w:p>
    <w:p w:rsidR="00102289" w:rsidRPr="00C22B52" w:rsidRDefault="00102289" w:rsidP="00FB02EC">
      <w:pPr>
        <w:pStyle w:val="EndNoteBibliography"/>
        <w:spacing w:after="0"/>
        <w:ind w:left="720" w:hanging="720"/>
      </w:pPr>
      <w:r w:rsidRPr="00C22B52">
        <w:rPr>
          <w:b/>
        </w:rPr>
        <w:t>53.</w:t>
      </w:r>
      <w:r w:rsidRPr="00C22B52">
        <w:tab/>
        <w:t xml:space="preserve">van den Berg M, Donyai P. How was patient empowerment portrayed in information leaflets describing the community pharmacy Medicines Use Review service in the UK? </w:t>
      </w:r>
      <w:r w:rsidRPr="00C22B52">
        <w:rPr>
          <w:i/>
        </w:rPr>
        <w:t>Patient Educ Couns.</w:t>
      </w:r>
      <w:r w:rsidRPr="00C22B52">
        <w:t xml:space="preserve"> 2010;80:274-276.</w:t>
      </w:r>
    </w:p>
    <w:p w:rsidR="00102289" w:rsidRPr="00C22B52" w:rsidRDefault="00102289" w:rsidP="00FB02EC">
      <w:pPr>
        <w:pStyle w:val="EndNoteBibliography"/>
        <w:spacing w:after="0"/>
        <w:ind w:left="720" w:hanging="720"/>
      </w:pPr>
      <w:r w:rsidRPr="00C22B52">
        <w:rPr>
          <w:b/>
        </w:rPr>
        <w:t>54.</w:t>
      </w:r>
      <w:r w:rsidRPr="00C22B52">
        <w:tab/>
        <w:t xml:space="preserve">Youssef S, Aspinall V, Upton D. Medicines use review workshops for pharmacy undergraduate students. </w:t>
      </w:r>
      <w:r w:rsidRPr="00C22B52">
        <w:rPr>
          <w:i/>
        </w:rPr>
        <w:t>Pharm J.</w:t>
      </w:r>
      <w:r w:rsidRPr="00C22B52">
        <w:t xml:space="preserve"> 2009;283:221-222.</w:t>
      </w:r>
    </w:p>
    <w:p w:rsidR="00102289" w:rsidRPr="00C22B52" w:rsidRDefault="00102289" w:rsidP="00FB02EC">
      <w:pPr>
        <w:pStyle w:val="EndNoteBibliography"/>
        <w:spacing w:after="0"/>
        <w:ind w:left="720" w:hanging="720"/>
      </w:pPr>
      <w:r w:rsidRPr="00C22B52">
        <w:rPr>
          <w:b/>
        </w:rPr>
        <w:t>55.</w:t>
      </w:r>
      <w:r w:rsidRPr="00C22B52">
        <w:tab/>
        <w:t xml:space="preserve">Harding G, Wilcock M. Community pharmacists’ perceptions of medicines use reviews and quality assurance by peer review. </w:t>
      </w:r>
      <w:r w:rsidRPr="00C22B52">
        <w:rPr>
          <w:i/>
        </w:rPr>
        <w:t>Pharm World Sci.</w:t>
      </w:r>
      <w:r w:rsidRPr="00C22B52">
        <w:t xml:space="preserve"> 2010;32:381-385.</w:t>
      </w:r>
    </w:p>
    <w:p w:rsidR="00102289" w:rsidRPr="00C22B52" w:rsidRDefault="00102289" w:rsidP="00FB02EC">
      <w:pPr>
        <w:pStyle w:val="EndNoteBibliography"/>
        <w:spacing w:after="0"/>
        <w:ind w:left="720" w:hanging="720"/>
      </w:pPr>
      <w:r w:rsidRPr="00C22B52">
        <w:rPr>
          <w:b/>
        </w:rPr>
        <w:t>56.</w:t>
      </w:r>
      <w:r w:rsidRPr="00C22B52">
        <w:tab/>
        <w:t xml:space="preserve">van den Berg M, Donyai P. A conceptual framework of patient satisfaction with a pharmacy adherence service. </w:t>
      </w:r>
      <w:r w:rsidRPr="00C22B52">
        <w:rPr>
          <w:i/>
        </w:rPr>
        <w:t>Int J Clin Pharm.</w:t>
      </w:r>
      <w:r w:rsidRPr="00C22B52">
        <w:t xml:space="preserve"> 2014;36:182-191.</w:t>
      </w:r>
    </w:p>
    <w:p w:rsidR="00102289" w:rsidRPr="00C22B52" w:rsidRDefault="00102289" w:rsidP="00FB02EC">
      <w:pPr>
        <w:pStyle w:val="EndNoteBibliography"/>
        <w:spacing w:after="0"/>
        <w:ind w:left="720" w:hanging="720"/>
      </w:pPr>
      <w:r w:rsidRPr="00C22B52">
        <w:rPr>
          <w:b/>
        </w:rPr>
        <w:t>57.</w:t>
      </w:r>
      <w:r w:rsidRPr="00C22B52">
        <w:tab/>
        <w:t xml:space="preserve">James DH, Hatten S, Roberts D, John DN. Identifying criteria for assessing the quality of medicines use review referral documentation by community pharmacists. </w:t>
      </w:r>
      <w:r w:rsidRPr="00C22B52">
        <w:rPr>
          <w:i/>
        </w:rPr>
        <w:t>Int J Pharm Pract.</w:t>
      </w:r>
      <w:r w:rsidRPr="00C22B52">
        <w:t xml:space="preserve"> 2008;16:365-374.</w:t>
      </w:r>
    </w:p>
    <w:p w:rsidR="00102289" w:rsidRPr="00C22B52" w:rsidRDefault="00102289" w:rsidP="00FB02EC">
      <w:pPr>
        <w:pStyle w:val="EndNoteBibliography"/>
        <w:spacing w:after="0"/>
        <w:ind w:left="720" w:hanging="720"/>
      </w:pPr>
      <w:r w:rsidRPr="00C22B52">
        <w:rPr>
          <w:b/>
        </w:rPr>
        <w:t>58.</w:t>
      </w:r>
      <w:r w:rsidRPr="00C22B52">
        <w:tab/>
        <w:t xml:space="preserve">Hamedi N, da Costa FA, Horne R, Levitan M, Begley A, Antoniou S. How prepared are pharmacists to support atrial fibrillation patients in adhering to newly prescribed oral anticoagulants? </w:t>
      </w:r>
      <w:r w:rsidRPr="00C22B52">
        <w:rPr>
          <w:i/>
        </w:rPr>
        <w:t>Int J Clin Pharm.</w:t>
      </w:r>
      <w:r w:rsidRPr="00C22B52">
        <w:t xml:space="preserve"> 2017;39:1273-1281.</w:t>
      </w:r>
    </w:p>
    <w:p w:rsidR="00102289" w:rsidRPr="00C22B52" w:rsidRDefault="00102289" w:rsidP="00FB02EC">
      <w:pPr>
        <w:pStyle w:val="EndNoteBibliography"/>
        <w:spacing w:after="0"/>
        <w:ind w:left="720" w:hanging="720"/>
      </w:pPr>
      <w:r w:rsidRPr="00C22B52">
        <w:rPr>
          <w:b/>
        </w:rPr>
        <w:lastRenderedPageBreak/>
        <w:t>59.</w:t>
      </w:r>
      <w:r w:rsidRPr="00C22B52">
        <w:tab/>
        <w:t xml:space="preserve">Waring J, Latif A, Boyd M, Barber N, Elliott R. Pastoral power in the community pharmacy: A Foucauldian analysis of services to promote patient adherence to new medicine use. </w:t>
      </w:r>
      <w:r w:rsidRPr="00C22B52">
        <w:rPr>
          <w:i/>
        </w:rPr>
        <w:t>Soc Sci Med.</w:t>
      </w:r>
      <w:r w:rsidRPr="00C22B52">
        <w:t xml:space="preserve"> 2016;148:123-130.</w:t>
      </w:r>
    </w:p>
    <w:p w:rsidR="00102289" w:rsidRPr="00C22B52" w:rsidRDefault="00102289" w:rsidP="00FB02EC">
      <w:pPr>
        <w:pStyle w:val="EndNoteBibliography"/>
        <w:spacing w:after="0"/>
        <w:ind w:left="720" w:hanging="720"/>
      </w:pPr>
      <w:r w:rsidRPr="00C22B52">
        <w:rPr>
          <w:b/>
        </w:rPr>
        <w:t>60.</w:t>
      </w:r>
      <w:r w:rsidRPr="00C22B52">
        <w:tab/>
        <w:t xml:space="preserve">Cheema E, Sutcliffe P, Singer DRJ. Community pharmacist-led new medicine service for patients with a long term medical condition: A cross-sectional study. </w:t>
      </w:r>
      <w:r w:rsidRPr="00C22B52">
        <w:rPr>
          <w:i/>
        </w:rPr>
        <w:t>J. Pharm. Pharm. Sci.</w:t>
      </w:r>
      <w:r w:rsidRPr="00C22B52">
        <w:t xml:space="preserve"> 2017;9:129-133.</w:t>
      </w:r>
    </w:p>
    <w:p w:rsidR="00102289" w:rsidRPr="00C22B52" w:rsidRDefault="00102289" w:rsidP="00FB02EC">
      <w:pPr>
        <w:pStyle w:val="EndNoteBibliography"/>
        <w:spacing w:after="0"/>
        <w:ind w:left="720" w:hanging="720"/>
      </w:pPr>
      <w:r w:rsidRPr="00C22B52">
        <w:rPr>
          <w:b/>
        </w:rPr>
        <w:t>61.</w:t>
      </w:r>
      <w:r w:rsidRPr="00C22B52">
        <w:tab/>
        <w:t xml:space="preserve">Morton K, Pattison H, Langley C, Powell R. A qualitative study of English community pharmacists' experiences of providing lifestyle advice to patients with cardiovascular disease. </w:t>
      </w:r>
      <w:r w:rsidRPr="00C22B52">
        <w:rPr>
          <w:i/>
        </w:rPr>
        <w:t>Res Social Adm Pharm.</w:t>
      </w:r>
      <w:r w:rsidRPr="00C22B52">
        <w:t xml:space="preserve"> 2015;11:e17-29.</w:t>
      </w:r>
    </w:p>
    <w:p w:rsidR="00102289" w:rsidRPr="00C22B52" w:rsidRDefault="00102289" w:rsidP="00FB02EC">
      <w:pPr>
        <w:pStyle w:val="EndNoteBibliography"/>
        <w:spacing w:after="0"/>
        <w:ind w:left="720" w:hanging="720"/>
      </w:pPr>
      <w:r w:rsidRPr="00C22B52">
        <w:rPr>
          <w:b/>
        </w:rPr>
        <w:t>62.</w:t>
      </w:r>
      <w:r w:rsidRPr="00C22B52">
        <w:tab/>
        <w:t xml:space="preserve">Ogunbayo OJ, Schafheutle EI, Cutts C, Noyce PR. A qualitative study exploring community pharmacists' awareness of, and contribution to, self-care support in the management of long-term conditions in the United Kingdom. </w:t>
      </w:r>
      <w:r w:rsidRPr="00C22B52">
        <w:rPr>
          <w:i/>
        </w:rPr>
        <w:t>Res Social Adm Pharm.</w:t>
      </w:r>
      <w:r w:rsidRPr="00C22B52">
        <w:t xml:space="preserve"> 2015;11:859-879.</w:t>
      </w:r>
    </w:p>
    <w:p w:rsidR="00102289" w:rsidRPr="00C22B52" w:rsidRDefault="00102289" w:rsidP="00FB02EC">
      <w:pPr>
        <w:pStyle w:val="EndNoteBibliography"/>
        <w:spacing w:after="0"/>
        <w:ind w:left="720" w:hanging="720"/>
      </w:pPr>
      <w:r w:rsidRPr="00C22B52">
        <w:rPr>
          <w:b/>
        </w:rPr>
        <w:t>63.</w:t>
      </w:r>
      <w:r w:rsidRPr="00C22B52">
        <w:tab/>
        <w:t xml:space="preserve">Elvey R, Hassell K, Lewis P, Schafheutle E, Willis S, Harrison S. Patient-centred professionalism in pharmacy: values and behaviours. </w:t>
      </w:r>
      <w:r w:rsidRPr="00C22B52">
        <w:rPr>
          <w:i/>
        </w:rPr>
        <w:t>J Health Org Man.</w:t>
      </w:r>
      <w:r w:rsidRPr="00C22B52">
        <w:t xml:space="preserve"> 2015;29:413-430.</w:t>
      </w:r>
    </w:p>
    <w:p w:rsidR="00102289" w:rsidRPr="00C22B52" w:rsidRDefault="00102289" w:rsidP="00FB02EC">
      <w:pPr>
        <w:pStyle w:val="EndNoteBibliography"/>
        <w:spacing w:after="0"/>
        <w:ind w:left="720" w:hanging="720"/>
      </w:pPr>
      <w:r w:rsidRPr="00C22B52">
        <w:rPr>
          <w:b/>
        </w:rPr>
        <w:t>64.</w:t>
      </w:r>
      <w:r w:rsidRPr="00C22B52">
        <w:tab/>
        <w:t>Twigg MJ, Bhattacharya D, Clark A, et al. What do patients need to know? A study to assess patients' satisfaction with information about medicines.</w:t>
      </w:r>
      <w:r w:rsidRPr="00102289">
        <w:rPr>
          <w:i/>
        </w:rPr>
        <w:t xml:space="preserve"> </w:t>
      </w:r>
      <w:r w:rsidRPr="00C22B52">
        <w:rPr>
          <w:i/>
        </w:rPr>
        <w:t>Int J Pharm Pract.</w:t>
      </w:r>
      <w:r w:rsidRPr="00C22B52">
        <w:t xml:space="preserve"> 2016;24:229-236.</w:t>
      </w:r>
    </w:p>
    <w:p w:rsidR="00102289" w:rsidRPr="00C22B52" w:rsidRDefault="00102289" w:rsidP="00FB02EC">
      <w:pPr>
        <w:pStyle w:val="EndNoteBibliography"/>
        <w:spacing w:after="0"/>
        <w:ind w:left="720" w:hanging="720"/>
      </w:pPr>
      <w:r w:rsidRPr="00C22B52">
        <w:rPr>
          <w:b/>
        </w:rPr>
        <w:t>65.</w:t>
      </w:r>
      <w:r w:rsidRPr="00C22B52">
        <w:tab/>
        <w:t xml:space="preserve">Latif A. Community pharmacy Medicines Use Review: current challenges. </w:t>
      </w:r>
      <w:r w:rsidRPr="00C22B52">
        <w:rPr>
          <w:i/>
        </w:rPr>
        <w:t>Integrated pharmacy research &amp; practice.</w:t>
      </w:r>
      <w:r w:rsidRPr="00C22B52">
        <w:t xml:space="preserve"> 2018;7:83-92.</w:t>
      </w:r>
    </w:p>
    <w:p w:rsidR="00102289" w:rsidRPr="00C22B52" w:rsidRDefault="00102289" w:rsidP="00FB02EC">
      <w:pPr>
        <w:pStyle w:val="EndNoteBibliography"/>
        <w:spacing w:after="0"/>
        <w:ind w:left="720" w:hanging="720"/>
      </w:pPr>
      <w:r w:rsidRPr="00C22B52">
        <w:rPr>
          <w:b/>
        </w:rPr>
        <w:t>66.</w:t>
      </w:r>
      <w:r w:rsidRPr="00C22B52">
        <w:tab/>
        <w:t xml:space="preserve">Centre for Pharmacy Postgraduate Education &amp; Health Education England. Consultation skills for pharmacy practice: Practice standards for England. </w:t>
      </w:r>
      <w:hyperlink r:id="rId11" w:history="1">
        <w:r w:rsidRPr="00A53E73">
          <w:rPr>
            <w:rStyle w:val="Hyperlink"/>
          </w:rPr>
          <w:t>http://www.consultationskillsforpharmacy.com/docs/docc.pdf</w:t>
        </w:r>
      </w:hyperlink>
      <w:r>
        <w:t>; Accessed 05.07.18</w:t>
      </w:r>
      <w:r w:rsidRPr="00C22B52">
        <w:t>.</w:t>
      </w:r>
    </w:p>
    <w:p w:rsidR="00102289" w:rsidRPr="00C22B52" w:rsidRDefault="00102289" w:rsidP="00FB02EC">
      <w:pPr>
        <w:pStyle w:val="EndNoteBibliography"/>
        <w:spacing w:after="0"/>
        <w:ind w:left="720" w:hanging="720"/>
      </w:pPr>
      <w:r w:rsidRPr="00C22B52">
        <w:rPr>
          <w:b/>
        </w:rPr>
        <w:t>67.</w:t>
      </w:r>
      <w:r w:rsidRPr="00C22B52">
        <w:tab/>
        <w:t>The Health Foundation. Person-centred care made simple: what everyone should know about person-centred care: The Health Foundation; 2016.</w:t>
      </w:r>
    </w:p>
    <w:p w:rsidR="00102289" w:rsidRPr="00C22B52" w:rsidRDefault="00102289" w:rsidP="00FB02EC">
      <w:pPr>
        <w:pStyle w:val="EndNoteBibliography"/>
        <w:spacing w:after="0"/>
        <w:ind w:left="720" w:hanging="720"/>
      </w:pPr>
      <w:r w:rsidRPr="00C22B52">
        <w:rPr>
          <w:b/>
        </w:rPr>
        <w:t>68.</w:t>
      </w:r>
      <w:r w:rsidRPr="00C22B52">
        <w:tab/>
        <w:t xml:space="preserve">Twigg MJ, Wright D, Kirkdale CL, Desborough JA, Thornley T. The UK Pharmacy Care Plan service: Description, recruitment and initial views on a new community pharmacy intervention. </w:t>
      </w:r>
      <w:r w:rsidRPr="00C22B52">
        <w:rPr>
          <w:i/>
        </w:rPr>
        <w:t>PloS one.</w:t>
      </w:r>
      <w:r w:rsidRPr="00C22B52">
        <w:t xml:space="preserve"> 2017;12:e0174500.</w:t>
      </w:r>
    </w:p>
    <w:p w:rsidR="006F0BD6" w:rsidRDefault="00102289" w:rsidP="00FB02EC">
      <w:pPr>
        <w:pStyle w:val="EndNoteBibliography"/>
        <w:spacing w:after="0"/>
        <w:ind w:left="720" w:hanging="720"/>
      </w:pPr>
      <w:r w:rsidRPr="00C22B52">
        <w:rPr>
          <w:b/>
        </w:rPr>
        <w:t>69.</w:t>
      </w:r>
      <w:r w:rsidRPr="00C22B52">
        <w:tab/>
      </w:r>
      <w:r w:rsidR="006F0BD6" w:rsidRPr="00C22B52">
        <w:t xml:space="preserve">Albasri A, Prinjha S, McManus RJ, Sheppard JP. Hypertension referrals from community pharmacy to general practice: multivariate logistic regression analysis of 131 419 patients. </w:t>
      </w:r>
      <w:r w:rsidR="006F0BD6" w:rsidRPr="00C22B52">
        <w:rPr>
          <w:i/>
        </w:rPr>
        <w:t>Br J Gen Pract.</w:t>
      </w:r>
      <w:r w:rsidR="006F0BD6" w:rsidRPr="00C22B52">
        <w:t xml:space="preserve"> 2018.</w:t>
      </w:r>
    </w:p>
    <w:p w:rsidR="00102289" w:rsidRPr="00C22B52" w:rsidRDefault="006F0BD6" w:rsidP="00FB02EC">
      <w:pPr>
        <w:pStyle w:val="EndNoteBibliography"/>
        <w:spacing w:after="0"/>
        <w:ind w:left="720" w:hanging="720"/>
      </w:pPr>
      <w:r w:rsidRPr="006F0BD6">
        <w:rPr>
          <w:b/>
        </w:rPr>
        <w:t>70.</w:t>
      </w:r>
      <w:r>
        <w:t xml:space="preserve"> </w:t>
      </w:r>
      <w:r>
        <w:tab/>
      </w:r>
      <w:r w:rsidR="00102289" w:rsidRPr="00C22B52">
        <w:t xml:space="preserve">Alonso-Perales MDM, Lasheras B, Beitia G, Beltran I, Marcos B, Nunez-Cordoba JM. Barriers to promote cardiovascular health in community pharmacies: a systematic review. </w:t>
      </w:r>
      <w:r w:rsidR="00102289" w:rsidRPr="00C22B52">
        <w:rPr>
          <w:i/>
        </w:rPr>
        <w:t>Health Promot Int.</w:t>
      </w:r>
      <w:r w:rsidR="00102289" w:rsidRPr="00C22B52">
        <w:t xml:space="preserve"> 2017;32:535-548.</w:t>
      </w:r>
    </w:p>
    <w:p w:rsidR="00102289" w:rsidRPr="00C22B52" w:rsidRDefault="00102289" w:rsidP="00FB02EC">
      <w:pPr>
        <w:pStyle w:val="EndNoteBibliography"/>
        <w:spacing w:after="0"/>
        <w:ind w:left="720" w:hanging="720"/>
      </w:pPr>
      <w:r w:rsidRPr="00C22B52">
        <w:rPr>
          <w:b/>
        </w:rPr>
        <w:t>7</w:t>
      </w:r>
      <w:r w:rsidR="006F0BD6">
        <w:rPr>
          <w:b/>
        </w:rPr>
        <w:t>1</w:t>
      </w:r>
      <w:r w:rsidRPr="00C22B52">
        <w:rPr>
          <w:b/>
        </w:rPr>
        <w:t>.</w:t>
      </w:r>
      <w:r w:rsidRPr="00C22B52">
        <w:tab/>
        <w:t>NHS England. The NHS belongs to the people: a call to action. London: NHS England; 2013.</w:t>
      </w:r>
    </w:p>
    <w:p w:rsidR="00102289" w:rsidRPr="00C22B52" w:rsidRDefault="00102289" w:rsidP="00FB02EC">
      <w:pPr>
        <w:pStyle w:val="EndNoteBibliography"/>
        <w:spacing w:after="0"/>
        <w:ind w:left="720" w:hanging="720"/>
      </w:pPr>
      <w:r w:rsidRPr="00C22B52">
        <w:rPr>
          <w:b/>
        </w:rPr>
        <w:t>7</w:t>
      </w:r>
      <w:r w:rsidR="006F0BD6">
        <w:rPr>
          <w:b/>
        </w:rPr>
        <w:t>2</w:t>
      </w:r>
      <w:r w:rsidRPr="00C22B52">
        <w:rPr>
          <w:b/>
        </w:rPr>
        <w:t>.</w:t>
      </w:r>
      <w:r w:rsidRPr="00C22B52">
        <w:tab/>
        <w:t>NHS England. Improving general practice – phase one report. London: NHS England; 2014.</w:t>
      </w:r>
    </w:p>
    <w:p w:rsidR="00102289" w:rsidRPr="00C22B52" w:rsidRDefault="00102289" w:rsidP="00FB02EC">
      <w:pPr>
        <w:pStyle w:val="EndNoteBibliography"/>
        <w:spacing w:after="0"/>
        <w:ind w:left="720" w:hanging="720"/>
      </w:pPr>
      <w:r w:rsidRPr="00C22B52">
        <w:rPr>
          <w:b/>
        </w:rPr>
        <w:t>73.</w:t>
      </w:r>
      <w:r w:rsidRPr="00C22B52">
        <w:tab/>
        <w:t xml:space="preserve">Torjesen I. The Murray review: moving in the right direction. </w:t>
      </w:r>
      <w:r w:rsidRPr="00C22B52">
        <w:rPr>
          <w:i/>
        </w:rPr>
        <w:t>Pharm J.</w:t>
      </w:r>
      <w:r w:rsidRPr="00C22B52">
        <w:t xml:space="preserve"> 2017;298:Online.</w:t>
      </w:r>
    </w:p>
    <w:p w:rsidR="00102289" w:rsidRPr="00C22B52" w:rsidRDefault="00102289" w:rsidP="00FB02EC">
      <w:pPr>
        <w:pStyle w:val="EndNoteBibliography"/>
        <w:spacing w:after="0"/>
        <w:ind w:left="720" w:hanging="720"/>
      </w:pPr>
      <w:r w:rsidRPr="00C22B52">
        <w:rPr>
          <w:b/>
        </w:rPr>
        <w:t>74.</w:t>
      </w:r>
      <w:r w:rsidRPr="00C22B52">
        <w:tab/>
        <w:t>Murray R. Community pharmacy clinical services review: NHS England; 2017.</w:t>
      </w:r>
    </w:p>
    <w:p w:rsidR="00102289" w:rsidRPr="00C22B52" w:rsidRDefault="00102289" w:rsidP="00FB02EC">
      <w:pPr>
        <w:pStyle w:val="EndNoteBibliography"/>
        <w:ind w:left="720" w:hanging="720"/>
      </w:pPr>
      <w:r w:rsidRPr="00C22B52">
        <w:rPr>
          <w:b/>
        </w:rPr>
        <w:t>75.</w:t>
      </w:r>
      <w:r w:rsidRPr="00C22B52">
        <w:tab/>
        <w:t xml:space="preserve">de Barra M, Scott CL, Scott NW, et al. Pharmacist services for non‐hospitalised patients. </w:t>
      </w:r>
      <w:r w:rsidRPr="00C22B52">
        <w:rPr>
          <w:i/>
        </w:rPr>
        <w:t>Cochrane Database of Systematic Reviews.</w:t>
      </w:r>
      <w:r w:rsidRPr="00C22B52">
        <w:t xml:space="preserve"> 2018.</w:t>
      </w:r>
    </w:p>
    <w:p w:rsidR="00102289" w:rsidRDefault="00102289" w:rsidP="00FB02EC">
      <w:pPr>
        <w:spacing w:line="240" w:lineRule="auto"/>
      </w:pPr>
    </w:p>
    <w:p w:rsidR="00FB02EC" w:rsidRDefault="00FB02EC"/>
    <w:sectPr w:rsidR="00FB02EC" w:rsidSect="00FB02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FA" w:rsidRDefault="001A0AFA">
      <w:pPr>
        <w:spacing w:after="0" w:line="240" w:lineRule="auto"/>
      </w:pPr>
      <w:r>
        <w:separator/>
      </w:r>
    </w:p>
  </w:endnote>
  <w:endnote w:type="continuationSeparator" w:id="0">
    <w:p w:rsidR="001A0AFA" w:rsidRDefault="001A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57531"/>
      <w:docPartObj>
        <w:docPartGallery w:val="Page Numbers (Bottom of Page)"/>
        <w:docPartUnique/>
      </w:docPartObj>
    </w:sdtPr>
    <w:sdtEndPr>
      <w:rPr>
        <w:noProof/>
      </w:rPr>
    </w:sdtEndPr>
    <w:sdtContent>
      <w:p w:rsidR="001A0AFA" w:rsidRDefault="001A0AFA">
        <w:pPr>
          <w:pStyle w:val="Footer"/>
          <w:jc w:val="center"/>
        </w:pPr>
        <w:r>
          <w:fldChar w:fldCharType="begin"/>
        </w:r>
        <w:r>
          <w:instrText xml:space="preserve"> PAGE   \* MERGEFORMAT </w:instrText>
        </w:r>
        <w:r>
          <w:fldChar w:fldCharType="separate"/>
        </w:r>
        <w:r w:rsidR="006F0BD6">
          <w:rPr>
            <w:noProof/>
          </w:rPr>
          <w:t>11</w:t>
        </w:r>
        <w:r>
          <w:rPr>
            <w:noProof/>
          </w:rPr>
          <w:fldChar w:fldCharType="end"/>
        </w:r>
      </w:p>
    </w:sdtContent>
  </w:sdt>
  <w:p w:rsidR="001A0AFA" w:rsidRDefault="001A0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FA" w:rsidRDefault="001A0AFA">
      <w:pPr>
        <w:spacing w:after="0" w:line="240" w:lineRule="auto"/>
      </w:pPr>
      <w:r>
        <w:separator/>
      </w:r>
    </w:p>
  </w:footnote>
  <w:footnote w:type="continuationSeparator" w:id="0">
    <w:p w:rsidR="001A0AFA" w:rsidRDefault="001A0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DFD"/>
    <w:multiLevelType w:val="hybridMultilevel"/>
    <w:tmpl w:val="48C63E48"/>
    <w:lvl w:ilvl="0" w:tplc="E0BC51EA">
      <w:start w:val="1"/>
      <w:numFmt w:val="bullet"/>
      <w:lvlText w:val="•"/>
      <w:lvlJc w:val="left"/>
      <w:pPr>
        <w:tabs>
          <w:tab w:val="num" w:pos="720"/>
        </w:tabs>
        <w:ind w:left="720" w:hanging="360"/>
      </w:pPr>
      <w:rPr>
        <w:rFonts w:ascii="Arial" w:hAnsi="Arial" w:hint="default"/>
      </w:rPr>
    </w:lvl>
    <w:lvl w:ilvl="1" w:tplc="01686958">
      <w:numFmt w:val="bullet"/>
      <w:lvlText w:val="•"/>
      <w:lvlJc w:val="left"/>
      <w:pPr>
        <w:tabs>
          <w:tab w:val="num" w:pos="1440"/>
        </w:tabs>
        <w:ind w:left="1440" w:hanging="360"/>
      </w:pPr>
      <w:rPr>
        <w:rFonts w:ascii="Arial" w:hAnsi="Arial" w:hint="default"/>
      </w:rPr>
    </w:lvl>
    <w:lvl w:ilvl="2" w:tplc="E4726F4A" w:tentative="1">
      <w:start w:val="1"/>
      <w:numFmt w:val="bullet"/>
      <w:lvlText w:val="•"/>
      <w:lvlJc w:val="left"/>
      <w:pPr>
        <w:tabs>
          <w:tab w:val="num" w:pos="2160"/>
        </w:tabs>
        <w:ind w:left="2160" w:hanging="360"/>
      </w:pPr>
      <w:rPr>
        <w:rFonts w:ascii="Arial" w:hAnsi="Arial" w:hint="default"/>
      </w:rPr>
    </w:lvl>
    <w:lvl w:ilvl="3" w:tplc="FE186502" w:tentative="1">
      <w:start w:val="1"/>
      <w:numFmt w:val="bullet"/>
      <w:lvlText w:val="•"/>
      <w:lvlJc w:val="left"/>
      <w:pPr>
        <w:tabs>
          <w:tab w:val="num" w:pos="2880"/>
        </w:tabs>
        <w:ind w:left="2880" w:hanging="360"/>
      </w:pPr>
      <w:rPr>
        <w:rFonts w:ascii="Arial" w:hAnsi="Arial" w:hint="default"/>
      </w:rPr>
    </w:lvl>
    <w:lvl w:ilvl="4" w:tplc="57D6212C" w:tentative="1">
      <w:start w:val="1"/>
      <w:numFmt w:val="bullet"/>
      <w:lvlText w:val="•"/>
      <w:lvlJc w:val="left"/>
      <w:pPr>
        <w:tabs>
          <w:tab w:val="num" w:pos="3600"/>
        </w:tabs>
        <w:ind w:left="3600" w:hanging="360"/>
      </w:pPr>
      <w:rPr>
        <w:rFonts w:ascii="Arial" w:hAnsi="Arial" w:hint="default"/>
      </w:rPr>
    </w:lvl>
    <w:lvl w:ilvl="5" w:tplc="F8FA487A" w:tentative="1">
      <w:start w:val="1"/>
      <w:numFmt w:val="bullet"/>
      <w:lvlText w:val="•"/>
      <w:lvlJc w:val="left"/>
      <w:pPr>
        <w:tabs>
          <w:tab w:val="num" w:pos="4320"/>
        </w:tabs>
        <w:ind w:left="4320" w:hanging="360"/>
      </w:pPr>
      <w:rPr>
        <w:rFonts w:ascii="Arial" w:hAnsi="Arial" w:hint="default"/>
      </w:rPr>
    </w:lvl>
    <w:lvl w:ilvl="6" w:tplc="C5A2943E" w:tentative="1">
      <w:start w:val="1"/>
      <w:numFmt w:val="bullet"/>
      <w:lvlText w:val="•"/>
      <w:lvlJc w:val="left"/>
      <w:pPr>
        <w:tabs>
          <w:tab w:val="num" w:pos="5040"/>
        </w:tabs>
        <w:ind w:left="5040" w:hanging="360"/>
      </w:pPr>
      <w:rPr>
        <w:rFonts w:ascii="Arial" w:hAnsi="Arial" w:hint="default"/>
      </w:rPr>
    </w:lvl>
    <w:lvl w:ilvl="7" w:tplc="A3CC491E" w:tentative="1">
      <w:start w:val="1"/>
      <w:numFmt w:val="bullet"/>
      <w:lvlText w:val="•"/>
      <w:lvlJc w:val="left"/>
      <w:pPr>
        <w:tabs>
          <w:tab w:val="num" w:pos="5760"/>
        </w:tabs>
        <w:ind w:left="5760" w:hanging="360"/>
      </w:pPr>
      <w:rPr>
        <w:rFonts w:ascii="Arial" w:hAnsi="Arial" w:hint="default"/>
      </w:rPr>
    </w:lvl>
    <w:lvl w:ilvl="8" w:tplc="69F8D1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4370B"/>
    <w:multiLevelType w:val="hybridMultilevel"/>
    <w:tmpl w:val="A2A89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C775C"/>
    <w:multiLevelType w:val="hybridMultilevel"/>
    <w:tmpl w:val="AD30898A"/>
    <w:lvl w:ilvl="0" w:tplc="188C2EAA">
      <w:start w:val="1"/>
      <w:numFmt w:val="bullet"/>
      <w:lvlText w:val="•"/>
      <w:lvlJc w:val="left"/>
      <w:pPr>
        <w:tabs>
          <w:tab w:val="num" w:pos="720"/>
        </w:tabs>
        <w:ind w:left="720" w:hanging="360"/>
      </w:pPr>
      <w:rPr>
        <w:rFonts w:ascii="Arial" w:hAnsi="Arial" w:hint="default"/>
      </w:rPr>
    </w:lvl>
    <w:lvl w:ilvl="1" w:tplc="74520082" w:tentative="1">
      <w:start w:val="1"/>
      <w:numFmt w:val="bullet"/>
      <w:lvlText w:val="•"/>
      <w:lvlJc w:val="left"/>
      <w:pPr>
        <w:tabs>
          <w:tab w:val="num" w:pos="1440"/>
        </w:tabs>
        <w:ind w:left="1440" w:hanging="360"/>
      </w:pPr>
      <w:rPr>
        <w:rFonts w:ascii="Arial" w:hAnsi="Arial" w:hint="default"/>
      </w:rPr>
    </w:lvl>
    <w:lvl w:ilvl="2" w:tplc="DE5CEC82" w:tentative="1">
      <w:start w:val="1"/>
      <w:numFmt w:val="bullet"/>
      <w:lvlText w:val="•"/>
      <w:lvlJc w:val="left"/>
      <w:pPr>
        <w:tabs>
          <w:tab w:val="num" w:pos="2160"/>
        </w:tabs>
        <w:ind w:left="2160" w:hanging="360"/>
      </w:pPr>
      <w:rPr>
        <w:rFonts w:ascii="Arial" w:hAnsi="Arial" w:hint="default"/>
      </w:rPr>
    </w:lvl>
    <w:lvl w:ilvl="3" w:tplc="BA585B4A" w:tentative="1">
      <w:start w:val="1"/>
      <w:numFmt w:val="bullet"/>
      <w:lvlText w:val="•"/>
      <w:lvlJc w:val="left"/>
      <w:pPr>
        <w:tabs>
          <w:tab w:val="num" w:pos="2880"/>
        </w:tabs>
        <w:ind w:left="2880" w:hanging="360"/>
      </w:pPr>
      <w:rPr>
        <w:rFonts w:ascii="Arial" w:hAnsi="Arial" w:hint="default"/>
      </w:rPr>
    </w:lvl>
    <w:lvl w:ilvl="4" w:tplc="970055BC" w:tentative="1">
      <w:start w:val="1"/>
      <w:numFmt w:val="bullet"/>
      <w:lvlText w:val="•"/>
      <w:lvlJc w:val="left"/>
      <w:pPr>
        <w:tabs>
          <w:tab w:val="num" w:pos="3600"/>
        </w:tabs>
        <w:ind w:left="3600" w:hanging="360"/>
      </w:pPr>
      <w:rPr>
        <w:rFonts w:ascii="Arial" w:hAnsi="Arial" w:hint="default"/>
      </w:rPr>
    </w:lvl>
    <w:lvl w:ilvl="5" w:tplc="A53A2834" w:tentative="1">
      <w:start w:val="1"/>
      <w:numFmt w:val="bullet"/>
      <w:lvlText w:val="•"/>
      <w:lvlJc w:val="left"/>
      <w:pPr>
        <w:tabs>
          <w:tab w:val="num" w:pos="4320"/>
        </w:tabs>
        <w:ind w:left="4320" w:hanging="360"/>
      </w:pPr>
      <w:rPr>
        <w:rFonts w:ascii="Arial" w:hAnsi="Arial" w:hint="default"/>
      </w:rPr>
    </w:lvl>
    <w:lvl w:ilvl="6" w:tplc="D78EE55C" w:tentative="1">
      <w:start w:val="1"/>
      <w:numFmt w:val="bullet"/>
      <w:lvlText w:val="•"/>
      <w:lvlJc w:val="left"/>
      <w:pPr>
        <w:tabs>
          <w:tab w:val="num" w:pos="5040"/>
        </w:tabs>
        <w:ind w:left="5040" w:hanging="360"/>
      </w:pPr>
      <w:rPr>
        <w:rFonts w:ascii="Arial" w:hAnsi="Arial" w:hint="default"/>
      </w:rPr>
    </w:lvl>
    <w:lvl w:ilvl="7" w:tplc="891096DE" w:tentative="1">
      <w:start w:val="1"/>
      <w:numFmt w:val="bullet"/>
      <w:lvlText w:val="•"/>
      <w:lvlJc w:val="left"/>
      <w:pPr>
        <w:tabs>
          <w:tab w:val="num" w:pos="5760"/>
        </w:tabs>
        <w:ind w:left="5760" w:hanging="360"/>
      </w:pPr>
      <w:rPr>
        <w:rFonts w:ascii="Arial" w:hAnsi="Arial" w:hint="default"/>
      </w:rPr>
    </w:lvl>
    <w:lvl w:ilvl="8" w:tplc="5462A9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CB5AA0"/>
    <w:multiLevelType w:val="hybridMultilevel"/>
    <w:tmpl w:val="9D682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C5822"/>
    <w:multiLevelType w:val="hybridMultilevel"/>
    <w:tmpl w:val="A214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65BB2"/>
    <w:multiLevelType w:val="hybridMultilevel"/>
    <w:tmpl w:val="D30AE6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065392"/>
    <w:multiLevelType w:val="hybridMultilevel"/>
    <w:tmpl w:val="04A81832"/>
    <w:lvl w:ilvl="0" w:tplc="808A8FCA">
      <w:start w:val="1"/>
      <w:numFmt w:val="lowerLetter"/>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B0D2EED"/>
    <w:multiLevelType w:val="hybridMultilevel"/>
    <w:tmpl w:val="20524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D35DCE"/>
    <w:multiLevelType w:val="hybridMultilevel"/>
    <w:tmpl w:val="04C203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0844F0"/>
    <w:multiLevelType w:val="hybridMultilevel"/>
    <w:tmpl w:val="6E807FC2"/>
    <w:lvl w:ilvl="0" w:tplc="A4A490CC">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1632E6F"/>
    <w:multiLevelType w:val="hybridMultilevel"/>
    <w:tmpl w:val="D622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450EE"/>
    <w:multiLevelType w:val="hybridMultilevel"/>
    <w:tmpl w:val="520A9D82"/>
    <w:lvl w:ilvl="0" w:tplc="3D94B2C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9112DB"/>
    <w:multiLevelType w:val="hybridMultilevel"/>
    <w:tmpl w:val="9AA65F6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901AC2"/>
    <w:multiLevelType w:val="hybridMultilevel"/>
    <w:tmpl w:val="4CC48560"/>
    <w:lvl w:ilvl="0" w:tplc="BDAAA8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EAB32BB"/>
    <w:multiLevelType w:val="hybridMultilevel"/>
    <w:tmpl w:val="938A7F9A"/>
    <w:lvl w:ilvl="0" w:tplc="B330ED3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261FBD"/>
    <w:multiLevelType w:val="hybridMultilevel"/>
    <w:tmpl w:val="BEB6F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F44F09"/>
    <w:multiLevelType w:val="hybridMultilevel"/>
    <w:tmpl w:val="AAECCC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4C038CE"/>
    <w:multiLevelType w:val="hybridMultilevel"/>
    <w:tmpl w:val="3A5A22D2"/>
    <w:lvl w:ilvl="0" w:tplc="11207BB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4D506F"/>
    <w:multiLevelType w:val="hybridMultilevel"/>
    <w:tmpl w:val="FFB8EF2A"/>
    <w:lvl w:ilvl="0" w:tplc="E5EC1CCC">
      <w:start w:val="1"/>
      <w:numFmt w:val="bullet"/>
      <w:lvlText w:val="•"/>
      <w:lvlJc w:val="left"/>
      <w:pPr>
        <w:tabs>
          <w:tab w:val="num" w:pos="720"/>
        </w:tabs>
        <w:ind w:left="720" w:hanging="360"/>
      </w:pPr>
      <w:rPr>
        <w:rFonts w:ascii="Arial" w:hAnsi="Arial" w:hint="default"/>
      </w:rPr>
    </w:lvl>
    <w:lvl w:ilvl="1" w:tplc="121AEF24">
      <w:numFmt w:val="bullet"/>
      <w:lvlText w:val="•"/>
      <w:lvlJc w:val="left"/>
      <w:pPr>
        <w:tabs>
          <w:tab w:val="num" w:pos="1440"/>
        </w:tabs>
        <w:ind w:left="1440" w:hanging="360"/>
      </w:pPr>
      <w:rPr>
        <w:rFonts w:ascii="Arial" w:hAnsi="Arial" w:hint="default"/>
      </w:rPr>
    </w:lvl>
    <w:lvl w:ilvl="2" w:tplc="F8325312" w:tentative="1">
      <w:start w:val="1"/>
      <w:numFmt w:val="bullet"/>
      <w:lvlText w:val="•"/>
      <w:lvlJc w:val="left"/>
      <w:pPr>
        <w:tabs>
          <w:tab w:val="num" w:pos="2160"/>
        </w:tabs>
        <w:ind w:left="2160" w:hanging="360"/>
      </w:pPr>
      <w:rPr>
        <w:rFonts w:ascii="Arial" w:hAnsi="Arial" w:hint="default"/>
      </w:rPr>
    </w:lvl>
    <w:lvl w:ilvl="3" w:tplc="2E20E7EA" w:tentative="1">
      <w:start w:val="1"/>
      <w:numFmt w:val="bullet"/>
      <w:lvlText w:val="•"/>
      <w:lvlJc w:val="left"/>
      <w:pPr>
        <w:tabs>
          <w:tab w:val="num" w:pos="2880"/>
        </w:tabs>
        <w:ind w:left="2880" w:hanging="360"/>
      </w:pPr>
      <w:rPr>
        <w:rFonts w:ascii="Arial" w:hAnsi="Arial" w:hint="default"/>
      </w:rPr>
    </w:lvl>
    <w:lvl w:ilvl="4" w:tplc="7A9C2F2E" w:tentative="1">
      <w:start w:val="1"/>
      <w:numFmt w:val="bullet"/>
      <w:lvlText w:val="•"/>
      <w:lvlJc w:val="left"/>
      <w:pPr>
        <w:tabs>
          <w:tab w:val="num" w:pos="3600"/>
        </w:tabs>
        <w:ind w:left="3600" w:hanging="360"/>
      </w:pPr>
      <w:rPr>
        <w:rFonts w:ascii="Arial" w:hAnsi="Arial" w:hint="default"/>
      </w:rPr>
    </w:lvl>
    <w:lvl w:ilvl="5" w:tplc="6AA004B2" w:tentative="1">
      <w:start w:val="1"/>
      <w:numFmt w:val="bullet"/>
      <w:lvlText w:val="•"/>
      <w:lvlJc w:val="left"/>
      <w:pPr>
        <w:tabs>
          <w:tab w:val="num" w:pos="4320"/>
        </w:tabs>
        <w:ind w:left="4320" w:hanging="360"/>
      </w:pPr>
      <w:rPr>
        <w:rFonts w:ascii="Arial" w:hAnsi="Arial" w:hint="default"/>
      </w:rPr>
    </w:lvl>
    <w:lvl w:ilvl="6" w:tplc="8F287368" w:tentative="1">
      <w:start w:val="1"/>
      <w:numFmt w:val="bullet"/>
      <w:lvlText w:val="•"/>
      <w:lvlJc w:val="left"/>
      <w:pPr>
        <w:tabs>
          <w:tab w:val="num" w:pos="5040"/>
        </w:tabs>
        <w:ind w:left="5040" w:hanging="360"/>
      </w:pPr>
      <w:rPr>
        <w:rFonts w:ascii="Arial" w:hAnsi="Arial" w:hint="default"/>
      </w:rPr>
    </w:lvl>
    <w:lvl w:ilvl="7" w:tplc="BD0044E0" w:tentative="1">
      <w:start w:val="1"/>
      <w:numFmt w:val="bullet"/>
      <w:lvlText w:val="•"/>
      <w:lvlJc w:val="left"/>
      <w:pPr>
        <w:tabs>
          <w:tab w:val="num" w:pos="5760"/>
        </w:tabs>
        <w:ind w:left="5760" w:hanging="360"/>
      </w:pPr>
      <w:rPr>
        <w:rFonts w:ascii="Arial" w:hAnsi="Arial" w:hint="default"/>
      </w:rPr>
    </w:lvl>
    <w:lvl w:ilvl="8" w:tplc="B3AC84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C53272"/>
    <w:multiLevelType w:val="multilevel"/>
    <w:tmpl w:val="12A4784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72D4747"/>
    <w:multiLevelType w:val="hybridMultilevel"/>
    <w:tmpl w:val="AF96BD76"/>
    <w:lvl w:ilvl="0" w:tplc="7506F9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C121D38"/>
    <w:multiLevelType w:val="hybridMultilevel"/>
    <w:tmpl w:val="545A7EA0"/>
    <w:lvl w:ilvl="0" w:tplc="49CEEB00">
      <w:start w:val="1"/>
      <w:numFmt w:val="bullet"/>
      <w:lvlText w:val="•"/>
      <w:lvlJc w:val="left"/>
      <w:pPr>
        <w:tabs>
          <w:tab w:val="num" w:pos="720"/>
        </w:tabs>
        <w:ind w:left="720" w:hanging="360"/>
      </w:pPr>
      <w:rPr>
        <w:rFonts w:ascii="Arial" w:hAnsi="Arial" w:hint="default"/>
      </w:rPr>
    </w:lvl>
    <w:lvl w:ilvl="1" w:tplc="FC0021AA">
      <w:numFmt w:val="bullet"/>
      <w:lvlText w:val="•"/>
      <w:lvlJc w:val="left"/>
      <w:pPr>
        <w:tabs>
          <w:tab w:val="num" w:pos="1440"/>
        </w:tabs>
        <w:ind w:left="1440" w:hanging="360"/>
      </w:pPr>
      <w:rPr>
        <w:rFonts w:ascii="Arial" w:hAnsi="Arial" w:hint="default"/>
      </w:rPr>
    </w:lvl>
    <w:lvl w:ilvl="2" w:tplc="C9F08578" w:tentative="1">
      <w:start w:val="1"/>
      <w:numFmt w:val="bullet"/>
      <w:lvlText w:val="•"/>
      <w:lvlJc w:val="left"/>
      <w:pPr>
        <w:tabs>
          <w:tab w:val="num" w:pos="2160"/>
        </w:tabs>
        <w:ind w:left="2160" w:hanging="360"/>
      </w:pPr>
      <w:rPr>
        <w:rFonts w:ascii="Arial" w:hAnsi="Arial" w:hint="default"/>
      </w:rPr>
    </w:lvl>
    <w:lvl w:ilvl="3" w:tplc="AFBA1FC8" w:tentative="1">
      <w:start w:val="1"/>
      <w:numFmt w:val="bullet"/>
      <w:lvlText w:val="•"/>
      <w:lvlJc w:val="left"/>
      <w:pPr>
        <w:tabs>
          <w:tab w:val="num" w:pos="2880"/>
        </w:tabs>
        <w:ind w:left="2880" w:hanging="360"/>
      </w:pPr>
      <w:rPr>
        <w:rFonts w:ascii="Arial" w:hAnsi="Arial" w:hint="default"/>
      </w:rPr>
    </w:lvl>
    <w:lvl w:ilvl="4" w:tplc="C2061572" w:tentative="1">
      <w:start w:val="1"/>
      <w:numFmt w:val="bullet"/>
      <w:lvlText w:val="•"/>
      <w:lvlJc w:val="left"/>
      <w:pPr>
        <w:tabs>
          <w:tab w:val="num" w:pos="3600"/>
        </w:tabs>
        <w:ind w:left="3600" w:hanging="360"/>
      </w:pPr>
      <w:rPr>
        <w:rFonts w:ascii="Arial" w:hAnsi="Arial" w:hint="default"/>
      </w:rPr>
    </w:lvl>
    <w:lvl w:ilvl="5" w:tplc="09647C38" w:tentative="1">
      <w:start w:val="1"/>
      <w:numFmt w:val="bullet"/>
      <w:lvlText w:val="•"/>
      <w:lvlJc w:val="left"/>
      <w:pPr>
        <w:tabs>
          <w:tab w:val="num" w:pos="4320"/>
        </w:tabs>
        <w:ind w:left="4320" w:hanging="360"/>
      </w:pPr>
      <w:rPr>
        <w:rFonts w:ascii="Arial" w:hAnsi="Arial" w:hint="default"/>
      </w:rPr>
    </w:lvl>
    <w:lvl w:ilvl="6" w:tplc="17B4CFE8" w:tentative="1">
      <w:start w:val="1"/>
      <w:numFmt w:val="bullet"/>
      <w:lvlText w:val="•"/>
      <w:lvlJc w:val="left"/>
      <w:pPr>
        <w:tabs>
          <w:tab w:val="num" w:pos="5040"/>
        </w:tabs>
        <w:ind w:left="5040" w:hanging="360"/>
      </w:pPr>
      <w:rPr>
        <w:rFonts w:ascii="Arial" w:hAnsi="Arial" w:hint="default"/>
      </w:rPr>
    </w:lvl>
    <w:lvl w:ilvl="7" w:tplc="90E42660" w:tentative="1">
      <w:start w:val="1"/>
      <w:numFmt w:val="bullet"/>
      <w:lvlText w:val="•"/>
      <w:lvlJc w:val="left"/>
      <w:pPr>
        <w:tabs>
          <w:tab w:val="num" w:pos="5760"/>
        </w:tabs>
        <w:ind w:left="5760" w:hanging="360"/>
      </w:pPr>
      <w:rPr>
        <w:rFonts w:ascii="Arial" w:hAnsi="Arial" w:hint="default"/>
      </w:rPr>
    </w:lvl>
    <w:lvl w:ilvl="8" w:tplc="9E1876D2"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0"/>
  </w:num>
  <w:num w:numId="3">
    <w:abstractNumId w:val="13"/>
  </w:num>
  <w:num w:numId="4">
    <w:abstractNumId w:val="15"/>
  </w:num>
  <w:num w:numId="5">
    <w:abstractNumId w:val="6"/>
  </w:num>
  <w:num w:numId="6">
    <w:abstractNumId w:val="16"/>
  </w:num>
  <w:num w:numId="7">
    <w:abstractNumId w:val="4"/>
  </w:num>
  <w:num w:numId="8">
    <w:abstractNumId w:val="1"/>
  </w:num>
  <w:num w:numId="9">
    <w:abstractNumId w:val="14"/>
  </w:num>
  <w:num w:numId="10">
    <w:abstractNumId w:val="11"/>
  </w:num>
  <w:num w:numId="11">
    <w:abstractNumId w:val="9"/>
  </w:num>
  <w:num w:numId="12">
    <w:abstractNumId w:val="5"/>
  </w:num>
  <w:num w:numId="13">
    <w:abstractNumId w:val="12"/>
  </w:num>
  <w:num w:numId="14">
    <w:abstractNumId w:val="8"/>
  </w:num>
  <w:num w:numId="15">
    <w:abstractNumId w:val="3"/>
  </w:num>
  <w:num w:numId="16">
    <w:abstractNumId w:val="21"/>
  </w:num>
  <w:num w:numId="17">
    <w:abstractNumId w:val="0"/>
  </w:num>
  <w:num w:numId="18">
    <w:abstractNumId w:val="2"/>
  </w:num>
  <w:num w:numId="19">
    <w:abstractNumId w:val="19"/>
  </w:num>
  <w:num w:numId="20">
    <w:abstractNumId w:val="18"/>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02289"/>
    <w:rsid w:val="00004558"/>
    <w:rsid w:val="000C6657"/>
    <w:rsid w:val="001005C2"/>
    <w:rsid w:val="00102289"/>
    <w:rsid w:val="001A0AFA"/>
    <w:rsid w:val="001A2343"/>
    <w:rsid w:val="00243AA0"/>
    <w:rsid w:val="002C4536"/>
    <w:rsid w:val="00345A0F"/>
    <w:rsid w:val="003D45B3"/>
    <w:rsid w:val="00415476"/>
    <w:rsid w:val="00526901"/>
    <w:rsid w:val="00585432"/>
    <w:rsid w:val="006044DE"/>
    <w:rsid w:val="006F04F7"/>
    <w:rsid w:val="006F0BD6"/>
    <w:rsid w:val="008A6D35"/>
    <w:rsid w:val="008D0C95"/>
    <w:rsid w:val="008D4D27"/>
    <w:rsid w:val="009538DA"/>
    <w:rsid w:val="009F7E40"/>
    <w:rsid w:val="00A123CB"/>
    <w:rsid w:val="00A723F9"/>
    <w:rsid w:val="00A85638"/>
    <w:rsid w:val="00B52BD1"/>
    <w:rsid w:val="00D24F90"/>
    <w:rsid w:val="00D81267"/>
    <w:rsid w:val="00E160A1"/>
    <w:rsid w:val="00E91B22"/>
    <w:rsid w:val="00E92024"/>
    <w:rsid w:val="00F541FC"/>
    <w:rsid w:val="00FB02EC"/>
    <w:rsid w:val="00FE2F3B"/>
    <w:rsid w:val="00FF2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32D2"/>
  <w15:chartTrackingRefBased/>
  <w15:docId w15:val="{7ABBF34C-5ED6-4837-B3BE-72CF961C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289"/>
  </w:style>
  <w:style w:type="paragraph" w:styleId="Heading1">
    <w:name w:val="heading 1"/>
    <w:basedOn w:val="Normal"/>
    <w:link w:val="Heading1Char"/>
    <w:uiPriority w:val="9"/>
    <w:qFormat/>
    <w:rsid w:val="001022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022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28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10228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02289"/>
    <w:pPr>
      <w:ind w:left="720"/>
      <w:contextualSpacing/>
    </w:pPr>
  </w:style>
  <w:style w:type="character" w:styleId="Hyperlink">
    <w:name w:val="Hyperlink"/>
    <w:basedOn w:val="DefaultParagraphFont"/>
    <w:uiPriority w:val="99"/>
    <w:unhideWhenUsed/>
    <w:rsid w:val="00102289"/>
    <w:rPr>
      <w:color w:val="0000FF"/>
      <w:u w:val="single"/>
    </w:rPr>
  </w:style>
  <w:style w:type="paragraph" w:styleId="BalloonText">
    <w:name w:val="Balloon Text"/>
    <w:basedOn w:val="Normal"/>
    <w:link w:val="BalloonTextChar"/>
    <w:uiPriority w:val="99"/>
    <w:semiHidden/>
    <w:unhideWhenUsed/>
    <w:rsid w:val="00102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289"/>
    <w:rPr>
      <w:rFonts w:ascii="Tahoma" w:hAnsi="Tahoma" w:cs="Tahoma"/>
      <w:sz w:val="16"/>
      <w:szCs w:val="16"/>
    </w:rPr>
  </w:style>
  <w:style w:type="paragraph" w:styleId="NormalWeb">
    <w:name w:val="Normal (Web)"/>
    <w:basedOn w:val="Normal"/>
    <w:uiPriority w:val="99"/>
    <w:unhideWhenUsed/>
    <w:rsid w:val="001022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102289"/>
    <w:pPr>
      <w:spacing w:line="240" w:lineRule="auto"/>
    </w:pPr>
    <w:rPr>
      <w:sz w:val="20"/>
      <w:szCs w:val="20"/>
    </w:rPr>
  </w:style>
  <w:style w:type="character" w:customStyle="1" w:styleId="CommentTextChar">
    <w:name w:val="Comment Text Char"/>
    <w:basedOn w:val="DefaultParagraphFont"/>
    <w:link w:val="CommentText"/>
    <w:uiPriority w:val="99"/>
    <w:semiHidden/>
    <w:rsid w:val="00102289"/>
    <w:rPr>
      <w:sz w:val="20"/>
      <w:szCs w:val="20"/>
    </w:rPr>
  </w:style>
  <w:style w:type="character" w:styleId="CommentReference">
    <w:name w:val="annotation reference"/>
    <w:basedOn w:val="DefaultParagraphFont"/>
    <w:uiPriority w:val="99"/>
    <w:semiHidden/>
    <w:unhideWhenUsed/>
    <w:rsid w:val="00102289"/>
    <w:rPr>
      <w:sz w:val="16"/>
      <w:szCs w:val="16"/>
    </w:rPr>
  </w:style>
  <w:style w:type="table" w:styleId="TableGrid">
    <w:name w:val="Table Grid"/>
    <w:basedOn w:val="TableNormal"/>
    <w:uiPriority w:val="39"/>
    <w:rsid w:val="0010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0228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02289"/>
    <w:rPr>
      <w:rFonts w:ascii="Calibri" w:hAnsi="Calibri" w:cs="Calibri"/>
      <w:noProof/>
      <w:lang w:val="en-US"/>
    </w:rPr>
  </w:style>
  <w:style w:type="paragraph" w:customStyle="1" w:styleId="EndNoteBibliography">
    <w:name w:val="EndNote Bibliography"/>
    <w:basedOn w:val="Normal"/>
    <w:link w:val="EndNoteBibliographyChar"/>
    <w:rsid w:val="0010228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02289"/>
    <w:rPr>
      <w:rFonts w:ascii="Calibri" w:hAnsi="Calibri" w:cs="Calibri"/>
      <w:noProof/>
      <w:lang w:val="en-US"/>
    </w:rPr>
  </w:style>
  <w:style w:type="character" w:customStyle="1" w:styleId="fieldlabel">
    <w:name w:val="fieldlabel"/>
    <w:basedOn w:val="DefaultParagraphFont"/>
    <w:rsid w:val="00102289"/>
  </w:style>
  <w:style w:type="paragraph" w:styleId="CommentSubject">
    <w:name w:val="annotation subject"/>
    <w:basedOn w:val="CommentText"/>
    <w:next w:val="CommentText"/>
    <w:link w:val="CommentSubjectChar"/>
    <w:uiPriority w:val="99"/>
    <w:semiHidden/>
    <w:unhideWhenUsed/>
    <w:rsid w:val="00102289"/>
    <w:rPr>
      <w:b/>
      <w:bCs/>
    </w:rPr>
  </w:style>
  <w:style w:type="character" w:customStyle="1" w:styleId="CommentSubjectChar">
    <w:name w:val="Comment Subject Char"/>
    <w:basedOn w:val="CommentTextChar"/>
    <w:link w:val="CommentSubject"/>
    <w:uiPriority w:val="99"/>
    <w:semiHidden/>
    <w:rsid w:val="00102289"/>
    <w:rPr>
      <w:b/>
      <w:bCs/>
      <w:sz w:val="20"/>
      <w:szCs w:val="20"/>
    </w:rPr>
  </w:style>
  <w:style w:type="paragraph" w:styleId="Header">
    <w:name w:val="header"/>
    <w:basedOn w:val="Normal"/>
    <w:link w:val="HeaderChar"/>
    <w:uiPriority w:val="99"/>
    <w:unhideWhenUsed/>
    <w:rsid w:val="00102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289"/>
  </w:style>
  <w:style w:type="paragraph" w:styleId="Footer">
    <w:name w:val="footer"/>
    <w:basedOn w:val="Normal"/>
    <w:link w:val="FooterChar"/>
    <w:uiPriority w:val="99"/>
    <w:unhideWhenUsed/>
    <w:rsid w:val="00102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org.uk/funding-and-statistics/funding-distribution/advanced-service-pay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tionskillsforpharmacy.com/docs/docc.pdf" TargetMode="External"/><Relationship Id="rId5" Type="http://schemas.openxmlformats.org/officeDocument/2006/relationships/footnotes" Target="footnotes.xml"/><Relationship Id="rId10" Type="http://schemas.openxmlformats.org/officeDocument/2006/relationships/hyperlink" Target="https://psnc.org.uk/services-commissioning/advanced-services/nms/" TargetMode="External"/><Relationship Id="rId4" Type="http://schemas.openxmlformats.org/officeDocument/2006/relationships/webSettings" Target="webSettings.xml"/><Relationship Id="rId9" Type="http://schemas.openxmlformats.org/officeDocument/2006/relationships/hyperlink" Target="https://psnc.org.uk/services-commissioning/advanced-services/murs/murs-the-ba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9276</Words>
  <Characters>52877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dc:creator>
  <cp:lastModifiedBy>Stewart, D.</cp:lastModifiedBy>
  <cp:revision>2</cp:revision>
  <dcterms:created xsi:type="dcterms:W3CDTF">2019-04-25T18:15:00Z</dcterms:created>
  <dcterms:modified xsi:type="dcterms:W3CDTF">2019-04-25T18:15:00Z</dcterms:modified>
</cp:coreProperties>
</file>