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E17294" w14:textId="54CAB561" w:rsidR="0004152F" w:rsidRDefault="00B07072" w:rsidP="0004152F">
      <w:pPr>
        <w:jc w:val="center"/>
        <w:rPr>
          <w:rFonts w:cs="Times New Roman"/>
          <w:b/>
          <w:sz w:val="32"/>
        </w:rPr>
      </w:pPr>
      <w:r>
        <w:rPr>
          <w:rFonts w:cs="Times New Roman"/>
          <w:b/>
          <w:sz w:val="32"/>
        </w:rPr>
        <w:t>Tisagenlecleucel</w:t>
      </w:r>
      <w:r w:rsidR="0004152F" w:rsidRPr="00030E3C">
        <w:rPr>
          <w:rFonts w:cs="Times New Roman"/>
          <w:b/>
          <w:sz w:val="32"/>
        </w:rPr>
        <w:t xml:space="preserve"> for the Treatment of Relapsed or Refractory B-cell Acute Lymphoblastic Leukaemia in People Aged up to 25 Years</w:t>
      </w:r>
      <w:r w:rsidR="0004152F">
        <w:rPr>
          <w:rFonts w:cs="Times New Roman"/>
          <w:b/>
          <w:sz w:val="32"/>
        </w:rPr>
        <w:t xml:space="preserve">: an Evidence Review Group Perspective of a NICE Single Technology Appraisal </w:t>
      </w:r>
    </w:p>
    <w:p w14:paraId="02F55CA1" w14:textId="77777777" w:rsidR="0004152F" w:rsidRDefault="0004152F" w:rsidP="0004152F">
      <w:pPr>
        <w:jc w:val="center"/>
        <w:rPr>
          <w:rFonts w:cs="Times New Roman"/>
          <w:b/>
          <w:sz w:val="32"/>
        </w:rPr>
      </w:pPr>
    </w:p>
    <w:p w14:paraId="19EF3D32" w14:textId="02352778" w:rsidR="0004152F" w:rsidRDefault="0004152F" w:rsidP="0004152F">
      <w:pPr>
        <w:jc w:val="center"/>
        <w:rPr>
          <w:rFonts w:cs="Times New Roman"/>
          <w:b/>
        </w:rPr>
      </w:pPr>
      <w:r>
        <w:rPr>
          <w:rFonts w:cs="Times New Roman"/>
          <w:b/>
        </w:rPr>
        <w:t xml:space="preserve">Matthew Walton, Sahar Sharif, </w:t>
      </w:r>
      <w:r w:rsidR="00255EB0">
        <w:rPr>
          <w:rFonts w:cs="Times New Roman"/>
          <w:b/>
        </w:rPr>
        <w:t>Mark Simmonds</w:t>
      </w:r>
      <w:r>
        <w:rPr>
          <w:rFonts w:cs="Times New Roman"/>
          <w:b/>
        </w:rPr>
        <w:t xml:space="preserve">, Lindsay Claxton, </w:t>
      </w:r>
      <w:r w:rsidR="00255EB0">
        <w:rPr>
          <w:rFonts w:cs="Times New Roman"/>
          <w:b/>
        </w:rPr>
        <w:t>Robert Hodgson</w:t>
      </w:r>
    </w:p>
    <w:p w14:paraId="0A0B5D31" w14:textId="77777777" w:rsidR="0004152F" w:rsidRDefault="0004152F" w:rsidP="0004152F">
      <w:pPr>
        <w:jc w:val="center"/>
        <w:rPr>
          <w:rFonts w:cs="Times New Roman"/>
          <w:b/>
        </w:rPr>
      </w:pPr>
      <w:r>
        <w:rPr>
          <w:rFonts w:cs="Times New Roman"/>
          <w:b/>
        </w:rPr>
        <w:t>Centre for Reviews and Dissemination, University of York, YO10 5DD, UK</w:t>
      </w:r>
    </w:p>
    <w:p w14:paraId="7102E9DA" w14:textId="77777777" w:rsidR="0004152F" w:rsidRDefault="0004152F" w:rsidP="0004152F">
      <w:pPr>
        <w:rPr>
          <w:rFonts w:cs="Times New Roman"/>
          <w:b/>
        </w:rPr>
      </w:pPr>
      <w:r>
        <w:rPr>
          <w:rFonts w:cs="Times New Roman"/>
          <w:b/>
        </w:rPr>
        <w:t>Corresponding author:</w:t>
      </w:r>
    </w:p>
    <w:p w14:paraId="17D25439" w14:textId="77777777" w:rsidR="0004152F" w:rsidRDefault="0004152F" w:rsidP="0004152F">
      <w:pPr>
        <w:rPr>
          <w:rFonts w:cs="Times New Roman"/>
        </w:rPr>
      </w:pPr>
      <w:r>
        <w:rPr>
          <w:rFonts w:cs="Times New Roman"/>
        </w:rPr>
        <w:t>Matthew Walton, Centre for Reviews and Dissemination, University of York, York, YO10 5DD, UK</w:t>
      </w:r>
      <w:r>
        <w:rPr>
          <w:rFonts w:cs="Times New Roman"/>
        </w:rPr>
        <w:br/>
        <w:t xml:space="preserve">Email: </w:t>
      </w:r>
      <w:hyperlink r:id="rId8" w:history="1">
        <w:r w:rsidRPr="00E775D1">
          <w:rPr>
            <w:rStyle w:val="Hyperlink"/>
            <w:rFonts w:cs="Times New Roman"/>
          </w:rPr>
          <w:t>matthew.walton@york.ac.uk</w:t>
        </w:r>
      </w:hyperlink>
      <w:r>
        <w:rPr>
          <w:rFonts w:cs="Times New Roman"/>
        </w:rPr>
        <w:t>, Tel: +44(0)1904 321077</w:t>
      </w:r>
    </w:p>
    <w:p w14:paraId="7AF5C447" w14:textId="77777777" w:rsidR="0004152F" w:rsidRDefault="0004152F" w:rsidP="0004152F">
      <w:pPr>
        <w:rPr>
          <w:rFonts w:cs="Times New Roman"/>
          <w:b/>
        </w:rPr>
      </w:pPr>
      <w:r>
        <w:rPr>
          <w:rFonts w:cs="Times New Roman"/>
          <w:b/>
        </w:rPr>
        <w:t>Running heading:</w:t>
      </w:r>
    </w:p>
    <w:p w14:paraId="2CEB4BDE" w14:textId="2CC0062E" w:rsidR="0004152F" w:rsidRDefault="0004152F" w:rsidP="0004152F">
      <w:pPr>
        <w:rPr>
          <w:rFonts w:cs="Times New Roman"/>
        </w:rPr>
      </w:pPr>
      <w:r>
        <w:rPr>
          <w:rFonts w:cs="Times New Roman"/>
        </w:rPr>
        <w:t>Tisagenlecleucel for treating r/r B-cell ALL in under-25s: an ERG Perspective</w:t>
      </w:r>
      <w:r>
        <w:rPr>
          <w:rFonts w:cs="Times New Roman"/>
        </w:rPr>
        <w:br w:type="page"/>
      </w:r>
    </w:p>
    <w:p w14:paraId="59CA43F0" w14:textId="5A13EF13" w:rsidR="0004152F" w:rsidRPr="00FC479A" w:rsidRDefault="0004152F" w:rsidP="0004152F">
      <w:pPr>
        <w:pStyle w:val="Nonnumberedheading1"/>
      </w:pPr>
      <w:r w:rsidRPr="00FC479A">
        <w:lastRenderedPageBreak/>
        <w:t>Abstract</w:t>
      </w:r>
    </w:p>
    <w:p w14:paraId="10250ECC" w14:textId="4EF1BEF5" w:rsidR="00B332AE" w:rsidRDefault="00B332AE" w:rsidP="00B332AE">
      <w:r>
        <w:t>As part of the National Institute for Hea</w:t>
      </w:r>
      <w:r w:rsidR="005B35FF">
        <w:t>lth and Care Excellence’s (NICE) Single Technology A</w:t>
      </w:r>
      <w:r>
        <w:t>ppraisal</w:t>
      </w:r>
      <w:r w:rsidR="005B35FF">
        <w:t xml:space="preserve"> (STA)</w:t>
      </w:r>
      <w:r>
        <w:t xml:space="preserve"> process, Novartis submitted evidence on the clinical- and cost-effectiveness of tisagenlecleucel for treating paediatric and young adult patients (under the age of 25</w:t>
      </w:r>
      <w:r w:rsidR="00341AB7">
        <w:t xml:space="preserve"> years</w:t>
      </w:r>
      <w:r>
        <w:t xml:space="preserve">) with relapsed or refractory (r/r) B-cell acute lymphoblastic leukaemia (ALL). This article presents a summary of the </w:t>
      </w:r>
      <w:r w:rsidR="00341AB7">
        <w:t>Evidence Review Group’s (</w:t>
      </w:r>
      <w:r>
        <w:t>ERG</w:t>
      </w:r>
      <w:r w:rsidR="00341AB7">
        <w:t>)</w:t>
      </w:r>
      <w:r>
        <w:t xml:space="preserve"> independent review of the evidence submission, the Committee’s deliberations, and the subsequent development of NICE guidance for the use of tisagenlecleucel on the NHS in England.</w:t>
      </w:r>
      <w:r w:rsidR="00341AB7">
        <w:rPr>
          <w:bCs/>
        </w:rPr>
        <w:t xml:space="preserve"> </w:t>
      </w:r>
      <w:r>
        <w:rPr>
          <w:bCs/>
        </w:rPr>
        <w:t>T</w:t>
      </w:r>
      <w:r w:rsidRPr="008826DC">
        <w:rPr>
          <w:bCs/>
        </w:rPr>
        <w:t>is</w:t>
      </w:r>
      <w:r>
        <w:rPr>
          <w:bCs/>
        </w:rPr>
        <w:t>agenlecleucel is a chimeric antigen receptor-modified T-cell (CAR-T) product, the first of this emerging therapeutic class to be considered by NICE in this indication. The company’s evidence submission was based upon three single arm phase II studies: ELIANA, ENSIGN, and B2101J. These trials demonstrated a beneficial effect of tisagenlecleucel, with significant extensions in event-free survival (EFS) and overall survival (OS) compared to historical control datasets</w:t>
      </w:r>
      <w:r w:rsidR="005B35FF">
        <w:rPr>
          <w:bCs/>
        </w:rPr>
        <w:t xml:space="preserve"> on blinatumomab and salvage chemotherapy</w:t>
      </w:r>
      <w:r>
        <w:rPr>
          <w:bCs/>
        </w:rPr>
        <w:t>. Adverse events were common; 77% of patients suffered from cytokine release syndrome, 56% of whom required ICU-level care.</w:t>
      </w:r>
      <w:r w:rsidR="005B35FF">
        <w:rPr>
          <w:bCs/>
        </w:rPr>
        <w:t xml:space="preserve"> The ERG did not consider clofarabine monotherapy an appropriate proxy for salvage chemotherapy.</w:t>
      </w:r>
      <w:r w:rsidR="00341AB7">
        <w:rPr>
          <w:bCs/>
        </w:rPr>
        <w:t xml:space="preserve"> </w:t>
      </w:r>
      <w:r>
        <w:rPr>
          <w:bCs/>
        </w:rPr>
        <w:t xml:space="preserve">The company presented a hybrid cost-effectiveness model, combining a decision tree and three state partitioned survival model structure. </w:t>
      </w:r>
      <w:r>
        <w:t xml:space="preserve">The majority of </w:t>
      </w:r>
      <w:r w:rsidR="00341AB7">
        <w:t>quality-adjusted life-years (</w:t>
      </w:r>
      <w:r>
        <w:t>QALYs</w:t>
      </w:r>
      <w:r w:rsidR="00341AB7">
        <w:t>)</w:t>
      </w:r>
      <w:r>
        <w:t xml:space="preserve"> gained were generated through additional life years in the extrapolated ‘long-term survival’ phase of the model, where patients were assumed to be ‘cured’. </w:t>
      </w:r>
      <w:r w:rsidR="001B6EAA">
        <w:t>The ERG considered the</w:t>
      </w:r>
      <w:r>
        <w:t xml:space="preserve"> results to be subject to substantial uncertainty, due in part to immature trial data, unresolved long-term treatment effects, and a lack of appropriate comparator data. The ERG implemented a number of changes to the company’s model in an alternative base-case, producing deterministic </w:t>
      </w:r>
      <w:r w:rsidR="00341AB7">
        <w:t>incremental cost-effectiveness ratios (</w:t>
      </w:r>
      <w:r>
        <w:t>ICERs</w:t>
      </w:r>
      <w:r w:rsidR="00341AB7">
        <w:t>)</w:t>
      </w:r>
      <w:r>
        <w:t xml:space="preserve"> of £45,397 per QALY gained versus salvage chemotherapy, and £27,732 versus blinatumomab. The probabilistic model produced ICERs of £48,265 per QALY gained versus salvage chemotherapy, and £29,501 versus blinatumomab. The committee considered the ERG’s analysis to be most closely aligned with their preferred assumptions, and did not consider tisagenlecleucel to meet both of the end-of-life (EoL) criteria. In recognition of the innovative nature of tisagenlecleucel, and the present immaturity of ongoing clinical trials, the committee considered </w:t>
      </w:r>
      <w:r w:rsidR="001B6EAA">
        <w:t xml:space="preserve">further </w:t>
      </w:r>
      <w:r>
        <w:t xml:space="preserve">data collection would be valuable in resolving uncertainties around OS, the technology’s novel mechanism of action, and the management of </w:t>
      </w:r>
      <w:r w:rsidR="00341AB7">
        <w:t>cytokine release syndrome (</w:t>
      </w:r>
      <w:r>
        <w:t>CRS</w:t>
      </w:r>
      <w:r w:rsidR="00341AB7">
        <w:t>)</w:t>
      </w:r>
      <w:r>
        <w:t xml:space="preserve"> and B-cell aplasia.</w:t>
      </w:r>
      <w:r w:rsidRPr="00F1352D">
        <w:t xml:space="preserve"> </w:t>
      </w:r>
      <w:r>
        <w:t xml:space="preserve">The Committee therefore recommended tisagenlecleucel for use in the CDF until the conclusion of the ELIANA study (June 2023).This appraisal highlighted the difficulty of interpreting EoL criteria in the context of curative therapies and the valuation of cure versus extension of life. Further clarification of NICE’s position in these situations may be necessary to ensure </w:t>
      </w:r>
      <w:r w:rsidRPr="00F01B5C">
        <w:t>consistency</w:t>
      </w:r>
      <w:r>
        <w:t xml:space="preserve"> and equity in their decision-making.</w:t>
      </w:r>
    </w:p>
    <w:p w14:paraId="4C2D2450" w14:textId="26187F3F" w:rsidR="00376E7D" w:rsidRPr="00D4236E" w:rsidRDefault="0004152F" w:rsidP="00BF1336">
      <w:pPr>
        <w:pStyle w:val="Nonnumberedheading1"/>
      </w:pPr>
      <w:r w:rsidRPr="00D4236E">
        <w:lastRenderedPageBreak/>
        <w:t>Key points for decision makers</w:t>
      </w:r>
    </w:p>
    <w:p w14:paraId="3748B282" w14:textId="0CF5AF1C" w:rsidR="00D4236E" w:rsidRDefault="00D4236E" w:rsidP="00D4236E">
      <w:r>
        <w:t>Tisagenlecleucel appears to be significantly more effective than the current standard of care</w:t>
      </w:r>
      <w:r w:rsidR="00BD4604">
        <w:t xml:space="preserve"> for the treatment of relapsed or refractory (r/r) B-cell acute lymphoblastic leukaemia patients under the age of 25 years</w:t>
      </w:r>
      <w:r>
        <w:t>, but the technology’s novel mechanism of action and immature</w:t>
      </w:r>
      <w:r w:rsidR="00BD4604">
        <w:t xml:space="preserve"> overall survival</w:t>
      </w:r>
      <w:r>
        <w:t xml:space="preserve"> </w:t>
      </w:r>
      <w:r w:rsidR="00BD4604">
        <w:t>(</w:t>
      </w:r>
      <w:r>
        <w:t>OS</w:t>
      </w:r>
      <w:r w:rsidR="00BD4604">
        <w:t>)</w:t>
      </w:r>
      <w:r>
        <w:t xml:space="preserve"> data mean uncertainties remain around the curative potential of the technology.</w:t>
      </w:r>
    </w:p>
    <w:p w14:paraId="7AF505CE" w14:textId="77777777" w:rsidR="00D4236E" w:rsidRDefault="00D4236E" w:rsidP="00D4236E">
      <w:r>
        <w:t>The Committee considered the most plausible incremental cost-effectiveness ratios (ICER) for tisagenlecleucel to be over £30,000 but less than £50,000 per quality-adjusted life-year (QALY) gained, but did not consider it to meet both end-of-life criteria, therefore it was not recommended for routine commissioning on the NHS.</w:t>
      </w:r>
    </w:p>
    <w:p w14:paraId="24ECB536" w14:textId="2B37AEAC" w:rsidR="00D4236E" w:rsidRDefault="00D4236E" w:rsidP="00D4236E">
      <w:r>
        <w:t xml:space="preserve">The Committee recommended tisagenlecleucel as an option for </w:t>
      </w:r>
      <w:r w:rsidR="00BD4604">
        <w:t>r/r</w:t>
      </w:r>
      <w:r>
        <w:t xml:space="preserve"> B-cell acute lymphoblastic leukaemia patients under the age of 25 </w:t>
      </w:r>
      <w:r w:rsidR="00BD4604">
        <w:t xml:space="preserve">years </w:t>
      </w:r>
      <w:r>
        <w:t>for use in the Cancer Drugs Fund, as data collection is likely to resolve uncertainties around long-term efficacy and adverse event management.</w:t>
      </w:r>
    </w:p>
    <w:p w14:paraId="27F09862" w14:textId="3920554A" w:rsidR="00D4236E" w:rsidRDefault="00D4236E" w:rsidP="00D4236E">
      <w:r>
        <w:t xml:space="preserve">NICE’s position on end-of-life may require further clarification in potentially curative therapies to </w:t>
      </w:r>
      <w:r w:rsidR="00531D79">
        <w:t>ensure consistency and equity in their decision-making.</w:t>
      </w:r>
      <w:r>
        <w:t xml:space="preserve"> </w:t>
      </w:r>
    </w:p>
    <w:p w14:paraId="0A35304E" w14:textId="01E8F36D" w:rsidR="0004152F" w:rsidRDefault="0004152F" w:rsidP="0004152F">
      <w:pPr>
        <w:pStyle w:val="Heading1"/>
      </w:pPr>
      <w:r w:rsidRPr="00D018D7">
        <w:t>Introduction</w:t>
      </w:r>
    </w:p>
    <w:p w14:paraId="344678F6" w14:textId="1234C505" w:rsidR="003746A2" w:rsidRPr="00DD657B" w:rsidRDefault="003746A2" w:rsidP="003746A2">
      <w:pPr>
        <w:rPr>
          <w:rFonts w:cs="Times New Roman"/>
          <w:color w:val="000000"/>
        </w:rPr>
      </w:pPr>
      <w:r w:rsidRPr="00DD657B">
        <w:rPr>
          <w:rFonts w:cs="Times New Roman"/>
          <w:color w:val="000000"/>
        </w:rPr>
        <w:t xml:space="preserve">The National Institute for Health and Care Excellence (NICE) is an independent organisation responsible for providing </w:t>
      </w:r>
      <w:r>
        <w:rPr>
          <w:rFonts w:cs="Times New Roman"/>
          <w:color w:val="000000"/>
        </w:rPr>
        <w:t xml:space="preserve">evidence-based guidance to the </w:t>
      </w:r>
      <w:r w:rsidRPr="00DD657B">
        <w:rPr>
          <w:rFonts w:cs="Times New Roman"/>
          <w:color w:val="000000"/>
        </w:rPr>
        <w:t>National Health Service (NHS) in England</w:t>
      </w:r>
      <w:r>
        <w:rPr>
          <w:rFonts w:cs="Times New Roman"/>
          <w:color w:val="000000"/>
        </w:rPr>
        <w:t xml:space="preserve"> for a range of health and social care issues.</w:t>
      </w:r>
      <w:r w:rsidRPr="00DD657B">
        <w:rPr>
          <w:rFonts w:cs="Times New Roman"/>
          <w:color w:val="000000"/>
        </w:rPr>
        <w:t xml:space="preserve"> Single </w:t>
      </w:r>
      <w:r>
        <w:rPr>
          <w:rFonts w:cs="Times New Roman"/>
          <w:color w:val="000000"/>
        </w:rPr>
        <w:t>T</w:t>
      </w:r>
      <w:r w:rsidRPr="00DD657B">
        <w:rPr>
          <w:rFonts w:cs="Times New Roman"/>
          <w:color w:val="000000"/>
        </w:rPr>
        <w:t xml:space="preserve">echnology </w:t>
      </w:r>
      <w:r>
        <w:rPr>
          <w:rFonts w:cs="Times New Roman"/>
          <w:color w:val="000000"/>
        </w:rPr>
        <w:t>A</w:t>
      </w:r>
      <w:r w:rsidRPr="00DD657B">
        <w:rPr>
          <w:rFonts w:cs="Times New Roman"/>
          <w:color w:val="000000"/>
        </w:rPr>
        <w:t xml:space="preserve">ppraisals (STAs) evaluate a single technology </w:t>
      </w:r>
      <w:r>
        <w:rPr>
          <w:rFonts w:cs="Times New Roman"/>
          <w:color w:val="000000"/>
        </w:rPr>
        <w:t>with respect to</w:t>
      </w:r>
      <w:r w:rsidR="0037397B">
        <w:rPr>
          <w:rFonts w:cs="Times New Roman"/>
          <w:color w:val="000000"/>
        </w:rPr>
        <w:t xml:space="preserve"> a single indication, and provide recommendations in the form of NICE guidance on the use of technologies in the NHS </w:t>
      </w:r>
      <w:r w:rsidR="00F52992">
        <w:rPr>
          <w:rFonts w:cs="Times New Roman"/>
          <w:color w:val="000000"/>
        </w:rPr>
        <w:fldChar w:fldCharType="begin"/>
      </w:r>
      <w:r w:rsidR="00F52992">
        <w:rPr>
          <w:rFonts w:cs="Times New Roman"/>
          <w:color w:val="000000"/>
        </w:rPr>
        <w:instrText xml:space="preserve"> ADDIN EN.CITE &lt;EndNote&gt;&lt;Cite&gt;&lt;Author&gt;Excellence&lt;/Author&gt;&lt;Year&gt;2018&lt;/Year&gt;&lt;RecNum&gt;35&lt;/RecNum&gt;&lt;DisplayText&gt;&lt;style face="superscript"&gt;1&lt;/style&gt;&lt;/DisplayText&gt;&lt;record&gt;&lt;rec-number&gt;35&lt;/rec-number&gt;&lt;foreign-keys&gt;&lt;key app="EN" db-id="wawz2ww0tttz2fexxanxex010szppvx9rppt" timestamp="1547735390"&gt;35&lt;/key&gt;&lt;/foreign-keys&gt;&lt;ref-type name="Report"&gt;27&lt;/ref-type&gt;&lt;contributors&gt;&lt;authors&gt;&lt;author&gt;National Institute for Health and Care Excellence&lt;/author&gt;&lt;/authors&gt;&lt;/contributors&gt;&lt;titles&gt;&lt;title&gt;Guide to the processes of technology appraisal&lt;/title&gt;&lt;/titles&gt;&lt;dates&gt;&lt;year&gt;2018&lt;/year&gt;&lt;/dates&gt;&lt;urls&gt;&lt;related-urls&gt;&lt;url&gt;https://www.nice.org.uk/Media/Default/About/what-we-do/NICE-guidance/NICE-technology-appraisals/technology-appraisal-processes-guide-apr-2018.pdf&lt;/url&gt;&lt;/related-urls&gt;&lt;/urls&gt;&lt;/record&gt;&lt;/Cite&gt;&lt;/EndNote&gt;</w:instrText>
      </w:r>
      <w:r w:rsidR="00F52992">
        <w:rPr>
          <w:rFonts w:cs="Times New Roman"/>
          <w:color w:val="000000"/>
        </w:rPr>
        <w:fldChar w:fldCharType="separate"/>
      </w:r>
      <w:r w:rsidR="00F52992" w:rsidRPr="00F52992">
        <w:rPr>
          <w:rFonts w:cs="Times New Roman"/>
          <w:noProof/>
          <w:color w:val="000000"/>
          <w:vertAlign w:val="superscript"/>
        </w:rPr>
        <w:t>1</w:t>
      </w:r>
      <w:r w:rsidR="00F52992">
        <w:rPr>
          <w:rFonts w:cs="Times New Roman"/>
          <w:color w:val="000000"/>
        </w:rPr>
        <w:fldChar w:fldCharType="end"/>
      </w:r>
      <w:r w:rsidR="003B5B49">
        <w:rPr>
          <w:rFonts w:cs="Times New Roman"/>
          <w:color w:val="000000"/>
        </w:rPr>
        <w:t>.</w:t>
      </w:r>
      <w:r w:rsidRPr="008B7DFC">
        <w:rPr>
          <w:rFonts w:cs="Times New Roman"/>
          <w:color w:val="000000"/>
        </w:rPr>
        <w:t xml:space="preserve"> </w:t>
      </w:r>
      <w:r w:rsidRPr="00DD657B">
        <w:rPr>
          <w:rFonts w:cs="Times New Roman"/>
          <w:color w:val="000000"/>
        </w:rPr>
        <w:t xml:space="preserve">The </w:t>
      </w:r>
      <w:r>
        <w:rPr>
          <w:rFonts w:cs="Times New Roman"/>
          <w:color w:val="000000"/>
        </w:rPr>
        <w:t>company</w:t>
      </w:r>
      <w:r w:rsidRPr="00DD657B">
        <w:rPr>
          <w:rFonts w:cs="Times New Roman"/>
          <w:color w:val="000000"/>
        </w:rPr>
        <w:t xml:space="preserve"> or sponsor of the technology submits the principal evidence supporting the clinical and cost</w:t>
      </w:r>
      <w:r>
        <w:rPr>
          <w:rFonts w:cs="Times New Roman"/>
          <w:color w:val="000000"/>
        </w:rPr>
        <w:t>-</w:t>
      </w:r>
      <w:r w:rsidRPr="00DD657B">
        <w:rPr>
          <w:rFonts w:cs="Times New Roman"/>
          <w:color w:val="000000"/>
        </w:rPr>
        <w:t>effectiveness of the product, and an external independent academic organisation</w:t>
      </w:r>
      <w:r w:rsidR="006C34C7">
        <w:rPr>
          <w:rFonts w:cs="Times New Roman"/>
          <w:color w:val="000000"/>
        </w:rPr>
        <w:t xml:space="preserve">, in this case the CRD/CHE </w:t>
      </w:r>
      <w:r w:rsidR="00DA6EEC">
        <w:rPr>
          <w:rFonts w:cs="Times New Roman"/>
          <w:color w:val="000000"/>
        </w:rPr>
        <w:t>Technology Assessment Group</w:t>
      </w:r>
      <w:r>
        <w:rPr>
          <w:rFonts w:cs="Times New Roman"/>
          <w:color w:val="000000"/>
        </w:rPr>
        <w:t xml:space="preserve">, </w:t>
      </w:r>
      <w:r w:rsidR="00DA6EEC">
        <w:rPr>
          <w:rFonts w:cs="Times New Roman"/>
          <w:color w:val="000000"/>
        </w:rPr>
        <w:t xml:space="preserve">hereafter referred to </w:t>
      </w:r>
      <w:r>
        <w:rPr>
          <w:rFonts w:cs="Times New Roman"/>
          <w:color w:val="000000"/>
        </w:rPr>
        <w:t xml:space="preserve">as </w:t>
      </w:r>
      <w:r w:rsidRPr="00DD657B">
        <w:rPr>
          <w:rFonts w:cs="Times New Roman"/>
          <w:color w:val="000000"/>
        </w:rPr>
        <w:t>the Evidence Review Group (ERG)</w:t>
      </w:r>
      <w:r>
        <w:rPr>
          <w:rFonts w:cs="Times New Roman"/>
          <w:color w:val="000000"/>
        </w:rPr>
        <w:t>,</w:t>
      </w:r>
      <w:r w:rsidRPr="00DD657B">
        <w:rPr>
          <w:rFonts w:cs="Times New Roman"/>
          <w:color w:val="000000"/>
        </w:rPr>
        <w:t xml:space="preserve"> is commissioned to produce a review and critique of the evidence submitted</w:t>
      </w:r>
      <w:r w:rsidR="00145E88">
        <w:rPr>
          <w:rFonts w:cs="Times New Roman"/>
          <w:color w:val="000000"/>
        </w:rPr>
        <w:t xml:space="preserve"> </w:t>
      </w:r>
      <w:r w:rsidR="00F52992">
        <w:rPr>
          <w:rFonts w:cs="Times New Roman"/>
          <w:color w:val="000000"/>
        </w:rPr>
        <w:fldChar w:fldCharType="begin"/>
      </w:r>
      <w:r w:rsidR="00F52992">
        <w:rPr>
          <w:rFonts w:cs="Times New Roman"/>
          <w:color w:val="000000"/>
        </w:rPr>
        <w:instrText xml:space="preserve"> ADDIN EN.CITE &lt;EndNote&gt;&lt;Cite&gt;&lt;Author&gt;M.&lt;/Author&gt;&lt;Year&gt;2018&lt;/Year&gt;&lt;RecNum&gt;36&lt;/RecNum&gt;&lt;DisplayText&gt;&lt;style face="superscript"&gt;2&lt;/style&gt;&lt;/DisplayText&gt;&lt;record&gt;&lt;rec-number&gt;36&lt;/rec-number&gt;&lt;foreign-keys&gt;&lt;key app="EN" db-id="wawz2ww0tttz2fexxanxex010szppvx9rppt" timestamp="1547735558"&gt;36&lt;/key&gt;&lt;/foreign-keys&gt;&lt;ref-type name="Report"&gt;27&lt;/ref-type&gt;&lt;contributors&gt;&lt;authors&gt;&lt;author&gt;Walton, M.; Sharif, S.; Hodgson, R.; Claxton, L.; Wright, K.; Simmonds, M.&lt;/author&gt;&lt;/authors&gt;&lt;/contributors&gt;&lt;titles&gt;&lt;title&gt;Tisagenlecleucel-T for treating relapsed or refractory B-cell acute lymphoblastic leukaemia in people aged up to 25 years&lt;/title&gt;&lt;/titles&gt;&lt;dates&gt;&lt;year&gt;2018&lt;/year&gt;&lt;/dates&gt;&lt;publisher&gt;University of York&lt;/publisher&gt;&lt;urls&gt;&lt;/urls&gt;&lt;/record&gt;&lt;/Cite&gt;&lt;/EndNote&gt;</w:instrText>
      </w:r>
      <w:r w:rsidR="00F52992">
        <w:rPr>
          <w:rFonts w:cs="Times New Roman"/>
          <w:color w:val="000000"/>
        </w:rPr>
        <w:fldChar w:fldCharType="separate"/>
      </w:r>
      <w:r w:rsidR="00F52992" w:rsidRPr="00F52992">
        <w:rPr>
          <w:rFonts w:cs="Times New Roman"/>
          <w:noProof/>
          <w:color w:val="000000"/>
          <w:vertAlign w:val="superscript"/>
        </w:rPr>
        <w:t>2</w:t>
      </w:r>
      <w:r w:rsidR="00F52992">
        <w:rPr>
          <w:rFonts w:cs="Times New Roman"/>
          <w:color w:val="000000"/>
        </w:rPr>
        <w:fldChar w:fldCharType="end"/>
      </w:r>
      <w:r>
        <w:rPr>
          <w:rFonts w:cs="Times New Roman"/>
          <w:color w:val="000000"/>
        </w:rPr>
        <w:t>.</w:t>
      </w:r>
      <w:r w:rsidRPr="00DD657B">
        <w:rPr>
          <w:rFonts w:cs="Times New Roman"/>
          <w:color w:val="000000"/>
        </w:rPr>
        <w:t xml:space="preserve"> </w:t>
      </w:r>
      <w:r>
        <w:rPr>
          <w:rFonts w:cs="Times New Roman"/>
          <w:color w:val="000000"/>
        </w:rPr>
        <w:t>Consultees, c</w:t>
      </w:r>
      <w:r w:rsidRPr="00DD657B">
        <w:rPr>
          <w:rFonts w:cs="Times New Roman"/>
          <w:color w:val="000000"/>
        </w:rPr>
        <w:t xml:space="preserve">linical specialists, NHS commissioning experts and patient </w:t>
      </w:r>
      <w:r>
        <w:rPr>
          <w:rFonts w:cs="Times New Roman"/>
          <w:color w:val="000000"/>
        </w:rPr>
        <w:t>representatives</w:t>
      </w:r>
      <w:r w:rsidRPr="00DD657B">
        <w:rPr>
          <w:rFonts w:cs="Times New Roman"/>
          <w:color w:val="000000"/>
        </w:rPr>
        <w:t xml:space="preserve"> provide </w:t>
      </w:r>
      <w:r>
        <w:rPr>
          <w:rFonts w:cs="Times New Roman"/>
          <w:color w:val="000000"/>
        </w:rPr>
        <w:t>additional information</w:t>
      </w:r>
      <w:r w:rsidRPr="00DD657B">
        <w:rPr>
          <w:rFonts w:cs="Times New Roman"/>
          <w:color w:val="000000"/>
        </w:rPr>
        <w:t xml:space="preserve"> for consideration by the NICE Appraisal Committee </w:t>
      </w:r>
      <w:r w:rsidR="00413C99">
        <w:rPr>
          <w:rFonts w:cs="Times New Roman"/>
          <w:color w:val="000000"/>
        </w:rPr>
        <w:t>when</w:t>
      </w:r>
      <w:r w:rsidR="003B5B49">
        <w:rPr>
          <w:rFonts w:cs="Times New Roman"/>
          <w:color w:val="000000"/>
        </w:rPr>
        <w:t xml:space="preserve"> formulating their guidance</w:t>
      </w:r>
      <w:r w:rsidR="00145E88">
        <w:rPr>
          <w:rFonts w:cs="Times New Roman"/>
          <w:color w:val="000000"/>
        </w:rPr>
        <w:t xml:space="preserve"> </w:t>
      </w:r>
      <w:r w:rsidR="00F52992">
        <w:rPr>
          <w:rFonts w:cs="Times New Roman"/>
          <w:color w:val="000000"/>
        </w:rPr>
        <w:fldChar w:fldCharType="begin"/>
      </w:r>
      <w:r w:rsidR="00F52992">
        <w:rPr>
          <w:rFonts w:cs="Times New Roman"/>
          <w:color w:val="000000"/>
        </w:rPr>
        <w:instrText xml:space="preserve"> ADDIN EN.CITE &lt;EndNote&gt;&lt;Cite&gt;&lt;Author&gt;Excellence&lt;/Author&gt;&lt;Year&gt;2018&lt;/Year&gt;&lt;RecNum&gt;35&lt;/RecNum&gt;&lt;DisplayText&gt;&lt;style face="superscript"&gt;1&lt;/style&gt;&lt;/DisplayText&gt;&lt;record&gt;&lt;rec-number&gt;35&lt;/rec-number&gt;&lt;foreign-keys&gt;&lt;key app="EN" db-id="wawz2ww0tttz2fexxanxex010szppvx9rppt" timestamp="1547735390"&gt;35&lt;/key&gt;&lt;/foreign-keys&gt;&lt;ref-type name="Report"&gt;27&lt;/ref-type&gt;&lt;contributors&gt;&lt;authors&gt;&lt;author&gt;National Institute for Health and Care Excellence&lt;/author&gt;&lt;/authors&gt;&lt;/contributors&gt;&lt;titles&gt;&lt;title&gt;Guide to the processes of technology appraisal&lt;/title&gt;&lt;/titles&gt;&lt;dates&gt;&lt;year&gt;2018&lt;/year&gt;&lt;/dates&gt;&lt;urls&gt;&lt;related-urls&gt;&lt;url&gt;https://www.nice.org.uk/Media/Default/About/what-we-do/NICE-guidance/NICE-technology-appraisals/technology-appraisal-processes-guide-apr-2018.pdf&lt;/url&gt;&lt;/related-urls&gt;&lt;/urls&gt;&lt;/record&gt;&lt;/Cite&gt;&lt;/EndNote&gt;</w:instrText>
      </w:r>
      <w:r w:rsidR="00F52992">
        <w:rPr>
          <w:rFonts w:cs="Times New Roman"/>
          <w:color w:val="000000"/>
        </w:rPr>
        <w:fldChar w:fldCharType="separate"/>
      </w:r>
      <w:r w:rsidR="00F52992" w:rsidRPr="00F52992">
        <w:rPr>
          <w:rFonts w:cs="Times New Roman"/>
          <w:noProof/>
          <w:color w:val="000000"/>
          <w:vertAlign w:val="superscript"/>
        </w:rPr>
        <w:t>1</w:t>
      </w:r>
      <w:r w:rsidR="00F52992">
        <w:rPr>
          <w:rFonts w:cs="Times New Roman"/>
          <w:color w:val="000000"/>
        </w:rPr>
        <w:fldChar w:fldCharType="end"/>
      </w:r>
      <w:r>
        <w:rPr>
          <w:rFonts w:cs="Times New Roman"/>
          <w:color w:val="000000"/>
        </w:rPr>
        <w:t>.</w:t>
      </w:r>
      <w:r w:rsidRPr="00DD657B">
        <w:rPr>
          <w:rFonts w:cs="Times New Roman"/>
          <w:color w:val="000000"/>
        </w:rPr>
        <w:t xml:space="preserve"> Once published, NICE technology guidance </w:t>
      </w:r>
      <w:r>
        <w:rPr>
          <w:rFonts w:cs="Times New Roman"/>
          <w:color w:val="000000"/>
        </w:rPr>
        <w:t>constitutes</w:t>
      </w:r>
      <w:r w:rsidRPr="00DD657B">
        <w:rPr>
          <w:rFonts w:cs="Times New Roman"/>
          <w:color w:val="000000"/>
        </w:rPr>
        <w:t xml:space="preserve"> a legal obligation for NHS providers to reimburse</w:t>
      </w:r>
      <w:r w:rsidR="00413C99">
        <w:rPr>
          <w:rFonts w:cs="Times New Roman"/>
          <w:color w:val="000000"/>
        </w:rPr>
        <w:t xml:space="preserve"> a </w:t>
      </w:r>
      <w:r w:rsidRPr="00DD657B">
        <w:rPr>
          <w:rFonts w:cs="Times New Roman"/>
          <w:color w:val="000000"/>
        </w:rPr>
        <w:t>technolog</w:t>
      </w:r>
      <w:r>
        <w:rPr>
          <w:rFonts w:cs="Times New Roman"/>
          <w:color w:val="000000"/>
        </w:rPr>
        <w:t>y</w:t>
      </w:r>
      <w:r w:rsidRPr="00DD657B">
        <w:rPr>
          <w:rFonts w:cs="Times New Roman"/>
          <w:color w:val="000000"/>
        </w:rPr>
        <w:t xml:space="preserve"> </w:t>
      </w:r>
      <w:r>
        <w:rPr>
          <w:rFonts w:cs="Times New Roman"/>
          <w:color w:val="000000"/>
        </w:rPr>
        <w:t>within its licensed indication.</w:t>
      </w:r>
      <w:r w:rsidRPr="00DD657B">
        <w:rPr>
          <w:rFonts w:cs="Times New Roman"/>
          <w:color w:val="000000"/>
        </w:rPr>
        <w:fldChar w:fldCharType="begin"/>
      </w:r>
      <w:r w:rsidRPr="00DD657B">
        <w:rPr>
          <w:rFonts w:cs="Times New Roman"/>
          <w:color w:val="000000"/>
        </w:rPr>
        <w:fldChar w:fldCharType="separate"/>
      </w:r>
      <w:r>
        <w:rPr>
          <w:rFonts w:cs="Times New Roman"/>
          <w:color w:val="000000"/>
        </w:rPr>
        <w:t>(2, 3)</w:t>
      </w:r>
      <w:r w:rsidRPr="00DD657B">
        <w:rPr>
          <w:rFonts w:cs="Times New Roman"/>
          <w:color w:val="000000"/>
        </w:rPr>
        <w:fldChar w:fldCharType="end"/>
      </w:r>
    </w:p>
    <w:p w14:paraId="358AE1E6" w14:textId="6D0756CA" w:rsidR="0004152F" w:rsidRDefault="003746A2" w:rsidP="0004152F">
      <w:r>
        <w:t>NICE invited Novartis, the manuf</w:t>
      </w:r>
      <w:r w:rsidR="003A534F">
        <w:t xml:space="preserve">acturer of tisagenlecleucel, </w:t>
      </w:r>
      <w:r>
        <w:t xml:space="preserve">to submit </w:t>
      </w:r>
      <w:r w:rsidR="002977E7">
        <w:t xml:space="preserve">evidence on the </w:t>
      </w:r>
      <w:r>
        <w:t>clinical- an</w:t>
      </w:r>
      <w:r w:rsidR="002977E7">
        <w:t>d cost-effectiveness evidence of</w:t>
      </w:r>
      <w:r>
        <w:t xml:space="preserve"> tisagenlecleucel for the treatment of paediatric and young adult patients (under the age of 25</w:t>
      </w:r>
      <w:r w:rsidR="00DA6EEC">
        <w:t xml:space="preserve"> years</w:t>
      </w:r>
      <w:r>
        <w:t xml:space="preserve">) with relapsed or refractory (r/r) B-cell acute lymphoblastic leukaemia (ALL), as a part of the STA process. This article presents a summary of the ERG’s independent review of the company’s submissions to NICE, </w:t>
      </w:r>
      <w:r w:rsidR="003B5B49">
        <w:t>the Committee’s deliberations, and</w:t>
      </w:r>
      <w:r>
        <w:t xml:space="preserve"> the subsequent </w:t>
      </w:r>
      <w:r>
        <w:lastRenderedPageBreak/>
        <w:t>development of NICE guidance for the use of tisagenlecleucel on the NHS</w:t>
      </w:r>
      <w:r w:rsidR="00D1189D">
        <w:t xml:space="preserve"> in England</w:t>
      </w:r>
      <w:r>
        <w:t>. Full details of the relevant appraisal documents, including the appraisal scope, company and consultee submissions, ERG report, and Final Appraisal Determination can be found on the NICE website</w:t>
      </w:r>
      <w:r w:rsidR="00F52992">
        <w:fldChar w:fldCharType="begin"/>
      </w:r>
      <w:r w:rsidR="00F52992">
        <w:instrText xml:space="preserve"> ADDIN EN.CITE &lt;EndNote&gt;&lt;Cite&gt;&lt;Author&gt;Excellence&lt;/Author&gt;&lt;Year&gt;2018&lt;/Year&gt;&lt;RecNum&gt;5&lt;/RecNum&gt;&lt;DisplayText&gt;&lt;style face="superscript"&gt;3&lt;/style&gt;&lt;/DisplayText&gt;&lt;record&gt;&lt;rec-number&gt;5&lt;/rec-number&gt;&lt;foreign-keys&gt;&lt;key app="EN" db-id="wawz2ww0tttz2fexxanxex010szppvx9rppt" timestamp="1547734952"&gt;5&lt;/key&gt;&lt;/foreign-keys&gt;&lt;ref-type name="Report"&gt;27&lt;/ref-type&gt;&lt;contributors&gt;&lt;authors&gt;&lt;author&gt;National Institute for Health and Care Excellence&lt;/author&gt;&lt;/authors&gt;&lt;/contributors&gt;&lt;titles&gt;&lt;title&gt;Tisagenlecleucel for treating relapsed or refractory B-cell acute lymphoblastic leukaemia in people aged up to 25 years: Technology appraisal guidance [TA554]&lt;/title&gt;&lt;/titles&gt;&lt;dates&gt;&lt;year&gt;2018&lt;/year&gt;&lt;/dates&gt;&lt;urls&gt;&lt;related-urls&gt;&lt;url&gt;Available at: https://www.nice.org.uk/guidance/ta554/ Accessed 17/01/2019&lt;/url&gt;&lt;/related-urls&gt;&lt;/urls&gt;&lt;/record&gt;&lt;/Cite&gt;&lt;/EndNote&gt;</w:instrText>
      </w:r>
      <w:r w:rsidR="00F52992">
        <w:fldChar w:fldCharType="separate"/>
      </w:r>
      <w:r w:rsidR="00F52992" w:rsidRPr="00F52992">
        <w:rPr>
          <w:noProof/>
          <w:vertAlign w:val="superscript"/>
        </w:rPr>
        <w:t>3</w:t>
      </w:r>
      <w:r w:rsidR="00F52992">
        <w:fldChar w:fldCharType="end"/>
      </w:r>
      <w:r>
        <w:t xml:space="preserve">. </w:t>
      </w:r>
    </w:p>
    <w:p w14:paraId="2C090BEC" w14:textId="77777777" w:rsidR="0004152F" w:rsidRDefault="0004152F" w:rsidP="0004152F">
      <w:pPr>
        <w:pStyle w:val="Heading1"/>
      </w:pPr>
      <w:r>
        <w:t>Decision Problem</w:t>
      </w:r>
    </w:p>
    <w:p w14:paraId="3445672A" w14:textId="02D41512" w:rsidR="00B7323C" w:rsidRPr="00A53216" w:rsidRDefault="00D15B4D" w:rsidP="00A53216">
      <w:r>
        <w:t xml:space="preserve">B-cell </w:t>
      </w:r>
      <w:r w:rsidR="00B7323C" w:rsidRPr="00B7323C">
        <w:t xml:space="preserve">Acute lymphoblastic leukaemia (ALL) </w:t>
      </w:r>
      <w:bookmarkStart w:id="0" w:name="_Hlk517684225"/>
      <w:r w:rsidR="00DD5E6C">
        <w:t>is a common</w:t>
      </w:r>
      <w:r w:rsidR="00B7323C" w:rsidRPr="00B7323C">
        <w:t xml:space="preserve"> </w:t>
      </w:r>
      <w:r w:rsidR="00DD5E6C">
        <w:t>form of paediatric leukaemia, and comprises around 25% of all cancers diagnosed before the age of 15</w:t>
      </w:r>
      <w:r w:rsidR="00145E88">
        <w:t xml:space="preserve"> </w:t>
      </w:r>
      <w:r w:rsidR="00F52992">
        <w:fldChar w:fldCharType="begin"/>
      </w:r>
      <w:r w:rsidR="00F52992">
        <w:instrText xml:space="preserve"> ADDIN EN.CITE &lt;EndNote&gt;&lt;Cite ExcludeYear="1"&gt;&lt;Author&gt;Children with Cancer UK&lt;/Author&gt;&lt;RecNum&gt;42&lt;/RecNum&gt;&lt;DisplayText&gt;&lt;style face="superscript"&gt;4&lt;/style&gt;&lt;/DisplayText&gt;&lt;record&gt;&lt;rec-number&gt;42&lt;/rec-number&gt;&lt;foreign-keys&gt;&lt;key app="EN" db-id="wawz2ww0tttz2fexxanxex010szppvx9rppt" timestamp="1548759381"&gt;42&lt;/key&gt;&lt;/foreign-keys&gt;&lt;ref-type name="Web Page"&gt;12&lt;/ref-type&gt;&lt;contributors&gt;&lt;authors&gt;&lt;author&gt;Children with Cancer UK,&lt;/author&gt;&lt;/authors&gt;&lt;/contributors&gt;&lt;titles&gt;&lt;title&gt;Acute Lymphoblastic Leukaemia in Children&lt;/title&gt;&lt;/titles&gt;&lt;volume&gt;2018&lt;/volume&gt;&lt;number&gt;16th May&lt;/number&gt;&lt;dates&gt;&lt;/dates&gt;&lt;urls&gt;&lt;related-urls&gt;&lt;url&gt;&lt;style face="underline" font="default" size="100%"&gt;https://www.childrenwithcancer.org.uk/childhood-cancer-info/cancer-types/acute-lymphoblastic-leukaemia/&lt;/style&gt;&lt;/url&gt;&lt;/related-urls&gt;&lt;/urls&gt;&lt;/record&gt;&lt;/Cite&gt;&lt;/EndNote&gt;</w:instrText>
      </w:r>
      <w:r w:rsidR="00F52992">
        <w:fldChar w:fldCharType="separate"/>
      </w:r>
      <w:r w:rsidR="00F52992" w:rsidRPr="00F52992">
        <w:rPr>
          <w:noProof/>
          <w:vertAlign w:val="superscript"/>
        </w:rPr>
        <w:t>4</w:t>
      </w:r>
      <w:r w:rsidR="00F52992">
        <w:fldChar w:fldCharType="end"/>
      </w:r>
      <w:r w:rsidR="00DD5E6C">
        <w:t>.</w:t>
      </w:r>
      <w:r w:rsidR="00B7323C" w:rsidRPr="00B7323C">
        <w:t xml:space="preserve"> </w:t>
      </w:r>
      <w:r w:rsidR="00DD5E6C">
        <w:t>The disease</w:t>
      </w:r>
      <w:r w:rsidR="00B7323C" w:rsidRPr="00B7323C">
        <w:t xml:space="preserve"> is characterised by an overproductio</w:t>
      </w:r>
      <w:r w:rsidR="002977E7">
        <w:t>n of immature white blood cells</w:t>
      </w:r>
      <w:r w:rsidR="00B7323C" w:rsidRPr="00B7323C">
        <w:t xml:space="preserve"> called lymphoblasts</w:t>
      </w:r>
      <w:bookmarkEnd w:id="0"/>
      <w:r w:rsidR="00145E88">
        <w:t xml:space="preserve"> </w:t>
      </w:r>
      <w:r w:rsidR="00F52992">
        <w:fldChar w:fldCharType="begin"/>
      </w:r>
      <w:r w:rsidR="00F52992">
        <w:instrText xml:space="preserve"> ADDIN EN.CITE &lt;EndNote&gt;&lt;Cite ExcludeYear="1"&gt;&lt;Author&gt;Leukaemia Foundation&lt;/Author&gt;&lt;RecNum&gt;52&lt;/RecNum&gt;&lt;DisplayText&gt;&lt;style face="superscript"&gt;5&lt;/style&gt;&lt;/DisplayText&gt;&lt;record&gt;&lt;rec-number&gt;52&lt;/rec-number&gt;&lt;foreign-keys&gt;&lt;key app="EN" db-id="wawz2ww0tttz2fexxanxex010szppvx9rppt" timestamp="1548768637"&gt;52&lt;/key&gt;&lt;/foreign-keys&gt;&lt;ref-type name="Journal Article"&gt;17&lt;/ref-type&gt;&lt;contributors&gt;&lt;authors&gt;&lt;author&gt;Leukaemia Foundation, &lt;/author&gt;&lt;/authors&gt;&lt;/contributors&gt;&lt;titles&gt;&lt;title&gt;What is acute lymphoblastic leukaemia? https://www.leukaemia.org.au/disease-information/leukaemias/acute-lymphoblastic-leukaemia/&lt;/title&gt;&lt;/titles&gt;&lt;dates&gt;&lt;/dates&gt;&lt;urls&gt;&lt;/urls&gt;&lt;/record&gt;&lt;/Cite&gt;&lt;/EndNote&gt;</w:instrText>
      </w:r>
      <w:r w:rsidR="00F52992">
        <w:fldChar w:fldCharType="separate"/>
      </w:r>
      <w:r w:rsidR="00F52992" w:rsidRPr="00F52992">
        <w:rPr>
          <w:noProof/>
          <w:vertAlign w:val="superscript"/>
        </w:rPr>
        <w:t>5</w:t>
      </w:r>
      <w:r w:rsidR="00F52992">
        <w:fldChar w:fldCharType="end"/>
      </w:r>
      <w:r w:rsidR="00DD5E6C">
        <w:t xml:space="preserve">, </w:t>
      </w:r>
      <w:r w:rsidR="00C1476A">
        <w:t xml:space="preserve">as </w:t>
      </w:r>
      <w:r w:rsidR="00DD5E6C">
        <w:t>the</w:t>
      </w:r>
      <w:r w:rsidR="00C1476A">
        <w:t>se accumulate and begin to outnumber healthy blood cells they disrupt normal blood and organ function.</w:t>
      </w:r>
      <w:r w:rsidR="00DD5E6C">
        <w:t xml:space="preserve"> </w:t>
      </w:r>
      <w:r w:rsidR="00B7323C" w:rsidRPr="00B7323C">
        <w:t>As an acute cancer</w:t>
      </w:r>
      <w:r w:rsidR="00C1476A">
        <w:t>,</w:t>
      </w:r>
      <w:r w:rsidR="00B7323C" w:rsidRPr="00B7323C">
        <w:t xml:space="preserve"> ALL progresses rapidly and if left untreated </w:t>
      </w:r>
      <w:r w:rsidR="002977E7">
        <w:t>will</w:t>
      </w:r>
      <w:r w:rsidR="00B7323C" w:rsidRPr="00B7323C">
        <w:t xml:space="preserve"> result in death. </w:t>
      </w:r>
      <w:r w:rsidR="00C1476A">
        <w:t>There are around</w:t>
      </w:r>
      <w:r w:rsidR="00A53216" w:rsidRPr="00A53216">
        <w:t xml:space="preserve"> 810 new cases of ALL diagnosed each year in the UK</w:t>
      </w:r>
      <w:r w:rsidR="00DF3246" w:rsidRPr="00DF3246">
        <w:t xml:space="preserve"> </w:t>
      </w:r>
      <w:r w:rsidR="00F52992">
        <w:fldChar w:fldCharType="begin"/>
      </w:r>
      <w:r w:rsidR="00F52992">
        <w:instrText xml:space="preserve"> ADDIN EN.CITE &lt;EndNote&gt;&lt;Cite ExcludeYear="1"&gt;&lt;Author&gt;Cancer Research UK&lt;/Author&gt;&lt;RecNum&gt;43&lt;/RecNum&gt;&lt;DisplayText&gt;&lt;style face="superscript"&gt;6&lt;/style&gt;&lt;/DisplayText&gt;&lt;record&gt;&lt;rec-number&gt;43&lt;/rec-number&gt;&lt;foreign-keys&gt;&lt;key app="EN" db-id="wawz2ww0tttz2fexxanxex010szppvx9rppt" timestamp="1548759411"&gt;43&lt;/key&gt;&lt;/foreign-keys&gt;&lt;ref-type name="Web Page"&gt;12&lt;/ref-type&gt;&lt;contributors&gt;&lt;authors&gt;&lt;author&gt;Cancer Research UK,&lt;/author&gt;&lt;/authors&gt;&lt;/contributors&gt;&lt;titles&gt;&lt;title&gt;About acute lymphoblastic leukaemia (ALL)&lt;/title&gt;&lt;/titles&gt;&lt;volume&gt;2018&lt;/volume&gt;&lt;number&gt;16th May&lt;/number&gt;&lt;dates&gt;&lt;/dates&gt;&lt;urls&gt;&lt;related-urls&gt;&lt;url&gt;&lt;style face="underline" font="default" size="100%"&gt;http://www.cancerresearchuk.org/about-cancer/acute-lymphoblastic-leukaemia-all/about&lt;/style&gt;&lt;/url&gt;&lt;/related-urls&gt;&lt;/urls&gt;&lt;/record&gt;&lt;/Cite&gt;&lt;/EndNote&gt;</w:instrText>
      </w:r>
      <w:r w:rsidR="00F52992">
        <w:fldChar w:fldCharType="separate"/>
      </w:r>
      <w:r w:rsidR="00F52992" w:rsidRPr="00F52992">
        <w:rPr>
          <w:noProof/>
          <w:vertAlign w:val="superscript"/>
        </w:rPr>
        <w:t>6</w:t>
      </w:r>
      <w:r w:rsidR="00F52992">
        <w:fldChar w:fldCharType="end"/>
      </w:r>
      <w:r w:rsidR="00C1476A">
        <w:t xml:space="preserve">, but those who have relapsed 2 or more times, or are refractory to treatment, only comprise around </w:t>
      </w:r>
      <w:r>
        <w:t>20-30</w:t>
      </w:r>
      <w:r w:rsidR="00C1476A">
        <w:t xml:space="preserve"> new patients per year </w:t>
      </w:r>
      <w:r w:rsidR="00F52992">
        <w:fldChar w:fldCharType="begin"/>
      </w:r>
      <w:r w:rsidR="00F52992">
        <w:instrText xml:space="preserve"> ADDIN EN.CITE &lt;EndNote&gt;&lt;Cite&gt;&lt;Author&gt;Excellence&lt;/Author&gt;&lt;Year&gt;2018&lt;/Year&gt;&lt;RecNum&gt;40&lt;/RecNum&gt;&lt;DisplayText&gt;&lt;style face="superscript"&gt;7&lt;/style&gt;&lt;/DisplayText&gt;&lt;record&gt;&lt;rec-number&gt;40&lt;/rec-number&gt;&lt;foreign-keys&gt;&lt;key app="EN" db-id="wawz2ww0tttz2fexxanxex010szppvx9rppt" timestamp="1548164435"&gt;40&lt;/key&gt;&lt;/foreign-keys&gt;&lt;ref-type name="Journal Article"&gt;17&lt;/ref-type&gt;&lt;contributors&gt;&lt;authors&gt;&lt;author&gt;National Institute for Health and Care Excellence&lt;/author&gt;&lt;/authors&gt;&lt;/contributors&gt;&lt;titles&gt;&lt;title&gt;Cancer Drugs Fund Managed Access Agreement: Tisagenlecleucel for treating relapsed or refractory B-cell acute lymphoblastic leukaemia in people aged up to 25 years [ID1167]&lt;/title&gt;&lt;/titles&gt;&lt;dates&gt;&lt;year&gt;2018&lt;/year&gt;&lt;/dates&gt;&lt;urls&gt;&lt;related-urls&gt;&lt;url&gt;https://www.nice.org.uk/guidance/ta554/documents/final-appraisal-determination-document-2&lt;/url&gt;&lt;/related-urls&gt;&lt;/urls&gt;&lt;/record&gt;&lt;/Cite&gt;&lt;/EndNote&gt;</w:instrText>
      </w:r>
      <w:r w:rsidR="00F52992">
        <w:fldChar w:fldCharType="separate"/>
      </w:r>
      <w:r w:rsidR="00F52992" w:rsidRPr="00F52992">
        <w:rPr>
          <w:noProof/>
          <w:vertAlign w:val="superscript"/>
        </w:rPr>
        <w:t>7</w:t>
      </w:r>
      <w:r w:rsidR="00F52992">
        <w:fldChar w:fldCharType="end"/>
      </w:r>
      <w:r w:rsidR="003A534F">
        <w:t>.</w:t>
      </w:r>
    </w:p>
    <w:p w14:paraId="72096513" w14:textId="4E8502AC" w:rsidR="00B7323C" w:rsidRDefault="002977E7" w:rsidP="008826DC">
      <w:pPr>
        <w:rPr>
          <w:bCs/>
        </w:rPr>
      </w:pPr>
      <w:r>
        <w:t xml:space="preserve">There are no published guidelines for the treatment of ALL in the UK in paediatric patients. </w:t>
      </w:r>
      <w:r w:rsidR="00D15B4D">
        <w:t>A number of factors determine therapeutic approach,</w:t>
      </w:r>
      <w:r w:rsidR="008826DC">
        <w:t xml:space="preserve"> including age, severity</w:t>
      </w:r>
      <w:r w:rsidR="00D15B4D">
        <w:t>,</w:t>
      </w:r>
      <w:r w:rsidR="008826DC">
        <w:t xml:space="preserve"> </w:t>
      </w:r>
      <w:r w:rsidR="008826DC" w:rsidRPr="008826DC">
        <w:t>and previous treatments used</w:t>
      </w:r>
      <w:r w:rsidR="00DF3246" w:rsidRPr="00DF3246">
        <w:t xml:space="preserve"> </w:t>
      </w:r>
      <w:r w:rsidR="00F52992">
        <w:fldChar w:fldCharType="begin"/>
      </w:r>
      <w:r w:rsidR="00F52992">
        <w:instrText xml:space="preserve"> ADDIN EN.CITE &lt;EndNote&gt;&lt;Cite&gt;&lt;Author&gt;Cooper&lt;/Author&gt;&lt;Year&gt;2015&lt;/Year&gt;&lt;RecNum&gt;45&lt;/RecNum&gt;&lt;DisplayText&gt;&lt;style face="superscript"&gt;8&lt;/style&gt;&lt;/DisplayText&gt;&lt;record&gt;&lt;rec-number&gt;45&lt;/rec-number&gt;&lt;foreign-keys&gt;&lt;key app="EN" db-id="wawz2ww0tttz2fexxanxex010szppvx9rppt" timestamp="1548759491"&gt;45&lt;/key&gt;&lt;/foreign-keys&gt;&lt;ref-type name="Journal Article"&gt;17&lt;/ref-type&gt;&lt;contributors&gt;&lt;authors&gt;&lt;author&gt;Cooper, S. L.&lt;/author&gt;&lt;author&gt;Brown, P. A.&lt;/author&gt;&lt;/authors&gt;&lt;/contributors&gt;&lt;auth-address&gt;Pediatric Hematology/Oncology, Johns Hopkins/National Institutes of Health, Bloomberg 11379, 1800 Orleans Street, Baltimore, MD 21287, USA.&amp;#xD;Pediatric Leukemia Program, Sidney Kimmel Comprehensive Cancer Center, Johns Hopkins University School of Medicine, 1650 Orleans Street, CRB1 Room 2M49, Baltimore, MD 21231, USA. Electronic address: pbrown2@jhmi.edu.&lt;/auth-address&gt;&lt;titles&gt;&lt;title&gt;Treatment of pediatric acute lymphoblastic leukemia&lt;/title&gt;&lt;secondary-title&gt;Pediatr Clin North Am&lt;/secondary-title&gt;&lt;/titles&gt;&lt;periodical&gt;&lt;full-title&gt;Pediatr Clin North Am&lt;/full-title&gt;&lt;/periodical&gt;&lt;pages&gt;61-73&lt;/pages&gt;&lt;volume&gt;62&lt;/volume&gt;&lt;number&gt;1&lt;/number&gt;&lt;edition&gt;2014/12/02&lt;/edition&gt;&lt;keywords&gt;&lt;keyword&gt;Antineoplastic Agents/adverse effects/*therapeutic use&lt;/keyword&gt;&lt;keyword&gt;Child&lt;/keyword&gt;&lt;keyword&gt;Humans&lt;/keyword&gt;&lt;keyword&gt;Precursor Cell Lymphoblastic Leukemia-Lymphoma/*drug therapy&lt;/keyword&gt;&lt;keyword&gt;Prognosis&lt;/keyword&gt;&lt;keyword&gt;Risk Assessment&lt;/keyword&gt;&lt;keyword&gt;Treatment Outcome&lt;/keyword&gt;&lt;/keywords&gt;&lt;dates&gt;&lt;year&gt;2015&lt;/year&gt;&lt;pub-dates&gt;&lt;date&gt;Feb&lt;/date&gt;&lt;/pub-dates&gt;&lt;/dates&gt;&lt;isbn&gt;1557-8240 (Electronic)&amp;#xD;0031-3955 (Linking)&lt;/isbn&gt;&lt;accession-num&gt;25435112&lt;/accession-num&gt;&lt;urls&gt;&lt;related-urls&gt;&lt;url&gt;https://www.ncbi.nlm.nih.gov/pubmed/25435112&lt;/url&gt;&lt;/related-urls&gt;&lt;/urls&gt;&lt;custom2&gt;4366417&lt;/custom2&gt;&lt;electronic-resource-num&gt;S0031-3955(14)00185-0 [pii]&amp;#xD;10.1016/j.pcl.2014.09.006&lt;/electronic-resource-num&gt;&lt;language&gt;eng&lt;/language&gt;&lt;/record&gt;&lt;/Cite&gt;&lt;/EndNote&gt;</w:instrText>
      </w:r>
      <w:r w:rsidR="00F52992">
        <w:fldChar w:fldCharType="separate"/>
      </w:r>
      <w:r w:rsidR="00F52992" w:rsidRPr="00F52992">
        <w:rPr>
          <w:noProof/>
          <w:vertAlign w:val="superscript"/>
        </w:rPr>
        <w:t>8</w:t>
      </w:r>
      <w:r w:rsidR="00F52992">
        <w:fldChar w:fldCharType="end"/>
      </w:r>
      <w:r w:rsidR="008826DC" w:rsidRPr="008826DC">
        <w:t>.</w:t>
      </w:r>
      <w:r>
        <w:t xml:space="preserve"> </w:t>
      </w:r>
      <w:r w:rsidR="00D15B4D">
        <w:t>First</w:t>
      </w:r>
      <w:r w:rsidR="00FA2392">
        <w:t>- and second-</w:t>
      </w:r>
      <w:r w:rsidR="00D15B4D" w:rsidRPr="003817D2">
        <w:t xml:space="preserve">line treatment for patients </w:t>
      </w:r>
      <w:r w:rsidR="00FA2392">
        <w:t xml:space="preserve">historically </w:t>
      </w:r>
      <w:r w:rsidR="00FA2392">
        <w:rPr>
          <w:bCs/>
        </w:rPr>
        <w:t>consisted</w:t>
      </w:r>
      <w:r w:rsidR="00D15B4D" w:rsidRPr="003817D2">
        <w:rPr>
          <w:bCs/>
        </w:rPr>
        <w:t xml:space="preserve"> of multi-drug chemotherapy</w:t>
      </w:r>
      <w:r>
        <w:rPr>
          <w:bCs/>
        </w:rPr>
        <w:t>,</w:t>
      </w:r>
      <w:r w:rsidR="00D15B4D">
        <w:rPr>
          <w:bCs/>
        </w:rPr>
        <w:t xml:space="preserve"> </w:t>
      </w:r>
      <w:r w:rsidR="00FA2392">
        <w:rPr>
          <w:bCs/>
        </w:rPr>
        <w:t>with</w:t>
      </w:r>
      <w:r w:rsidR="00D15B4D">
        <w:rPr>
          <w:bCs/>
        </w:rPr>
        <w:t xml:space="preserve"> </w:t>
      </w:r>
      <w:r w:rsidR="00D15B4D" w:rsidRPr="008826DC">
        <w:rPr>
          <w:bCs/>
        </w:rPr>
        <w:t xml:space="preserve">patients </w:t>
      </w:r>
      <w:r w:rsidR="00FA2392">
        <w:rPr>
          <w:bCs/>
        </w:rPr>
        <w:t>experiencing</w:t>
      </w:r>
      <w:r w:rsidR="00D15B4D" w:rsidRPr="008826DC">
        <w:rPr>
          <w:bCs/>
        </w:rPr>
        <w:t xml:space="preserve"> a second relapse after maintenance therapy treated with either salvage chemotherapy (</w:t>
      </w:r>
      <w:r w:rsidR="008242C0">
        <w:rPr>
          <w:bCs/>
        </w:rPr>
        <w:t>generally FLA-IDA, comprising fludarabine, cytarabine, and idarubicin</w:t>
      </w:r>
      <w:r w:rsidR="00D820B0">
        <w:rPr>
          <w:bCs/>
        </w:rPr>
        <w:t>) or blina</w:t>
      </w:r>
      <w:r w:rsidR="00D15B4D" w:rsidRPr="008826DC">
        <w:rPr>
          <w:bCs/>
        </w:rPr>
        <w:t xml:space="preserve">tumomab depending on </w:t>
      </w:r>
      <w:r w:rsidR="00FA2392">
        <w:rPr>
          <w:bCs/>
        </w:rPr>
        <w:t xml:space="preserve">the </w:t>
      </w:r>
      <w:r w:rsidR="00D15B4D" w:rsidRPr="008826DC">
        <w:rPr>
          <w:bCs/>
        </w:rPr>
        <w:t xml:space="preserve">first-line salvage therapy used </w:t>
      </w:r>
      <w:r w:rsidR="00F52992">
        <w:rPr>
          <w:bCs/>
        </w:rPr>
        <w:fldChar w:fldCharType="begin">
          <w:fldData xml:space="preserve">PEVuZE5vdGU+PENpdGU+PEF1dGhvcj5TZWxsYXI8L0F1dGhvcj48WWVhcj4yMDE4PC9ZZWFyPjxS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</w:fldData>
        </w:fldChar>
      </w:r>
      <w:r w:rsidR="00F52992">
        <w:rPr>
          <w:bCs/>
        </w:rPr>
        <w:instrText xml:space="preserve"> ADDIN EN.CITE </w:instrText>
      </w:r>
      <w:r w:rsidR="00F52992">
        <w:rPr>
          <w:bCs/>
        </w:rPr>
        <w:fldChar w:fldCharType="begin">
          <w:fldData xml:space="preserve">PEVuZE5vdGU+PENpdGU+PEF1dGhvcj5TZWxsYXI8L0F1dGhvcj48WWVhcj4yMDE4PC9ZZWFyPjxS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</w:fldData>
        </w:fldChar>
      </w:r>
      <w:r w:rsidR="00F52992">
        <w:rPr>
          <w:bCs/>
        </w:rPr>
        <w:instrText xml:space="preserve"> ADDIN EN.CITE.DATA </w:instrText>
      </w:r>
      <w:r w:rsidR="00F52992">
        <w:rPr>
          <w:bCs/>
        </w:rPr>
      </w:r>
      <w:r w:rsidR="00F52992">
        <w:rPr>
          <w:bCs/>
        </w:rPr>
        <w:fldChar w:fldCharType="end"/>
      </w:r>
      <w:r w:rsidR="00F52992">
        <w:rPr>
          <w:bCs/>
        </w:rPr>
      </w:r>
      <w:r w:rsidR="00F52992">
        <w:rPr>
          <w:bCs/>
        </w:rPr>
        <w:fldChar w:fldCharType="separate"/>
      </w:r>
      <w:r w:rsidR="00F52992" w:rsidRPr="00F52992">
        <w:rPr>
          <w:bCs/>
          <w:noProof/>
          <w:vertAlign w:val="superscript"/>
        </w:rPr>
        <w:t>9, 10</w:t>
      </w:r>
      <w:r w:rsidR="00F52992">
        <w:rPr>
          <w:bCs/>
        </w:rPr>
        <w:fldChar w:fldCharType="end"/>
      </w:r>
      <w:r w:rsidR="00D15B4D">
        <w:rPr>
          <w:bCs/>
        </w:rPr>
        <w:t xml:space="preserve">. </w:t>
      </w:r>
      <w:r w:rsidR="008826DC">
        <w:t xml:space="preserve">The main aim for </w:t>
      </w:r>
      <w:r w:rsidR="00D15B4D">
        <w:t xml:space="preserve">B-cell ALL patients with two or more relapses is </w:t>
      </w:r>
      <w:r w:rsidR="00B75865">
        <w:t>to induce remission</w:t>
      </w:r>
      <w:r w:rsidR="00E836A7">
        <w:t xml:space="preserve">, </w:t>
      </w:r>
      <w:r w:rsidR="00E27EC1">
        <w:t xml:space="preserve">which is consolidated with </w:t>
      </w:r>
      <w:r w:rsidR="009F532F">
        <w:t xml:space="preserve">an </w:t>
      </w:r>
      <w:r w:rsidR="003817D2" w:rsidRPr="003817D2">
        <w:t>allogenic stem cell transplant (allo-SCT).</w:t>
      </w:r>
      <w:r w:rsidR="003817D2">
        <w:t xml:space="preserve"> </w:t>
      </w:r>
      <w:r w:rsidR="003817D2" w:rsidRPr="003817D2">
        <w:t xml:space="preserve">If a patient has </w:t>
      </w:r>
      <w:r w:rsidR="00FA2392">
        <w:t>recently</w:t>
      </w:r>
      <w:r w:rsidR="003817D2" w:rsidRPr="003817D2">
        <w:t xml:space="preserve"> received an allo-SCT</w:t>
      </w:r>
      <w:r w:rsidR="00FA2392">
        <w:t xml:space="preserve"> and relapsed,</w:t>
      </w:r>
      <w:r w:rsidR="003817D2" w:rsidRPr="003817D2">
        <w:t xml:space="preserve"> treatment options are limited</w:t>
      </w:r>
      <w:r w:rsidR="00D15B4D">
        <w:t>;</w:t>
      </w:r>
      <w:r w:rsidR="003817D2" w:rsidRPr="003817D2">
        <w:t xml:space="preserve"> palliative care and </w:t>
      </w:r>
      <w:r w:rsidR="00D15B4D">
        <w:t xml:space="preserve">enrolment in </w:t>
      </w:r>
      <w:r w:rsidR="003817D2" w:rsidRPr="003817D2">
        <w:t xml:space="preserve">clinical trials are </w:t>
      </w:r>
      <w:r w:rsidR="00DA6EEC">
        <w:t>often</w:t>
      </w:r>
      <w:r w:rsidR="00DA6EEC" w:rsidRPr="003817D2">
        <w:t xml:space="preserve"> </w:t>
      </w:r>
      <w:r w:rsidR="003817D2" w:rsidRPr="003817D2">
        <w:t>the only remaining choices</w:t>
      </w:r>
      <w:r w:rsidR="00DF3246" w:rsidRPr="00DF3246">
        <w:t xml:space="preserve"> </w:t>
      </w:r>
      <w:r w:rsidR="00F52992">
        <w:fldChar w:fldCharType="begin"/>
      </w:r>
      <w:r w:rsidR="00F52992">
        <w:instrText xml:space="preserve"> ADDIN EN.CITE &lt;EndNote&gt;&lt;Cite&gt;&lt;Author&gt;Pulsipher&lt;/Author&gt;&lt;Year&gt;2011&lt;/Year&gt;&lt;RecNum&gt;46&lt;/RecNum&gt;&lt;DisplayText&gt;&lt;style face="superscript"&gt;11&lt;/style&gt;&lt;/DisplayText&gt;&lt;record&gt;&lt;rec-number&gt;46&lt;/rec-number&gt;&lt;foreign-keys&gt;&lt;key app="EN" db-id="wawz2ww0tttz2fexxanxex010szppvx9rppt" timestamp="1548759512"&gt;46&lt;/key&gt;&lt;/foreign-keys&gt;&lt;ref-type name="Journal Article"&gt;17&lt;/ref-type&gt;&lt;contributors&gt;&lt;authors&gt;&lt;author&gt;Pulsipher, M. A.&lt;/author&gt;&lt;author&gt;Peters, C.&lt;/author&gt;&lt;author&gt;Pui, C. H.&lt;/author&gt;&lt;/authors&gt;&lt;/contributors&gt;&lt;auth-address&gt;Primary Children’s Medical Center, Division of Hematology/Blood and Marrow Transplantation, University of Utah School of Medicine, Salt Lake City, UT, USA&amp;#xD;Department of Hematology and Oncology, St. Anna Children&amp;apos;s Hospital, Vienna, Austria&amp;#xD;Department of Oncology, St. Jude Children’s Research Hospital, Memphis, TN, USA&lt;/auth-address&gt;&lt;titles&gt;&lt;title&gt;High Risk Pediatric Acute Lymphoblastic Leukemia: To Transplant or Not to Transplant?&lt;/title&gt;&lt;secondary-title&gt;Biol Blood Marrow Transplant&lt;/secondary-title&gt;&lt;alt-title&gt;Biology of blood and marrow transplantation : journal of the American Society for Blood and Marrow Transplantation&lt;/alt-title&gt;&lt;/titles&gt;&lt;periodical&gt;&lt;full-title&gt;Biol Blood Marrow Transplant&lt;/full-title&gt;&lt;abbr-1&gt;Biology of blood and marrow transplantation : journal of the American Society for Blood and Marrow Transplantation&lt;/abbr-1&gt;&lt;/periodical&gt;&lt;alt-periodical&gt;&lt;full-title&gt;Biol Blood Marrow Transplant&lt;/full-title&gt;&lt;abbr-1&gt;Biology of blood and marrow transplantation : journal of the American Society for Blood and Marrow Transplantation&lt;/abbr-1&gt;&lt;/alt-periodical&gt;&lt;pages&gt;S137-48&lt;/pages&gt;&lt;volume&gt;17&lt;/volume&gt;&lt;number&gt;1 Suppl&lt;/number&gt;&lt;dates&gt;&lt;year&gt;2011&lt;/year&gt;&lt;pub-dates&gt;&lt;date&gt;Jan&lt;/date&gt;&lt;/pub-dates&gt;&lt;/dates&gt;&lt;isbn&gt;1083-8791 (Print)&lt;/isbn&gt;&lt;accession-num&gt;21195303&lt;/accession-num&gt;&lt;urls&gt;&lt;/urls&gt;&lt;custom2&gt;PMC3053056&lt;/custom2&gt;&lt;electronic-resource-num&gt;10.1016/j.bbmt.2010.10.005&lt;/electronic-resource-num&gt;&lt;language&gt;eng&lt;/language&gt;&lt;/record&gt;&lt;/Cite&gt;&lt;/EndNote&gt;</w:instrText>
      </w:r>
      <w:r w:rsidR="00F52992">
        <w:fldChar w:fldCharType="separate"/>
      </w:r>
      <w:r w:rsidR="00F52992" w:rsidRPr="00F52992">
        <w:rPr>
          <w:noProof/>
          <w:vertAlign w:val="superscript"/>
        </w:rPr>
        <w:t>11</w:t>
      </w:r>
      <w:r w:rsidR="00F52992">
        <w:fldChar w:fldCharType="end"/>
      </w:r>
      <w:r w:rsidR="00DF3246">
        <w:t xml:space="preserve">. </w:t>
      </w:r>
    </w:p>
    <w:p w14:paraId="477205BF" w14:textId="36BB6351" w:rsidR="00B75865" w:rsidRDefault="008826DC" w:rsidP="00B32A8C">
      <w:pPr>
        <w:rPr>
          <w:bCs/>
        </w:rPr>
      </w:pPr>
      <w:r>
        <w:rPr>
          <w:bCs/>
        </w:rPr>
        <w:t>T</w:t>
      </w:r>
      <w:r w:rsidRPr="008826DC">
        <w:rPr>
          <w:bCs/>
        </w:rPr>
        <w:t>is</w:t>
      </w:r>
      <w:r w:rsidR="003A534F">
        <w:rPr>
          <w:bCs/>
        </w:rPr>
        <w:t>agenlecleucel</w:t>
      </w:r>
      <w:r>
        <w:rPr>
          <w:bCs/>
        </w:rPr>
        <w:t xml:space="preserve"> </w:t>
      </w:r>
      <w:r w:rsidR="00B75865">
        <w:rPr>
          <w:bCs/>
        </w:rPr>
        <w:t xml:space="preserve">is a chimeric antigen receptor-modified T-cell (CAR-T) product, the first of this emerging therapeutic </w:t>
      </w:r>
      <w:r w:rsidR="003A534F">
        <w:rPr>
          <w:bCs/>
        </w:rPr>
        <w:t>class</w:t>
      </w:r>
      <w:r w:rsidR="00B75865">
        <w:rPr>
          <w:bCs/>
        </w:rPr>
        <w:t xml:space="preserve"> to be considered by NICE</w:t>
      </w:r>
      <w:r w:rsidR="003A534F">
        <w:rPr>
          <w:bCs/>
        </w:rPr>
        <w:t xml:space="preserve"> in this indication</w:t>
      </w:r>
      <w:r w:rsidR="00B75865">
        <w:rPr>
          <w:bCs/>
        </w:rPr>
        <w:t>. The manufactur</w:t>
      </w:r>
      <w:r w:rsidR="003A534F">
        <w:rPr>
          <w:bCs/>
        </w:rPr>
        <w:t>ing</w:t>
      </w:r>
      <w:r w:rsidR="00B75865">
        <w:rPr>
          <w:bCs/>
        </w:rPr>
        <w:t xml:space="preserve"> process involves the collection of effector T-cells from the patient’s blood through leukapheresis, which are then shipped to a manufacturing facility and modified to target the CD-19 antigen found on leukaemic cells.</w:t>
      </w:r>
      <w:r w:rsidR="003D7DB6">
        <w:rPr>
          <w:bCs/>
        </w:rPr>
        <w:t xml:space="preserve"> This process generally takes 3-4 weeks, thus most patients will require bridging chemotherapy to stabilise disease progression until the product is prepared.</w:t>
      </w:r>
      <w:r w:rsidR="00B75865">
        <w:rPr>
          <w:bCs/>
        </w:rPr>
        <w:t xml:space="preserve"> The modified and cultured cells are </w:t>
      </w:r>
      <w:r w:rsidR="00145E88">
        <w:rPr>
          <w:bCs/>
        </w:rPr>
        <w:t xml:space="preserve">then </w:t>
      </w:r>
      <w:r w:rsidR="00B75865">
        <w:rPr>
          <w:bCs/>
        </w:rPr>
        <w:t>infused into the patient in a single session, a</w:t>
      </w:r>
      <w:r w:rsidR="00A329C7">
        <w:rPr>
          <w:bCs/>
        </w:rPr>
        <w:t xml:space="preserve">nd can continue to circulate </w:t>
      </w:r>
      <w:r w:rsidR="00B75865">
        <w:rPr>
          <w:bCs/>
        </w:rPr>
        <w:t>for up to 780 days</w:t>
      </w:r>
      <w:r w:rsidR="00B75865" w:rsidRPr="00B75865">
        <w:t xml:space="preserve"> </w:t>
      </w:r>
      <w:r w:rsidR="00F52992">
        <w:rPr>
          <w:bCs/>
        </w:rPr>
        <w:fldChar w:fldCharType="begin"/>
      </w:r>
      <w:r w:rsidR="00F52992">
        <w:rPr>
          <w:bCs/>
        </w:rPr>
        <w:instrText xml:space="preserve"> ADDIN EN.CITE &lt;EndNote&gt;&lt;Cite&gt;&lt;Author&gt;Mueller&lt;/Author&gt;&lt;Year&gt;2017&lt;/Year&gt;&lt;RecNum&gt;54&lt;/RecNum&gt;&lt;DisplayText&gt;&lt;style face="superscript"&gt;12&lt;/style&gt;&lt;/DisplayText&gt;&lt;record&gt;&lt;rec-number&gt;54&lt;/rec-number&gt;&lt;foreign-keys&gt;&lt;key app="EN" db-id="wawz2ww0tttz2fexxanxex010szppvx9rppt" timestamp="1548771245"&gt;54&lt;/key&gt;&lt;/foreign-keys&gt;&lt;ref-type name="Journal Article"&gt;17&lt;/ref-type&gt;&lt;contributors&gt;&lt;authors&gt;&lt;author&gt;Mueller, K.T.; Maude, S.L.; Porter, D.L.; Frey, N.; Wood, P.; Han, X.; Waldron, E.; Chakraborty, A.; Awasthi, R.; Levine, B.L.; Melenhorst, J.J.; Grupp, S.A.; June, C.H.; Lacey, S.F.&lt;/author&gt;&lt;/authors&gt;&lt;/contributors&gt;&lt;titles&gt;&lt;title&gt;Cellular kinetics of CTL019 in relapsed/refractory B-cell acute lymphoblastic leukemia and chronic lymphocytic leukemia&lt;/title&gt;&lt;secondary-title&gt;Blood&lt;/secondary-title&gt;&lt;/titles&gt;&lt;periodical&gt;&lt;full-title&gt;Blood&lt;/full-title&gt;&lt;/periodical&gt;&lt;pages&gt;2317-2325&lt;/pages&gt;&lt;volume&gt;130&lt;/volume&gt;&lt;number&gt;21&lt;/number&gt;&lt;dates&gt;&lt;year&gt;2017&lt;/year&gt;&lt;/dates&gt;&lt;urls&gt;&lt;/urls&gt;&lt;/record&gt;&lt;/Cite&gt;&lt;/EndNote&gt;</w:instrText>
      </w:r>
      <w:r w:rsidR="00F52992">
        <w:rPr>
          <w:bCs/>
        </w:rPr>
        <w:fldChar w:fldCharType="separate"/>
      </w:r>
      <w:r w:rsidR="00F52992" w:rsidRPr="00F52992">
        <w:rPr>
          <w:bCs/>
          <w:noProof/>
          <w:vertAlign w:val="superscript"/>
        </w:rPr>
        <w:t>12</w:t>
      </w:r>
      <w:r w:rsidR="00F52992">
        <w:rPr>
          <w:bCs/>
        </w:rPr>
        <w:fldChar w:fldCharType="end"/>
      </w:r>
      <w:r w:rsidR="00B75865">
        <w:rPr>
          <w:bCs/>
        </w:rPr>
        <w:t>.</w:t>
      </w:r>
    </w:p>
    <w:p w14:paraId="34597806" w14:textId="578D5A25" w:rsidR="00722052" w:rsidRDefault="00A329C7" w:rsidP="00B32A8C">
      <w:pPr>
        <w:rPr>
          <w:bCs/>
        </w:rPr>
      </w:pPr>
      <w:r>
        <w:rPr>
          <w:bCs/>
        </w:rPr>
        <w:t xml:space="preserve">Tisagenlecleucel </w:t>
      </w:r>
      <w:r w:rsidR="008826DC" w:rsidRPr="008826DC">
        <w:rPr>
          <w:bCs/>
        </w:rPr>
        <w:t>was granted EMA marketing authorisation</w:t>
      </w:r>
      <w:r w:rsidR="00B32A8C">
        <w:rPr>
          <w:bCs/>
        </w:rPr>
        <w:t xml:space="preserve"> in June 2018. It </w:t>
      </w:r>
      <w:r>
        <w:rPr>
          <w:bCs/>
        </w:rPr>
        <w:t>is licensed</w:t>
      </w:r>
      <w:r w:rsidR="00B32A8C">
        <w:rPr>
          <w:bCs/>
        </w:rPr>
        <w:t xml:space="preserve"> for use in p</w:t>
      </w:r>
      <w:r w:rsidR="00B32A8C" w:rsidRPr="00B32A8C">
        <w:rPr>
          <w:bCs/>
        </w:rPr>
        <w:t>aediatric and young adult patients up to 25 years of age with B-cell acute lymphoblastic leukaemia (ALL) that is refractory, in relapse post-transplant or in second or later relapse</w:t>
      </w:r>
      <w:r w:rsidR="003A534F" w:rsidRPr="003A534F">
        <w:t xml:space="preserve"> </w:t>
      </w:r>
      <w:r w:rsidR="00F52992">
        <w:rPr>
          <w:bCs/>
        </w:rPr>
        <w:fldChar w:fldCharType="begin"/>
      </w:r>
      <w:r w:rsidR="00F52992">
        <w:rPr>
          <w:bCs/>
        </w:rPr>
        <w:instrText xml:space="preserve"> ADDIN EN.CITE &lt;EndNote&gt;&lt;Cite&gt;&lt;Author&gt;Agency&lt;/Author&gt;&lt;Year&gt;2018&lt;/Year&gt;&lt;RecNum&gt;55&lt;/RecNum&gt;&lt;DisplayText&gt;&lt;style face="superscript"&gt;13&lt;/style&gt;&lt;/DisplayText&gt;&lt;record&gt;&lt;rec-number&gt;55&lt;/rec-number&gt;&lt;foreign-keys&gt;&lt;key app="EN" db-id="wawz2ww0tttz2fexxanxex010szppvx9rppt" timestamp="1548772053"&gt;55&lt;/key&gt;&lt;/foreign-keys&gt;&lt;ref-type name="Report"&gt;27&lt;/ref-type&gt;&lt;contributors&gt;&lt;authors&gt;&lt;author&gt;European Medicines Agency&lt;/author&gt;&lt;/authors&gt;&lt;/contributors&gt;&lt;titles&gt;&lt;title&gt;Kymriah: Summary of Product Characteristics&lt;/title&gt;&lt;/titles&gt;&lt;dates&gt;&lt;year&gt;2018&lt;/year&gt;&lt;/dates&gt;&lt;urls&gt;&lt;related-urls&gt;&lt;url&gt;https://www.ema.europa.eu/documents/product-information/kymriah-epar-product-information_en.pdf&lt;/url&gt;&lt;/related-urls&gt;&lt;/urls&gt;&lt;/record&gt;&lt;/Cite&gt;&lt;/EndNote&gt;</w:instrText>
      </w:r>
      <w:r w:rsidR="00F52992">
        <w:rPr>
          <w:bCs/>
        </w:rPr>
        <w:fldChar w:fldCharType="separate"/>
      </w:r>
      <w:r w:rsidR="00F52992" w:rsidRPr="00F52992">
        <w:rPr>
          <w:bCs/>
          <w:noProof/>
          <w:vertAlign w:val="superscript"/>
        </w:rPr>
        <w:t>13</w:t>
      </w:r>
      <w:r w:rsidR="00F52992">
        <w:rPr>
          <w:bCs/>
        </w:rPr>
        <w:fldChar w:fldCharType="end"/>
      </w:r>
      <w:r w:rsidR="008826DC" w:rsidRPr="008826DC">
        <w:rPr>
          <w:bCs/>
        </w:rPr>
        <w:t xml:space="preserve">. </w:t>
      </w:r>
      <w:r w:rsidR="00722052">
        <w:rPr>
          <w:bCs/>
        </w:rPr>
        <w:t>This is</w:t>
      </w:r>
      <w:r w:rsidR="00431A61">
        <w:rPr>
          <w:bCs/>
        </w:rPr>
        <w:t xml:space="preserve"> the </w:t>
      </w:r>
      <w:r w:rsidR="00B32A8C" w:rsidRPr="00B32A8C">
        <w:rPr>
          <w:bCs/>
        </w:rPr>
        <w:t>population considered</w:t>
      </w:r>
      <w:r w:rsidR="00431A61">
        <w:rPr>
          <w:bCs/>
        </w:rPr>
        <w:t xml:space="preserve"> </w:t>
      </w:r>
      <w:r w:rsidR="000E3CED">
        <w:rPr>
          <w:bCs/>
        </w:rPr>
        <w:t>in the company submission (CS), which</w:t>
      </w:r>
      <w:r w:rsidR="00431A61" w:rsidRPr="00431A61">
        <w:rPr>
          <w:bCs/>
        </w:rPr>
        <w:t xml:space="preserve"> indicates that </w:t>
      </w:r>
      <w:r w:rsidR="008F17BD">
        <w:rPr>
          <w:bCs/>
        </w:rPr>
        <w:t>tisagenlecleucel</w:t>
      </w:r>
      <w:r w:rsidR="00431A61">
        <w:rPr>
          <w:bCs/>
        </w:rPr>
        <w:t xml:space="preserve"> </w:t>
      </w:r>
      <w:r w:rsidR="00431A61" w:rsidRPr="00431A61">
        <w:rPr>
          <w:bCs/>
        </w:rPr>
        <w:t xml:space="preserve">should be used in the later </w:t>
      </w:r>
      <w:r w:rsidR="00431A61">
        <w:rPr>
          <w:bCs/>
        </w:rPr>
        <w:t>stages of the treatment pathway</w:t>
      </w:r>
      <w:r>
        <w:rPr>
          <w:bCs/>
        </w:rPr>
        <w:t>,</w:t>
      </w:r>
      <w:r w:rsidR="00431A61">
        <w:rPr>
          <w:bCs/>
        </w:rPr>
        <w:t xml:space="preserve"> or in refractory disease.</w:t>
      </w:r>
    </w:p>
    <w:p w14:paraId="7300BD38" w14:textId="34353097" w:rsidR="008826DC" w:rsidRPr="00BD526B" w:rsidRDefault="00722052" w:rsidP="008826DC">
      <w:pPr>
        <w:rPr>
          <w:bCs/>
        </w:rPr>
      </w:pPr>
      <w:r>
        <w:rPr>
          <w:bCs/>
        </w:rPr>
        <w:lastRenderedPageBreak/>
        <w:t>At the time of</w:t>
      </w:r>
      <w:r w:rsidR="008F17BD">
        <w:rPr>
          <w:bCs/>
        </w:rPr>
        <w:t xml:space="preserve"> the</w:t>
      </w:r>
      <w:r>
        <w:rPr>
          <w:bCs/>
        </w:rPr>
        <w:t xml:space="preserve"> appraisal there were </w:t>
      </w:r>
      <w:r w:rsidR="00FA2392">
        <w:rPr>
          <w:bCs/>
        </w:rPr>
        <w:t>two</w:t>
      </w:r>
      <w:r>
        <w:rPr>
          <w:bCs/>
        </w:rPr>
        <w:t xml:space="preserve"> </w:t>
      </w:r>
      <w:r w:rsidR="008F17BD">
        <w:rPr>
          <w:bCs/>
        </w:rPr>
        <w:t>options recommended</w:t>
      </w:r>
      <w:r>
        <w:rPr>
          <w:bCs/>
        </w:rPr>
        <w:t xml:space="preserve"> by NICE for the treatment of </w:t>
      </w:r>
      <w:r w:rsidR="008F17BD">
        <w:rPr>
          <w:bCs/>
        </w:rPr>
        <w:t xml:space="preserve">r/r </w:t>
      </w:r>
      <w:r w:rsidRPr="00722052">
        <w:rPr>
          <w:bCs/>
        </w:rPr>
        <w:t xml:space="preserve">B-cell </w:t>
      </w:r>
      <w:r>
        <w:rPr>
          <w:bCs/>
        </w:rPr>
        <w:t>ALL:</w:t>
      </w:r>
      <w:r w:rsidR="00431A61" w:rsidRPr="00431A61">
        <w:rPr>
          <w:bCs/>
        </w:rPr>
        <w:t xml:space="preserve"> salvage chemotherapy, specifically FLA-IDA for paediatr</w:t>
      </w:r>
      <w:r>
        <w:rPr>
          <w:bCs/>
        </w:rPr>
        <w:t xml:space="preserve">ic patients and FLAG-IDA </w:t>
      </w:r>
      <w:r w:rsidR="008242C0">
        <w:rPr>
          <w:bCs/>
        </w:rPr>
        <w:t xml:space="preserve">(i.e. FLA-IDA plus granulocyte-colony stimulating factor) </w:t>
      </w:r>
      <w:r>
        <w:rPr>
          <w:bCs/>
        </w:rPr>
        <w:t>for</w:t>
      </w:r>
      <w:r w:rsidR="00431A61" w:rsidRPr="00431A61">
        <w:rPr>
          <w:bCs/>
        </w:rPr>
        <w:t xml:space="preserve"> patients</w:t>
      </w:r>
      <w:r>
        <w:rPr>
          <w:bCs/>
        </w:rPr>
        <w:t xml:space="preserve"> over 18 years old</w:t>
      </w:r>
      <w:r w:rsidR="008F17BD">
        <w:rPr>
          <w:bCs/>
        </w:rPr>
        <w:t>,</w:t>
      </w:r>
      <w:r w:rsidR="00431A61" w:rsidRPr="00431A61">
        <w:rPr>
          <w:bCs/>
        </w:rPr>
        <w:t xml:space="preserve"> or blinatumomab</w:t>
      </w:r>
      <w:r w:rsidR="00431A61">
        <w:rPr>
          <w:bCs/>
        </w:rPr>
        <w:t>.</w:t>
      </w:r>
      <w:r w:rsidR="008F17BD">
        <w:rPr>
          <w:bCs/>
        </w:rPr>
        <w:t xml:space="preserve"> Inotuzumab ozogamicin has since received a positive recommendation in this population</w:t>
      </w:r>
      <w:r w:rsidR="00775417">
        <w:rPr>
          <w:bCs/>
        </w:rPr>
        <w:t>.</w:t>
      </w:r>
      <w:r w:rsidR="00431A61">
        <w:rPr>
          <w:bCs/>
        </w:rPr>
        <w:t xml:space="preserve"> </w:t>
      </w:r>
    </w:p>
    <w:p w14:paraId="17D8C4C9" w14:textId="19E63B0C" w:rsidR="0004152F" w:rsidRDefault="0004152F" w:rsidP="0004152F">
      <w:pPr>
        <w:pStyle w:val="Heading1"/>
      </w:pPr>
      <w:r>
        <w:t>The Independent Evidence Review Group (ERG) Review</w:t>
      </w:r>
    </w:p>
    <w:p w14:paraId="30740AEF" w14:textId="50B562D1" w:rsidR="00E50B7A" w:rsidRPr="00E50B7A" w:rsidRDefault="00267B88" w:rsidP="00E50B7A">
      <w:r>
        <w:t>The company submitted evidence to NICE on the use of tisagenlecleucel in r/r B-cell ALL in patients aged up to 25 years, the</w:t>
      </w:r>
      <w:r w:rsidR="00E50B7A" w:rsidRPr="00E50B7A">
        <w:t xml:space="preserve"> ERG </w:t>
      </w:r>
      <w:r>
        <w:t>then performed a review of</w:t>
      </w:r>
      <w:r w:rsidR="00E50B7A" w:rsidRPr="00E50B7A">
        <w:t xml:space="preserve"> the clinical and cost effectiveness of </w:t>
      </w:r>
      <w:r w:rsidR="008F17BD">
        <w:t>tisagenlecleucel</w:t>
      </w:r>
      <w:r w:rsidR="00E50B7A" w:rsidRPr="00E50B7A">
        <w:t xml:space="preserve">, based on the </w:t>
      </w:r>
      <w:r w:rsidR="008F17BD">
        <w:t xml:space="preserve">evidence provided in the company’s </w:t>
      </w:r>
      <w:r w:rsidR="00E50B7A" w:rsidRPr="00E50B7A">
        <w:t xml:space="preserve">submission. The ERG </w:t>
      </w:r>
      <w:r w:rsidR="008F17BD">
        <w:t xml:space="preserve">has three primary roles in their </w:t>
      </w:r>
      <w:r w:rsidR="00E50B7A" w:rsidRPr="00E50B7A">
        <w:t>critical review</w:t>
      </w:r>
      <w:r w:rsidR="008F17BD">
        <w:t>: t</w:t>
      </w:r>
      <w:r w:rsidR="00E50B7A" w:rsidRPr="00E50B7A">
        <w:t>o assess whether the company’s submission conformed to the methodological guidelines issued by NICE;</w:t>
      </w:r>
      <w:r w:rsidR="008F17BD">
        <w:t xml:space="preserve"> t</w:t>
      </w:r>
      <w:r w:rsidR="00E50B7A" w:rsidRPr="00E50B7A">
        <w:t>o assess whether the company’s interpretation and analysis of</w:t>
      </w:r>
      <w:r w:rsidR="008F17BD">
        <w:t xml:space="preserve"> the evidence were appropriate; t</w:t>
      </w:r>
      <w:r w:rsidR="00E50B7A" w:rsidRPr="00E50B7A">
        <w:t>o indicate the presence of other sources of evidence or alternative interpretations of the evidence that could help inform NICE guidance.</w:t>
      </w:r>
    </w:p>
    <w:p w14:paraId="5CA9ECE8" w14:textId="7CAA2930" w:rsidR="00A34F10" w:rsidRDefault="00A34F10" w:rsidP="00A34F10">
      <w:pPr>
        <w:pStyle w:val="Heading2"/>
      </w:pPr>
      <w:r>
        <w:t>Clinical Evidence</w:t>
      </w:r>
    </w:p>
    <w:p w14:paraId="26FB23FB" w14:textId="246667B2" w:rsidR="00FB2B6E" w:rsidRPr="00FB2B6E" w:rsidRDefault="00FB2B6E" w:rsidP="00FB2B6E">
      <w:pPr>
        <w:pStyle w:val="Heading3"/>
      </w:pPr>
      <w:r>
        <w:t>Summary of Submitted Clinical Effectiveness Evidence</w:t>
      </w:r>
    </w:p>
    <w:p w14:paraId="3254FEFE" w14:textId="1F106BE5" w:rsidR="00C82283" w:rsidRDefault="00D532D5" w:rsidP="00B01508">
      <w:r w:rsidRPr="00D532D5">
        <w:t>The company conducted a systematic review</w:t>
      </w:r>
      <w:r w:rsidR="00EE14F2">
        <w:t xml:space="preserve"> of studies</w:t>
      </w:r>
      <w:r>
        <w:t xml:space="preserve"> evaluating the efficacy and safety of </w:t>
      </w:r>
      <w:r w:rsidRPr="00D532D5">
        <w:t xml:space="preserve">tisagenlecleucel </w:t>
      </w:r>
      <w:r>
        <w:t xml:space="preserve">for the treatment of r/r B-cell ALL </w:t>
      </w:r>
      <w:r w:rsidRPr="00D532D5">
        <w:t>in paediatric and young adult patients</w:t>
      </w:r>
      <w:r>
        <w:t xml:space="preserve">. </w:t>
      </w:r>
      <w:r w:rsidRPr="00D532D5">
        <w:t>Three ongoing, single-arm, phase II, open-label studies: ELIANA, ENSIGN and B2101J</w:t>
      </w:r>
      <w:r w:rsidR="00A1159A">
        <w:t xml:space="preserve"> were identified in the review and included in the company submission</w:t>
      </w:r>
      <w:r w:rsidR="00DF3246">
        <w:t xml:space="preserve">. </w:t>
      </w:r>
      <w:r w:rsidR="00A1159A" w:rsidRPr="00A1159A">
        <w:t>All three trials evaluated tisagenlecleucel in paediatric and young adult patients with r/r B-cell ALL</w:t>
      </w:r>
      <w:r w:rsidR="00DF3246" w:rsidRPr="00DF3246">
        <w:t xml:space="preserve"> </w:t>
      </w:r>
      <w:r w:rsidR="00F52992">
        <w:fldChar w:fldCharType="begin">
          <w:fldData xml:space="preserve">PEVuZE5vdGU+PENpdGU+PEF1dGhvcj5NYXVkZTwvQXV0aG9yPjxZZWFyPjIwMTY8L1llYXI+PFJl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</w:fldData>
        </w:fldChar>
      </w:r>
      <w:r w:rsidR="00F52992">
        <w:instrText xml:space="preserve"> ADDIN EN.CITE </w:instrText>
      </w:r>
      <w:r w:rsidR="00F52992">
        <w:fldChar w:fldCharType="begin">
          <w:fldData xml:space="preserve">PEVuZE5vdGU+PENpdGU+PEF1dGhvcj5NYXVkZTwvQXV0aG9yPjxZZWFyPjIwMTY8L1llYXI+PFJl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</w:fldData>
        </w:fldChar>
      </w:r>
      <w:r w:rsidR="00F52992">
        <w:instrText xml:space="preserve"> ADDIN EN.CITE.DATA </w:instrText>
      </w:r>
      <w:r w:rsidR="00F52992">
        <w:fldChar w:fldCharType="end"/>
      </w:r>
      <w:r w:rsidR="00F52992">
        <w:fldChar w:fldCharType="separate"/>
      </w:r>
      <w:r w:rsidR="00F52992" w:rsidRPr="00F52992">
        <w:rPr>
          <w:noProof/>
          <w:vertAlign w:val="superscript"/>
        </w:rPr>
        <w:t>14-16</w:t>
      </w:r>
      <w:r w:rsidR="00F52992">
        <w:fldChar w:fldCharType="end"/>
      </w:r>
      <w:r w:rsidR="00C053BE">
        <w:t>, with a median follow-up of between 13.1 months and &lt;3 years</w:t>
      </w:r>
      <w:r w:rsidR="00A1159A" w:rsidRPr="00A1159A">
        <w:t>.</w:t>
      </w:r>
      <w:r w:rsidR="00B01508" w:rsidRPr="00B01508">
        <w:t xml:space="preserve"> </w:t>
      </w:r>
      <w:r w:rsidR="00EE14F2">
        <w:t>The trials demonstrated a beneficial effect of tisagenlecleucel with significant extensions in event-free survival (EFS) and overall survival (OS) over the usual life expectancy</w:t>
      </w:r>
      <w:r w:rsidR="004F6034">
        <w:t>, with a median OS of 37.9 months</w:t>
      </w:r>
      <w:r w:rsidR="00C053BE">
        <w:t xml:space="preserve"> observed in the B2101J trial</w:t>
      </w:r>
      <w:r w:rsidR="00EE14F2">
        <w:t>. Patients who were enrolled in the trial</w:t>
      </w:r>
      <w:r w:rsidR="00145E88">
        <w:t>s</w:t>
      </w:r>
      <w:r w:rsidR="00EE14F2">
        <w:t xml:space="preserve"> but were not infused </w:t>
      </w:r>
      <w:r w:rsidR="00145E88">
        <w:t>due to manufacture failure or adverse events</w:t>
      </w:r>
      <w:r w:rsidR="00FD4E61">
        <w:t xml:space="preserve"> (AEs)</w:t>
      </w:r>
      <w:r w:rsidR="00145E88">
        <w:t xml:space="preserve"> </w:t>
      </w:r>
      <w:r w:rsidR="00EE14F2">
        <w:t>had a very poor prognosis. The exact figures</w:t>
      </w:r>
      <w:r w:rsidR="004A4F4A">
        <w:t xml:space="preserve"> for the </w:t>
      </w:r>
      <w:r w:rsidR="00145E88">
        <w:t>ENSIGN and ELIANA</w:t>
      </w:r>
      <w:r w:rsidR="004A4F4A">
        <w:t xml:space="preserve"> trials</w:t>
      </w:r>
      <w:r w:rsidR="00EE14F2">
        <w:t xml:space="preserve"> are currently unpublished and as such cannot be reproduced here. </w:t>
      </w:r>
    </w:p>
    <w:p w14:paraId="1ED22260" w14:textId="484A592E" w:rsidR="00B01508" w:rsidRPr="00B01508" w:rsidRDefault="00E27EC1" w:rsidP="00B01508">
      <w:r>
        <w:t xml:space="preserve">All </w:t>
      </w:r>
      <w:r w:rsidR="009F532F">
        <w:t>relevant</w:t>
      </w:r>
      <w:r>
        <w:t xml:space="preserve"> trials of </w:t>
      </w:r>
      <w:r w:rsidRPr="00D532D5">
        <w:t>tisagenlecleucel</w:t>
      </w:r>
      <w:r>
        <w:t xml:space="preserve"> </w:t>
      </w:r>
      <w:r w:rsidR="009D5823">
        <w:t xml:space="preserve">were </w:t>
      </w:r>
      <w:r>
        <w:t xml:space="preserve">single arm studies with no </w:t>
      </w:r>
      <w:r w:rsidR="009F532F">
        <w:t>comparator; t</w:t>
      </w:r>
      <w:r>
        <w:t xml:space="preserve">he company therefore </w:t>
      </w:r>
      <w:r w:rsidR="009F532F">
        <w:t>identified</w:t>
      </w:r>
      <w:r>
        <w:t xml:space="preserve"> evidence</w:t>
      </w:r>
      <w:r w:rsidR="008242C0">
        <w:t xml:space="preserve"> for comparator treatments</w:t>
      </w:r>
      <w:r>
        <w:t xml:space="preserve"> from published studies. The </w:t>
      </w:r>
      <w:r w:rsidR="00EE14F2">
        <w:t>company</w:t>
      </w:r>
      <w:r w:rsidR="00B01508" w:rsidRPr="00B01508">
        <w:t xml:space="preserve"> used studies </w:t>
      </w:r>
      <w:r w:rsidR="00EE14F2">
        <w:t xml:space="preserve">by </w:t>
      </w:r>
      <w:r w:rsidR="00B01508" w:rsidRPr="00B01508">
        <w:t xml:space="preserve">von Stackelberg </w:t>
      </w:r>
      <w:r w:rsidR="00B01508" w:rsidRPr="00B01508">
        <w:rPr>
          <w:i/>
        </w:rPr>
        <w:t>et al</w:t>
      </w:r>
      <w:r w:rsidR="005F7871">
        <w:t xml:space="preserve">. </w:t>
      </w:r>
      <w:r w:rsidR="00F52992">
        <w:fldChar w:fldCharType="begin">
          <w:fldData xml:space="preserve">PEVuZE5vdGU+PENpdGU+PEF1dGhvcj52b24gU3RhY2tlbGJlcmc8L0F1dGhvcj48WWVhcj4yMDE2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</w:fldData>
        </w:fldChar>
      </w:r>
      <w:r w:rsidR="00F52992">
        <w:instrText xml:space="preserve"> ADDIN EN.CITE </w:instrText>
      </w:r>
      <w:r w:rsidR="00F52992">
        <w:fldChar w:fldCharType="begin">
          <w:fldData xml:space="preserve">PEVuZE5vdGU+PENpdGU+PEF1dGhvcj52b24gU3RhY2tlbGJlcmc8L0F1dGhvcj48WWVhcj4yMDE2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</w:fldData>
        </w:fldChar>
      </w:r>
      <w:r w:rsidR="00F52992">
        <w:instrText xml:space="preserve"> ADDIN EN.CITE.DATA </w:instrText>
      </w:r>
      <w:r w:rsidR="00F52992">
        <w:fldChar w:fldCharType="end"/>
      </w:r>
      <w:r w:rsidR="00F52992">
        <w:fldChar w:fldCharType="separate"/>
      </w:r>
      <w:r w:rsidR="00F52992" w:rsidRPr="00F52992">
        <w:rPr>
          <w:noProof/>
          <w:vertAlign w:val="superscript"/>
        </w:rPr>
        <w:t>17</w:t>
      </w:r>
      <w:r w:rsidR="00F52992">
        <w:fldChar w:fldCharType="end"/>
      </w:r>
      <w:r w:rsidR="00B01508" w:rsidRPr="00B01508">
        <w:t xml:space="preserve"> and Jeha </w:t>
      </w:r>
      <w:r w:rsidR="00B01508" w:rsidRPr="00B01508">
        <w:rPr>
          <w:i/>
        </w:rPr>
        <w:t>et al</w:t>
      </w:r>
      <w:r w:rsidR="005F7871">
        <w:t xml:space="preserve">. </w:t>
      </w:r>
      <w:r w:rsidR="00F52992">
        <w:fldChar w:fldCharType="begin">
          <w:fldData xml:space="preserve">PEVuZE5vdGU+PENpdGU+PEF1dGhvcj5KZWhhPC9BdXRob3I+PFllYXI+MjAwNjwvWWVhcj48UmVj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</w:fldData>
        </w:fldChar>
      </w:r>
      <w:r w:rsidR="00F52992">
        <w:instrText xml:space="preserve"> ADDIN EN.CITE </w:instrText>
      </w:r>
      <w:r w:rsidR="00F52992">
        <w:fldChar w:fldCharType="begin">
          <w:fldData xml:space="preserve">PEVuZE5vdGU+PENpdGU+PEF1dGhvcj5KZWhhPC9BdXRob3I+PFllYXI+MjAwNjwvWWVhcj48UmVj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</w:fldData>
        </w:fldChar>
      </w:r>
      <w:r w:rsidR="00F52992">
        <w:instrText xml:space="preserve"> ADDIN EN.CITE.DATA </w:instrText>
      </w:r>
      <w:r w:rsidR="00F52992">
        <w:fldChar w:fldCharType="end"/>
      </w:r>
      <w:r w:rsidR="00F52992">
        <w:fldChar w:fldCharType="separate"/>
      </w:r>
      <w:r w:rsidR="00F52992" w:rsidRPr="00F52992">
        <w:rPr>
          <w:noProof/>
          <w:vertAlign w:val="superscript"/>
        </w:rPr>
        <w:t>18</w:t>
      </w:r>
      <w:r w:rsidR="00F52992">
        <w:fldChar w:fldCharType="end"/>
      </w:r>
      <w:r w:rsidR="00DF3246">
        <w:t xml:space="preserve"> </w:t>
      </w:r>
      <w:r w:rsidR="00B01508" w:rsidRPr="00B01508">
        <w:t>as evidence on blinatumomab and salvage chemotherapy, respectively.</w:t>
      </w:r>
      <w:r w:rsidR="00507B96">
        <w:t xml:space="preserve"> Both studies </w:t>
      </w:r>
      <w:r w:rsidR="009D5823">
        <w:t xml:space="preserve">were </w:t>
      </w:r>
      <w:r w:rsidR="00507B96" w:rsidRPr="00507B96">
        <w:t>phase I/II single-arm, multi-centre</w:t>
      </w:r>
      <w:r w:rsidR="00145E88">
        <w:t xml:space="preserve">, </w:t>
      </w:r>
      <w:r w:rsidR="00507B96" w:rsidRPr="00507B96">
        <w:t>open-labe</w:t>
      </w:r>
      <w:r w:rsidR="00C82283">
        <w:t>l</w:t>
      </w:r>
      <w:r w:rsidR="00145E88">
        <w:t xml:space="preserve"> trials</w:t>
      </w:r>
      <w:r w:rsidR="00FB2B6E">
        <w:t>, conducted</w:t>
      </w:r>
      <w:r w:rsidR="00C82283">
        <w:t xml:space="preserve"> </w:t>
      </w:r>
      <w:r w:rsidR="00507B96" w:rsidRPr="00507B96">
        <w:t>in paediatric r/r B-ALL patients. The</w:t>
      </w:r>
      <w:r w:rsidR="00FB2B6E">
        <w:t xml:space="preserve"> von</w:t>
      </w:r>
      <w:r w:rsidR="00507B96" w:rsidRPr="00507B96">
        <w:t xml:space="preserve"> </w:t>
      </w:r>
      <w:r w:rsidR="00507B96">
        <w:t xml:space="preserve">Stackelberg </w:t>
      </w:r>
      <w:r w:rsidR="00507B96" w:rsidRPr="00507B96">
        <w:t xml:space="preserve">study population </w:t>
      </w:r>
      <w:r w:rsidR="00FB2B6E">
        <w:t>comprise</w:t>
      </w:r>
      <w:r w:rsidR="009D5823">
        <w:t>d</w:t>
      </w:r>
      <w:r w:rsidR="00507B96" w:rsidRPr="00507B96">
        <w:t xml:space="preserve"> patients who are primary refractory, in first relapse after full salvage induction regimen, in second or later relapse</w:t>
      </w:r>
      <w:r w:rsidR="00145E88">
        <w:t>,</w:t>
      </w:r>
      <w:r w:rsidR="00507B96" w:rsidRPr="00507B96">
        <w:t xml:space="preserve"> or in any relapse after allo-SCT.</w:t>
      </w:r>
      <w:r w:rsidR="00507B96">
        <w:t xml:space="preserve"> In </w:t>
      </w:r>
      <w:r w:rsidR="00507B96" w:rsidRPr="00507B96">
        <w:t xml:space="preserve">Jeha </w:t>
      </w:r>
      <w:r w:rsidR="00507B96" w:rsidRPr="00507B96">
        <w:rPr>
          <w:i/>
        </w:rPr>
        <w:t>et al</w:t>
      </w:r>
      <w:r w:rsidR="00507B96" w:rsidRPr="00507B96">
        <w:t xml:space="preserve">. patients </w:t>
      </w:r>
      <w:r w:rsidR="009D5823">
        <w:t xml:space="preserve">were </w:t>
      </w:r>
      <w:r w:rsidR="00507B96" w:rsidRPr="00507B96">
        <w:t>treated with clofarabine therapy</w:t>
      </w:r>
      <w:r w:rsidR="00507B96">
        <w:t>, which the company considered a</w:t>
      </w:r>
      <w:r w:rsidR="00FB2B6E">
        <w:t>n appropriate</w:t>
      </w:r>
      <w:r w:rsidR="00145E88">
        <w:t xml:space="preserve"> proxy for salvage chemotherapy, </w:t>
      </w:r>
      <w:r w:rsidR="00507B96">
        <w:t xml:space="preserve">as the </w:t>
      </w:r>
      <w:r w:rsidR="00507B96" w:rsidRPr="00507B96">
        <w:t xml:space="preserve">CS did not </w:t>
      </w:r>
      <w:r w:rsidR="00507B96" w:rsidRPr="00507B96">
        <w:lastRenderedPageBreak/>
        <w:t>identify any studies evaluating FLA-ID</w:t>
      </w:r>
      <w:r w:rsidR="00507B96">
        <w:t>A</w:t>
      </w:r>
      <w:r w:rsidR="00507B96" w:rsidRPr="00507B96">
        <w:t xml:space="preserve">. The study </w:t>
      </w:r>
      <w:r w:rsidR="009D5823">
        <w:t>consisted</w:t>
      </w:r>
      <w:r w:rsidR="009D5823" w:rsidRPr="00507B96">
        <w:t xml:space="preserve"> </w:t>
      </w:r>
      <w:r w:rsidR="00507B96" w:rsidRPr="00507B96">
        <w:t>of 61 patients who received clofarabine intravenously over two hours daily for five days.</w:t>
      </w:r>
      <w:r w:rsidR="00507B96">
        <w:t xml:space="preserve"> </w:t>
      </w:r>
      <w:r w:rsidR="00B01508" w:rsidRPr="00B01508">
        <w:t>Comparisons with trials of blinatumomab and clofarabine suggested a strong benefit</w:t>
      </w:r>
      <w:r w:rsidR="00FB2B6E">
        <w:t xml:space="preserve"> in terms of both EFS and OS of</w:t>
      </w:r>
      <w:r w:rsidR="00B07072">
        <w:t xml:space="preserve"> tisagenlecleucel</w:t>
      </w:r>
      <w:r w:rsidR="00B01508" w:rsidRPr="00B01508">
        <w:t xml:space="preserve"> </w:t>
      </w:r>
      <w:r w:rsidR="00FB2B6E">
        <w:t xml:space="preserve">compared with both </w:t>
      </w:r>
      <w:r w:rsidR="00B01508" w:rsidRPr="00B01508">
        <w:t xml:space="preserve">blinatumomab and clofarabine. </w:t>
      </w:r>
    </w:p>
    <w:p w14:paraId="74E6DE4F" w14:textId="546F96EE" w:rsidR="00C82283" w:rsidRDefault="00F62B5F" w:rsidP="00B01508">
      <w:r w:rsidRPr="00F62B5F">
        <w:t xml:space="preserve">The company presented a matched-adjusted </w:t>
      </w:r>
      <w:r w:rsidR="009D5823">
        <w:t xml:space="preserve">indirect </w:t>
      </w:r>
      <w:r w:rsidRPr="00F62B5F">
        <w:t>treatment comparison (MAIC) with data fr</w:t>
      </w:r>
      <w:r w:rsidR="00B07072">
        <w:t>om the pooled tisagenlecleucel</w:t>
      </w:r>
      <w:r w:rsidRPr="00F62B5F">
        <w:t xml:space="preserve"> population and from the von Stackelberg </w:t>
      </w:r>
      <w:r w:rsidRPr="00F62B5F">
        <w:rPr>
          <w:i/>
        </w:rPr>
        <w:t>et al</w:t>
      </w:r>
      <w:r w:rsidRPr="00F62B5F">
        <w:t xml:space="preserve">. and Jeha </w:t>
      </w:r>
      <w:r w:rsidRPr="00F62B5F">
        <w:rPr>
          <w:i/>
        </w:rPr>
        <w:t>et al</w:t>
      </w:r>
      <w:r w:rsidRPr="00F62B5F">
        <w:t>. populations</w:t>
      </w:r>
      <w:r w:rsidR="00F805F4">
        <w:t>, but these results were not used in the economic model</w:t>
      </w:r>
      <w:r w:rsidRPr="00F62B5F">
        <w:t>. The hazard ratios show a positive effect of tisagenlecleu</w:t>
      </w:r>
      <w:r w:rsidR="00B07072">
        <w:t>cel</w:t>
      </w:r>
      <w:r w:rsidRPr="00F62B5F">
        <w:t xml:space="preserve"> compared to both blinatumomab and salvage chemotherapy.</w:t>
      </w:r>
    </w:p>
    <w:p w14:paraId="7CE21BBE" w14:textId="6B6EC736" w:rsidR="00F55EB7" w:rsidRDefault="001553DE" w:rsidP="00B01508">
      <w:r>
        <w:t xml:space="preserve">The safety and tolerability of tisagenlecleucel was evaluated in all three trials, </w:t>
      </w:r>
      <w:r w:rsidR="00F55EB7">
        <w:t>with</w:t>
      </w:r>
      <w:r>
        <w:t xml:space="preserve"> all patients who received at least one infusion included in the safety population. All patients had at least one </w:t>
      </w:r>
      <w:r w:rsidR="00FD4E61">
        <w:t>AE</w:t>
      </w:r>
      <w:r>
        <w:t xml:space="preserve">, and almost all patients had an AE that was suspected to be related to the study-drug. Grade 3 and 4 </w:t>
      </w:r>
      <w:r w:rsidR="00FD4E61">
        <w:t>AEs</w:t>
      </w:r>
      <w:r>
        <w:t xml:space="preserve"> were reported in 88% of patients. The most common non-haematological adverse reactions of any grades were cytokine release syndrome </w:t>
      </w:r>
      <w:r w:rsidR="00FD4E61">
        <w:t xml:space="preserve">(CRS) </w:t>
      </w:r>
      <w:r>
        <w:t xml:space="preserve">(77%), infections (65%), hypogammaglobulinaemia (47%), and pyrexia (40%). </w:t>
      </w:r>
    </w:p>
    <w:p w14:paraId="4F7F6AA8" w14:textId="13DD64D8" w:rsidR="00F55EB7" w:rsidRDefault="00565775" w:rsidP="00B01508">
      <w:r>
        <w:t xml:space="preserve">Cytokine release syndrome can present at any AE grade, ranging from flu-like symptoms to high fever and hypotension, </w:t>
      </w:r>
      <w:r w:rsidR="00F55EB7">
        <w:t>and can lead</w:t>
      </w:r>
      <w:r>
        <w:t xml:space="preserve"> to circulatory shock, intravascular coagulation, multi-organ system failure, and death if not adequately treated. Treatment with </w:t>
      </w:r>
      <w:r w:rsidR="001553DE">
        <w:t>tocilizumab</w:t>
      </w:r>
      <w:r>
        <w:t xml:space="preserve"> was required</w:t>
      </w:r>
      <w:r w:rsidR="001553DE">
        <w:t xml:space="preserve"> in 41.7% of patients, and 56% of patients with CRS required </w:t>
      </w:r>
      <w:r w:rsidR="00FD4E61">
        <w:t>intensive care unit</w:t>
      </w:r>
      <w:r w:rsidR="00F320F5">
        <w:t xml:space="preserve"> (ICU)</w:t>
      </w:r>
      <w:r w:rsidR="001553DE">
        <w:t>-level care</w:t>
      </w:r>
      <w:r>
        <w:t>; note however that there were no deaths due to CRS recorded in these trials</w:t>
      </w:r>
      <w:r w:rsidR="001553DE">
        <w:t xml:space="preserve">. </w:t>
      </w:r>
    </w:p>
    <w:p w14:paraId="65CBBD91" w14:textId="55CA5DDA" w:rsidR="001553DE" w:rsidRDefault="00251520" w:rsidP="00B01508">
      <w:r>
        <w:t xml:space="preserve">The ERG also noted that median time to B-cell recovery had not been reached in any of the trials, suggesting some patients may require long-term treatment with intravenous immunoglobulin (IVIG). </w:t>
      </w:r>
      <w:r w:rsidR="001553DE">
        <w:t xml:space="preserve">In the ELIANA trial, 94.7% of patients had at least one hospitalisation, with many requiring two. Among those patients admitted to hospital, the mean duration of hospitalisation was 29.0 days (range 5 to 214 days). Fifty-three percent of patients were admitted to intensive care, with a median duration of stay of 7 days. </w:t>
      </w:r>
    </w:p>
    <w:p w14:paraId="0292EA0B" w14:textId="1DA78D0E" w:rsidR="00C82283" w:rsidRPr="00FB2B6E" w:rsidRDefault="00C82283" w:rsidP="00FB2B6E">
      <w:pPr>
        <w:pStyle w:val="Heading3"/>
      </w:pPr>
      <w:r w:rsidRPr="00FB2B6E">
        <w:t>Critique</w:t>
      </w:r>
      <w:r w:rsidR="00FB2B6E" w:rsidRPr="00FB2B6E">
        <w:t xml:space="preserve"> of Clinical Effectiveness Evidence</w:t>
      </w:r>
      <w:r w:rsidRPr="00FB2B6E">
        <w:t xml:space="preserve"> and interpretation</w:t>
      </w:r>
    </w:p>
    <w:p w14:paraId="3A3967F9" w14:textId="55B3680A" w:rsidR="0051566F" w:rsidRPr="0051566F" w:rsidRDefault="009C2E7D" w:rsidP="0051566F">
      <w:r w:rsidRPr="009C2E7D">
        <w:t>The systematic review presented in the CS used adequate methods to identify the relevant studies, with no relevant trials likely to have been missed.</w:t>
      </w:r>
      <w:r w:rsidR="0051566F">
        <w:t xml:space="preserve"> </w:t>
      </w:r>
      <w:r w:rsidR="0051566F" w:rsidRPr="0051566F">
        <w:t>The</w:t>
      </w:r>
      <w:r w:rsidR="0051566F">
        <w:t xml:space="preserve"> three</w:t>
      </w:r>
      <w:r w:rsidR="0051566F" w:rsidRPr="0051566F">
        <w:t xml:space="preserve"> included</w:t>
      </w:r>
      <w:r w:rsidR="0051566F">
        <w:t xml:space="preserve"> studies of tisagenlecleucel</w:t>
      </w:r>
      <w:r w:rsidR="0051566F" w:rsidRPr="0051566F">
        <w:t xml:space="preserve"> were </w:t>
      </w:r>
      <w:r w:rsidR="0051566F">
        <w:t xml:space="preserve">of </w:t>
      </w:r>
      <w:r w:rsidR="0051566F" w:rsidRPr="0051566F">
        <w:t>good quality</w:t>
      </w:r>
      <w:r w:rsidR="0051566F">
        <w:t>. However,</w:t>
      </w:r>
      <w:r w:rsidR="0051566F" w:rsidRPr="0051566F">
        <w:t xml:space="preserve"> </w:t>
      </w:r>
      <w:r w:rsidR="0051566F">
        <w:t>t</w:t>
      </w:r>
      <w:r w:rsidR="0051566F" w:rsidRPr="0051566F">
        <w:t xml:space="preserve">he ERG </w:t>
      </w:r>
      <w:r w:rsidR="00160186">
        <w:t>highlighted</w:t>
      </w:r>
      <w:r w:rsidR="0051566F" w:rsidRPr="0051566F">
        <w:t xml:space="preserve"> some limitations </w:t>
      </w:r>
      <w:r w:rsidR="00160186">
        <w:t xml:space="preserve">around </w:t>
      </w:r>
      <w:r w:rsidR="0051566F" w:rsidRPr="0051566F">
        <w:t>the representativeness of the patients recruited to the trials. All three trials restricted eligibility to patients with a life expectancy of 12 weeks or more</w:t>
      </w:r>
      <w:r w:rsidR="00160186">
        <w:t>, thus</w:t>
      </w:r>
      <w:r w:rsidR="0051566F" w:rsidRPr="0051566F">
        <w:t xml:space="preserve"> </w:t>
      </w:r>
      <w:r w:rsidR="00160186">
        <w:t>these patients</w:t>
      </w:r>
      <w:r w:rsidR="0051566F" w:rsidRPr="0051566F">
        <w:t xml:space="preserve"> may </w:t>
      </w:r>
      <w:r w:rsidR="00160186">
        <w:t xml:space="preserve">have </w:t>
      </w:r>
      <w:r w:rsidR="0051566F" w:rsidRPr="0051566F">
        <w:t>be</w:t>
      </w:r>
      <w:r w:rsidR="00160186">
        <w:t>en</w:t>
      </w:r>
      <w:r w:rsidR="0051566F" w:rsidRPr="0051566F">
        <w:t xml:space="preserve"> healthier and fitter than </w:t>
      </w:r>
      <w:r w:rsidR="00160186">
        <w:t>the general population of patients at this stage of the treatment pathway</w:t>
      </w:r>
      <w:r w:rsidR="0051566F" w:rsidRPr="0051566F">
        <w:t xml:space="preserve">. In addition, </w:t>
      </w:r>
      <w:r w:rsidR="004F6034">
        <w:t xml:space="preserve">patients in the </w:t>
      </w:r>
      <w:r w:rsidR="00160186" w:rsidRPr="0051566F">
        <w:t xml:space="preserve">B2101J </w:t>
      </w:r>
      <w:r w:rsidR="004F6034">
        <w:t xml:space="preserve">trial were allowed multiple infusions of tisagenlecleucel over several months, a strategy which is not licensed in </w:t>
      </w:r>
      <w:r w:rsidR="004F6034">
        <w:lastRenderedPageBreak/>
        <w:t xml:space="preserve">the UK. This </w:t>
      </w:r>
      <w:r w:rsidR="00E27EC1">
        <w:t xml:space="preserve">may </w:t>
      </w:r>
      <w:r w:rsidR="009F532F">
        <w:t>affect</w:t>
      </w:r>
      <w:r w:rsidR="00E27EC1">
        <w:t xml:space="preserve"> the generalisability of this trial</w:t>
      </w:r>
      <w:r w:rsidR="004F6034">
        <w:t xml:space="preserve">, and as </w:t>
      </w:r>
      <w:r w:rsidR="00F339E5">
        <w:t>it had the longest follow-up, this</w:t>
      </w:r>
      <w:r w:rsidR="004F6034">
        <w:t xml:space="preserve"> may have inflated apparent long-term OS in pooled analysis.</w:t>
      </w:r>
    </w:p>
    <w:p w14:paraId="2CD674FB" w14:textId="2F72809F" w:rsidR="000F43C6" w:rsidRDefault="005F4046" w:rsidP="007C3BEA">
      <w:r w:rsidRPr="005F4046">
        <w:t xml:space="preserve">The ERG </w:t>
      </w:r>
      <w:r w:rsidR="00FD4E61" w:rsidRPr="005F4046">
        <w:t>ha</w:t>
      </w:r>
      <w:r w:rsidR="00FD4E61">
        <w:t>d</w:t>
      </w:r>
      <w:r w:rsidR="00FD4E61" w:rsidRPr="005F4046">
        <w:t xml:space="preserve"> </w:t>
      </w:r>
      <w:r w:rsidRPr="005F4046">
        <w:t>several concerns with the analyses presented</w:t>
      </w:r>
      <w:r w:rsidR="004F6034">
        <w:t xml:space="preserve"> by the company</w:t>
      </w:r>
      <w:r w:rsidRPr="005F4046">
        <w:t xml:space="preserve">. </w:t>
      </w:r>
      <w:r w:rsidR="004A1F70" w:rsidRPr="004A1F70">
        <w:t>The median time between enrolment an</w:t>
      </w:r>
      <w:r w:rsidR="004F6034">
        <w:t>d infusion of tisagenlecleucel</w:t>
      </w:r>
      <w:r w:rsidR="004A1F70" w:rsidRPr="004A1F70">
        <w:t xml:space="preserve"> in all three trials was substantially longer than the 3 to 4 </w:t>
      </w:r>
      <w:r w:rsidR="004F6034">
        <w:t>w</w:t>
      </w:r>
      <w:r w:rsidR="007C3BEA">
        <w:t>eeks estimated in the CS.</w:t>
      </w:r>
      <w:r w:rsidR="004F6034">
        <w:t xml:space="preserve"> This may </w:t>
      </w:r>
      <w:r w:rsidR="000F43C6">
        <w:t>pose a difficult decision</w:t>
      </w:r>
      <w:r w:rsidR="004A1F70" w:rsidRPr="004A1F70">
        <w:t xml:space="preserve"> for eligible patients due to the </w:t>
      </w:r>
      <w:r w:rsidR="004F6034">
        <w:t>speed</w:t>
      </w:r>
      <w:r w:rsidR="004A1F70" w:rsidRPr="004A1F70">
        <w:t xml:space="preserve"> of dise</w:t>
      </w:r>
      <w:r w:rsidR="004F6034">
        <w:t xml:space="preserve">ase progression and their short </w:t>
      </w:r>
      <w:r w:rsidR="004A1F70" w:rsidRPr="004A1F70">
        <w:t>estimated life expectancy</w:t>
      </w:r>
      <w:r w:rsidR="000F43C6">
        <w:t>, as other treatment opportunities are foregone during this period</w:t>
      </w:r>
      <w:r w:rsidR="004A1F70" w:rsidRPr="004A1F70">
        <w:t>. In addition, the proportion of patients who received an allo-SCT after infusion in all three trials is concerning considering the curative intent of tisagenlecleuc</w:t>
      </w:r>
      <w:r w:rsidR="004F6034">
        <w:t>el</w:t>
      </w:r>
      <w:r w:rsidR="004A1F70" w:rsidRPr="004A1F70">
        <w:t>.</w:t>
      </w:r>
      <w:r w:rsidR="00381FCE">
        <w:t xml:space="preserve"> </w:t>
      </w:r>
    </w:p>
    <w:p w14:paraId="2ECBF818" w14:textId="024504D1" w:rsidR="00381FCE" w:rsidRPr="00381FCE" w:rsidRDefault="001B23FB" w:rsidP="007C3BEA">
      <w:r>
        <w:t xml:space="preserve">The long-term benefits of tisagenlecleucel were more uncertain than implied by the presented Kaplan-Meier (KM) curves. </w:t>
      </w:r>
      <w:r w:rsidR="00381FCE">
        <w:t>F</w:t>
      </w:r>
      <w:r w:rsidR="00381FCE" w:rsidRPr="00381FCE">
        <w:t xml:space="preserve">or </w:t>
      </w:r>
      <w:r w:rsidR="008221BB">
        <w:t>those</w:t>
      </w:r>
      <w:r w:rsidR="00381FCE" w:rsidRPr="00381FCE">
        <w:t xml:space="preserve"> patients </w:t>
      </w:r>
      <w:r>
        <w:t xml:space="preserve">successfully </w:t>
      </w:r>
      <w:r w:rsidR="008221BB">
        <w:t>infused</w:t>
      </w:r>
      <w:r w:rsidR="001553DE">
        <w:t xml:space="preserve"> with tisagenlecleucel</w:t>
      </w:r>
      <w:r w:rsidR="008221BB">
        <w:t>,</w:t>
      </w:r>
      <w:r w:rsidR="00381FCE" w:rsidRPr="00381FCE">
        <w:t xml:space="preserve"> the </w:t>
      </w:r>
      <w:r>
        <w:t xml:space="preserve">apparent proportion of patients alive at the most recent follow-up in </w:t>
      </w:r>
      <w:r w:rsidR="00381FCE" w:rsidRPr="00381FCE">
        <w:t xml:space="preserve">ELIANA </w:t>
      </w:r>
      <w:r>
        <w:t>was</w:t>
      </w:r>
      <w:r w:rsidR="00381FCE" w:rsidRPr="00381FCE">
        <w:t xml:space="preserve"> heavily influenced by censoring of data</w:t>
      </w:r>
      <w:r w:rsidR="008221BB">
        <w:t>, and i</w:t>
      </w:r>
      <w:r w:rsidR="00381FCE" w:rsidRPr="00381FCE">
        <w:t xml:space="preserve">n </w:t>
      </w:r>
      <w:r w:rsidR="004F6034">
        <w:t xml:space="preserve">both </w:t>
      </w:r>
      <w:r w:rsidR="00381FCE" w:rsidRPr="00381FCE">
        <w:t>ENSIGN and B2101J</w:t>
      </w:r>
      <w:r w:rsidR="004F6034">
        <w:t xml:space="preserve"> </w:t>
      </w:r>
      <w:r w:rsidR="00381FCE" w:rsidRPr="00381FCE">
        <w:t>there are</w:t>
      </w:r>
      <w:r w:rsidR="004F6034">
        <w:t xml:space="preserve"> very</w:t>
      </w:r>
      <w:r w:rsidR="00381FCE" w:rsidRPr="00381FCE">
        <w:t xml:space="preserve"> small numbers of patients at risk beyond 18 and 36 months</w:t>
      </w:r>
      <w:r w:rsidR="004F6034">
        <w:t xml:space="preserve"> respectively</w:t>
      </w:r>
      <w:r w:rsidR="002F7681">
        <w:t xml:space="preserve">. </w:t>
      </w:r>
      <w:r w:rsidR="008F06AD">
        <w:t>Moreover</w:t>
      </w:r>
      <w:r w:rsidR="002F7681">
        <w:t>, each trial had</w:t>
      </w:r>
      <w:r w:rsidR="00564034">
        <w:t xml:space="preserve"> </w:t>
      </w:r>
      <w:r w:rsidR="002F7681">
        <w:t>notably</w:t>
      </w:r>
      <w:r w:rsidR="00564034">
        <w:t xml:space="preserve"> different proportions of patients</w:t>
      </w:r>
      <w:r w:rsidR="002F7681">
        <w:t xml:space="preserve"> alive in the </w:t>
      </w:r>
      <w:r w:rsidR="00D46AA0">
        <w:t>ongoing OS</w:t>
      </w:r>
      <w:r w:rsidR="002F7681">
        <w:t xml:space="preserve"> plateaus.</w:t>
      </w:r>
      <w:r>
        <w:t xml:space="preserve"> Thus, the ERG considered that</w:t>
      </w:r>
      <w:r w:rsidR="004F6034">
        <w:t xml:space="preserve"> conclusions about long-term survival and cure should be withheld until more mature data is produced</w:t>
      </w:r>
      <w:r w:rsidR="007C3BEA">
        <w:t xml:space="preserve">. </w:t>
      </w:r>
    </w:p>
    <w:p w14:paraId="1D391823" w14:textId="7616AD29" w:rsidR="004A1F70" w:rsidRPr="004A1F70" w:rsidRDefault="00F805F4" w:rsidP="004A1F70">
      <w:r>
        <w:t>The ERG also had concerns</w:t>
      </w:r>
      <w:r w:rsidR="004A1F70" w:rsidRPr="004A1F70">
        <w:t xml:space="preserve"> regarding the comparability of</w:t>
      </w:r>
      <w:r>
        <w:t xml:space="preserve"> von</w:t>
      </w:r>
      <w:r w:rsidR="004A1F70" w:rsidRPr="004A1F70">
        <w:t xml:space="preserve"> Stackelberg </w:t>
      </w:r>
      <w:r w:rsidR="004A1F70" w:rsidRPr="004A1F70">
        <w:rPr>
          <w:i/>
        </w:rPr>
        <w:t>et al</w:t>
      </w:r>
      <w:r w:rsidR="004A1F70" w:rsidRPr="004A1F70">
        <w:t xml:space="preserve">. and Jeha </w:t>
      </w:r>
      <w:r w:rsidR="004A1F70" w:rsidRPr="004A1F70">
        <w:rPr>
          <w:i/>
        </w:rPr>
        <w:t>et al</w:t>
      </w:r>
      <w:r w:rsidR="004A1F70" w:rsidRPr="004A1F70">
        <w:t xml:space="preserve">. </w:t>
      </w:r>
      <w:r>
        <w:t>trials with the tisagenlecleucel</w:t>
      </w:r>
      <w:r w:rsidR="004A1F70" w:rsidRPr="004A1F70">
        <w:t xml:space="preserve"> trials, </w:t>
      </w:r>
      <w:r>
        <w:t>identifying</w:t>
      </w:r>
      <w:r w:rsidR="004A1F70" w:rsidRPr="004A1F70">
        <w:t xml:space="preserve"> </w:t>
      </w:r>
      <w:r>
        <w:t>numerous</w:t>
      </w:r>
      <w:r w:rsidR="004A1F70" w:rsidRPr="004A1F70">
        <w:t xml:space="preserve"> differences in study desig</w:t>
      </w:r>
      <w:r>
        <w:t>n and baseline characteristics</w:t>
      </w:r>
      <w:r w:rsidR="004A1F70" w:rsidRPr="004A1F70">
        <w:t>,</w:t>
      </w:r>
      <w:r>
        <w:t xml:space="preserve"> and questioning the validity of comparison</w:t>
      </w:r>
      <w:r w:rsidR="004A1F70" w:rsidRPr="004A1F70">
        <w:t xml:space="preserve"> </w:t>
      </w:r>
      <w:r>
        <w:t>between what appear to be fundamentally different populations</w:t>
      </w:r>
      <w:r w:rsidR="004A1F70" w:rsidRPr="004A1F70">
        <w:t xml:space="preserve">. There was insufficient evidence presented to justify using clofarabine as a proxy for FLA-IDA. The ERG </w:t>
      </w:r>
      <w:r>
        <w:t>did</w:t>
      </w:r>
      <w:r w:rsidR="004A1F70" w:rsidRPr="004A1F70">
        <w:t xml:space="preserve"> not consider </w:t>
      </w:r>
      <w:r>
        <w:t xml:space="preserve">von </w:t>
      </w:r>
      <w:r w:rsidR="004A1F70" w:rsidRPr="004A1F70">
        <w:t xml:space="preserve">Stackelberg </w:t>
      </w:r>
      <w:r w:rsidR="004A1F70" w:rsidRPr="004A1F70">
        <w:rPr>
          <w:i/>
        </w:rPr>
        <w:t>et al</w:t>
      </w:r>
      <w:r w:rsidR="004A1F70" w:rsidRPr="004A1F70">
        <w:t xml:space="preserve">. or Jeha </w:t>
      </w:r>
      <w:r w:rsidR="004A1F70" w:rsidRPr="004A1F70">
        <w:rPr>
          <w:i/>
        </w:rPr>
        <w:t>et al</w:t>
      </w:r>
      <w:r>
        <w:t>. as suitable evidence for</w:t>
      </w:r>
      <w:r w:rsidR="004A1F70" w:rsidRPr="004A1F70">
        <w:t xml:space="preserve"> the comparators. </w:t>
      </w:r>
    </w:p>
    <w:p w14:paraId="4A5C3332" w14:textId="4A52C745" w:rsidR="00882AD0" w:rsidRDefault="004A1F70" w:rsidP="00882AD0">
      <w:r w:rsidRPr="004A1F70">
        <w:t>All comparisons were based on adjusted or unadjusted indirect comparisons, which are prone to bias if adjustment is not perfect</w:t>
      </w:r>
      <w:r>
        <w:t xml:space="preserve"> </w:t>
      </w:r>
      <w:r w:rsidRPr="004A1F70">
        <w:t xml:space="preserve">and therefore </w:t>
      </w:r>
      <w:r w:rsidR="00381FCE">
        <w:t xml:space="preserve">the ERG </w:t>
      </w:r>
      <w:r w:rsidR="00882AC9">
        <w:t>considered</w:t>
      </w:r>
      <w:r w:rsidRPr="004A1F70">
        <w:t xml:space="preserve"> the results of the comparative MAIC analysis </w:t>
      </w:r>
      <w:r w:rsidR="007C3BEA">
        <w:t>to be</w:t>
      </w:r>
      <w:r w:rsidR="005F4046">
        <w:t xml:space="preserve"> </w:t>
      </w:r>
      <w:r w:rsidR="007C3BEA">
        <w:t>un</w:t>
      </w:r>
      <w:r w:rsidRPr="004A1F70">
        <w:t>reliable.</w:t>
      </w:r>
    </w:p>
    <w:p w14:paraId="1559E8A1" w14:textId="691D6F65" w:rsidR="00A34F10" w:rsidRDefault="00A34F10" w:rsidP="00A34F10">
      <w:pPr>
        <w:pStyle w:val="Heading2"/>
      </w:pPr>
      <w:r>
        <w:t>Cost-effectiveness Evidence</w:t>
      </w:r>
    </w:p>
    <w:p w14:paraId="2947754C" w14:textId="0AC2C47B" w:rsidR="00A34F10" w:rsidRPr="00A34F10" w:rsidRDefault="00A34F10" w:rsidP="00A34F10">
      <w:pPr>
        <w:pStyle w:val="Heading3"/>
      </w:pPr>
      <w:r>
        <w:t>Summary of the Cost-effectiveness Evidence</w:t>
      </w:r>
    </w:p>
    <w:p w14:paraId="720214E1" w14:textId="3F90DD4D" w:rsidR="0004152F" w:rsidRDefault="00CB56DA" w:rsidP="0004152F">
      <w:r>
        <w:t>The company’s submission included a systematic review of published evidence on the cost-effectiveness, health-related quality of life</w:t>
      </w:r>
      <w:r w:rsidR="006A48FA">
        <w:t xml:space="preserve"> (HRQoL)</w:t>
      </w:r>
      <w:r>
        <w:t>, and resource use and costs associated with tisagenlecleucel for the treatment of r/r B-cell ALL. This review identified four economic evaluations of tisagenlecleucel, including two models which took a UK perspective</w:t>
      </w:r>
      <w:r w:rsidR="00EC5FC8" w:rsidRPr="00EC5FC8">
        <w:t xml:space="preserve"> </w:t>
      </w:r>
      <w:r w:rsidR="00F52992">
        <w:fldChar w:fldCharType="begin">
          <w:fldData xml:space="preserve">PEVuZE5vdGU+PENpdGU+PEF1dGhvcj5IZXR0bGU8L0F1dGhvcj48WWVhcj4yMDE3PC9ZZWFyPjxS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</w:fldData>
        </w:fldChar>
      </w:r>
      <w:r w:rsidR="00F52992">
        <w:instrText xml:space="preserve"> ADDIN EN.CITE </w:instrText>
      </w:r>
      <w:r w:rsidR="00F52992">
        <w:fldChar w:fldCharType="begin">
          <w:fldData xml:space="preserve">PEVuZE5vdGU+PENpdGU+PEF1dGhvcj5IZXR0bGU8L0F1dGhvcj48WWVhcj4yMDE3PC9ZZWFyPjxS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</w:fldData>
        </w:fldChar>
      </w:r>
      <w:r w:rsidR="00F52992">
        <w:instrText xml:space="preserve"> ADDIN EN.CITE.DATA </w:instrText>
      </w:r>
      <w:r w:rsidR="00F52992">
        <w:fldChar w:fldCharType="end"/>
      </w:r>
      <w:r w:rsidR="00F52992">
        <w:fldChar w:fldCharType="separate"/>
      </w:r>
      <w:r w:rsidR="00F52992" w:rsidRPr="00F52992">
        <w:rPr>
          <w:noProof/>
          <w:vertAlign w:val="superscript"/>
        </w:rPr>
        <w:t>19, 20</w:t>
      </w:r>
      <w:r w:rsidR="00F52992">
        <w:fldChar w:fldCharType="end"/>
      </w:r>
      <w:r>
        <w:t>. These models were based primarily on hypothetical data, and such were not appropriate for estimating the cost-effectiveness of tisagenlecleucel.</w:t>
      </w:r>
    </w:p>
    <w:p w14:paraId="5F06B4DC" w14:textId="50C61FC9" w:rsidR="0095111E" w:rsidRDefault="001A0F47" w:rsidP="0004152F">
      <w:r>
        <w:lastRenderedPageBreak/>
        <w:t>T</w:t>
      </w:r>
      <w:r w:rsidR="00CB56DA">
        <w:t xml:space="preserve">he company presented a </w:t>
      </w:r>
      <w:r w:rsidR="00CB56DA">
        <w:rPr>
          <w:i/>
        </w:rPr>
        <w:t>de novo</w:t>
      </w:r>
      <w:r w:rsidR="00CB56DA">
        <w:t xml:space="preserve"> cohort cost-effectiveness model which compared tisagenlecleucel with salvage chemotherapy and blinatumomab in a population of young people with r/r B-cell ALL. Cost-effectiveness was calculated over a lifetime time horizon of 88 years with a 3.5% discount rate applied to both costs and QALYs. A hybrid modelling approach was taken, </w:t>
      </w:r>
      <w:r w:rsidR="006A48FA">
        <w:t>combining</w:t>
      </w:r>
      <w:r w:rsidR="00CB56DA">
        <w:t xml:space="preserve"> a decision tree and partitioned survival model structure. The decision tree was used to capture the costs and events prior to the point of tisagenlecleucel infusion</w:t>
      </w:r>
      <w:r w:rsidR="00486B6A">
        <w:t xml:space="preserve">, after which survival outcomes were determined using the partitioned survival model. This took the same form for all </w:t>
      </w:r>
      <w:r w:rsidR="006A48FA">
        <w:t>three treatment options</w:t>
      </w:r>
      <w:r w:rsidR="00486B6A">
        <w:t>, and was based on three health states: event free survival</w:t>
      </w:r>
      <w:r w:rsidR="00000FBE">
        <w:t xml:space="preserve"> (EFS)</w:t>
      </w:r>
      <w:r w:rsidR="00486B6A">
        <w:t>, progressed disease</w:t>
      </w:r>
      <w:r w:rsidR="00000FBE">
        <w:t xml:space="preserve"> (PD)</w:t>
      </w:r>
      <w:r w:rsidR="00486B6A">
        <w:t>, and death. P</w:t>
      </w:r>
      <w:r w:rsidR="00CB56DA">
        <w:t xml:space="preserve">atients receiving either of the comparator therapies </w:t>
      </w:r>
      <w:r w:rsidR="00486B6A">
        <w:t xml:space="preserve">spent the duration of the model in the partitioned survival </w:t>
      </w:r>
      <w:r w:rsidR="0095111E">
        <w:t>structure</w:t>
      </w:r>
      <w:r w:rsidR="00486B6A">
        <w:t>.</w:t>
      </w:r>
      <w:r w:rsidR="00F300D8">
        <w:t xml:space="preserve"> </w:t>
      </w:r>
    </w:p>
    <w:p w14:paraId="3866AF65" w14:textId="77777777" w:rsidR="0052195B" w:rsidRDefault="000C456E" w:rsidP="0004152F">
      <w:r>
        <w:t xml:space="preserve">A central feature of the company’s model was the concept of cure, and the assumption that a proportion of patients treated with tisagenlecleucel </w:t>
      </w:r>
      <w:r w:rsidR="001A0F47">
        <w:t>proceed</w:t>
      </w:r>
      <w:r w:rsidR="006A48FA">
        <w:t xml:space="preserve"> to</w:t>
      </w:r>
      <w:r>
        <w:t xml:space="preserve"> achieve lon</w:t>
      </w:r>
      <w:r w:rsidR="00000FBE">
        <w:t xml:space="preserve">g-term remission and survival. </w:t>
      </w:r>
      <w:r w:rsidR="00F300D8">
        <w:t>The company modelled this assumption using a fourth health state</w:t>
      </w:r>
      <w:r w:rsidR="00442BFF">
        <w:t>:</w:t>
      </w:r>
      <w:r w:rsidR="00F300D8">
        <w:t xml:space="preserve"> long-term survival (LTS). All patients who </w:t>
      </w:r>
      <w:r w:rsidR="0095111E">
        <w:t>were</w:t>
      </w:r>
      <w:r w:rsidR="00F300D8">
        <w:t xml:space="preserve"> alive </w:t>
      </w:r>
      <w:r w:rsidR="00000FBE">
        <w:t xml:space="preserve">in either the EFS or PD state at 5 years </w:t>
      </w:r>
      <w:r w:rsidR="00F300D8">
        <w:t xml:space="preserve">moved into this health state, </w:t>
      </w:r>
      <w:r w:rsidR="006A48FA">
        <w:t>in which patients’ quality of life was</w:t>
      </w:r>
      <w:r w:rsidR="00000FBE">
        <w:t xml:space="preserve"> similar to that of the general population, and </w:t>
      </w:r>
      <w:r w:rsidR="0095111E">
        <w:t xml:space="preserve">individuals </w:t>
      </w:r>
      <w:r w:rsidR="00000FBE">
        <w:t>incur only nominal costs related to their previous condition.</w:t>
      </w:r>
      <w:r w:rsidR="00F300D8">
        <w:t xml:space="preserve"> Age-related decline in HRQoL was reflected by applying age-adjusted decrements to the LTS utility value over the modelled time horizon.</w:t>
      </w:r>
      <w:r w:rsidR="00E63549">
        <w:t xml:space="preserve"> </w:t>
      </w:r>
    </w:p>
    <w:p w14:paraId="747A6249" w14:textId="7494DC3E" w:rsidR="000C456E" w:rsidRDefault="00E63549" w:rsidP="0004152F">
      <w:r>
        <w:t xml:space="preserve">The health state utilities selected by the company were 0.91 for those in EFS and LTS, and 0.75 for those in the PD health state. These estimates were derived from a systematic review of utility studies by Kelly </w:t>
      </w:r>
      <w:r>
        <w:rPr>
          <w:i/>
        </w:rPr>
        <w:t xml:space="preserve">et </w:t>
      </w:r>
      <w:r w:rsidRPr="00E63549">
        <w:rPr>
          <w:i/>
        </w:rPr>
        <w:t>al</w:t>
      </w:r>
      <w:r>
        <w:rPr>
          <w:i/>
        </w:rPr>
        <w:t xml:space="preserve">. </w:t>
      </w:r>
      <w:r w:rsidRPr="00E63549">
        <w:t>which</w:t>
      </w:r>
      <w:r>
        <w:t xml:space="preserve"> converted disease-specific QoL scores to EQ-5D and HUI2. </w:t>
      </w:r>
      <w:r w:rsidR="0052195B">
        <w:t xml:space="preserve">The utility values for event-free survival and long-term survival </w:t>
      </w:r>
      <w:r w:rsidR="0052195B">
        <w:t>were derived from a Swiss study</w:t>
      </w:r>
      <w:r w:rsidR="0052195B">
        <w:rPr>
          <w:vertAlign w:val="superscript"/>
        </w:rPr>
        <w:t>26</w:t>
      </w:r>
      <w:r w:rsidR="0052195B">
        <w:t xml:space="preserve"> which generated SF-36 scores for patients diagnosed with ALL between 1976 and 2003, who had been cured following relapse and had survived for at least 5 years. These utility values are based on HUI2, rather than EQ-5D. </w:t>
      </w:r>
      <w:r>
        <w:t xml:space="preserve">These </w:t>
      </w:r>
      <w:r w:rsidR="0052195B">
        <w:t>estimates</w:t>
      </w:r>
      <w:r>
        <w:t xml:space="preserve"> were considerably higher than those recorded in the ELIANA trial, which are </w:t>
      </w:r>
      <w:r w:rsidR="00B223B6">
        <w:t>confidential</w:t>
      </w:r>
      <w:r>
        <w:t>.</w:t>
      </w:r>
    </w:p>
    <w:p w14:paraId="51BA06AE" w14:textId="20610CBE" w:rsidR="00601364" w:rsidRDefault="0001596A" w:rsidP="0004152F">
      <w:r>
        <w:t xml:space="preserve">The OS and EFS data for tisagenlecleucel were based on a pooled analysis of the latest available data cuts of three </w:t>
      </w:r>
      <w:r w:rsidR="00AC1253">
        <w:t xml:space="preserve">single-arm </w:t>
      </w:r>
      <w:r>
        <w:t>studies: ELIANA (31</w:t>
      </w:r>
      <w:r w:rsidRPr="0001596A">
        <w:rPr>
          <w:vertAlign w:val="superscript"/>
        </w:rPr>
        <w:t>st</w:t>
      </w:r>
      <w:r>
        <w:t xml:space="preserve"> December 2017), ENSIGN (6</w:t>
      </w:r>
      <w:r w:rsidRPr="0001596A">
        <w:rPr>
          <w:vertAlign w:val="superscript"/>
        </w:rPr>
        <w:t>th</w:t>
      </w:r>
      <w:r>
        <w:t xml:space="preserve"> October 2017), and B2101J (30</w:t>
      </w:r>
      <w:r w:rsidRPr="0001596A">
        <w:rPr>
          <w:vertAlign w:val="superscript"/>
        </w:rPr>
        <w:t>th</w:t>
      </w:r>
      <w:r>
        <w:t xml:space="preserve"> January 2017). This dataset excluded those patients who were enrolled into the trials but did not receive infusion with tisagenlecleucel due to death, adverse events, or manufacturing failure. </w:t>
      </w:r>
    </w:p>
    <w:p w14:paraId="1FF856A4" w14:textId="4ABF1511" w:rsidR="00601364" w:rsidRPr="00AC1253" w:rsidRDefault="00601364" w:rsidP="00601364">
      <w:r>
        <w:t>Historical control datasets were identified through a systematic review to establish relative effectiveness of tisagenlecleucel compared to blinat</w:t>
      </w:r>
      <w:r w:rsidR="000F43C6">
        <w:t xml:space="preserve">umomab and salvage chemotherapy. </w:t>
      </w:r>
      <w:r w:rsidR="001A0F47">
        <w:t>OS</w:t>
      </w:r>
      <w:r>
        <w:t xml:space="preserve"> data for blinatumomab </w:t>
      </w:r>
      <w:r w:rsidR="001A0F47">
        <w:t>were</w:t>
      </w:r>
      <w:r>
        <w:t xml:space="preserve"> derived from von Stackelberg </w:t>
      </w:r>
      <w:r>
        <w:rPr>
          <w:i/>
        </w:rPr>
        <w:t>et al.</w:t>
      </w:r>
      <w:r>
        <w:t xml:space="preserve"> (2016)</w:t>
      </w:r>
      <w:r w:rsidR="00F52992">
        <w:fldChar w:fldCharType="begin">
          <w:fldData xml:space="preserve">PEVuZE5vdGU+PENpdGU+PEF1dGhvcj52b24gU3RhY2tlbGJlcmc8L0F1dGhvcj48WWVhcj4yMDE2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</w:fldData>
        </w:fldChar>
      </w:r>
      <w:r w:rsidR="00F52992">
        <w:instrText xml:space="preserve"> ADDIN EN.CITE </w:instrText>
      </w:r>
      <w:r w:rsidR="00F52992">
        <w:fldChar w:fldCharType="begin">
          <w:fldData xml:space="preserve">PEVuZE5vdGU+PENpdGU+PEF1dGhvcj52b24gU3RhY2tlbGJlcmc8L0F1dGhvcj48WWVhcj4yMDE2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</w:fldData>
        </w:fldChar>
      </w:r>
      <w:r w:rsidR="00F52992">
        <w:instrText xml:space="preserve"> ADDIN EN.CITE.DATA </w:instrText>
      </w:r>
      <w:r w:rsidR="00F52992">
        <w:fldChar w:fldCharType="end"/>
      </w:r>
      <w:r w:rsidR="00F52992">
        <w:fldChar w:fldCharType="separate"/>
      </w:r>
      <w:r w:rsidR="00F52992" w:rsidRPr="00F52992">
        <w:rPr>
          <w:noProof/>
          <w:vertAlign w:val="superscript"/>
        </w:rPr>
        <w:t>17</w:t>
      </w:r>
      <w:r w:rsidR="00F52992">
        <w:fldChar w:fldCharType="end"/>
      </w:r>
      <w:r>
        <w:t xml:space="preserve">, a Phase 1/2 trial which evaluated blinatumomab in a paediatric population with relapsed B-cell ALL. The company did not identify any </w:t>
      </w:r>
      <w:r>
        <w:lastRenderedPageBreak/>
        <w:t xml:space="preserve">trials of FLA-IDA in a relevant population, thus </w:t>
      </w:r>
      <w:r w:rsidR="00D413DE">
        <w:t xml:space="preserve">the </w:t>
      </w:r>
      <w:r>
        <w:t xml:space="preserve">Jeha </w:t>
      </w:r>
      <w:r>
        <w:rPr>
          <w:i/>
        </w:rPr>
        <w:t xml:space="preserve">et al. </w:t>
      </w:r>
      <w:r>
        <w:t>(2006)</w:t>
      </w:r>
      <w:r w:rsidR="005D1B6D" w:rsidRPr="005D1B6D">
        <w:t xml:space="preserve"> </w:t>
      </w:r>
      <w:r w:rsidR="00F52992">
        <w:fldChar w:fldCharType="begin">
          <w:fldData xml:space="preserve">PEVuZE5vdGU+PENpdGU+PEF1dGhvcj5KZWhhPC9BdXRob3I+PFllYXI+MjAwNjwvWWVhcj48UmVj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</w:fldData>
        </w:fldChar>
      </w:r>
      <w:r w:rsidR="00F52992">
        <w:instrText xml:space="preserve"> ADDIN EN.CITE </w:instrText>
      </w:r>
      <w:r w:rsidR="00F52992">
        <w:fldChar w:fldCharType="begin">
          <w:fldData xml:space="preserve">PEVuZE5vdGU+PENpdGU+PEF1dGhvcj5KZWhhPC9BdXRob3I+PFllYXI+MjAwNjwvWWVhcj48UmVj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</w:fldData>
        </w:fldChar>
      </w:r>
      <w:r w:rsidR="00F52992">
        <w:instrText xml:space="preserve"> ADDIN EN.CITE.DATA </w:instrText>
      </w:r>
      <w:r w:rsidR="00F52992">
        <w:fldChar w:fldCharType="end"/>
      </w:r>
      <w:r w:rsidR="00F52992">
        <w:fldChar w:fldCharType="separate"/>
      </w:r>
      <w:r w:rsidR="00F52992" w:rsidRPr="00F52992">
        <w:rPr>
          <w:noProof/>
          <w:vertAlign w:val="superscript"/>
        </w:rPr>
        <w:t>18</w:t>
      </w:r>
      <w:r w:rsidR="00F52992">
        <w:fldChar w:fldCharType="end"/>
      </w:r>
      <w:r w:rsidR="00D413DE">
        <w:t xml:space="preserve"> trial</w:t>
      </w:r>
      <w:r w:rsidR="005D1B6D" w:rsidRPr="005D1B6D">
        <w:t xml:space="preserve"> </w:t>
      </w:r>
      <w:r w:rsidR="00D413DE">
        <w:t>was used to estimate OS, which</w:t>
      </w:r>
      <w:r>
        <w:t xml:space="preserve"> evaluated clofarabine monotherapy in a primarily paediatric population with r/r B-cell ALL. </w:t>
      </w:r>
    </w:p>
    <w:p w14:paraId="0FBF06BD" w14:textId="23C0DD20" w:rsidR="0001596A" w:rsidRDefault="0001596A" w:rsidP="0004152F">
      <w:r>
        <w:t xml:space="preserve">To extrapolate the observed OS and EFS data, the company fitted a range of standard parametric models, spline models, and mixture-cure models. The extrapolation selected for </w:t>
      </w:r>
      <w:r w:rsidR="00601364">
        <w:t xml:space="preserve">tisagenlecleucel in </w:t>
      </w:r>
      <w:r>
        <w:t>the company’s base-case analysis was a</w:t>
      </w:r>
      <w:r w:rsidR="00696F93">
        <w:t xml:space="preserve"> </w:t>
      </w:r>
      <w:r>
        <w:t xml:space="preserve">mixture-cure model, wherein mortality rate for the ‘cured’ </w:t>
      </w:r>
      <w:r w:rsidR="00895BF6">
        <w:t>proportion (</w:t>
      </w:r>
      <w:r>
        <w:t>fraction</w:t>
      </w:r>
      <w:r w:rsidR="00895BF6">
        <w:t>)</w:t>
      </w:r>
      <w:r>
        <w:t xml:space="preserve"> of patients is equal to the age and gender-matched general population mortality rate, while the survival of remaining patients is modelled using a single parametric exponential curve</w:t>
      </w:r>
      <w:r w:rsidR="001D0632">
        <w:t xml:space="preserve"> estimated from the trial data</w:t>
      </w:r>
      <w:r>
        <w:t>.</w:t>
      </w:r>
      <w:r w:rsidR="00601364">
        <w:t xml:space="preserve"> A log-normal function was used as the basis of the mixture-cure model applied to blinatumomab, </w:t>
      </w:r>
      <w:r w:rsidR="00696F93">
        <w:t>and</w:t>
      </w:r>
      <w:r w:rsidR="00601364">
        <w:t xml:space="preserve"> a standard</w:t>
      </w:r>
      <w:r w:rsidR="001D0632">
        <w:t xml:space="preserve"> (i.e. non-cure)</w:t>
      </w:r>
      <w:r w:rsidR="00601364">
        <w:t xml:space="preserve"> generalised gamma function was used </w:t>
      </w:r>
      <w:r w:rsidR="00696F93">
        <w:t>for FLA-IDA. These curves predicted survival rates for</w:t>
      </w:r>
      <w:r w:rsidR="00601364">
        <w:t xml:space="preserve"> five years, after which patients faced an age- and gender-matched general population mortality rate, adjusted using a standardised mortality ratio.</w:t>
      </w:r>
    </w:p>
    <w:p w14:paraId="31B7F606" w14:textId="56BD188B" w:rsidR="000F04EF" w:rsidRDefault="00696F93" w:rsidP="000F04EF">
      <w:r>
        <w:t>Modelled r</w:t>
      </w:r>
      <w:r w:rsidR="000F04EF">
        <w:t xml:space="preserve">esource use and costs included: drug acquisition and administration costs, monitoring costs, costs related to health states and adverse events, training costs, and the cost of subsequent treatments (e.g. </w:t>
      </w:r>
      <w:r w:rsidR="006A48FA">
        <w:t>H</w:t>
      </w:r>
      <w:r w:rsidR="000F04EF">
        <w:t>SCT</w:t>
      </w:r>
      <w:r>
        <w:t>). P</w:t>
      </w:r>
      <w:r w:rsidR="000F04EF">
        <w:t>re-</w:t>
      </w:r>
      <w:r>
        <w:t xml:space="preserve"> and post-progression health state costs were estimated using</w:t>
      </w:r>
      <w:r w:rsidR="000F04EF">
        <w:t xml:space="preserve"> </w:t>
      </w:r>
      <w:r w:rsidR="00D84785">
        <w:t>trial data and</w:t>
      </w:r>
      <w:r w:rsidR="008242C0">
        <w:t xml:space="preserve"> 2016-17</w:t>
      </w:r>
      <w:r w:rsidR="00D84785">
        <w:t xml:space="preserve"> NHS reference costs</w:t>
      </w:r>
      <w:r w:rsidR="00D84785" w:rsidRPr="00D84785">
        <w:t xml:space="preserve"> </w:t>
      </w:r>
      <w:r w:rsidR="00F52992">
        <w:fldChar w:fldCharType="begin"/>
      </w:r>
      <w:r w:rsidR="00F52992">
        <w:instrText xml:space="preserve"> ADDIN EN.CITE &lt;EndNote&gt;&lt;Cite&gt;&lt;Author&gt;Improvement&lt;/Author&gt;&lt;Year&gt;2017&lt;/Year&gt;&lt;RecNum&gt;37&lt;/RecNum&gt;&lt;DisplayText&gt;&lt;style face="superscript"&gt;21&lt;/style&gt;&lt;/DisplayText&gt;&lt;record&gt;&lt;rec-number&gt;37&lt;/rec-number&gt;&lt;foreign-keys&gt;&lt;key app="EN" db-id="wawz2ww0tttz2fexxanxex010szppvx9rppt" timestamp="1547737001"&gt;37&lt;/key&gt;&lt;/foreign-keys&gt;&lt;ref-type name="Report"&gt;27&lt;/ref-type&gt;&lt;contributors&gt;&lt;authors&gt;&lt;author&gt;NHS Improvement&lt;/author&gt;&lt;/authors&gt;&lt;/contributors&gt;&lt;titles&gt;&lt;title&gt;National Schedule of Reference Costs 2016-17&lt;/title&gt;&lt;/titles&gt;&lt;dates&gt;&lt;year&gt;2017&lt;/year&gt;&lt;/dates&gt;&lt;pub-location&gt;London&lt;/pub-location&gt;&lt;publisher&gt;NHS England&lt;/publisher&gt;&lt;urls&gt;&lt;related-urls&gt;&lt;url&gt;https://improvement.nhs.uk/resources/reference-costs/&lt;/url&gt;&lt;/related-urls&gt;&lt;/urls&gt;&lt;/record&gt;&lt;/Cite&gt;&lt;/EndNote&gt;</w:instrText>
      </w:r>
      <w:r w:rsidR="00F52992">
        <w:fldChar w:fldCharType="separate"/>
      </w:r>
      <w:r w:rsidR="00F52992" w:rsidRPr="00F52992">
        <w:rPr>
          <w:noProof/>
          <w:vertAlign w:val="superscript"/>
        </w:rPr>
        <w:t>21</w:t>
      </w:r>
      <w:r w:rsidR="00F52992">
        <w:fldChar w:fldCharType="end"/>
      </w:r>
      <w:r w:rsidR="000F04EF">
        <w:t xml:space="preserve">. </w:t>
      </w:r>
      <w:r w:rsidR="009737FC">
        <w:t>While p</w:t>
      </w:r>
      <w:r w:rsidR="000F04EF">
        <w:t xml:space="preserve">atient access scheme (PAS) discounts are </w:t>
      </w:r>
      <w:r w:rsidR="001553DE">
        <w:t>available for tisagenlecleucel</w:t>
      </w:r>
      <w:r w:rsidR="000F04EF">
        <w:t xml:space="preserve">, blinatumomab, and the anti-cytokine therapy tocilizumab used to treat </w:t>
      </w:r>
      <w:r w:rsidR="00FD4E61">
        <w:t>CRS</w:t>
      </w:r>
      <w:r w:rsidR="009737FC">
        <w:t>, the results reported here include only the PAS for tisagenlecleucel</w:t>
      </w:r>
      <w:r w:rsidR="000F04EF">
        <w:t>.</w:t>
      </w:r>
      <w:r w:rsidR="001D0632">
        <w:t xml:space="preserve"> The Committee’s decision was based</w:t>
      </w:r>
      <w:r w:rsidR="009D5823">
        <w:t xml:space="preserve"> upon</w:t>
      </w:r>
      <w:r w:rsidR="001D0632">
        <w:t xml:space="preserve"> ICERs which included all relevant </w:t>
      </w:r>
      <w:r w:rsidR="000F43C6">
        <w:t xml:space="preserve">confidential </w:t>
      </w:r>
      <w:r w:rsidR="001D0632">
        <w:t>PAS discounts.</w:t>
      </w:r>
    </w:p>
    <w:p w14:paraId="10FFACC9" w14:textId="5B06D44E" w:rsidR="000F04EF" w:rsidRDefault="000F04EF" w:rsidP="000F04EF">
      <w:r>
        <w:t xml:space="preserve">The company’s analysis found tisagenlecleucel to be more costly and more effective than blinatumomab. The deterministic base-case ICER was £18,392 per QALY gained, while the mean probabilistic ICER was £20,046 per QALY gained. Tisagenlecleucel was found to be more costly and more effective than FLA-IDA, with a deterministic base-case ICER of £25,404 per QALY gained, and mean probabilistic ICER of £27,066 per QALY. The majority of the QALYs gained were generated through additional life years in the LTS phase of the model, where patients were assumed to be ‘cured’. The most influential parameters in the one-way sensitivity analysis </w:t>
      </w:r>
      <w:r w:rsidR="00D413DE">
        <w:t>was</w:t>
      </w:r>
      <w:r>
        <w:t xml:space="preserve"> the rate of SCT, and </w:t>
      </w:r>
      <w:r w:rsidR="00D413DE">
        <w:t xml:space="preserve">the </w:t>
      </w:r>
      <w:r>
        <w:t>utilities applied in the EFS health state.</w:t>
      </w:r>
    </w:p>
    <w:p w14:paraId="3EFC16CC" w14:textId="110AB0E4" w:rsidR="000F04EF" w:rsidRDefault="000F04EF" w:rsidP="000F04EF">
      <w:pPr>
        <w:pStyle w:val="Heading3"/>
      </w:pPr>
      <w:r>
        <w:t>Critique of the Cost-effectiveness Evidence and Interpretation</w:t>
      </w:r>
    </w:p>
    <w:p w14:paraId="65BEF4FA" w14:textId="16A5A899" w:rsidR="00520CB9" w:rsidRDefault="00520CB9" w:rsidP="0004152F">
      <w:r>
        <w:br/>
      </w:r>
      <w:r w:rsidR="00D3061B">
        <w:t>The ERG identified a number</w:t>
      </w:r>
      <w:r w:rsidR="009F0050">
        <w:t xml:space="preserve"> of</w:t>
      </w:r>
      <w:r w:rsidR="00D3061B">
        <w:t xml:space="preserve"> key issues </w:t>
      </w:r>
      <w:r w:rsidR="00784627">
        <w:t>regarding</w:t>
      </w:r>
      <w:r w:rsidR="009F0050">
        <w:t xml:space="preserve"> the assumptions and data sources adopted by the </w:t>
      </w:r>
      <w:r w:rsidR="00784627">
        <w:t>company in their economic model,</w:t>
      </w:r>
      <w:r w:rsidR="009F0050">
        <w:t xml:space="preserve"> </w:t>
      </w:r>
      <w:r w:rsidR="00784627">
        <w:t>which</w:t>
      </w:r>
      <w:r w:rsidR="009F0050">
        <w:t xml:space="preserve"> may have</w:t>
      </w:r>
      <w:r w:rsidR="00383DCA">
        <w:t xml:space="preserve"> affected</w:t>
      </w:r>
      <w:r w:rsidR="00D3061B">
        <w:t xml:space="preserve"> the </w:t>
      </w:r>
      <w:r w:rsidR="00784627">
        <w:t xml:space="preserve">estimated </w:t>
      </w:r>
      <w:r w:rsidR="00D3061B">
        <w:t xml:space="preserve">cost-effectiveness </w:t>
      </w:r>
      <w:r w:rsidR="00784627">
        <w:t>of</w:t>
      </w:r>
      <w:r w:rsidR="00D3061B">
        <w:t xml:space="preserve"> tisagenlecleucel. </w:t>
      </w:r>
      <w:r w:rsidR="004E2A0C">
        <w:t>As in many oncology models, the</w:t>
      </w:r>
      <w:r>
        <w:t xml:space="preserve"> majority of QALYs gained </w:t>
      </w:r>
      <w:r w:rsidR="004E2A0C">
        <w:t xml:space="preserve">on treatment </w:t>
      </w:r>
      <w:r>
        <w:t xml:space="preserve">were accrued over an extended period of extrapolation. The immaturity of follow-up survival data, and the very small numbers of patients at risk in the tail of the KM curves meant that small changes in </w:t>
      </w:r>
      <w:r>
        <w:lastRenderedPageBreak/>
        <w:t xml:space="preserve">predicted OS had a significant impact upon the projected long-term benefits, resulting in particular instability in the ICERs produced by this model. </w:t>
      </w:r>
    </w:p>
    <w:p w14:paraId="01D5B946" w14:textId="77777777" w:rsidR="000F43C6" w:rsidRDefault="00A513A4" w:rsidP="0004152F">
      <w:r>
        <w:t xml:space="preserve">The ERG </w:t>
      </w:r>
      <w:r w:rsidR="00520CB9">
        <w:t>considered</w:t>
      </w:r>
      <w:r>
        <w:t xml:space="preserve"> the </w:t>
      </w:r>
      <w:r w:rsidR="00520CB9">
        <w:t xml:space="preserve">technology’s </w:t>
      </w:r>
      <w:r>
        <w:t>novel mechanism of action</w:t>
      </w:r>
      <w:r w:rsidR="00520CB9">
        <w:t xml:space="preserve"> to present</w:t>
      </w:r>
      <w:r w:rsidR="003A097C">
        <w:t xml:space="preserve"> a further layer of uncertainty</w:t>
      </w:r>
      <w:r w:rsidR="006422FC">
        <w:t>. Current evidence cannot yet support the extrapolation of survival data based on experience with stem cell transplant, as the persistence of a long-term CAR-T treatment effect is not well characterised.</w:t>
      </w:r>
      <w:r w:rsidR="003A097C">
        <w:t xml:space="preserve"> </w:t>
      </w:r>
      <w:r w:rsidR="006422FC">
        <w:t xml:space="preserve">The pivotal trials did not appear to demonstrate </w:t>
      </w:r>
      <w:r w:rsidR="003A097C">
        <w:t xml:space="preserve">healthy B-cell recovery in </w:t>
      </w:r>
      <w:r w:rsidR="004E2A0C">
        <w:t>many (if any)</w:t>
      </w:r>
      <w:r w:rsidR="003A097C">
        <w:t xml:space="preserve"> trial patients</w:t>
      </w:r>
      <w:r w:rsidR="006422FC">
        <w:t xml:space="preserve">, thus it is currently unclear how survival curves will develop over longer periods of time. </w:t>
      </w:r>
    </w:p>
    <w:p w14:paraId="03347097" w14:textId="6740A3BE" w:rsidR="005E7B36" w:rsidRDefault="006422FC" w:rsidP="0004152F">
      <w:r>
        <w:t xml:space="preserve">The ERG considered the extrapolation of survival data based on experience with stem cell transplant subject to substantial uncertainty. </w:t>
      </w:r>
      <w:r w:rsidR="00520CB9">
        <w:t>T</w:t>
      </w:r>
      <w:r w:rsidR="00A513A4">
        <w:t>he implications of an ~18 month OS</w:t>
      </w:r>
      <w:r w:rsidR="003A097C">
        <w:t xml:space="preserve"> plateau in small numbers of patients who may </w:t>
      </w:r>
      <w:r w:rsidR="004E2A0C">
        <w:t>be continuing</w:t>
      </w:r>
      <w:r w:rsidR="003A097C">
        <w:t xml:space="preserve"> to benefit from active CAR-T cells </w:t>
      </w:r>
      <w:r w:rsidR="004E2A0C">
        <w:t xml:space="preserve">(particularly those who received multiple infusions) </w:t>
      </w:r>
      <w:r w:rsidR="00A513A4">
        <w:t xml:space="preserve">cannot be considered analogous to </w:t>
      </w:r>
      <w:r w:rsidR="003A097C">
        <w:t>a survival plateau</w:t>
      </w:r>
      <w:r w:rsidR="00520CB9">
        <w:t xml:space="preserve"> seen</w:t>
      </w:r>
      <w:r w:rsidR="00A513A4">
        <w:t xml:space="preserve"> following a </w:t>
      </w:r>
      <w:r w:rsidR="003A097C">
        <w:t xml:space="preserve">one-off </w:t>
      </w:r>
      <w:r w:rsidR="00A513A4">
        <w:t xml:space="preserve">stem-cell transplant, which </w:t>
      </w:r>
      <w:r w:rsidR="00520CB9">
        <w:t xml:space="preserve">decades of research have proven to </w:t>
      </w:r>
      <w:r w:rsidR="00A513A4">
        <w:t xml:space="preserve">offer a long-term cure. </w:t>
      </w:r>
      <w:r w:rsidR="00A20226">
        <w:t xml:space="preserve">This uncertainty is illustrated </w:t>
      </w:r>
      <w:r w:rsidR="005E7B36">
        <w:t xml:space="preserve">by the </w:t>
      </w:r>
      <w:r w:rsidR="00945E1E">
        <w:t>wide-ranging</w:t>
      </w:r>
      <w:r w:rsidR="005E7B36">
        <w:t xml:space="preserve"> cure fraction estimates predicted by the alternative mixture cure models</w:t>
      </w:r>
      <w:r w:rsidR="00A20226">
        <w:t>, with 35% separating</w:t>
      </w:r>
      <w:r w:rsidR="005E7B36">
        <w:t xml:space="preserve"> the least and most optimistic predictions of the size of the ‘cured’ population. The company’s base-case analysis used the second most optimistic cure fraction of 44.7%,</w:t>
      </w:r>
      <w:r w:rsidR="00067DC8">
        <w:t xml:space="preserve"> </w:t>
      </w:r>
      <w:r w:rsidR="00A20226">
        <w:t>which the ERG considered clinically unrealistic, given that 40.57% of trial patients achieved long-term event-free survival.</w:t>
      </w:r>
    </w:p>
    <w:p w14:paraId="6B1EB692" w14:textId="257404FD" w:rsidR="00067DC8" w:rsidRDefault="00067DC8" w:rsidP="0004152F">
      <w:r>
        <w:t xml:space="preserve">The ERG also noted </w:t>
      </w:r>
      <w:r w:rsidR="002E642E">
        <w:t>inconsistencies</w:t>
      </w:r>
      <w:r>
        <w:t xml:space="preserve"> in the extrapolation of </w:t>
      </w:r>
      <w:r w:rsidR="002E642E">
        <w:t>comparator</w:t>
      </w:r>
      <w:r>
        <w:t xml:space="preserve"> OS data</w:t>
      </w:r>
      <w:r w:rsidR="002E642E">
        <w:t>.</w:t>
      </w:r>
      <w:r>
        <w:t xml:space="preserve"> The application of a cure model to blinatumomab was questionable given the uncertainty in cure fraction estimates (3.9 – 21.7%). The </w:t>
      </w:r>
      <w:r w:rsidR="002E642E">
        <w:t>model</w:t>
      </w:r>
      <w:r>
        <w:t xml:space="preserve"> selected by the company for this comparator was </w:t>
      </w:r>
      <w:r w:rsidR="002E642E">
        <w:t xml:space="preserve">predicted a </w:t>
      </w:r>
      <w:r>
        <w:t xml:space="preserve">significantly lower </w:t>
      </w:r>
      <w:r w:rsidR="002E642E">
        <w:t xml:space="preserve">cure fraction </w:t>
      </w:r>
      <w:r>
        <w:t xml:space="preserve">(11.4%) than that used in the recent NICE appraisal of blinatumomab in adults (21%); implying a significantly better prognosis in adult patients than in paediatric patients, despite a near identical Kaplan-Meier curve for OS. The ERG considered the fitting of a simple parametric curve to clofarabine monotherapy (salvage chemotherapy) OS data inappropriate, given the use of mixture cure models for the other </w:t>
      </w:r>
      <w:r w:rsidR="005E561D">
        <w:t xml:space="preserve">populations. </w:t>
      </w:r>
      <w:r w:rsidR="00A25979">
        <w:t>C</w:t>
      </w:r>
      <w:r w:rsidR="005E561D">
        <w:t>ure fractions</w:t>
      </w:r>
      <w:r w:rsidR="00A25979">
        <w:t xml:space="preserve"> of 7.2 – 9.4%</w:t>
      </w:r>
      <w:r w:rsidR="005E561D">
        <w:t xml:space="preserve"> generated by models for salvage chemotherapy were </w:t>
      </w:r>
      <w:r w:rsidR="00A25979">
        <w:t>dismissed</w:t>
      </w:r>
      <w:r w:rsidR="005E561D">
        <w:t xml:space="preserve"> by the company </w:t>
      </w:r>
      <w:r w:rsidR="00A25979">
        <w:t>as</w:t>
      </w:r>
      <w:r w:rsidR="005E561D">
        <w:t xml:space="preserve"> clinically implausible</w:t>
      </w:r>
      <w:r w:rsidR="00A25979">
        <w:t>, instead opting for an arbitrary 3% cure rate. T</w:t>
      </w:r>
      <w:r w:rsidR="005E561D">
        <w:t>he ERG highlighted that the estimated cure fractions of 7.2 – 9.4% were consistent with published literature sources and expert advice, which suggested a 10% cure fraction was reasonable</w:t>
      </w:r>
      <w:r w:rsidR="001E2EA9" w:rsidRPr="001E2EA9">
        <w:t xml:space="preserve"> </w:t>
      </w:r>
      <w:r w:rsidR="00F52992">
        <w:fldChar w:fldCharType="begin">
          <w:fldData xml:space="preserve">PEVuZE5vdGU+PENpdGU+PEF1dGhvcj5LdWhsZW48L0F1dGhvcj48WWVhcj4yMDE3PC9ZZWFyPjxS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</w:fldData>
        </w:fldChar>
      </w:r>
      <w:r w:rsidR="00F52992">
        <w:instrText xml:space="preserve"> ADDIN EN.CITE </w:instrText>
      </w:r>
      <w:r w:rsidR="00F52992">
        <w:fldChar w:fldCharType="begin">
          <w:fldData xml:space="preserve">PEVuZE5vdGU+PENpdGU+PEF1dGhvcj5LdWhsZW48L0F1dGhvcj48WWVhcj4yMDE3PC9ZZWFyPjxS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</w:fldData>
        </w:fldChar>
      </w:r>
      <w:r w:rsidR="00F52992">
        <w:instrText xml:space="preserve"> ADDIN EN.CITE.DATA </w:instrText>
      </w:r>
      <w:r w:rsidR="00F52992">
        <w:fldChar w:fldCharType="end"/>
      </w:r>
      <w:r w:rsidR="00F52992">
        <w:fldChar w:fldCharType="separate"/>
      </w:r>
      <w:r w:rsidR="00F52992" w:rsidRPr="00F52992">
        <w:rPr>
          <w:noProof/>
          <w:vertAlign w:val="superscript"/>
        </w:rPr>
        <w:t>22, 23</w:t>
      </w:r>
      <w:r w:rsidR="00F52992">
        <w:fldChar w:fldCharType="end"/>
      </w:r>
      <w:r w:rsidR="005E561D">
        <w:t>.</w:t>
      </w:r>
    </w:p>
    <w:p w14:paraId="2079D05F" w14:textId="49720B0F" w:rsidR="00A513A4" w:rsidRDefault="006D0359" w:rsidP="0004152F">
      <w:r>
        <w:t xml:space="preserve">The ERG did not consider the Jeha </w:t>
      </w:r>
      <w:r>
        <w:rPr>
          <w:i/>
        </w:rPr>
        <w:t>et al</w:t>
      </w:r>
      <w:r>
        <w:t>. (2006) trial to be an appropriate basis for informing efficacy estimates for current salvage chemotherapy strategies</w:t>
      </w:r>
      <w:r w:rsidR="001A0F47">
        <w:t>, due to both the age of the trial and the use of clofarabine, which is not used in UK</w:t>
      </w:r>
      <w:r w:rsidR="00A55B65">
        <w:t xml:space="preserve"> practice</w:t>
      </w:r>
      <w:r w:rsidR="001A0F47">
        <w:t xml:space="preserve"> due to </w:t>
      </w:r>
      <w:r w:rsidR="002A63A7">
        <w:t xml:space="preserve">its </w:t>
      </w:r>
      <w:r w:rsidR="001A0F47">
        <w:t xml:space="preserve">poor </w:t>
      </w:r>
      <w:r w:rsidR="002A63A7">
        <w:t xml:space="preserve">clinical </w:t>
      </w:r>
      <w:r w:rsidR="001A0F47">
        <w:t xml:space="preserve">outcomes </w:t>
      </w:r>
      <w:r w:rsidR="00A55B65">
        <w:t xml:space="preserve">and </w:t>
      </w:r>
      <w:r w:rsidR="001A0F47">
        <w:t>adverse event profile</w:t>
      </w:r>
      <w:r>
        <w:t xml:space="preserve">. </w:t>
      </w:r>
      <w:r w:rsidR="00A55B65">
        <w:t>Furthermore, other</w:t>
      </w:r>
      <w:r>
        <w:t xml:space="preserve"> evidence suggests that the long-term survival benefits of blinatumomab </w:t>
      </w:r>
      <w:r>
        <w:lastRenderedPageBreak/>
        <w:t>relative to salvage chemotherapy are relatively small</w:t>
      </w:r>
      <w:r w:rsidR="002619D5" w:rsidRPr="002619D5">
        <w:t xml:space="preserve"> </w:t>
      </w:r>
      <w:r w:rsidR="00F52992">
        <w:fldChar w:fldCharType="begin"/>
      </w:r>
      <w:r w:rsidR="00F52992">
        <w:instrText xml:space="preserve"> ADDIN EN.CITE &lt;EndNote&gt;&lt;Cite&gt;&lt;Author&gt;Kantarjian&lt;/Author&gt;&lt;Year&gt;2017&lt;/Year&gt;&lt;RecNum&gt;19&lt;/RecNum&gt;&lt;DisplayText&gt;&lt;style face="superscript"&gt;24&lt;/style&gt;&lt;/DisplayText&gt;&lt;record&gt;&lt;rec-number&gt;19&lt;/rec-number&gt;&lt;foreign-keys&gt;&lt;key app="EN" db-id="wawz2ww0tttz2fexxanxex010szppvx9rppt" timestamp="1547735205"&gt;19&lt;/key&gt;&lt;/foreign-keys&gt;&lt;ref-type name="Journal Article"&gt;17&lt;/ref-type&gt;&lt;contributors&gt;&lt;authors&gt;&lt;author&gt;Kantarjian, Hagop&lt;/author&gt;&lt;author&gt;Stein, Anthony&lt;/author&gt;&lt;author&gt;Gökbuget, Nicola&lt;/author&gt;&lt;author&gt;Fielding, Adele K.&lt;/author&gt;&lt;author&gt;Schuh, Andre C.&lt;/author&gt;&lt;author&gt;Ribera, Josep-Maria&lt;/author&gt;&lt;author&gt;Wei, Andrew&lt;/author&gt;&lt;author&gt;Dombret, Hervé&lt;/author&gt;&lt;author&gt;Foà, Robin&lt;/author&gt;&lt;author&gt;Bassan, Renato&lt;/author&gt;&lt;author&gt;Arslan, Önder&lt;/author&gt;&lt;author&gt;Sanz, Miguel A.&lt;/author&gt;&lt;author&gt;Bergeron, Julie&lt;/author&gt;&lt;author&gt;Demirkan, Fatih&lt;/author&gt;&lt;author&gt;Lech-Maranda, Ewa&lt;/author&gt;&lt;author&gt;Rambaldi, Alessandro&lt;/author&gt;&lt;author&gt;Thomas, Xavier&lt;/author&gt;&lt;author&gt;Horst, Heinz-August&lt;/author&gt;&lt;author&gt;Brüggemann, Monika&lt;/author&gt;&lt;author&gt;Klapper, Wolfram&lt;/author&gt;&lt;author&gt;Wood, Brent L.&lt;/author&gt;&lt;author&gt;Fleishman, Alex&lt;/author&gt;&lt;author&gt;Nagorsen, Dirk&lt;/author&gt;&lt;author&gt;Holland, Christopher&lt;/author&gt;&lt;author&gt;Zimmerman, Zachary&lt;/author&gt;&lt;author&gt;Topp, Max S.&lt;/author&gt;&lt;/authors&gt;&lt;/contributors&gt;&lt;titles&gt;&lt;title&gt;Blinatumomab versus Chemotherapy for Advanced Acute Lymphoblastic Leukemia&lt;/title&gt;&lt;secondary-title&gt;New England Journal of Medicine&lt;/secondary-title&gt;&lt;/titles&gt;&lt;periodical&gt;&lt;full-title&gt;New England Journal of Medicine&lt;/full-title&gt;&lt;/periodical&gt;&lt;pages&gt;836-847&lt;/pages&gt;&lt;volume&gt;376&lt;/volume&gt;&lt;number&gt;9&lt;/number&gt;&lt;dates&gt;&lt;year&gt;2017&lt;/year&gt;&lt;/dates&gt;&lt;accession-num&gt;28249141&lt;/accession-num&gt;&lt;urls&gt;&lt;related-urls&gt;&lt;url&gt;http://www.nejm.org/doi/full/10.1056/NEJMoa1609783&lt;/url&gt;&lt;/related-urls&gt;&lt;/urls&gt;&lt;electronic-resource-num&gt;10.1056/NEJMoa1609783&lt;/electronic-resource-num&gt;&lt;/record&gt;&lt;/Cite&gt;&lt;/EndNote&gt;</w:instrText>
      </w:r>
      <w:r w:rsidR="00F52992">
        <w:fldChar w:fldCharType="separate"/>
      </w:r>
      <w:r w:rsidR="00F52992" w:rsidRPr="00F52992">
        <w:rPr>
          <w:noProof/>
          <w:vertAlign w:val="superscript"/>
        </w:rPr>
        <w:t>24</w:t>
      </w:r>
      <w:r w:rsidR="00F52992">
        <w:fldChar w:fldCharType="end"/>
      </w:r>
      <w:r>
        <w:t xml:space="preserve">. The substantial differences in short-term OS also led the ERG to suspect </w:t>
      </w:r>
      <w:r w:rsidR="00A55B65">
        <w:t xml:space="preserve">there may be </w:t>
      </w:r>
      <w:r>
        <w:t>important prognostic differences between patients recruited to the tisagenlecleucel trials and those in studies of clofarabine-based regimens considered by the company.</w:t>
      </w:r>
      <w:r w:rsidR="009B3040">
        <w:t xml:space="preserve"> The ERG identified two recently published </w:t>
      </w:r>
      <w:r w:rsidR="009D5823">
        <w:t xml:space="preserve">studies </w:t>
      </w:r>
      <w:r w:rsidR="009B3040">
        <w:t xml:space="preserve">on patients with r/r ALL: Sun </w:t>
      </w:r>
      <w:r w:rsidR="009B3040" w:rsidRPr="00945E1E">
        <w:rPr>
          <w:i/>
        </w:rPr>
        <w:t>et al</w:t>
      </w:r>
      <w:r w:rsidR="00945E1E">
        <w:rPr>
          <w:i/>
        </w:rPr>
        <w:t>.</w:t>
      </w:r>
      <w:r w:rsidR="00945E1E">
        <w:rPr>
          <w:vertAlign w:val="superscript"/>
        </w:rPr>
        <w:t xml:space="preserve">23 </w:t>
      </w:r>
      <w:r w:rsidR="009B3040">
        <w:t xml:space="preserve">(2018) and Kuhlen </w:t>
      </w:r>
      <w:r w:rsidR="009B3040" w:rsidRPr="00945E1E">
        <w:rPr>
          <w:i/>
        </w:rPr>
        <w:t>et al</w:t>
      </w:r>
      <w:r w:rsidR="00945E1E">
        <w:t>.</w:t>
      </w:r>
      <w:r w:rsidR="00945E1E">
        <w:rPr>
          <w:vertAlign w:val="superscript"/>
        </w:rPr>
        <w:t>22</w:t>
      </w:r>
      <w:r w:rsidR="00945E1E">
        <w:t xml:space="preserve"> (2017), </w:t>
      </w:r>
      <w:r w:rsidR="002619D5">
        <w:t xml:space="preserve">which comprised </w:t>
      </w:r>
      <w:r w:rsidR="009B3040">
        <w:t>a substantially larger sample of patients with more mature survival data. These studies corroborated the figure of 10</w:t>
      </w:r>
      <w:r w:rsidR="002A63A7">
        <w:t xml:space="preserve"> </w:t>
      </w:r>
      <w:r w:rsidR="009B3040">
        <w:t>-</w:t>
      </w:r>
      <w:r w:rsidR="002A63A7">
        <w:t xml:space="preserve"> </w:t>
      </w:r>
      <w:r w:rsidR="009B3040">
        <w:t>12% long-term survival on salvage chemotherapy, however, the ERG noted that cure fraction</w:t>
      </w:r>
      <w:r w:rsidR="002619D5">
        <w:t>s</w:t>
      </w:r>
      <w:r w:rsidR="009B3040">
        <w:t xml:space="preserve"> across </w:t>
      </w:r>
      <w:r w:rsidR="002619D5">
        <w:t>most</w:t>
      </w:r>
      <w:r w:rsidR="009B3040">
        <w:t xml:space="preserve"> studies was a relatively constant (~60%) proportion of those who </w:t>
      </w:r>
      <w:r w:rsidR="002619D5">
        <w:t>went on to receive a</w:t>
      </w:r>
      <w:r w:rsidR="009B3040">
        <w:t xml:space="preserve"> stem-cell transplant. Thus, </w:t>
      </w:r>
      <w:r w:rsidR="002433B5">
        <w:t>a more</w:t>
      </w:r>
      <w:r w:rsidR="009B3040">
        <w:t xml:space="preserve"> appropriate OS curve may be one </w:t>
      </w:r>
      <w:r w:rsidR="002619D5">
        <w:t>adjusted for</w:t>
      </w:r>
      <w:r w:rsidR="009B3040">
        <w:t xml:space="preserve"> NHS figures on SCT use in </w:t>
      </w:r>
      <w:r w:rsidR="002619D5">
        <w:t>patients on salvage chemotherapy or other systemic agents</w:t>
      </w:r>
      <w:r w:rsidR="009B3040">
        <w:t>.</w:t>
      </w:r>
    </w:p>
    <w:p w14:paraId="7287F408" w14:textId="1E9103B5" w:rsidR="00193E23" w:rsidRDefault="00193E23" w:rsidP="00193E23">
      <w:r>
        <w:t>The ERG also highlighted the difficulty in defining current practice in treating ALL patients with 2+ relapses on the NHS</w:t>
      </w:r>
      <w:r w:rsidR="00DD5479">
        <w:t>, a population perhaps comprising only 2</w:t>
      </w:r>
      <w:r w:rsidR="00A55B65">
        <w:t>0</w:t>
      </w:r>
      <w:r w:rsidR="00DD5479">
        <w:t>-30 patients per year</w:t>
      </w:r>
      <w:r w:rsidR="00DD5479" w:rsidRPr="00DD5479">
        <w:t xml:space="preserve"> </w:t>
      </w:r>
      <w:r w:rsidR="00F52992">
        <w:fldChar w:fldCharType="begin"/>
      </w:r>
      <w:r w:rsidR="00F52992">
        <w:instrText xml:space="preserve"> ADDIN EN.CITE &lt;EndNote&gt;&lt;Cite&gt;&lt;Author&gt;Excellence&lt;/Author&gt;&lt;Year&gt;2018&lt;/Year&gt;&lt;RecNum&gt;40&lt;/RecNum&gt;&lt;DisplayText&gt;&lt;style face="superscript"&gt;7&lt;/style&gt;&lt;/DisplayText&gt;&lt;record&gt;&lt;rec-number&gt;40&lt;/rec-number&gt;&lt;foreign-keys&gt;&lt;key app="EN" db-id="wawz2ww0tttz2fexxanxex010szppvx9rppt" timestamp="1548164435"&gt;40&lt;/key&gt;&lt;/foreign-keys&gt;&lt;ref-type name="Journal Article"&gt;17&lt;/ref-type&gt;&lt;contributors&gt;&lt;authors&gt;&lt;author&gt;National Institute for Health and Care Excellence&lt;/author&gt;&lt;/authors&gt;&lt;/contributors&gt;&lt;titles&gt;&lt;title&gt;Cancer Drugs Fund Managed Access Agreement: Tisagenlecleucel for treating relapsed or refractory B-cell acute lymphoblastic leukaemia in people aged up to 25 years [ID1167]&lt;/title&gt;&lt;/titles&gt;&lt;dates&gt;&lt;year&gt;2018&lt;/year&gt;&lt;/dates&gt;&lt;urls&gt;&lt;related-urls&gt;&lt;url&gt;https://www.nice.org.uk/guidance/ta554/documents/final-appraisal-determination-document-2&lt;/url&gt;&lt;/related-urls&gt;&lt;/urls&gt;&lt;/record&gt;&lt;/Cite&gt;&lt;/EndNote&gt;</w:instrText>
      </w:r>
      <w:r w:rsidR="00F52992">
        <w:fldChar w:fldCharType="separate"/>
      </w:r>
      <w:r w:rsidR="00F52992" w:rsidRPr="00F52992">
        <w:rPr>
          <w:noProof/>
          <w:vertAlign w:val="superscript"/>
        </w:rPr>
        <w:t>7</w:t>
      </w:r>
      <w:r w:rsidR="00F52992">
        <w:fldChar w:fldCharType="end"/>
      </w:r>
      <w:r>
        <w:t xml:space="preserve">. NICE guidance is already in place for the ~8.3% of patients aged &gt;18 years, who would typically receive blinatumomab as a first-line salvage therapy. This population would not be eligible for blinatumomab again after a second relapse, and therefore </w:t>
      </w:r>
      <w:r w:rsidR="007A2CB5">
        <w:t xml:space="preserve">its relevance as a direct </w:t>
      </w:r>
      <w:r>
        <w:t>comparator in this appraisal</w:t>
      </w:r>
      <w:r w:rsidR="007A2CB5">
        <w:t xml:space="preserve"> is unclear</w:t>
      </w:r>
      <w:r>
        <w:t xml:space="preserve">. Clinical advice to the ERG and company suggested </w:t>
      </w:r>
      <w:r w:rsidR="00375504">
        <w:t>increasing use of blinatumomab</w:t>
      </w:r>
      <w:r>
        <w:t xml:space="preserve"> earlier in the </w:t>
      </w:r>
      <w:r w:rsidR="007A2CB5">
        <w:t xml:space="preserve">treatment </w:t>
      </w:r>
      <w:r>
        <w:t xml:space="preserve">pathway in paediatric patients, </w:t>
      </w:r>
      <w:r w:rsidR="007A2CB5">
        <w:t xml:space="preserve">which </w:t>
      </w:r>
      <w:r>
        <w:t>may raise the issue of eligibility for tisagenlecleucel after further relapse. Patients who had previously used an anti-CD19 therapy such as blinatumomab were excluded from all three tisagenlecleucel trials, due to the hypothetical impact upon treatment efficacy and the chance of CD19-negative relapse, which was observed in 22% of tested relapses in the paediatric blinatumomab trial</w:t>
      </w:r>
      <w:r w:rsidR="002433B5" w:rsidRPr="002433B5">
        <w:t xml:space="preserve"> </w:t>
      </w:r>
      <w:r w:rsidR="00F52992">
        <w:fldChar w:fldCharType="begin">
          <w:fldData xml:space="preserve">PEVuZE5vdGU+PENpdGU+PEF1dGhvcj52b24gU3RhY2tlbGJlcmc8L0F1dGhvcj48WWVhcj4yMDE2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</w:fldData>
        </w:fldChar>
      </w:r>
      <w:r w:rsidR="00F52992">
        <w:instrText xml:space="preserve"> ADDIN EN.CITE </w:instrText>
      </w:r>
      <w:r w:rsidR="00F52992">
        <w:fldChar w:fldCharType="begin">
          <w:fldData xml:space="preserve">PEVuZE5vdGU+PENpdGU+PEF1dGhvcj52b24gU3RhY2tlbGJlcmc8L0F1dGhvcj48WWVhcj4yMDE2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</w:fldData>
        </w:fldChar>
      </w:r>
      <w:r w:rsidR="00F52992">
        <w:instrText xml:space="preserve"> ADDIN EN.CITE.DATA </w:instrText>
      </w:r>
      <w:r w:rsidR="00F52992">
        <w:fldChar w:fldCharType="end"/>
      </w:r>
      <w:r w:rsidR="00F52992">
        <w:fldChar w:fldCharType="separate"/>
      </w:r>
      <w:r w:rsidR="00F52992" w:rsidRPr="00F52992">
        <w:rPr>
          <w:noProof/>
          <w:vertAlign w:val="superscript"/>
        </w:rPr>
        <w:t>17</w:t>
      </w:r>
      <w:r w:rsidR="00F52992">
        <w:fldChar w:fldCharType="end"/>
      </w:r>
      <w:r>
        <w:t xml:space="preserve">. This casts some uncertainty upon the relevance of the clinical trial data, as the efficacy of tisagenlecleucel has not been demonstrated in patients previously treated with an anti-CD19 therapy. </w:t>
      </w:r>
      <w:r w:rsidR="002433B5">
        <w:t>T</w:t>
      </w:r>
      <w:r>
        <w:t>he Committee also considered the now-approved inotuzumab ozogamicin to further change standard practice at this stage in the treatment pathway.</w:t>
      </w:r>
    </w:p>
    <w:p w14:paraId="3C47F5D8" w14:textId="12416458" w:rsidR="00E63549" w:rsidRDefault="0052195B" w:rsidP="0052195B">
      <w:r>
        <w:t xml:space="preserve">The ERG also considered the health state utility values included in the company’s base-case to be a potential source of uncertainty. </w:t>
      </w:r>
      <w:r w:rsidR="00B223B6">
        <w:t>While the company explained</w:t>
      </w:r>
      <w:r>
        <w:t xml:space="preserve"> </w:t>
      </w:r>
      <w:r w:rsidR="00B223B6">
        <w:t xml:space="preserve">that </w:t>
      </w:r>
      <w:r>
        <w:t xml:space="preserve">the utility value applied for LTS </w:t>
      </w:r>
      <w:r>
        <w:t xml:space="preserve">from Kelly </w:t>
      </w:r>
      <w:r>
        <w:rPr>
          <w:i/>
        </w:rPr>
        <w:t xml:space="preserve">et al. </w:t>
      </w:r>
      <w:r>
        <w:t>is based on patients in EFS,</w:t>
      </w:r>
      <w:r>
        <w:t xml:space="preserve"> these values were in fact derived from long-term </w:t>
      </w:r>
      <w:r>
        <w:t>(</w:t>
      </w:r>
      <w:r>
        <w:rPr>
          <w:rFonts w:cs="Times New Roman"/>
        </w:rPr>
        <w:t>≥</w:t>
      </w:r>
      <w:r>
        <w:t>5 years) survivors. It is uncertain whether the utility of cured patients is equiva</w:t>
      </w:r>
      <w:r w:rsidR="00294D8B">
        <w:t>lent to those in short-term EFS;</w:t>
      </w:r>
      <w:r>
        <w:t xml:space="preserve"> </w:t>
      </w:r>
      <w:r w:rsidR="00294D8B">
        <w:t>a</w:t>
      </w:r>
      <w:r>
        <w:t>s the 0.91 value was cond</w:t>
      </w:r>
      <w:r w:rsidR="00B223B6">
        <w:t>itional on &gt;5 years of survival</w:t>
      </w:r>
      <w:r>
        <w:t xml:space="preserve"> this </w:t>
      </w:r>
      <w:r w:rsidRPr="00D40D1C">
        <w:t>study is likely t</w:t>
      </w:r>
      <w:r w:rsidRPr="00DA03B2">
        <w:t xml:space="preserve">o have excluded the majority of those </w:t>
      </w:r>
      <w:r w:rsidR="00B223B6">
        <w:t xml:space="preserve">patients </w:t>
      </w:r>
      <w:r w:rsidRPr="00DA03B2">
        <w:t>who initially achieved remission but later relapsed.</w:t>
      </w:r>
    </w:p>
    <w:p w14:paraId="097A3F6F" w14:textId="05B5314B" w:rsidR="009B3040" w:rsidRPr="006D0359" w:rsidRDefault="009B3040" w:rsidP="00193E23">
      <w:r>
        <w:t>Given the complexity of the intervention and patient care needs, the lack of a clear service specification for the production, provision, and administration of tisagenlecleucel on the NHS, there were clear remaining uncertainties regarding the quantification of additional required resource and investment for implementing this intervention on the NHS. The ERG highlighted uncertainty surrounding additional paediatric ICU capacity</w:t>
      </w:r>
      <w:r w:rsidR="002A63A7">
        <w:t>,</w:t>
      </w:r>
      <w:r>
        <w:t xml:space="preserve"> which may need to be made available to ensure that </w:t>
      </w:r>
      <w:r>
        <w:lastRenderedPageBreak/>
        <w:t xml:space="preserve">patients receiving tisagenlecleucel can be guaranteed access to appropriate services if and when required, without adversely affecting the provision of care to other patients. </w:t>
      </w:r>
      <w:r w:rsidR="00A55B65">
        <w:t xml:space="preserve">Uncertainty around </w:t>
      </w:r>
      <w:r>
        <w:t>the duration of B-cell aplasia, which may require ongoing treatment with expensive intravenous immunoglobulin</w:t>
      </w:r>
      <w:r w:rsidR="00093247">
        <w:t xml:space="preserve"> (IVIG)</w:t>
      </w:r>
      <w:r>
        <w:t xml:space="preserve">, was also an area of concern. </w:t>
      </w:r>
    </w:p>
    <w:p w14:paraId="78D81823" w14:textId="58D9DC57" w:rsidR="00F300D8" w:rsidRDefault="005A34C9" w:rsidP="005A34C9">
      <w:pPr>
        <w:pStyle w:val="Heading2"/>
      </w:pPr>
      <w:r>
        <w:t>Additional work undertaken by the ERG</w:t>
      </w:r>
    </w:p>
    <w:p w14:paraId="2BE8A2D7" w14:textId="452C5C48" w:rsidR="0092132E" w:rsidRDefault="00A114A3" w:rsidP="00A114A3">
      <w:r>
        <w:t>The ERG undertook a number of exploratory analyses</w:t>
      </w:r>
      <w:r w:rsidR="00947469">
        <w:t xml:space="preserve"> and corrected</w:t>
      </w:r>
      <w:r>
        <w:t xml:space="preserve"> the </w:t>
      </w:r>
      <w:r w:rsidR="00947469">
        <w:t>application</w:t>
      </w:r>
      <w:r>
        <w:t xml:space="preserve"> of mortality </w:t>
      </w:r>
      <w:r w:rsidR="00947469">
        <w:t xml:space="preserve">rates </w:t>
      </w:r>
      <w:r>
        <w:t xml:space="preserve">in the model. These analyses related to the key uncertainties </w:t>
      </w:r>
      <w:r w:rsidR="00947469">
        <w:t xml:space="preserve">previously </w:t>
      </w:r>
      <w:r>
        <w:t xml:space="preserve">outlined, </w:t>
      </w:r>
      <w:r w:rsidR="00093247">
        <w:t xml:space="preserve">and were concerned with the </w:t>
      </w:r>
      <w:r w:rsidR="00945E1E">
        <w:t>use</w:t>
      </w:r>
      <w:r w:rsidR="00093247">
        <w:t xml:space="preserve"> of </w:t>
      </w:r>
      <w:r w:rsidR="00945E1E">
        <w:t>alternative OS extrapolations and data sources</w:t>
      </w:r>
      <w:r w:rsidR="00093247">
        <w:t>. The ERG also explored the impact of different levels of prevalence and duration of IVIG use due to ongoing B-cell aplasia and hypo/agammaglobulinaemi</w:t>
      </w:r>
      <w:r w:rsidR="00945E1E">
        <w:t>a</w:t>
      </w:r>
      <w:r w:rsidR="00F90964">
        <w:t xml:space="preserve">. </w:t>
      </w:r>
      <w:r w:rsidR="0016298C">
        <w:t xml:space="preserve">Costs/QALYs for patients who were not successfully infused with tisagenlecleucel were modelled using trial-derived OS data for this group. </w:t>
      </w:r>
      <w:r w:rsidR="008A07C4">
        <w:t xml:space="preserve">Further scenarios demonstrated the impact of stem-cell prevalence and disutilities on cost-effectiveness, blinatumomab treatment duration, and usage of ICU beds for patients with cytokine release syndrome. </w:t>
      </w:r>
    </w:p>
    <w:p w14:paraId="38E6E33A" w14:textId="5DED80B6" w:rsidR="00A114A3" w:rsidRDefault="008A07C4" w:rsidP="00A114A3">
      <w:r>
        <w:t xml:space="preserve">Following the ERG’s correction to mortality rate calculations, the ICER for tisagenlecleucel increased to £28,806 per QALY gained versus salvage chemotherapy, and £20,864 versus blinatumomab. The exploratory analyses described above produced </w:t>
      </w:r>
      <w:r w:rsidR="005F5BA8">
        <w:t xml:space="preserve">deterministic </w:t>
      </w:r>
      <w:r>
        <w:t>ICERs ranging between</w:t>
      </w:r>
      <w:r w:rsidR="006C26A7">
        <w:t xml:space="preserve"> £26,429 and £41,479 per QALY gained versus salvage chemotherapy, and £17,725 and £29,517 per QALY gained versus blinatumomab. Most scenario analyses resulted in a reduction in the ICER for tisagenlecleucel versus blinatumomab, and substantial increase</w:t>
      </w:r>
      <w:r w:rsidR="004A1B47">
        <w:t>s</w:t>
      </w:r>
      <w:r w:rsidR="006C26A7">
        <w:t xml:space="preserve"> versus salvage chemotherapy.</w:t>
      </w:r>
    </w:p>
    <w:p w14:paraId="7F74024E" w14:textId="2BF68DD0" w:rsidR="004963C4" w:rsidRDefault="004963C4" w:rsidP="00A114A3">
      <w:r>
        <w:t xml:space="preserve">The ERG’s </w:t>
      </w:r>
      <w:r w:rsidR="005F5BA8">
        <w:t xml:space="preserve">alternative base-case analysis incorporated </w:t>
      </w:r>
      <w:r w:rsidR="00F90964">
        <w:t>several</w:t>
      </w:r>
      <w:r w:rsidR="00947469">
        <w:t xml:space="preserve"> </w:t>
      </w:r>
      <w:r w:rsidR="005F5BA8">
        <w:t>changes to the company’s model</w:t>
      </w:r>
      <w:r w:rsidR="00F90964">
        <w:t xml:space="preserve">, including the aforementioned </w:t>
      </w:r>
      <w:r w:rsidR="005F5BA8">
        <w:t>mortality calculation correction</w:t>
      </w:r>
      <w:r w:rsidR="008B11D1">
        <w:t>:</w:t>
      </w:r>
      <w:r w:rsidR="00F90964">
        <w:t xml:space="preserve"> the use of Kuhlen </w:t>
      </w:r>
      <w:r w:rsidR="00F90964">
        <w:rPr>
          <w:i/>
        </w:rPr>
        <w:t xml:space="preserve">et </w:t>
      </w:r>
      <w:r w:rsidR="00F90964" w:rsidRPr="00F90964">
        <w:rPr>
          <w:i/>
        </w:rPr>
        <w:t>al</w:t>
      </w:r>
      <w:r w:rsidR="00F90964">
        <w:rPr>
          <w:i/>
        </w:rPr>
        <w:t>.</w:t>
      </w:r>
      <w:r w:rsidR="00945E1E">
        <w:rPr>
          <w:i/>
          <w:vertAlign w:val="superscript"/>
        </w:rPr>
        <w:t>22</w:t>
      </w:r>
      <w:r w:rsidR="00F90964">
        <w:rPr>
          <w:i/>
        </w:rPr>
        <w:t xml:space="preserve"> </w:t>
      </w:r>
      <w:r w:rsidR="00F90964">
        <w:t xml:space="preserve">(adjusted) as the data source for salvage chemotherapy OS and EFS, the </w:t>
      </w:r>
      <w:r w:rsidR="005F5BA8">
        <w:t>ERG’s preferred OS extrapolations for tisagenlecleucel and blinatumomab; application of ELIANA utility values for tisagenlecleucel patients in</w:t>
      </w:r>
      <w:r w:rsidR="00F90964">
        <w:t xml:space="preserve"> EFS and PD for up to two years and</w:t>
      </w:r>
      <w:r w:rsidR="005F5BA8">
        <w:t xml:space="preserve"> Kelly </w:t>
      </w:r>
      <w:r w:rsidR="005F5BA8">
        <w:rPr>
          <w:i/>
        </w:rPr>
        <w:t>et al</w:t>
      </w:r>
      <w:r w:rsidR="005F5BA8">
        <w:t>.</w:t>
      </w:r>
      <w:r w:rsidR="005C2D42">
        <w:rPr>
          <w:vertAlign w:val="superscript"/>
        </w:rPr>
        <w:t>25</w:t>
      </w:r>
      <w:r w:rsidR="005F5BA8">
        <w:t xml:space="preserve"> </w:t>
      </w:r>
      <w:r w:rsidR="00F90964">
        <w:t>values for LTS</w:t>
      </w:r>
      <w:r w:rsidR="005F5BA8">
        <w:t>; application of a smaller disutility for patients following SCT; separate modelling of costs and QALYs for patients who did not go on to receive infusion with tisagenlecleucel using ELIANA and ENSIGN OS data; IVIG only used in those patients with hypo/agammaglobulinaemia, patients only receive two cycles of blinatumomab, and incorporates the cost of holding I</w:t>
      </w:r>
      <w:r w:rsidR="0092132E">
        <w:t>CU beds during CRS risk period.</w:t>
      </w:r>
    </w:p>
    <w:p w14:paraId="606FE439" w14:textId="74B0E7BB" w:rsidR="00574317" w:rsidRDefault="005F5BA8" w:rsidP="00A114A3">
      <w:r>
        <w:t>The ERG considered this analysis to represent a more plausible estimate of the cost-effectiveness of tisagenlecleucel, and to better reflect the uncertainties around the data and assumptions in the company’s base-case.</w:t>
      </w:r>
      <w:r w:rsidR="00574317">
        <w:t xml:space="preserve"> </w:t>
      </w:r>
      <w:r w:rsidR="0016298C">
        <w:t>Based on the tisagenlecleucel PAS price, t</w:t>
      </w:r>
      <w:r w:rsidR="00574317">
        <w:t>he deterministic ICERs for the ERG’s alternative base-case analysis were £45,397 per QALY gained versus salvage chemotherapy, and £27,732 versus blinatumomab. The probabilistic model produced ICERs of £48,265 per QALY gained versus salvage chemotherapy, and £29,501 versus blinatumomab.</w:t>
      </w:r>
    </w:p>
    <w:p w14:paraId="6C70F649" w14:textId="5CD38523" w:rsidR="005F5BA8" w:rsidRDefault="005F5BA8" w:rsidP="00A114A3">
      <w:r>
        <w:lastRenderedPageBreak/>
        <w:t xml:space="preserve"> The ERG also explored scenarios on the alternative base-case, which assessed the impact of differential rates of S</w:t>
      </w:r>
      <w:r w:rsidR="00574317">
        <w:t>CT and B-cell aplasia duration, these ICERs ranged between £41,274 and £74,322 per QALY gained versus salvage chemotherapy, and £23,900 and £46,133 versus blinatumomab.</w:t>
      </w:r>
    </w:p>
    <w:p w14:paraId="54E7EEFA" w14:textId="392C764C" w:rsidR="0004152F" w:rsidRDefault="0004152F" w:rsidP="0004152F">
      <w:pPr>
        <w:pStyle w:val="Heading1"/>
      </w:pPr>
      <w:r>
        <w:t>NICE Appraisal Committee</w:t>
      </w:r>
    </w:p>
    <w:p w14:paraId="3C8B32F6" w14:textId="2F6382F6" w:rsidR="009D1E3D" w:rsidRDefault="000308B0" w:rsidP="0004152F">
      <w:r>
        <w:t xml:space="preserve">The NICE Appraisal Committee’s initial decision was that </w:t>
      </w:r>
      <w:r w:rsidR="009D5823">
        <w:t>t</w:t>
      </w:r>
      <w:r>
        <w:t xml:space="preserve">isagenlecleucel should not be recommended for routine on the NHS for treating relapsed/refractory B-cell ALL in people aged up to 25 years. The Committee’s discussion focused on a number of key areas which led them to this first conclusion. </w:t>
      </w:r>
      <w:r w:rsidR="005E40D2">
        <w:t>Firstly, the C</w:t>
      </w:r>
      <w:r w:rsidR="009D1E3D">
        <w:t xml:space="preserve">ommittee were concerned about the lack of clinical evidence on the efficacy of tisagenlecleucel following treatment with blinatumomab, as patients with experience of anti-CD19 therapies were excluded from the pivotal trials due to the possibility of CD19 negative relapse. The committee also did not consider the evidence to sufficiently support the curative nature of tisagenlecleucel, as there is little trial evidence beyond 30 months of follow-up. </w:t>
      </w:r>
    </w:p>
    <w:p w14:paraId="747993EF" w14:textId="17A3D184" w:rsidR="009D1E3D" w:rsidRDefault="0068504F" w:rsidP="0004152F">
      <w:r>
        <w:t xml:space="preserve">The high rates of </w:t>
      </w:r>
      <w:r w:rsidR="00FD4E61">
        <w:t>CRS</w:t>
      </w:r>
      <w:r>
        <w:t xml:space="preserve"> and the additional requirements for management were also highlighted as an area for concern. NHS England’s clinical lead for the CDF explained that there would be a great need for extra training to adequately manage the diverse presentations of CRS, given limited existing clinical experience within the NHS. </w:t>
      </w:r>
    </w:p>
    <w:p w14:paraId="79C3117B" w14:textId="60731ACA" w:rsidR="0004152F" w:rsidRDefault="000308B0" w:rsidP="0004152F">
      <w:r>
        <w:t xml:space="preserve">The committee considered the ERG’s preferred base-case to be most closely aligned with their preferred assumptions, i.e. </w:t>
      </w:r>
      <w:r w:rsidR="0079668A">
        <w:t>producing ICERs over</w:t>
      </w:r>
      <w:r>
        <w:t xml:space="preserve"> £30,000 per QALY gained but less than £50,000. </w:t>
      </w:r>
      <w:r w:rsidR="00375504">
        <w:t>Accordingly,</w:t>
      </w:r>
      <w:r>
        <w:t xml:space="preserve"> </w:t>
      </w:r>
      <w:r w:rsidR="00375504">
        <w:t>the primary</w:t>
      </w:r>
      <w:r>
        <w:t xml:space="preserve"> consideration was whether the technology met both criteria to be considered a life-extending treatment at the end of life</w:t>
      </w:r>
      <w:r w:rsidR="00375504">
        <w:t xml:space="preserve"> </w:t>
      </w:r>
      <w:r w:rsidR="00B83E79">
        <w:t xml:space="preserve">(EoL) </w:t>
      </w:r>
      <w:r w:rsidR="00375504">
        <w:t>to be eligible for the £50,000 threshold</w:t>
      </w:r>
      <w:r>
        <w:t xml:space="preserve">. </w:t>
      </w:r>
      <w:r w:rsidR="00F9331F">
        <w:t>Though</w:t>
      </w:r>
      <w:r>
        <w:t xml:space="preserve"> tisagenlecleucel achieved the necessary extension to life</w:t>
      </w:r>
      <w:r w:rsidR="0079668A">
        <w:t xml:space="preserve"> (i.e. 3 months)</w:t>
      </w:r>
      <w:r>
        <w:t>, the r</w:t>
      </w:r>
      <w:r w:rsidR="00375504">
        <w:t>esolution of the second criterion</w:t>
      </w:r>
      <w:r>
        <w:t xml:space="preserve"> proved problematic. While the median OS for this patient population was 7.5 months in the von Stackelberg </w:t>
      </w:r>
      <w:r>
        <w:rPr>
          <w:i/>
        </w:rPr>
        <w:t>et al</w:t>
      </w:r>
      <w:r>
        <w:t>.</w:t>
      </w:r>
      <w:r w:rsidR="00574317" w:rsidRPr="00574317">
        <w:t xml:space="preserve"> </w:t>
      </w:r>
      <w:r w:rsidR="00F52992">
        <w:fldChar w:fldCharType="begin">
          <w:fldData xml:space="preserve">PEVuZE5vdGU+PENpdGU+PEF1dGhvcj52b24gU3RhY2tlbGJlcmc8L0F1dGhvcj48WWVhcj4yMDE2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</w:fldData>
        </w:fldChar>
      </w:r>
      <w:r w:rsidR="00F52992">
        <w:instrText xml:space="preserve"> ADDIN EN.CITE </w:instrText>
      </w:r>
      <w:r w:rsidR="00F52992">
        <w:fldChar w:fldCharType="begin">
          <w:fldData xml:space="preserve">PEVuZE5vdGU+PENpdGU+PEF1dGhvcj52b24gU3RhY2tlbGJlcmc8L0F1dGhvcj48WWVhcj4yMDE2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</w:fldData>
        </w:fldChar>
      </w:r>
      <w:r w:rsidR="00F52992">
        <w:instrText xml:space="preserve"> ADDIN EN.CITE.DATA </w:instrText>
      </w:r>
      <w:r w:rsidR="00F52992">
        <w:fldChar w:fldCharType="end"/>
      </w:r>
      <w:r w:rsidR="00F52992">
        <w:fldChar w:fldCharType="separate"/>
      </w:r>
      <w:r w:rsidR="00F52992" w:rsidRPr="00F52992">
        <w:rPr>
          <w:noProof/>
          <w:vertAlign w:val="superscript"/>
        </w:rPr>
        <w:t>17</w:t>
      </w:r>
      <w:r w:rsidR="00F52992">
        <w:fldChar w:fldCharType="end"/>
      </w:r>
      <w:r>
        <w:t xml:space="preserve"> study, and 13 weeks in Jeha </w:t>
      </w:r>
      <w:r>
        <w:rPr>
          <w:i/>
        </w:rPr>
        <w:t>et al</w:t>
      </w:r>
      <w:r w:rsidR="00574317">
        <w:t>.</w:t>
      </w:r>
      <w:r w:rsidR="00F52992">
        <w:fldChar w:fldCharType="begin">
          <w:fldData xml:space="preserve">PEVuZE5vdGU+PENpdGU+PEF1dGhvcj5KZWhhPC9BdXRob3I+PFllYXI+MjAwNjwvWWVhcj48UmVj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</w:fldData>
        </w:fldChar>
      </w:r>
      <w:r w:rsidR="00F52992">
        <w:instrText xml:space="preserve"> ADDIN EN.CITE </w:instrText>
      </w:r>
      <w:r w:rsidR="00F52992">
        <w:fldChar w:fldCharType="begin">
          <w:fldData xml:space="preserve">PEVuZE5vdGU+PENpdGU+PEF1dGhvcj5KZWhhPC9BdXRob3I+PFllYXI+MjAwNjwvWWVhcj48UmVj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</w:fldData>
        </w:fldChar>
      </w:r>
      <w:r w:rsidR="00F52992">
        <w:instrText xml:space="preserve"> ADDIN EN.CITE.DATA </w:instrText>
      </w:r>
      <w:r w:rsidR="00F52992">
        <w:fldChar w:fldCharType="end"/>
      </w:r>
      <w:r w:rsidR="00F52992">
        <w:fldChar w:fldCharType="separate"/>
      </w:r>
      <w:r w:rsidR="00F52992" w:rsidRPr="00F52992">
        <w:rPr>
          <w:noProof/>
          <w:vertAlign w:val="superscript"/>
        </w:rPr>
        <w:t>18</w:t>
      </w:r>
      <w:r w:rsidR="00F52992">
        <w:fldChar w:fldCharType="end"/>
      </w:r>
      <w:r>
        <w:t xml:space="preserve">, it was noted that mean survival in both the company and ERG’s base-case results were significantly longer than the 24 months stipulated in NICE’s </w:t>
      </w:r>
      <w:r w:rsidR="00B83E79">
        <w:t>EoL</w:t>
      </w:r>
      <w:r w:rsidR="00D23297">
        <w:t xml:space="preserve"> </w:t>
      </w:r>
      <w:r>
        <w:t>criteria.</w:t>
      </w:r>
      <w:r w:rsidR="009D1E3D">
        <w:t xml:space="preserve"> The Committee discussed at length the use of mean </w:t>
      </w:r>
      <w:r w:rsidR="00F9331F">
        <w:t>over the</w:t>
      </w:r>
      <w:r w:rsidR="009D1E3D">
        <w:t xml:space="preserve"> median</w:t>
      </w:r>
      <w:r w:rsidR="00F9331F">
        <w:t xml:space="preserve"> OS</w:t>
      </w:r>
      <w:r w:rsidR="009D1E3D">
        <w:t xml:space="preserve">, which has typically been preferred in previous appraisals. It was argued that the mean did not represent the typical life expectancy of a patient, as </w:t>
      </w:r>
      <w:r w:rsidR="00F9331F">
        <w:t>this value</w:t>
      </w:r>
      <w:r w:rsidR="009D1E3D">
        <w:t xml:space="preserve"> was driven by </w:t>
      </w:r>
      <w:r w:rsidR="00F9331F">
        <w:t>a</w:t>
      </w:r>
      <w:r w:rsidR="009D1E3D">
        <w:t xml:space="preserve"> small pr</w:t>
      </w:r>
      <w:r w:rsidR="00F9331F">
        <w:t>oportion of long-term survivors</w:t>
      </w:r>
      <w:r w:rsidR="009D1E3D">
        <w:t xml:space="preserve"> who skew </w:t>
      </w:r>
      <w:r w:rsidR="005E40D2">
        <w:t xml:space="preserve">mean </w:t>
      </w:r>
      <w:r w:rsidR="009D1E3D">
        <w:t xml:space="preserve">life expectancy due to their young age and the curative potential of </w:t>
      </w:r>
      <w:r w:rsidR="00DE7CFA">
        <w:t>SCT</w:t>
      </w:r>
      <w:r w:rsidR="009D1E3D">
        <w:t xml:space="preserve">. While this may appear inequitable, as </w:t>
      </w:r>
      <w:r w:rsidR="009351A1">
        <w:t xml:space="preserve">the £50,000 threshold would apply for older patients with </w:t>
      </w:r>
      <w:r w:rsidR="009D1E3D">
        <w:t xml:space="preserve">similar diseases using mean OS, it was noted that as many more QALYs can be generated by a curative option in young patients, the total cost the NHS is willing to bear is </w:t>
      </w:r>
      <w:r w:rsidR="009351A1">
        <w:t xml:space="preserve">already </w:t>
      </w:r>
      <w:r w:rsidR="009D1E3D">
        <w:t xml:space="preserve">much higher. The Committee did not consider tisagenlecleucel to meet both of the end-of-life criteria, </w:t>
      </w:r>
      <w:r w:rsidR="00685208">
        <w:t>noting</w:t>
      </w:r>
      <w:r w:rsidR="009D1E3D">
        <w:t xml:space="preserve"> the </w:t>
      </w:r>
      <w:r w:rsidR="009D1E3D">
        <w:lastRenderedPageBreak/>
        <w:t>significant uncertainty associated with the presented survival extrapolations</w:t>
      </w:r>
      <w:r w:rsidR="009351A1">
        <w:t>,</w:t>
      </w:r>
      <w:r w:rsidR="009D1E3D">
        <w:t xml:space="preserve"> and what constitutes the current standard of care.</w:t>
      </w:r>
    </w:p>
    <w:p w14:paraId="45956ECE" w14:textId="0603A0E8" w:rsidR="0068504F" w:rsidRPr="0068504F" w:rsidRDefault="005E2756" w:rsidP="0004152F">
      <w:pPr>
        <w:rPr>
          <w:b/>
          <w:i/>
        </w:rPr>
      </w:pPr>
      <w:r>
        <w:rPr>
          <w:b/>
          <w:i/>
        </w:rPr>
        <w:t>Cancer Drugs Fund Considerations</w:t>
      </w:r>
    </w:p>
    <w:p w14:paraId="5B2B4BF1" w14:textId="349F9B52" w:rsidR="0068504F" w:rsidRDefault="005E40D2" w:rsidP="0004152F">
      <w:r>
        <w:t>Once the Committee</w:t>
      </w:r>
      <w:r w:rsidR="0068504F">
        <w:t xml:space="preserve"> </w:t>
      </w:r>
      <w:r>
        <w:t>had concluded</w:t>
      </w:r>
      <w:r w:rsidR="0068504F">
        <w:t xml:space="preserve"> that the evidence base was not adequate to support a recommendation for routine use, they discussed </w:t>
      </w:r>
      <w:r w:rsidR="00145F20">
        <w:t xml:space="preserve">whether uncertainties around the cost- and clinical-effectiveness could be resolved through </w:t>
      </w:r>
      <w:r w:rsidR="005E2756">
        <w:t>further data collection in the CDF</w:t>
      </w:r>
      <w:r w:rsidR="00145F20">
        <w:t>.</w:t>
      </w:r>
      <w:r w:rsidR="0068504F">
        <w:t xml:space="preserve"> </w:t>
      </w:r>
      <w:r w:rsidR="00145F20">
        <w:t>In recognition of the innovative nature of tisagenlecleucel, and the present immaturity of ongoing clinical trials, the committee considered further evidence would be valuable in resolving uncertainties around OS and the technology’s novel mechanism of action. They also considered data collection to offer the opportunity to better understand the costs of subsequent allo-SCT and B-cell aplasia management, and the infrastructural costs of implementation in the NHS. The Committee considered tisagenlecleucel to meet the criteria for use in the CDF for patients who would otherwise receive blinatumomab, and that due to the increasing uptake of blinatumomab and inotuzumab ozogamicin, a judgement against salvage chemotherapy was unnecessary. The Committee therefore recommended tisagenlecleucel for use in the CDF, where it will remain until the conclusion of the ELIANA study (June 2023), at which point NICE’s guidance will be reviewed. The conditions of continued commissioning and patient eligibility criteria can be found in the Managed Access Agreement</w:t>
      </w:r>
      <w:r w:rsidR="005E2756" w:rsidRPr="005E2756">
        <w:t xml:space="preserve"> </w:t>
      </w:r>
      <w:r w:rsidR="00F52992">
        <w:fldChar w:fldCharType="begin"/>
      </w:r>
      <w:r w:rsidR="00F52992">
        <w:instrText xml:space="preserve"> ADDIN EN.CITE &lt;EndNote&gt;&lt;Cite&gt;&lt;Author&gt;Excellence&lt;/Author&gt;&lt;Year&gt;2018&lt;/Year&gt;&lt;RecNum&gt;40&lt;/RecNum&gt;&lt;DisplayText&gt;&lt;style face="superscript"&gt;7&lt;/style&gt;&lt;/DisplayText&gt;&lt;record&gt;&lt;rec-number&gt;40&lt;/rec-number&gt;&lt;foreign-keys&gt;&lt;key app="EN" db-id="wawz2ww0tttz2fexxanxex010szppvx9rppt" timestamp="1548164435"&gt;40&lt;/key&gt;&lt;/foreign-keys&gt;&lt;ref-type name="Journal Article"&gt;17&lt;/ref-type&gt;&lt;contributors&gt;&lt;authors&gt;&lt;author&gt;National Institute for Health and Care Excellence&lt;/author&gt;&lt;/authors&gt;&lt;/contributors&gt;&lt;titles&gt;&lt;title&gt;Cancer Drugs Fund Managed Access Agreement: Tisagenlecleucel for treating relapsed or refractory B-cell acute lymphoblastic leukaemia in people aged up to 25 years [ID1167]&lt;/title&gt;&lt;/titles&gt;&lt;dates&gt;&lt;year&gt;2018&lt;/year&gt;&lt;/dates&gt;&lt;urls&gt;&lt;related-urls&gt;&lt;url&gt;https://www.nice.org.uk/guidance/ta554/documents/final-appraisal-determination-document-2&lt;/url&gt;&lt;/related-urls&gt;&lt;/urls&gt;&lt;/record&gt;&lt;/Cite&gt;&lt;/EndNote&gt;</w:instrText>
      </w:r>
      <w:r w:rsidR="00F52992">
        <w:fldChar w:fldCharType="separate"/>
      </w:r>
      <w:r w:rsidR="00F52992" w:rsidRPr="00F52992">
        <w:rPr>
          <w:noProof/>
          <w:vertAlign w:val="superscript"/>
        </w:rPr>
        <w:t>7</w:t>
      </w:r>
      <w:r w:rsidR="00F52992">
        <w:fldChar w:fldCharType="end"/>
      </w:r>
      <w:r w:rsidR="00145F20">
        <w:t>.</w:t>
      </w:r>
      <w:r w:rsidR="00782418">
        <w:t xml:space="preserve"> </w:t>
      </w:r>
    </w:p>
    <w:p w14:paraId="003734AF" w14:textId="02A966A2" w:rsidR="00D820B0" w:rsidRDefault="00782418" w:rsidP="0004152F">
      <w:r>
        <w:t xml:space="preserve">The Committee were mindful of statements from clinical experts and NHS England which described the need for new service provision. Infrastructure for transport and storage, staff training and accreditation for administration of the technology, and access to </w:t>
      </w:r>
      <w:r w:rsidR="00F320F5">
        <w:t>ICUs</w:t>
      </w:r>
      <w:r>
        <w:t xml:space="preserve"> to manage adverse events such as CRS and acute neurological deterioration need to be considered and carefu</w:t>
      </w:r>
      <w:r w:rsidR="005E40D2">
        <w:t>lly planned. In light of this, t</w:t>
      </w:r>
      <w:r>
        <w:t xml:space="preserve">isagenlecleucel </w:t>
      </w:r>
      <w:r w:rsidR="005E2756">
        <w:t>is</w:t>
      </w:r>
      <w:r>
        <w:t xml:space="preserve"> un</w:t>
      </w:r>
      <w:r w:rsidR="005E2756">
        <w:t xml:space="preserve">dergoing a phased implementation, </w:t>
      </w:r>
      <w:r>
        <w:t xml:space="preserve">with a </w:t>
      </w:r>
      <w:r w:rsidR="005E2756">
        <w:t>‘</w:t>
      </w:r>
      <w:r>
        <w:t>cautious approach</w:t>
      </w:r>
      <w:r w:rsidR="005E2756">
        <w:t>’</w:t>
      </w:r>
      <w:r>
        <w:t xml:space="preserve"> to treatment planning, particularly concerning t</w:t>
      </w:r>
      <w:r w:rsidR="005E40D2">
        <w:t xml:space="preserve">he management of adverse events, </w:t>
      </w:r>
      <w:r>
        <w:t>as these are rare conditions in existing care pathways. It is anticipated that tisagenlecleucel will be fully available across England by April 2020. NHS England has also established a National CAR-T Clinical Panel (NCCP</w:t>
      </w:r>
      <w:r w:rsidR="005E40D2">
        <w:t>), which will</w:t>
      </w:r>
      <w:r>
        <w:t xml:space="preserve"> prioritise patients for treatment based on patient need, service capacity, and location to ensure equity of access.</w:t>
      </w:r>
    </w:p>
    <w:p w14:paraId="5C67434C" w14:textId="30DD7BD3" w:rsidR="0004152F" w:rsidRPr="0004152F" w:rsidRDefault="0004152F" w:rsidP="00D820B0">
      <w:pPr>
        <w:pStyle w:val="Heading1"/>
        <w:keepNext/>
      </w:pPr>
      <w:r>
        <w:t>Conclusions</w:t>
      </w:r>
    </w:p>
    <w:p w14:paraId="276A3DDF" w14:textId="3819FA1D" w:rsidR="008341B3" w:rsidRDefault="008341B3" w:rsidP="00D820B0">
      <w:pPr>
        <w:keepNext/>
      </w:pPr>
      <w:r>
        <w:t>This appraisal represents an early view of the HTA process for next-generation immunotherapies, and illustrates how current reimbursement frameworks value and incentivise the development of potentially curative technologies.</w:t>
      </w:r>
    </w:p>
    <w:p w14:paraId="4DFEE93C" w14:textId="3099B5E6" w:rsidR="00410548" w:rsidRPr="00384A60" w:rsidRDefault="002A63A7" w:rsidP="00410548">
      <w:r w:rsidRPr="002A63A7">
        <w:rPr>
          <w:color w:val="000000" w:themeColor="text1"/>
        </w:rPr>
        <w:t>The uncertainties inherent to the evaluation of</w:t>
      </w:r>
      <w:r w:rsidR="00FE6813" w:rsidRPr="002A63A7">
        <w:rPr>
          <w:color w:val="000000" w:themeColor="text1"/>
        </w:rPr>
        <w:t xml:space="preserve"> such</w:t>
      </w:r>
      <w:r w:rsidR="008341B3" w:rsidRPr="002A63A7">
        <w:rPr>
          <w:color w:val="000000" w:themeColor="text1"/>
        </w:rPr>
        <w:t xml:space="preserve"> </w:t>
      </w:r>
      <w:r w:rsidR="008341B3">
        <w:t>technolo</w:t>
      </w:r>
      <w:r>
        <w:t>gies in a rapidly evolving fields presents a number of challenges</w:t>
      </w:r>
      <w:r w:rsidR="008341B3">
        <w:t xml:space="preserve">. </w:t>
      </w:r>
      <w:r w:rsidR="002A5ECD">
        <w:t>T</w:t>
      </w:r>
      <w:r w:rsidR="008341B3">
        <w:t xml:space="preserve">he selection of appropriate comparator regimens, and more importantly, </w:t>
      </w:r>
      <w:r w:rsidR="008341B3">
        <w:lastRenderedPageBreak/>
        <w:t xml:space="preserve">suitably mature data relevant to both the target population and current practice is troublesome or even impossible, especially in paediatric oncology where head-to-head trial data is </w:t>
      </w:r>
      <w:r w:rsidR="00A40E0F">
        <w:t>scarce</w:t>
      </w:r>
      <w:r w:rsidR="008341B3">
        <w:t xml:space="preserve">. </w:t>
      </w:r>
      <w:r w:rsidR="00FE6813">
        <w:t>Th</w:t>
      </w:r>
      <w:r w:rsidR="00FE2931">
        <w:t xml:space="preserve">is is particularly important as the </w:t>
      </w:r>
      <w:r w:rsidR="00FE6813">
        <w:t xml:space="preserve">choice of comparator (i.e. what constitutes the standard of care) </w:t>
      </w:r>
      <w:r w:rsidR="008341B3">
        <w:t xml:space="preserve">has </w:t>
      </w:r>
      <w:r w:rsidR="00FE6813">
        <w:t>ramifications that</w:t>
      </w:r>
      <w:r w:rsidR="008341B3">
        <w:t xml:space="preserve"> extend beyond</w:t>
      </w:r>
      <w:r w:rsidR="00FE6813">
        <w:t xml:space="preserve"> simply the technology’s</w:t>
      </w:r>
      <w:r w:rsidR="008341B3">
        <w:t xml:space="preserve"> relative efficacy</w:t>
      </w:r>
      <w:r w:rsidR="009351A1">
        <w:t>.</w:t>
      </w:r>
      <w:r w:rsidR="008341B3">
        <w:t xml:space="preserve"> </w:t>
      </w:r>
      <w:r w:rsidR="009351A1">
        <w:t>T</w:t>
      </w:r>
      <w:r w:rsidR="008341B3">
        <w:t xml:space="preserve">he selection of </w:t>
      </w:r>
      <w:r w:rsidR="00FE6813">
        <w:t>blinatumomab</w:t>
      </w:r>
      <w:r w:rsidR="008341B3">
        <w:t xml:space="preserve"> over </w:t>
      </w:r>
      <w:r w:rsidR="00FE6813">
        <w:t xml:space="preserve">FLA-IDA </w:t>
      </w:r>
      <w:r w:rsidR="005D6768">
        <w:t>determined</w:t>
      </w:r>
      <w:r w:rsidR="00FE6813">
        <w:t xml:space="preserve"> </w:t>
      </w:r>
      <w:r w:rsidR="00FE2931">
        <w:t>whether EoL criteria applied</w:t>
      </w:r>
      <w:r w:rsidR="00C5050A">
        <w:t>,</w:t>
      </w:r>
      <w:r w:rsidR="00FE2931">
        <w:t xml:space="preserve"> </w:t>
      </w:r>
      <w:r w:rsidR="00C5050A">
        <w:t xml:space="preserve">and </w:t>
      </w:r>
      <w:r w:rsidR="00754AE4">
        <w:t>by extension</w:t>
      </w:r>
      <w:r w:rsidR="00C5050A">
        <w:t xml:space="preserve"> t</w:t>
      </w:r>
      <w:r w:rsidR="008341B3">
        <w:t xml:space="preserve">he value </w:t>
      </w:r>
      <w:r w:rsidR="00FE6813">
        <w:t>ascribed to</w:t>
      </w:r>
      <w:r w:rsidR="008341B3">
        <w:t xml:space="preserve"> the health outcome</w:t>
      </w:r>
      <w:r w:rsidR="00FE6813">
        <w:t xml:space="preserve">s produced by tisagenlecleucel. </w:t>
      </w:r>
      <w:r w:rsidR="005D6768">
        <w:t>A</w:t>
      </w:r>
      <w:r w:rsidR="00F01B5C">
        <w:t>s in many cancer appraisals</w:t>
      </w:r>
      <w:r w:rsidR="009A7213">
        <w:t>,</w:t>
      </w:r>
      <w:r w:rsidR="00515544">
        <w:t xml:space="preserve"> </w:t>
      </w:r>
      <w:r w:rsidR="00F01B5C">
        <w:t xml:space="preserve">the appropriate extrapolation and </w:t>
      </w:r>
      <w:r w:rsidR="005D6768">
        <w:t>establishment</w:t>
      </w:r>
      <w:r w:rsidR="00F01B5C">
        <w:t xml:space="preserve"> of </w:t>
      </w:r>
      <w:r w:rsidR="00410548" w:rsidRPr="00901EF2">
        <w:rPr>
          <w:lang w:val="en"/>
        </w:rPr>
        <w:t xml:space="preserve">longer-term </w:t>
      </w:r>
      <w:r w:rsidR="00384A60">
        <w:rPr>
          <w:lang w:val="en"/>
        </w:rPr>
        <w:t xml:space="preserve">OS </w:t>
      </w:r>
      <w:r w:rsidR="00F01B5C">
        <w:rPr>
          <w:lang w:val="en"/>
        </w:rPr>
        <w:t>was central to the valuation of ben</w:t>
      </w:r>
      <w:r w:rsidR="00097E14">
        <w:rPr>
          <w:lang w:val="en"/>
        </w:rPr>
        <w:t xml:space="preserve">efits of </w:t>
      </w:r>
      <w:r w:rsidR="00097E14" w:rsidRPr="00097E14">
        <w:rPr>
          <w:lang w:val="en"/>
        </w:rPr>
        <w:t>tisagenlecleucel</w:t>
      </w:r>
      <w:r w:rsidR="00097E14">
        <w:rPr>
          <w:lang w:val="en"/>
        </w:rPr>
        <w:t xml:space="preserve">. </w:t>
      </w:r>
      <w:r w:rsidR="005D6768">
        <w:rPr>
          <w:lang w:val="en"/>
        </w:rPr>
        <w:t>However,</w:t>
      </w:r>
      <w:r w:rsidR="00097E14">
        <w:rPr>
          <w:lang w:val="en"/>
        </w:rPr>
        <w:t xml:space="preserve"> the immaturity of available OS data and </w:t>
      </w:r>
      <w:r w:rsidR="00097E14">
        <w:t>the technology’s novel mechanism of action</w:t>
      </w:r>
      <w:r w:rsidR="005D6768">
        <w:t xml:space="preserve"> impeded reliable estimation of long-term benefits</w:t>
      </w:r>
      <w:r w:rsidR="0086484C">
        <w:t xml:space="preserve">. </w:t>
      </w:r>
      <w:r w:rsidR="00097E14">
        <w:t xml:space="preserve">These </w:t>
      </w:r>
      <w:r w:rsidR="00474B61">
        <w:t>uncertainties</w:t>
      </w:r>
      <w:r w:rsidR="00097E14">
        <w:t xml:space="preserve"> were </w:t>
      </w:r>
      <w:r w:rsidR="00384A60">
        <w:t xml:space="preserve">a </w:t>
      </w:r>
      <w:r w:rsidR="00097E14">
        <w:t>central d</w:t>
      </w:r>
      <w:r w:rsidR="00474B61">
        <w:t>river</w:t>
      </w:r>
      <w:r w:rsidR="00097E14">
        <w:t xml:space="preserve"> of cost-</w:t>
      </w:r>
      <w:r w:rsidR="00474B61">
        <w:t>effectiveness</w:t>
      </w:r>
      <w:r w:rsidR="00384A60">
        <w:t xml:space="preserve"> with alternative assumptions </w:t>
      </w:r>
      <w:r w:rsidR="005D6768">
        <w:t>producing</w:t>
      </w:r>
      <w:r w:rsidR="00FE2931">
        <w:t xml:space="preserve"> </w:t>
      </w:r>
      <w:r w:rsidR="00384A60">
        <w:t>a wide range of</w:t>
      </w:r>
      <w:r w:rsidR="00097E14">
        <w:t xml:space="preserve"> possible ICERs</w:t>
      </w:r>
      <w:r w:rsidR="00384A60">
        <w:t xml:space="preserve">. This </w:t>
      </w:r>
      <w:r w:rsidR="006101BF">
        <w:t>was a key factor in</w:t>
      </w:r>
      <w:r w:rsidR="00097E14">
        <w:t xml:space="preserve"> the decision to </w:t>
      </w:r>
      <w:r w:rsidR="006101BF">
        <w:t xml:space="preserve">only approve </w:t>
      </w:r>
      <w:r w:rsidR="00474B61" w:rsidRPr="00474B61">
        <w:t>tisagenlecleucel</w:t>
      </w:r>
      <w:r w:rsidR="00474B61">
        <w:t xml:space="preserve"> </w:t>
      </w:r>
      <w:r w:rsidR="0086484C">
        <w:t xml:space="preserve">within the CDF, as further </w:t>
      </w:r>
      <w:r w:rsidR="006101BF">
        <w:t>data collection</w:t>
      </w:r>
      <w:r w:rsidR="0086484C">
        <w:t xml:space="preserve"> is required to determine the appropriateness of survival modelling techniques for characterising the benefits of CAR-T products</w:t>
      </w:r>
      <w:r w:rsidR="00097E14">
        <w:t xml:space="preserve">. </w:t>
      </w:r>
    </w:p>
    <w:p w14:paraId="0EDF4CA6" w14:textId="042990B8" w:rsidR="00592A77" w:rsidRDefault="00410548">
      <w:r>
        <w:t>M</w:t>
      </w:r>
      <w:r w:rsidR="00515544">
        <w:t>ore broadly</w:t>
      </w:r>
      <w:r w:rsidR="0086484C">
        <w:t>,</w:t>
      </w:r>
      <w:r>
        <w:t xml:space="preserve"> a number of </w:t>
      </w:r>
      <w:r w:rsidR="00515544">
        <w:t xml:space="preserve">relevant issues were </w:t>
      </w:r>
      <w:r w:rsidR="002A63A7">
        <w:t>raised</w:t>
      </w:r>
      <w:r w:rsidR="00515544">
        <w:t xml:space="preserve"> during this </w:t>
      </w:r>
      <w:r w:rsidR="0086484C">
        <w:t>STA, which</w:t>
      </w:r>
      <w:r w:rsidR="00515544">
        <w:t xml:space="preserve"> may impact upon the future appraisal of regenerative medicines. Firstly, the complexity of </w:t>
      </w:r>
      <w:r w:rsidR="00754AE4">
        <w:t>the care and management</w:t>
      </w:r>
      <w:r w:rsidR="00515544">
        <w:t xml:space="preserve"> </w:t>
      </w:r>
      <w:r w:rsidR="00754AE4">
        <w:t>requirements</w:t>
      </w:r>
      <w:r w:rsidR="00515544">
        <w:t xml:space="preserve"> for regenerative medicines and cell-based</w:t>
      </w:r>
      <w:r w:rsidR="003D7DB6">
        <w:t xml:space="preserve"> immuno</w:t>
      </w:r>
      <w:r w:rsidR="00515544">
        <w:t>therapies</w:t>
      </w:r>
      <w:r w:rsidR="006101BF">
        <w:t xml:space="preserve"> was</w:t>
      </w:r>
      <w:r w:rsidR="00754AE4">
        <w:t xml:space="preserve"> highlighted</w:t>
      </w:r>
      <w:r w:rsidR="00515544">
        <w:t xml:space="preserve">, </w:t>
      </w:r>
      <w:r w:rsidR="00754AE4">
        <w:t>as was the need for</w:t>
      </w:r>
      <w:r>
        <w:t xml:space="preserve"> </w:t>
      </w:r>
      <w:r w:rsidR="00754AE4">
        <w:t>increased</w:t>
      </w:r>
      <w:r>
        <w:t xml:space="preserve"> capacity beyond the limited number of specialist centres </w:t>
      </w:r>
      <w:r w:rsidR="00754AE4">
        <w:t>capable of</w:t>
      </w:r>
      <w:r>
        <w:t xml:space="preserve"> administer</w:t>
      </w:r>
      <w:r w:rsidR="00754AE4">
        <w:t>ing</w:t>
      </w:r>
      <w:r>
        <w:t xml:space="preserve"> these </w:t>
      </w:r>
      <w:r w:rsidR="003D7DB6">
        <w:t>technologies</w:t>
      </w:r>
      <w:r>
        <w:t xml:space="preserve">. Investments by </w:t>
      </w:r>
      <w:r w:rsidR="003D7DB6">
        <w:t xml:space="preserve">the </w:t>
      </w:r>
      <w:r>
        <w:t>NHS in a Natio</w:t>
      </w:r>
      <w:r w:rsidR="003D7DB6">
        <w:t>nal CAR-T Clinical Panel (NCCP)</w:t>
      </w:r>
      <w:r>
        <w:t xml:space="preserve"> will hopefully help bridge this infrastructure gap and </w:t>
      </w:r>
      <w:r w:rsidR="003D7DB6">
        <w:t>expand</w:t>
      </w:r>
      <w:r>
        <w:t xml:space="preserve"> capacity while ensuring equity of access. Secondly, it highlighted the difficulty of interpreting </w:t>
      </w:r>
      <w:r w:rsidR="00754AE4">
        <w:t xml:space="preserve">NICE’s </w:t>
      </w:r>
      <w:r>
        <w:t>Eo</w:t>
      </w:r>
      <w:r w:rsidR="00F01B5C">
        <w:t>L</w:t>
      </w:r>
      <w:r>
        <w:t xml:space="preserve"> criteria in the context of curative therapies</w:t>
      </w:r>
      <w:r w:rsidR="00754AE4">
        <w:t>,</w:t>
      </w:r>
      <w:r>
        <w:t xml:space="preserve"> and </w:t>
      </w:r>
      <w:r w:rsidR="00FE2931">
        <w:t>the</w:t>
      </w:r>
      <w:r>
        <w:t xml:space="preserve"> valuation of </w:t>
      </w:r>
      <w:r w:rsidR="00754AE4">
        <w:t xml:space="preserve">a </w:t>
      </w:r>
      <w:r>
        <w:t>cure</w:t>
      </w:r>
      <w:r w:rsidR="00754AE4">
        <w:t xml:space="preserve"> with high front-loaded costs</w:t>
      </w:r>
      <w:r>
        <w:t xml:space="preserve"> v</w:t>
      </w:r>
      <w:r w:rsidR="006101BF">
        <w:t>er</w:t>
      </w:r>
      <w:r>
        <w:t>s</w:t>
      </w:r>
      <w:r w:rsidR="00754AE4">
        <w:t xml:space="preserve">us simple </w:t>
      </w:r>
      <w:r>
        <w:t xml:space="preserve">extension </w:t>
      </w:r>
      <w:r w:rsidR="00754AE4">
        <w:t>to</w:t>
      </w:r>
      <w:r>
        <w:t xml:space="preserve"> life. Current NICE </w:t>
      </w:r>
      <w:r w:rsidR="00FE2931">
        <w:t xml:space="preserve">methods </w:t>
      </w:r>
      <w:r w:rsidR="003D7DB6">
        <w:t>guidance is intentionally</w:t>
      </w:r>
      <w:r>
        <w:t xml:space="preserve"> vague on </w:t>
      </w:r>
      <w:r w:rsidR="00754AE4">
        <w:t>this subject</w:t>
      </w:r>
      <w:r>
        <w:t xml:space="preserve"> wi</w:t>
      </w:r>
      <w:r w:rsidR="003D7DB6">
        <w:t>th intent of allowing Committee</w:t>
      </w:r>
      <w:r>
        <w:t xml:space="preserve"> discretion based on the issues relevant </w:t>
      </w:r>
      <w:r w:rsidR="00F01B5C">
        <w:t xml:space="preserve">to an appraisal, but further clarification of NICE’s position on EoL in </w:t>
      </w:r>
      <w:r w:rsidR="00754AE4">
        <w:t>such</w:t>
      </w:r>
      <w:r w:rsidR="00F01B5C">
        <w:t xml:space="preserve"> </w:t>
      </w:r>
      <w:r w:rsidR="003D7DB6">
        <w:t xml:space="preserve">situations </w:t>
      </w:r>
      <w:r w:rsidR="00F01B5C">
        <w:t xml:space="preserve">may be necessary to ensure </w:t>
      </w:r>
      <w:r w:rsidR="00F01B5C" w:rsidRPr="00F01B5C">
        <w:t>consistency</w:t>
      </w:r>
      <w:r w:rsidR="00F01B5C">
        <w:t xml:space="preserve"> </w:t>
      </w:r>
      <w:r w:rsidR="003D7DB6">
        <w:t xml:space="preserve">and equity </w:t>
      </w:r>
      <w:r w:rsidR="00F01B5C">
        <w:t>in decisi</w:t>
      </w:r>
      <w:r w:rsidR="003D7DB6">
        <w:t>on-</w:t>
      </w:r>
      <w:r w:rsidR="00F01B5C">
        <w:t xml:space="preserve">making. </w:t>
      </w:r>
    </w:p>
    <w:p w14:paraId="41261632" w14:textId="1C7F50F8" w:rsidR="00CE670F" w:rsidRPr="00CE670F" w:rsidRDefault="001D27AC" w:rsidP="00375F4B">
      <w:pPr>
        <w:rPr>
          <w:rFonts w:cs="Times New Roman"/>
        </w:rPr>
      </w:pPr>
      <w:r w:rsidRPr="00CE670F">
        <w:rPr>
          <w:rFonts w:cs="Times New Roman"/>
          <w:b/>
        </w:rPr>
        <w:t>Acknowledgements</w:t>
      </w:r>
      <w:r w:rsidR="00CE670F">
        <w:rPr>
          <w:rFonts w:cs="Times New Roman"/>
          <w:b/>
        </w:rPr>
        <w:br/>
      </w:r>
      <w:r w:rsidR="00CE670F">
        <w:rPr>
          <w:rFonts w:cs="Times New Roman"/>
        </w:rPr>
        <w:t>The authors thank Dr Beki James, Consultant Paediatric Haematologist at Leeds Teaching Hospitals NHS Trust for her clinical advice throughout the project.</w:t>
      </w:r>
    </w:p>
    <w:p w14:paraId="0620BE12" w14:textId="4018EECE" w:rsidR="001D27AC" w:rsidRDefault="001D27AC" w:rsidP="00375F4B">
      <w:pPr>
        <w:rPr>
          <w:rFonts w:cs="Times New Roman"/>
          <w:b/>
        </w:rPr>
      </w:pPr>
      <w:r w:rsidRPr="00CE670F">
        <w:rPr>
          <w:rFonts w:cs="Times New Roman"/>
          <w:b/>
        </w:rPr>
        <w:t>Author Contributions</w:t>
      </w:r>
    </w:p>
    <w:p w14:paraId="178E1A4C" w14:textId="26695BF6" w:rsidR="00CE670F" w:rsidRPr="004A3222" w:rsidRDefault="00CE670F" w:rsidP="00375F4B">
      <w:pPr>
        <w:rPr>
          <w:rFonts w:cs="Times New Roman"/>
        </w:rPr>
      </w:pPr>
      <w:r>
        <w:rPr>
          <w:rFonts w:cs="Times New Roman"/>
        </w:rPr>
        <w:t xml:space="preserve">MW, SS, RH, LC, and MS all formed part of the Evidence Review Group that produced the Evidence Review Group report this article describes. MS took overall responsibility for the ERG report. </w:t>
      </w:r>
      <w:r w:rsidR="004A3222">
        <w:rPr>
          <w:rFonts w:cs="Times New Roman"/>
        </w:rPr>
        <w:t xml:space="preserve">MW and SS wrote the draft of the manuscript. All authors commented on the manuscript and approved the final version. This summary has not been externally reviewed by </w:t>
      </w:r>
      <w:r w:rsidR="004A3222">
        <w:rPr>
          <w:rFonts w:cs="Times New Roman"/>
          <w:i/>
        </w:rPr>
        <w:t xml:space="preserve">Pharmacoeconomics. </w:t>
      </w:r>
    </w:p>
    <w:p w14:paraId="5214AF14" w14:textId="22271F67" w:rsidR="001D27AC" w:rsidRPr="00CE670F" w:rsidRDefault="001D27AC" w:rsidP="00375F4B">
      <w:pPr>
        <w:rPr>
          <w:rFonts w:cs="Times New Roman"/>
          <w:b/>
        </w:rPr>
      </w:pPr>
      <w:r w:rsidRPr="00CE670F">
        <w:rPr>
          <w:rFonts w:cs="Times New Roman"/>
          <w:b/>
        </w:rPr>
        <w:lastRenderedPageBreak/>
        <w:t>Compliance with Ethical Standards</w:t>
      </w:r>
    </w:p>
    <w:p w14:paraId="66A5A5AA" w14:textId="308EF2F7" w:rsidR="001D27AC" w:rsidRDefault="001D27AC" w:rsidP="00375F4B">
      <w:r w:rsidRPr="00CE670F">
        <w:rPr>
          <w:rFonts w:cs="Times New Roman"/>
          <w:b/>
        </w:rPr>
        <w:t>Funding</w:t>
      </w:r>
      <w:r w:rsidR="00CE670F">
        <w:rPr>
          <w:rFonts w:cs="Times New Roman"/>
        </w:rPr>
        <w:br/>
      </w:r>
      <w:r>
        <w:t>T</w:t>
      </w:r>
      <w:r w:rsidRPr="001D27AC">
        <w:t>his project was funded by the National Institute for Health Research</w:t>
      </w:r>
      <w:r w:rsidR="00CE670F">
        <w:t xml:space="preserve"> (NIHR)</w:t>
      </w:r>
      <w:r w:rsidRPr="001D27AC">
        <w:t xml:space="preserve"> Health Technology Assessment programme (project </w:t>
      </w:r>
      <w:r w:rsidR="002B3088">
        <w:t>number 17/141/10</w:t>
      </w:r>
      <w:r w:rsidRPr="001D27AC">
        <w:t>). The views and opinions expressed herein are those of the authors and do not necessarily reflect those of the National Institute for Health and Care Excellence or the Department of Health.</w:t>
      </w:r>
    </w:p>
    <w:p w14:paraId="570B8864" w14:textId="27635FA0" w:rsidR="00CE670F" w:rsidRDefault="00CE670F" w:rsidP="00375F4B">
      <w:pPr>
        <w:rPr>
          <w:b/>
        </w:rPr>
      </w:pPr>
      <w:r w:rsidRPr="00CE670F">
        <w:rPr>
          <w:b/>
        </w:rPr>
        <w:t>Conflict of interest</w:t>
      </w:r>
    </w:p>
    <w:p w14:paraId="2A585312" w14:textId="760CAD1E" w:rsidR="00F52992" w:rsidRDefault="00CE670F" w:rsidP="00375F4B">
      <w:r>
        <w:t>Matthew Walton, Sahar Sharif, Rob Hodgson, Lindsay Claxton, and Mark Simmonds have no conflicts of interest.</w:t>
      </w:r>
    </w:p>
    <w:p w14:paraId="5F5A3D80" w14:textId="77777777" w:rsidR="00F52992" w:rsidRDefault="00F52992">
      <w:r>
        <w:br w:type="page"/>
      </w:r>
    </w:p>
    <w:p w14:paraId="4C76B8F3" w14:textId="3070465A" w:rsidR="00592A77" w:rsidRDefault="00592A77" w:rsidP="00592A77">
      <w:pPr>
        <w:pStyle w:val="Heading1"/>
      </w:pPr>
      <w:r>
        <w:lastRenderedPageBreak/>
        <w:t>References</w:t>
      </w:r>
    </w:p>
    <w:p w14:paraId="446D5082" w14:textId="10AB3AB8" w:rsidR="00F52992" w:rsidRDefault="00F52992" w:rsidP="00F52992">
      <w:r>
        <w:t xml:space="preserve">1. National Institute for Health and Care Excellence. Guide to the processes of technology appraisal; 2018. Available from: </w:t>
      </w:r>
      <w:hyperlink r:id="rId9" w:history="1">
        <w:r w:rsidRPr="005F65BE">
          <w:rPr>
            <w:rStyle w:val="Hyperlink"/>
          </w:rPr>
          <w:t>https://www.nice.org.uk/Media/Default/About/what-we-do/NICE-guidance/NICE-technology-appraisals/technology-appraisal-processes-guide-apr-2018.pdf</w:t>
        </w:r>
      </w:hyperlink>
      <w:r>
        <w:t xml:space="preserve"> [Accessed </w:t>
      </w:r>
      <w:r w:rsidR="005712AA">
        <w:t>1st</w:t>
      </w:r>
      <w:r>
        <w:t xml:space="preserve"> January 2019]</w:t>
      </w:r>
    </w:p>
    <w:p w14:paraId="30B65E53" w14:textId="7182F04D" w:rsidR="00F52992" w:rsidRDefault="00F52992" w:rsidP="00F52992">
      <w:r>
        <w:t xml:space="preserve">2. Walton M, Sharif S, Hodgson R, Claxton L, Wright K, Simmonds M. Tisagenlecleucel-T for treating relapsed or refractory B-cell acute lymphoblastic leukaemia in people aged up to 25 years: University of York; 2018. </w:t>
      </w:r>
      <w:r w:rsidR="005712AA">
        <w:t xml:space="preserve">Available from: </w:t>
      </w:r>
      <w:hyperlink r:id="rId10" w:history="1">
        <w:r w:rsidR="005712AA" w:rsidRPr="005F65BE">
          <w:rPr>
            <w:rStyle w:val="Hyperlink"/>
          </w:rPr>
          <w:t>https://njl-admin.nihr.ac.uk/document/download/2021579</w:t>
        </w:r>
      </w:hyperlink>
      <w:r w:rsidR="005712AA">
        <w:t xml:space="preserve"> [Accessed 17th January 2019]</w:t>
      </w:r>
    </w:p>
    <w:p w14:paraId="5F4D5A7C" w14:textId="55C81D44" w:rsidR="00F52992" w:rsidRDefault="00F52992" w:rsidP="00F52992">
      <w:r>
        <w:t>3. National Institute for Health and Care Excellence. Tisagenlecleucel for treating relapsed or refractory B-cell acute lymphoblastic leukaemia in people aged up to 25 years: Technology appraisal guidance [TA554]; 2018. Available from: https://www.nice.org.uk/guidance/ta554/ [Accessed 17th January 2019]</w:t>
      </w:r>
    </w:p>
    <w:p w14:paraId="35953A10" w14:textId="438387A6" w:rsidR="00F52992" w:rsidRDefault="00F52992" w:rsidP="00F52992">
      <w:r>
        <w:t>4. Children with Cancer UK. Acute Lymphoblastic Leukaemia in Children. Available from: https://www.childrenwithcancer.org.uk/childhood-cancer-info/cancer-types/acute-lymphoblastic-leukaemia/ [Accessed 16th May 2018].</w:t>
      </w:r>
    </w:p>
    <w:p w14:paraId="38E14AAF" w14:textId="14C0EB7A" w:rsidR="00F52992" w:rsidRDefault="00F52992" w:rsidP="00F52992">
      <w:r>
        <w:t xml:space="preserve">5. Leukaemia Foundation. What is acute lymphoblastic leukaemia? Available from: </w:t>
      </w:r>
      <w:hyperlink r:id="rId11" w:history="1">
        <w:r w:rsidRPr="005F65BE">
          <w:rPr>
            <w:rStyle w:val="Hyperlink"/>
          </w:rPr>
          <w:t>https://www.leukaemia.org.au/disease-information/leukaemias/acute-lymphoblastic-leukaemia/</w:t>
        </w:r>
      </w:hyperlink>
      <w:r>
        <w:t xml:space="preserve"> [Accessed 16</w:t>
      </w:r>
      <w:r w:rsidRPr="00F52992">
        <w:rPr>
          <w:vertAlign w:val="superscript"/>
        </w:rPr>
        <w:t>th</w:t>
      </w:r>
      <w:r>
        <w:t xml:space="preserve"> May 2018]</w:t>
      </w:r>
    </w:p>
    <w:p w14:paraId="35FAF15E" w14:textId="120810A7" w:rsidR="00F52992" w:rsidRDefault="00F52992" w:rsidP="00F52992">
      <w:r>
        <w:t>6. Cancer Research UK. About acute lymphoblastic leukaemia (ALL). Available from: http://www.cancerresearchuk.org/about-cancer/acute-lymphoblastic-leukaemia-all/about [Accessed 16th May 2018].</w:t>
      </w:r>
    </w:p>
    <w:p w14:paraId="770A7C29" w14:textId="02C057BD" w:rsidR="00F52992" w:rsidRDefault="00F52992" w:rsidP="00F52992">
      <w:r>
        <w:t xml:space="preserve">7. National Institute for Health and Care Excellence. Cancer Drugs Fund Managed Access Agreement: Tisagenlecleucel for treating relapsed or refractory B-cell acute lymphoblastic leukaemia in people aged up to 25 years [ID1167]. 2018. Available from: </w:t>
      </w:r>
      <w:hyperlink r:id="rId12" w:history="1">
        <w:r w:rsidRPr="005F65BE">
          <w:rPr>
            <w:rStyle w:val="Hyperlink"/>
          </w:rPr>
          <w:t>https://www.nice.org.uk/guidance/ta554/documents/final-appraisal-determination-document-2</w:t>
        </w:r>
      </w:hyperlink>
      <w:r>
        <w:t xml:space="preserve"> [Accessed 17th January 2019]</w:t>
      </w:r>
    </w:p>
    <w:p w14:paraId="684A2901" w14:textId="4740A0B7" w:rsidR="00F52992" w:rsidRDefault="00F52992" w:rsidP="00F52992">
      <w:r>
        <w:t>8. Cooper SL, Brown PA. Treatment of pediatric acute lymphoblastic leukemia. Pediatr Clin North Am 2015;62:61-73.</w:t>
      </w:r>
    </w:p>
    <w:p w14:paraId="0013EBCD" w14:textId="766ECAA6" w:rsidR="00F52992" w:rsidRDefault="00F52992" w:rsidP="00F52992">
      <w:r>
        <w:lastRenderedPageBreak/>
        <w:t xml:space="preserve">9. Sellar RS, Rowntree C, Vora AJ, Furness CL, Goulden N, Mitchell C, et al. Relapse in teenage and young adult patients treated on a paediatric minimal residual disease stratified ALL treatment protocol is associated with a poor outcome: results from UKALL2003. Br J Haematol 2018;181:515-22. </w:t>
      </w:r>
    </w:p>
    <w:p w14:paraId="1749C22F" w14:textId="45B53EDD" w:rsidR="00F52992" w:rsidRDefault="00F52992" w:rsidP="00F52992">
      <w:r>
        <w:t>10. Macmillan Cancer Support. Hyper-CVAD chemotherapy. Available from: https://www.macmillan.org.uk/cancerinformation/cancertreatment/treatmenttypes/chemotherapy/combinationregimen/hyper-cvad.aspx [Accessed 16th May 2018].</w:t>
      </w:r>
    </w:p>
    <w:p w14:paraId="03AB4D16" w14:textId="77777777" w:rsidR="00F52992" w:rsidRDefault="00F52992" w:rsidP="00F52992">
      <w:r>
        <w:t xml:space="preserve">11. Pulsipher MA, Peters C, Pui CH. High Risk Pediatric Acute Lymphoblastic Leukemia: To Transplant or Not to Transplant? Biology of blood and marrow transplantation : journal of the American Society for Blood and Marrow Transplantation 2011;17:S137-48. </w:t>
      </w:r>
    </w:p>
    <w:p w14:paraId="5DB8F51D" w14:textId="77777777" w:rsidR="00F52992" w:rsidRDefault="00F52992" w:rsidP="00F52992">
      <w:r>
        <w:t xml:space="preserve">12. Mueller KTM, S.L.; Porter, D.L.; Frey, N.; Wood, P.; Han, X.; Waldron, E.; Chakraborty, A.; Awasthi, R.; Levine, B.L.; Melenhorst, J.J.; Grupp, S.A.; June, C.H.; Lacey, S.F. Cellular kinetics of CTL019 in relapsed/refractory B-cell acute lymphoblastic leukemia and chronic lymphocytic leukemia. Blood 2017;130:2317-25. </w:t>
      </w:r>
    </w:p>
    <w:p w14:paraId="1BA0430E" w14:textId="4D19BB29" w:rsidR="00F52992" w:rsidRDefault="00F52992" w:rsidP="00F52992">
      <w:r>
        <w:t xml:space="preserve">13. European Medicines Agency. Kymriah: Summary of Product Characteristics; 2018. Available from: </w:t>
      </w:r>
      <w:hyperlink r:id="rId13" w:history="1">
        <w:r w:rsidR="005712AA" w:rsidRPr="005F65BE">
          <w:rPr>
            <w:rStyle w:val="Hyperlink"/>
          </w:rPr>
          <w:t>https://www.ema.europa.eu/documents/product-information/kymriah-epar-product-information_en.pdf</w:t>
        </w:r>
      </w:hyperlink>
      <w:r w:rsidR="005712AA">
        <w:t xml:space="preserve"> [Accessed 17 January 2019]</w:t>
      </w:r>
    </w:p>
    <w:p w14:paraId="6E393877" w14:textId="77777777" w:rsidR="00F52992" w:rsidRDefault="00F52992" w:rsidP="00F52992">
      <w:r>
        <w:t xml:space="preserve">14. Maude SL, Pulsipher MA, Boyer MW, Grupp SA, Davies SM, Phillips CL, et al. Efficacy and safety of CTL019 in the first US phase II multicenter trial in pediatric relapsed/refractory acute lymphoblastic leukemia: results of an interim analysis. Blood 2016;128:2801. </w:t>
      </w:r>
    </w:p>
    <w:p w14:paraId="243818E8" w14:textId="53BFF360" w:rsidR="00F52992" w:rsidRDefault="00F52992" w:rsidP="00F52992">
      <w:r>
        <w:t xml:space="preserve">15. Maude SL, Laetsch TW, Buechner J, Rives S, Boyer M, Bittencourt H, et al. Tisagenlecleucel in Children and Young Adults with B-Cell Lymphoblastic Leukemia. N Engl J Med 2018;378:439-48. </w:t>
      </w:r>
    </w:p>
    <w:p w14:paraId="17203082" w14:textId="77777777" w:rsidR="00F52992" w:rsidRDefault="00F52992" w:rsidP="00F52992">
      <w:r>
        <w:t xml:space="preserve">16. Maude SL, Barrett DM, Rheingold SR, Aplenc R, Teachey DT, Callahan C, et al. Efficacy of humanized CD19-targeted chimeric antigen receptor (CAR)-modified T cells in children and young adults with relapsed/refractory acute lymphoblastic leukemia. Blood 2016;128:217. </w:t>
      </w:r>
    </w:p>
    <w:p w14:paraId="48F1B5DB" w14:textId="4AB9EC9B" w:rsidR="00F52992" w:rsidRDefault="00F52992" w:rsidP="00F52992">
      <w:r>
        <w:t xml:space="preserve">17. von Stackelberg A, Locatelli F, Zugmaier G, Handgretinger R, Trippett TM, Rizzari C, et al. Phase I/Phase II Study of Blinatumomab in Pediatric Patients With Relapsed/Refractory Acute Lymphoblastic Leukemia. J Clin Oncol 2016;34:4381-9. </w:t>
      </w:r>
    </w:p>
    <w:p w14:paraId="7BDA6919" w14:textId="66DA8AB7" w:rsidR="00F52992" w:rsidRDefault="00F52992" w:rsidP="00F52992">
      <w:r>
        <w:t xml:space="preserve">18. Jeha S, Gaynon PS, Razzouk BI, Franklin J, Kadota R, Shen V, et al. Phase II study of clofarabine in pediatric patients with refractory or relapsed acute lymphoblastic leukemia. J Clin Oncol 2006;24:1917-23. </w:t>
      </w:r>
    </w:p>
    <w:p w14:paraId="04FEDC6C" w14:textId="55D27E7F" w:rsidR="00F52992" w:rsidRDefault="00F52992" w:rsidP="00F52992">
      <w:r>
        <w:lastRenderedPageBreak/>
        <w:t>19. Hettle R, Corbett M, Hinde S, Hodgson R, Jones-Diette J, Woolacott N, et al. The assessment and appraisal of regenerative medicines and cell therapy products: an exploration of methods for review, economic evaluation and appraisal. Health Technol Assess 201</w:t>
      </w:r>
      <w:r w:rsidR="008F3055">
        <w:t>7;21:1-204.</w:t>
      </w:r>
    </w:p>
    <w:p w14:paraId="405AC3EC" w14:textId="77777777" w:rsidR="00F52992" w:rsidRDefault="00F52992" w:rsidP="00F52992">
      <w:r>
        <w:t xml:space="preserve">20. Snider J, Brauer M, Hao Y, Karaca-Mandic P, Gizaw Tebeka M, Zhang J, et al. The economic value of CTL019 therapy for pediatric patients with relapsed and refractory acute lymphoblastic leukemia in the United Kingdom. Blood 2017;130:1330. </w:t>
      </w:r>
    </w:p>
    <w:p w14:paraId="751B0069" w14:textId="72D83C5B" w:rsidR="00F52992" w:rsidRDefault="00F52992" w:rsidP="00F52992">
      <w:r>
        <w:t xml:space="preserve">21. Improvement N. National Schedule of Reference Costs 2016-17. London: NHS England; 2017. Available from: </w:t>
      </w:r>
      <w:hyperlink r:id="rId14" w:history="1">
        <w:r w:rsidR="005712AA" w:rsidRPr="005F65BE">
          <w:rPr>
            <w:rStyle w:val="Hyperlink"/>
          </w:rPr>
          <w:t>https://improvement.nhs.uk/resources/reference-costs/</w:t>
        </w:r>
      </w:hyperlink>
      <w:r w:rsidR="005712AA">
        <w:t xml:space="preserve"> [Accessed 17 January 2019]</w:t>
      </w:r>
    </w:p>
    <w:p w14:paraId="27EBA785" w14:textId="77777777" w:rsidR="00F52992" w:rsidRDefault="00F52992" w:rsidP="00F52992">
      <w:r>
        <w:t>22. Kuhlen M, Willasch AM, Dalle JH, Wachowiak J, Yaniv I, Ifversen M, et al. Outcome of relapse after allogeneic HSCT in children with ALL enrolled in the ALL-SCT 2003/2007 trial. Br J Haematol 2017;180:82-9. Available from: https://www.ncbi.nlm.nih.gov/pubmed/29193007</w:t>
      </w:r>
    </w:p>
    <w:p w14:paraId="16865809" w14:textId="77777777" w:rsidR="00F52992" w:rsidRDefault="00F52992" w:rsidP="00F52992">
      <w:r>
        <w:t xml:space="preserve">23. Sun W, Malvar J, Sposto R, Verma A, Wilkes JJ, Dennis R, et al. Outcome of children with multiply relapsed B-cell acute lymphoblastic leukemia: a therapeutic advances in childhood leukemia &amp; lymphoma study. Leukemia 2018. </w:t>
      </w:r>
    </w:p>
    <w:p w14:paraId="3AEC0605" w14:textId="3322E41F" w:rsidR="00F52992" w:rsidRDefault="00F52992" w:rsidP="00F52992">
      <w:r>
        <w:t xml:space="preserve">24. Kantarjian H, Stein A, Gökbuget N, Fielding AK, Schuh AC, Ribera J-M, et al. Blinatumomab versus Chemotherapy for Advanced Acute Lymphoblastic Leukemia. New England Journal of Medicine 2017;376:836-47. Available from: </w:t>
      </w:r>
      <w:hyperlink r:id="rId15" w:history="1">
        <w:r w:rsidR="005C2D42" w:rsidRPr="000D41A5">
          <w:rPr>
            <w:rStyle w:val="Hyperlink"/>
          </w:rPr>
          <w:t>http://www.nejm.org/doi/full/10.1056/NEJMoa1609783</w:t>
        </w:r>
      </w:hyperlink>
    </w:p>
    <w:p w14:paraId="4E287333" w14:textId="6DA6EE7B" w:rsidR="005C2D42" w:rsidRDefault="005C2D42" w:rsidP="00F52992">
      <w:r>
        <w:t>25. Kelly MJ, Pauker SG, Parsons SK. Using nonrandomised studies to inform complex clinical decisions: the thorny issue of cranial radiation therapy for T</w:t>
      </w:r>
      <w:r w:rsidR="00794BE6">
        <w:t>-cell acute lymphoblastic leukemia. Pediatr Blood Cancer 2015; 62:790-7</w:t>
      </w:r>
    </w:p>
    <w:p w14:paraId="3817DDFE" w14:textId="4199C129" w:rsidR="0052195B" w:rsidRPr="007E076D" w:rsidRDefault="0052195B" w:rsidP="00F52992">
      <w:r>
        <w:t>26. Essi</w:t>
      </w:r>
      <w:r w:rsidR="007E076D">
        <w:t>g S, von der Weid NX, Strippoli MPF, Rebholz CE, Michel G, Rueegg CS, Niggli FK, Kuehni CE. Health-Related Quality of Life in Long-Term Survivors of Relapsed Childhood Acute Lymphoblastic Leukemia. PLoS ONE 2012;7.</w:t>
      </w:r>
      <w:bookmarkStart w:id="1" w:name="_GoBack"/>
      <w:bookmarkEnd w:id="1"/>
    </w:p>
    <w:p w14:paraId="5E47B207" w14:textId="1EE954E2" w:rsidR="00592A77" w:rsidRPr="00592A77" w:rsidRDefault="00592A77" w:rsidP="00592A77"/>
    <w:sectPr w:rsidR="00592A77" w:rsidRPr="00592A77" w:rsidSect="00EA6DF6">
      <w:footerReference w:type="even" r:id="rId16"/>
      <w:footerReference w:type="default" r:id="rId17"/>
      <w:footerReference w:type="first" r:id="rId18"/>
      <w:pgSz w:w="11906" w:h="16838" w:code="9"/>
      <w:pgMar w:top="1440" w:right="1440" w:bottom="1440" w:left="1440"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EF989B" w16cid:durableId="2034A717"/>
  <w16cid:commentId w16cid:paraId="73F0B48A" w16cid:durableId="2034A7BD"/>
  <w16cid:commentId w16cid:paraId="57FE0D8A" w16cid:durableId="2034AA8E"/>
  <w16cid:commentId w16cid:paraId="187D1630" w16cid:durableId="2034AAB5"/>
  <w16cid:commentId w16cid:paraId="0083C2B5" w16cid:durableId="2034AAD9"/>
  <w16cid:commentId w16cid:paraId="371F1DC2" w16cid:durableId="2034AB3C"/>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4B5D8A" w14:textId="77777777" w:rsidR="00141F95" w:rsidRDefault="00141F95" w:rsidP="00AA7552">
      <w:pPr>
        <w:spacing w:before="0" w:after="0" w:line="240" w:lineRule="auto"/>
      </w:pPr>
      <w:r>
        <w:separator/>
      </w:r>
    </w:p>
  </w:endnote>
  <w:endnote w:type="continuationSeparator" w:id="0">
    <w:p w14:paraId="04A03FB2" w14:textId="77777777" w:rsidR="00141F95" w:rsidRDefault="00141F95" w:rsidP="00AA755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B9D159" w14:textId="77777777" w:rsidR="00AD5F75" w:rsidRDefault="00AD5F75" w:rsidP="00FC432E">
    <w:pPr>
      <w:pStyle w:val="Footer"/>
      <w:tabs>
        <w:tab w:val="clear" w:pos="4513"/>
      </w:tabs>
    </w:pPr>
    <w:r>
      <w:fldChar w:fldCharType="begin"/>
    </w:r>
    <w:r>
      <w:instrText xml:space="preserve"> PAGE   \* MERGEFORMAT </w:instrText>
    </w:r>
    <w:r>
      <w:fldChar w:fldCharType="separate"/>
    </w:r>
    <w:r>
      <w:rPr>
        <w:noProof/>
      </w:rPr>
      <w:t>22</w:t>
    </w:r>
    <w:r>
      <w:rPr>
        <w:noProof/>
      </w:rPr>
      <w:fldChar w:fldCharType="end"/>
    </w:r>
    <w:r>
      <w:rPr>
        <w:noProof/>
      </w:rPr>
      <w:tab/>
      <w:t>Date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D787EC" w14:textId="51D46333" w:rsidR="00AD5F75" w:rsidRDefault="00AD5F75" w:rsidP="00FC432E">
    <w:pPr>
      <w:pStyle w:val="Footer"/>
    </w:pPr>
    <w:r>
      <w:tab/>
    </w:r>
    <w:r>
      <w:tab/>
    </w:r>
    <w:r>
      <w:fldChar w:fldCharType="begin"/>
    </w:r>
    <w:r>
      <w:instrText xml:space="preserve"> PAGE   \* MERGEFORMAT </w:instrText>
    </w:r>
    <w:r>
      <w:fldChar w:fldCharType="separate"/>
    </w:r>
    <w:r w:rsidR="000C64F3">
      <w:rPr>
        <w:noProof/>
      </w:rPr>
      <w:t>18</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1F2E4B" w14:textId="77777777" w:rsidR="00AD5F75" w:rsidRDefault="00AD5F75">
    <w:pPr>
      <w:pStyle w:val="Footer"/>
    </w:pPr>
    <w:r>
      <w:tab/>
      <w:t>date</w:t>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2417D5" w14:textId="77777777" w:rsidR="00141F95" w:rsidRDefault="00141F95" w:rsidP="00AA7552">
      <w:pPr>
        <w:spacing w:before="0" w:after="0" w:line="240" w:lineRule="auto"/>
      </w:pPr>
      <w:r>
        <w:separator/>
      </w:r>
    </w:p>
  </w:footnote>
  <w:footnote w:type="continuationSeparator" w:id="0">
    <w:p w14:paraId="4BB98110" w14:textId="77777777" w:rsidR="00141F95" w:rsidRDefault="00141F95" w:rsidP="00AA7552">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E446B3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926A45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76C35A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D4253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C42DC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1AC070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1431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96C12E6"/>
    <w:lvl w:ilvl="0">
      <w:start w:val="1"/>
      <w:numFmt w:val="bullet"/>
      <w:pStyle w:val="ListBullet2"/>
      <w:lvlText w:val=""/>
      <w:lvlJc w:val="left"/>
      <w:pPr>
        <w:tabs>
          <w:tab w:val="num" w:pos="680"/>
        </w:tabs>
        <w:ind w:left="680" w:hanging="397"/>
      </w:pPr>
      <w:rPr>
        <w:rFonts w:ascii="Symbol" w:hAnsi="Symbol" w:hint="default"/>
      </w:rPr>
    </w:lvl>
  </w:abstractNum>
  <w:abstractNum w:abstractNumId="8" w15:restartNumberingAfterBreak="0">
    <w:nsid w:val="FFFFFF88"/>
    <w:multiLevelType w:val="singleLevel"/>
    <w:tmpl w:val="3E546BCA"/>
    <w:lvl w:ilvl="0">
      <w:start w:val="1"/>
      <w:numFmt w:val="lowerLetter"/>
      <w:pStyle w:val="ListNumber"/>
      <w:lvlText w:val="%1)"/>
      <w:lvlJc w:val="left"/>
      <w:pPr>
        <w:tabs>
          <w:tab w:val="num" w:pos="397"/>
        </w:tabs>
        <w:ind w:left="397" w:hanging="397"/>
      </w:pPr>
      <w:rPr>
        <w:rFonts w:hint="default"/>
      </w:rPr>
    </w:lvl>
  </w:abstractNum>
  <w:abstractNum w:abstractNumId="9" w15:restartNumberingAfterBreak="0">
    <w:nsid w:val="FFFFFF89"/>
    <w:multiLevelType w:val="singleLevel"/>
    <w:tmpl w:val="C986AD28"/>
    <w:lvl w:ilvl="0">
      <w:start w:val="1"/>
      <w:numFmt w:val="bullet"/>
      <w:pStyle w:val="ListBullet"/>
      <w:lvlText w:val=""/>
      <w:lvlJc w:val="left"/>
      <w:pPr>
        <w:tabs>
          <w:tab w:val="num" w:pos="397"/>
        </w:tabs>
        <w:ind w:left="397" w:hanging="397"/>
      </w:pPr>
      <w:rPr>
        <w:rFonts w:ascii="Symbol" w:hAnsi="Symbol" w:hint="default"/>
      </w:rPr>
    </w:lvl>
  </w:abstractNum>
  <w:abstractNum w:abstractNumId="10" w15:restartNumberingAfterBreak="0">
    <w:nsid w:val="02384748"/>
    <w:multiLevelType w:val="hybridMultilevel"/>
    <w:tmpl w:val="C06A5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0623D68"/>
    <w:multiLevelType w:val="multilevel"/>
    <w:tmpl w:val="FA285AC4"/>
    <w:lvl w:ilvl="0">
      <w:start w:val="1"/>
      <w:numFmt w:val="bullet"/>
      <w:lvlText w:val=""/>
      <w:lvlJc w:val="left"/>
      <w:pPr>
        <w:ind w:left="864" w:hanging="432"/>
      </w:pPr>
      <w:rPr>
        <w:rFonts w:ascii="Symbol" w:hAnsi="Symbol" w:hint="default"/>
      </w:rPr>
    </w:lvl>
    <w:lvl w:ilvl="1">
      <w:start w:val="1"/>
      <w:numFmt w:val="decimal"/>
      <w:lvlText w:val="%1.%2"/>
      <w:lvlJc w:val="left"/>
      <w:pPr>
        <w:ind w:left="1150" w:hanging="576"/>
      </w:pPr>
      <w:rPr>
        <w:rFonts w:hint="default"/>
      </w:rPr>
    </w:lvl>
    <w:lvl w:ilvl="2">
      <w:start w:val="1"/>
      <w:numFmt w:val="decimal"/>
      <w:lvlText w:val="%1.%2.%3"/>
      <w:lvlJc w:val="left"/>
      <w:pPr>
        <w:ind w:left="1152" w:hanging="720"/>
      </w:pPr>
      <w:rPr>
        <w:rFonts w:hint="default"/>
      </w:rPr>
    </w:lvl>
    <w:lvl w:ilvl="3">
      <w:start w:val="1"/>
      <w:numFmt w:val="decimal"/>
      <w:lvlText w:val="%1.%2.%3.%4"/>
      <w:lvlJc w:val="left"/>
      <w:pPr>
        <w:ind w:left="1296" w:hanging="864"/>
      </w:pPr>
      <w:rPr>
        <w:rFonts w:hint="default"/>
      </w:rPr>
    </w:lvl>
    <w:lvl w:ilvl="4">
      <w:start w:val="1"/>
      <w:numFmt w:val="none"/>
      <w:suff w:val="nothing"/>
      <w:lvlText w:val=""/>
      <w:lvlJc w:val="left"/>
      <w:pPr>
        <w:ind w:left="1440" w:hanging="1008"/>
      </w:pPr>
      <w:rPr>
        <w:rFonts w:hint="default"/>
      </w:rPr>
    </w:lvl>
    <w:lvl w:ilvl="5">
      <w:start w:val="1"/>
      <w:numFmt w:val="none"/>
      <w:suff w:val="nothing"/>
      <w:lvlText w:val=""/>
      <w:lvlJc w:val="left"/>
      <w:pPr>
        <w:ind w:left="1584" w:hanging="1152"/>
      </w:pPr>
      <w:rPr>
        <w:rFonts w:hint="default"/>
      </w:rPr>
    </w:lvl>
    <w:lvl w:ilvl="6">
      <w:start w:val="1"/>
      <w:numFmt w:val="decimal"/>
      <w:lvlText w:val="%1.%2.%3.%4.%5.%6.%7"/>
      <w:lvlJc w:val="left"/>
      <w:pPr>
        <w:ind w:left="1728" w:hanging="1296"/>
      </w:pPr>
      <w:rPr>
        <w:rFonts w:hint="default"/>
      </w:rPr>
    </w:lvl>
    <w:lvl w:ilvl="7">
      <w:start w:val="1"/>
      <w:numFmt w:val="decimal"/>
      <w:lvlText w:val="%1.%2.%3.%4.%5.%6.%7.%8"/>
      <w:lvlJc w:val="left"/>
      <w:pPr>
        <w:ind w:left="1872" w:hanging="1440"/>
      </w:pPr>
      <w:rPr>
        <w:rFonts w:hint="default"/>
      </w:rPr>
    </w:lvl>
    <w:lvl w:ilvl="8">
      <w:start w:val="1"/>
      <w:numFmt w:val="decimal"/>
      <w:lvlText w:val="%1.%2.%3.%4.%5.%6.%7.%8.%9"/>
      <w:lvlJc w:val="left"/>
      <w:pPr>
        <w:ind w:left="2016" w:hanging="1584"/>
      </w:pPr>
      <w:rPr>
        <w:rFonts w:hint="default"/>
      </w:rPr>
    </w:lvl>
  </w:abstractNum>
  <w:abstractNum w:abstractNumId="12" w15:restartNumberingAfterBreak="0">
    <w:nsid w:val="180B04E2"/>
    <w:multiLevelType w:val="hybridMultilevel"/>
    <w:tmpl w:val="23AE35B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ACC3306"/>
    <w:multiLevelType w:val="hybridMultilevel"/>
    <w:tmpl w:val="69ECE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99E4943"/>
    <w:multiLevelType w:val="hybridMultilevel"/>
    <w:tmpl w:val="88B88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B25750C"/>
    <w:multiLevelType w:val="hybridMultilevel"/>
    <w:tmpl w:val="441C5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6D2A3B"/>
    <w:multiLevelType w:val="hybridMultilevel"/>
    <w:tmpl w:val="0AC0A3FE"/>
    <w:lvl w:ilvl="0" w:tplc="0809000F">
      <w:start w:val="1"/>
      <w:numFmt w:val="decimal"/>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C724DD9"/>
    <w:multiLevelType w:val="hybridMultilevel"/>
    <w:tmpl w:val="75BADC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F93670F"/>
    <w:multiLevelType w:val="hybridMultilevel"/>
    <w:tmpl w:val="CC162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BD0D5F"/>
    <w:multiLevelType w:val="hybridMultilevel"/>
    <w:tmpl w:val="976A42B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275D86"/>
    <w:multiLevelType w:val="hybridMultilevel"/>
    <w:tmpl w:val="6F441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B87621"/>
    <w:multiLevelType w:val="hybridMultilevel"/>
    <w:tmpl w:val="2F460B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BD22186"/>
    <w:multiLevelType w:val="hybridMultilevel"/>
    <w:tmpl w:val="92CE4F58"/>
    <w:lvl w:ilvl="0" w:tplc="026E8D6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EA45DB"/>
    <w:multiLevelType w:val="hybridMultilevel"/>
    <w:tmpl w:val="50EE37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1577B12"/>
    <w:multiLevelType w:val="hybridMultilevel"/>
    <w:tmpl w:val="432EC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E57AC2"/>
    <w:multiLevelType w:val="multilevel"/>
    <w:tmpl w:val="4A7A79BC"/>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6" w15:restartNumberingAfterBreak="0">
    <w:nsid w:val="44815C2D"/>
    <w:multiLevelType w:val="hybridMultilevel"/>
    <w:tmpl w:val="D124F3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7EC5BDA"/>
    <w:multiLevelType w:val="hybridMultilevel"/>
    <w:tmpl w:val="F594B6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9074F88"/>
    <w:multiLevelType w:val="hybridMultilevel"/>
    <w:tmpl w:val="BE264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9C2635D"/>
    <w:multiLevelType w:val="hybridMultilevel"/>
    <w:tmpl w:val="8452D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A403D83"/>
    <w:multiLevelType w:val="hybridMultilevel"/>
    <w:tmpl w:val="285CC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863CF3"/>
    <w:multiLevelType w:val="multilevel"/>
    <w:tmpl w:val="01101420"/>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521F3C37"/>
    <w:multiLevelType w:val="hybridMultilevel"/>
    <w:tmpl w:val="B4E2F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4FF157B"/>
    <w:multiLevelType w:val="hybridMultilevel"/>
    <w:tmpl w:val="AD90EAEC"/>
    <w:lvl w:ilvl="0" w:tplc="7A56D472">
      <w:start w:val="536"/>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71A504F"/>
    <w:multiLevelType w:val="hybridMultilevel"/>
    <w:tmpl w:val="64DE05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1F08BE"/>
    <w:multiLevelType w:val="multilevel"/>
    <w:tmpl w:val="5100E8A8"/>
    <w:numStyleLink w:val="Numberedheadingsscheme"/>
  </w:abstractNum>
  <w:abstractNum w:abstractNumId="36" w15:restartNumberingAfterBreak="0">
    <w:nsid w:val="57552A6E"/>
    <w:multiLevelType w:val="hybridMultilevel"/>
    <w:tmpl w:val="E8407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987000"/>
    <w:multiLevelType w:val="hybridMultilevel"/>
    <w:tmpl w:val="054CB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FEE73E2"/>
    <w:multiLevelType w:val="hybridMultilevel"/>
    <w:tmpl w:val="F93ABC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07E7D1D"/>
    <w:multiLevelType w:val="hybridMultilevel"/>
    <w:tmpl w:val="4D400F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4C5207F"/>
    <w:multiLevelType w:val="hybridMultilevel"/>
    <w:tmpl w:val="CFEC3082"/>
    <w:lvl w:ilvl="0" w:tplc="6D84E5BA">
      <w:numFmt w:val="bullet"/>
      <w:lvlText w:val="-"/>
      <w:lvlJc w:val="left"/>
      <w:pPr>
        <w:ind w:left="1080" w:hanging="360"/>
      </w:pPr>
      <w:rPr>
        <w:rFonts w:ascii="Times New Roman" w:eastAsiaTheme="minorEastAsia"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65A66AE0"/>
    <w:multiLevelType w:val="hybridMultilevel"/>
    <w:tmpl w:val="D0A8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6C85BC4"/>
    <w:multiLevelType w:val="hybridMultilevel"/>
    <w:tmpl w:val="7280FD66"/>
    <w:lvl w:ilvl="0" w:tplc="F4E0CF0C">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682D5582"/>
    <w:multiLevelType w:val="hybridMultilevel"/>
    <w:tmpl w:val="4C720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8B23FB1"/>
    <w:multiLevelType w:val="multilevel"/>
    <w:tmpl w:val="5100E8A8"/>
    <w:styleLink w:val="Numberedheadingsscheme"/>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none"/>
      <w:pStyle w:val="Heading5"/>
      <w:suff w:val="nothing"/>
      <w:lvlText w:val=""/>
      <w:lvlJc w:val="left"/>
      <w:pPr>
        <w:ind w:left="1008" w:hanging="1008"/>
      </w:pPr>
      <w:rPr>
        <w:rFonts w:hint="default"/>
      </w:rPr>
    </w:lvl>
    <w:lvl w:ilvl="5">
      <w:start w:val="1"/>
      <w:numFmt w:val="none"/>
      <w:pStyle w:val="Heading6"/>
      <w:suff w:val="nothing"/>
      <w:lvlText w:val=""/>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5" w15:restartNumberingAfterBreak="0">
    <w:nsid w:val="6CC22333"/>
    <w:multiLevelType w:val="hybridMultilevel"/>
    <w:tmpl w:val="36AE0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F9C0C75"/>
    <w:multiLevelType w:val="hybridMultilevel"/>
    <w:tmpl w:val="2B62CD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F9D22EF"/>
    <w:multiLevelType w:val="hybridMultilevel"/>
    <w:tmpl w:val="D2EAF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00551F1"/>
    <w:multiLevelType w:val="hybridMultilevel"/>
    <w:tmpl w:val="7FB0EE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7401208A"/>
    <w:multiLevelType w:val="hybridMultilevel"/>
    <w:tmpl w:val="0BBC9D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0" w15:restartNumberingAfterBreak="0">
    <w:nsid w:val="743F7821"/>
    <w:multiLevelType w:val="hybridMultilevel"/>
    <w:tmpl w:val="212A9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7483241E"/>
    <w:multiLevelType w:val="hybridMultilevel"/>
    <w:tmpl w:val="A058E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7FDA1DB8"/>
    <w:multiLevelType w:val="hybridMultilevel"/>
    <w:tmpl w:val="7F9E4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1"/>
  </w:num>
  <w:num w:numId="2">
    <w:abstractNumId w:val="25"/>
  </w:num>
  <w:num w:numId="3">
    <w:abstractNumId w:val="44"/>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5"/>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9"/>
    <w:lvlOverride w:ilvl="0">
      <w:startOverride w:val="1"/>
    </w:lvlOverride>
  </w:num>
  <w:num w:numId="17">
    <w:abstractNumId w:val="26"/>
  </w:num>
  <w:num w:numId="18">
    <w:abstractNumId w:val="23"/>
  </w:num>
  <w:num w:numId="19">
    <w:abstractNumId w:val="50"/>
  </w:num>
  <w:num w:numId="20">
    <w:abstractNumId w:val="30"/>
  </w:num>
  <w:num w:numId="21">
    <w:abstractNumId w:val="12"/>
  </w:num>
  <w:num w:numId="22">
    <w:abstractNumId w:val="47"/>
  </w:num>
  <w:num w:numId="23">
    <w:abstractNumId w:val="29"/>
  </w:num>
  <w:num w:numId="24">
    <w:abstractNumId w:val="18"/>
  </w:num>
  <w:num w:numId="25">
    <w:abstractNumId w:val="45"/>
  </w:num>
  <w:num w:numId="26">
    <w:abstractNumId w:val="42"/>
  </w:num>
  <w:num w:numId="27">
    <w:abstractNumId w:val="52"/>
  </w:num>
  <w:num w:numId="28">
    <w:abstractNumId w:val="33"/>
  </w:num>
  <w:num w:numId="29">
    <w:abstractNumId w:val="36"/>
  </w:num>
  <w:num w:numId="30">
    <w:abstractNumId w:val="15"/>
  </w:num>
  <w:num w:numId="31">
    <w:abstractNumId w:val="20"/>
  </w:num>
  <w:num w:numId="32">
    <w:abstractNumId w:val="46"/>
  </w:num>
  <w:num w:numId="33">
    <w:abstractNumId w:val="37"/>
  </w:num>
  <w:num w:numId="34">
    <w:abstractNumId w:val="51"/>
  </w:num>
  <w:num w:numId="35">
    <w:abstractNumId w:val="48"/>
  </w:num>
  <w:num w:numId="36">
    <w:abstractNumId w:val="28"/>
  </w:num>
  <w:num w:numId="37">
    <w:abstractNumId w:val="27"/>
  </w:num>
  <w:num w:numId="38">
    <w:abstractNumId w:val="40"/>
  </w:num>
  <w:num w:numId="39">
    <w:abstractNumId w:val="21"/>
  </w:num>
  <w:num w:numId="40">
    <w:abstractNumId w:val="41"/>
  </w:num>
  <w:num w:numId="41">
    <w:abstractNumId w:val="17"/>
  </w:num>
  <w:num w:numId="42">
    <w:abstractNumId w:val="13"/>
  </w:num>
  <w:num w:numId="43">
    <w:abstractNumId w:val="10"/>
  </w:num>
  <w:num w:numId="44">
    <w:abstractNumId w:val="11"/>
  </w:num>
  <w:num w:numId="45">
    <w:abstractNumId w:val="19"/>
  </w:num>
  <w:num w:numId="46">
    <w:abstractNumId w:val="16"/>
  </w:num>
  <w:num w:numId="47">
    <w:abstractNumId w:val="49"/>
  </w:num>
  <w:num w:numId="48">
    <w:abstractNumId w:val="22"/>
  </w:num>
  <w:num w:numId="49">
    <w:abstractNumId w:val="34"/>
  </w:num>
  <w:num w:numId="50">
    <w:abstractNumId w:val="39"/>
  </w:num>
  <w:num w:numId="51">
    <w:abstractNumId w:val="32"/>
  </w:num>
  <w:num w:numId="52">
    <w:abstractNumId w:val="14"/>
  </w:num>
  <w:num w:numId="53">
    <w:abstractNumId w:val="24"/>
  </w:num>
  <w:num w:numId="54">
    <w:abstractNumId w:val="38"/>
  </w:num>
  <w:num w:numId="55">
    <w:abstractNumId w:val="4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styleLockQFSet/>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 HTA Reports&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wawz2ww0tttz2fexxanxex010szppvx9rppt&quot;&gt;pe paper library&lt;record-ids&gt;&lt;item&gt;1&lt;/item&gt;&lt;item&gt;2&lt;/item&gt;&lt;item&gt;3&lt;/item&gt;&lt;item&gt;4&lt;/item&gt;&lt;item&gt;5&lt;/item&gt;&lt;item&gt;19&lt;/item&gt;&lt;item&gt;35&lt;/item&gt;&lt;item&gt;36&lt;/item&gt;&lt;item&gt;37&lt;/item&gt;&lt;item&gt;38&lt;/item&gt;&lt;item&gt;39&lt;/item&gt;&lt;item&gt;40&lt;/item&gt;&lt;item&gt;42&lt;/item&gt;&lt;item&gt;43&lt;/item&gt;&lt;item&gt;45&lt;/item&gt;&lt;item&gt;46&lt;/item&gt;&lt;item&gt;47&lt;/item&gt;&lt;item&gt;48&lt;/item&gt;&lt;item&gt;49&lt;/item&gt;&lt;item&gt;50&lt;/item&gt;&lt;item&gt;51&lt;/item&gt;&lt;item&gt;52&lt;/item&gt;&lt;item&gt;54&lt;/item&gt;&lt;item&gt;55&lt;/item&gt;&lt;/record-ids&gt;&lt;/item&gt;&lt;/Libraries&gt;"/>
  </w:docVars>
  <w:rsids>
    <w:rsidRoot w:val="003A0212"/>
    <w:rsid w:val="00000BF3"/>
    <w:rsid w:val="00000FBE"/>
    <w:rsid w:val="000023AA"/>
    <w:rsid w:val="00002458"/>
    <w:rsid w:val="00002D4D"/>
    <w:rsid w:val="0001596A"/>
    <w:rsid w:val="000173BC"/>
    <w:rsid w:val="00022065"/>
    <w:rsid w:val="000308B0"/>
    <w:rsid w:val="000361B1"/>
    <w:rsid w:val="00037237"/>
    <w:rsid w:val="0004152F"/>
    <w:rsid w:val="000423A2"/>
    <w:rsid w:val="0004626C"/>
    <w:rsid w:val="00063712"/>
    <w:rsid w:val="0006439B"/>
    <w:rsid w:val="00064857"/>
    <w:rsid w:val="00065AD5"/>
    <w:rsid w:val="00067DC8"/>
    <w:rsid w:val="0007004E"/>
    <w:rsid w:val="0007347C"/>
    <w:rsid w:val="00076F26"/>
    <w:rsid w:val="00080C84"/>
    <w:rsid w:val="000820A5"/>
    <w:rsid w:val="00085D50"/>
    <w:rsid w:val="000901B3"/>
    <w:rsid w:val="00091F9A"/>
    <w:rsid w:val="00093247"/>
    <w:rsid w:val="00097E14"/>
    <w:rsid w:val="000A0826"/>
    <w:rsid w:val="000A1756"/>
    <w:rsid w:val="000A3BF5"/>
    <w:rsid w:val="000A6681"/>
    <w:rsid w:val="000B10E9"/>
    <w:rsid w:val="000B3BF9"/>
    <w:rsid w:val="000B4413"/>
    <w:rsid w:val="000B46A2"/>
    <w:rsid w:val="000C1E68"/>
    <w:rsid w:val="000C3259"/>
    <w:rsid w:val="000C3D14"/>
    <w:rsid w:val="000C456E"/>
    <w:rsid w:val="000C64F3"/>
    <w:rsid w:val="000C6D75"/>
    <w:rsid w:val="000D2CC8"/>
    <w:rsid w:val="000D4DA3"/>
    <w:rsid w:val="000D6017"/>
    <w:rsid w:val="000D6D19"/>
    <w:rsid w:val="000E130B"/>
    <w:rsid w:val="000E1829"/>
    <w:rsid w:val="000E2098"/>
    <w:rsid w:val="000E2174"/>
    <w:rsid w:val="000E3CED"/>
    <w:rsid w:val="000E5585"/>
    <w:rsid w:val="000E6709"/>
    <w:rsid w:val="000F04EF"/>
    <w:rsid w:val="000F43C6"/>
    <w:rsid w:val="00101889"/>
    <w:rsid w:val="001044ED"/>
    <w:rsid w:val="00107427"/>
    <w:rsid w:val="001103F6"/>
    <w:rsid w:val="00112465"/>
    <w:rsid w:val="00113882"/>
    <w:rsid w:val="00113FB9"/>
    <w:rsid w:val="00114B7B"/>
    <w:rsid w:val="00115AE2"/>
    <w:rsid w:val="001212E3"/>
    <w:rsid w:val="00124956"/>
    <w:rsid w:val="00126237"/>
    <w:rsid w:val="00127536"/>
    <w:rsid w:val="0013064F"/>
    <w:rsid w:val="00135F68"/>
    <w:rsid w:val="00136B4A"/>
    <w:rsid w:val="00141F95"/>
    <w:rsid w:val="00145E88"/>
    <w:rsid w:val="00145F20"/>
    <w:rsid w:val="00150072"/>
    <w:rsid w:val="001505AD"/>
    <w:rsid w:val="001511D4"/>
    <w:rsid w:val="0015254E"/>
    <w:rsid w:val="00154BA7"/>
    <w:rsid w:val="00154F8E"/>
    <w:rsid w:val="00155009"/>
    <w:rsid w:val="001553DE"/>
    <w:rsid w:val="00155454"/>
    <w:rsid w:val="001568F1"/>
    <w:rsid w:val="00160186"/>
    <w:rsid w:val="0016080D"/>
    <w:rsid w:val="0016298C"/>
    <w:rsid w:val="00166A2E"/>
    <w:rsid w:val="00166E07"/>
    <w:rsid w:val="00171051"/>
    <w:rsid w:val="00171163"/>
    <w:rsid w:val="0017206F"/>
    <w:rsid w:val="00174F91"/>
    <w:rsid w:val="0017527D"/>
    <w:rsid w:val="001813CC"/>
    <w:rsid w:val="001813CD"/>
    <w:rsid w:val="00184E57"/>
    <w:rsid w:val="00185825"/>
    <w:rsid w:val="001921A0"/>
    <w:rsid w:val="0019332C"/>
    <w:rsid w:val="00193E23"/>
    <w:rsid w:val="001974E8"/>
    <w:rsid w:val="001A0360"/>
    <w:rsid w:val="001A0F47"/>
    <w:rsid w:val="001A7380"/>
    <w:rsid w:val="001B1242"/>
    <w:rsid w:val="001B1D6B"/>
    <w:rsid w:val="001B23FB"/>
    <w:rsid w:val="001B4D5D"/>
    <w:rsid w:val="001B55D4"/>
    <w:rsid w:val="001B6D97"/>
    <w:rsid w:val="001B6EAA"/>
    <w:rsid w:val="001C3BB9"/>
    <w:rsid w:val="001C549F"/>
    <w:rsid w:val="001D0632"/>
    <w:rsid w:val="001D1330"/>
    <w:rsid w:val="001D27AC"/>
    <w:rsid w:val="001D5340"/>
    <w:rsid w:val="001E2639"/>
    <w:rsid w:val="001E2EA9"/>
    <w:rsid w:val="001E50C7"/>
    <w:rsid w:val="001E5910"/>
    <w:rsid w:val="001E697D"/>
    <w:rsid w:val="001F03DD"/>
    <w:rsid w:val="001F08C6"/>
    <w:rsid w:val="001F3EB2"/>
    <w:rsid w:val="001F6427"/>
    <w:rsid w:val="00204A6F"/>
    <w:rsid w:val="00210221"/>
    <w:rsid w:val="0021151D"/>
    <w:rsid w:val="00214233"/>
    <w:rsid w:val="00216D5A"/>
    <w:rsid w:val="00227511"/>
    <w:rsid w:val="00230756"/>
    <w:rsid w:val="00231C9B"/>
    <w:rsid w:val="00235B7F"/>
    <w:rsid w:val="002373C1"/>
    <w:rsid w:val="00241FB2"/>
    <w:rsid w:val="002433B5"/>
    <w:rsid w:val="0024404F"/>
    <w:rsid w:val="00245492"/>
    <w:rsid w:val="00250112"/>
    <w:rsid w:val="00251520"/>
    <w:rsid w:val="00255EB0"/>
    <w:rsid w:val="00256424"/>
    <w:rsid w:val="00260D74"/>
    <w:rsid w:val="002619D5"/>
    <w:rsid w:val="00265E3E"/>
    <w:rsid w:val="00265EFD"/>
    <w:rsid w:val="00267B88"/>
    <w:rsid w:val="00270EDC"/>
    <w:rsid w:val="00271E4C"/>
    <w:rsid w:val="00274EA2"/>
    <w:rsid w:val="0027587D"/>
    <w:rsid w:val="00282A3E"/>
    <w:rsid w:val="002869A1"/>
    <w:rsid w:val="00286B13"/>
    <w:rsid w:val="00290A40"/>
    <w:rsid w:val="00292CCA"/>
    <w:rsid w:val="00293048"/>
    <w:rsid w:val="00294D8B"/>
    <w:rsid w:val="002977E7"/>
    <w:rsid w:val="002A547D"/>
    <w:rsid w:val="002A5BA8"/>
    <w:rsid w:val="002A5D92"/>
    <w:rsid w:val="002A5ECD"/>
    <w:rsid w:val="002A63A7"/>
    <w:rsid w:val="002B3088"/>
    <w:rsid w:val="002C1637"/>
    <w:rsid w:val="002C53D8"/>
    <w:rsid w:val="002C5C02"/>
    <w:rsid w:val="002C733A"/>
    <w:rsid w:val="002C7DCC"/>
    <w:rsid w:val="002D0A5C"/>
    <w:rsid w:val="002D5C99"/>
    <w:rsid w:val="002E0381"/>
    <w:rsid w:val="002E0DA5"/>
    <w:rsid w:val="002E55C7"/>
    <w:rsid w:val="002E642E"/>
    <w:rsid w:val="002F1E0A"/>
    <w:rsid w:val="002F3B76"/>
    <w:rsid w:val="002F5228"/>
    <w:rsid w:val="002F62A1"/>
    <w:rsid w:val="002F6A9A"/>
    <w:rsid w:val="002F728D"/>
    <w:rsid w:val="002F7681"/>
    <w:rsid w:val="002F7963"/>
    <w:rsid w:val="002F7F49"/>
    <w:rsid w:val="002F7FC3"/>
    <w:rsid w:val="00315352"/>
    <w:rsid w:val="00322176"/>
    <w:rsid w:val="00323D4D"/>
    <w:rsid w:val="00324083"/>
    <w:rsid w:val="003256FE"/>
    <w:rsid w:val="0033180D"/>
    <w:rsid w:val="0033399A"/>
    <w:rsid w:val="00341AB7"/>
    <w:rsid w:val="00352717"/>
    <w:rsid w:val="00352AC3"/>
    <w:rsid w:val="003536F5"/>
    <w:rsid w:val="00355831"/>
    <w:rsid w:val="00356461"/>
    <w:rsid w:val="00357904"/>
    <w:rsid w:val="00363520"/>
    <w:rsid w:val="003642BF"/>
    <w:rsid w:val="00370A3F"/>
    <w:rsid w:val="0037222F"/>
    <w:rsid w:val="0037397B"/>
    <w:rsid w:val="00373CFB"/>
    <w:rsid w:val="003746A2"/>
    <w:rsid w:val="00375504"/>
    <w:rsid w:val="00375F4B"/>
    <w:rsid w:val="00376E7D"/>
    <w:rsid w:val="00377012"/>
    <w:rsid w:val="003817D2"/>
    <w:rsid w:val="00381FCE"/>
    <w:rsid w:val="003821CF"/>
    <w:rsid w:val="00383DCA"/>
    <w:rsid w:val="00384A60"/>
    <w:rsid w:val="00384E82"/>
    <w:rsid w:val="00386615"/>
    <w:rsid w:val="00386DE0"/>
    <w:rsid w:val="003926FD"/>
    <w:rsid w:val="0039270E"/>
    <w:rsid w:val="00392B73"/>
    <w:rsid w:val="00393D91"/>
    <w:rsid w:val="003A0212"/>
    <w:rsid w:val="003A0843"/>
    <w:rsid w:val="003A097C"/>
    <w:rsid w:val="003A26D0"/>
    <w:rsid w:val="003A3825"/>
    <w:rsid w:val="003A534F"/>
    <w:rsid w:val="003A57D1"/>
    <w:rsid w:val="003B0637"/>
    <w:rsid w:val="003B5B49"/>
    <w:rsid w:val="003B6DF1"/>
    <w:rsid w:val="003C1264"/>
    <w:rsid w:val="003D7DB6"/>
    <w:rsid w:val="003E1461"/>
    <w:rsid w:val="003E4CE1"/>
    <w:rsid w:val="003E5237"/>
    <w:rsid w:val="003F0C8B"/>
    <w:rsid w:val="003F11D9"/>
    <w:rsid w:val="003F27F1"/>
    <w:rsid w:val="003F42BC"/>
    <w:rsid w:val="00402466"/>
    <w:rsid w:val="004033F3"/>
    <w:rsid w:val="00403B1B"/>
    <w:rsid w:val="00405887"/>
    <w:rsid w:val="00405DD3"/>
    <w:rsid w:val="004074A7"/>
    <w:rsid w:val="00410548"/>
    <w:rsid w:val="0041168E"/>
    <w:rsid w:val="00412CEA"/>
    <w:rsid w:val="00413C99"/>
    <w:rsid w:val="00414127"/>
    <w:rsid w:val="004165C1"/>
    <w:rsid w:val="00430FD7"/>
    <w:rsid w:val="00431A61"/>
    <w:rsid w:val="0043691F"/>
    <w:rsid w:val="00441D59"/>
    <w:rsid w:val="00442BFF"/>
    <w:rsid w:val="00444897"/>
    <w:rsid w:val="0045251B"/>
    <w:rsid w:val="00455ACD"/>
    <w:rsid w:val="00460C8E"/>
    <w:rsid w:val="00465C1E"/>
    <w:rsid w:val="0046709F"/>
    <w:rsid w:val="0047008F"/>
    <w:rsid w:val="00472536"/>
    <w:rsid w:val="00472F39"/>
    <w:rsid w:val="004735F0"/>
    <w:rsid w:val="00474A28"/>
    <w:rsid w:val="00474B61"/>
    <w:rsid w:val="00486B6A"/>
    <w:rsid w:val="004873B4"/>
    <w:rsid w:val="00490148"/>
    <w:rsid w:val="00490761"/>
    <w:rsid w:val="00490BF0"/>
    <w:rsid w:val="0049327C"/>
    <w:rsid w:val="004963C4"/>
    <w:rsid w:val="00496E8B"/>
    <w:rsid w:val="00497311"/>
    <w:rsid w:val="00497903"/>
    <w:rsid w:val="004A1B47"/>
    <w:rsid w:val="004A1F70"/>
    <w:rsid w:val="004A3222"/>
    <w:rsid w:val="004A4F4A"/>
    <w:rsid w:val="004B26EE"/>
    <w:rsid w:val="004B7BD1"/>
    <w:rsid w:val="004C4C04"/>
    <w:rsid w:val="004C5BBA"/>
    <w:rsid w:val="004C62B7"/>
    <w:rsid w:val="004D2EE4"/>
    <w:rsid w:val="004D4BB9"/>
    <w:rsid w:val="004D4BC9"/>
    <w:rsid w:val="004D5D6B"/>
    <w:rsid w:val="004D6791"/>
    <w:rsid w:val="004E1856"/>
    <w:rsid w:val="004E1B27"/>
    <w:rsid w:val="004E2A0C"/>
    <w:rsid w:val="004E2F9E"/>
    <w:rsid w:val="004E3F24"/>
    <w:rsid w:val="004E428E"/>
    <w:rsid w:val="004F27D0"/>
    <w:rsid w:val="004F5444"/>
    <w:rsid w:val="004F6034"/>
    <w:rsid w:val="004F6570"/>
    <w:rsid w:val="00502281"/>
    <w:rsid w:val="00506817"/>
    <w:rsid w:val="00507A49"/>
    <w:rsid w:val="00507B96"/>
    <w:rsid w:val="00511048"/>
    <w:rsid w:val="0051209E"/>
    <w:rsid w:val="005151DF"/>
    <w:rsid w:val="00515544"/>
    <w:rsid w:val="0051566F"/>
    <w:rsid w:val="0051667B"/>
    <w:rsid w:val="005168A9"/>
    <w:rsid w:val="00520CB9"/>
    <w:rsid w:val="0052195B"/>
    <w:rsid w:val="00521E3F"/>
    <w:rsid w:val="0052438D"/>
    <w:rsid w:val="00525101"/>
    <w:rsid w:val="00531580"/>
    <w:rsid w:val="00531D79"/>
    <w:rsid w:val="00540134"/>
    <w:rsid w:val="00542280"/>
    <w:rsid w:val="00551963"/>
    <w:rsid w:val="00555EB9"/>
    <w:rsid w:val="00556244"/>
    <w:rsid w:val="005637D1"/>
    <w:rsid w:val="00564034"/>
    <w:rsid w:val="005641BF"/>
    <w:rsid w:val="00564C90"/>
    <w:rsid w:val="005654F3"/>
    <w:rsid w:val="00565775"/>
    <w:rsid w:val="005712AA"/>
    <w:rsid w:val="00574317"/>
    <w:rsid w:val="00576883"/>
    <w:rsid w:val="00582177"/>
    <w:rsid w:val="005837FB"/>
    <w:rsid w:val="005841DF"/>
    <w:rsid w:val="00585FB6"/>
    <w:rsid w:val="00586BE5"/>
    <w:rsid w:val="00587C35"/>
    <w:rsid w:val="00590A0D"/>
    <w:rsid w:val="00592A77"/>
    <w:rsid w:val="00593780"/>
    <w:rsid w:val="00595B2C"/>
    <w:rsid w:val="00597A1F"/>
    <w:rsid w:val="005A34C9"/>
    <w:rsid w:val="005A646A"/>
    <w:rsid w:val="005B35FF"/>
    <w:rsid w:val="005B6BF3"/>
    <w:rsid w:val="005C1149"/>
    <w:rsid w:val="005C2D42"/>
    <w:rsid w:val="005C45E0"/>
    <w:rsid w:val="005C5C79"/>
    <w:rsid w:val="005C5F64"/>
    <w:rsid w:val="005C7D06"/>
    <w:rsid w:val="005D058D"/>
    <w:rsid w:val="005D1B6D"/>
    <w:rsid w:val="005D4E60"/>
    <w:rsid w:val="005D6393"/>
    <w:rsid w:val="005D6768"/>
    <w:rsid w:val="005D6C8B"/>
    <w:rsid w:val="005E006D"/>
    <w:rsid w:val="005E2756"/>
    <w:rsid w:val="005E3177"/>
    <w:rsid w:val="005E40D2"/>
    <w:rsid w:val="005E561D"/>
    <w:rsid w:val="005E62E6"/>
    <w:rsid w:val="005E7B36"/>
    <w:rsid w:val="005F1AC4"/>
    <w:rsid w:val="005F4046"/>
    <w:rsid w:val="005F48C2"/>
    <w:rsid w:val="005F5849"/>
    <w:rsid w:val="005F5BA8"/>
    <w:rsid w:val="005F7871"/>
    <w:rsid w:val="00601364"/>
    <w:rsid w:val="006026D5"/>
    <w:rsid w:val="006039F9"/>
    <w:rsid w:val="006048B0"/>
    <w:rsid w:val="00604FB7"/>
    <w:rsid w:val="0060554D"/>
    <w:rsid w:val="0061010D"/>
    <w:rsid w:val="006101BF"/>
    <w:rsid w:val="006118C6"/>
    <w:rsid w:val="00616F1B"/>
    <w:rsid w:val="006201A7"/>
    <w:rsid w:val="00622DA4"/>
    <w:rsid w:val="00626C60"/>
    <w:rsid w:val="00630462"/>
    <w:rsid w:val="00631ACE"/>
    <w:rsid w:val="00636C62"/>
    <w:rsid w:val="006422FC"/>
    <w:rsid w:val="00643555"/>
    <w:rsid w:val="00643C51"/>
    <w:rsid w:val="00645E33"/>
    <w:rsid w:val="006500A7"/>
    <w:rsid w:val="00654D59"/>
    <w:rsid w:val="00661EBA"/>
    <w:rsid w:val="0067014D"/>
    <w:rsid w:val="006713FF"/>
    <w:rsid w:val="00671FD1"/>
    <w:rsid w:val="00673EA1"/>
    <w:rsid w:val="0067503E"/>
    <w:rsid w:val="0067586A"/>
    <w:rsid w:val="00676CE0"/>
    <w:rsid w:val="00681B3D"/>
    <w:rsid w:val="0068504F"/>
    <w:rsid w:val="00685208"/>
    <w:rsid w:val="0069307F"/>
    <w:rsid w:val="00693BE8"/>
    <w:rsid w:val="00693CB0"/>
    <w:rsid w:val="0069601F"/>
    <w:rsid w:val="00696F93"/>
    <w:rsid w:val="006A48FA"/>
    <w:rsid w:val="006A5F56"/>
    <w:rsid w:val="006A6166"/>
    <w:rsid w:val="006A62D7"/>
    <w:rsid w:val="006B10CA"/>
    <w:rsid w:val="006B3F83"/>
    <w:rsid w:val="006B65B7"/>
    <w:rsid w:val="006B70DC"/>
    <w:rsid w:val="006B729A"/>
    <w:rsid w:val="006C26A7"/>
    <w:rsid w:val="006C34C7"/>
    <w:rsid w:val="006C6E38"/>
    <w:rsid w:val="006C7532"/>
    <w:rsid w:val="006D0359"/>
    <w:rsid w:val="006D349B"/>
    <w:rsid w:val="006E05F2"/>
    <w:rsid w:val="006E2608"/>
    <w:rsid w:val="006F29F4"/>
    <w:rsid w:val="007006D1"/>
    <w:rsid w:val="00701F7D"/>
    <w:rsid w:val="0070393B"/>
    <w:rsid w:val="007039AC"/>
    <w:rsid w:val="00703ADA"/>
    <w:rsid w:val="00705671"/>
    <w:rsid w:val="00706C3C"/>
    <w:rsid w:val="007155FF"/>
    <w:rsid w:val="00715BCA"/>
    <w:rsid w:val="00715C74"/>
    <w:rsid w:val="00716ECE"/>
    <w:rsid w:val="00721C65"/>
    <w:rsid w:val="00722052"/>
    <w:rsid w:val="007225A8"/>
    <w:rsid w:val="007274E5"/>
    <w:rsid w:val="00727691"/>
    <w:rsid w:val="00734752"/>
    <w:rsid w:val="00740597"/>
    <w:rsid w:val="00742F06"/>
    <w:rsid w:val="00744AFE"/>
    <w:rsid w:val="0074605D"/>
    <w:rsid w:val="0075051E"/>
    <w:rsid w:val="00754AE4"/>
    <w:rsid w:val="00755546"/>
    <w:rsid w:val="00763E91"/>
    <w:rsid w:val="007644DB"/>
    <w:rsid w:val="00773084"/>
    <w:rsid w:val="007745BC"/>
    <w:rsid w:val="00775417"/>
    <w:rsid w:val="00776269"/>
    <w:rsid w:val="00777F02"/>
    <w:rsid w:val="0078134B"/>
    <w:rsid w:val="007815F8"/>
    <w:rsid w:val="00782418"/>
    <w:rsid w:val="007836FD"/>
    <w:rsid w:val="00784627"/>
    <w:rsid w:val="00785F4E"/>
    <w:rsid w:val="0078782B"/>
    <w:rsid w:val="00791A8F"/>
    <w:rsid w:val="0079312F"/>
    <w:rsid w:val="007935E0"/>
    <w:rsid w:val="00794BE6"/>
    <w:rsid w:val="00796233"/>
    <w:rsid w:val="0079668A"/>
    <w:rsid w:val="00796D3A"/>
    <w:rsid w:val="00797163"/>
    <w:rsid w:val="00797DF5"/>
    <w:rsid w:val="007A2CB5"/>
    <w:rsid w:val="007B02A0"/>
    <w:rsid w:val="007B14CC"/>
    <w:rsid w:val="007B651A"/>
    <w:rsid w:val="007C1747"/>
    <w:rsid w:val="007C20B5"/>
    <w:rsid w:val="007C3BEA"/>
    <w:rsid w:val="007C7A8E"/>
    <w:rsid w:val="007D0AF2"/>
    <w:rsid w:val="007D25AB"/>
    <w:rsid w:val="007E076D"/>
    <w:rsid w:val="007E1064"/>
    <w:rsid w:val="007E27D8"/>
    <w:rsid w:val="007E5A29"/>
    <w:rsid w:val="007E5BF7"/>
    <w:rsid w:val="007F2755"/>
    <w:rsid w:val="007F6893"/>
    <w:rsid w:val="00800729"/>
    <w:rsid w:val="00802A43"/>
    <w:rsid w:val="00802B68"/>
    <w:rsid w:val="008058BC"/>
    <w:rsid w:val="008071CE"/>
    <w:rsid w:val="00812815"/>
    <w:rsid w:val="00814CC0"/>
    <w:rsid w:val="008221BB"/>
    <w:rsid w:val="00822F41"/>
    <w:rsid w:val="00823585"/>
    <w:rsid w:val="008242C0"/>
    <w:rsid w:val="00825559"/>
    <w:rsid w:val="00827340"/>
    <w:rsid w:val="008330B4"/>
    <w:rsid w:val="008341B3"/>
    <w:rsid w:val="008347D0"/>
    <w:rsid w:val="0085407C"/>
    <w:rsid w:val="008558AE"/>
    <w:rsid w:val="00855C79"/>
    <w:rsid w:val="00863D6B"/>
    <w:rsid w:val="0086484C"/>
    <w:rsid w:val="00867517"/>
    <w:rsid w:val="00870246"/>
    <w:rsid w:val="008826DC"/>
    <w:rsid w:val="00882AC9"/>
    <w:rsid w:val="00882AD0"/>
    <w:rsid w:val="00883686"/>
    <w:rsid w:val="00894D90"/>
    <w:rsid w:val="00895579"/>
    <w:rsid w:val="00895BF6"/>
    <w:rsid w:val="008A07C4"/>
    <w:rsid w:val="008A14C3"/>
    <w:rsid w:val="008A28A0"/>
    <w:rsid w:val="008B11D1"/>
    <w:rsid w:val="008C0462"/>
    <w:rsid w:val="008C117D"/>
    <w:rsid w:val="008C3F30"/>
    <w:rsid w:val="008C4430"/>
    <w:rsid w:val="008C7086"/>
    <w:rsid w:val="008D7075"/>
    <w:rsid w:val="008E113F"/>
    <w:rsid w:val="008E127D"/>
    <w:rsid w:val="008E18EC"/>
    <w:rsid w:val="008E5393"/>
    <w:rsid w:val="008E62C0"/>
    <w:rsid w:val="008F06AD"/>
    <w:rsid w:val="008F17BD"/>
    <w:rsid w:val="008F21BF"/>
    <w:rsid w:val="008F3055"/>
    <w:rsid w:val="008F5975"/>
    <w:rsid w:val="008F5AA9"/>
    <w:rsid w:val="009000ED"/>
    <w:rsid w:val="00905992"/>
    <w:rsid w:val="009065AA"/>
    <w:rsid w:val="00912565"/>
    <w:rsid w:val="00920BDC"/>
    <w:rsid w:val="0092132E"/>
    <w:rsid w:val="0092349B"/>
    <w:rsid w:val="00930338"/>
    <w:rsid w:val="009351A1"/>
    <w:rsid w:val="009369EA"/>
    <w:rsid w:val="00945E1E"/>
    <w:rsid w:val="00947469"/>
    <w:rsid w:val="00950ABD"/>
    <w:rsid w:val="0095111E"/>
    <w:rsid w:val="00962E2F"/>
    <w:rsid w:val="00964D0F"/>
    <w:rsid w:val="009737FC"/>
    <w:rsid w:val="00976411"/>
    <w:rsid w:val="0097747C"/>
    <w:rsid w:val="00982564"/>
    <w:rsid w:val="00984B37"/>
    <w:rsid w:val="009875FD"/>
    <w:rsid w:val="0099120E"/>
    <w:rsid w:val="00993910"/>
    <w:rsid w:val="00995A3E"/>
    <w:rsid w:val="009960B1"/>
    <w:rsid w:val="009A0E57"/>
    <w:rsid w:val="009A17C5"/>
    <w:rsid w:val="009A7213"/>
    <w:rsid w:val="009B01EE"/>
    <w:rsid w:val="009B0D22"/>
    <w:rsid w:val="009B1AF8"/>
    <w:rsid w:val="009B3040"/>
    <w:rsid w:val="009B46F9"/>
    <w:rsid w:val="009B5574"/>
    <w:rsid w:val="009C0D40"/>
    <w:rsid w:val="009C1405"/>
    <w:rsid w:val="009C2E7D"/>
    <w:rsid w:val="009C7CAD"/>
    <w:rsid w:val="009D19CF"/>
    <w:rsid w:val="009D1E3D"/>
    <w:rsid w:val="009D49F3"/>
    <w:rsid w:val="009D5823"/>
    <w:rsid w:val="009E39D5"/>
    <w:rsid w:val="009E4F15"/>
    <w:rsid w:val="009E72E7"/>
    <w:rsid w:val="009F0050"/>
    <w:rsid w:val="009F1766"/>
    <w:rsid w:val="009F1981"/>
    <w:rsid w:val="009F23D7"/>
    <w:rsid w:val="009F532F"/>
    <w:rsid w:val="009F5D71"/>
    <w:rsid w:val="00A01FE1"/>
    <w:rsid w:val="00A0382B"/>
    <w:rsid w:val="00A04D60"/>
    <w:rsid w:val="00A06756"/>
    <w:rsid w:val="00A06F67"/>
    <w:rsid w:val="00A114A3"/>
    <w:rsid w:val="00A1159A"/>
    <w:rsid w:val="00A12099"/>
    <w:rsid w:val="00A12E0A"/>
    <w:rsid w:val="00A17E5E"/>
    <w:rsid w:val="00A20226"/>
    <w:rsid w:val="00A244BE"/>
    <w:rsid w:val="00A250F2"/>
    <w:rsid w:val="00A25979"/>
    <w:rsid w:val="00A266E4"/>
    <w:rsid w:val="00A27642"/>
    <w:rsid w:val="00A329C7"/>
    <w:rsid w:val="00A32A95"/>
    <w:rsid w:val="00A3368A"/>
    <w:rsid w:val="00A34F10"/>
    <w:rsid w:val="00A36D82"/>
    <w:rsid w:val="00A37BA2"/>
    <w:rsid w:val="00A4091C"/>
    <w:rsid w:val="00A40E0F"/>
    <w:rsid w:val="00A413AF"/>
    <w:rsid w:val="00A4604B"/>
    <w:rsid w:val="00A469D1"/>
    <w:rsid w:val="00A46C3D"/>
    <w:rsid w:val="00A46CBB"/>
    <w:rsid w:val="00A513A4"/>
    <w:rsid w:val="00A53216"/>
    <w:rsid w:val="00A55B65"/>
    <w:rsid w:val="00A5604A"/>
    <w:rsid w:val="00A57A51"/>
    <w:rsid w:val="00A600D6"/>
    <w:rsid w:val="00A60970"/>
    <w:rsid w:val="00A624FD"/>
    <w:rsid w:val="00A63293"/>
    <w:rsid w:val="00A63ADB"/>
    <w:rsid w:val="00A65E80"/>
    <w:rsid w:val="00A72D2A"/>
    <w:rsid w:val="00A741A2"/>
    <w:rsid w:val="00A762A1"/>
    <w:rsid w:val="00A909B6"/>
    <w:rsid w:val="00A97601"/>
    <w:rsid w:val="00AA029A"/>
    <w:rsid w:val="00AA0429"/>
    <w:rsid w:val="00AA1944"/>
    <w:rsid w:val="00AA2D28"/>
    <w:rsid w:val="00AA31F5"/>
    <w:rsid w:val="00AA48C0"/>
    <w:rsid w:val="00AA68B4"/>
    <w:rsid w:val="00AA7552"/>
    <w:rsid w:val="00AB3C1B"/>
    <w:rsid w:val="00AB413F"/>
    <w:rsid w:val="00AB6ADF"/>
    <w:rsid w:val="00AC1253"/>
    <w:rsid w:val="00AC4B4B"/>
    <w:rsid w:val="00AC7BAA"/>
    <w:rsid w:val="00AD3C1D"/>
    <w:rsid w:val="00AD55D5"/>
    <w:rsid w:val="00AD5F75"/>
    <w:rsid w:val="00AD66D3"/>
    <w:rsid w:val="00AE4B06"/>
    <w:rsid w:val="00AF1B3D"/>
    <w:rsid w:val="00AF6000"/>
    <w:rsid w:val="00B01508"/>
    <w:rsid w:val="00B0523F"/>
    <w:rsid w:val="00B07072"/>
    <w:rsid w:val="00B1332C"/>
    <w:rsid w:val="00B172FE"/>
    <w:rsid w:val="00B223B6"/>
    <w:rsid w:val="00B266B5"/>
    <w:rsid w:val="00B32A8C"/>
    <w:rsid w:val="00B332AE"/>
    <w:rsid w:val="00B41980"/>
    <w:rsid w:val="00B45CB9"/>
    <w:rsid w:val="00B5077B"/>
    <w:rsid w:val="00B52D10"/>
    <w:rsid w:val="00B55DD6"/>
    <w:rsid w:val="00B55F1F"/>
    <w:rsid w:val="00B5674D"/>
    <w:rsid w:val="00B57FCC"/>
    <w:rsid w:val="00B62A40"/>
    <w:rsid w:val="00B64C46"/>
    <w:rsid w:val="00B660D0"/>
    <w:rsid w:val="00B7056D"/>
    <w:rsid w:val="00B725B9"/>
    <w:rsid w:val="00B7323C"/>
    <w:rsid w:val="00B740BF"/>
    <w:rsid w:val="00B74D33"/>
    <w:rsid w:val="00B75865"/>
    <w:rsid w:val="00B76722"/>
    <w:rsid w:val="00B821A4"/>
    <w:rsid w:val="00B83E79"/>
    <w:rsid w:val="00B91E28"/>
    <w:rsid w:val="00B94647"/>
    <w:rsid w:val="00BA2BEF"/>
    <w:rsid w:val="00BA2CB4"/>
    <w:rsid w:val="00BA43AC"/>
    <w:rsid w:val="00BA53FF"/>
    <w:rsid w:val="00BA5D1F"/>
    <w:rsid w:val="00BA66D1"/>
    <w:rsid w:val="00BA793B"/>
    <w:rsid w:val="00BB66A6"/>
    <w:rsid w:val="00BC3C2D"/>
    <w:rsid w:val="00BC74D5"/>
    <w:rsid w:val="00BD2722"/>
    <w:rsid w:val="00BD4604"/>
    <w:rsid w:val="00BD526B"/>
    <w:rsid w:val="00BE3376"/>
    <w:rsid w:val="00BE4DDB"/>
    <w:rsid w:val="00BE510E"/>
    <w:rsid w:val="00BF1336"/>
    <w:rsid w:val="00BF1E5A"/>
    <w:rsid w:val="00BF47C0"/>
    <w:rsid w:val="00C02F51"/>
    <w:rsid w:val="00C0434F"/>
    <w:rsid w:val="00C053BE"/>
    <w:rsid w:val="00C07C45"/>
    <w:rsid w:val="00C13D9D"/>
    <w:rsid w:val="00C1476A"/>
    <w:rsid w:val="00C23C5E"/>
    <w:rsid w:val="00C24A7E"/>
    <w:rsid w:val="00C252F4"/>
    <w:rsid w:val="00C27742"/>
    <w:rsid w:val="00C316C4"/>
    <w:rsid w:val="00C36226"/>
    <w:rsid w:val="00C36FA7"/>
    <w:rsid w:val="00C40F3B"/>
    <w:rsid w:val="00C45C2C"/>
    <w:rsid w:val="00C5050A"/>
    <w:rsid w:val="00C50A84"/>
    <w:rsid w:val="00C5417A"/>
    <w:rsid w:val="00C5442E"/>
    <w:rsid w:val="00C549AC"/>
    <w:rsid w:val="00C57709"/>
    <w:rsid w:val="00C60C8F"/>
    <w:rsid w:val="00C61A56"/>
    <w:rsid w:val="00C6464C"/>
    <w:rsid w:val="00C675CD"/>
    <w:rsid w:val="00C72DFC"/>
    <w:rsid w:val="00C73956"/>
    <w:rsid w:val="00C75235"/>
    <w:rsid w:val="00C816E9"/>
    <w:rsid w:val="00C82283"/>
    <w:rsid w:val="00C84B6B"/>
    <w:rsid w:val="00C9037E"/>
    <w:rsid w:val="00C92F4C"/>
    <w:rsid w:val="00C94001"/>
    <w:rsid w:val="00C954FC"/>
    <w:rsid w:val="00C96FB0"/>
    <w:rsid w:val="00CA6246"/>
    <w:rsid w:val="00CB2021"/>
    <w:rsid w:val="00CB56DA"/>
    <w:rsid w:val="00CB7DE4"/>
    <w:rsid w:val="00CC28B6"/>
    <w:rsid w:val="00CC6504"/>
    <w:rsid w:val="00CD3D91"/>
    <w:rsid w:val="00CE0D7B"/>
    <w:rsid w:val="00CE1318"/>
    <w:rsid w:val="00CE670F"/>
    <w:rsid w:val="00CF1FF2"/>
    <w:rsid w:val="00CF24DA"/>
    <w:rsid w:val="00CF30B8"/>
    <w:rsid w:val="00CF6638"/>
    <w:rsid w:val="00CF7891"/>
    <w:rsid w:val="00CF7B29"/>
    <w:rsid w:val="00D01A62"/>
    <w:rsid w:val="00D0349A"/>
    <w:rsid w:val="00D056C8"/>
    <w:rsid w:val="00D1189D"/>
    <w:rsid w:val="00D1240A"/>
    <w:rsid w:val="00D14172"/>
    <w:rsid w:val="00D14FE0"/>
    <w:rsid w:val="00D15B4D"/>
    <w:rsid w:val="00D21877"/>
    <w:rsid w:val="00D22DB5"/>
    <w:rsid w:val="00D23297"/>
    <w:rsid w:val="00D23868"/>
    <w:rsid w:val="00D23E45"/>
    <w:rsid w:val="00D258B4"/>
    <w:rsid w:val="00D3061B"/>
    <w:rsid w:val="00D3497B"/>
    <w:rsid w:val="00D37EC2"/>
    <w:rsid w:val="00D40FF4"/>
    <w:rsid w:val="00D413DE"/>
    <w:rsid w:val="00D4236E"/>
    <w:rsid w:val="00D42E88"/>
    <w:rsid w:val="00D43574"/>
    <w:rsid w:val="00D448DC"/>
    <w:rsid w:val="00D459D2"/>
    <w:rsid w:val="00D46173"/>
    <w:rsid w:val="00D46AA0"/>
    <w:rsid w:val="00D532D5"/>
    <w:rsid w:val="00D5492E"/>
    <w:rsid w:val="00D56D14"/>
    <w:rsid w:val="00D604BC"/>
    <w:rsid w:val="00D61D76"/>
    <w:rsid w:val="00D65A05"/>
    <w:rsid w:val="00D66123"/>
    <w:rsid w:val="00D716C6"/>
    <w:rsid w:val="00D7323B"/>
    <w:rsid w:val="00D74B43"/>
    <w:rsid w:val="00D7648F"/>
    <w:rsid w:val="00D7760D"/>
    <w:rsid w:val="00D820B0"/>
    <w:rsid w:val="00D83AF8"/>
    <w:rsid w:val="00D83D28"/>
    <w:rsid w:val="00D84785"/>
    <w:rsid w:val="00D84DC4"/>
    <w:rsid w:val="00D85F08"/>
    <w:rsid w:val="00D91E4B"/>
    <w:rsid w:val="00D925F2"/>
    <w:rsid w:val="00D9463A"/>
    <w:rsid w:val="00D951D3"/>
    <w:rsid w:val="00D959C3"/>
    <w:rsid w:val="00D96E3B"/>
    <w:rsid w:val="00DA0BBF"/>
    <w:rsid w:val="00DA2537"/>
    <w:rsid w:val="00DA30CA"/>
    <w:rsid w:val="00DA6EEC"/>
    <w:rsid w:val="00DA70B8"/>
    <w:rsid w:val="00DA7D97"/>
    <w:rsid w:val="00DB02C3"/>
    <w:rsid w:val="00DB19C6"/>
    <w:rsid w:val="00DB1EED"/>
    <w:rsid w:val="00DB2D20"/>
    <w:rsid w:val="00DB37FB"/>
    <w:rsid w:val="00DB71BE"/>
    <w:rsid w:val="00DC0DB0"/>
    <w:rsid w:val="00DC40F4"/>
    <w:rsid w:val="00DC452A"/>
    <w:rsid w:val="00DD5479"/>
    <w:rsid w:val="00DD5E6C"/>
    <w:rsid w:val="00DD7CCE"/>
    <w:rsid w:val="00DE01BA"/>
    <w:rsid w:val="00DE168F"/>
    <w:rsid w:val="00DE2144"/>
    <w:rsid w:val="00DE38E6"/>
    <w:rsid w:val="00DE5C16"/>
    <w:rsid w:val="00DE71C4"/>
    <w:rsid w:val="00DE7CFA"/>
    <w:rsid w:val="00DF24F1"/>
    <w:rsid w:val="00DF3246"/>
    <w:rsid w:val="00DF4B99"/>
    <w:rsid w:val="00DF4EA7"/>
    <w:rsid w:val="00E0174F"/>
    <w:rsid w:val="00E01B40"/>
    <w:rsid w:val="00E02A8F"/>
    <w:rsid w:val="00E12EE8"/>
    <w:rsid w:val="00E168D4"/>
    <w:rsid w:val="00E21FF7"/>
    <w:rsid w:val="00E25695"/>
    <w:rsid w:val="00E271DA"/>
    <w:rsid w:val="00E27EC1"/>
    <w:rsid w:val="00E317A7"/>
    <w:rsid w:val="00E32E48"/>
    <w:rsid w:val="00E43067"/>
    <w:rsid w:val="00E47AC5"/>
    <w:rsid w:val="00E50004"/>
    <w:rsid w:val="00E50B7A"/>
    <w:rsid w:val="00E52043"/>
    <w:rsid w:val="00E52CCD"/>
    <w:rsid w:val="00E5445C"/>
    <w:rsid w:val="00E55229"/>
    <w:rsid w:val="00E55C7A"/>
    <w:rsid w:val="00E63549"/>
    <w:rsid w:val="00E63FD8"/>
    <w:rsid w:val="00E65B35"/>
    <w:rsid w:val="00E71A4C"/>
    <w:rsid w:val="00E71B3C"/>
    <w:rsid w:val="00E77F50"/>
    <w:rsid w:val="00E804E3"/>
    <w:rsid w:val="00E836A7"/>
    <w:rsid w:val="00E94539"/>
    <w:rsid w:val="00E951B7"/>
    <w:rsid w:val="00E956C6"/>
    <w:rsid w:val="00E95B95"/>
    <w:rsid w:val="00E9662A"/>
    <w:rsid w:val="00EA0F8D"/>
    <w:rsid w:val="00EA246B"/>
    <w:rsid w:val="00EA6DF6"/>
    <w:rsid w:val="00EB1C44"/>
    <w:rsid w:val="00EB511F"/>
    <w:rsid w:val="00EC5FC8"/>
    <w:rsid w:val="00EC639A"/>
    <w:rsid w:val="00ED0364"/>
    <w:rsid w:val="00ED3298"/>
    <w:rsid w:val="00ED5D23"/>
    <w:rsid w:val="00EE00B7"/>
    <w:rsid w:val="00EE14F2"/>
    <w:rsid w:val="00EE1592"/>
    <w:rsid w:val="00EE26D8"/>
    <w:rsid w:val="00EE2BBF"/>
    <w:rsid w:val="00EE3A90"/>
    <w:rsid w:val="00EE796B"/>
    <w:rsid w:val="00EF2957"/>
    <w:rsid w:val="00EF2CCF"/>
    <w:rsid w:val="00EF42C9"/>
    <w:rsid w:val="00EF5ABF"/>
    <w:rsid w:val="00EF6160"/>
    <w:rsid w:val="00EF7EBC"/>
    <w:rsid w:val="00F01B5C"/>
    <w:rsid w:val="00F02CD2"/>
    <w:rsid w:val="00F148E6"/>
    <w:rsid w:val="00F221B3"/>
    <w:rsid w:val="00F26E7C"/>
    <w:rsid w:val="00F300D8"/>
    <w:rsid w:val="00F30215"/>
    <w:rsid w:val="00F30C9A"/>
    <w:rsid w:val="00F314C2"/>
    <w:rsid w:val="00F320F5"/>
    <w:rsid w:val="00F339E5"/>
    <w:rsid w:val="00F367D8"/>
    <w:rsid w:val="00F37FFA"/>
    <w:rsid w:val="00F42C7A"/>
    <w:rsid w:val="00F5063E"/>
    <w:rsid w:val="00F52038"/>
    <w:rsid w:val="00F52992"/>
    <w:rsid w:val="00F55EB7"/>
    <w:rsid w:val="00F565D4"/>
    <w:rsid w:val="00F62B5F"/>
    <w:rsid w:val="00F62FB7"/>
    <w:rsid w:val="00F64DBD"/>
    <w:rsid w:val="00F656D8"/>
    <w:rsid w:val="00F66FF4"/>
    <w:rsid w:val="00F70CB9"/>
    <w:rsid w:val="00F736DC"/>
    <w:rsid w:val="00F743E1"/>
    <w:rsid w:val="00F7606B"/>
    <w:rsid w:val="00F770D9"/>
    <w:rsid w:val="00F77529"/>
    <w:rsid w:val="00F77DC2"/>
    <w:rsid w:val="00F805F4"/>
    <w:rsid w:val="00F81426"/>
    <w:rsid w:val="00F83683"/>
    <w:rsid w:val="00F859CB"/>
    <w:rsid w:val="00F85C59"/>
    <w:rsid w:val="00F87362"/>
    <w:rsid w:val="00F90964"/>
    <w:rsid w:val="00F90D5F"/>
    <w:rsid w:val="00F9331F"/>
    <w:rsid w:val="00F96B78"/>
    <w:rsid w:val="00F97916"/>
    <w:rsid w:val="00FA2392"/>
    <w:rsid w:val="00FA36F6"/>
    <w:rsid w:val="00FA3FE0"/>
    <w:rsid w:val="00FA5A8B"/>
    <w:rsid w:val="00FA6894"/>
    <w:rsid w:val="00FB08F7"/>
    <w:rsid w:val="00FB0C94"/>
    <w:rsid w:val="00FB2B29"/>
    <w:rsid w:val="00FB2B6E"/>
    <w:rsid w:val="00FB6CB1"/>
    <w:rsid w:val="00FC1861"/>
    <w:rsid w:val="00FC432E"/>
    <w:rsid w:val="00FC479A"/>
    <w:rsid w:val="00FC5671"/>
    <w:rsid w:val="00FD1242"/>
    <w:rsid w:val="00FD1AA2"/>
    <w:rsid w:val="00FD4E61"/>
    <w:rsid w:val="00FD5639"/>
    <w:rsid w:val="00FE1E68"/>
    <w:rsid w:val="00FE2931"/>
    <w:rsid w:val="00FE3128"/>
    <w:rsid w:val="00FE6813"/>
    <w:rsid w:val="00FE6AD1"/>
    <w:rsid w:val="00FF1A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DA08D8"/>
  <w15:docId w15:val="{19FB8E24-5694-4CBA-BBDC-4B430F5E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2"/>
        <w:szCs w:val="22"/>
        <w:lang w:val="en-GB" w:eastAsia="en-US" w:bidi="ar-SA"/>
      </w:rPr>
    </w:rPrDefault>
    <w:pPrDefault>
      <w:pPr>
        <w:spacing w:before="120" w:after="240" w:line="360"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locked="0" w:semiHidden="1" w:uiPriority="0"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locked="0" w:semiHidden="1" w:unhideWhenUsed="1"/>
    <w:lsdException w:name="List Continue 2" w:locked="0"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0" w:uiPriority="22" w:qFormat="1"/>
    <w:lsdException w:name="Emphasis" w:locked="0" w:uiPriority="20" w:qFormat="1"/>
    <w:lsdException w:name="Document Map" w:locked="0"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EA246B"/>
  </w:style>
  <w:style w:type="paragraph" w:styleId="Heading1">
    <w:name w:val="heading 1"/>
    <w:aliases w:val="NICE Heading 1"/>
    <w:basedOn w:val="Normal"/>
    <w:next w:val="Normal"/>
    <w:link w:val="Heading1Char"/>
    <w:uiPriority w:val="9"/>
    <w:qFormat/>
    <w:rsid w:val="00D66123"/>
    <w:pPr>
      <w:numPr>
        <w:numId w:val="5"/>
      </w:numPr>
      <w:spacing w:before="480" w:after="0" w:line="240" w:lineRule="auto"/>
      <w:contextualSpacing/>
      <w:outlineLvl w:val="0"/>
    </w:pPr>
    <w:rPr>
      <w:rFonts w:eastAsiaTheme="majorEastAsia" w:cstheme="majorBidi"/>
      <w:b/>
      <w:bCs/>
      <w:sz w:val="28"/>
      <w:szCs w:val="28"/>
    </w:rPr>
  </w:style>
  <w:style w:type="paragraph" w:styleId="Heading2">
    <w:name w:val="heading 2"/>
    <w:aliases w:val="NICE Heading 2"/>
    <w:basedOn w:val="Normal"/>
    <w:next w:val="Normal"/>
    <w:link w:val="Heading2Char"/>
    <w:uiPriority w:val="9"/>
    <w:unhideWhenUsed/>
    <w:qFormat/>
    <w:rsid w:val="00D66123"/>
    <w:pPr>
      <w:numPr>
        <w:ilvl w:val="1"/>
        <w:numId w:val="5"/>
      </w:numPr>
      <w:spacing w:before="200" w:after="0" w:line="240" w:lineRule="auto"/>
      <w:outlineLvl w:val="1"/>
    </w:pPr>
    <w:rPr>
      <w:rFonts w:eastAsiaTheme="majorEastAsia" w:cstheme="majorBidi"/>
      <w:b/>
      <w:bCs/>
      <w:sz w:val="24"/>
      <w:szCs w:val="26"/>
    </w:rPr>
  </w:style>
  <w:style w:type="paragraph" w:styleId="Heading3">
    <w:name w:val="heading 3"/>
    <w:aliases w:val="NICE Heading 3"/>
    <w:basedOn w:val="Normal"/>
    <w:next w:val="Normal"/>
    <w:link w:val="Heading3Char"/>
    <w:uiPriority w:val="9"/>
    <w:unhideWhenUsed/>
    <w:qFormat/>
    <w:rsid w:val="00D66123"/>
    <w:pPr>
      <w:numPr>
        <w:ilvl w:val="2"/>
        <w:numId w:val="5"/>
      </w:numPr>
      <w:spacing w:before="200" w:after="0" w:line="240" w:lineRule="auto"/>
      <w:outlineLvl w:val="2"/>
    </w:pPr>
    <w:rPr>
      <w:rFonts w:eastAsiaTheme="majorEastAsia" w:cstheme="majorBidi"/>
      <w:b/>
      <w:bCs/>
    </w:rPr>
  </w:style>
  <w:style w:type="paragraph" w:styleId="Heading4">
    <w:name w:val="heading 4"/>
    <w:aliases w:val="NICE Heading 4"/>
    <w:basedOn w:val="Normal"/>
    <w:next w:val="Normal"/>
    <w:link w:val="Heading4Char"/>
    <w:uiPriority w:val="9"/>
    <w:unhideWhenUsed/>
    <w:qFormat/>
    <w:rsid w:val="00D66123"/>
    <w:pPr>
      <w:numPr>
        <w:ilvl w:val="3"/>
        <w:numId w:val="5"/>
      </w:numPr>
      <w:spacing w:before="200" w:after="0" w:line="240" w:lineRule="auto"/>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D66123"/>
    <w:pPr>
      <w:numPr>
        <w:ilvl w:val="4"/>
        <w:numId w:val="5"/>
      </w:numPr>
      <w:spacing w:before="200" w:after="0" w:line="240" w:lineRule="auto"/>
      <w:outlineLvl w:val="4"/>
    </w:pPr>
    <w:rPr>
      <w:rFonts w:eastAsiaTheme="majorEastAsia" w:cstheme="majorBidi"/>
      <w:b/>
      <w:bCs/>
      <w:i/>
    </w:rPr>
  </w:style>
  <w:style w:type="paragraph" w:styleId="Heading6">
    <w:name w:val="heading 6"/>
    <w:basedOn w:val="Normal"/>
    <w:next w:val="Normal"/>
    <w:link w:val="Heading6Char"/>
    <w:uiPriority w:val="9"/>
    <w:unhideWhenUsed/>
    <w:qFormat/>
    <w:rsid w:val="00D66123"/>
    <w:pPr>
      <w:numPr>
        <w:ilvl w:val="5"/>
        <w:numId w:val="5"/>
      </w:numPr>
      <w:spacing w:before="200" w:after="0" w:line="240" w:lineRule="auto"/>
      <w:outlineLvl w:val="5"/>
    </w:pPr>
    <w:rPr>
      <w:rFonts w:eastAsiaTheme="majorEastAsia" w:cstheme="majorBidi"/>
      <w:bCs/>
      <w:i/>
      <w:iCs/>
    </w:rPr>
  </w:style>
  <w:style w:type="paragraph" w:styleId="Heading7">
    <w:name w:val="heading 7"/>
    <w:basedOn w:val="Normal"/>
    <w:next w:val="Normal"/>
    <w:link w:val="Heading7Char"/>
    <w:uiPriority w:val="9"/>
    <w:semiHidden/>
    <w:unhideWhenUsed/>
    <w:locked/>
    <w:rsid w:val="00AA7552"/>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locked/>
    <w:rsid w:val="00AA7552"/>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locked/>
    <w:rsid w:val="00AA7552"/>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A36F6"/>
    <w:pPr>
      <w:spacing w:line="240" w:lineRule="auto"/>
      <w:contextualSpacing/>
      <w:jc w:val="center"/>
    </w:pPr>
    <w:rPr>
      <w:rFonts w:eastAsiaTheme="majorEastAsia" w:cstheme="majorBidi"/>
      <w:b/>
      <w:spacing w:val="5"/>
      <w:sz w:val="32"/>
      <w:szCs w:val="52"/>
    </w:rPr>
  </w:style>
  <w:style w:type="character" w:customStyle="1" w:styleId="TitleChar">
    <w:name w:val="Title Char"/>
    <w:basedOn w:val="DefaultParagraphFont"/>
    <w:link w:val="Title"/>
    <w:uiPriority w:val="10"/>
    <w:rsid w:val="00FA36F6"/>
    <w:rPr>
      <w:rFonts w:eastAsiaTheme="majorEastAsia" w:cstheme="majorBidi"/>
      <w:b/>
      <w:spacing w:val="5"/>
      <w:sz w:val="32"/>
      <w:szCs w:val="52"/>
    </w:rPr>
  </w:style>
  <w:style w:type="character" w:customStyle="1" w:styleId="Heading2Char">
    <w:name w:val="Heading 2 Char"/>
    <w:aliases w:val="NICE Heading 2 Char"/>
    <w:basedOn w:val="DefaultParagraphFont"/>
    <w:link w:val="Heading2"/>
    <w:uiPriority w:val="9"/>
    <w:rsid w:val="00D66123"/>
    <w:rPr>
      <w:rFonts w:eastAsiaTheme="majorEastAsia" w:cstheme="majorBidi"/>
      <w:b/>
      <w:bCs/>
      <w:sz w:val="24"/>
      <w:szCs w:val="26"/>
    </w:rPr>
  </w:style>
  <w:style w:type="paragraph" w:styleId="Header">
    <w:name w:val="header"/>
    <w:basedOn w:val="Normal"/>
    <w:link w:val="HeaderChar"/>
    <w:uiPriority w:val="99"/>
    <w:rsid w:val="00604FB7"/>
    <w:pPr>
      <w:tabs>
        <w:tab w:val="center" w:pos="4153"/>
        <w:tab w:val="right" w:pos="8306"/>
      </w:tabs>
      <w:jc w:val="center"/>
    </w:pPr>
    <w:rPr>
      <w:i/>
      <w:sz w:val="16"/>
    </w:rPr>
  </w:style>
  <w:style w:type="character" w:customStyle="1" w:styleId="HeaderChar">
    <w:name w:val="Header Char"/>
    <w:basedOn w:val="DefaultParagraphFont"/>
    <w:link w:val="Header"/>
    <w:uiPriority w:val="99"/>
    <w:rsid w:val="00604FB7"/>
    <w:rPr>
      <w:i/>
      <w:sz w:val="16"/>
    </w:rPr>
  </w:style>
  <w:style w:type="character" w:styleId="Hyperlink">
    <w:name w:val="Hyperlink"/>
    <w:uiPriority w:val="99"/>
    <w:locked/>
    <w:rsid w:val="009000ED"/>
    <w:rPr>
      <w:color w:val="0000FF"/>
      <w:u w:val="single"/>
    </w:rPr>
  </w:style>
  <w:style w:type="paragraph" w:styleId="Footer">
    <w:name w:val="footer"/>
    <w:basedOn w:val="Normal"/>
    <w:link w:val="FooterChar"/>
    <w:uiPriority w:val="99"/>
    <w:unhideWhenUsed/>
    <w:rsid w:val="00FC432E"/>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FC432E"/>
  </w:style>
  <w:style w:type="character" w:customStyle="1" w:styleId="Heading1Char">
    <w:name w:val="Heading 1 Char"/>
    <w:aliases w:val="NICE Heading 1 Char"/>
    <w:basedOn w:val="DefaultParagraphFont"/>
    <w:link w:val="Heading1"/>
    <w:uiPriority w:val="9"/>
    <w:rsid w:val="00D66123"/>
    <w:rPr>
      <w:rFonts w:eastAsiaTheme="majorEastAsia" w:cstheme="majorBidi"/>
      <w:b/>
      <w:bCs/>
      <w:sz w:val="28"/>
      <w:szCs w:val="28"/>
    </w:rPr>
  </w:style>
  <w:style w:type="character" w:customStyle="1" w:styleId="Heading3Char">
    <w:name w:val="Heading 3 Char"/>
    <w:aliases w:val="NICE Heading 3 Char"/>
    <w:basedOn w:val="DefaultParagraphFont"/>
    <w:link w:val="Heading3"/>
    <w:uiPriority w:val="9"/>
    <w:rsid w:val="00D66123"/>
    <w:rPr>
      <w:rFonts w:eastAsiaTheme="majorEastAsia" w:cstheme="majorBidi"/>
      <w:b/>
      <w:bCs/>
    </w:rPr>
  </w:style>
  <w:style w:type="character" w:customStyle="1" w:styleId="Heading4Char">
    <w:name w:val="Heading 4 Char"/>
    <w:aliases w:val="NICE Heading 4 Char"/>
    <w:basedOn w:val="DefaultParagraphFont"/>
    <w:link w:val="Heading4"/>
    <w:uiPriority w:val="9"/>
    <w:rsid w:val="00D66123"/>
    <w:rPr>
      <w:rFonts w:eastAsiaTheme="majorEastAsia" w:cstheme="majorBidi"/>
      <w:b/>
      <w:bCs/>
      <w:iCs/>
    </w:rPr>
  </w:style>
  <w:style w:type="character" w:customStyle="1" w:styleId="Heading5Char">
    <w:name w:val="Heading 5 Char"/>
    <w:basedOn w:val="DefaultParagraphFont"/>
    <w:link w:val="Heading5"/>
    <w:uiPriority w:val="9"/>
    <w:rsid w:val="00D66123"/>
    <w:rPr>
      <w:rFonts w:eastAsiaTheme="majorEastAsia" w:cstheme="majorBidi"/>
      <w:b/>
      <w:bCs/>
      <w:i/>
    </w:rPr>
  </w:style>
  <w:style w:type="character" w:customStyle="1" w:styleId="Heading6Char">
    <w:name w:val="Heading 6 Char"/>
    <w:basedOn w:val="DefaultParagraphFont"/>
    <w:link w:val="Heading6"/>
    <w:uiPriority w:val="9"/>
    <w:rsid w:val="00D66123"/>
    <w:rPr>
      <w:rFonts w:eastAsiaTheme="majorEastAsia" w:cstheme="majorBidi"/>
      <w:bCs/>
      <w:i/>
      <w:iCs/>
    </w:rPr>
  </w:style>
  <w:style w:type="character" w:customStyle="1" w:styleId="Heading7Char">
    <w:name w:val="Heading 7 Char"/>
    <w:basedOn w:val="DefaultParagraphFont"/>
    <w:link w:val="Heading7"/>
    <w:uiPriority w:val="9"/>
    <w:semiHidden/>
    <w:rsid w:val="00AA755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AA7552"/>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AA7552"/>
    <w:rPr>
      <w:rFonts w:asciiTheme="majorHAnsi" w:eastAsiaTheme="majorEastAsia" w:hAnsiTheme="majorHAnsi" w:cstheme="majorBidi"/>
      <w:i/>
      <w:iCs/>
      <w:spacing w:val="5"/>
      <w:sz w:val="20"/>
      <w:szCs w:val="20"/>
    </w:rPr>
  </w:style>
  <w:style w:type="character" w:styleId="Strong">
    <w:name w:val="Strong"/>
    <w:uiPriority w:val="22"/>
    <w:qFormat/>
    <w:rsid w:val="00AA7552"/>
    <w:rPr>
      <w:b/>
      <w:bCs/>
    </w:rPr>
  </w:style>
  <w:style w:type="character" w:styleId="Emphasis">
    <w:name w:val="Emphasis"/>
    <w:uiPriority w:val="20"/>
    <w:qFormat/>
    <w:rsid w:val="00CC28B6"/>
    <w:rPr>
      <w:bCs/>
      <w:i/>
      <w:iCs/>
      <w:spacing w:val="0"/>
      <w:bdr w:val="none" w:sz="0" w:space="0" w:color="auto"/>
      <w:shd w:val="clear" w:color="auto" w:fill="auto"/>
    </w:rPr>
  </w:style>
  <w:style w:type="paragraph" w:styleId="NoSpacing">
    <w:name w:val="No Spacing"/>
    <w:basedOn w:val="Normal"/>
    <w:uiPriority w:val="1"/>
    <w:qFormat/>
    <w:locked/>
    <w:rsid w:val="00AA7552"/>
    <w:pPr>
      <w:spacing w:after="0" w:line="240" w:lineRule="auto"/>
    </w:pPr>
  </w:style>
  <w:style w:type="paragraph" w:styleId="ListParagraph">
    <w:name w:val="List Paragraph"/>
    <w:aliases w:val="Bullet1,Section 5,Bullet List,Bullet 1"/>
    <w:basedOn w:val="Normal"/>
    <w:link w:val="ListParagraphChar"/>
    <w:uiPriority w:val="34"/>
    <w:qFormat/>
    <w:locked/>
    <w:rsid w:val="00AA7552"/>
    <w:pPr>
      <w:ind w:left="720"/>
      <w:contextualSpacing/>
    </w:pPr>
  </w:style>
  <w:style w:type="paragraph" w:styleId="Quote">
    <w:name w:val="Quote"/>
    <w:basedOn w:val="Normal"/>
    <w:next w:val="Normal"/>
    <w:link w:val="QuoteChar"/>
    <w:uiPriority w:val="29"/>
    <w:qFormat/>
    <w:rsid w:val="00B57FCC"/>
    <w:pPr>
      <w:spacing w:before="0"/>
      <w:ind w:left="357" w:right="357"/>
    </w:pPr>
    <w:rPr>
      <w:iCs/>
    </w:rPr>
  </w:style>
  <w:style w:type="character" w:customStyle="1" w:styleId="QuoteChar">
    <w:name w:val="Quote Char"/>
    <w:basedOn w:val="DefaultParagraphFont"/>
    <w:link w:val="Quote"/>
    <w:uiPriority w:val="29"/>
    <w:rsid w:val="00B57FCC"/>
    <w:rPr>
      <w:iCs/>
    </w:rPr>
  </w:style>
  <w:style w:type="paragraph" w:styleId="IntenseQuote">
    <w:name w:val="Intense Quote"/>
    <w:basedOn w:val="Normal"/>
    <w:next w:val="Normal"/>
    <w:link w:val="IntenseQuoteChar"/>
    <w:uiPriority w:val="30"/>
    <w:qFormat/>
    <w:locked/>
    <w:rsid w:val="00AA7552"/>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AA7552"/>
    <w:rPr>
      <w:b/>
      <w:bCs/>
      <w:i/>
      <w:iCs/>
    </w:rPr>
  </w:style>
  <w:style w:type="character" w:styleId="SubtleEmphasis">
    <w:name w:val="Subtle Emphasis"/>
    <w:uiPriority w:val="19"/>
    <w:qFormat/>
    <w:rsid w:val="00AA7552"/>
    <w:rPr>
      <w:i/>
      <w:iCs/>
    </w:rPr>
  </w:style>
  <w:style w:type="character" w:styleId="IntenseEmphasis">
    <w:name w:val="Intense Emphasis"/>
    <w:uiPriority w:val="21"/>
    <w:qFormat/>
    <w:locked/>
    <w:rsid w:val="00CC28B6"/>
    <w:rPr>
      <w:b/>
      <w:bCs/>
      <w:i/>
    </w:rPr>
  </w:style>
  <w:style w:type="character" w:styleId="SubtleReference">
    <w:name w:val="Subtle Reference"/>
    <w:uiPriority w:val="31"/>
    <w:qFormat/>
    <w:locked/>
    <w:rsid w:val="00AA7552"/>
    <w:rPr>
      <w:smallCaps/>
    </w:rPr>
  </w:style>
  <w:style w:type="character" w:styleId="IntenseReference">
    <w:name w:val="Intense Reference"/>
    <w:uiPriority w:val="32"/>
    <w:qFormat/>
    <w:locked/>
    <w:rsid w:val="00AA7552"/>
    <w:rPr>
      <w:smallCaps/>
      <w:spacing w:val="5"/>
      <w:u w:val="single"/>
    </w:rPr>
  </w:style>
  <w:style w:type="character" w:styleId="BookTitle">
    <w:name w:val="Book Title"/>
    <w:uiPriority w:val="33"/>
    <w:qFormat/>
    <w:locked/>
    <w:rsid w:val="00AA7552"/>
    <w:rPr>
      <w:i/>
      <w:iCs/>
      <w:smallCaps/>
      <w:spacing w:val="5"/>
    </w:rPr>
  </w:style>
  <w:style w:type="paragraph" w:styleId="TOCHeading">
    <w:name w:val="TOC Heading"/>
    <w:basedOn w:val="Nonnumberedheading1"/>
    <w:next w:val="Normal"/>
    <w:uiPriority w:val="39"/>
    <w:unhideWhenUsed/>
    <w:qFormat/>
    <w:rsid w:val="00AA7552"/>
    <w:rPr>
      <w:lang w:bidi="en-US"/>
    </w:rPr>
  </w:style>
  <w:style w:type="numbering" w:customStyle="1" w:styleId="Numberedheadingsscheme">
    <w:name w:val="Numbered headings scheme"/>
    <w:uiPriority w:val="99"/>
    <w:rsid w:val="00D66123"/>
    <w:pPr>
      <w:numPr>
        <w:numId w:val="3"/>
      </w:numPr>
    </w:pPr>
  </w:style>
  <w:style w:type="character" w:customStyle="1" w:styleId="AIC">
    <w:name w:val="AIC"/>
    <w:basedOn w:val="DefaultParagraphFont"/>
    <w:uiPriority w:val="1"/>
    <w:rsid w:val="00BD2722"/>
    <w:rPr>
      <w:u w:val="single"/>
      <w:bdr w:val="none" w:sz="0" w:space="0" w:color="auto"/>
      <w:shd w:val="clear" w:color="auto" w:fill="FFFF00"/>
    </w:rPr>
  </w:style>
  <w:style w:type="paragraph" w:customStyle="1" w:styleId="Titlepageboldsmallheadings">
    <w:name w:val="Title page bold small headings"/>
    <w:basedOn w:val="Normal"/>
    <w:link w:val="TitlepageboldsmallheadingsChar"/>
    <w:qFormat/>
    <w:rsid w:val="00AF1B3D"/>
    <w:pPr>
      <w:spacing w:before="240" w:after="120" w:line="240" w:lineRule="auto"/>
    </w:pPr>
    <w:rPr>
      <w:b/>
    </w:rPr>
  </w:style>
  <w:style w:type="paragraph" w:customStyle="1" w:styleId="Nonnumberedheading1">
    <w:name w:val="Non numbered heading 1"/>
    <w:basedOn w:val="Normal"/>
    <w:next w:val="Normal"/>
    <w:link w:val="Nonnumberedheading1Char"/>
    <w:qFormat/>
    <w:rsid w:val="00EE3A90"/>
    <w:pPr>
      <w:spacing w:before="480" w:after="0" w:line="240" w:lineRule="auto"/>
    </w:pPr>
    <w:rPr>
      <w:b/>
      <w:sz w:val="28"/>
      <w:szCs w:val="28"/>
    </w:rPr>
  </w:style>
  <w:style w:type="character" w:customStyle="1" w:styleId="TitlepageboldsmallheadingsChar">
    <w:name w:val="Title page bold small headings Char"/>
    <w:basedOn w:val="DefaultParagraphFont"/>
    <w:link w:val="Titlepageboldsmallheadings"/>
    <w:rsid w:val="00AF1B3D"/>
    <w:rPr>
      <w:b/>
    </w:rPr>
  </w:style>
  <w:style w:type="paragraph" w:styleId="TOC1">
    <w:name w:val="toc 1"/>
    <w:basedOn w:val="Normal"/>
    <w:next w:val="Normal"/>
    <w:autoRedefine/>
    <w:uiPriority w:val="39"/>
    <w:unhideWhenUsed/>
    <w:rsid w:val="005C5F64"/>
    <w:pPr>
      <w:tabs>
        <w:tab w:val="left" w:pos="440"/>
        <w:tab w:val="right" w:pos="9016"/>
      </w:tabs>
      <w:spacing w:after="0" w:line="240" w:lineRule="auto"/>
      <w:ind w:left="442" w:hanging="442"/>
    </w:pPr>
  </w:style>
  <w:style w:type="character" w:customStyle="1" w:styleId="Nonnumberedheading1Char">
    <w:name w:val="Non numbered heading 1 Char"/>
    <w:basedOn w:val="DefaultParagraphFont"/>
    <w:link w:val="Nonnumberedheading1"/>
    <w:rsid w:val="00EE3A90"/>
    <w:rPr>
      <w:b/>
      <w:sz w:val="28"/>
      <w:szCs w:val="28"/>
    </w:rPr>
  </w:style>
  <w:style w:type="paragraph" w:styleId="TOC2">
    <w:name w:val="toc 2"/>
    <w:basedOn w:val="Normal"/>
    <w:next w:val="Normal"/>
    <w:autoRedefine/>
    <w:uiPriority w:val="39"/>
    <w:unhideWhenUsed/>
    <w:rsid w:val="005C5F64"/>
    <w:pPr>
      <w:tabs>
        <w:tab w:val="left" w:pos="624"/>
        <w:tab w:val="right" w:pos="9016"/>
      </w:tabs>
      <w:spacing w:after="100" w:line="240" w:lineRule="auto"/>
      <w:ind w:left="624" w:right="284" w:hanging="624"/>
    </w:pPr>
  </w:style>
  <w:style w:type="paragraph" w:styleId="TOC3">
    <w:name w:val="toc 3"/>
    <w:basedOn w:val="Normal"/>
    <w:next w:val="Normal"/>
    <w:autoRedefine/>
    <w:uiPriority w:val="39"/>
    <w:unhideWhenUsed/>
    <w:rsid w:val="005841DF"/>
    <w:pPr>
      <w:tabs>
        <w:tab w:val="left" w:pos="907"/>
        <w:tab w:val="right" w:pos="9016"/>
      </w:tabs>
      <w:spacing w:after="100" w:line="240" w:lineRule="auto"/>
      <w:ind w:left="907" w:right="170" w:hanging="907"/>
    </w:pPr>
  </w:style>
  <w:style w:type="character" w:customStyle="1" w:styleId="CIC">
    <w:name w:val="CIC"/>
    <w:basedOn w:val="AIC"/>
    <w:uiPriority w:val="1"/>
    <w:qFormat/>
    <w:rsid w:val="000E2098"/>
    <w:rPr>
      <w:rFonts w:ascii="Times New Roman" w:hAnsi="Times New Roman"/>
      <w:u w:val="single"/>
      <w:bdr w:val="none" w:sz="0" w:space="0" w:color="auto"/>
      <w:shd w:val="clear" w:color="auto" w:fill="24F7FC"/>
    </w:rPr>
  </w:style>
  <w:style w:type="character" w:styleId="FootnoteReference">
    <w:name w:val="footnote reference"/>
    <w:basedOn w:val="DefaultParagraphFont"/>
    <w:uiPriority w:val="99"/>
    <w:semiHidden/>
    <w:unhideWhenUsed/>
    <w:rsid w:val="00D23E45"/>
    <w:rPr>
      <w:rFonts w:ascii="Times New Roman" w:hAnsi="Times New Roman"/>
      <w:sz w:val="16"/>
      <w:vertAlign w:val="superscript"/>
    </w:rPr>
  </w:style>
  <w:style w:type="paragraph" w:styleId="FootnoteText">
    <w:name w:val="footnote text"/>
    <w:basedOn w:val="Normal"/>
    <w:link w:val="FootnoteTextChar"/>
    <w:uiPriority w:val="99"/>
    <w:semiHidden/>
    <w:unhideWhenUsed/>
    <w:rsid w:val="00D23E45"/>
    <w:pPr>
      <w:spacing w:before="0" w:after="0" w:line="240" w:lineRule="auto"/>
    </w:pPr>
    <w:rPr>
      <w:sz w:val="18"/>
      <w:szCs w:val="20"/>
    </w:rPr>
  </w:style>
  <w:style w:type="character" w:customStyle="1" w:styleId="FootnoteTextChar">
    <w:name w:val="Footnote Text Char"/>
    <w:basedOn w:val="DefaultParagraphFont"/>
    <w:link w:val="FootnoteText"/>
    <w:uiPriority w:val="99"/>
    <w:semiHidden/>
    <w:rsid w:val="00D23E45"/>
    <w:rPr>
      <w:sz w:val="18"/>
      <w:szCs w:val="20"/>
    </w:rPr>
  </w:style>
  <w:style w:type="paragraph" w:styleId="Caption">
    <w:name w:val="caption"/>
    <w:aliases w:val="NICE Caption,Bayer Caption,IB Caption,Medical Caption,Table caption,Caption Char Char,Char Char Char,Char Char1,Char Char,Char1,Caption 3,c,appendix,Char,TableCaption,Table Caption 1,Figure caption,Figure caption1 Char Char,Figure Source"/>
    <w:basedOn w:val="Normal"/>
    <w:next w:val="Normal"/>
    <w:link w:val="CaptionChar"/>
    <w:unhideWhenUsed/>
    <w:qFormat/>
    <w:rsid w:val="00D23E45"/>
    <w:pPr>
      <w:spacing w:before="0" w:after="120" w:line="240" w:lineRule="auto"/>
    </w:pPr>
    <w:rPr>
      <w:b/>
      <w:bCs/>
      <w:sz w:val="20"/>
      <w:szCs w:val="18"/>
    </w:rPr>
  </w:style>
  <w:style w:type="table" w:styleId="TableGrid">
    <w:name w:val="Table Grid"/>
    <w:aliases w:val="Dossier table,Section 3- footnotes"/>
    <w:basedOn w:val="TableNormal"/>
    <w:uiPriority w:val="59"/>
    <w:rsid w:val="00EE1592"/>
    <w:pPr>
      <w:spacing w:before="40" w:after="40" w:line="240" w:lineRule="auto"/>
    </w:pPr>
    <w:rPr>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paragraph" w:styleId="TableofFigures">
    <w:name w:val="table of figures"/>
    <w:basedOn w:val="Normal"/>
    <w:next w:val="Normal"/>
    <w:uiPriority w:val="99"/>
    <w:unhideWhenUsed/>
    <w:rsid w:val="004E2F9E"/>
    <w:pPr>
      <w:spacing w:after="0" w:line="240" w:lineRule="auto"/>
      <w:ind w:left="851" w:hanging="851"/>
    </w:pPr>
  </w:style>
  <w:style w:type="paragraph" w:styleId="BalloonText">
    <w:name w:val="Balloon Text"/>
    <w:basedOn w:val="Normal"/>
    <w:link w:val="BalloonTextChar"/>
    <w:uiPriority w:val="99"/>
    <w:semiHidden/>
    <w:unhideWhenUsed/>
    <w:locked/>
    <w:rsid w:val="008A28A0"/>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28A0"/>
    <w:rPr>
      <w:rFonts w:ascii="Tahoma" w:hAnsi="Tahoma" w:cs="Tahoma"/>
      <w:sz w:val="16"/>
      <w:szCs w:val="16"/>
    </w:rPr>
  </w:style>
  <w:style w:type="paragraph" w:styleId="TOC4">
    <w:name w:val="toc 4"/>
    <w:basedOn w:val="Normal"/>
    <w:next w:val="Normal"/>
    <w:autoRedefine/>
    <w:uiPriority w:val="39"/>
    <w:unhideWhenUsed/>
    <w:rsid w:val="005C5F64"/>
    <w:pPr>
      <w:tabs>
        <w:tab w:val="left" w:pos="1021"/>
        <w:tab w:val="right" w:pos="9016"/>
      </w:tabs>
      <w:spacing w:after="100" w:line="240" w:lineRule="auto"/>
      <w:ind w:left="1021" w:hanging="1021"/>
    </w:pPr>
  </w:style>
  <w:style w:type="paragraph" w:styleId="ListBullet">
    <w:name w:val="List Bullet"/>
    <w:basedOn w:val="Normal"/>
    <w:uiPriority w:val="99"/>
    <w:unhideWhenUsed/>
    <w:rsid w:val="00B740BF"/>
    <w:pPr>
      <w:numPr>
        <w:numId w:val="6"/>
      </w:numPr>
      <w:spacing w:after="120"/>
      <w:contextualSpacing/>
    </w:pPr>
  </w:style>
  <w:style w:type="paragraph" w:styleId="ListBullet2">
    <w:name w:val="List Bullet 2"/>
    <w:basedOn w:val="Normal"/>
    <w:uiPriority w:val="99"/>
    <w:unhideWhenUsed/>
    <w:rsid w:val="00112465"/>
    <w:pPr>
      <w:numPr>
        <w:numId w:val="7"/>
      </w:numPr>
      <w:tabs>
        <w:tab w:val="clear" w:pos="680"/>
        <w:tab w:val="left" w:pos="794"/>
      </w:tabs>
      <w:spacing w:after="120"/>
      <w:ind w:left="794"/>
      <w:contextualSpacing/>
    </w:pPr>
  </w:style>
  <w:style w:type="paragraph" w:styleId="ListContinue">
    <w:name w:val="List Continue"/>
    <w:basedOn w:val="Normal"/>
    <w:uiPriority w:val="99"/>
    <w:unhideWhenUsed/>
    <w:rsid w:val="00B740BF"/>
    <w:pPr>
      <w:spacing w:before="0" w:after="120"/>
      <w:ind w:left="397"/>
      <w:contextualSpacing/>
    </w:pPr>
  </w:style>
  <w:style w:type="paragraph" w:styleId="ListContinue2">
    <w:name w:val="List Continue 2"/>
    <w:basedOn w:val="Normal"/>
    <w:uiPriority w:val="99"/>
    <w:unhideWhenUsed/>
    <w:rsid w:val="00112465"/>
    <w:pPr>
      <w:spacing w:before="0" w:after="120"/>
      <w:ind w:left="794"/>
      <w:contextualSpacing/>
    </w:pPr>
  </w:style>
  <w:style w:type="paragraph" w:styleId="ListNumber">
    <w:name w:val="List Number"/>
    <w:basedOn w:val="Normal"/>
    <w:uiPriority w:val="99"/>
    <w:unhideWhenUsed/>
    <w:rsid w:val="00B740BF"/>
    <w:pPr>
      <w:numPr>
        <w:numId w:val="11"/>
      </w:numPr>
      <w:spacing w:after="120"/>
      <w:contextualSpacing/>
    </w:pPr>
  </w:style>
  <w:style w:type="character" w:customStyle="1" w:styleId="Highlight">
    <w:name w:val="Highlight"/>
    <w:basedOn w:val="DefaultParagraphFont"/>
    <w:uiPriority w:val="1"/>
    <w:qFormat/>
    <w:rsid w:val="00F7606B"/>
    <w:rPr>
      <w:bdr w:val="none" w:sz="0" w:space="0" w:color="auto"/>
      <w:shd w:val="clear" w:color="auto" w:fill="92D050"/>
    </w:rPr>
  </w:style>
  <w:style w:type="paragraph" w:styleId="Subtitle">
    <w:name w:val="Subtitle"/>
    <w:basedOn w:val="Normal"/>
    <w:next w:val="Normal"/>
    <w:link w:val="SubtitleChar"/>
    <w:uiPriority w:val="11"/>
    <w:qFormat/>
    <w:rsid w:val="00D65A05"/>
    <w:pPr>
      <w:numPr>
        <w:ilvl w:val="1"/>
      </w:numPr>
    </w:pPr>
    <w:rPr>
      <w:rFonts w:eastAsiaTheme="majorEastAsia" w:cstheme="majorBidi"/>
      <w:b/>
      <w:iCs/>
      <w:spacing w:val="15"/>
      <w:sz w:val="28"/>
      <w:szCs w:val="24"/>
    </w:rPr>
  </w:style>
  <w:style w:type="character" w:customStyle="1" w:styleId="SubtitleChar">
    <w:name w:val="Subtitle Char"/>
    <w:basedOn w:val="DefaultParagraphFont"/>
    <w:link w:val="Subtitle"/>
    <w:uiPriority w:val="11"/>
    <w:rsid w:val="00D65A05"/>
    <w:rPr>
      <w:rFonts w:eastAsiaTheme="majorEastAsia" w:cstheme="majorBidi"/>
      <w:b/>
      <w:iCs/>
      <w:spacing w:val="15"/>
      <w:sz w:val="28"/>
      <w:szCs w:val="24"/>
    </w:rPr>
  </w:style>
  <w:style w:type="character" w:styleId="CommentReference">
    <w:name w:val="annotation reference"/>
    <w:basedOn w:val="DefaultParagraphFont"/>
    <w:uiPriority w:val="99"/>
    <w:semiHidden/>
    <w:unhideWhenUsed/>
    <w:locked/>
    <w:rsid w:val="001505AD"/>
    <w:rPr>
      <w:sz w:val="16"/>
      <w:szCs w:val="16"/>
    </w:rPr>
  </w:style>
  <w:style w:type="paragraph" w:styleId="CommentText">
    <w:name w:val="annotation text"/>
    <w:basedOn w:val="Normal"/>
    <w:link w:val="CommentTextChar"/>
    <w:uiPriority w:val="99"/>
    <w:unhideWhenUsed/>
    <w:locked/>
    <w:rsid w:val="001505AD"/>
    <w:pPr>
      <w:spacing w:line="240" w:lineRule="auto"/>
    </w:pPr>
    <w:rPr>
      <w:sz w:val="20"/>
      <w:szCs w:val="20"/>
    </w:rPr>
  </w:style>
  <w:style w:type="character" w:customStyle="1" w:styleId="CommentTextChar">
    <w:name w:val="Comment Text Char"/>
    <w:basedOn w:val="DefaultParagraphFont"/>
    <w:link w:val="CommentText"/>
    <w:uiPriority w:val="99"/>
    <w:rsid w:val="001505AD"/>
    <w:rPr>
      <w:sz w:val="20"/>
      <w:szCs w:val="20"/>
    </w:rPr>
  </w:style>
  <w:style w:type="paragraph" w:styleId="CommentSubject">
    <w:name w:val="annotation subject"/>
    <w:basedOn w:val="CommentText"/>
    <w:next w:val="CommentText"/>
    <w:link w:val="CommentSubjectChar"/>
    <w:uiPriority w:val="99"/>
    <w:semiHidden/>
    <w:unhideWhenUsed/>
    <w:locked/>
    <w:rsid w:val="001505AD"/>
    <w:rPr>
      <w:b/>
      <w:bCs/>
    </w:rPr>
  </w:style>
  <w:style w:type="character" w:customStyle="1" w:styleId="CommentSubjectChar">
    <w:name w:val="Comment Subject Char"/>
    <w:basedOn w:val="CommentTextChar"/>
    <w:link w:val="CommentSubject"/>
    <w:uiPriority w:val="99"/>
    <w:semiHidden/>
    <w:rsid w:val="001505AD"/>
    <w:rPr>
      <w:b/>
      <w:bCs/>
      <w:sz w:val="20"/>
      <w:szCs w:val="20"/>
    </w:rPr>
  </w:style>
  <w:style w:type="character" w:customStyle="1" w:styleId="CaptionChar">
    <w:name w:val="Caption Char"/>
    <w:aliases w:val="NICE Caption Char,Bayer Caption Char,IB Caption Char,Medical Caption Char,Table caption Char,Caption Char Char Char,Char Char Char Char,Char Char1 Char,Char Char Char1,Char1 Char,Caption 3 Char,c Char,appendix Char,Char Char2"/>
    <w:link w:val="Caption"/>
    <w:uiPriority w:val="35"/>
    <w:locked/>
    <w:rsid w:val="005D6C8B"/>
    <w:rPr>
      <w:b/>
      <w:bCs/>
      <w:sz w:val="20"/>
      <w:szCs w:val="18"/>
    </w:rPr>
  </w:style>
  <w:style w:type="paragraph" w:customStyle="1" w:styleId="Tabletext">
    <w:name w:val="Table text"/>
    <w:basedOn w:val="Normal"/>
    <w:link w:val="TabletextChar"/>
    <w:qFormat/>
    <w:rsid w:val="005D6C8B"/>
    <w:pPr>
      <w:keepNext/>
      <w:spacing w:before="0" w:after="0" w:line="240" w:lineRule="auto"/>
    </w:pPr>
    <w:rPr>
      <w:rFonts w:eastAsia="Times New Roman" w:cs="Times New Roman"/>
      <w:sz w:val="20"/>
      <w:szCs w:val="24"/>
      <w:lang w:val="en-US"/>
    </w:rPr>
  </w:style>
  <w:style w:type="character" w:customStyle="1" w:styleId="TabletextChar">
    <w:name w:val="Table text Char"/>
    <w:link w:val="Tabletext"/>
    <w:rsid w:val="005D6C8B"/>
    <w:rPr>
      <w:rFonts w:eastAsia="Times New Roman" w:cs="Times New Roman"/>
      <w:sz w:val="20"/>
      <w:szCs w:val="24"/>
      <w:lang w:val="en-US"/>
    </w:rPr>
  </w:style>
  <w:style w:type="character" w:customStyle="1" w:styleId="ListParagraphChar">
    <w:name w:val="List Paragraph Char"/>
    <w:aliases w:val="Bullet1 Char,Section 5 Char,Bullet List Char,Bullet 1 Char"/>
    <w:link w:val="ListParagraph"/>
    <w:uiPriority w:val="34"/>
    <w:rsid w:val="000D6017"/>
  </w:style>
  <w:style w:type="paragraph" w:customStyle="1" w:styleId="Default">
    <w:name w:val="Default"/>
    <w:rsid w:val="00386DE0"/>
    <w:pPr>
      <w:autoSpaceDE w:val="0"/>
      <w:autoSpaceDN w:val="0"/>
      <w:adjustRightInd w:val="0"/>
      <w:spacing w:before="0"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locked/>
    <w:rsid w:val="00D83AF8"/>
    <w:rPr>
      <w:color w:val="800080" w:themeColor="followedHyperlink"/>
      <w:u w:val="single"/>
    </w:rPr>
  </w:style>
  <w:style w:type="paragraph" w:styleId="Revision">
    <w:name w:val="Revision"/>
    <w:hidden/>
    <w:uiPriority w:val="99"/>
    <w:semiHidden/>
    <w:rsid w:val="00E95B95"/>
    <w:pPr>
      <w:spacing w:before="0" w:after="0" w:line="240" w:lineRule="auto"/>
    </w:pPr>
  </w:style>
  <w:style w:type="paragraph" w:customStyle="1" w:styleId="Footnote">
    <w:name w:val="Footnote"/>
    <w:basedOn w:val="Normal"/>
    <w:link w:val="FootnoteChar"/>
    <w:qFormat/>
    <w:rsid w:val="006201A7"/>
    <w:pPr>
      <w:spacing w:before="0" w:after="0" w:line="240" w:lineRule="auto"/>
    </w:pPr>
    <w:rPr>
      <w:rFonts w:ascii="Arial" w:eastAsia="Times New Roman" w:hAnsi="Arial" w:cs="Times New Roman"/>
      <w:sz w:val="18"/>
      <w:szCs w:val="18"/>
    </w:rPr>
  </w:style>
  <w:style w:type="character" w:customStyle="1" w:styleId="FootnoteChar">
    <w:name w:val="Footnote Char"/>
    <w:link w:val="Footnote"/>
    <w:rsid w:val="006201A7"/>
    <w:rPr>
      <w:rFonts w:ascii="Arial" w:eastAsia="Times New Roman" w:hAnsi="Arial" w:cs="Times New Roman"/>
      <w:sz w:val="18"/>
      <w:szCs w:val="18"/>
    </w:rPr>
  </w:style>
  <w:style w:type="table" w:customStyle="1" w:styleId="Section3-footnotes1">
    <w:name w:val="Section 3- footnotes1"/>
    <w:basedOn w:val="TableNormal"/>
    <w:uiPriority w:val="59"/>
    <w:rsid w:val="006201A7"/>
    <w:pPr>
      <w:spacing w:before="0" w:after="0" w:line="240" w:lineRule="auto"/>
    </w:pPr>
    <w:rPr>
      <w:rFonts w:asciiTheme="minorHAnsi" w:hAnsiTheme="minorHAnsi"/>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CENormalCICChar">
    <w:name w:val="NICE Normal CIC Char"/>
    <w:link w:val="NICENormalCIC"/>
    <w:rsid w:val="00155454"/>
    <w:rPr>
      <w:rFonts w:ascii="Arial" w:hAnsi="Arial"/>
      <w:sz w:val="24"/>
      <w:szCs w:val="24"/>
      <w:u w:val="single"/>
      <w:shd w:val="clear" w:color="auto" w:fill="00FFFF"/>
      <w:lang w:val="en-US"/>
    </w:rPr>
  </w:style>
  <w:style w:type="paragraph" w:customStyle="1" w:styleId="NICENormalCIC">
    <w:name w:val="NICE Normal CIC"/>
    <w:basedOn w:val="Normal"/>
    <w:link w:val="NICENormalCICChar"/>
    <w:rsid w:val="00155454"/>
    <w:pPr>
      <w:shd w:val="clear" w:color="auto" w:fill="00FFFF"/>
      <w:spacing w:after="120"/>
    </w:pPr>
    <w:rPr>
      <w:rFonts w:ascii="Arial" w:hAnsi="Arial"/>
      <w:sz w:val="24"/>
      <w:szCs w:val="24"/>
      <w:u w:val="single"/>
      <w:lang w:val="en-US"/>
    </w:rPr>
  </w:style>
  <w:style w:type="paragraph" w:customStyle="1" w:styleId="NICETableCIC">
    <w:name w:val="NICE Table CIC"/>
    <w:basedOn w:val="Normal"/>
    <w:link w:val="NICETableCICChar"/>
    <w:rsid w:val="00155454"/>
    <w:pPr>
      <w:keepNext/>
      <w:shd w:val="clear" w:color="auto" w:fill="00FFFF"/>
      <w:spacing w:before="60" w:after="60" w:line="240" w:lineRule="auto"/>
    </w:pPr>
    <w:rPr>
      <w:rFonts w:ascii="Arial" w:eastAsia="Times New Roman" w:hAnsi="Arial" w:cs="Times New Roman"/>
      <w:szCs w:val="20"/>
      <w:u w:val="single"/>
    </w:rPr>
  </w:style>
  <w:style w:type="character" w:customStyle="1" w:styleId="NICETableCICChar">
    <w:name w:val="NICE Table CIC Char"/>
    <w:link w:val="NICETableCIC"/>
    <w:rsid w:val="00155454"/>
    <w:rPr>
      <w:rFonts w:ascii="Arial" w:eastAsia="Times New Roman" w:hAnsi="Arial" w:cs="Times New Roman"/>
      <w:szCs w:val="20"/>
      <w:u w:val="single"/>
      <w:shd w:val="clear" w:color="auto" w:fill="00FFFF"/>
    </w:rPr>
  </w:style>
  <w:style w:type="table" w:customStyle="1" w:styleId="TableGrid2">
    <w:name w:val="Table Grid2"/>
    <w:basedOn w:val="TableNormal"/>
    <w:next w:val="TableGrid"/>
    <w:uiPriority w:val="59"/>
    <w:rsid w:val="00D37EC2"/>
    <w:pPr>
      <w:spacing w:before="0" w:after="0" w:line="240" w:lineRule="auto"/>
    </w:pPr>
    <w:rPr>
      <w:rFonts w:asciiTheme="minorHAnsi" w:eastAsia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ICETableHeadingCentred">
    <w:name w:val="NICE Table Heading (Centred)"/>
    <w:basedOn w:val="Normal"/>
    <w:uiPriority w:val="99"/>
    <w:qFormat/>
    <w:rsid w:val="007E1064"/>
    <w:pPr>
      <w:spacing w:before="40" w:after="40" w:line="240" w:lineRule="auto"/>
      <w:jc w:val="center"/>
    </w:pPr>
    <w:rPr>
      <w:rFonts w:ascii="Arial" w:eastAsia="SimSun" w:hAnsi="Arial" w:cs="Arial"/>
      <w:b/>
      <w:color w:val="1F497D"/>
      <w:sz w:val="21"/>
      <w:szCs w:val="21"/>
      <w:lang w:eastAsia="en-GB"/>
    </w:rPr>
  </w:style>
  <w:style w:type="paragraph" w:customStyle="1" w:styleId="NICETableTextCentred">
    <w:name w:val="NICE Table Text (Centred)"/>
    <w:basedOn w:val="Normal"/>
    <w:uiPriority w:val="99"/>
    <w:qFormat/>
    <w:rsid w:val="007E1064"/>
    <w:pPr>
      <w:spacing w:before="40" w:after="40" w:line="240" w:lineRule="auto"/>
      <w:jc w:val="center"/>
    </w:pPr>
    <w:rPr>
      <w:rFonts w:ascii="Arial" w:eastAsia="SimSun" w:hAnsi="Arial" w:cs="Arial"/>
      <w:color w:val="1F497D"/>
      <w:sz w:val="20"/>
      <w:szCs w:val="20"/>
      <w:lang w:eastAsia="en-GB"/>
    </w:rPr>
  </w:style>
  <w:style w:type="table" w:customStyle="1" w:styleId="Section3-footnotes6">
    <w:name w:val="Section 3- footnotes6"/>
    <w:basedOn w:val="TableNormal"/>
    <w:next w:val="TableGrid"/>
    <w:uiPriority w:val="59"/>
    <w:rsid w:val="00C60C8F"/>
    <w:pPr>
      <w:spacing w:before="0" w:after="0" w:line="240" w:lineRule="auto"/>
    </w:pPr>
    <w:rPr>
      <w:rFonts w:ascii="Arial" w:eastAsia="Times New Roman" w:hAnsi="Arial" w:cs="Times New Roman"/>
      <w:color w:val="1F497D" w:themeColor="text2"/>
      <w:sz w:val="21"/>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shd w:val="clear" w:color="auto" w:fill="BFBFBF" w:themeFill="background1" w:themeFillShade="BF"/>
      </w:tcPr>
    </w:tblStylePr>
  </w:style>
  <w:style w:type="paragraph" w:customStyle="1" w:styleId="EndNoteBibliographyTitle">
    <w:name w:val="EndNote Bibliography Title"/>
    <w:basedOn w:val="Normal"/>
    <w:link w:val="EndNoteBibliographyTitleChar"/>
    <w:rsid w:val="00F52992"/>
    <w:pPr>
      <w:spacing w:after="0"/>
      <w:jc w:val="center"/>
    </w:pPr>
    <w:rPr>
      <w:rFonts w:cs="Times New Roman"/>
      <w:noProof/>
      <w:lang w:val="en-US"/>
    </w:rPr>
  </w:style>
  <w:style w:type="character" w:customStyle="1" w:styleId="EndNoteBibliographyTitleChar">
    <w:name w:val="EndNote Bibliography Title Char"/>
    <w:basedOn w:val="DefaultParagraphFont"/>
    <w:link w:val="EndNoteBibliographyTitle"/>
    <w:rsid w:val="00F52992"/>
    <w:rPr>
      <w:rFonts w:cs="Times New Roman"/>
      <w:noProof/>
      <w:lang w:val="en-US"/>
    </w:rPr>
  </w:style>
  <w:style w:type="paragraph" w:customStyle="1" w:styleId="EndNoteBibliography">
    <w:name w:val="EndNote Bibliography"/>
    <w:basedOn w:val="Normal"/>
    <w:link w:val="EndNoteBibliographyChar"/>
    <w:rsid w:val="00F52992"/>
    <w:pPr>
      <w:spacing w:line="240" w:lineRule="auto"/>
    </w:pPr>
    <w:rPr>
      <w:rFonts w:cs="Times New Roman"/>
      <w:noProof/>
      <w:lang w:val="en-US"/>
    </w:rPr>
  </w:style>
  <w:style w:type="character" w:customStyle="1" w:styleId="EndNoteBibliographyChar">
    <w:name w:val="EndNote Bibliography Char"/>
    <w:basedOn w:val="DefaultParagraphFont"/>
    <w:link w:val="EndNoteBibliography"/>
    <w:rsid w:val="00F52992"/>
    <w:rPr>
      <w:rFonts w:cs="Times New Roman"/>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701753">
      <w:bodyDiv w:val="1"/>
      <w:marLeft w:val="0"/>
      <w:marRight w:val="0"/>
      <w:marTop w:val="0"/>
      <w:marBottom w:val="0"/>
      <w:divBdr>
        <w:top w:val="none" w:sz="0" w:space="0" w:color="auto"/>
        <w:left w:val="none" w:sz="0" w:space="0" w:color="auto"/>
        <w:bottom w:val="none" w:sz="0" w:space="0" w:color="auto"/>
        <w:right w:val="none" w:sz="0" w:space="0" w:color="auto"/>
      </w:divBdr>
    </w:div>
    <w:div w:id="1900288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tthew.walton@york.ac.uk" TargetMode="External"/><Relationship Id="rId13" Type="http://schemas.openxmlformats.org/officeDocument/2006/relationships/hyperlink" Target="https://www.ema.europa.eu/documents/product-information/kymriah-epar-product-information_en.pdf" TargetMode="External"/><Relationship Id="rId18" Type="http://schemas.openxmlformats.org/officeDocument/2006/relationships/footer" Target="footer3.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https://www.nice.org.uk/guidance/ta554/documents/final-appraisal-determination-document-2"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ukaemia.org.au/disease-information/leukaemias/acute-lymphoblastic-leukaemia/" TargetMode="External"/><Relationship Id="rId5" Type="http://schemas.openxmlformats.org/officeDocument/2006/relationships/webSettings" Target="webSettings.xml"/><Relationship Id="rId15" Type="http://schemas.openxmlformats.org/officeDocument/2006/relationships/hyperlink" Target="http://www.nejm.org/doi/full/10.1056/NEJMoa1609783" TargetMode="External"/><Relationship Id="rId10" Type="http://schemas.openxmlformats.org/officeDocument/2006/relationships/hyperlink" Target="https://njl-admin.nihr.ac.uk/document/download/2021579"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ice.org.uk/Media/Default/About/what-we-do/NICE-guidance/NICE-technology-appraisals/technology-appraisal-processes-guide-apr-2018.pdf" TargetMode="External"/><Relationship Id="rId14" Type="http://schemas.openxmlformats.org/officeDocument/2006/relationships/hyperlink" Target="https://improvement.nhs.uk/resources/reference-cos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7707F-BBB4-42BA-B81D-5F4CE029A3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19</Pages>
  <Words>10038</Words>
  <Characters>57223</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The University of York</Company>
  <LinksUpToDate>false</LinksUpToDate>
  <CharactersWithSpaces>67127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Nerys Woolacott</dc:creator>
  <cp:lastModifiedBy>Matthew Walton</cp:lastModifiedBy>
  <cp:revision>5</cp:revision>
  <dcterms:created xsi:type="dcterms:W3CDTF">2019-03-14T13:48:00Z</dcterms:created>
  <dcterms:modified xsi:type="dcterms:W3CDTF">2019-03-14T13:50:00Z</dcterms:modified>
</cp:coreProperties>
</file>