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79C1B" w14:textId="2F4C1613" w:rsidR="00F224EC" w:rsidRDefault="00E2333F" w:rsidP="009C7FB2">
      <w:pPr>
        <w:pStyle w:val="NormalWeb"/>
        <w:spacing w:before="0" w:after="0" w:line="360" w:lineRule="auto"/>
        <w:jc w:val="both"/>
        <w:outlineLvl w:val="0"/>
        <w:rPr>
          <w:rFonts w:ascii="Calibri" w:hAnsi="Calibri" w:cs="Times New Roman"/>
          <w:bCs/>
        </w:rPr>
      </w:pPr>
      <w:bookmarkStart w:id="0" w:name="_GoBack"/>
      <w:bookmarkEnd w:id="0"/>
      <w:r>
        <w:rPr>
          <w:rFonts w:ascii="Calibri" w:hAnsi="Calibri" w:cs="Times New Roman"/>
          <w:bCs/>
        </w:rPr>
        <w:t>ORIGINAL</w:t>
      </w:r>
      <w:r w:rsidR="00F224EC" w:rsidRPr="00F224EC">
        <w:rPr>
          <w:rFonts w:ascii="Calibri" w:hAnsi="Calibri" w:cs="Times New Roman"/>
          <w:bCs/>
        </w:rPr>
        <w:t xml:space="preserve"> RESEARCH</w:t>
      </w:r>
    </w:p>
    <w:p w14:paraId="381862B2" w14:textId="77777777" w:rsidR="00F224EC" w:rsidRPr="00F224EC" w:rsidRDefault="00F224EC" w:rsidP="009C7FB2">
      <w:pPr>
        <w:pStyle w:val="NormalWeb"/>
        <w:spacing w:before="0" w:after="0" w:line="360" w:lineRule="auto"/>
        <w:jc w:val="both"/>
        <w:outlineLvl w:val="0"/>
        <w:rPr>
          <w:rFonts w:ascii="Calibri" w:hAnsi="Calibri" w:cs="Times New Roman"/>
          <w:bCs/>
        </w:rPr>
      </w:pPr>
    </w:p>
    <w:p w14:paraId="28CD9D57" w14:textId="4A9F4DBD" w:rsidR="00E07DC8" w:rsidRDefault="009577BF" w:rsidP="009C7FB2">
      <w:pPr>
        <w:pStyle w:val="NormalWeb"/>
        <w:spacing w:before="0" w:after="0" w:line="360" w:lineRule="auto"/>
        <w:jc w:val="both"/>
        <w:outlineLvl w:val="0"/>
        <w:rPr>
          <w:rFonts w:ascii="Calibri" w:hAnsi="Calibri" w:cs="Times New Roman"/>
          <w:b/>
          <w:bCs/>
        </w:rPr>
      </w:pPr>
      <w:r>
        <w:rPr>
          <w:rFonts w:ascii="Calibri" w:hAnsi="Calibri" w:cs="Times New Roman"/>
          <w:b/>
          <w:bCs/>
        </w:rPr>
        <w:t xml:space="preserve">Depression </w:t>
      </w:r>
      <w:r w:rsidR="001B2947">
        <w:rPr>
          <w:rFonts w:ascii="Calibri" w:hAnsi="Calibri" w:cs="Times New Roman"/>
          <w:b/>
          <w:bCs/>
        </w:rPr>
        <w:t>predicts</w:t>
      </w:r>
      <w:r>
        <w:rPr>
          <w:rFonts w:ascii="Calibri" w:hAnsi="Calibri" w:cs="Times New Roman"/>
          <w:b/>
          <w:bCs/>
        </w:rPr>
        <w:t xml:space="preserve"> emergency care </w:t>
      </w:r>
      <w:r w:rsidR="005154A8">
        <w:rPr>
          <w:rFonts w:ascii="Calibri" w:hAnsi="Calibri" w:cs="Times New Roman"/>
          <w:b/>
          <w:bCs/>
        </w:rPr>
        <w:t xml:space="preserve">use </w:t>
      </w:r>
      <w:r>
        <w:rPr>
          <w:rFonts w:ascii="Calibri" w:hAnsi="Calibri" w:cs="Times New Roman"/>
          <w:b/>
          <w:bCs/>
        </w:rPr>
        <w:t xml:space="preserve">in </w:t>
      </w:r>
      <w:r w:rsidR="005154A8">
        <w:rPr>
          <w:rFonts w:ascii="Calibri" w:hAnsi="Calibri" w:cs="Times New Roman"/>
          <w:b/>
          <w:bCs/>
        </w:rPr>
        <w:t xml:space="preserve">people with </w:t>
      </w:r>
      <w:r>
        <w:rPr>
          <w:rFonts w:ascii="Calibri" w:hAnsi="Calibri" w:cs="Times New Roman"/>
          <w:b/>
          <w:bCs/>
        </w:rPr>
        <w:t>Chroni</w:t>
      </w:r>
      <w:r w:rsidR="00A07B3C">
        <w:rPr>
          <w:rFonts w:ascii="Calibri" w:hAnsi="Calibri" w:cs="Times New Roman"/>
          <w:b/>
          <w:bCs/>
        </w:rPr>
        <w:t>c Obstructive Pulmonary Disease</w:t>
      </w:r>
      <w:r w:rsidR="00EC1A74">
        <w:rPr>
          <w:rFonts w:ascii="Calibri" w:hAnsi="Calibri" w:cs="Times New Roman"/>
          <w:b/>
          <w:bCs/>
        </w:rPr>
        <w:t>: A large</w:t>
      </w:r>
      <w:r w:rsidR="00E07DC8">
        <w:rPr>
          <w:rFonts w:ascii="Calibri" w:hAnsi="Calibri" w:cs="Times New Roman"/>
          <w:b/>
          <w:bCs/>
        </w:rPr>
        <w:t xml:space="preserve"> cohort study in primary care</w:t>
      </w:r>
    </w:p>
    <w:p w14:paraId="64A89BC8" w14:textId="77777777" w:rsidR="00AB75A4" w:rsidRDefault="00AB75A4" w:rsidP="009C7FB2">
      <w:pPr>
        <w:pStyle w:val="NormalWeb"/>
        <w:spacing w:before="0" w:after="0" w:line="360" w:lineRule="auto"/>
        <w:jc w:val="both"/>
        <w:outlineLvl w:val="0"/>
        <w:rPr>
          <w:rFonts w:ascii="Calibri" w:hAnsi="Calibri" w:cs="Times New Roman"/>
          <w:bCs/>
        </w:rPr>
      </w:pPr>
    </w:p>
    <w:p w14:paraId="45466C3F" w14:textId="51C09889" w:rsidR="00CA29E1" w:rsidRDefault="00AB75A4" w:rsidP="009C7FB2">
      <w:pPr>
        <w:pStyle w:val="NormalWeb"/>
        <w:spacing w:before="0" w:after="0" w:line="360" w:lineRule="auto"/>
        <w:jc w:val="both"/>
        <w:outlineLvl w:val="0"/>
        <w:rPr>
          <w:rFonts w:ascii="Calibri" w:hAnsi="Calibri" w:cs="Times New Roman"/>
          <w:bCs/>
        </w:rPr>
      </w:pPr>
      <w:r>
        <w:rPr>
          <w:rFonts w:ascii="Calibri" w:hAnsi="Calibri" w:cs="Times New Roman"/>
          <w:bCs/>
        </w:rPr>
        <w:t>Running Head: Depression predicts emergency care use in COPD</w:t>
      </w:r>
    </w:p>
    <w:p w14:paraId="4299D42D" w14:textId="2D1879C8" w:rsidR="001B2947" w:rsidRPr="001B2947" w:rsidRDefault="001B2947" w:rsidP="009C7FB2">
      <w:pPr>
        <w:pStyle w:val="NormalWeb"/>
        <w:spacing w:before="0" w:after="0" w:line="360" w:lineRule="auto"/>
        <w:jc w:val="both"/>
        <w:outlineLvl w:val="0"/>
        <w:rPr>
          <w:rFonts w:ascii="Calibri" w:hAnsi="Calibri" w:cs="Times New Roman"/>
          <w:bCs/>
        </w:rPr>
      </w:pPr>
      <w:r w:rsidRPr="001B2947">
        <w:rPr>
          <w:rFonts w:ascii="Calibri" w:hAnsi="Calibri" w:cs="Times New Roman"/>
          <w:bCs/>
        </w:rPr>
        <w:t>Blakemore A</w:t>
      </w:r>
      <w:r w:rsidR="0026700F">
        <w:rPr>
          <w:rFonts w:ascii="Calibri" w:hAnsi="Calibri" w:cs="Times New Roman"/>
          <w:bCs/>
          <w:vertAlign w:val="superscript"/>
        </w:rPr>
        <w:t>1</w:t>
      </w:r>
      <w:r w:rsidRPr="001B2947">
        <w:rPr>
          <w:rFonts w:ascii="Calibri" w:hAnsi="Calibri" w:cs="Times New Roman"/>
          <w:bCs/>
        </w:rPr>
        <w:t>, Dickens C</w:t>
      </w:r>
      <w:r w:rsidR="0026700F">
        <w:rPr>
          <w:rFonts w:ascii="Calibri" w:hAnsi="Calibri" w:cs="Times New Roman"/>
          <w:bCs/>
          <w:vertAlign w:val="superscript"/>
        </w:rPr>
        <w:t>2</w:t>
      </w:r>
      <w:r w:rsidRPr="001B2947">
        <w:rPr>
          <w:rFonts w:ascii="Calibri" w:hAnsi="Calibri" w:cs="Times New Roman"/>
          <w:bCs/>
        </w:rPr>
        <w:t>, Chew-Graham C</w:t>
      </w:r>
      <w:r w:rsidR="0026700F">
        <w:rPr>
          <w:rFonts w:ascii="Calibri" w:hAnsi="Calibri" w:cs="Times New Roman"/>
          <w:bCs/>
          <w:vertAlign w:val="superscript"/>
        </w:rPr>
        <w:t>3</w:t>
      </w:r>
      <w:r w:rsidRPr="001B2947">
        <w:rPr>
          <w:rFonts w:ascii="Calibri" w:hAnsi="Calibri" w:cs="Times New Roman"/>
          <w:bCs/>
        </w:rPr>
        <w:t xml:space="preserve">, </w:t>
      </w:r>
      <w:r w:rsidR="00117146">
        <w:rPr>
          <w:rFonts w:ascii="Calibri" w:hAnsi="Calibri" w:cs="Times New Roman"/>
          <w:bCs/>
        </w:rPr>
        <w:t>Afzal C</w:t>
      </w:r>
      <w:r w:rsidR="0026700F">
        <w:rPr>
          <w:rFonts w:ascii="Calibri" w:hAnsi="Calibri" w:cs="Times New Roman"/>
          <w:bCs/>
          <w:vertAlign w:val="superscript"/>
        </w:rPr>
        <w:t>4</w:t>
      </w:r>
      <w:r w:rsidR="00117146">
        <w:rPr>
          <w:rFonts w:ascii="Calibri" w:hAnsi="Calibri" w:cs="Times New Roman"/>
          <w:bCs/>
        </w:rPr>
        <w:t xml:space="preserve">, </w:t>
      </w:r>
      <w:r w:rsidR="0026700F">
        <w:rPr>
          <w:rFonts w:ascii="Calibri" w:hAnsi="Calibri" w:cs="Times New Roman"/>
          <w:bCs/>
        </w:rPr>
        <w:t>Tomenson B</w:t>
      </w:r>
      <w:r w:rsidR="0026700F">
        <w:rPr>
          <w:rFonts w:ascii="Calibri" w:hAnsi="Calibri" w:cs="Times New Roman"/>
          <w:bCs/>
          <w:vertAlign w:val="superscript"/>
        </w:rPr>
        <w:t>5</w:t>
      </w:r>
      <w:r w:rsidR="0026700F">
        <w:rPr>
          <w:rFonts w:ascii="Calibri" w:hAnsi="Calibri" w:cs="Times New Roman"/>
          <w:bCs/>
        </w:rPr>
        <w:t xml:space="preserve">, </w:t>
      </w:r>
      <w:r w:rsidRPr="001B2947">
        <w:rPr>
          <w:rFonts w:ascii="Calibri" w:hAnsi="Calibri" w:cs="Times New Roman"/>
          <w:bCs/>
        </w:rPr>
        <w:t>Coventry P</w:t>
      </w:r>
      <w:r w:rsidR="0026700F">
        <w:rPr>
          <w:rFonts w:ascii="Calibri" w:hAnsi="Calibri" w:cs="Times New Roman"/>
          <w:bCs/>
          <w:vertAlign w:val="superscript"/>
        </w:rPr>
        <w:t>6</w:t>
      </w:r>
      <w:r w:rsidRPr="001B2947">
        <w:rPr>
          <w:rFonts w:ascii="Calibri" w:hAnsi="Calibri" w:cs="Times New Roman"/>
          <w:bCs/>
        </w:rPr>
        <w:t xml:space="preserve">, Guthrie </w:t>
      </w:r>
      <w:r w:rsidR="00ED4013">
        <w:rPr>
          <w:rFonts w:ascii="Calibri" w:hAnsi="Calibri" w:cs="Times New Roman"/>
          <w:bCs/>
        </w:rPr>
        <w:t>E</w:t>
      </w:r>
      <w:r w:rsidR="0026700F">
        <w:rPr>
          <w:rFonts w:ascii="Calibri" w:hAnsi="Calibri" w:cs="Times New Roman"/>
          <w:bCs/>
          <w:vertAlign w:val="superscript"/>
        </w:rPr>
        <w:t>7</w:t>
      </w:r>
      <w:r w:rsidRPr="001B2947">
        <w:rPr>
          <w:rFonts w:ascii="Calibri" w:hAnsi="Calibri" w:cs="Times New Roman"/>
          <w:bCs/>
        </w:rPr>
        <w:t xml:space="preserve">. </w:t>
      </w:r>
    </w:p>
    <w:p w14:paraId="3860BEAA" w14:textId="77777777" w:rsidR="00E07DC8" w:rsidRDefault="00E07DC8" w:rsidP="00E07DC8">
      <w:pPr>
        <w:pStyle w:val="NormalWeb"/>
        <w:spacing w:before="0" w:after="0" w:line="360" w:lineRule="auto"/>
        <w:jc w:val="both"/>
        <w:outlineLvl w:val="0"/>
        <w:rPr>
          <w:rFonts w:ascii="Calibri" w:hAnsi="Calibri" w:cs="Times New Roman"/>
          <w:b/>
          <w:bCs/>
          <w:sz w:val="22"/>
          <w:szCs w:val="22"/>
        </w:rPr>
      </w:pPr>
    </w:p>
    <w:p w14:paraId="7597BBB6" w14:textId="691D9754" w:rsidR="00CA29E1" w:rsidRDefault="0026700F" w:rsidP="00E60C1F">
      <w:pPr>
        <w:pStyle w:val="NormalWeb"/>
        <w:spacing w:before="0" w:after="0" w:line="360" w:lineRule="auto"/>
        <w:jc w:val="both"/>
        <w:outlineLvl w:val="0"/>
        <w:rPr>
          <w:rFonts w:ascii="Calibri" w:hAnsi="Calibri" w:cs="Times New Roman"/>
          <w:bCs/>
          <w:sz w:val="22"/>
          <w:szCs w:val="22"/>
        </w:rPr>
      </w:pPr>
      <w:r>
        <w:rPr>
          <w:rFonts w:ascii="Calibri" w:hAnsi="Calibri" w:cs="Times New Roman"/>
          <w:bCs/>
          <w:sz w:val="22"/>
          <w:szCs w:val="22"/>
          <w:vertAlign w:val="superscript"/>
        </w:rPr>
        <w:t xml:space="preserve">1 </w:t>
      </w:r>
      <w:r w:rsidR="00CA29E1">
        <w:rPr>
          <w:rFonts w:ascii="Calibri" w:hAnsi="Calibri" w:cs="Times New Roman"/>
          <w:bCs/>
          <w:sz w:val="22"/>
          <w:szCs w:val="22"/>
        </w:rPr>
        <w:t>Division of Nursing, Social Work and Midwifery, School of Health Sciences, Oxford Road, University of Manch</w:t>
      </w:r>
      <w:r w:rsidR="003935E7">
        <w:rPr>
          <w:rFonts w:ascii="Calibri" w:hAnsi="Calibri" w:cs="Times New Roman"/>
          <w:bCs/>
          <w:sz w:val="22"/>
          <w:szCs w:val="22"/>
        </w:rPr>
        <w:t xml:space="preserve">ester, </w:t>
      </w:r>
      <w:r w:rsidR="00666428">
        <w:rPr>
          <w:rFonts w:ascii="Calibri" w:hAnsi="Calibri" w:cs="Times New Roman"/>
          <w:bCs/>
          <w:sz w:val="22"/>
          <w:szCs w:val="22"/>
        </w:rPr>
        <w:t xml:space="preserve">Manchester Academic Health Science Centre, </w:t>
      </w:r>
      <w:r w:rsidR="003935E7">
        <w:rPr>
          <w:rFonts w:ascii="Calibri" w:hAnsi="Calibri" w:cs="Times New Roman"/>
          <w:bCs/>
          <w:sz w:val="22"/>
          <w:szCs w:val="22"/>
        </w:rPr>
        <w:t>Manchester, M13 9PL, UK</w:t>
      </w:r>
    </w:p>
    <w:p w14:paraId="6D3C4588" w14:textId="2AB52BD2" w:rsidR="00CA29E1" w:rsidRDefault="0026700F" w:rsidP="00E60C1F">
      <w:pPr>
        <w:pStyle w:val="NormalWeb"/>
        <w:spacing w:before="0" w:after="0" w:line="360" w:lineRule="auto"/>
        <w:jc w:val="both"/>
        <w:outlineLvl w:val="0"/>
        <w:rPr>
          <w:rFonts w:ascii="Calibri" w:hAnsi="Calibri" w:cs="Times New Roman"/>
          <w:bCs/>
          <w:sz w:val="22"/>
          <w:szCs w:val="22"/>
        </w:rPr>
      </w:pPr>
      <w:r>
        <w:rPr>
          <w:rFonts w:ascii="Calibri" w:hAnsi="Calibri" w:cs="Times New Roman"/>
          <w:bCs/>
          <w:sz w:val="22"/>
          <w:szCs w:val="22"/>
          <w:vertAlign w:val="superscript"/>
        </w:rPr>
        <w:t xml:space="preserve">2 </w:t>
      </w:r>
      <w:r w:rsidR="003935E7">
        <w:rPr>
          <w:rFonts w:ascii="Calibri" w:hAnsi="Calibri" w:cs="Times New Roman"/>
          <w:bCs/>
          <w:sz w:val="22"/>
          <w:szCs w:val="22"/>
        </w:rPr>
        <w:t>University of Exeter Medical School, Exeter, St Luke’s Campus, Exeter EX1 2LU, UK</w:t>
      </w:r>
    </w:p>
    <w:p w14:paraId="0AC62789" w14:textId="1E0E46AA" w:rsidR="003935E7" w:rsidRDefault="0026700F" w:rsidP="00E60C1F">
      <w:pPr>
        <w:pStyle w:val="NormalWeb"/>
        <w:spacing w:before="0" w:after="0" w:line="360" w:lineRule="auto"/>
        <w:jc w:val="both"/>
        <w:outlineLvl w:val="0"/>
        <w:rPr>
          <w:rFonts w:ascii="Calibri" w:hAnsi="Calibri" w:cs="Times New Roman"/>
          <w:bCs/>
          <w:sz w:val="22"/>
          <w:szCs w:val="22"/>
        </w:rPr>
      </w:pPr>
      <w:r>
        <w:rPr>
          <w:rFonts w:ascii="Calibri" w:hAnsi="Calibri" w:cs="Times New Roman"/>
          <w:bCs/>
          <w:sz w:val="22"/>
          <w:szCs w:val="22"/>
          <w:vertAlign w:val="superscript"/>
        </w:rPr>
        <w:t xml:space="preserve">3 </w:t>
      </w:r>
      <w:r w:rsidR="003935E7">
        <w:rPr>
          <w:rFonts w:ascii="Calibri" w:hAnsi="Calibri" w:cs="Times New Roman"/>
          <w:bCs/>
          <w:sz w:val="22"/>
          <w:szCs w:val="22"/>
        </w:rPr>
        <w:t>Research Institute, Primary Care and Health Sciences, West Midlands CLAHRC, Keele, University, Newcastle ST5 5BG, UK</w:t>
      </w:r>
    </w:p>
    <w:p w14:paraId="33FF3A2E" w14:textId="155A13AE" w:rsidR="0026700F" w:rsidRDefault="00F224EC" w:rsidP="00E60C1F">
      <w:pPr>
        <w:pStyle w:val="NormalWeb"/>
        <w:spacing w:before="0" w:after="0" w:line="360" w:lineRule="auto"/>
        <w:jc w:val="both"/>
        <w:outlineLvl w:val="0"/>
        <w:rPr>
          <w:rFonts w:ascii="Calibri" w:hAnsi="Calibri" w:cs="Times New Roman"/>
          <w:bCs/>
          <w:sz w:val="22"/>
          <w:szCs w:val="22"/>
        </w:rPr>
      </w:pPr>
      <w:r>
        <w:rPr>
          <w:rFonts w:ascii="Calibri" w:hAnsi="Calibri" w:cs="Times New Roman"/>
          <w:bCs/>
          <w:sz w:val="22"/>
          <w:szCs w:val="22"/>
          <w:vertAlign w:val="superscript"/>
        </w:rPr>
        <w:t xml:space="preserve">4 </w:t>
      </w:r>
      <w:r w:rsidR="00666428">
        <w:rPr>
          <w:rFonts w:ascii="Calibri" w:hAnsi="Calibri" w:cs="Times New Roman"/>
          <w:bCs/>
          <w:sz w:val="22"/>
          <w:szCs w:val="22"/>
        </w:rPr>
        <w:t>Health Innovation Manchester, Greater Manchester’s Academic Health Science Network, Manchester Academic Health Science Centre, Manchester, UK</w:t>
      </w:r>
    </w:p>
    <w:p w14:paraId="2A297DDE" w14:textId="51F92452" w:rsidR="00666428" w:rsidRPr="00666428" w:rsidRDefault="00666428" w:rsidP="00E60C1F">
      <w:pPr>
        <w:pStyle w:val="NormalWeb"/>
        <w:spacing w:before="0" w:after="0" w:line="360" w:lineRule="auto"/>
        <w:jc w:val="both"/>
        <w:outlineLvl w:val="0"/>
        <w:rPr>
          <w:rFonts w:ascii="Calibri" w:hAnsi="Calibri" w:cs="Times New Roman"/>
          <w:bCs/>
          <w:sz w:val="22"/>
          <w:szCs w:val="22"/>
        </w:rPr>
      </w:pPr>
      <w:r>
        <w:rPr>
          <w:rFonts w:ascii="Calibri" w:hAnsi="Calibri" w:cs="Times New Roman"/>
          <w:bCs/>
          <w:sz w:val="22"/>
          <w:szCs w:val="22"/>
          <w:vertAlign w:val="superscript"/>
        </w:rPr>
        <w:t>5</w:t>
      </w:r>
      <w:r>
        <w:rPr>
          <w:rFonts w:ascii="Calibri" w:hAnsi="Calibri" w:cs="Times New Roman"/>
          <w:bCs/>
          <w:sz w:val="22"/>
          <w:szCs w:val="22"/>
        </w:rPr>
        <w:t xml:space="preserve"> </w:t>
      </w:r>
      <w:r w:rsidRPr="00666428">
        <w:rPr>
          <w:rFonts w:ascii="Calibri" w:hAnsi="Calibri" w:cs="Times New Roman"/>
          <w:bCs/>
          <w:sz w:val="22"/>
          <w:szCs w:val="22"/>
        </w:rPr>
        <w:t>Centre for Biostatistics, Institute of Population Health, University of Manchester, Manchester, UK</w:t>
      </w:r>
    </w:p>
    <w:p w14:paraId="4B95C3CF" w14:textId="60B129E9" w:rsidR="00666428" w:rsidRDefault="00666428" w:rsidP="00666428">
      <w:pPr>
        <w:pStyle w:val="NormalWeb"/>
        <w:spacing w:before="0" w:after="0" w:line="360" w:lineRule="auto"/>
        <w:jc w:val="both"/>
        <w:outlineLvl w:val="0"/>
        <w:rPr>
          <w:rFonts w:ascii="Calibri" w:hAnsi="Calibri" w:cs="Times New Roman"/>
          <w:bCs/>
          <w:sz w:val="22"/>
          <w:szCs w:val="22"/>
        </w:rPr>
      </w:pPr>
      <w:r>
        <w:rPr>
          <w:rFonts w:ascii="Calibri" w:hAnsi="Calibri" w:cs="Times New Roman"/>
          <w:bCs/>
          <w:sz w:val="22"/>
          <w:szCs w:val="22"/>
          <w:vertAlign w:val="superscript"/>
        </w:rPr>
        <w:t>6</w:t>
      </w:r>
      <w:r w:rsidRPr="00666428">
        <w:rPr>
          <w:rFonts w:ascii="Calibri" w:hAnsi="Calibri" w:cs="Times New Roman"/>
          <w:bCs/>
          <w:sz w:val="22"/>
          <w:szCs w:val="22"/>
        </w:rPr>
        <w:t xml:space="preserve"> Department of Health Sciences, University of York, York, UK</w:t>
      </w:r>
    </w:p>
    <w:p w14:paraId="2922BBF2" w14:textId="3D3C93D0" w:rsidR="00666428" w:rsidRPr="00666428" w:rsidRDefault="00666428" w:rsidP="00666428">
      <w:pPr>
        <w:pStyle w:val="NormalWeb"/>
        <w:spacing w:before="0" w:after="0" w:line="360" w:lineRule="auto"/>
        <w:jc w:val="both"/>
        <w:outlineLvl w:val="0"/>
        <w:rPr>
          <w:rFonts w:ascii="Calibri" w:hAnsi="Calibri" w:cs="Times New Roman"/>
          <w:bCs/>
          <w:sz w:val="22"/>
          <w:szCs w:val="22"/>
        </w:rPr>
      </w:pPr>
      <w:r>
        <w:rPr>
          <w:rFonts w:ascii="Calibri" w:hAnsi="Calibri" w:cs="Times New Roman"/>
          <w:bCs/>
          <w:sz w:val="22"/>
          <w:szCs w:val="22"/>
          <w:vertAlign w:val="superscript"/>
        </w:rPr>
        <w:t xml:space="preserve">7 </w:t>
      </w:r>
      <w:r w:rsidR="00087E1C">
        <w:rPr>
          <w:rFonts w:ascii="Calibri" w:hAnsi="Calibri" w:cs="Times New Roman"/>
          <w:bCs/>
          <w:sz w:val="22"/>
          <w:szCs w:val="22"/>
        </w:rPr>
        <w:t>Leeds Institute of Health Sciences, Faculty of Medicine and Health, University of Leeds, Leeds, LS2 9JT, UK</w:t>
      </w:r>
    </w:p>
    <w:p w14:paraId="7F2C837A" w14:textId="77777777" w:rsidR="00666428" w:rsidRDefault="00666428" w:rsidP="00E60C1F">
      <w:pPr>
        <w:pStyle w:val="NormalWeb"/>
        <w:spacing w:before="0" w:after="0" w:line="360" w:lineRule="auto"/>
        <w:jc w:val="both"/>
        <w:outlineLvl w:val="0"/>
        <w:rPr>
          <w:rFonts w:ascii="Calibri" w:hAnsi="Calibri" w:cs="Times New Roman"/>
          <w:bCs/>
          <w:sz w:val="22"/>
          <w:szCs w:val="22"/>
        </w:rPr>
      </w:pPr>
    </w:p>
    <w:p w14:paraId="6F256A3F" w14:textId="77777777" w:rsidR="00F224EC" w:rsidRDefault="00F224EC" w:rsidP="00E60C1F">
      <w:pPr>
        <w:pStyle w:val="NormalWeb"/>
        <w:spacing w:before="0" w:after="0" w:line="360" w:lineRule="auto"/>
        <w:jc w:val="both"/>
        <w:outlineLvl w:val="0"/>
        <w:rPr>
          <w:rFonts w:ascii="Calibri" w:hAnsi="Calibri" w:cs="Times New Roman"/>
          <w:b/>
          <w:bCs/>
          <w:sz w:val="22"/>
          <w:szCs w:val="22"/>
        </w:rPr>
      </w:pPr>
      <w:r>
        <w:rPr>
          <w:rFonts w:ascii="Calibri" w:hAnsi="Calibri" w:cs="Times New Roman"/>
          <w:b/>
          <w:bCs/>
          <w:sz w:val="22"/>
          <w:szCs w:val="22"/>
        </w:rPr>
        <w:t>Correspondance</w:t>
      </w:r>
    </w:p>
    <w:p w14:paraId="4A1CE0B7" w14:textId="0969DBA4" w:rsidR="00087E1C" w:rsidRPr="00087E1C" w:rsidRDefault="00087E1C" w:rsidP="00E60C1F">
      <w:pPr>
        <w:pStyle w:val="NormalWeb"/>
        <w:spacing w:before="0" w:after="0" w:line="360" w:lineRule="auto"/>
        <w:jc w:val="both"/>
        <w:outlineLvl w:val="0"/>
        <w:rPr>
          <w:rFonts w:ascii="Calibri" w:hAnsi="Calibri" w:cs="Times New Roman"/>
          <w:bCs/>
          <w:sz w:val="22"/>
          <w:szCs w:val="22"/>
        </w:rPr>
      </w:pPr>
      <w:r w:rsidRPr="00087E1C">
        <w:rPr>
          <w:rFonts w:ascii="Calibri" w:hAnsi="Calibri" w:cs="Times New Roman"/>
          <w:bCs/>
          <w:sz w:val="22"/>
          <w:szCs w:val="22"/>
        </w:rPr>
        <w:t xml:space="preserve">Dr Amy Blakemore </w:t>
      </w:r>
    </w:p>
    <w:p w14:paraId="17694F99" w14:textId="12330526" w:rsidR="00087E1C" w:rsidRPr="00087E1C" w:rsidRDefault="00087E1C" w:rsidP="00E60C1F">
      <w:pPr>
        <w:pStyle w:val="NormalWeb"/>
        <w:spacing w:before="0" w:after="0" w:line="360" w:lineRule="auto"/>
        <w:jc w:val="both"/>
        <w:outlineLvl w:val="0"/>
        <w:rPr>
          <w:rFonts w:ascii="Calibri" w:hAnsi="Calibri" w:cs="Times New Roman"/>
          <w:bCs/>
          <w:sz w:val="22"/>
          <w:szCs w:val="22"/>
        </w:rPr>
      </w:pPr>
      <w:r w:rsidRPr="00087E1C">
        <w:rPr>
          <w:rFonts w:ascii="Calibri" w:hAnsi="Calibri" w:cs="Times New Roman"/>
          <w:bCs/>
          <w:sz w:val="22"/>
          <w:szCs w:val="22"/>
        </w:rPr>
        <w:t>Jean McFarlane Building</w:t>
      </w:r>
    </w:p>
    <w:p w14:paraId="55BB6C35" w14:textId="5BE3158F" w:rsidR="00087E1C" w:rsidRPr="00087E1C" w:rsidRDefault="00087E1C" w:rsidP="00E60C1F">
      <w:pPr>
        <w:pStyle w:val="NormalWeb"/>
        <w:spacing w:before="0" w:after="0" w:line="360" w:lineRule="auto"/>
        <w:jc w:val="both"/>
        <w:outlineLvl w:val="0"/>
        <w:rPr>
          <w:rFonts w:ascii="Calibri" w:hAnsi="Calibri" w:cs="Times New Roman"/>
          <w:bCs/>
          <w:sz w:val="22"/>
          <w:szCs w:val="22"/>
        </w:rPr>
      </w:pPr>
      <w:r w:rsidRPr="00087E1C">
        <w:rPr>
          <w:rFonts w:ascii="Calibri" w:hAnsi="Calibri" w:cs="Times New Roman"/>
          <w:bCs/>
          <w:sz w:val="22"/>
          <w:szCs w:val="22"/>
        </w:rPr>
        <w:t xml:space="preserve">University of Manchester </w:t>
      </w:r>
    </w:p>
    <w:p w14:paraId="31BEF9CC" w14:textId="5B607015" w:rsidR="00087E1C" w:rsidRPr="00087E1C" w:rsidRDefault="00087E1C" w:rsidP="00E60C1F">
      <w:pPr>
        <w:pStyle w:val="NormalWeb"/>
        <w:spacing w:before="0" w:after="0" w:line="360" w:lineRule="auto"/>
        <w:jc w:val="both"/>
        <w:outlineLvl w:val="0"/>
        <w:rPr>
          <w:rFonts w:ascii="Calibri" w:hAnsi="Calibri" w:cs="Times New Roman"/>
          <w:bCs/>
          <w:sz w:val="22"/>
          <w:szCs w:val="22"/>
        </w:rPr>
      </w:pPr>
      <w:r w:rsidRPr="00087E1C">
        <w:rPr>
          <w:rFonts w:ascii="Calibri" w:hAnsi="Calibri" w:cs="Times New Roman"/>
          <w:bCs/>
          <w:sz w:val="22"/>
          <w:szCs w:val="22"/>
        </w:rPr>
        <w:t>Oxford Road</w:t>
      </w:r>
    </w:p>
    <w:p w14:paraId="30A23F3A" w14:textId="1DB8B191" w:rsidR="00087E1C" w:rsidRPr="00087E1C" w:rsidRDefault="00087E1C" w:rsidP="00E60C1F">
      <w:pPr>
        <w:pStyle w:val="NormalWeb"/>
        <w:spacing w:before="0" w:after="0" w:line="360" w:lineRule="auto"/>
        <w:jc w:val="both"/>
        <w:outlineLvl w:val="0"/>
        <w:rPr>
          <w:rFonts w:ascii="Calibri" w:hAnsi="Calibri" w:cs="Times New Roman"/>
          <w:bCs/>
          <w:sz w:val="22"/>
          <w:szCs w:val="22"/>
        </w:rPr>
      </w:pPr>
      <w:r w:rsidRPr="00087E1C">
        <w:rPr>
          <w:rFonts w:ascii="Calibri" w:hAnsi="Calibri" w:cs="Times New Roman"/>
          <w:bCs/>
          <w:sz w:val="22"/>
          <w:szCs w:val="22"/>
        </w:rPr>
        <w:t>Manchester, M13 9PL</w:t>
      </w:r>
    </w:p>
    <w:p w14:paraId="2591172D" w14:textId="6257E15F" w:rsidR="00CA29E1" w:rsidRPr="00087E1C" w:rsidRDefault="00516D4B" w:rsidP="00E60C1F">
      <w:pPr>
        <w:pStyle w:val="NormalWeb"/>
        <w:spacing w:before="0" w:after="0" w:line="360" w:lineRule="auto"/>
        <w:jc w:val="both"/>
        <w:outlineLvl w:val="0"/>
        <w:rPr>
          <w:rFonts w:ascii="Calibri" w:hAnsi="Calibri" w:cs="Times New Roman"/>
          <w:bCs/>
          <w:sz w:val="22"/>
          <w:szCs w:val="22"/>
        </w:rPr>
      </w:pPr>
      <w:hyperlink r:id="rId7" w:history="1">
        <w:r w:rsidR="00087E1C" w:rsidRPr="00087E1C">
          <w:rPr>
            <w:rFonts w:ascii="Calibri" w:hAnsi="Calibri" w:cs="Times New Roman"/>
            <w:bCs/>
            <w:sz w:val="22"/>
            <w:szCs w:val="22"/>
          </w:rPr>
          <w:t>amy.blakemore@manchester.ac.uk</w:t>
        </w:r>
      </w:hyperlink>
    </w:p>
    <w:p w14:paraId="0B492950" w14:textId="73B32E70" w:rsidR="00087E1C" w:rsidRPr="00087E1C" w:rsidRDefault="00087E1C" w:rsidP="00E60C1F">
      <w:pPr>
        <w:pStyle w:val="NormalWeb"/>
        <w:spacing w:before="0" w:after="0" w:line="360" w:lineRule="auto"/>
        <w:jc w:val="both"/>
        <w:outlineLvl w:val="0"/>
        <w:rPr>
          <w:rFonts w:ascii="Calibri" w:hAnsi="Calibri" w:cs="Times New Roman"/>
          <w:bCs/>
          <w:sz w:val="22"/>
          <w:szCs w:val="22"/>
        </w:rPr>
      </w:pPr>
      <w:r w:rsidRPr="00087E1C">
        <w:rPr>
          <w:rFonts w:ascii="Calibri" w:hAnsi="Calibri" w:cs="Times New Roman"/>
          <w:bCs/>
          <w:sz w:val="22"/>
          <w:szCs w:val="22"/>
        </w:rPr>
        <w:t>Tel: 0161 306 7846</w:t>
      </w:r>
    </w:p>
    <w:p w14:paraId="6BA76229" w14:textId="77777777" w:rsidR="00087E1C" w:rsidRDefault="00087E1C" w:rsidP="00E60C1F">
      <w:pPr>
        <w:pStyle w:val="NormalWeb"/>
        <w:spacing w:before="0" w:after="0" w:line="360" w:lineRule="auto"/>
        <w:jc w:val="both"/>
        <w:outlineLvl w:val="0"/>
        <w:rPr>
          <w:rFonts w:ascii="Calibri" w:hAnsi="Calibri" w:cs="Times New Roman"/>
          <w:b/>
          <w:bCs/>
          <w:sz w:val="22"/>
          <w:szCs w:val="22"/>
        </w:rPr>
      </w:pPr>
    </w:p>
    <w:p w14:paraId="2DECD07C" w14:textId="77777777" w:rsidR="00F224EC" w:rsidRDefault="00F224EC" w:rsidP="00E60C1F">
      <w:pPr>
        <w:pStyle w:val="NormalWeb"/>
        <w:spacing w:before="0" w:after="0" w:line="360" w:lineRule="auto"/>
        <w:jc w:val="both"/>
        <w:outlineLvl w:val="0"/>
        <w:rPr>
          <w:rFonts w:ascii="Calibri" w:hAnsi="Calibri" w:cs="Times New Roman"/>
          <w:b/>
          <w:bCs/>
          <w:sz w:val="22"/>
          <w:szCs w:val="22"/>
        </w:rPr>
      </w:pPr>
    </w:p>
    <w:p w14:paraId="392DFA49" w14:textId="77777777" w:rsidR="00F224EC" w:rsidRDefault="00F224EC" w:rsidP="00E60C1F">
      <w:pPr>
        <w:pStyle w:val="NormalWeb"/>
        <w:spacing w:before="0" w:after="0" w:line="360" w:lineRule="auto"/>
        <w:jc w:val="both"/>
        <w:outlineLvl w:val="0"/>
        <w:rPr>
          <w:rFonts w:ascii="Calibri" w:hAnsi="Calibri" w:cs="Times New Roman"/>
          <w:b/>
          <w:bCs/>
          <w:sz w:val="22"/>
          <w:szCs w:val="22"/>
        </w:rPr>
      </w:pPr>
    </w:p>
    <w:p w14:paraId="76F4C043" w14:textId="77777777" w:rsidR="00F224EC" w:rsidRDefault="00F224EC" w:rsidP="00E60C1F">
      <w:pPr>
        <w:pStyle w:val="NormalWeb"/>
        <w:spacing w:before="0" w:after="0" w:line="360" w:lineRule="auto"/>
        <w:jc w:val="both"/>
        <w:outlineLvl w:val="0"/>
        <w:rPr>
          <w:rFonts w:ascii="Calibri" w:hAnsi="Calibri" w:cs="Times New Roman"/>
          <w:b/>
          <w:bCs/>
          <w:sz w:val="22"/>
          <w:szCs w:val="22"/>
        </w:rPr>
      </w:pPr>
    </w:p>
    <w:p w14:paraId="3131A3D1" w14:textId="77777777" w:rsidR="00F224EC" w:rsidRDefault="00F224EC" w:rsidP="00E60C1F">
      <w:pPr>
        <w:pStyle w:val="NormalWeb"/>
        <w:spacing w:before="0" w:after="0" w:line="360" w:lineRule="auto"/>
        <w:jc w:val="both"/>
        <w:outlineLvl w:val="0"/>
        <w:rPr>
          <w:rFonts w:ascii="Calibri" w:hAnsi="Calibri" w:cs="Times New Roman"/>
          <w:b/>
          <w:bCs/>
          <w:sz w:val="22"/>
          <w:szCs w:val="22"/>
        </w:rPr>
      </w:pPr>
    </w:p>
    <w:p w14:paraId="5FBEAB91" w14:textId="77777777" w:rsidR="00F224EC" w:rsidRDefault="00F224EC" w:rsidP="00E60C1F">
      <w:pPr>
        <w:pStyle w:val="NormalWeb"/>
        <w:spacing w:before="0" w:after="0" w:line="360" w:lineRule="auto"/>
        <w:jc w:val="both"/>
        <w:outlineLvl w:val="0"/>
        <w:rPr>
          <w:rFonts w:ascii="Calibri" w:hAnsi="Calibri" w:cs="Times New Roman"/>
          <w:b/>
          <w:bCs/>
          <w:sz w:val="22"/>
          <w:szCs w:val="22"/>
        </w:rPr>
      </w:pPr>
    </w:p>
    <w:p w14:paraId="06998223" w14:textId="14F7910D" w:rsidR="009577BF" w:rsidRPr="00E07DC8" w:rsidRDefault="00A4657B" w:rsidP="00E60C1F">
      <w:pPr>
        <w:pStyle w:val="NormalWeb"/>
        <w:spacing w:before="0" w:after="0" w:line="360" w:lineRule="auto"/>
        <w:jc w:val="both"/>
        <w:outlineLvl w:val="0"/>
        <w:rPr>
          <w:rFonts w:ascii="Calibri" w:hAnsi="Calibri" w:cs="Times New Roman"/>
          <w:b/>
          <w:bCs/>
          <w:sz w:val="22"/>
          <w:szCs w:val="22"/>
        </w:rPr>
      </w:pPr>
      <w:r w:rsidRPr="00E07DC8">
        <w:rPr>
          <w:rFonts w:ascii="Calibri" w:hAnsi="Calibri" w:cs="Times New Roman"/>
          <w:b/>
          <w:bCs/>
          <w:sz w:val="22"/>
          <w:szCs w:val="22"/>
        </w:rPr>
        <w:lastRenderedPageBreak/>
        <w:t>Abstract</w:t>
      </w:r>
      <w:r w:rsidR="00AB75A4">
        <w:rPr>
          <w:rFonts w:ascii="Calibri" w:hAnsi="Calibri" w:cs="Times New Roman"/>
          <w:b/>
          <w:bCs/>
          <w:sz w:val="22"/>
          <w:szCs w:val="22"/>
        </w:rPr>
        <w:t xml:space="preserve"> (2</w:t>
      </w:r>
      <w:r w:rsidR="007933A1">
        <w:rPr>
          <w:rFonts w:ascii="Calibri" w:hAnsi="Calibri" w:cs="Times New Roman"/>
          <w:b/>
          <w:bCs/>
          <w:sz w:val="22"/>
          <w:szCs w:val="22"/>
        </w:rPr>
        <w:t>40</w:t>
      </w:r>
      <w:r w:rsidR="00AB75A4">
        <w:rPr>
          <w:rFonts w:ascii="Calibri" w:hAnsi="Calibri" w:cs="Times New Roman"/>
          <w:b/>
          <w:bCs/>
          <w:sz w:val="22"/>
          <w:szCs w:val="22"/>
        </w:rPr>
        <w:t xml:space="preserve"> Words) </w:t>
      </w:r>
    </w:p>
    <w:p w14:paraId="73119D94" w14:textId="6F4C24DB" w:rsidR="00A4657B" w:rsidRPr="00E07DC8" w:rsidRDefault="00A4657B" w:rsidP="00E60C1F">
      <w:pPr>
        <w:pStyle w:val="NormalWeb"/>
        <w:spacing w:before="0" w:after="0" w:line="360" w:lineRule="auto"/>
        <w:jc w:val="both"/>
        <w:rPr>
          <w:rFonts w:ascii="Calibri" w:hAnsi="Calibri" w:cs="Times New Roman"/>
          <w:sz w:val="22"/>
          <w:szCs w:val="22"/>
        </w:rPr>
      </w:pPr>
      <w:r w:rsidRPr="00E07DC8">
        <w:rPr>
          <w:rFonts w:ascii="Calibri" w:hAnsi="Calibri" w:cs="Times New Roman"/>
          <w:sz w:val="22"/>
          <w:szCs w:val="22"/>
        </w:rPr>
        <w:t>Background</w:t>
      </w:r>
    </w:p>
    <w:p w14:paraId="2CAC7689" w14:textId="26BB44F5" w:rsidR="00A4657B" w:rsidRDefault="00A4657B" w:rsidP="00E60C1F">
      <w:pPr>
        <w:pStyle w:val="NormalWeb"/>
        <w:spacing w:before="0" w:after="0" w:line="360" w:lineRule="auto"/>
        <w:jc w:val="both"/>
        <w:rPr>
          <w:rFonts w:ascii="Calibri" w:hAnsi="Calibri" w:cs="Times New Roman"/>
          <w:sz w:val="22"/>
          <w:szCs w:val="22"/>
        </w:rPr>
      </w:pPr>
      <w:r w:rsidRPr="00E07DC8">
        <w:rPr>
          <w:rFonts w:ascii="Calibri" w:hAnsi="Calibri" w:cs="Times New Roman"/>
          <w:sz w:val="22"/>
          <w:szCs w:val="22"/>
        </w:rPr>
        <w:t>Depression is common in people with chronic obstructi</w:t>
      </w:r>
      <w:r w:rsidR="00ED4013">
        <w:rPr>
          <w:rFonts w:ascii="Calibri" w:hAnsi="Calibri" w:cs="Times New Roman"/>
          <w:sz w:val="22"/>
          <w:szCs w:val="22"/>
        </w:rPr>
        <w:t>ve pulmonary disease (COPD) and</w:t>
      </w:r>
      <w:r w:rsidR="001B2947">
        <w:rPr>
          <w:rFonts w:ascii="Calibri" w:hAnsi="Calibri" w:cs="Times New Roman"/>
          <w:sz w:val="22"/>
          <w:szCs w:val="22"/>
        </w:rPr>
        <w:t xml:space="preserve"> </w:t>
      </w:r>
      <w:r w:rsidRPr="00E07DC8">
        <w:rPr>
          <w:rFonts w:ascii="Calibri" w:hAnsi="Calibri" w:cs="Times New Roman"/>
          <w:sz w:val="22"/>
          <w:szCs w:val="22"/>
        </w:rPr>
        <w:t>has been associated with a variety of poor outcomes. A large proportion of healthcare costs in the UK are spent on emergency care. This study examined the prospective relationship between depression and use of emergency care in patients with COPD</w:t>
      </w:r>
      <w:r w:rsidR="009A2DBC" w:rsidRPr="00E07DC8">
        <w:rPr>
          <w:rFonts w:ascii="Calibri" w:hAnsi="Calibri" w:cs="Times New Roman"/>
          <w:sz w:val="22"/>
          <w:szCs w:val="22"/>
        </w:rPr>
        <w:t xml:space="preserve"> managed in</w:t>
      </w:r>
      <w:r w:rsidR="001B2947">
        <w:rPr>
          <w:rFonts w:ascii="Calibri" w:hAnsi="Calibri" w:cs="Times New Roman"/>
          <w:sz w:val="22"/>
          <w:szCs w:val="22"/>
        </w:rPr>
        <w:t xml:space="preserve"> </w:t>
      </w:r>
      <w:r w:rsidR="009A2DBC" w:rsidRPr="00E07DC8">
        <w:rPr>
          <w:rFonts w:ascii="Calibri" w:hAnsi="Calibri" w:cs="Times New Roman"/>
          <w:sz w:val="22"/>
          <w:szCs w:val="22"/>
        </w:rPr>
        <w:t>primary care.</w:t>
      </w:r>
    </w:p>
    <w:p w14:paraId="471EBF12" w14:textId="77777777" w:rsidR="00E60C1F" w:rsidRPr="00E07DC8" w:rsidRDefault="00E60C1F" w:rsidP="00E60C1F">
      <w:pPr>
        <w:pStyle w:val="NormalWeb"/>
        <w:spacing w:before="0" w:after="0" w:line="360" w:lineRule="auto"/>
        <w:jc w:val="both"/>
        <w:rPr>
          <w:rFonts w:ascii="Calibri" w:hAnsi="Calibri" w:cs="Times New Roman"/>
          <w:sz w:val="22"/>
          <w:szCs w:val="22"/>
        </w:rPr>
      </w:pPr>
    </w:p>
    <w:p w14:paraId="11C81A50" w14:textId="3750B9BC" w:rsidR="00A4657B" w:rsidRPr="00E07DC8" w:rsidRDefault="00A4657B" w:rsidP="00E60C1F">
      <w:pPr>
        <w:pStyle w:val="NormalWeb"/>
        <w:spacing w:before="0" w:after="0" w:line="360" w:lineRule="auto"/>
        <w:jc w:val="both"/>
        <w:rPr>
          <w:rFonts w:ascii="Calibri" w:hAnsi="Calibri" w:cs="Times New Roman"/>
          <w:sz w:val="22"/>
          <w:szCs w:val="22"/>
        </w:rPr>
      </w:pPr>
      <w:r w:rsidRPr="00E07DC8">
        <w:rPr>
          <w:rFonts w:ascii="Calibri" w:hAnsi="Calibri" w:cs="Times New Roman"/>
          <w:sz w:val="22"/>
          <w:szCs w:val="22"/>
        </w:rPr>
        <w:t>Methods</w:t>
      </w:r>
    </w:p>
    <w:p w14:paraId="44A6351F" w14:textId="0733A04F" w:rsidR="00A4657B" w:rsidRDefault="00B4216F" w:rsidP="00E60C1F">
      <w:pPr>
        <w:pStyle w:val="NormalWeb"/>
        <w:spacing w:before="0" w:after="0" w:line="360" w:lineRule="auto"/>
        <w:jc w:val="both"/>
        <w:rPr>
          <w:rFonts w:ascii="Calibri" w:hAnsi="Calibri" w:cs="Times New Roman"/>
          <w:sz w:val="22"/>
          <w:szCs w:val="22"/>
        </w:rPr>
      </w:pPr>
      <w:r>
        <w:rPr>
          <w:rFonts w:ascii="Calibri" w:hAnsi="Calibri" w:cs="Times New Roman"/>
          <w:sz w:val="22"/>
          <w:szCs w:val="22"/>
        </w:rPr>
        <w:t>Twelve</w:t>
      </w:r>
      <w:r w:rsidR="00A4657B" w:rsidRPr="00E07DC8">
        <w:rPr>
          <w:rFonts w:ascii="Calibri" w:hAnsi="Calibri" w:cs="Times New Roman"/>
          <w:sz w:val="22"/>
          <w:szCs w:val="22"/>
        </w:rPr>
        <w:t xml:space="preserve"> month, prospective </w:t>
      </w:r>
      <w:r w:rsidR="00B90550" w:rsidRPr="00E07DC8">
        <w:rPr>
          <w:rFonts w:ascii="Calibri" w:hAnsi="Calibri" w:cs="Times New Roman"/>
          <w:sz w:val="22"/>
          <w:szCs w:val="22"/>
        </w:rPr>
        <w:t xml:space="preserve">longitudinal </w:t>
      </w:r>
      <w:r w:rsidR="00A4657B" w:rsidRPr="00E07DC8">
        <w:rPr>
          <w:rFonts w:ascii="Calibri" w:hAnsi="Calibri" w:cs="Times New Roman"/>
          <w:sz w:val="22"/>
          <w:szCs w:val="22"/>
        </w:rPr>
        <w:t xml:space="preserve">study of 355 patients with COPD in six primary care practices in the UK. Baseline measures </w:t>
      </w:r>
      <w:r w:rsidR="002D0EB7" w:rsidRPr="00E07DC8">
        <w:rPr>
          <w:rFonts w:ascii="Calibri" w:hAnsi="Calibri" w:cs="Times New Roman"/>
          <w:sz w:val="22"/>
          <w:szCs w:val="22"/>
        </w:rPr>
        <w:t xml:space="preserve">included demographic characteristics, </w:t>
      </w:r>
      <w:r w:rsidR="00E07DC8" w:rsidRPr="00E07DC8">
        <w:rPr>
          <w:rFonts w:ascii="Calibri" w:hAnsi="Calibri" w:cs="Times New Roman"/>
          <w:sz w:val="22"/>
          <w:szCs w:val="22"/>
        </w:rPr>
        <w:t xml:space="preserve">depression and anxiety, </w:t>
      </w:r>
      <w:r w:rsidR="002D0EB7" w:rsidRPr="00E07DC8">
        <w:rPr>
          <w:rFonts w:ascii="Calibri" w:hAnsi="Calibri" w:cs="Times New Roman"/>
          <w:sz w:val="22"/>
          <w:szCs w:val="22"/>
        </w:rPr>
        <w:t xml:space="preserve">severity of COPD, presence or absence of other chronic diseases, prior use of emergency care. Outcome measures were a) </w:t>
      </w:r>
      <w:r>
        <w:rPr>
          <w:rFonts w:ascii="Calibri" w:hAnsi="Calibri" w:cs="Times New Roman"/>
          <w:sz w:val="22"/>
          <w:szCs w:val="22"/>
        </w:rPr>
        <w:t xml:space="preserve">number of </w:t>
      </w:r>
      <w:r w:rsidR="002D0EB7" w:rsidRPr="00E07DC8">
        <w:rPr>
          <w:rFonts w:ascii="Calibri" w:hAnsi="Calibri" w:cs="Times New Roman"/>
          <w:sz w:val="22"/>
          <w:szCs w:val="22"/>
        </w:rPr>
        <w:t xml:space="preserve">emergency department </w:t>
      </w:r>
      <w:r>
        <w:rPr>
          <w:rFonts w:ascii="Calibri" w:hAnsi="Calibri" w:cs="Times New Roman"/>
          <w:sz w:val="22"/>
          <w:szCs w:val="22"/>
        </w:rPr>
        <w:t xml:space="preserve">visits </w:t>
      </w:r>
      <w:r w:rsidR="002D0EB7" w:rsidRPr="00E07DC8">
        <w:rPr>
          <w:rFonts w:ascii="Calibri" w:hAnsi="Calibri" w:cs="Times New Roman"/>
          <w:sz w:val="22"/>
          <w:szCs w:val="22"/>
        </w:rPr>
        <w:t>or b) an emergency hospital admission</w:t>
      </w:r>
      <w:r>
        <w:rPr>
          <w:rFonts w:ascii="Calibri" w:hAnsi="Calibri" w:cs="Times New Roman"/>
          <w:sz w:val="22"/>
          <w:szCs w:val="22"/>
        </w:rPr>
        <w:t>,</w:t>
      </w:r>
      <w:r w:rsidR="00A95956">
        <w:rPr>
          <w:rFonts w:ascii="Calibri" w:hAnsi="Calibri" w:cs="Times New Roman"/>
          <w:sz w:val="22"/>
          <w:szCs w:val="22"/>
        </w:rPr>
        <w:t xml:space="preserve"> </w:t>
      </w:r>
      <w:r>
        <w:rPr>
          <w:rFonts w:ascii="Calibri" w:hAnsi="Calibri" w:cs="Times New Roman"/>
          <w:sz w:val="22"/>
          <w:szCs w:val="22"/>
        </w:rPr>
        <w:t>in the follow-up year</w:t>
      </w:r>
      <w:r w:rsidR="002D0EB7" w:rsidRPr="00E07DC8">
        <w:rPr>
          <w:rFonts w:ascii="Calibri" w:hAnsi="Calibri" w:cs="Times New Roman"/>
          <w:sz w:val="22"/>
          <w:szCs w:val="22"/>
        </w:rPr>
        <w:t>.</w:t>
      </w:r>
    </w:p>
    <w:p w14:paraId="1686A96F" w14:textId="77777777" w:rsidR="00E60C1F" w:rsidRPr="00E07DC8" w:rsidRDefault="00E60C1F" w:rsidP="00E60C1F">
      <w:pPr>
        <w:pStyle w:val="NormalWeb"/>
        <w:spacing w:before="0" w:after="0" w:line="360" w:lineRule="auto"/>
        <w:jc w:val="both"/>
        <w:rPr>
          <w:rFonts w:ascii="Calibri" w:hAnsi="Calibri" w:cs="Times New Roman"/>
          <w:sz w:val="22"/>
          <w:szCs w:val="22"/>
        </w:rPr>
      </w:pPr>
    </w:p>
    <w:p w14:paraId="1A9D02E7" w14:textId="7B176BC6" w:rsidR="002D0EB7" w:rsidRPr="00E07DC8" w:rsidRDefault="002D0EB7" w:rsidP="00E60C1F">
      <w:pPr>
        <w:pStyle w:val="NormalWeb"/>
        <w:spacing w:before="0" w:after="0" w:line="360" w:lineRule="auto"/>
        <w:jc w:val="both"/>
        <w:rPr>
          <w:rFonts w:ascii="Calibri" w:hAnsi="Calibri" w:cs="Times New Roman"/>
          <w:sz w:val="22"/>
          <w:szCs w:val="22"/>
        </w:rPr>
      </w:pPr>
      <w:r w:rsidRPr="00E07DC8">
        <w:rPr>
          <w:rFonts w:ascii="Calibri" w:hAnsi="Calibri" w:cs="Times New Roman"/>
          <w:sz w:val="22"/>
          <w:szCs w:val="22"/>
        </w:rPr>
        <w:t>Results</w:t>
      </w:r>
    </w:p>
    <w:p w14:paraId="0BF61885" w14:textId="472E6343" w:rsidR="002D0EB7" w:rsidRDefault="002D0EB7" w:rsidP="00E60C1F">
      <w:pPr>
        <w:pStyle w:val="NormalWeb"/>
        <w:spacing w:before="0" w:after="0" w:line="360" w:lineRule="auto"/>
        <w:jc w:val="both"/>
        <w:rPr>
          <w:rFonts w:ascii="Calibri" w:hAnsi="Calibri" w:cs="Times New Roman"/>
          <w:sz w:val="22"/>
          <w:szCs w:val="22"/>
        </w:rPr>
      </w:pPr>
      <w:r w:rsidRPr="00E07DC8">
        <w:rPr>
          <w:rFonts w:ascii="Calibri" w:hAnsi="Calibri" w:cs="Times New Roman"/>
          <w:sz w:val="22"/>
          <w:szCs w:val="22"/>
        </w:rPr>
        <w:t xml:space="preserve">Older age, number of </w:t>
      </w:r>
      <w:r w:rsidR="00B4216F">
        <w:rPr>
          <w:rFonts w:ascii="Calibri" w:hAnsi="Calibri" w:cs="Times New Roman"/>
          <w:sz w:val="22"/>
          <w:szCs w:val="22"/>
        </w:rPr>
        <w:t>comorbid physical health conditions</w:t>
      </w:r>
      <w:r w:rsidRPr="00E07DC8">
        <w:rPr>
          <w:rFonts w:ascii="Calibri" w:hAnsi="Calibri" w:cs="Times New Roman"/>
          <w:sz w:val="22"/>
          <w:szCs w:val="22"/>
        </w:rPr>
        <w:t xml:space="preserve">, severity of COPD, prior use of emergency care and depression were all independently associated with both ED attendance and an emergency hospital admission in the </w:t>
      </w:r>
      <w:r w:rsidR="00093DAF">
        <w:rPr>
          <w:rFonts w:ascii="Calibri" w:hAnsi="Calibri" w:cs="Times New Roman"/>
          <w:sz w:val="22"/>
          <w:szCs w:val="22"/>
        </w:rPr>
        <w:t>follow-up</w:t>
      </w:r>
      <w:r w:rsidRPr="00E07DC8">
        <w:rPr>
          <w:rFonts w:ascii="Calibri" w:hAnsi="Calibri" w:cs="Times New Roman"/>
          <w:sz w:val="22"/>
          <w:szCs w:val="22"/>
        </w:rPr>
        <w:t>year. Sub-threshold de</w:t>
      </w:r>
      <w:r w:rsidR="009E35E3">
        <w:rPr>
          <w:rFonts w:ascii="Calibri" w:hAnsi="Calibri" w:cs="Times New Roman"/>
          <w:sz w:val="22"/>
          <w:szCs w:val="22"/>
        </w:rPr>
        <w:t xml:space="preserve">pression (HAD depression </w:t>
      </w:r>
      <w:r w:rsidRPr="00E07DC8">
        <w:rPr>
          <w:rFonts w:ascii="Calibri" w:hAnsi="Calibri" w:cs="Times New Roman"/>
          <w:sz w:val="22"/>
          <w:szCs w:val="22"/>
        </w:rPr>
        <w:t>score 4-7) was associated with a 2.8</w:t>
      </w:r>
      <w:r w:rsidR="00DC3656">
        <w:rPr>
          <w:rFonts w:ascii="Calibri" w:hAnsi="Calibri" w:cs="Times New Roman"/>
          <w:sz w:val="22"/>
          <w:szCs w:val="22"/>
        </w:rPr>
        <w:t xml:space="preserve"> </w:t>
      </w:r>
      <w:r w:rsidR="00B4216F">
        <w:rPr>
          <w:rFonts w:ascii="Calibri" w:hAnsi="Calibri" w:cs="Times New Roman"/>
          <w:sz w:val="22"/>
          <w:szCs w:val="22"/>
        </w:rPr>
        <w:t>times</w:t>
      </w:r>
      <w:r w:rsidRPr="00E07DC8">
        <w:rPr>
          <w:rFonts w:ascii="Calibri" w:hAnsi="Calibri" w:cs="Times New Roman"/>
          <w:sz w:val="22"/>
          <w:szCs w:val="22"/>
        </w:rPr>
        <w:t xml:space="preserve"> increased </w:t>
      </w:r>
      <w:r w:rsidR="00B4216F">
        <w:rPr>
          <w:rFonts w:ascii="Calibri" w:hAnsi="Calibri" w:cs="Times New Roman"/>
          <w:sz w:val="22"/>
          <w:szCs w:val="22"/>
        </w:rPr>
        <w:t>odds</w:t>
      </w:r>
      <w:r w:rsidRPr="00E07DC8">
        <w:rPr>
          <w:rFonts w:ascii="Calibri" w:hAnsi="Calibri" w:cs="Times New Roman"/>
          <w:sz w:val="22"/>
          <w:szCs w:val="22"/>
        </w:rPr>
        <w:t xml:space="preserve"> of emergency hospital admission, and </w:t>
      </w:r>
      <w:r w:rsidR="00B90550" w:rsidRPr="00E07DC8">
        <w:rPr>
          <w:rFonts w:ascii="Calibri" w:hAnsi="Calibri" w:cs="Times New Roman"/>
          <w:sz w:val="22"/>
          <w:szCs w:val="22"/>
        </w:rPr>
        <w:t xml:space="preserve">HAD </w:t>
      </w:r>
      <w:r w:rsidRPr="00E07DC8">
        <w:rPr>
          <w:rFonts w:ascii="Calibri" w:hAnsi="Calibri" w:cs="Times New Roman"/>
          <w:sz w:val="22"/>
          <w:szCs w:val="22"/>
        </w:rPr>
        <w:t xml:space="preserve">depression &gt;8 was associated with 4.8 </w:t>
      </w:r>
      <w:r w:rsidR="00B4216F">
        <w:rPr>
          <w:rFonts w:ascii="Calibri" w:hAnsi="Calibri" w:cs="Times New Roman"/>
          <w:sz w:val="22"/>
          <w:szCs w:val="22"/>
        </w:rPr>
        <w:t xml:space="preserve">times </w:t>
      </w:r>
      <w:r w:rsidRPr="00E07DC8">
        <w:rPr>
          <w:rFonts w:ascii="Calibri" w:hAnsi="Calibri" w:cs="Times New Roman"/>
          <w:sz w:val="22"/>
          <w:szCs w:val="22"/>
        </w:rPr>
        <w:t xml:space="preserve">increased </w:t>
      </w:r>
      <w:r w:rsidR="00B4216F">
        <w:rPr>
          <w:rFonts w:ascii="Calibri" w:hAnsi="Calibri" w:cs="Times New Roman"/>
          <w:sz w:val="22"/>
          <w:szCs w:val="22"/>
        </w:rPr>
        <w:t>odds</w:t>
      </w:r>
      <w:r w:rsidRPr="00E07DC8">
        <w:rPr>
          <w:rFonts w:ascii="Calibri" w:hAnsi="Calibri" w:cs="Times New Roman"/>
          <w:sz w:val="22"/>
          <w:szCs w:val="22"/>
        </w:rPr>
        <w:t>.</w:t>
      </w:r>
    </w:p>
    <w:p w14:paraId="5E6652E3" w14:textId="77777777" w:rsidR="00E60C1F" w:rsidRPr="00E07DC8" w:rsidRDefault="00E60C1F" w:rsidP="00E60C1F">
      <w:pPr>
        <w:pStyle w:val="NormalWeb"/>
        <w:spacing w:before="0" w:after="0" w:line="360" w:lineRule="auto"/>
        <w:jc w:val="both"/>
        <w:rPr>
          <w:rFonts w:ascii="Calibri" w:hAnsi="Calibri" w:cs="Times New Roman"/>
          <w:sz w:val="22"/>
          <w:szCs w:val="22"/>
        </w:rPr>
      </w:pPr>
    </w:p>
    <w:p w14:paraId="5AF473AE" w14:textId="63AB98A3" w:rsidR="002D0EB7" w:rsidRPr="00E07DC8" w:rsidRDefault="00E07DC8" w:rsidP="00E60C1F">
      <w:pPr>
        <w:pStyle w:val="NormalWeb"/>
        <w:spacing w:before="0" w:after="0" w:line="360" w:lineRule="auto"/>
        <w:jc w:val="both"/>
        <w:rPr>
          <w:rFonts w:ascii="Calibri" w:hAnsi="Calibri" w:cs="Times New Roman"/>
          <w:sz w:val="22"/>
          <w:szCs w:val="22"/>
        </w:rPr>
      </w:pPr>
      <w:r>
        <w:rPr>
          <w:rFonts w:ascii="Calibri" w:hAnsi="Calibri" w:cs="Times New Roman"/>
          <w:sz w:val="22"/>
          <w:szCs w:val="22"/>
        </w:rPr>
        <w:t>Conclusion</w:t>
      </w:r>
    </w:p>
    <w:p w14:paraId="72DF3E3B" w14:textId="59A2C9DF" w:rsidR="002D0EB7" w:rsidRPr="00E07DC8" w:rsidRDefault="002D0EB7" w:rsidP="00E60C1F">
      <w:pPr>
        <w:pStyle w:val="NormalWeb"/>
        <w:spacing w:before="0" w:after="0" w:line="360" w:lineRule="auto"/>
        <w:jc w:val="both"/>
        <w:rPr>
          <w:rFonts w:ascii="Calibri" w:hAnsi="Calibri" w:cs="Times New Roman"/>
          <w:sz w:val="22"/>
          <w:szCs w:val="22"/>
        </w:rPr>
      </w:pPr>
      <w:r w:rsidRPr="00E07DC8">
        <w:rPr>
          <w:rFonts w:ascii="Calibri" w:hAnsi="Calibri" w:cs="Times New Roman"/>
          <w:sz w:val="22"/>
          <w:szCs w:val="22"/>
        </w:rPr>
        <w:t>Depression is a predictor of emergency care in COPD</w:t>
      </w:r>
      <w:r w:rsidR="001B2947">
        <w:rPr>
          <w:rFonts w:ascii="Calibri" w:hAnsi="Calibri" w:cs="Times New Roman"/>
          <w:sz w:val="22"/>
          <w:szCs w:val="22"/>
        </w:rPr>
        <w:t>,</w:t>
      </w:r>
      <w:r w:rsidR="00A4467F" w:rsidRPr="00E07DC8">
        <w:rPr>
          <w:rFonts w:ascii="Calibri" w:hAnsi="Calibri" w:cs="Times New Roman"/>
          <w:sz w:val="22"/>
          <w:szCs w:val="22"/>
        </w:rPr>
        <w:t xml:space="preserve"> independent of severity of disease or physical c</w:t>
      </w:r>
      <w:r w:rsidR="00D75503" w:rsidRPr="00E07DC8">
        <w:rPr>
          <w:rFonts w:ascii="Calibri" w:hAnsi="Calibri" w:cs="Times New Roman"/>
          <w:sz w:val="22"/>
          <w:szCs w:val="22"/>
        </w:rPr>
        <w:t>o-morbidity</w:t>
      </w:r>
      <w:r w:rsidR="00B579E7" w:rsidRPr="00E07DC8">
        <w:rPr>
          <w:rFonts w:ascii="Calibri" w:hAnsi="Calibri" w:cs="Times New Roman"/>
          <w:sz w:val="22"/>
          <w:szCs w:val="22"/>
        </w:rPr>
        <w:t>. E</w:t>
      </w:r>
      <w:r w:rsidR="00A4467F" w:rsidRPr="00E07DC8">
        <w:rPr>
          <w:rFonts w:ascii="Calibri" w:hAnsi="Calibri" w:cs="Times New Roman"/>
          <w:sz w:val="22"/>
          <w:szCs w:val="22"/>
        </w:rPr>
        <w:t>ven m</w:t>
      </w:r>
      <w:r w:rsidR="00D75503" w:rsidRPr="00E07DC8">
        <w:rPr>
          <w:rFonts w:ascii="Calibri" w:hAnsi="Calibri" w:cs="Times New Roman"/>
          <w:sz w:val="22"/>
          <w:szCs w:val="22"/>
        </w:rPr>
        <w:t xml:space="preserve">ild </w:t>
      </w:r>
      <w:r w:rsidR="00B579E7" w:rsidRPr="00E07DC8">
        <w:rPr>
          <w:rFonts w:ascii="Calibri" w:hAnsi="Calibri" w:cs="Times New Roman"/>
          <w:sz w:val="22"/>
          <w:szCs w:val="22"/>
        </w:rPr>
        <w:t xml:space="preserve">(sub-threshold) </w:t>
      </w:r>
      <w:r w:rsidR="00D75503" w:rsidRPr="00E07DC8">
        <w:rPr>
          <w:rFonts w:ascii="Calibri" w:hAnsi="Calibri" w:cs="Times New Roman"/>
          <w:sz w:val="22"/>
          <w:szCs w:val="22"/>
        </w:rPr>
        <w:t>symptoms of depression more than double the risk of using emergency care</w:t>
      </w:r>
      <w:r w:rsidR="00B579E7" w:rsidRPr="00E07DC8">
        <w:rPr>
          <w:rFonts w:ascii="Calibri" w:hAnsi="Calibri" w:cs="Times New Roman"/>
          <w:sz w:val="22"/>
          <w:szCs w:val="22"/>
        </w:rPr>
        <w:t xml:space="preserve"> suggesting there is a strong case to develop and deploy integrated preventive strategies in primary care that can promote mental health in people with COPD</w:t>
      </w:r>
      <w:r w:rsidR="00D75503" w:rsidRPr="00E07DC8">
        <w:rPr>
          <w:rFonts w:ascii="Calibri" w:hAnsi="Calibri" w:cs="Times New Roman"/>
          <w:sz w:val="22"/>
          <w:szCs w:val="22"/>
        </w:rPr>
        <w:t>.</w:t>
      </w:r>
      <w:r w:rsidR="00A4467F" w:rsidRPr="00E07DC8">
        <w:rPr>
          <w:rFonts w:ascii="Calibri" w:hAnsi="Calibri" w:cs="Times New Roman"/>
          <w:sz w:val="22"/>
          <w:szCs w:val="22"/>
        </w:rPr>
        <w:t xml:space="preserve"> </w:t>
      </w:r>
    </w:p>
    <w:p w14:paraId="6BAD8222" w14:textId="77777777" w:rsidR="00E07DC8" w:rsidRDefault="00E07DC8" w:rsidP="009C7FB2">
      <w:pPr>
        <w:pStyle w:val="NormalWeb"/>
        <w:spacing w:before="0" w:after="0" w:line="360" w:lineRule="auto"/>
        <w:jc w:val="both"/>
        <w:outlineLvl w:val="0"/>
        <w:rPr>
          <w:rFonts w:ascii="Calibri" w:hAnsi="Calibri" w:cs="Times New Roman"/>
          <w:b/>
          <w:bCs/>
          <w:sz w:val="22"/>
          <w:szCs w:val="22"/>
        </w:rPr>
      </w:pPr>
    </w:p>
    <w:p w14:paraId="17495011" w14:textId="77777777" w:rsidR="00E60C1F" w:rsidRDefault="00E60C1F" w:rsidP="009C7FB2">
      <w:pPr>
        <w:pStyle w:val="NormalWeb"/>
        <w:spacing w:before="0" w:after="0" w:line="360" w:lineRule="auto"/>
        <w:jc w:val="both"/>
        <w:outlineLvl w:val="0"/>
        <w:rPr>
          <w:rFonts w:ascii="Calibri" w:hAnsi="Calibri" w:cs="Times New Roman"/>
          <w:b/>
          <w:bCs/>
          <w:sz w:val="22"/>
          <w:szCs w:val="22"/>
        </w:rPr>
      </w:pPr>
    </w:p>
    <w:p w14:paraId="0194F4C7" w14:textId="77777777" w:rsidR="00E60C1F" w:rsidRDefault="00E60C1F" w:rsidP="009C7FB2">
      <w:pPr>
        <w:pStyle w:val="NormalWeb"/>
        <w:spacing w:before="0" w:after="0" w:line="360" w:lineRule="auto"/>
        <w:jc w:val="both"/>
        <w:outlineLvl w:val="0"/>
        <w:rPr>
          <w:rFonts w:ascii="Calibri" w:hAnsi="Calibri" w:cs="Times New Roman"/>
          <w:b/>
          <w:bCs/>
          <w:sz w:val="22"/>
          <w:szCs w:val="22"/>
        </w:rPr>
      </w:pPr>
    </w:p>
    <w:p w14:paraId="6D528184" w14:textId="77777777" w:rsidR="001B2947" w:rsidRDefault="001B2947" w:rsidP="009C7FB2">
      <w:pPr>
        <w:pStyle w:val="NormalWeb"/>
        <w:spacing w:before="0" w:after="0" w:line="360" w:lineRule="auto"/>
        <w:jc w:val="both"/>
        <w:outlineLvl w:val="0"/>
        <w:rPr>
          <w:rFonts w:ascii="Calibri" w:hAnsi="Calibri" w:cs="Times New Roman"/>
          <w:b/>
          <w:bCs/>
          <w:sz w:val="22"/>
          <w:szCs w:val="22"/>
        </w:rPr>
      </w:pPr>
    </w:p>
    <w:p w14:paraId="1F4A67B6" w14:textId="77777777" w:rsidR="00AB75A4" w:rsidRDefault="00AB75A4" w:rsidP="009C7FB2">
      <w:pPr>
        <w:pStyle w:val="NormalWeb"/>
        <w:spacing w:before="0" w:after="0" w:line="360" w:lineRule="auto"/>
        <w:jc w:val="both"/>
        <w:outlineLvl w:val="0"/>
        <w:rPr>
          <w:rFonts w:ascii="Calibri" w:hAnsi="Calibri" w:cs="Times New Roman"/>
          <w:b/>
          <w:bCs/>
          <w:sz w:val="22"/>
          <w:szCs w:val="22"/>
        </w:rPr>
      </w:pPr>
    </w:p>
    <w:p w14:paraId="04797694" w14:textId="77777777" w:rsidR="00AB75A4" w:rsidRDefault="00AB75A4" w:rsidP="009C7FB2">
      <w:pPr>
        <w:pStyle w:val="NormalWeb"/>
        <w:spacing w:before="0" w:after="0" w:line="360" w:lineRule="auto"/>
        <w:jc w:val="both"/>
        <w:outlineLvl w:val="0"/>
        <w:rPr>
          <w:rFonts w:ascii="Calibri" w:hAnsi="Calibri" w:cs="Times New Roman"/>
          <w:b/>
          <w:bCs/>
          <w:sz w:val="22"/>
          <w:szCs w:val="22"/>
        </w:rPr>
      </w:pPr>
    </w:p>
    <w:p w14:paraId="42C6CDDA" w14:textId="77777777" w:rsidR="00AB75A4" w:rsidRDefault="00AB75A4" w:rsidP="009C7FB2">
      <w:pPr>
        <w:pStyle w:val="NormalWeb"/>
        <w:spacing w:before="0" w:after="0" w:line="360" w:lineRule="auto"/>
        <w:jc w:val="both"/>
        <w:outlineLvl w:val="0"/>
        <w:rPr>
          <w:rFonts w:ascii="Calibri" w:hAnsi="Calibri" w:cs="Times New Roman"/>
          <w:b/>
          <w:bCs/>
          <w:sz w:val="22"/>
          <w:szCs w:val="22"/>
        </w:rPr>
      </w:pPr>
    </w:p>
    <w:p w14:paraId="5FD405FA" w14:textId="77777777" w:rsidR="00AB75A4" w:rsidRDefault="00AB75A4" w:rsidP="009C7FB2">
      <w:pPr>
        <w:pStyle w:val="NormalWeb"/>
        <w:spacing w:before="0" w:after="0" w:line="360" w:lineRule="auto"/>
        <w:jc w:val="both"/>
        <w:outlineLvl w:val="0"/>
        <w:rPr>
          <w:rFonts w:ascii="Calibri" w:hAnsi="Calibri" w:cs="Times New Roman"/>
          <w:b/>
          <w:bCs/>
          <w:sz w:val="22"/>
          <w:szCs w:val="22"/>
        </w:rPr>
      </w:pPr>
    </w:p>
    <w:p w14:paraId="4A222586" w14:textId="77777777" w:rsidR="009577BF" w:rsidRPr="00B61684" w:rsidRDefault="009577BF" w:rsidP="009C7FB2">
      <w:pPr>
        <w:pStyle w:val="NormalWeb"/>
        <w:spacing w:before="0" w:after="0" w:line="360" w:lineRule="auto"/>
        <w:jc w:val="both"/>
        <w:outlineLvl w:val="0"/>
        <w:rPr>
          <w:rFonts w:ascii="Calibri" w:eastAsia="Times New Roman" w:hAnsi="Calibri" w:cs="Times New Roman"/>
          <w:b/>
          <w:bCs/>
          <w:sz w:val="22"/>
          <w:szCs w:val="22"/>
        </w:rPr>
      </w:pPr>
      <w:r w:rsidRPr="00B61684">
        <w:rPr>
          <w:rFonts w:ascii="Calibri" w:hAnsi="Calibri" w:cs="Times New Roman"/>
          <w:b/>
          <w:bCs/>
          <w:sz w:val="22"/>
          <w:szCs w:val="22"/>
        </w:rPr>
        <w:lastRenderedPageBreak/>
        <w:t>Introduction</w:t>
      </w:r>
    </w:p>
    <w:p w14:paraId="4EB739DC" w14:textId="77777777" w:rsidR="009577BF" w:rsidRDefault="009577BF" w:rsidP="00E03168">
      <w:pPr>
        <w:pStyle w:val="NormalWeb"/>
        <w:spacing w:before="0" w:after="0" w:line="360" w:lineRule="auto"/>
        <w:jc w:val="both"/>
        <w:rPr>
          <w:rFonts w:ascii="Calibri" w:hAnsi="Calibri" w:cs="Times New Roman"/>
          <w:sz w:val="22"/>
          <w:szCs w:val="22"/>
        </w:rPr>
      </w:pPr>
    </w:p>
    <w:p w14:paraId="663397B1" w14:textId="06341BA2" w:rsidR="009577BF" w:rsidRPr="005C5409" w:rsidRDefault="009577BF" w:rsidP="00E03168">
      <w:pPr>
        <w:pStyle w:val="NormalWeb"/>
        <w:spacing w:before="0" w:after="0" w:line="360" w:lineRule="auto"/>
        <w:jc w:val="both"/>
        <w:rPr>
          <w:rFonts w:ascii="Calibri" w:hAnsi="Calibri" w:cs="Times New Roman"/>
          <w:sz w:val="22"/>
          <w:szCs w:val="22"/>
        </w:rPr>
      </w:pPr>
      <w:r>
        <w:rPr>
          <w:rFonts w:ascii="Calibri" w:hAnsi="Calibri" w:cs="Times New Roman"/>
          <w:sz w:val="22"/>
          <w:szCs w:val="22"/>
        </w:rPr>
        <w:t xml:space="preserve">Psychological comorbidities are common </w:t>
      </w:r>
      <w:r w:rsidR="005154A8">
        <w:rPr>
          <w:rFonts w:ascii="Calibri" w:hAnsi="Calibri" w:cs="Times New Roman"/>
          <w:sz w:val="22"/>
          <w:szCs w:val="22"/>
        </w:rPr>
        <w:t>in C</w:t>
      </w:r>
      <w:r w:rsidR="001E315C">
        <w:rPr>
          <w:rFonts w:ascii="Calibri" w:hAnsi="Calibri" w:cs="Times New Roman"/>
          <w:sz w:val="22"/>
          <w:szCs w:val="22"/>
        </w:rPr>
        <w:t xml:space="preserve">hronic Obstructive </w:t>
      </w:r>
      <w:r w:rsidR="005154A8">
        <w:rPr>
          <w:rFonts w:ascii="Calibri" w:hAnsi="Calibri" w:cs="Times New Roman"/>
          <w:sz w:val="22"/>
          <w:szCs w:val="22"/>
        </w:rPr>
        <w:t>P</w:t>
      </w:r>
      <w:r w:rsidR="001E315C">
        <w:rPr>
          <w:rFonts w:ascii="Calibri" w:hAnsi="Calibri" w:cs="Times New Roman"/>
          <w:sz w:val="22"/>
          <w:szCs w:val="22"/>
        </w:rPr>
        <w:t xml:space="preserve">ulmonary </w:t>
      </w:r>
      <w:r w:rsidR="005154A8">
        <w:rPr>
          <w:rFonts w:ascii="Calibri" w:hAnsi="Calibri" w:cs="Times New Roman"/>
          <w:sz w:val="22"/>
          <w:szCs w:val="22"/>
        </w:rPr>
        <w:t>D</w:t>
      </w:r>
      <w:r w:rsidR="001E315C">
        <w:rPr>
          <w:rFonts w:ascii="Calibri" w:hAnsi="Calibri" w:cs="Times New Roman"/>
          <w:sz w:val="22"/>
          <w:szCs w:val="22"/>
        </w:rPr>
        <w:t>isease (COPD)</w:t>
      </w:r>
      <w:r w:rsidR="007933A1">
        <w:rPr>
          <w:rFonts w:ascii="Calibri" w:hAnsi="Calibri" w:cs="Times New Roman"/>
          <w:sz w:val="22"/>
          <w:szCs w:val="22"/>
        </w:rPr>
        <w:t>.</w:t>
      </w:r>
      <w:r w:rsidR="005154A8">
        <w:rPr>
          <w:rFonts w:ascii="Calibri" w:hAnsi="Calibri" w:cs="Times New Roman"/>
          <w:sz w:val="22"/>
          <w:szCs w:val="22"/>
        </w:rPr>
        <w:t xml:space="preserve"> </w:t>
      </w:r>
      <w:r w:rsidR="007933A1">
        <w:rPr>
          <w:rFonts w:ascii="Calibri" w:hAnsi="Calibri" w:cs="Times New Roman"/>
          <w:sz w:val="22"/>
          <w:szCs w:val="22"/>
        </w:rPr>
        <w:t>In particular, d</w:t>
      </w:r>
      <w:r>
        <w:rPr>
          <w:rFonts w:ascii="Calibri" w:hAnsi="Calibri" w:cs="Times New Roman"/>
          <w:sz w:val="22"/>
          <w:szCs w:val="22"/>
        </w:rPr>
        <w:t xml:space="preserve">epression and </w:t>
      </w:r>
      <w:r w:rsidR="007933A1" w:rsidRPr="003F5D8B">
        <w:rPr>
          <w:rFonts w:ascii="Calibri" w:hAnsi="Calibri" w:cs="Times New Roman"/>
          <w:sz w:val="22"/>
          <w:szCs w:val="22"/>
        </w:rPr>
        <w:t>anxiety</w:t>
      </w:r>
      <w:r w:rsidR="007933A1">
        <w:rPr>
          <w:rFonts w:ascii="Calibri" w:hAnsi="Calibri" w:cs="Times New Roman"/>
          <w:sz w:val="22"/>
          <w:szCs w:val="22"/>
        </w:rPr>
        <w:t xml:space="preserve"> are</w:t>
      </w:r>
      <w:r>
        <w:rPr>
          <w:rFonts w:ascii="Calibri" w:hAnsi="Calibri" w:cs="Times New Roman"/>
          <w:sz w:val="22"/>
          <w:szCs w:val="22"/>
        </w:rPr>
        <w:t xml:space="preserve"> </w:t>
      </w:r>
      <w:r w:rsidR="00E07DC8">
        <w:rPr>
          <w:rFonts w:ascii="Calibri" w:hAnsi="Calibri" w:cs="Times New Roman"/>
          <w:sz w:val="22"/>
          <w:szCs w:val="22"/>
        </w:rPr>
        <w:t xml:space="preserve">highly </w:t>
      </w:r>
      <w:r>
        <w:rPr>
          <w:rFonts w:ascii="Calibri" w:hAnsi="Calibri" w:cs="Times New Roman"/>
          <w:sz w:val="22"/>
          <w:szCs w:val="22"/>
        </w:rPr>
        <w:t>prevalent</w:t>
      </w:r>
      <w:r w:rsidR="007933A1">
        <w:rPr>
          <w:rFonts w:ascii="Calibri" w:hAnsi="Calibri" w:cs="Times New Roman"/>
          <w:sz w:val="22"/>
          <w:szCs w:val="22"/>
        </w:rPr>
        <w:t xml:space="preserve"> and may have a significant effect on COPD outcomes</w:t>
      </w:r>
      <w:r>
        <w:rPr>
          <w:rFonts w:ascii="Calibri" w:hAnsi="Calibri" w:cs="Times New Roman"/>
          <w:sz w:val="22"/>
          <w:szCs w:val="22"/>
        </w:rPr>
        <w:t xml:space="preserve">. </w:t>
      </w:r>
      <w:r w:rsidR="00252F26">
        <w:rPr>
          <w:rFonts w:ascii="Calibri" w:hAnsi="Calibri" w:cs="Times New Roman"/>
          <w:sz w:val="22"/>
          <w:szCs w:val="22"/>
        </w:rPr>
        <w:t>In a meta-analysis</w:t>
      </w:r>
      <w:r w:rsidR="007933A1">
        <w:rPr>
          <w:rFonts w:ascii="Calibri" w:hAnsi="Calibri" w:cs="Times New Roman"/>
          <w:sz w:val="22"/>
          <w:szCs w:val="22"/>
        </w:rPr>
        <w:t>,</w:t>
      </w:r>
      <w:r w:rsidR="00252F26">
        <w:rPr>
          <w:rFonts w:ascii="Calibri" w:hAnsi="Calibri" w:cs="Times New Roman"/>
          <w:sz w:val="22"/>
          <w:szCs w:val="22"/>
        </w:rPr>
        <w:t xml:space="preserve"> including both inpatients and outpatients with COPD</w:t>
      </w:r>
      <w:r w:rsidR="007933A1">
        <w:rPr>
          <w:rFonts w:ascii="Calibri" w:hAnsi="Calibri" w:cs="Times New Roman"/>
          <w:sz w:val="22"/>
          <w:szCs w:val="22"/>
        </w:rPr>
        <w:t>,</w:t>
      </w:r>
      <w:r w:rsidR="00252F26">
        <w:rPr>
          <w:rFonts w:ascii="Calibri" w:hAnsi="Calibri" w:cs="Times New Roman"/>
          <w:sz w:val="22"/>
          <w:szCs w:val="22"/>
        </w:rPr>
        <w:t xml:space="preserve"> </w:t>
      </w:r>
      <w:r>
        <w:rPr>
          <w:rFonts w:ascii="Calibri" w:hAnsi="Calibri" w:cs="Times New Roman"/>
          <w:sz w:val="22"/>
          <w:szCs w:val="22"/>
        </w:rPr>
        <w:t xml:space="preserve">Zhang et al. (2011) found the prevalence of depression to be 24.6% </w:t>
      </w:r>
      <w:r w:rsidR="00252F26">
        <w:rPr>
          <w:rFonts w:ascii="Calibri" w:hAnsi="Calibri" w:cs="Times New Roman"/>
          <w:sz w:val="22"/>
          <w:szCs w:val="22"/>
        </w:rPr>
        <w:t xml:space="preserve">in COPD patients </w:t>
      </w:r>
      <w:r>
        <w:rPr>
          <w:rFonts w:ascii="Calibri" w:hAnsi="Calibri" w:cs="Times New Roman"/>
          <w:sz w:val="22"/>
          <w:szCs w:val="22"/>
        </w:rPr>
        <w:t>compared to 11.7% in a non</w:t>
      </w:r>
      <w:r w:rsidR="00B90550">
        <w:rPr>
          <w:rFonts w:ascii="Calibri" w:hAnsi="Calibri" w:cs="Times New Roman"/>
          <w:sz w:val="22"/>
          <w:szCs w:val="22"/>
        </w:rPr>
        <w:t xml:space="preserve"> </w:t>
      </w:r>
      <w:r>
        <w:rPr>
          <w:rFonts w:ascii="Calibri" w:hAnsi="Calibri" w:cs="Times New Roman"/>
          <w:sz w:val="22"/>
          <w:szCs w:val="22"/>
        </w:rPr>
        <w:t xml:space="preserve">COPD control group </w:t>
      </w:r>
      <w:r>
        <w:rPr>
          <w:rFonts w:ascii="Calibri" w:hAnsi="Calibri" w:cs="Times New Roman"/>
          <w:noProof/>
          <w:sz w:val="22"/>
          <w:szCs w:val="22"/>
        </w:rPr>
        <w:t>[</w:t>
      </w:r>
      <w:r w:rsidR="007933A1">
        <w:rPr>
          <w:rFonts w:ascii="Calibri" w:hAnsi="Calibri" w:cs="Times New Roman"/>
          <w:noProof/>
          <w:sz w:val="22"/>
          <w:szCs w:val="22"/>
        </w:rPr>
        <w:t>1</w:t>
      </w:r>
      <w:r>
        <w:rPr>
          <w:rFonts w:ascii="Calibri" w:hAnsi="Calibri" w:cs="Times New Roman"/>
          <w:noProof/>
          <w:sz w:val="22"/>
          <w:szCs w:val="22"/>
        </w:rPr>
        <w:t>]</w:t>
      </w:r>
      <w:r>
        <w:rPr>
          <w:rFonts w:ascii="Calibri" w:hAnsi="Calibri" w:cs="Times New Roman"/>
          <w:sz w:val="22"/>
          <w:szCs w:val="22"/>
        </w:rPr>
        <w:t>.</w:t>
      </w:r>
      <w:r w:rsidR="00252F26">
        <w:rPr>
          <w:rFonts w:ascii="Calibri" w:hAnsi="Calibri" w:cs="Times New Roman"/>
          <w:sz w:val="22"/>
          <w:szCs w:val="22"/>
        </w:rPr>
        <w:t xml:space="preserve"> Severity of COPD, </w:t>
      </w:r>
      <w:r w:rsidR="007933A1">
        <w:rPr>
          <w:rFonts w:ascii="Calibri" w:hAnsi="Calibri" w:cs="Times New Roman"/>
          <w:sz w:val="22"/>
          <w:szCs w:val="22"/>
        </w:rPr>
        <w:t>a</w:t>
      </w:r>
      <w:r w:rsidR="00252F26">
        <w:rPr>
          <w:rFonts w:ascii="Calibri" w:hAnsi="Calibri" w:cs="Times New Roman"/>
          <w:sz w:val="22"/>
          <w:szCs w:val="22"/>
        </w:rPr>
        <w:t>s measured by FEV</w:t>
      </w:r>
      <w:r w:rsidR="00252F26">
        <w:rPr>
          <w:rFonts w:ascii="Calibri" w:hAnsi="Calibri" w:cs="Times New Roman"/>
          <w:sz w:val="22"/>
          <w:szCs w:val="22"/>
          <w:vertAlign w:val="subscript"/>
        </w:rPr>
        <w:t>1</w:t>
      </w:r>
      <w:r w:rsidR="00252F26">
        <w:rPr>
          <w:rFonts w:ascii="Calibri" w:hAnsi="Calibri" w:cs="Times New Roman"/>
          <w:sz w:val="22"/>
          <w:szCs w:val="22"/>
        </w:rPr>
        <w:t>, was not found to be a significant moderator</w:t>
      </w:r>
      <w:r w:rsidR="007933A1">
        <w:rPr>
          <w:rFonts w:ascii="Calibri" w:hAnsi="Calibri" w:cs="Times New Roman"/>
          <w:sz w:val="22"/>
          <w:szCs w:val="22"/>
        </w:rPr>
        <w:t xml:space="preserve"> of depression</w:t>
      </w:r>
      <w:r w:rsidR="00252F26">
        <w:rPr>
          <w:rFonts w:ascii="Calibri" w:hAnsi="Calibri" w:cs="Times New Roman"/>
          <w:sz w:val="22"/>
          <w:szCs w:val="22"/>
        </w:rPr>
        <w:t>.</w:t>
      </w:r>
      <w:r>
        <w:rPr>
          <w:rFonts w:ascii="Calibri" w:hAnsi="Calibri" w:cs="Times New Roman"/>
          <w:sz w:val="22"/>
          <w:szCs w:val="22"/>
        </w:rPr>
        <w:t xml:space="preserve"> In a more recent </w:t>
      </w:r>
      <w:r w:rsidR="003656A0">
        <w:rPr>
          <w:rFonts w:ascii="Calibri" w:hAnsi="Calibri" w:cs="Times New Roman"/>
          <w:sz w:val="22"/>
          <w:szCs w:val="22"/>
        </w:rPr>
        <w:t>meta-analysis  Matte et al. (2016)</w:t>
      </w:r>
      <w:r>
        <w:rPr>
          <w:rFonts w:ascii="Calibri" w:hAnsi="Calibri" w:cs="Times New Roman"/>
          <w:sz w:val="22"/>
          <w:szCs w:val="22"/>
        </w:rPr>
        <w:t xml:space="preserve">  </w:t>
      </w:r>
      <w:r w:rsidR="003656A0">
        <w:rPr>
          <w:rFonts w:ascii="Calibri" w:hAnsi="Calibri" w:cs="Times New Roman"/>
          <w:sz w:val="22"/>
          <w:szCs w:val="22"/>
        </w:rPr>
        <w:t xml:space="preserve">found </w:t>
      </w:r>
      <w:r>
        <w:rPr>
          <w:rFonts w:ascii="Calibri" w:hAnsi="Calibri" w:cs="Times New Roman"/>
          <w:sz w:val="22"/>
          <w:szCs w:val="22"/>
        </w:rPr>
        <w:t xml:space="preserve">the prevalence rate of depression was 27.1% </w:t>
      </w:r>
      <w:r w:rsidR="003656A0">
        <w:rPr>
          <w:rFonts w:ascii="Calibri" w:hAnsi="Calibri" w:cs="Times New Roman"/>
          <w:sz w:val="22"/>
          <w:szCs w:val="22"/>
        </w:rPr>
        <w:t xml:space="preserve">in COPD outpatients </w:t>
      </w:r>
      <w:r>
        <w:rPr>
          <w:rFonts w:ascii="Calibri" w:hAnsi="Calibri" w:cs="Times New Roman"/>
          <w:sz w:val="22"/>
          <w:szCs w:val="22"/>
        </w:rPr>
        <w:t xml:space="preserve">as compared to 10% in the control </w:t>
      </w:r>
      <w:r w:rsidR="003656A0">
        <w:rPr>
          <w:rFonts w:ascii="Calibri" w:hAnsi="Calibri" w:cs="Times New Roman"/>
          <w:sz w:val="22"/>
          <w:szCs w:val="22"/>
        </w:rPr>
        <w:t xml:space="preserve">group </w:t>
      </w:r>
      <w:r>
        <w:rPr>
          <w:rFonts w:ascii="Calibri" w:hAnsi="Calibri" w:cs="Times New Roman"/>
          <w:noProof/>
          <w:sz w:val="22"/>
          <w:szCs w:val="22"/>
        </w:rPr>
        <w:t>[2]</w:t>
      </w:r>
      <w:r>
        <w:rPr>
          <w:rFonts w:ascii="Calibri" w:hAnsi="Calibri" w:cs="Times New Roman"/>
          <w:sz w:val="22"/>
          <w:szCs w:val="22"/>
        </w:rPr>
        <w:t xml:space="preserve">. </w:t>
      </w:r>
      <w:r w:rsidR="007933A1">
        <w:rPr>
          <w:rFonts w:ascii="Calibri" w:hAnsi="Calibri" w:cs="Times New Roman"/>
          <w:sz w:val="22"/>
          <w:szCs w:val="22"/>
        </w:rPr>
        <w:t xml:space="preserve">In contrast to Zhang et al. however, </w:t>
      </w:r>
      <w:r w:rsidR="003656A0">
        <w:rPr>
          <w:rFonts w:ascii="Calibri" w:hAnsi="Calibri" w:cs="Times New Roman"/>
          <w:sz w:val="22"/>
          <w:szCs w:val="22"/>
        </w:rPr>
        <w:t>Matte et al. (2016) did find that COPD severity was associated with a higher prevalence of depression in five out of eight included studies</w:t>
      </w:r>
      <w:r w:rsidR="007933A1">
        <w:rPr>
          <w:rFonts w:ascii="Calibri" w:hAnsi="Calibri" w:cs="Times New Roman"/>
          <w:sz w:val="22"/>
          <w:szCs w:val="22"/>
        </w:rPr>
        <w:t xml:space="preserve"> [1,2]</w:t>
      </w:r>
      <w:r w:rsidR="003656A0">
        <w:rPr>
          <w:rFonts w:ascii="Calibri" w:hAnsi="Calibri" w:cs="Times New Roman"/>
          <w:sz w:val="22"/>
          <w:szCs w:val="22"/>
        </w:rPr>
        <w:t xml:space="preserve">. </w:t>
      </w:r>
    </w:p>
    <w:p w14:paraId="644F5B48" w14:textId="77777777" w:rsidR="009577BF" w:rsidRDefault="009577BF" w:rsidP="00E03168">
      <w:pPr>
        <w:pStyle w:val="NormalWeb"/>
        <w:spacing w:before="0" w:after="0" w:line="360" w:lineRule="auto"/>
        <w:jc w:val="both"/>
        <w:rPr>
          <w:rFonts w:ascii="Calibri" w:hAnsi="Calibri" w:cs="Times New Roman"/>
          <w:sz w:val="22"/>
          <w:szCs w:val="22"/>
        </w:rPr>
      </w:pPr>
    </w:p>
    <w:p w14:paraId="536DCE45" w14:textId="08777756" w:rsidR="009577BF" w:rsidRPr="00DD559A" w:rsidRDefault="009577BF" w:rsidP="00E03168">
      <w:pPr>
        <w:pStyle w:val="NormalWeb"/>
        <w:spacing w:before="0" w:after="0" w:line="360" w:lineRule="auto"/>
        <w:jc w:val="both"/>
        <w:rPr>
          <w:rFonts w:ascii="Calibri" w:hAnsi="Calibri" w:cs="Times New Roman"/>
          <w:sz w:val="22"/>
          <w:szCs w:val="22"/>
        </w:rPr>
      </w:pPr>
      <w:r w:rsidRPr="00B61684">
        <w:rPr>
          <w:rFonts w:ascii="Calibri" w:hAnsi="Calibri" w:cs="Times New Roman"/>
          <w:sz w:val="22"/>
          <w:szCs w:val="22"/>
        </w:rPr>
        <w:t xml:space="preserve">Depression in </w:t>
      </w:r>
      <w:r w:rsidR="005154A8">
        <w:rPr>
          <w:rFonts w:ascii="Calibri" w:hAnsi="Calibri" w:cs="Times New Roman"/>
          <w:sz w:val="22"/>
          <w:szCs w:val="22"/>
        </w:rPr>
        <w:t xml:space="preserve">people with </w:t>
      </w:r>
      <w:r w:rsidRPr="00B61684">
        <w:rPr>
          <w:rFonts w:ascii="Calibri" w:hAnsi="Calibri" w:cs="Times New Roman"/>
          <w:sz w:val="22"/>
          <w:szCs w:val="22"/>
        </w:rPr>
        <w:t xml:space="preserve">COPD is </w:t>
      </w:r>
      <w:r>
        <w:rPr>
          <w:rFonts w:ascii="Calibri" w:hAnsi="Calibri" w:cs="Times New Roman"/>
          <w:sz w:val="22"/>
          <w:szCs w:val="22"/>
        </w:rPr>
        <w:t xml:space="preserve">associated with poorer self-care, such as low </w:t>
      </w:r>
      <w:r w:rsidR="00E07DC8">
        <w:rPr>
          <w:rFonts w:ascii="Calibri" w:hAnsi="Calibri" w:cs="Times New Roman"/>
          <w:sz w:val="22"/>
          <w:szCs w:val="22"/>
        </w:rPr>
        <w:t>attendance</w:t>
      </w:r>
      <w:r w:rsidR="005154A8">
        <w:rPr>
          <w:rFonts w:ascii="Calibri" w:hAnsi="Calibri" w:cs="Times New Roman"/>
          <w:sz w:val="22"/>
          <w:szCs w:val="22"/>
        </w:rPr>
        <w:t xml:space="preserve"> </w:t>
      </w:r>
      <w:r>
        <w:rPr>
          <w:rFonts w:ascii="Calibri" w:hAnsi="Calibri" w:cs="Times New Roman"/>
          <w:sz w:val="22"/>
          <w:szCs w:val="22"/>
        </w:rPr>
        <w:t xml:space="preserve">to pulmonary rehabilitation </w:t>
      </w:r>
      <w:r>
        <w:rPr>
          <w:rFonts w:ascii="Calibri" w:hAnsi="Calibri" w:cs="Times New Roman"/>
          <w:noProof/>
          <w:sz w:val="22"/>
          <w:szCs w:val="22"/>
        </w:rPr>
        <w:t>[3]</w:t>
      </w:r>
      <w:r>
        <w:rPr>
          <w:rFonts w:ascii="Calibri" w:hAnsi="Calibri" w:cs="Times New Roman"/>
          <w:sz w:val="22"/>
          <w:szCs w:val="22"/>
        </w:rPr>
        <w:t xml:space="preserve"> and </w:t>
      </w:r>
      <w:r w:rsidR="001E315C">
        <w:rPr>
          <w:rFonts w:ascii="Calibri" w:hAnsi="Calibri" w:cs="Times New Roman"/>
          <w:sz w:val="22"/>
          <w:szCs w:val="22"/>
        </w:rPr>
        <w:t xml:space="preserve">reduced </w:t>
      </w:r>
      <w:r w:rsidR="005154A8">
        <w:rPr>
          <w:rFonts w:ascii="Calibri" w:hAnsi="Calibri" w:cs="Times New Roman"/>
          <w:sz w:val="22"/>
          <w:szCs w:val="22"/>
        </w:rPr>
        <w:t xml:space="preserve">concordance with </w:t>
      </w:r>
      <w:r>
        <w:rPr>
          <w:rFonts w:ascii="Calibri" w:hAnsi="Calibri" w:cs="Times New Roman"/>
          <w:sz w:val="22"/>
          <w:szCs w:val="22"/>
        </w:rPr>
        <w:t xml:space="preserve">medication </w:t>
      </w:r>
      <w:r>
        <w:rPr>
          <w:rFonts w:ascii="Calibri" w:hAnsi="Calibri" w:cs="Times New Roman"/>
          <w:noProof/>
          <w:sz w:val="22"/>
          <w:szCs w:val="22"/>
        </w:rPr>
        <w:t>[4]</w:t>
      </w:r>
      <w:r>
        <w:rPr>
          <w:rFonts w:ascii="Calibri" w:hAnsi="Calibri" w:cs="Times New Roman"/>
          <w:sz w:val="22"/>
          <w:szCs w:val="22"/>
        </w:rPr>
        <w:t xml:space="preserve">. </w:t>
      </w:r>
      <w:r w:rsidR="002E1750">
        <w:rPr>
          <w:rFonts w:ascii="Calibri" w:hAnsi="Calibri" w:cs="Times New Roman"/>
          <w:sz w:val="22"/>
          <w:szCs w:val="22"/>
        </w:rPr>
        <w:t xml:space="preserve">Depression is also associated with many </w:t>
      </w:r>
      <w:r>
        <w:rPr>
          <w:rFonts w:ascii="Calibri" w:hAnsi="Calibri" w:cs="Times New Roman"/>
          <w:sz w:val="22"/>
          <w:szCs w:val="22"/>
        </w:rPr>
        <w:t xml:space="preserve">poor disease outcomes including: </w:t>
      </w:r>
      <w:r w:rsidRPr="00B61684">
        <w:rPr>
          <w:rFonts w:ascii="Calibri" w:hAnsi="Calibri" w:cs="Times New Roman"/>
          <w:sz w:val="22"/>
          <w:szCs w:val="22"/>
        </w:rPr>
        <w:t>increased</w:t>
      </w:r>
      <w:r>
        <w:rPr>
          <w:rFonts w:ascii="Calibri" w:hAnsi="Calibri" w:cs="Times New Roman"/>
          <w:sz w:val="22"/>
          <w:szCs w:val="22"/>
        </w:rPr>
        <w:t xml:space="preserve"> exacerbations and hospital admissions </w:t>
      </w:r>
      <w:r>
        <w:rPr>
          <w:rFonts w:ascii="Calibri" w:hAnsi="Calibri" w:cs="Times New Roman"/>
          <w:noProof/>
          <w:sz w:val="22"/>
          <w:szCs w:val="22"/>
        </w:rPr>
        <w:t>[5]</w:t>
      </w:r>
      <w:r>
        <w:rPr>
          <w:rFonts w:ascii="Calibri" w:hAnsi="Calibri" w:cs="Times New Roman"/>
          <w:sz w:val="22"/>
          <w:szCs w:val="22"/>
        </w:rPr>
        <w:t>,</w:t>
      </w:r>
      <w:r w:rsidRPr="00B61684">
        <w:rPr>
          <w:rFonts w:ascii="Calibri" w:hAnsi="Calibri" w:cs="Times New Roman"/>
          <w:sz w:val="22"/>
          <w:szCs w:val="22"/>
        </w:rPr>
        <w:t xml:space="preserve"> increased hospital re-a</w:t>
      </w:r>
      <w:r>
        <w:rPr>
          <w:rFonts w:ascii="Calibri" w:hAnsi="Calibri" w:cs="Times New Roman"/>
          <w:sz w:val="22"/>
          <w:szCs w:val="22"/>
        </w:rPr>
        <w:t xml:space="preserve">dmission rates </w:t>
      </w:r>
      <w:r>
        <w:rPr>
          <w:rFonts w:ascii="Calibri" w:hAnsi="Calibri" w:cs="Times New Roman"/>
          <w:noProof/>
          <w:sz w:val="22"/>
          <w:szCs w:val="22"/>
        </w:rPr>
        <w:t>[6]</w:t>
      </w:r>
      <w:r>
        <w:rPr>
          <w:rFonts w:ascii="Calibri" w:hAnsi="Calibri" w:cs="Times New Roman"/>
          <w:sz w:val="22"/>
          <w:szCs w:val="22"/>
        </w:rPr>
        <w:t xml:space="preserve">, reduced physical functioning </w:t>
      </w:r>
      <w:r>
        <w:rPr>
          <w:rFonts w:ascii="Calibri" w:hAnsi="Calibri" w:cs="Times New Roman"/>
          <w:noProof/>
          <w:sz w:val="22"/>
          <w:szCs w:val="22"/>
        </w:rPr>
        <w:t>[7]</w:t>
      </w:r>
      <w:r>
        <w:rPr>
          <w:rFonts w:ascii="Calibri" w:hAnsi="Calibri" w:cs="Times New Roman"/>
          <w:sz w:val="22"/>
          <w:szCs w:val="22"/>
        </w:rPr>
        <w:t>,</w:t>
      </w:r>
      <w:r w:rsidRPr="00B61684">
        <w:rPr>
          <w:rFonts w:ascii="Calibri" w:hAnsi="Calibri" w:cs="Times New Roman"/>
          <w:sz w:val="22"/>
          <w:szCs w:val="22"/>
        </w:rPr>
        <w:t xml:space="preserve"> poorer quality</w:t>
      </w:r>
      <w:r>
        <w:rPr>
          <w:rFonts w:ascii="Calibri" w:hAnsi="Calibri" w:cs="Times New Roman"/>
          <w:sz w:val="22"/>
          <w:szCs w:val="22"/>
        </w:rPr>
        <w:t xml:space="preserve"> of life </w:t>
      </w:r>
      <w:r>
        <w:rPr>
          <w:rFonts w:ascii="Calibri" w:hAnsi="Calibri" w:cs="Times New Roman"/>
          <w:noProof/>
          <w:sz w:val="22"/>
          <w:szCs w:val="22"/>
        </w:rPr>
        <w:t>[8]</w:t>
      </w:r>
      <w:r w:rsidRPr="00B61684">
        <w:rPr>
          <w:rFonts w:ascii="Calibri" w:hAnsi="Calibri" w:cs="Times New Roman"/>
          <w:sz w:val="22"/>
          <w:szCs w:val="22"/>
        </w:rPr>
        <w:t>,</w:t>
      </w:r>
      <w:r>
        <w:rPr>
          <w:rFonts w:ascii="Calibri" w:hAnsi="Calibri" w:cs="Times New Roman"/>
          <w:sz w:val="22"/>
          <w:szCs w:val="22"/>
        </w:rPr>
        <w:t xml:space="preserve"> and increased mortality </w:t>
      </w:r>
      <w:r>
        <w:rPr>
          <w:rFonts w:ascii="Calibri" w:hAnsi="Calibri" w:cs="Times New Roman"/>
          <w:noProof/>
          <w:sz w:val="22"/>
          <w:szCs w:val="22"/>
        </w:rPr>
        <w:t>[9]</w:t>
      </w:r>
      <w:r w:rsidRPr="00B61684">
        <w:rPr>
          <w:rFonts w:ascii="Calibri" w:hAnsi="Calibri" w:cs="Times New Roman"/>
          <w:sz w:val="22"/>
          <w:szCs w:val="22"/>
        </w:rPr>
        <w:t xml:space="preserve">. The mechanism underlying these effects is unknown but is likely to be multifactorial. </w:t>
      </w:r>
    </w:p>
    <w:p w14:paraId="368F033C" w14:textId="77777777" w:rsidR="009577BF" w:rsidRPr="00B61684" w:rsidRDefault="009577BF" w:rsidP="00E03168">
      <w:pPr>
        <w:pStyle w:val="NormalWeb"/>
        <w:spacing w:before="0" w:after="0" w:line="360" w:lineRule="auto"/>
        <w:jc w:val="both"/>
        <w:rPr>
          <w:rFonts w:ascii="Calibri" w:eastAsia="Times New Roman" w:hAnsi="Calibri" w:cs="Times New Roman"/>
          <w:sz w:val="22"/>
          <w:szCs w:val="22"/>
        </w:rPr>
      </w:pPr>
    </w:p>
    <w:p w14:paraId="277BEA4B" w14:textId="5F8AC698" w:rsidR="009577BF" w:rsidRPr="00B61684" w:rsidRDefault="009577BF" w:rsidP="00E03168">
      <w:pPr>
        <w:pStyle w:val="NormalWeb"/>
        <w:spacing w:before="0" w:after="0" w:line="360" w:lineRule="auto"/>
        <w:jc w:val="both"/>
        <w:rPr>
          <w:rFonts w:ascii="Calibri" w:eastAsia="Times New Roman" w:hAnsi="Calibri" w:cs="Times New Roman"/>
          <w:sz w:val="22"/>
          <w:szCs w:val="22"/>
        </w:rPr>
      </w:pPr>
      <w:r w:rsidRPr="00B61684">
        <w:rPr>
          <w:rFonts w:ascii="Calibri" w:hAnsi="Calibri" w:cs="Times New Roman"/>
          <w:sz w:val="22"/>
          <w:szCs w:val="22"/>
        </w:rPr>
        <w:t xml:space="preserve">A large proportion of healthcare costs in the UK </w:t>
      </w:r>
      <w:r>
        <w:rPr>
          <w:rFonts w:ascii="Calibri" w:hAnsi="Calibri" w:cs="Times New Roman"/>
          <w:sz w:val="22"/>
          <w:szCs w:val="22"/>
        </w:rPr>
        <w:t xml:space="preserve">are </w:t>
      </w:r>
      <w:r w:rsidRPr="00B61684">
        <w:rPr>
          <w:rFonts w:ascii="Calibri" w:hAnsi="Calibri" w:cs="Times New Roman"/>
          <w:sz w:val="22"/>
          <w:szCs w:val="22"/>
        </w:rPr>
        <w:t>spent on acute care, particularly emergency hospital admissions and attendance</w:t>
      </w:r>
      <w:r w:rsidR="007933A1">
        <w:rPr>
          <w:rFonts w:ascii="Calibri" w:hAnsi="Calibri" w:cs="Times New Roman"/>
          <w:sz w:val="22"/>
          <w:szCs w:val="22"/>
        </w:rPr>
        <w:t>s</w:t>
      </w:r>
      <w:r w:rsidRPr="00B61684">
        <w:rPr>
          <w:rFonts w:ascii="Calibri" w:hAnsi="Calibri" w:cs="Times New Roman"/>
          <w:sz w:val="22"/>
          <w:szCs w:val="22"/>
        </w:rPr>
        <w:t xml:space="preserve"> a</w:t>
      </w:r>
      <w:r w:rsidR="007933A1">
        <w:rPr>
          <w:rFonts w:ascii="Calibri" w:hAnsi="Calibri" w:cs="Times New Roman"/>
          <w:sz w:val="22"/>
          <w:szCs w:val="22"/>
        </w:rPr>
        <w:t>t</w:t>
      </w:r>
      <w:r w:rsidRPr="00B61684">
        <w:rPr>
          <w:rFonts w:ascii="Calibri" w:hAnsi="Calibri" w:cs="Times New Roman"/>
          <w:sz w:val="22"/>
          <w:szCs w:val="22"/>
        </w:rPr>
        <w:t xml:space="preserve"> emergency departments (ED). </w:t>
      </w:r>
      <w:r w:rsidR="001E315C">
        <w:rPr>
          <w:rFonts w:ascii="Calibri" w:hAnsi="Calibri" w:cs="Times New Roman"/>
          <w:sz w:val="22"/>
          <w:szCs w:val="22"/>
        </w:rPr>
        <w:t>The exacerbations that characterize COPD</w:t>
      </w:r>
      <w:r w:rsidR="007933A1">
        <w:rPr>
          <w:rFonts w:ascii="Calibri" w:hAnsi="Calibri" w:cs="Times New Roman"/>
          <w:sz w:val="22"/>
          <w:szCs w:val="22"/>
        </w:rPr>
        <w:t>,</w:t>
      </w:r>
      <w:r w:rsidR="001E315C">
        <w:rPr>
          <w:rFonts w:ascii="Calibri" w:hAnsi="Calibri" w:cs="Times New Roman"/>
          <w:sz w:val="22"/>
          <w:szCs w:val="22"/>
        </w:rPr>
        <w:t xml:space="preserve"> and often result in </w:t>
      </w:r>
      <w:r w:rsidR="007933A1">
        <w:rPr>
          <w:rFonts w:ascii="Calibri" w:hAnsi="Calibri" w:cs="Times New Roman"/>
          <w:sz w:val="22"/>
          <w:szCs w:val="22"/>
        </w:rPr>
        <w:t xml:space="preserve">urgent </w:t>
      </w:r>
      <w:r w:rsidR="001E315C">
        <w:rPr>
          <w:rFonts w:ascii="Calibri" w:hAnsi="Calibri" w:cs="Times New Roman"/>
          <w:sz w:val="22"/>
          <w:szCs w:val="22"/>
        </w:rPr>
        <w:t>hospital admissions</w:t>
      </w:r>
      <w:r w:rsidR="007933A1">
        <w:rPr>
          <w:rFonts w:ascii="Calibri" w:hAnsi="Calibri" w:cs="Times New Roman"/>
          <w:sz w:val="22"/>
          <w:szCs w:val="22"/>
        </w:rPr>
        <w:t>,</w:t>
      </w:r>
      <w:r w:rsidR="001E315C">
        <w:rPr>
          <w:rFonts w:ascii="Calibri" w:hAnsi="Calibri" w:cs="Times New Roman"/>
          <w:sz w:val="22"/>
          <w:szCs w:val="22"/>
        </w:rPr>
        <w:t xml:space="preserve"> contribute to over 70% of the healthcare costs associated with the disease </w:t>
      </w:r>
      <w:r w:rsidR="00040148">
        <w:rPr>
          <w:rFonts w:ascii="Calibri" w:hAnsi="Calibri" w:cs="Times New Roman"/>
          <w:sz w:val="22"/>
          <w:szCs w:val="22"/>
        </w:rPr>
        <w:t xml:space="preserve">[10,11]. </w:t>
      </w:r>
      <w:r w:rsidRPr="00B61684">
        <w:rPr>
          <w:rFonts w:ascii="Calibri" w:hAnsi="Calibri" w:cs="Times New Roman"/>
          <w:sz w:val="22"/>
          <w:szCs w:val="22"/>
        </w:rPr>
        <w:t>It is recognised that some contacts with acute care may be avoidable if risk factors can be identified and managed effectively. Whilst physical par</w:t>
      </w:r>
      <w:r>
        <w:rPr>
          <w:rFonts w:ascii="Calibri" w:hAnsi="Calibri" w:cs="Times New Roman"/>
          <w:sz w:val="22"/>
          <w:szCs w:val="22"/>
        </w:rPr>
        <w:t>ameters such as severity and comorbi</w:t>
      </w:r>
      <w:r w:rsidRPr="00B61684">
        <w:rPr>
          <w:rFonts w:ascii="Calibri" w:hAnsi="Calibri" w:cs="Times New Roman"/>
          <w:sz w:val="22"/>
          <w:szCs w:val="22"/>
        </w:rPr>
        <w:t xml:space="preserve">dity of disease may play a key role in the overall outcome of patients with COPD, it is likely that </w:t>
      </w:r>
      <w:r w:rsidR="00242E15">
        <w:rPr>
          <w:rFonts w:ascii="Calibri" w:hAnsi="Calibri" w:cs="Times New Roman"/>
          <w:sz w:val="22"/>
          <w:szCs w:val="22"/>
        </w:rPr>
        <w:t xml:space="preserve">potentially modifiable </w:t>
      </w:r>
      <w:r w:rsidRPr="00B61684">
        <w:rPr>
          <w:rFonts w:ascii="Calibri" w:hAnsi="Calibri" w:cs="Times New Roman"/>
          <w:sz w:val="22"/>
          <w:szCs w:val="22"/>
        </w:rPr>
        <w:t>psychosocial</w:t>
      </w:r>
      <w:r>
        <w:rPr>
          <w:rFonts w:ascii="Calibri" w:hAnsi="Calibri" w:cs="Times New Roman"/>
          <w:sz w:val="22"/>
          <w:szCs w:val="22"/>
        </w:rPr>
        <w:t xml:space="preserve"> factors may also be important </w:t>
      </w:r>
      <w:r w:rsidRPr="00B61684">
        <w:rPr>
          <w:rFonts w:ascii="Calibri" w:hAnsi="Calibri" w:cs="Times New Roman"/>
          <w:sz w:val="22"/>
          <w:szCs w:val="22"/>
        </w:rPr>
        <w:t>and may influence the use of acute care. Depression is a strong potential psychosocial candidate, because of its known deleterious effects on other key outcomes in COPD, and because of recent findings which suggest that depression is an independent risk factor for use of ur</w:t>
      </w:r>
      <w:r w:rsidR="00A07B3C">
        <w:rPr>
          <w:rFonts w:ascii="Calibri" w:hAnsi="Calibri" w:cs="Times New Roman"/>
          <w:sz w:val="22"/>
          <w:szCs w:val="22"/>
        </w:rPr>
        <w:t>gent care in patients with long-</w:t>
      </w:r>
      <w:r w:rsidRPr="00B61684">
        <w:rPr>
          <w:rFonts w:ascii="Calibri" w:hAnsi="Calibri" w:cs="Times New Roman"/>
          <w:sz w:val="22"/>
          <w:szCs w:val="22"/>
        </w:rPr>
        <w:t>t</w:t>
      </w:r>
      <w:r>
        <w:rPr>
          <w:rFonts w:ascii="Calibri" w:hAnsi="Calibri" w:cs="Times New Roman"/>
          <w:sz w:val="22"/>
          <w:szCs w:val="22"/>
        </w:rPr>
        <w:t xml:space="preserve">erm conditions </w:t>
      </w:r>
      <w:r>
        <w:rPr>
          <w:rFonts w:ascii="Calibri" w:hAnsi="Calibri" w:cs="Times New Roman"/>
          <w:noProof/>
          <w:sz w:val="22"/>
          <w:szCs w:val="22"/>
        </w:rPr>
        <w:t>[</w:t>
      </w:r>
      <w:r w:rsidR="00040148">
        <w:rPr>
          <w:rFonts w:ascii="Calibri" w:hAnsi="Calibri" w:cs="Times New Roman"/>
          <w:noProof/>
          <w:sz w:val="22"/>
          <w:szCs w:val="22"/>
        </w:rPr>
        <w:t>12</w:t>
      </w:r>
      <w:r>
        <w:rPr>
          <w:rFonts w:ascii="Calibri" w:hAnsi="Calibri" w:cs="Times New Roman"/>
          <w:noProof/>
          <w:sz w:val="22"/>
          <w:szCs w:val="22"/>
        </w:rPr>
        <w:t xml:space="preserve">, </w:t>
      </w:r>
      <w:r w:rsidR="00040148">
        <w:rPr>
          <w:rFonts w:ascii="Calibri" w:hAnsi="Calibri" w:cs="Times New Roman"/>
          <w:noProof/>
          <w:sz w:val="22"/>
          <w:szCs w:val="22"/>
        </w:rPr>
        <w:t>13</w:t>
      </w:r>
      <w:r>
        <w:rPr>
          <w:rFonts w:ascii="Calibri" w:hAnsi="Calibri" w:cs="Times New Roman"/>
          <w:noProof/>
          <w:sz w:val="22"/>
          <w:szCs w:val="22"/>
        </w:rPr>
        <w:t>]</w:t>
      </w:r>
      <w:r w:rsidRPr="00B61684">
        <w:rPr>
          <w:rFonts w:ascii="Calibri" w:hAnsi="Calibri" w:cs="Times New Roman"/>
          <w:sz w:val="22"/>
          <w:szCs w:val="22"/>
        </w:rPr>
        <w:t>.</w:t>
      </w:r>
    </w:p>
    <w:p w14:paraId="57D7FC63" w14:textId="77777777" w:rsidR="009577BF" w:rsidRPr="00B61684" w:rsidRDefault="009577BF" w:rsidP="00E03168">
      <w:pPr>
        <w:pStyle w:val="NormalWeb"/>
        <w:spacing w:before="0" w:after="0" w:line="360" w:lineRule="auto"/>
        <w:jc w:val="both"/>
        <w:rPr>
          <w:rFonts w:ascii="Calibri" w:eastAsia="Times New Roman" w:hAnsi="Calibri" w:cs="Times New Roman"/>
          <w:sz w:val="22"/>
          <w:szCs w:val="22"/>
        </w:rPr>
      </w:pPr>
    </w:p>
    <w:p w14:paraId="5A297BAA" w14:textId="69F1A22A" w:rsidR="00E07DC8" w:rsidRDefault="005154A8" w:rsidP="00E03168">
      <w:pPr>
        <w:pStyle w:val="NormalWeb"/>
        <w:spacing w:before="0" w:after="0" w:line="360" w:lineRule="auto"/>
        <w:jc w:val="both"/>
        <w:rPr>
          <w:rFonts w:ascii="Calibri" w:hAnsi="Calibri" w:cs="Times New Roman"/>
          <w:sz w:val="22"/>
          <w:szCs w:val="22"/>
        </w:rPr>
      </w:pPr>
      <w:r>
        <w:rPr>
          <w:rFonts w:ascii="Calibri" w:hAnsi="Calibri" w:cs="Times New Roman"/>
          <w:sz w:val="22"/>
          <w:szCs w:val="22"/>
        </w:rPr>
        <w:t xml:space="preserve">Most people with COPD are managed in </w:t>
      </w:r>
      <w:r w:rsidR="009577BF" w:rsidRPr="00B61684">
        <w:rPr>
          <w:rFonts w:ascii="Calibri" w:hAnsi="Calibri" w:cs="Times New Roman"/>
          <w:sz w:val="22"/>
          <w:szCs w:val="22"/>
        </w:rPr>
        <w:t xml:space="preserve">Primary </w:t>
      </w:r>
      <w:r>
        <w:rPr>
          <w:rFonts w:ascii="Calibri" w:hAnsi="Calibri" w:cs="Times New Roman"/>
          <w:sz w:val="22"/>
          <w:szCs w:val="22"/>
        </w:rPr>
        <w:t>C</w:t>
      </w:r>
      <w:r w:rsidR="009577BF" w:rsidRPr="00B61684">
        <w:rPr>
          <w:rFonts w:ascii="Calibri" w:hAnsi="Calibri" w:cs="Times New Roman"/>
          <w:sz w:val="22"/>
          <w:szCs w:val="22"/>
        </w:rPr>
        <w:t xml:space="preserve">are </w:t>
      </w:r>
      <w:r w:rsidR="009577BF">
        <w:rPr>
          <w:rFonts w:ascii="Calibri" w:hAnsi="Calibri" w:cs="Times New Roman"/>
          <w:noProof/>
          <w:sz w:val="22"/>
          <w:szCs w:val="22"/>
        </w:rPr>
        <w:t>[</w:t>
      </w:r>
      <w:r w:rsidR="00040148">
        <w:rPr>
          <w:rFonts w:ascii="Calibri" w:hAnsi="Calibri" w:cs="Times New Roman"/>
          <w:noProof/>
          <w:sz w:val="22"/>
          <w:szCs w:val="22"/>
        </w:rPr>
        <w:t>14</w:t>
      </w:r>
      <w:r w:rsidR="009577BF">
        <w:rPr>
          <w:rFonts w:ascii="Calibri" w:hAnsi="Calibri" w:cs="Times New Roman"/>
          <w:noProof/>
          <w:sz w:val="22"/>
          <w:szCs w:val="22"/>
        </w:rPr>
        <w:t>]</w:t>
      </w:r>
      <w:r w:rsidR="009577BF" w:rsidRPr="00B61684">
        <w:rPr>
          <w:rFonts w:ascii="Calibri" w:hAnsi="Calibri" w:cs="Times New Roman"/>
          <w:sz w:val="22"/>
          <w:szCs w:val="22"/>
        </w:rPr>
        <w:t xml:space="preserve">. The intention is that better routine care, provided locally for patients, will reduce the requirement for urgent hospital based treatment. An obvious question is whether patients with COPD who are at risk of using acute or urgent care can be </w:t>
      </w:r>
      <w:r w:rsidR="009577BF" w:rsidRPr="00B61684">
        <w:rPr>
          <w:rFonts w:ascii="Calibri" w:hAnsi="Calibri" w:cs="Times New Roman"/>
          <w:sz w:val="22"/>
          <w:szCs w:val="22"/>
        </w:rPr>
        <w:lastRenderedPageBreak/>
        <w:t xml:space="preserve">identified in a primary care population, so </w:t>
      </w:r>
      <w:r w:rsidR="009577BF">
        <w:rPr>
          <w:rFonts w:ascii="Calibri" w:hAnsi="Calibri" w:cs="Times New Roman"/>
          <w:sz w:val="22"/>
          <w:szCs w:val="22"/>
        </w:rPr>
        <w:t xml:space="preserve">that </w:t>
      </w:r>
      <w:r w:rsidR="009577BF" w:rsidRPr="00B61684">
        <w:rPr>
          <w:rFonts w:ascii="Calibri" w:hAnsi="Calibri" w:cs="Times New Roman"/>
          <w:sz w:val="22"/>
          <w:szCs w:val="22"/>
        </w:rPr>
        <w:t xml:space="preserve">their condition can be treated before </w:t>
      </w:r>
      <w:r w:rsidR="009577BF">
        <w:rPr>
          <w:rFonts w:ascii="Calibri" w:hAnsi="Calibri" w:cs="Times New Roman"/>
          <w:sz w:val="22"/>
          <w:szCs w:val="22"/>
        </w:rPr>
        <w:t>emergency</w:t>
      </w:r>
      <w:r w:rsidR="009577BF" w:rsidRPr="00B61684">
        <w:rPr>
          <w:rFonts w:ascii="Calibri" w:hAnsi="Calibri" w:cs="Times New Roman"/>
          <w:sz w:val="22"/>
          <w:szCs w:val="22"/>
        </w:rPr>
        <w:t xml:space="preserve"> care</w:t>
      </w:r>
      <w:r w:rsidR="009577BF">
        <w:rPr>
          <w:rFonts w:ascii="Calibri" w:hAnsi="Calibri" w:cs="Times New Roman"/>
          <w:sz w:val="22"/>
          <w:szCs w:val="22"/>
        </w:rPr>
        <w:t xml:space="preserve"> </w:t>
      </w:r>
      <w:r>
        <w:rPr>
          <w:rFonts w:ascii="Calibri" w:hAnsi="Calibri" w:cs="Times New Roman"/>
          <w:sz w:val="22"/>
          <w:szCs w:val="22"/>
        </w:rPr>
        <w:t>is sought</w:t>
      </w:r>
      <w:r w:rsidR="009577BF" w:rsidRPr="00B61684">
        <w:rPr>
          <w:rFonts w:ascii="Calibri" w:hAnsi="Calibri" w:cs="Times New Roman"/>
          <w:sz w:val="22"/>
          <w:szCs w:val="22"/>
        </w:rPr>
        <w:t xml:space="preserve">. </w:t>
      </w:r>
    </w:p>
    <w:p w14:paraId="599FA3C9" w14:textId="77777777" w:rsidR="00E07DC8" w:rsidRDefault="00E07DC8" w:rsidP="00E03168">
      <w:pPr>
        <w:pStyle w:val="NormalWeb"/>
        <w:spacing w:before="0" w:after="0" w:line="360" w:lineRule="auto"/>
        <w:jc w:val="both"/>
        <w:rPr>
          <w:rFonts w:ascii="Calibri" w:hAnsi="Calibri" w:cs="Times New Roman"/>
          <w:sz w:val="22"/>
          <w:szCs w:val="22"/>
        </w:rPr>
      </w:pPr>
    </w:p>
    <w:p w14:paraId="13FA4433" w14:textId="3AAFAA0A" w:rsidR="009577BF" w:rsidRPr="00B61684" w:rsidRDefault="009577BF" w:rsidP="00E03168">
      <w:pPr>
        <w:pStyle w:val="NormalWeb"/>
        <w:spacing w:before="0" w:after="0" w:line="360" w:lineRule="auto"/>
        <w:jc w:val="both"/>
        <w:rPr>
          <w:rFonts w:ascii="Calibri" w:eastAsia="Times New Roman" w:hAnsi="Calibri" w:cs="Times New Roman"/>
          <w:sz w:val="22"/>
          <w:szCs w:val="22"/>
        </w:rPr>
      </w:pPr>
      <w:r w:rsidRPr="00B61684">
        <w:rPr>
          <w:rFonts w:ascii="Calibri" w:hAnsi="Calibri" w:cs="Times New Roman"/>
          <w:sz w:val="22"/>
          <w:szCs w:val="22"/>
        </w:rPr>
        <w:t>The majority of studies</w:t>
      </w:r>
      <w:r w:rsidR="00B80750">
        <w:rPr>
          <w:rFonts w:ascii="Calibri" w:hAnsi="Calibri" w:cs="Times New Roman"/>
          <w:sz w:val="22"/>
          <w:szCs w:val="22"/>
        </w:rPr>
        <w:t xml:space="preserve"> that</w:t>
      </w:r>
      <w:r w:rsidRPr="00B61684">
        <w:rPr>
          <w:rFonts w:ascii="Calibri" w:hAnsi="Calibri" w:cs="Times New Roman"/>
          <w:sz w:val="22"/>
          <w:szCs w:val="22"/>
        </w:rPr>
        <w:t xml:space="preserve"> have examined risk factors for use of urgent care in </w:t>
      </w:r>
      <w:r w:rsidR="00E07DC8" w:rsidRPr="00B61684">
        <w:rPr>
          <w:rFonts w:ascii="Calibri" w:hAnsi="Calibri" w:cs="Times New Roman"/>
          <w:sz w:val="22"/>
          <w:szCs w:val="22"/>
        </w:rPr>
        <w:t>COPD</w:t>
      </w:r>
      <w:r w:rsidRPr="00B61684">
        <w:rPr>
          <w:rFonts w:ascii="Calibri" w:hAnsi="Calibri" w:cs="Times New Roman"/>
          <w:sz w:val="22"/>
          <w:szCs w:val="22"/>
        </w:rPr>
        <w:t xml:space="preserve"> have focused on either stable outpatients with COPD</w:t>
      </w:r>
      <w:r>
        <w:rPr>
          <w:rFonts w:ascii="Calibri" w:hAnsi="Calibri" w:cs="Times New Roman"/>
          <w:sz w:val="22"/>
          <w:szCs w:val="22"/>
        </w:rPr>
        <w:t>,</w:t>
      </w:r>
      <w:r w:rsidRPr="00B61684">
        <w:rPr>
          <w:rFonts w:ascii="Calibri" w:hAnsi="Calibri" w:cs="Times New Roman"/>
          <w:sz w:val="22"/>
          <w:szCs w:val="22"/>
        </w:rPr>
        <w:t xml:space="preserve"> or patients who have been admitted to hospital because of COPD and then discharged</w:t>
      </w:r>
      <w:r w:rsidR="00040148">
        <w:rPr>
          <w:rFonts w:ascii="Calibri" w:hAnsi="Calibri" w:cs="Times New Roman"/>
          <w:sz w:val="22"/>
          <w:szCs w:val="22"/>
        </w:rPr>
        <w:t xml:space="preserve"> [12]</w:t>
      </w:r>
      <w:r w:rsidRPr="00B61684">
        <w:rPr>
          <w:rFonts w:ascii="Calibri" w:hAnsi="Calibri" w:cs="Times New Roman"/>
          <w:sz w:val="22"/>
          <w:szCs w:val="22"/>
        </w:rPr>
        <w:t xml:space="preserve">. </w:t>
      </w:r>
      <w:r>
        <w:rPr>
          <w:rFonts w:ascii="Calibri" w:hAnsi="Calibri" w:cs="Times New Roman"/>
          <w:sz w:val="22"/>
          <w:szCs w:val="22"/>
        </w:rPr>
        <w:t xml:space="preserve">However, in a large national cross-sectional primary care sample Calederon-Larranaga </w:t>
      </w:r>
      <w:r>
        <w:rPr>
          <w:rFonts w:ascii="Calibri" w:hAnsi="Calibri" w:cs="Times New Roman"/>
          <w:noProof/>
          <w:sz w:val="22"/>
          <w:szCs w:val="22"/>
        </w:rPr>
        <w:t>[</w:t>
      </w:r>
      <w:r w:rsidR="00040148">
        <w:rPr>
          <w:rFonts w:ascii="Calibri" w:hAnsi="Calibri" w:cs="Times New Roman"/>
          <w:noProof/>
          <w:sz w:val="22"/>
          <w:szCs w:val="22"/>
        </w:rPr>
        <w:t>15</w:t>
      </w:r>
      <w:r>
        <w:rPr>
          <w:rFonts w:ascii="Calibri" w:hAnsi="Calibri" w:cs="Times New Roman"/>
          <w:noProof/>
          <w:sz w:val="22"/>
          <w:szCs w:val="22"/>
        </w:rPr>
        <w:t>]</w:t>
      </w:r>
      <w:r>
        <w:rPr>
          <w:rFonts w:ascii="Calibri" w:hAnsi="Calibri" w:cs="Times New Roman"/>
          <w:sz w:val="22"/>
          <w:szCs w:val="22"/>
        </w:rPr>
        <w:t xml:space="preserve"> found that increased admissions were strongly associated with higher levels of deprivation and smoking prevalence. Immunizations for influenza and self-reported fast access to primary healthcare (within two days) were protective factors </w:t>
      </w:r>
      <w:r>
        <w:rPr>
          <w:rFonts w:ascii="Calibri" w:hAnsi="Calibri" w:cs="Times New Roman"/>
          <w:noProof/>
          <w:sz w:val="22"/>
          <w:szCs w:val="22"/>
        </w:rPr>
        <w:t>[</w:t>
      </w:r>
      <w:r w:rsidR="00040148">
        <w:rPr>
          <w:rFonts w:ascii="Calibri" w:hAnsi="Calibri" w:cs="Times New Roman"/>
          <w:noProof/>
          <w:sz w:val="22"/>
          <w:szCs w:val="22"/>
        </w:rPr>
        <w:t>15</w:t>
      </w:r>
      <w:r>
        <w:rPr>
          <w:rFonts w:ascii="Calibri" w:hAnsi="Calibri" w:cs="Times New Roman"/>
          <w:noProof/>
          <w:sz w:val="22"/>
          <w:szCs w:val="22"/>
        </w:rPr>
        <w:t>]</w:t>
      </w:r>
      <w:r w:rsidR="00E07DC8">
        <w:rPr>
          <w:rFonts w:ascii="Calibri" w:hAnsi="Calibri" w:cs="Times New Roman"/>
          <w:sz w:val="22"/>
          <w:szCs w:val="22"/>
        </w:rPr>
        <w:t>.  G</w:t>
      </w:r>
      <w:r>
        <w:rPr>
          <w:rFonts w:ascii="Calibri" w:hAnsi="Calibri" w:cs="Times New Roman"/>
          <w:sz w:val="22"/>
          <w:szCs w:val="22"/>
        </w:rPr>
        <w:t>iven that access to healthcare is highly incentivized in the UK, admission rates</w:t>
      </w:r>
      <w:r w:rsidR="00D175F2">
        <w:rPr>
          <w:rFonts w:ascii="Calibri" w:hAnsi="Calibri" w:cs="Times New Roman"/>
          <w:sz w:val="22"/>
          <w:szCs w:val="22"/>
        </w:rPr>
        <w:t xml:space="preserve"> for COPD</w:t>
      </w:r>
      <w:r>
        <w:rPr>
          <w:rFonts w:ascii="Calibri" w:hAnsi="Calibri" w:cs="Times New Roman"/>
          <w:sz w:val="22"/>
          <w:szCs w:val="22"/>
        </w:rPr>
        <w:t xml:space="preserve"> are still high, and therefore potentially driven by other factors. The effect of psychological r</w:t>
      </w:r>
      <w:r w:rsidRPr="00B61684">
        <w:rPr>
          <w:rFonts w:ascii="Calibri" w:hAnsi="Calibri" w:cs="Times New Roman"/>
          <w:sz w:val="22"/>
          <w:szCs w:val="22"/>
        </w:rPr>
        <w:t>isk factors</w:t>
      </w:r>
      <w:r>
        <w:rPr>
          <w:rFonts w:ascii="Calibri" w:hAnsi="Calibri" w:cs="Times New Roman"/>
          <w:sz w:val="22"/>
          <w:szCs w:val="22"/>
        </w:rPr>
        <w:t>, such as anxiety and depression, for use of emergency</w:t>
      </w:r>
      <w:r w:rsidRPr="00B61684">
        <w:rPr>
          <w:rFonts w:ascii="Calibri" w:hAnsi="Calibri" w:cs="Times New Roman"/>
          <w:sz w:val="22"/>
          <w:szCs w:val="22"/>
        </w:rPr>
        <w:t xml:space="preserve"> care in primary care </w:t>
      </w:r>
      <w:r>
        <w:rPr>
          <w:rFonts w:ascii="Calibri" w:hAnsi="Calibri" w:cs="Times New Roman"/>
          <w:sz w:val="22"/>
          <w:szCs w:val="22"/>
        </w:rPr>
        <w:t xml:space="preserve">COPD populations, </w:t>
      </w:r>
      <w:r w:rsidRPr="00B61684">
        <w:rPr>
          <w:rFonts w:ascii="Calibri" w:hAnsi="Calibri" w:cs="Times New Roman"/>
          <w:sz w:val="22"/>
          <w:szCs w:val="22"/>
        </w:rPr>
        <w:t xml:space="preserve">are largely unknown. </w:t>
      </w:r>
    </w:p>
    <w:p w14:paraId="03171107" w14:textId="77777777" w:rsidR="009577BF" w:rsidRPr="00B61684" w:rsidRDefault="009577BF" w:rsidP="00E03168">
      <w:pPr>
        <w:pStyle w:val="NormalWeb"/>
        <w:spacing w:before="0" w:after="0" w:line="360" w:lineRule="auto"/>
        <w:jc w:val="both"/>
        <w:rPr>
          <w:rFonts w:ascii="Calibri" w:eastAsia="Times New Roman" w:hAnsi="Calibri" w:cs="Times New Roman"/>
          <w:sz w:val="22"/>
          <w:szCs w:val="22"/>
        </w:rPr>
      </w:pPr>
    </w:p>
    <w:p w14:paraId="26F4EB5F" w14:textId="1DE8AAF8" w:rsidR="009577BF" w:rsidRPr="00B61684" w:rsidRDefault="009577BF" w:rsidP="00E03168">
      <w:pPr>
        <w:pStyle w:val="NormalWeb"/>
        <w:spacing w:before="0" w:after="0" w:line="360" w:lineRule="auto"/>
        <w:jc w:val="both"/>
        <w:rPr>
          <w:rFonts w:ascii="Calibri" w:eastAsia="Times New Roman" w:hAnsi="Calibri" w:cs="Times New Roman"/>
          <w:sz w:val="22"/>
          <w:szCs w:val="22"/>
        </w:rPr>
      </w:pPr>
      <w:r w:rsidRPr="00B61684">
        <w:rPr>
          <w:rFonts w:ascii="Calibri" w:hAnsi="Calibri" w:cs="Times New Roman"/>
          <w:sz w:val="22"/>
          <w:szCs w:val="22"/>
        </w:rPr>
        <w:t>The aim of this study was to determine whether depression in primary care patients with COPD is an independent predictor of two of the most common forms of urgent care</w:t>
      </w:r>
      <w:r w:rsidR="000637D4">
        <w:rPr>
          <w:rFonts w:ascii="Calibri" w:hAnsi="Calibri" w:cs="Times New Roman"/>
          <w:sz w:val="22"/>
          <w:szCs w:val="22"/>
        </w:rPr>
        <w:t xml:space="preserve"> use</w:t>
      </w:r>
      <w:r w:rsidRPr="00B61684">
        <w:rPr>
          <w:rFonts w:ascii="Calibri" w:hAnsi="Calibri" w:cs="Times New Roman"/>
          <w:sz w:val="22"/>
          <w:szCs w:val="22"/>
        </w:rPr>
        <w:t>; emergency hospital admissions and attendances at the emergency department (ED). We hypothesized that depressive symptoms would be associated with an increase in hospital admissions and attendances at ED</w:t>
      </w:r>
      <w:r w:rsidR="000637D4">
        <w:rPr>
          <w:rFonts w:ascii="Calibri" w:hAnsi="Calibri" w:cs="Times New Roman"/>
          <w:sz w:val="22"/>
          <w:szCs w:val="22"/>
        </w:rPr>
        <w:t xml:space="preserve"> </w:t>
      </w:r>
      <w:r w:rsidRPr="00B61684">
        <w:rPr>
          <w:rFonts w:ascii="Calibri" w:hAnsi="Calibri" w:cs="Times New Roman"/>
          <w:sz w:val="22"/>
          <w:szCs w:val="22"/>
        </w:rPr>
        <w:t>regardless of COPD</w:t>
      </w:r>
      <w:r w:rsidR="000637D4">
        <w:rPr>
          <w:rFonts w:ascii="Calibri" w:hAnsi="Calibri" w:cs="Times New Roman"/>
          <w:sz w:val="22"/>
          <w:szCs w:val="22"/>
        </w:rPr>
        <w:t xml:space="preserve"> severity, co</w:t>
      </w:r>
      <w:r w:rsidRPr="00B61684">
        <w:rPr>
          <w:rFonts w:ascii="Calibri" w:hAnsi="Calibri" w:cs="Times New Roman"/>
          <w:sz w:val="22"/>
          <w:szCs w:val="22"/>
        </w:rPr>
        <w:t>morbidity of other chronic diseases, or other known co-variates. In secondary analyses, we investigated the influence of different levels of severity of depressive symptoms, and anxiety symptoms, on the use of urgent care.</w:t>
      </w:r>
    </w:p>
    <w:p w14:paraId="1CF66D57" w14:textId="77777777" w:rsidR="009577BF" w:rsidRPr="002A5078" w:rsidRDefault="009577BF" w:rsidP="00E03168">
      <w:pPr>
        <w:pStyle w:val="Body"/>
        <w:widowControl w:val="0"/>
        <w:spacing w:after="0" w:line="480" w:lineRule="auto"/>
        <w:rPr>
          <w:rFonts w:ascii="Times New Roman" w:eastAsia="Times New Roman" w:hAnsi="Times New Roman" w:cs="Times New Roman"/>
          <w:sz w:val="24"/>
          <w:szCs w:val="24"/>
          <w:lang w:val="en-US"/>
        </w:rPr>
      </w:pPr>
    </w:p>
    <w:p w14:paraId="1F53B4ED" w14:textId="106F945B" w:rsidR="009577BF" w:rsidRPr="002F003B" w:rsidRDefault="009577BF" w:rsidP="002F003B">
      <w:pPr>
        <w:pStyle w:val="NormalWeb"/>
        <w:spacing w:before="0" w:after="0" w:line="480" w:lineRule="auto"/>
        <w:rPr>
          <w:rFonts w:ascii="Times New Roman" w:hAnsi="Times New Roman"/>
          <w:b/>
        </w:rPr>
      </w:pPr>
      <w:r w:rsidRPr="002A5078">
        <w:rPr>
          <w:rFonts w:ascii="Times New Roman" w:hAnsi="Times New Roman" w:cs="Times New Roman"/>
          <w:b/>
          <w:bCs/>
        </w:rPr>
        <w:t xml:space="preserve"> </w:t>
      </w:r>
      <w:r w:rsidRPr="004F6E0B">
        <w:rPr>
          <w:rFonts w:ascii="Calibri" w:hAnsi="Calibri" w:cs="Times New Roman"/>
          <w:b/>
          <w:bCs/>
          <w:sz w:val="22"/>
          <w:szCs w:val="22"/>
        </w:rPr>
        <w:t>Methods</w:t>
      </w:r>
    </w:p>
    <w:p w14:paraId="69509893" w14:textId="1CA71D7F" w:rsidR="009577BF" w:rsidRPr="004F6E0B" w:rsidRDefault="009577BF" w:rsidP="00E03168">
      <w:pPr>
        <w:pStyle w:val="NormalWeb"/>
        <w:spacing w:before="0" w:after="0" w:line="360" w:lineRule="auto"/>
        <w:rPr>
          <w:rFonts w:ascii="Calibri" w:eastAsia="Times New Roman" w:hAnsi="Calibri" w:cs="Times New Roman"/>
          <w:sz w:val="22"/>
          <w:szCs w:val="22"/>
        </w:rPr>
      </w:pPr>
      <w:r w:rsidRPr="004F6E0B">
        <w:rPr>
          <w:rFonts w:ascii="Calibri" w:hAnsi="Calibri" w:cs="Times New Roman"/>
          <w:sz w:val="22"/>
          <w:szCs w:val="22"/>
        </w:rPr>
        <w:t xml:space="preserve">The study was carried out in 6 general practices in Manchester, UK. Data were collected in the context of a cluster randomised controlled trial </w:t>
      </w:r>
      <w:r w:rsidR="005154A8">
        <w:rPr>
          <w:rFonts w:ascii="Calibri" w:hAnsi="Calibri" w:cs="Times New Roman"/>
          <w:sz w:val="22"/>
          <w:szCs w:val="22"/>
        </w:rPr>
        <w:t xml:space="preserve">feasibility study </w:t>
      </w:r>
      <w:r w:rsidRPr="004F6E0B">
        <w:rPr>
          <w:rFonts w:ascii="Calibri" w:hAnsi="Calibri" w:cs="Times New Roman"/>
          <w:sz w:val="22"/>
          <w:szCs w:val="22"/>
        </w:rPr>
        <w:t>of a psychosocial intervention for patients with COPD</w:t>
      </w:r>
      <w:r>
        <w:rPr>
          <w:rFonts w:ascii="Calibri" w:hAnsi="Calibri" w:cs="Times New Roman"/>
          <w:sz w:val="22"/>
          <w:szCs w:val="22"/>
        </w:rPr>
        <w:t xml:space="preserve"> </w:t>
      </w:r>
      <w:r>
        <w:rPr>
          <w:rFonts w:ascii="Calibri" w:hAnsi="Calibri" w:cs="Times New Roman"/>
          <w:noProof/>
          <w:sz w:val="22"/>
          <w:szCs w:val="22"/>
        </w:rPr>
        <w:t>[</w:t>
      </w:r>
      <w:r w:rsidR="00040148">
        <w:rPr>
          <w:rFonts w:ascii="Calibri" w:hAnsi="Calibri" w:cs="Times New Roman"/>
          <w:noProof/>
          <w:sz w:val="22"/>
          <w:szCs w:val="22"/>
        </w:rPr>
        <w:t>16, 17]</w:t>
      </w:r>
      <w:r w:rsidRPr="009B28FD">
        <w:rPr>
          <w:rFonts w:ascii="Calibri" w:hAnsi="Calibri" w:cs="Times New Roman"/>
          <w:sz w:val="22"/>
          <w:szCs w:val="22"/>
        </w:rPr>
        <w:t>.</w:t>
      </w:r>
      <w:r w:rsidRPr="004F6E0B">
        <w:rPr>
          <w:rFonts w:ascii="Calibri" w:hAnsi="Calibri" w:cs="Times New Roman"/>
          <w:sz w:val="22"/>
          <w:szCs w:val="22"/>
        </w:rPr>
        <w:t xml:space="preserve">  The focus of the feasibility study was </w:t>
      </w:r>
      <w:r>
        <w:rPr>
          <w:rFonts w:ascii="Calibri" w:hAnsi="Calibri" w:cs="Times New Roman"/>
          <w:sz w:val="22"/>
          <w:szCs w:val="22"/>
        </w:rPr>
        <w:t xml:space="preserve">to </w:t>
      </w:r>
      <w:r w:rsidRPr="004F6E0B">
        <w:rPr>
          <w:rFonts w:ascii="Calibri" w:hAnsi="Calibri" w:cs="Times New Roman"/>
          <w:sz w:val="22"/>
          <w:szCs w:val="22"/>
        </w:rPr>
        <w:t xml:space="preserve">assess the acceptability of the </w:t>
      </w:r>
      <w:r w:rsidR="002F75B1">
        <w:rPr>
          <w:rFonts w:ascii="Calibri" w:hAnsi="Calibri" w:cs="Times New Roman"/>
          <w:sz w:val="22"/>
          <w:szCs w:val="22"/>
        </w:rPr>
        <w:t xml:space="preserve">psychosocial </w:t>
      </w:r>
      <w:r w:rsidRPr="004F6E0B">
        <w:rPr>
          <w:rFonts w:ascii="Calibri" w:hAnsi="Calibri" w:cs="Times New Roman"/>
          <w:sz w:val="22"/>
          <w:szCs w:val="22"/>
        </w:rPr>
        <w:t>intervention, the ease of obtaining electronic data</w:t>
      </w:r>
      <w:r>
        <w:rPr>
          <w:rFonts w:ascii="Calibri" w:hAnsi="Calibri" w:cs="Times New Roman"/>
          <w:sz w:val="22"/>
          <w:szCs w:val="22"/>
        </w:rPr>
        <w:t>,</w:t>
      </w:r>
      <w:r w:rsidRPr="004F6E0B">
        <w:rPr>
          <w:rFonts w:ascii="Calibri" w:hAnsi="Calibri" w:cs="Times New Roman"/>
          <w:sz w:val="22"/>
          <w:szCs w:val="22"/>
        </w:rPr>
        <w:t xml:space="preserve"> and other parameters which could be used to inform a future trial.  </w:t>
      </w:r>
      <w:r>
        <w:rPr>
          <w:rFonts w:ascii="Calibri" w:hAnsi="Calibri" w:cs="Times New Roman"/>
          <w:sz w:val="22"/>
          <w:szCs w:val="22"/>
        </w:rPr>
        <w:t>The intervention was a low intensity psychosocial treatment for at</w:t>
      </w:r>
      <w:r w:rsidR="00E03168">
        <w:rPr>
          <w:rFonts w:ascii="Calibri" w:hAnsi="Calibri" w:cs="Times New Roman"/>
          <w:sz w:val="22"/>
          <w:szCs w:val="22"/>
        </w:rPr>
        <w:t>-</w:t>
      </w:r>
      <w:r>
        <w:rPr>
          <w:rFonts w:ascii="Calibri" w:hAnsi="Calibri" w:cs="Times New Roman"/>
          <w:sz w:val="22"/>
          <w:szCs w:val="22"/>
        </w:rPr>
        <w:t>risk patients in 3 of the general practices.  There were no statistical differences between the use of emergency care between the three intervention and control practices, at any time during the feasibility study.</w:t>
      </w:r>
      <w:r w:rsidRPr="004F6E0B">
        <w:rPr>
          <w:rFonts w:ascii="Calibri" w:hAnsi="Calibri" w:cs="Times New Roman"/>
          <w:sz w:val="22"/>
          <w:szCs w:val="22"/>
        </w:rPr>
        <w:t xml:space="preserve"> The </w:t>
      </w:r>
      <w:r>
        <w:rPr>
          <w:rFonts w:ascii="Calibri" w:hAnsi="Calibri" w:cs="Times New Roman"/>
          <w:sz w:val="22"/>
          <w:szCs w:val="22"/>
        </w:rPr>
        <w:t xml:space="preserve">feasibility </w:t>
      </w:r>
      <w:r w:rsidRPr="004F6E0B">
        <w:rPr>
          <w:rFonts w:ascii="Calibri" w:hAnsi="Calibri" w:cs="Times New Roman"/>
          <w:sz w:val="22"/>
          <w:szCs w:val="22"/>
        </w:rPr>
        <w:t xml:space="preserve">study </w:t>
      </w:r>
      <w:r>
        <w:rPr>
          <w:rFonts w:ascii="Calibri" w:hAnsi="Calibri" w:cs="Times New Roman"/>
          <w:sz w:val="22"/>
          <w:szCs w:val="22"/>
        </w:rPr>
        <w:t xml:space="preserve">however, </w:t>
      </w:r>
      <w:r w:rsidRPr="004F6E0B">
        <w:rPr>
          <w:rFonts w:ascii="Calibri" w:hAnsi="Calibri" w:cs="Times New Roman"/>
          <w:sz w:val="22"/>
          <w:szCs w:val="22"/>
        </w:rPr>
        <w:t>enabled the relationship between baseline depression and future use of</w:t>
      </w:r>
      <w:r>
        <w:rPr>
          <w:rFonts w:ascii="Calibri" w:hAnsi="Calibri" w:cs="Times New Roman"/>
          <w:sz w:val="22"/>
          <w:szCs w:val="22"/>
        </w:rPr>
        <w:t xml:space="preserve"> emergency</w:t>
      </w:r>
      <w:r w:rsidRPr="004F6E0B">
        <w:rPr>
          <w:rFonts w:ascii="Calibri" w:hAnsi="Calibri" w:cs="Times New Roman"/>
          <w:sz w:val="22"/>
          <w:szCs w:val="22"/>
        </w:rPr>
        <w:t xml:space="preserve"> care to be examined in a longitudinal cohort study </w:t>
      </w:r>
      <w:r>
        <w:rPr>
          <w:rFonts w:ascii="Calibri" w:hAnsi="Calibri" w:cs="Times New Roman"/>
          <w:sz w:val="22"/>
          <w:szCs w:val="22"/>
        </w:rPr>
        <w:t xml:space="preserve">across </w:t>
      </w:r>
      <w:r w:rsidRPr="004F6E0B">
        <w:rPr>
          <w:rFonts w:ascii="Calibri" w:hAnsi="Calibri" w:cs="Times New Roman"/>
          <w:sz w:val="22"/>
          <w:szCs w:val="22"/>
        </w:rPr>
        <w:t xml:space="preserve">all six practices. </w:t>
      </w:r>
    </w:p>
    <w:p w14:paraId="53FA2D3F" w14:textId="77777777" w:rsidR="009577BF" w:rsidRPr="002A5078" w:rsidRDefault="009577BF" w:rsidP="00E03168">
      <w:pPr>
        <w:pStyle w:val="NormalWeb"/>
        <w:spacing w:before="0" w:after="0" w:line="480" w:lineRule="auto"/>
        <w:rPr>
          <w:rFonts w:ascii="Times New Roman" w:eastAsia="Times New Roman" w:hAnsi="Times New Roman" w:cs="Times New Roman"/>
        </w:rPr>
      </w:pPr>
    </w:p>
    <w:p w14:paraId="3FA6AEAA" w14:textId="77777777" w:rsidR="009577BF" w:rsidRPr="00CB077C" w:rsidRDefault="009577BF" w:rsidP="009C7FB2">
      <w:pPr>
        <w:pStyle w:val="NormalWeb"/>
        <w:spacing w:before="0" w:after="0" w:line="360" w:lineRule="auto"/>
        <w:outlineLvl w:val="0"/>
        <w:rPr>
          <w:rFonts w:ascii="Calibri" w:hAnsi="Calibri" w:cs="Times New Roman"/>
          <w:i/>
          <w:sz w:val="22"/>
          <w:szCs w:val="22"/>
        </w:rPr>
      </w:pPr>
      <w:r>
        <w:rPr>
          <w:rFonts w:ascii="Calibri" w:hAnsi="Calibri" w:cs="Times New Roman"/>
          <w:i/>
          <w:sz w:val="22"/>
          <w:szCs w:val="22"/>
        </w:rPr>
        <w:lastRenderedPageBreak/>
        <w:t>Participants</w:t>
      </w:r>
    </w:p>
    <w:p w14:paraId="7887955C" w14:textId="522364AE" w:rsidR="009577BF" w:rsidRPr="004F6E0B" w:rsidRDefault="009577BF" w:rsidP="00E03168">
      <w:pPr>
        <w:pStyle w:val="NormalWeb"/>
        <w:spacing w:before="0" w:after="0" w:line="360" w:lineRule="auto"/>
        <w:rPr>
          <w:rFonts w:ascii="Calibri" w:hAnsi="Calibri" w:cs="Times New Roman"/>
          <w:sz w:val="22"/>
          <w:szCs w:val="22"/>
        </w:rPr>
      </w:pPr>
      <w:r w:rsidRPr="004F6E0B">
        <w:rPr>
          <w:rFonts w:ascii="Calibri" w:hAnsi="Calibri" w:cs="Times New Roman"/>
          <w:sz w:val="22"/>
          <w:szCs w:val="22"/>
        </w:rPr>
        <w:t xml:space="preserve">We identified patients with COPD from patient registers of chronic disease which are kept by general practices in England under the Quality and Outcomes Framework (QOF) </w:t>
      </w:r>
      <w:r>
        <w:rPr>
          <w:rFonts w:ascii="Calibri" w:hAnsi="Calibri" w:cs="Times New Roman"/>
          <w:noProof/>
          <w:sz w:val="22"/>
          <w:szCs w:val="22"/>
        </w:rPr>
        <w:t>[</w:t>
      </w:r>
      <w:r w:rsidR="00040148">
        <w:rPr>
          <w:rFonts w:ascii="Calibri" w:hAnsi="Calibri" w:cs="Times New Roman"/>
          <w:noProof/>
          <w:sz w:val="22"/>
          <w:szCs w:val="22"/>
        </w:rPr>
        <w:t>18</w:t>
      </w:r>
      <w:r>
        <w:rPr>
          <w:rFonts w:ascii="Calibri" w:hAnsi="Calibri" w:cs="Times New Roman"/>
          <w:noProof/>
          <w:sz w:val="22"/>
          <w:szCs w:val="22"/>
        </w:rPr>
        <w:t>]</w:t>
      </w:r>
      <w:r w:rsidRPr="004F6E0B">
        <w:rPr>
          <w:rFonts w:ascii="Calibri" w:hAnsi="Calibri" w:cs="Times New Roman"/>
          <w:sz w:val="22"/>
          <w:szCs w:val="22"/>
        </w:rPr>
        <w:t xml:space="preserve">. </w:t>
      </w:r>
      <w:r>
        <w:rPr>
          <w:rFonts w:ascii="Calibri" w:hAnsi="Calibri" w:cs="Times New Roman"/>
          <w:sz w:val="22"/>
          <w:szCs w:val="22"/>
        </w:rPr>
        <w:t>Across the 6 practices taking part in the study a total of n</w:t>
      </w:r>
      <w:r w:rsidRPr="004F6E0B">
        <w:rPr>
          <w:rFonts w:ascii="Calibri" w:hAnsi="Calibri" w:cs="Times New Roman"/>
          <w:sz w:val="22"/>
          <w:szCs w:val="22"/>
        </w:rPr>
        <w:t>ine hundred and fifty patients with COPD were identified</w:t>
      </w:r>
      <w:r>
        <w:rPr>
          <w:rFonts w:ascii="Calibri" w:hAnsi="Calibri" w:cs="Times New Roman"/>
          <w:sz w:val="22"/>
          <w:szCs w:val="22"/>
        </w:rPr>
        <w:t xml:space="preserve"> as having a</w:t>
      </w:r>
      <w:r w:rsidR="008D327C">
        <w:rPr>
          <w:rFonts w:ascii="Calibri" w:hAnsi="Calibri" w:cs="Times New Roman"/>
          <w:sz w:val="22"/>
          <w:szCs w:val="22"/>
        </w:rPr>
        <w:t xml:space="preserve"> QOF</w:t>
      </w:r>
      <w:r>
        <w:rPr>
          <w:rFonts w:ascii="Calibri" w:hAnsi="Calibri" w:cs="Times New Roman"/>
          <w:sz w:val="22"/>
          <w:szCs w:val="22"/>
        </w:rPr>
        <w:t xml:space="preserve"> diagnosis of COPD on 1</w:t>
      </w:r>
      <w:r w:rsidRPr="00A60193">
        <w:rPr>
          <w:rFonts w:ascii="Calibri" w:hAnsi="Calibri" w:cs="Times New Roman"/>
          <w:sz w:val="22"/>
          <w:szCs w:val="22"/>
          <w:vertAlign w:val="superscript"/>
        </w:rPr>
        <w:t>st</w:t>
      </w:r>
      <w:r>
        <w:rPr>
          <w:rFonts w:ascii="Calibri" w:hAnsi="Calibri" w:cs="Times New Roman"/>
          <w:sz w:val="22"/>
          <w:szCs w:val="22"/>
        </w:rPr>
        <w:t xml:space="preserve"> February 2012.</w:t>
      </w:r>
      <w:r w:rsidRPr="004F6E0B">
        <w:rPr>
          <w:rFonts w:ascii="Calibri" w:hAnsi="Calibri" w:cs="Times New Roman"/>
          <w:sz w:val="22"/>
          <w:szCs w:val="22"/>
        </w:rPr>
        <w:t xml:space="preserve"> General practitioners in each of the practices checked the registers and excluded any patients who </w:t>
      </w:r>
      <w:r>
        <w:rPr>
          <w:rFonts w:ascii="Calibri" w:hAnsi="Calibri" w:cs="Times New Roman"/>
          <w:sz w:val="22"/>
          <w:szCs w:val="22"/>
        </w:rPr>
        <w:t>the</w:t>
      </w:r>
      <w:r w:rsidR="00E05421">
        <w:rPr>
          <w:rFonts w:ascii="Calibri" w:hAnsi="Calibri" w:cs="Times New Roman"/>
          <w:sz w:val="22"/>
          <w:szCs w:val="22"/>
        </w:rPr>
        <w:t>y</w:t>
      </w:r>
      <w:r>
        <w:rPr>
          <w:rFonts w:ascii="Calibri" w:hAnsi="Calibri" w:cs="Times New Roman"/>
          <w:sz w:val="22"/>
          <w:szCs w:val="22"/>
        </w:rPr>
        <w:t xml:space="preserve"> deemed </w:t>
      </w:r>
      <w:r w:rsidRPr="004F6E0B">
        <w:rPr>
          <w:rFonts w:ascii="Calibri" w:hAnsi="Calibri" w:cs="Times New Roman"/>
          <w:sz w:val="22"/>
          <w:szCs w:val="22"/>
        </w:rPr>
        <w:t>would be unable to complete a study questionnaire</w:t>
      </w:r>
      <w:r>
        <w:rPr>
          <w:rFonts w:ascii="Calibri" w:hAnsi="Calibri" w:cs="Times New Roman"/>
          <w:sz w:val="22"/>
          <w:szCs w:val="22"/>
        </w:rPr>
        <w:t>. This included</w:t>
      </w:r>
      <w:r w:rsidRPr="004F6E0B">
        <w:rPr>
          <w:rFonts w:ascii="Calibri" w:hAnsi="Calibri" w:cs="Times New Roman"/>
          <w:sz w:val="22"/>
          <w:szCs w:val="22"/>
        </w:rPr>
        <w:t xml:space="preserve"> those </w:t>
      </w:r>
      <w:r>
        <w:rPr>
          <w:rFonts w:ascii="Calibri" w:hAnsi="Calibri" w:cs="Times New Roman"/>
          <w:sz w:val="22"/>
          <w:szCs w:val="22"/>
        </w:rPr>
        <w:t xml:space="preserve">who were </w:t>
      </w:r>
      <w:r w:rsidRPr="004F6E0B">
        <w:rPr>
          <w:rFonts w:ascii="Calibri" w:hAnsi="Calibri" w:cs="Times New Roman"/>
          <w:sz w:val="22"/>
          <w:szCs w:val="22"/>
        </w:rPr>
        <w:t>receiving palliative care and those who lacked capa</w:t>
      </w:r>
      <w:r>
        <w:rPr>
          <w:rFonts w:ascii="Calibri" w:hAnsi="Calibri" w:cs="Times New Roman"/>
          <w:sz w:val="22"/>
          <w:szCs w:val="22"/>
        </w:rPr>
        <w:t>city to complete questionnaires</w:t>
      </w:r>
      <w:r w:rsidRPr="004F6E0B">
        <w:rPr>
          <w:rFonts w:ascii="Calibri" w:hAnsi="Calibri" w:cs="Times New Roman"/>
          <w:sz w:val="22"/>
          <w:szCs w:val="22"/>
        </w:rPr>
        <w:t>.</w:t>
      </w:r>
      <w:r>
        <w:rPr>
          <w:rFonts w:ascii="Calibri" w:hAnsi="Calibri" w:cs="Times New Roman"/>
          <w:sz w:val="22"/>
          <w:szCs w:val="22"/>
        </w:rPr>
        <w:t xml:space="preserve"> All remaining</w:t>
      </w:r>
      <w:r w:rsidRPr="004F6E0B">
        <w:rPr>
          <w:rFonts w:ascii="Calibri" w:hAnsi="Calibri" w:cs="Times New Roman"/>
          <w:sz w:val="22"/>
          <w:szCs w:val="22"/>
        </w:rPr>
        <w:t xml:space="preserve"> patients were sent a postal questionnaire in February 2013, and asked to complete it and return in a stamped addressed envelope. </w:t>
      </w:r>
    </w:p>
    <w:p w14:paraId="0479CFF4" w14:textId="77777777" w:rsidR="009577BF" w:rsidRPr="0052032B" w:rsidRDefault="009577BF" w:rsidP="00E03168">
      <w:pPr>
        <w:pStyle w:val="NormalWeb"/>
        <w:spacing w:before="0" w:after="0" w:line="360" w:lineRule="auto"/>
        <w:rPr>
          <w:rFonts w:ascii="Calibri" w:hAnsi="Calibri" w:cs="Times New Roman"/>
        </w:rPr>
      </w:pPr>
    </w:p>
    <w:p w14:paraId="705E3DAB" w14:textId="32DA555B" w:rsidR="00D3707F" w:rsidRDefault="009577BF" w:rsidP="00E03168">
      <w:pPr>
        <w:pStyle w:val="Body"/>
        <w:spacing w:after="0" w:line="360" w:lineRule="auto"/>
        <w:rPr>
          <w:rFonts w:cs="Times New Roman"/>
          <w:lang w:val="en-US"/>
        </w:rPr>
      </w:pPr>
      <w:r w:rsidRPr="004F6E0B">
        <w:rPr>
          <w:rFonts w:cs="Times New Roman"/>
          <w:lang w:val="en-US"/>
        </w:rPr>
        <w:t xml:space="preserve">The six general practices provided age and gender information for every patient </w:t>
      </w:r>
      <w:r w:rsidR="009C7FB2">
        <w:rPr>
          <w:rFonts w:cs="Times New Roman"/>
          <w:lang w:val="en-US"/>
        </w:rPr>
        <w:t>who completed a questionnaire</w:t>
      </w:r>
      <w:r w:rsidR="00D3707F">
        <w:rPr>
          <w:rFonts w:cs="Times New Roman"/>
          <w:lang w:val="en-US"/>
        </w:rPr>
        <w:t xml:space="preserve">, and </w:t>
      </w:r>
      <w:r w:rsidR="009C7FB2">
        <w:rPr>
          <w:rFonts w:cs="Times New Roman"/>
          <w:lang w:val="en-US"/>
        </w:rPr>
        <w:t xml:space="preserve">details of any of </w:t>
      </w:r>
      <w:r w:rsidR="00D87732">
        <w:rPr>
          <w:rFonts w:cs="Times New Roman"/>
          <w:lang w:val="en-US"/>
        </w:rPr>
        <w:t xml:space="preserve">the </w:t>
      </w:r>
      <w:r w:rsidR="009C7FB2">
        <w:rPr>
          <w:rFonts w:cs="Times New Roman"/>
          <w:lang w:val="en-US"/>
        </w:rPr>
        <w:t xml:space="preserve">following </w:t>
      </w:r>
      <w:r w:rsidRPr="004F6E0B">
        <w:rPr>
          <w:rFonts w:cs="Times New Roman"/>
          <w:lang w:val="en-US"/>
        </w:rPr>
        <w:t>conditions</w:t>
      </w:r>
      <w:r w:rsidR="003C0405">
        <w:rPr>
          <w:rFonts w:cs="Times New Roman"/>
          <w:lang w:val="en-US"/>
        </w:rPr>
        <w:t xml:space="preserve"> </w:t>
      </w:r>
      <w:r w:rsidRPr="004F6E0B">
        <w:rPr>
          <w:rFonts w:cs="Times New Roman"/>
          <w:lang w:val="en-US"/>
        </w:rPr>
        <w:t xml:space="preserve">that are routinely recorded as part of </w:t>
      </w:r>
      <w:r w:rsidR="005154A8">
        <w:rPr>
          <w:rFonts w:cs="Times New Roman"/>
          <w:lang w:val="en-US"/>
        </w:rPr>
        <w:t xml:space="preserve">Quality and Outcomes Framework </w:t>
      </w:r>
      <w:r w:rsidRPr="004F6E0B">
        <w:rPr>
          <w:rFonts w:cs="Times New Roman"/>
          <w:lang w:val="en-US"/>
        </w:rPr>
        <w:t>QOF</w:t>
      </w:r>
      <w:r w:rsidR="009E35E3">
        <w:rPr>
          <w:rFonts w:cs="Times New Roman"/>
          <w:lang w:val="en-US"/>
        </w:rPr>
        <w:t>[</w:t>
      </w:r>
      <w:r w:rsidR="00040148">
        <w:rPr>
          <w:rFonts w:cs="Times New Roman"/>
          <w:lang w:val="en-US"/>
        </w:rPr>
        <w:t>18</w:t>
      </w:r>
      <w:r w:rsidR="009E35E3">
        <w:rPr>
          <w:rFonts w:cs="Times New Roman"/>
          <w:lang w:val="en-US"/>
        </w:rPr>
        <w:t>]</w:t>
      </w:r>
      <w:r w:rsidRPr="004F6E0B">
        <w:rPr>
          <w:rFonts w:cs="Times New Roman"/>
          <w:lang w:val="en-US"/>
        </w:rPr>
        <w:t xml:space="preserve">: Coronary heart disease, heart failure, stroke and TIA, hypertension, diabetes mellitus, epilepsy, hypothyroidism, cancer, mental health, asthma, dementia, depression, kidney disease, atrial fibrillation, obesity and learning difficulties.  Depression and mental health problems are </w:t>
      </w:r>
      <w:r w:rsidR="009C7FB2">
        <w:rPr>
          <w:rFonts w:cs="Times New Roman"/>
          <w:lang w:val="en-US"/>
        </w:rPr>
        <w:t xml:space="preserve">recorded as </w:t>
      </w:r>
      <w:r w:rsidR="00F37F3B">
        <w:rPr>
          <w:rFonts w:cs="Times New Roman"/>
          <w:lang w:val="en-US"/>
        </w:rPr>
        <w:t xml:space="preserve">part of QOF, </w:t>
      </w:r>
      <w:r w:rsidRPr="004F6E0B">
        <w:rPr>
          <w:rFonts w:cs="Times New Roman"/>
          <w:lang w:val="en-US"/>
        </w:rPr>
        <w:t xml:space="preserve">although it is recognized that there is no standardization or agreed guidelines as to how these two QOF conditions are diagnosed. </w:t>
      </w:r>
    </w:p>
    <w:p w14:paraId="35A2DDAD" w14:textId="77777777" w:rsidR="00D3707F" w:rsidRDefault="00D3707F" w:rsidP="00E03168">
      <w:pPr>
        <w:pStyle w:val="Body"/>
        <w:spacing w:after="0" w:line="360" w:lineRule="auto"/>
        <w:rPr>
          <w:rFonts w:cs="Times New Roman"/>
          <w:color w:val="222222"/>
          <w:shd w:val="clear" w:color="auto" w:fill="FFFFFF"/>
        </w:rPr>
      </w:pPr>
    </w:p>
    <w:p w14:paraId="49A930DA" w14:textId="1A9A02AD" w:rsidR="00F37F3B" w:rsidRPr="002F003B" w:rsidRDefault="009577BF" w:rsidP="00E03168">
      <w:pPr>
        <w:pStyle w:val="Body"/>
        <w:spacing w:after="0" w:line="360" w:lineRule="auto"/>
        <w:rPr>
          <w:rFonts w:ascii="Times New Roman" w:hAnsi="Times New Roman"/>
          <w:lang w:val="en-US"/>
        </w:rPr>
      </w:pPr>
      <w:r w:rsidRPr="004F6E0B">
        <w:rPr>
          <w:rFonts w:cs="Times New Roman"/>
          <w:lang w:val="en-US"/>
        </w:rPr>
        <w:t xml:space="preserve">As a measure of </w:t>
      </w:r>
      <w:r w:rsidR="009C7FB2">
        <w:rPr>
          <w:rFonts w:cs="Times New Roman"/>
          <w:lang w:val="en-US"/>
        </w:rPr>
        <w:t xml:space="preserve">physical </w:t>
      </w:r>
      <w:r w:rsidRPr="004F6E0B">
        <w:rPr>
          <w:rFonts w:cs="Times New Roman"/>
          <w:lang w:val="en-US"/>
        </w:rPr>
        <w:t>multimorbidity, we calculated the number of</w:t>
      </w:r>
      <w:r w:rsidRPr="004F6E0B">
        <w:rPr>
          <w:rFonts w:cs="Times New Roman"/>
          <w:sz w:val="24"/>
          <w:szCs w:val="24"/>
          <w:lang w:val="en-US"/>
        </w:rPr>
        <w:t xml:space="preserve"> </w:t>
      </w:r>
      <w:r w:rsidRPr="004F6E0B">
        <w:rPr>
          <w:rFonts w:cs="Times New Roman"/>
          <w:lang w:val="en-US"/>
        </w:rPr>
        <w:t>physical conditions recorded on QOF out of a total of 12</w:t>
      </w:r>
      <w:r w:rsidR="008D327C">
        <w:rPr>
          <w:rFonts w:cs="Times New Roman"/>
          <w:lang w:val="en-US"/>
        </w:rPr>
        <w:t xml:space="preserve"> for every patient; </w:t>
      </w:r>
      <w:r w:rsidRPr="004F6E0B">
        <w:rPr>
          <w:rFonts w:cs="Times New Roman"/>
          <w:lang w:val="en-US"/>
        </w:rPr>
        <w:t>we excluded mental health, depression, dementia, and learning difficulties</w:t>
      </w:r>
      <w:r w:rsidRPr="004F6E0B">
        <w:rPr>
          <w:rFonts w:ascii="Times New Roman" w:hAnsi="Times New Roman" w:cs="Times New Roman"/>
          <w:lang w:val="en-US"/>
        </w:rPr>
        <w:t>.</w:t>
      </w:r>
    </w:p>
    <w:p w14:paraId="7E600C5D" w14:textId="77777777" w:rsidR="00734D6F" w:rsidRDefault="00734D6F" w:rsidP="00E03168">
      <w:pPr>
        <w:pStyle w:val="Body"/>
        <w:spacing w:after="0" w:line="360" w:lineRule="auto"/>
        <w:rPr>
          <w:rFonts w:cs="Times New Roman"/>
          <w:color w:val="222222"/>
          <w:shd w:val="clear" w:color="auto" w:fill="FFFFFF"/>
        </w:rPr>
      </w:pPr>
    </w:p>
    <w:p w14:paraId="44E40C2A" w14:textId="7D095E58" w:rsidR="009577BF" w:rsidRDefault="009577BF" w:rsidP="00E03168">
      <w:pPr>
        <w:pStyle w:val="Body"/>
        <w:spacing w:after="0" w:line="360" w:lineRule="auto"/>
        <w:rPr>
          <w:rFonts w:cs="Times New Roman"/>
          <w:color w:val="222222"/>
          <w:shd w:val="clear" w:color="auto" w:fill="FFFFFF"/>
        </w:rPr>
      </w:pPr>
      <w:r w:rsidRPr="004F6E0B">
        <w:rPr>
          <w:rFonts w:cs="Times New Roman"/>
          <w:lang w:val="en-US"/>
        </w:rPr>
        <w:t>COPD Severity was classified using the FEV</w:t>
      </w:r>
      <w:r w:rsidRPr="004F6E0B">
        <w:rPr>
          <w:rFonts w:cs="Times New Roman"/>
          <w:vertAlign w:val="subscript"/>
        </w:rPr>
        <w:t>1</w:t>
      </w:r>
      <w:r w:rsidRPr="004F6E0B">
        <w:rPr>
          <w:rFonts w:cs="Times New Roman"/>
          <w:lang w:val="en-US"/>
        </w:rPr>
        <w:t xml:space="preserve"> (Forced expiratory volume in 1 second) percent predicted values for the patients</w:t>
      </w:r>
      <w:r w:rsidR="009C7FB2">
        <w:rPr>
          <w:rFonts w:cs="Times New Roman"/>
          <w:lang w:val="en-US"/>
        </w:rPr>
        <w:t>’</w:t>
      </w:r>
      <w:r w:rsidRPr="004F6E0B">
        <w:rPr>
          <w:rFonts w:cs="Times New Roman"/>
          <w:lang w:val="en-US"/>
        </w:rPr>
        <w:t xml:space="preserve"> age, height and sex as recommended by </w:t>
      </w:r>
      <w:r>
        <w:rPr>
          <w:rFonts w:cs="Times New Roman"/>
          <w:lang w:val="en-US"/>
        </w:rPr>
        <w:t xml:space="preserve">the </w:t>
      </w:r>
      <w:r w:rsidRPr="004F6E0B">
        <w:rPr>
          <w:rFonts w:cs="Times New Roman"/>
          <w:lang w:val="en-US"/>
        </w:rPr>
        <w:t xml:space="preserve">GOLD </w:t>
      </w:r>
      <w:r>
        <w:rPr>
          <w:rFonts w:cs="Times New Roman"/>
          <w:lang w:val="en-US"/>
        </w:rPr>
        <w:t xml:space="preserve">guidelines at the time </w:t>
      </w:r>
      <w:r w:rsidRPr="004F6E0B">
        <w:rPr>
          <w:rFonts w:cs="Times New Roman"/>
          <w:lang w:val="en-US"/>
        </w:rPr>
        <w:t>(Global Initiati</w:t>
      </w:r>
      <w:r>
        <w:rPr>
          <w:rFonts w:cs="Times New Roman"/>
          <w:lang w:val="en-US"/>
        </w:rPr>
        <w:t xml:space="preserve">ve for Lung Disease) </w:t>
      </w:r>
      <w:r w:rsidR="00040148">
        <w:rPr>
          <w:rFonts w:cs="Times New Roman"/>
          <w:noProof/>
          <w:lang w:val="en-US"/>
        </w:rPr>
        <w:t>[19</w:t>
      </w:r>
      <w:r>
        <w:rPr>
          <w:rFonts w:cs="Times New Roman"/>
          <w:noProof/>
          <w:lang w:val="en-US"/>
        </w:rPr>
        <w:t>]</w:t>
      </w:r>
      <w:r w:rsidRPr="004F6E0B">
        <w:rPr>
          <w:rFonts w:cs="Times New Roman"/>
          <w:lang w:val="en-US"/>
        </w:rPr>
        <w:t xml:space="preserve">. </w:t>
      </w:r>
      <w:r>
        <w:rPr>
          <w:rFonts w:cs="Times New Roman"/>
          <w:lang w:val="en-US"/>
        </w:rPr>
        <w:t>Th</w:t>
      </w:r>
      <w:r w:rsidR="00D175F2">
        <w:rPr>
          <w:rFonts w:cs="Times New Roman"/>
          <w:lang w:val="en-US"/>
        </w:rPr>
        <w:t>ese</w:t>
      </w:r>
      <w:r>
        <w:rPr>
          <w:rFonts w:cs="Times New Roman"/>
          <w:lang w:val="en-US"/>
        </w:rPr>
        <w:t xml:space="preserve"> d</w:t>
      </w:r>
      <w:r w:rsidRPr="004F6E0B">
        <w:rPr>
          <w:rFonts w:cs="Times New Roman"/>
          <w:lang w:val="en-US"/>
        </w:rPr>
        <w:t>ata w</w:t>
      </w:r>
      <w:r w:rsidR="00D175F2">
        <w:rPr>
          <w:rFonts w:cs="Times New Roman"/>
          <w:lang w:val="en-US"/>
        </w:rPr>
        <w:t>ere</w:t>
      </w:r>
      <w:r w:rsidRPr="004F6E0B">
        <w:rPr>
          <w:rFonts w:cs="Times New Roman"/>
          <w:lang w:val="en-US"/>
        </w:rPr>
        <w:t xml:space="preserve"> obtained from the electronic </w:t>
      </w:r>
      <w:r>
        <w:rPr>
          <w:rFonts w:cs="Times New Roman"/>
          <w:lang w:val="en-US"/>
        </w:rPr>
        <w:t xml:space="preserve">practice databases and then </w:t>
      </w:r>
      <w:r w:rsidRPr="004F6E0B">
        <w:rPr>
          <w:rFonts w:cs="Times New Roman"/>
          <w:lang w:val="en-US"/>
        </w:rPr>
        <w:t xml:space="preserve">grouped into mild, moderate, severe and very severe (mild = </w:t>
      </w:r>
      <w:r w:rsidRPr="004F6E0B">
        <w:rPr>
          <w:rFonts w:cs="Times New Roman"/>
          <w:color w:val="222222"/>
          <w:shd w:val="clear" w:color="auto" w:fill="FFFFFF"/>
        </w:rPr>
        <w:t>FEV</w:t>
      </w:r>
      <w:r w:rsidRPr="004F6E0B">
        <w:rPr>
          <w:rFonts w:cs="Times New Roman"/>
          <w:color w:val="222222"/>
          <w:shd w:val="clear" w:color="auto" w:fill="FFFFFF"/>
          <w:vertAlign w:val="subscript"/>
        </w:rPr>
        <w:t>1</w:t>
      </w:r>
      <w:r w:rsidRPr="004F6E0B">
        <w:rPr>
          <w:rFonts w:cs="Times New Roman"/>
          <w:color w:val="222222"/>
          <w:shd w:val="clear" w:color="auto" w:fill="FFFFFF"/>
        </w:rPr>
        <w:t>≥ 80% normal; moderate = FEV</w:t>
      </w:r>
      <w:r w:rsidRPr="004F6E0B">
        <w:rPr>
          <w:rFonts w:cs="Times New Roman"/>
          <w:color w:val="222222"/>
          <w:shd w:val="clear" w:color="auto" w:fill="FFFFFF"/>
          <w:vertAlign w:val="subscript"/>
        </w:rPr>
        <w:t>1</w:t>
      </w:r>
      <w:r w:rsidRPr="004F6E0B">
        <w:rPr>
          <w:rStyle w:val="apple-converted-space"/>
          <w:rFonts w:cs="Times New Roman"/>
          <w:color w:val="222222"/>
          <w:shd w:val="clear" w:color="auto" w:fill="FFFFFF"/>
        </w:rPr>
        <w:t> </w:t>
      </w:r>
      <w:r w:rsidRPr="004F6E0B">
        <w:rPr>
          <w:rFonts w:cs="Times New Roman"/>
          <w:color w:val="222222"/>
          <w:shd w:val="clear" w:color="auto" w:fill="FFFFFF"/>
        </w:rPr>
        <w:t>50-79% normal, severe= FEV</w:t>
      </w:r>
      <w:r w:rsidRPr="004F6E0B">
        <w:rPr>
          <w:rFonts w:cs="Times New Roman"/>
          <w:color w:val="222222"/>
          <w:shd w:val="clear" w:color="auto" w:fill="FFFFFF"/>
          <w:vertAlign w:val="subscript"/>
        </w:rPr>
        <w:t>1</w:t>
      </w:r>
      <w:r w:rsidRPr="004F6E0B">
        <w:rPr>
          <w:rStyle w:val="apple-converted-space"/>
          <w:rFonts w:cs="Times New Roman"/>
          <w:color w:val="222222"/>
          <w:shd w:val="clear" w:color="auto" w:fill="FFFFFF"/>
        </w:rPr>
        <w:t> </w:t>
      </w:r>
      <w:r>
        <w:rPr>
          <w:rFonts w:cs="Times New Roman"/>
          <w:color w:val="222222"/>
          <w:shd w:val="clear" w:color="auto" w:fill="FFFFFF"/>
        </w:rPr>
        <w:t>30-49%</w:t>
      </w:r>
      <w:r w:rsidRPr="004F6E0B">
        <w:rPr>
          <w:rFonts w:cs="Times New Roman"/>
          <w:color w:val="222222"/>
          <w:shd w:val="clear" w:color="auto" w:fill="FFFFFF"/>
        </w:rPr>
        <w:t>; very severe = FEV</w:t>
      </w:r>
      <w:r w:rsidRPr="004F6E0B">
        <w:rPr>
          <w:rFonts w:cs="Times New Roman"/>
          <w:color w:val="222222"/>
          <w:shd w:val="clear" w:color="auto" w:fill="FFFFFF"/>
          <w:vertAlign w:val="subscript"/>
        </w:rPr>
        <w:t>1</w:t>
      </w:r>
      <w:r w:rsidRPr="004F6E0B">
        <w:rPr>
          <w:rStyle w:val="apple-converted-space"/>
          <w:rFonts w:cs="Times New Roman"/>
          <w:color w:val="222222"/>
          <w:shd w:val="clear" w:color="auto" w:fill="FFFFFF"/>
        </w:rPr>
        <w:t> </w:t>
      </w:r>
      <w:r w:rsidRPr="004F6E0B">
        <w:rPr>
          <w:rFonts w:cs="Times New Roman"/>
          <w:color w:val="222222"/>
          <w:shd w:val="clear" w:color="auto" w:fill="FFFFFF"/>
        </w:rPr>
        <w:t>&lt;30% normal, or &lt;50% normal with chronic respiratory failure present).</w:t>
      </w:r>
    </w:p>
    <w:p w14:paraId="76982DA8" w14:textId="77777777" w:rsidR="00D3707F" w:rsidRDefault="00D3707F" w:rsidP="00E03168">
      <w:pPr>
        <w:pStyle w:val="Body"/>
        <w:spacing w:after="0" w:line="360" w:lineRule="auto"/>
        <w:rPr>
          <w:rFonts w:cs="Times New Roman"/>
          <w:color w:val="222222"/>
          <w:shd w:val="clear" w:color="auto" w:fill="FFFFFF"/>
        </w:rPr>
      </w:pPr>
    </w:p>
    <w:p w14:paraId="2F07FDCB" w14:textId="77777777" w:rsidR="009577BF" w:rsidRPr="00A60193" w:rsidRDefault="009577BF" w:rsidP="009C7FB2">
      <w:pPr>
        <w:pStyle w:val="NormalWeb"/>
        <w:spacing w:before="0" w:after="0" w:line="360" w:lineRule="auto"/>
        <w:outlineLvl w:val="0"/>
        <w:rPr>
          <w:rFonts w:ascii="Calibri" w:eastAsia="Times New Roman" w:hAnsi="Calibri" w:cs="Times New Roman"/>
          <w:i/>
          <w:sz w:val="22"/>
          <w:szCs w:val="22"/>
        </w:rPr>
      </w:pPr>
      <w:r w:rsidRPr="00A60193">
        <w:rPr>
          <w:rFonts w:ascii="Calibri" w:hAnsi="Calibri" w:cs="Times New Roman"/>
          <w:i/>
          <w:sz w:val="22"/>
          <w:szCs w:val="22"/>
        </w:rPr>
        <w:t>Questionnaire Data</w:t>
      </w:r>
    </w:p>
    <w:p w14:paraId="60A01435" w14:textId="58D225DA" w:rsidR="009577BF" w:rsidRPr="004F6E0B" w:rsidRDefault="009577BF" w:rsidP="00E03168">
      <w:pPr>
        <w:pStyle w:val="NormalWeb"/>
        <w:spacing w:before="0" w:after="0" w:line="360" w:lineRule="auto"/>
        <w:rPr>
          <w:rFonts w:ascii="Calibri" w:eastAsia="Times New Roman" w:hAnsi="Calibri" w:cs="Times New Roman"/>
          <w:sz w:val="22"/>
          <w:szCs w:val="22"/>
        </w:rPr>
      </w:pPr>
      <w:r w:rsidRPr="004F6E0B">
        <w:rPr>
          <w:rFonts w:ascii="Calibri" w:hAnsi="Calibri" w:cs="Times New Roman"/>
          <w:sz w:val="22"/>
          <w:szCs w:val="22"/>
        </w:rPr>
        <w:t>The questionnaire included questions about: ethnic group, marital status, living situation, education level, employment status, psychotropic medication use (including antidepressants or sleeping tablets), and whether the respondent was seeing a counsellor or psychologist, attending mental health service, or any other service for emotional problems.</w:t>
      </w:r>
    </w:p>
    <w:p w14:paraId="05164523" w14:textId="744EE4D5" w:rsidR="009577BF" w:rsidRPr="004F6E0B" w:rsidRDefault="009577BF" w:rsidP="00E03168">
      <w:pPr>
        <w:pStyle w:val="NormalWeb"/>
        <w:spacing w:before="0" w:after="0" w:line="360" w:lineRule="auto"/>
        <w:rPr>
          <w:rFonts w:ascii="Times New Roman" w:eastAsia="Times New Roman" w:hAnsi="Times New Roman" w:cs="Times New Roman"/>
          <w:sz w:val="22"/>
          <w:szCs w:val="22"/>
        </w:rPr>
      </w:pPr>
      <w:r>
        <w:rPr>
          <w:rFonts w:ascii="Calibri" w:hAnsi="Calibri" w:cs="Times New Roman"/>
          <w:sz w:val="22"/>
          <w:szCs w:val="22"/>
        </w:rPr>
        <w:lastRenderedPageBreak/>
        <w:t xml:space="preserve">We measured depression using the </w:t>
      </w:r>
      <w:r w:rsidRPr="004F6E0B">
        <w:rPr>
          <w:rFonts w:ascii="Calibri" w:hAnsi="Calibri" w:cs="Times New Roman"/>
          <w:sz w:val="22"/>
          <w:szCs w:val="22"/>
        </w:rPr>
        <w:t>Hospital Anxi</w:t>
      </w:r>
      <w:r w:rsidR="003A0E96">
        <w:rPr>
          <w:rFonts w:ascii="Calibri" w:hAnsi="Calibri" w:cs="Times New Roman"/>
          <w:sz w:val="22"/>
          <w:szCs w:val="22"/>
        </w:rPr>
        <w:t>ety and Depression Scale (HADS)</w:t>
      </w:r>
      <w:r>
        <w:rPr>
          <w:rFonts w:ascii="Calibri" w:hAnsi="Calibri" w:cs="Times New Roman"/>
          <w:noProof/>
          <w:sz w:val="22"/>
          <w:szCs w:val="22"/>
        </w:rPr>
        <w:t>[2</w:t>
      </w:r>
      <w:r w:rsidR="00040148">
        <w:rPr>
          <w:rFonts w:ascii="Calibri" w:hAnsi="Calibri" w:cs="Times New Roman"/>
          <w:noProof/>
          <w:sz w:val="22"/>
          <w:szCs w:val="22"/>
        </w:rPr>
        <w:t>0</w:t>
      </w:r>
      <w:r>
        <w:rPr>
          <w:rFonts w:ascii="Calibri" w:hAnsi="Calibri" w:cs="Times New Roman"/>
          <w:noProof/>
          <w:sz w:val="22"/>
          <w:szCs w:val="22"/>
        </w:rPr>
        <w:t>]</w:t>
      </w:r>
      <w:r w:rsidRPr="00814F0A">
        <w:rPr>
          <w:rFonts w:ascii="Calibri" w:hAnsi="Calibri" w:cs="Times New Roman"/>
          <w:sz w:val="22"/>
          <w:szCs w:val="22"/>
        </w:rPr>
        <w:t>.</w:t>
      </w:r>
      <w:r w:rsidRPr="004F6E0B">
        <w:rPr>
          <w:rFonts w:ascii="Calibri" w:hAnsi="Calibri" w:cs="Times New Roman"/>
          <w:sz w:val="22"/>
          <w:szCs w:val="22"/>
        </w:rPr>
        <w:t xml:space="preserve"> The HADS is a 14 item self-report questionnaire comprising two subscales, scored 0-21 to detect the presence of symptoms of anxiety and depression. The scale was designed for use in populations with physical illness and therefore none of the items include somatic symptoms of depression or anxiety. </w:t>
      </w:r>
      <w:r>
        <w:rPr>
          <w:rFonts w:ascii="Calibri" w:hAnsi="Calibri" w:cs="Times New Roman"/>
          <w:sz w:val="22"/>
          <w:szCs w:val="22"/>
        </w:rPr>
        <w:t xml:space="preserve">It has been validated as a tool for identifying ‘caseness’ of probable depression and anxiety disorders </w:t>
      </w:r>
      <w:r>
        <w:rPr>
          <w:rFonts w:ascii="Calibri" w:hAnsi="Calibri" w:cs="Times New Roman"/>
          <w:noProof/>
          <w:sz w:val="22"/>
          <w:szCs w:val="22"/>
        </w:rPr>
        <w:t>[2</w:t>
      </w:r>
      <w:r w:rsidR="00040148">
        <w:rPr>
          <w:rFonts w:ascii="Calibri" w:hAnsi="Calibri" w:cs="Times New Roman"/>
          <w:noProof/>
          <w:sz w:val="22"/>
          <w:szCs w:val="22"/>
        </w:rPr>
        <w:t>1</w:t>
      </w:r>
      <w:r>
        <w:rPr>
          <w:rFonts w:ascii="Calibri" w:hAnsi="Calibri" w:cs="Times New Roman"/>
          <w:noProof/>
          <w:sz w:val="22"/>
          <w:szCs w:val="22"/>
        </w:rPr>
        <w:t>]</w:t>
      </w:r>
      <w:r>
        <w:rPr>
          <w:rFonts w:ascii="Calibri" w:hAnsi="Calibri" w:cs="Times New Roman"/>
          <w:sz w:val="22"/>
          <w:szCs w:val="22"/>
        </w:rPr>
        <w:t xml:space="preserve">. </w:t>
      </w:r>
      <w:r w:rsidRPr="004F6E0B">
        <w:rPr>
          <w:rFonts w:ascii="Calibri" w:hAnsi="Calibri" w:cs="Times New Roman"/>
          <w:sz w:val="22"/>
          <w:szCs w:val="22"/>
        </w:rPr>
        <w:t xml:space="preserve">A meta-analysis of case finding ability reported that a cut off of 8 or more on the HADS depression subscale produced a sensitivity of 0.82 (95% CI  0.73 to 80) and a specificity of 0.74 (95%CI (0.60 to </w:t>
      </w:r>
      <w:r>
        <w:rPr>
          <w:rFonts w:ascii="Calibri" w:hAnsi="Calibri" w:cs="Times New Roman"/>
          <w:sz w:val="22"/>
          <w:szCs w:val="22"/>
        </w:rPr>
        <w:t xml:space="preserve">0.84) for depressive disorders </w:t>
      </w:r>
      <w:r>
        <w:rPr>
          <w:rFonts w:ascii="Calibri" w:hAnsi="Calibri" w:cs="Times New Roman"/>
          <w:noProof/>
          <w:sz w:val="22"/>
          <w:szCs w:val="22"/>
        </w:rPr>
        <w:t>[2</w:t>
      </w:r>
      <w:r w:rsidR="00040148">
        <w:rPr>
          <w:rFonts w:ascii="Calibri" w:hAnsi="Calibri" w:cs="Times New Roman"/>
          <w:noProof/>
          <w:sz w:val="22"/>
          <w:szCs w:val="22"/>
        </w:rPr>
        <w:t>2</w:t>
      </w:r>
      <w:r>
        <w:rPr>
          <w:rFonts w:ascii="Calibri" w:hAnsi="Calibri" w:cs="Times New Roman"/>
          <w:noProof/>
          <w:sz w:val="22"/>
          <w:szCs w:val="22"/>
        </w:rPr>
        <w:t>]</w:t>
      </w:r>
      <w:r w:rsidRPr="004F6E0B">
        <w:rPr>
          <w:rFonts w:ascii="Calibri" w:hAnsi="Calibri" w:cs="Times New Roman"/>
          <w:sz w:val="22"/>
          <w:szCs w:val="22"/>
        </w:rPr>
        <w:t xml:space="preserve">. </w:t>
      </w:r>
      <w:r>
        <w:rPr>
          <w:rFonts w:ascii="Calibri" w:hAnsi="Calibri" w:cs="Times New Roman"/>
          <w:sz w:val="22"/>
          <w:szCs w:val="22"/>
        </w:rPr>
        <w:t xml:space="preserve">Therefore, we </w:t>
      </w:r>
      <w:r w:rsidRPr="00A60193">
        <w:rPr>
          <w:rFonts w:ascii="Calibri" w:hAnsi="Calibri" w:cs="Times New Roman"/>
          <w:sz w:val="22"/>
          <w:szCs w:val="22"/>
        </w:rPr>
        <w:t xml:space="preserve">used a cut off of 8 or more on the HADS anxiety and depressive subscales to dichotomise the HADS scores for the purposes of the regression analyses. </w:t>
      </w:r>
      <w:r w:rsidR="002E1750" w:rsidRPr="002E1750">
        <w:rPr>
          <w:rFonts w:ascii="Calibri" w:hAnsi="Calibri" w:cs="Times New Roman"/>
          <w:sz w:val="22"/>
          <w:szCs w:val="22"/>
        </w:rPr>
        <w:t>In a secondary analysis, we divided the subscales into quartiles to explore the role of different levels of depressive and anxiety symptoms, including subthreshold scores, in relation to urgent healthcare use.  Sub-threshold scores of depression have been associated previously with increased health care costs in gene</w:t>
      </w:r>
      <w:r w:rsidR="002E1750">
        <w:rPr>
          <w:rFonts w:ascii="Calibri" w:hAnsi="Calibri" w:cs="Times New Roman"/>
          <w:sz w:val="22"/>
          <w:szCs w:val="22"/>
        </w:rPr>
        <w:t>ral medical patients [23]</w:t>
      </w:r>
      <w:r w:rsidR="002E1750" w:rsidRPr="002E1750">
        <w:rPr>
          <w:rFonts w:ascii="Calibri" w:hAnsi="Calibri" w:cs="Times New Roman"/>
          <w:sz w:val="22"/>
          <w:szCs w:val="22"/>
        </w:rPr>
        <w:t>.</w:t>
      </w:r>
    </w:p>
    <w:p w14:paraId="42670D3B" w14:textId="77777777" w:rsidR="009577BF" w:rsidRDefault="009577BF" w:rsidP="00E03168">
      <w:pPr>
        <w:pStyle w:val="NormalWeb"/>
        <w:spacing w:before="0" w:after="0" w:line="480" w:lineRule="auto"/>
        <w:rPr>
          <w:rFonts w:ascii="Calibri" w:hAnsi="Calibri" w:cs="Times New Roman"/>
          <w:i/>
          <w:sz w:val="22"/>
          <w:szCs w:val="22"/>
        </w:rPr>
      </w:pPr>
    </w:p>
    <w:p w14:paraId="06736F26" w14:textId="77777777" w:rsidR="009577BF" w:rsidRPr="00A60193" w:rsidRDefault="009577BF" w:rsidP="009C7FB2">
      <w:pPr>
        <w:pStyle w:val="NormalWeb"/>
        <w:spacing w:before="0" w:after="0" w:line="480" w:lineRule="auto"/>
        <w:outlineLvl w:val="0"/>
        <w:rPr>
          <w:rFonts w:ascii="Calibri" w:eastAsia="Times New Roman" w:hAnsi="Calibri" w:cs="Times New Roman"/>
          <w:i/>
          <w:sz w:val="22"/>
          <w:szCs w:val="22"/>
        </w:rPr>
      </w:pPr>
      <w:r w:rsidRPr="00A60193">
        <w:rPr>
          <w:rFonts w:ascii="Calibri" w:hAnsi="Calibri" w:cs="Times New Roman"/>
          <w:i/>
          <w:sz w:val="22"/>
          <w:szCs w:val="22"/>
        </w:rPr>
        <w:t>Outcomes</w:t>
      </w:r>
    </w:p>
    <w:p w14:paraId="0D37D567" w14:textId="51B287D7" w:rsidR="003A0E96" w:rsidRDefault="009577BF" w:rsidP="001B2947">
      <w:pPr>
        <w:pStyle w:val="Body"/>
        <w:spacing w:after="0" w:line="360" w:lineRule="auto"/>
        <w:rPr>
          <w:rFonts w:cs="Times New Roman"/>
        </w:rPr>
      </w:pPr>
      <w:r w:rsidRPr="004F6E0B">
        <w:rPr>
          <w:rFonts w:cs="Times New Roman"/>
          <w:lang w:val="en-US"/>
        </w:rPr>
        <w:t>The two primary outcomes were attendance</w:t>
      </w:r>
      <w:r w:rsidR="00040148">
        <w:rPr>
          <w:rFonts w:cs="Times New Roman"/>
          <w:lang w:val="en-US"/>
        </w:rPr>
        <w:t>s</w:t>
      </w:r>
      <w:r w:rsidRPr="004F6E0B">
        <w:rPr>
          <w:rFonts w:cs="Times New Roman"/>
          <w:lang w:val="en-US"/>
        </w:rPr>
        <w:t xml:space="preserve"> at the ED and emergency hospital admissions during the one year</w:t>
      </w:r>
      <w:r w:rsidR="00093DAF">
        <w:rPr>
          <w:rFonts w:cs="Times New Roman"/>
          <w:lang w:val="en-US"/>
        </w:rPr>
        <w:t xml:space="preserve"> follow-up</w:t>
      </w:r>
      <w:r w:rsidRPr="004F6E0B">
        <w:rPr>
          <w:rFonts w:cs="Times New Roman"/>
          <w:lang w:val="en-US"/>
        </w:rPr>
        <w:t xml:space="preserve"> period</w:t>
      </w:r>
      <w:r w:rsidRPr="004F6E0B">
        <w:rPr>
          <w:rFonts w:cs="Times New Roman"/>
        </w:rPr>
        <w:t xml:space="preserve"> (1</w:t>
      </w:r>
      <w:r w:rsidRPr="004F6E0B">
        <w:rPr>
          <w:rFonts w:cs="Times New Roman"/>
          <w:lang w:val="en-US"/>
        </w:rPr>
        <w:t xml:space="preserve"> Feb 2013 to 31</w:t>
      </w:r>
      <w:r w:rsidRPr="004F6E0B">
        <w:rPr>
          <w:rFonts w:cs="Times New Roman"/>
        </w:rPr>
        <w:t xml:space="preserve"> Jan 2014).  </w:t>
      </w:r>
      <w:r w:rsidR="00093DAF">
        <w:rPr>
          <w:rFonts w:cs="Times New Roman"/>
        </w:rPr>
        <w:t xml:space="preserve">These </w:t>
      </w:r>
      <w:r w:rsidRPr="004F6E0B">
        <w:rPr>
          <w:rFonts w:cs="Times New Roman"/>
        </w:rPr>
        <w:t xml:space="preserve">data were obtained </w:t>
      </w:r>
      <w:r w:rsidR="00EB2911">
        <w:rPr>
          <w:rFonts w:cs="Times New Roman"/>
        </w:rPr>
        <w:t>from</w:t>
      </w:r>
      <w:r w:rsidR="007B2898">
        <w:rPr>
          <w:rFonts w:cs="Times New Roman"/>
        </w:rPr>
        <w:t xml:space="preserve"> </w:t>
      </w:r>
      <w:r w:rsidRPr="004F6E0B">
        <w:rPr>
          <w:rFonts w:cs="Times New Roman"/>
        </w:rPr>
        <w:t>the Health and Social Care Information Centre (HSCIC)</w:t>
      </w:r>
      <w:r w:rsidR="003A0E96">
        <w:rPr>
          <w:rFonts w:cs="Times New Roman"/>
        </w:rPr>
        <w:t>, now known as NHS Digital</w:t>
      </w:r>
      <w:r w:rsidRPr="004F6E0B">
        <w:rPr>
          <w:rFonts w:cs="Times New Roman"/>
        </w:rPr>
        <w:t xml:space="preserve">.  </w:t>
      </w:r>
    </w:p>
    <w:p w14:paraId="26904E19" w14:textId="77777777" w:rsidR="003A0E96" w:rsidRDefault="003A0E96" w:rsidP="00E03168">
      <w:pPr>
        <w:pStyle w:val="Body"/>
        <w:spacing w:after="0" w:line="480" w:lineRule="auto"/>
        <w:rPr>
          <w:rFonts w:cs="Times New Roman"/>
        </w:rPr>
      </w:pPr>
    </w:p>
    <w:p w14:paraId="157BA8B3" w14:textId="5C249289" w:rsidR="009577BF" w:rsidRDefault="009577BF" w:rsidP="001B2947">
      <w:pPr>
        <w:pStyle w:val="Body"/>
        <w:spacing w:after="0" w:line="360" w:lineRule="auto"/>
        <w:rPr>
          <w:rFonts w:cs="Times New Roman"/>
        </w:rPr>
      </w:pPr>
      <w:r w:rsidRPr="004F6E0B">
        <w:rPr>
          <w:rFonts w:cs="Times New Roman"/>
        </w:rPr>
        <w:t xml:space="preserve">Data </w:t>
      </w:r>
      <w:r w:rsidR="00217E39">
        <w:rPr>
          <w:rFonts w:cs="Times New Roman"/>
        </w:rPr>
        <w:t>about</w:t>
      </w:r>
      <w:r w:rsidR="00217E39" w:rsidRPr="004F6E0B">
        <w:rPr>
          <w:rFonts w:cs="Times New Roman"/>
        </w:rPr>
        <w:t xml:space="preserve"> </w:t>
      </w:r>
      <w:r w:rsidRPr="004F6E0B">
        <w:rPr>
          <w:rFonts w:cs="Times New Roman"/>
        </w:rPr>
        <w:t xml:space="preserve">ED attendance and emergency hospital admissions during year </w:t>
      </w:r>
      <w:r w:rsidR="00217E39">
        <w:rPr>
          <w:rFonts w:cs="Times New Roman"/>
        </w:rPr>
        <w:t>before</w:t>
      </w:r>
      <w:r w:rsidRPr="004F6E0B">
        <w:rPr>
          <w:rFonts w:cs="Times New Roman"/>
        </w:rPr>
        <w:t xml:space="preserve"> </w:t>
      </w:r>
      <w:r>
        <w:rPr>
          <w:rFonts w:cs="Times New Roman"/>
        </w:rPr>
        <w:t xml:space="preserve">completion of the questionnaire were obtained </w:t>
      </w:r>
      <w:r w:rsidRPr="004F6E0B">
        <w:rPr>
          <w:rFonts w:cs="Times New Roman"/>
        </w:rPr>
        <w:t>from the Clinical Commissioning Group and the Data Service for Commissioners Regional Office - DSCRO</w:t>
      </w:r>
      <w:r w:rsidRPr="004F6E0B">
        <w:rPr>
          <w:rFonts w:cs="Times New Roman"/>
          <w:b/>
          <w:bCs/>
        </w:rPr>
        <w:t xml:space="preserve"> </w:t>
      </w:r>
      <w:r w:rsidRPr="004F6E0B">
        <w:rPr>
          <w:rFonts w:cs="Times New Roman"/>
        </w:rPr>
        <w:t xml:space="preserve"> CCG/DSCRO for the year  (1</w:t>
      </w:r>
      <w:r w:rsidRPr="004F6E0B">
        <w:rPr>
          <w:rFonts w:cs="Times New Roman"/>
          <w:vertAlign w:val="superscript"/>
        </w:rPr>
        <w:t>st</w:t>
      </w:r>
      <w:r w:rsidRPr="004F6E0B">
        <w:rPr>
          <w:rFonts w:cs="Times New Roman"/>
        </w:rPr>
        <w:t xml:space="preserve"> Feb 2012 to 31</w:t>
      </w:r>
      <w:r w:rsidRPr="004F6E0B">
        <w:rPr>
          <w:rFonts w:cs="Times New Roman"/>
          <w:vertAlign w:val="superscript"/>
        </w:rPr>
        <w:t>st</w:t>
      </w:r>
      <w:r w:rsidRPr="004F6E0B">
        <w:rPr>
          <w:rFonts w:cs="Times New Roman"/>
        </w:rPr>
        <w:t xml:space="preserve"> Jan 2013)</w:t>
      </w:r>
      <w:r w:rsidR="00505669">
        <w:rPr>
          <w:rFonts w:cs="Times New Roman"/>
        </w:rPr>
        <w:t xml:space="preserve"> for those who consented to take part</w:t>
      </w:r>
      <w:r w:rsidRPr="004F6E0B">
        <w:rPr>
          <w:rFonts w:cs="Times New Roman"/>
        </w:rPr>
        <w:t xml:space="preserve">. </w:t>
      </w:r>
      <w:r w:rsidR="00EB2911">
        <w:rPr>
          <w:rFonts w:cs="Times New Roman"/>
        </w:rPr>
        <w:t xml:space="preserve"> </w:t>
      </w:r>
    </w:p>
    <w:p w14:paraId="1E6E0A5A" w14:textId="77777777" w:rsidR="001B2947" w:rsidRPr="004F6E0B" w:rsidRDefault="001B2947" w:rsidP="001B2947">
      <w:pPr>
        <w:pStyle w:val="Body"/>
        <w:spacing w:after="0" w:line="360" w:lineRule="auto"/>
        <w:rPr>
          <w:rFonts w:cs="Times New Roman"/>
        </w:rPr>
      </w:pPr>
    </w:p>
    <w:p w14:paraId="44038EBA" w14:textId="279B0530" w:rsidR="009577BF" w:rsidRPr="004F6E0B" w:rsidRDefault="009577BF" w:rsidP="001B2947">
      <w:pPr>
        <w:pStyle w:val="NormalWeb"/>
        <w:spacing w:after="0" w:line="360" w:lineRule="auto"/>
        <w:rPr>
          <w:rFonts w:ascii="Calibri" w:hAnsi="Calibri" w:cs="Times New Roman"/>
          <w:sz w:val="22"/>
          <w:szCs w:val="22"/>
        </w:rPr>
      </w:pPr>
      <w:r w:rsidRPr="004F6E0B">
        <w:rPr>
          <w:rFonts w:ascii="Calibri" w:hAnsi="Calibri" w:cs="Times New Roman"/>
          <w:sz w:val="22"/>
          <w:szCs w:val="22"/>
        </w:rPr>
        <w:t>The study received ethical approval from the Northwest 8 Research Ethics Comm</w:t>
      </w:r>
      <w:r>
        <w:rPr>
          <w:rFonts w:ascii="Calibri" w:hAnsi="Calibri" w:cs="Times New Roman"/>
          <w:sz w:val="22"/>
          <w:szCs w:val="22"/>
        </w:rPr>
        <w:t>ittee – GM East Reference: 12/NW/0068</w:t>
      </w:r>
      <w:r w:rsidRPr="004F6E0B">
        <w:rPr>
          <w:rFonts w:ascii="Calibri" w:hAnsi="Calibri" w:cs="Times New Roman"/>
          <w:sz w:val="22"/>
          <w:szCs w:val="22"/>
        </w:rPr>
        <w:t>. All participants who completed the questionnaire part of the study provided written informed consent</w:t>
      </w:r>
      <w:r w:rsidR="00B8718A">
        <w:rPr>
          <w:rFonts w:ascii="Calibri" w:hAnsi="Calibri" w:cs="Times New Roman"/>
          <w:sz w:val="22"/>
          <w:szCs w:val="22"/>
        </w:rPr>
        <w:t xml:space="preserve"> with permission to access their health care records.</w:t>
      </w:r>
    </w:p>
    <w:p w14:paraId="57875C25" w14:textId="77777777" w:rsidR="009577BF" w:rsidRPr="00A07A39" w:rsidRDefault="009577BF" w:rsidP="00E03168">
      <w:pPr>
        <w:pStyle w:val="NormalWeb"/>
        <w:spacing w:after="0" w:line="360" w:lineRule="auto"/>
        <w:rPr>
          <w:rFonts w:ascii="Calibri" w:eastAsia="Times New Roman" w:hAnsi="Calibri" w:cs="Times New Roman"/>
        </w:rPr>
      </w:pPr>
    </w:p>
    <w:p w14:paraId="7EE6EAD4" w14:textId="77777777" w:rsidR="009577BF" w:rsidRPr="005F101F" w:rsidRDefault="009577BF" w:rsidP="009C7FB2">
      <w:pPr>
        <w:pStyle w:val="Body"/>
        <w:spacing w:after="0" w:line="360" w:lineRule="auto"/>
        <w:outlineLvl w:val="0"/>
        <w:rPr>
          <w:rFonts w:eastAsia="Times New Roman" w:cs="Times New Roman"/>
          <w:bCs/>
          <w:i/>
          <w:lang w:val="en-US"/>
        </w:rPr>
      </w:pPr>
      <w:r w:rsidRPr="005F101F">
        <w:rPr>
          <w:rFonts w:cs="Times New Roman"/>
          <w:bCs/>
          <w:i/>
          <w:lang w:val="en-US"/>
        </w:rPr>
        <w:t>Statistical analysis</w:t>
      </w:r>
    </w:p>
    <w:p w14:paraId="7BCBBCBA" w14:textId="491228DC" w:rsidR="009577BF" w:rsidRDefault="009577BF" w:rsidP="00E03168">
      <w:pPr>
        <w:pStyle w:val="Body"/>
        <w:spacing w:after="0" w:line="360" w:lineRule="auto"/>
        <w:rPr>
          <w:rFonts w:cs="Times New Roman"/>
          <w:lang w:val="en-US"/>
        </w:rPr>
      </w:pPr>
      <w:r>
        <w:rPr>
          <w:rFonts w:cs="Times New Roman"/>
          <w:lang w:val="en-US"/>
        </w:rPr>
        <w:t>T</w:t>
      </w:r>
      <w:r w:rsidRPr="007E3F23">
        <w:rPr>
          <w:rFonts w:cs="Times New Roman"/>
          <w:lang w:val="en-US"/>
        </w:rPr>
        <w:t xml:space="preserve">he incidence of both ED visits and emergency admissions was relatively low, </w:t>
      </w:r>
      <w:r>
        <w:rPr>
          <w:rFonts w:cs="Times New Roman"/>
          <w:lang w:val="en-US"/>
        </w:rPr>
        <w:t xml:space="preserve">therefore </w:t>
      </w:r>
      <w:r w:rsidRPr="007E3F23">
        <w:rPr>
          <w:rFonts w:cs="Times New Roman"/>
          <w:lang w:val="en-US"/>
        </w:rPr>
        <w:t>we have analysed</w:t>
      </w:r>
      <w:r>
        <w:rPr>
          <w:rFonts w:cs="Times New Roman"/>
          <w:lang w:val="en-US"/>
        </w:rPr>
        <w:t xml:space="preserve"> these two</w:t>
      </w:r>
      <w:r w:rsidRPr="007E3F23">
        <w:rPr>
          <w:rFonts w:cs="Times New Roman"/>
          <w:lang w:val="en-US"/>
        </w:rPr>
        <w:t xml:space="preserve"> variables in both the baseline and </w:t>
      </w:r>
      <w:r w:rsidR="00093DAF">
        <w:rPr>
          <w:rFonts w:cs="Times New Roman"/>
          <w:lang w:val="en-US"/>
        </w:rPr>
        <w:t xml:space="preserve">follow-up </w:t>
      </w:r>
      <w:r w:rsidRPr="007E3F23">
        <w:rPr>
          <w:rFonts w:cs="Times New Roman"/>
          <w:lang w:val="en-US"/>
        </w:rPr>
        <w:t xml:space="preserve">year as dichotomous (at least 1 ED visit vs no ED visits, and at least 1 emergency admission vs no emergency admissions) rather than as </w:t>
      </w:r>
      <w:r w:rsidRPr="007E3F23">
        <w:rPr>
          <w:rFonts w:cs="Times New Roman"/>
          <w:lang w:val="en-US"/>
        </w:rPr>
        <w:lastRenderedPageBreak/>
        <w:t xml:space="preserve">count or continuous data.  For baseline questionnaire data we present numbers and percentages for categorical variables. </w:t>
      </w:r>
    </w:p>
    <w:p w14:paraId="52141332" w14:textId="77777777" w:rsidR="009577BF" w:rsidRPr="007E3F23" w:rsidRDefault="009577BF" w:rsidP="00E03168">
      <w:pPr>
        <w:pStyle w:val="Body"/>
        <w:spacing w:after="0" w:line="360" w:lineRule="auto"/>
        <w:rPr>
          <w:rFonts w:eastAsia="Times New Roman" w:cs="Times New Roman"/>
          <w:b/>
          <w:bCs/>
          <w:lang w:val="en-US"/>
        </w:rPr>
      </w:pPr>
    </w:p>
    <w:p w14:paraId="67314718" w14:textId="59397ABE" w:rsidR="009577BF" w:rsidRPr="007E3F23" w:rsidRDefault="00DA0DFC" w:rsidP="00E03168">
      <w:pPr>
        <w:pStyle w:val="Body"/>
        <w:spacing w:line="360" w:lineRule="auto"/>
        <w:rPr>
          <w:rFonts w:cs="Times New Roman"/>
          <w:lang w:val="en-US"/>
        </w:rPr>
      </w:pPr>
      <w:r>
        <w:rPr>
          <w:color w:val="000000" w:themeColor="text1"/>
        </w:rPr>
        <w:t xml:space="preserve">Our analyses were carried out on the cohort of patients </w:t>
      </w:r>
      <w:r w:rsidR="001B2947">
        <w:rPr>
          <w:color w:val="000000" w:themeColor="text1"/>
        </w:rPr>
        <w:t>who completed the questionnaire;</w:t>
      </w:r>
      <w:r>
        <w:rPr>
          <w:color w:val="000000" w:themeColor="text1"/>
        </w:rPr>
        <w:t xml:space="preserve"> we u</w:t>
      </w:r>
      <w:r w:rsidRPr="007E3F23">
        <w:rPr>
          <w:color w:val="000000" w:themeColor="text1"/>
        </w:rPr>
        <w:t>s</w:t>
      </w:r>
      <w:r>
        <w:rPr>
          <w:color w:val="000000" w:themeColor="text1"/>
        </w:rPr>
        <w:t>ed</w:t>
      </w:r>
      <w:r w:rsidRPr="007E3F23">
        <w:rPr>
          <w:color w:val="000000" w:themeColor="text1"/>
        </w:rPr>
        <w:t xml:space="preserve"> </w:t>
      </w:r>
      <w:r>
        <w:rPr>
          <w:color w:val="000000" w:themeColor="text1"/>
        </w:rPr>
        <w:t>questionnaire dat</w:t>
      </w:r>
      <w:r w:rsidR="001B2947">
        <w:rPr>
          <w:color w:val="000000" w:themeColor="text1"/>
        </w:rPr>
        <w:t>a</w:t>
      </w:r>
      <w:r w:rsidR="003C0405">
        <w:rPr>
          <w:color w:val="000000" w:themeColor="text1"/>
        </w:rPr>
        <w:t xml:space="preserve"> </w:t>
      </w:r>
      <w:r>
        <w:rPr>
          <w:color w:val="000000" w:themeColor="text1"/>
        </w:rPr>
        <w:t xml:space="preserve">and </w:t>
      </w:r>
      <w:r w:rsidRPr="007E3F23">
        <w:rPr>
          <w:color w:val="000000" w:themeColor="text1"/>
        </w:rPr>
        <w:t>data supplied by the practices and HSCIC</w:t>
      </w:r>
      <w:r>
        <w:rPr>
          <w:color w:val="000000" w:themeColor="text1"/>
        </w:rPr>
        <w:t xml:space="preserve">. </w:t>
      </w:r>
      <w:r w:rsidR="009577BF" w:rsidRPr="007E3F23">
        <w:rPr>
          <w:rFonts w:cs="Times New Roman"/>
          <w:lang w:val="en-US"/>
        </w:rPr>
        <w:t>In univariate analyses</w:t>
      </w:r>
      <w:r w:rsidR="008D327C">
        <w:rPr>
          <w:rFonts w:cs="Times New Roman"/>
          <w:lang w:val="en-US"/>
        </w:rPr>
        <w:t>,</w:t>
      </w:r>
      <w:r w:rsidR="009577BF" w:rsidRPr="007E3F23">
        <w:rPr>
          <w:rFonts w:cs="Times New Roman"/>
          <w:lang w:val="en-US"/>
        </w:rPr>
        <w:t xml:space="preserve"> to determine predictors of use of ED and emergency admissions in the follow up year, participants who had </w:t>
      </w:r>
      <w:r w:rsidR="008D327C">
        <w:rPr>
          <w:rFonts w:cs="Times New Roman"/>
          <w:lang w:val="en-US"/>
        </w:rPr>
        <w:t xml:space="preserve">attended </w:t>
      </w:r>
      <w:r w:rsidR="009577BF" w:rsidRPr="007E3F23">
        <w:rPr>
          <w:rFonts w:cs="Times New Roman"/>
          <w:lang w:val="en-US"/>
        </w:rPr>
        <w:t>ED in the follow up year were</w:t>
      </w:r>
      <w:r w:rsidR="009577BF" w:rsidRPr="00A07A39">
        <w:rPr>
          <w:rFonts w:cs="Times New Roman"/>
          <w:sz w:val="24"/>
          <w:szCs w:val="24"/>
          <w:lang w:val="en-US"/>
        </w:rPr>
        <w:t xml:space="preserve"> </w:t>
      </w:r>
      <w:r w:rsidR="009577BF" w:rsidRPr="007E3F23">
        <w:rPr>
          <w:rFonts w:cs="Times New Roman"/>
          <w:lang w:val="en-US"/>
        </w:rPr>
        <w:t xml:space="preserve">compared with those who did not, using the chi-squared test with linear trend for ordered categories or Fisher’s exact test for dichotomous variables. Similarly, participants who had an emergency admission in the follow up year were compared with those who did not. </w:t>
      </w:r>
    </w:p>
    <w:p w14:paraId="61D67DF1" w14:textId="6662072A" w:rsidR="009E35E3" w:rsidRDefault="003C0405" w:rsidP="00E03168">
      <w:pPr>
        <w:pStyle w:val="Body"/>
        <w:spacing w:line="360" w:lineRule="auto"/>
      </w:pPr>
      <w:r>
        <w:rPr>
          <w:color w:val="000000" w:themeColor="text1"/>
        </w:rPr>
        <w:t>T</w:t>
      </w:r>
      <w:r w:rsidR="009577BF" w:rsidRPr="007E3F23">
        <w:rPr>
          <w:color w:val="000000" w:themeColor="text1"/>
        </w:rPr>
        <w:t xml:space="preserve">wo separate </w:t>
      </w:r>
      <w:r w:rsidR="009577BF" w:rsidRPr="007E3F23">
        <w:t xml:space="preserve">logistic regression analyses were carried out to assess the relationship between </w:t>
      </w:r>
      <w:r w:rsidR="000A61A6">
        <w:t xml:space="preserve">baseline variables and </w:t>
      </w:r>
      <w:r w:rsidR="009577BF" w:rsidRPr="007E3F23">
        <w:t xml:space="preserve">ED attendance in the </w:t>
      </w:r>
      <w:r w:rsidR="00093DAF">
        <w:t>follow-up</w:t>
      </w:r>
      <w:r w:rsidR="00843BBE">
        <w:t xml:space="preserve"> </w:t>
      </w:r>
      <w:r w:rsidR="009577BF" w:rsidRPr="007E3F23">
        <w:t xml:space="preserve">year and emergency admission to hospital in the </w:t>
      </w:r>
      <w:r w:rsidR="00093DAF">
        <w:t xml:space="preserve">follow-up </w:t>
      </w:r>
      <w:r w:rsidR="009577BF" w:rsidRPr="007E3F23">
        <w:t xml:space="preserve">year. </w:t>
      </w:r>
      <w:r w:rsidR="000A61A6">
        <w:t xml:space="preserve">Baseline variables included: </w:t>
      </w:r>
      <w:r w:rsidR="000A61A6" w:rsidRPr="007E3F23">
        <w:t>age</w:t>
      </w:r>
      <w:r w:rsidR="007458DD">
        <w:t xml:space="preserve"> as a continuous variable</w:t>
      </w:r>
      <w:r w:rsidR="000A61A6" w:rsidRPr="007E3F23">
        <w:t xml:space="preserve">, gender, </w:t>
      </w:r>
      <w:r w:rsidR="000A61A6">
        <w:t>white ethnic origin, lack of a partner, living alone, poor education, not working due to ill health, a</w:t>
      </w:r>
      <w:r w:rsidR="000A61A6" w:rsidRPr="007E3F23">
        <w:t>nd HADS depression score 8 or more vs</w:t>
      </w:r>
      <w:r w:rsidR="0038686F">
        <w:t xml:space="preserve"> less than 8,</w:t>
      </w:r>
      <w:r>
        <w:t xml:space="preserve"> </w:t>
      </w:r>
      <w:r w:rsidR="000A61A6" w:rsidRPr="007E3F23">
        <w:t>number of QOF physical diagnoses, and severity of COPD</w:t>
      </w:r>
      <w:r w:rsidR="000A61A6">
        <w:t>.</w:t>
      </w:r>
      <w:r w:rsidR="000A61A6" w:rsidRPr="007E3F23">
        <w:t xml:space="preserve"> </w:t>
      </w:r>
      <w:r w:rsidR="009577BF" w:rsidRPr="007E3F23">
        <w:t>We expected previous ED attendance to be a strong predictor of future ED attendance, and previous emergency admission to be a strong predictor of future emergency admission</w:t>
      </w:r>
      <w:r w:rsidR="008D327C">
        <w:t xml:space="preserve"> </w:t>
      </w:r>
      <w:r w:rsidR="009577BF">
        <w:rPr>
          <w:noProof/>
        </w:rPr>
        <w:t>[</w:t>
      </w:r>
      <w:r w:rsidR="002E1750">
        <w:rPr>
          <w:noProof/>
        </w:rPr>
        <w:t>24</w:t>
      </w:r>
      <w:r w:rsidR="008D327C">
        <w:rPr>
          <w:noProof/>
        </w:rPr>
        <w:t xml:space="preserve">, </w:t>
      </w:r>
      <w:r w:rsidR="002E1750">
        <w:rPr>
          <w:noProof/>
        </w:rPr>
        <w:t>25</w:t>
      </w:r>
      <w:r w:rsidR="009577BF">
        <w:rPr>
          <w:noProof/>
        </w:rPr>
        <w:t>]</w:t>
      </w:r>
      <w:r w:rsidR="009577BF" w:rsidRPr="007E3F23">
        <w:t>, and therefore we included pre-baseline ED attendance or emergency admission, respectively</w:t>
      </w:r>
      <w:r w:rsidR="00DA0DFC">
        <w:t>,</w:t>
      </w:r>
      <w:r w:rsidR="009577BF" w:rsidRPr="007E3F23">
        <w:t xml:space="preserve"> in the list of covariates. Odds ratios and 95% confidence intervals are</w:t>
      </w:r>
      <w:r w:rsidR="008D327C">
        <w:t xml:space="preserve"> presented for each independent </w:t>
      </w:r>
      <w:r w:rsidR="009577BF" w:rsidRPr="007E3F23">
        <w:t>variable.</w:t>
      </w:r>
      <w:r w:rsidR="009E35E3">
        <w:t xml:space="preserve"> </w:t>
      </w:r>
      <w:r w:rsidR="009577BF" w:rsidRPr="007E3F23">
        <w:t>These analyses were then repeated using HADS anxiety score 8 or mor</w:t>
      </w:r>
      <w:r w:rsidR="009E35E3">
        <w:t xml:space="preserve">e instead of depression score. </w:t>
      </w:r>
    </w:p>
    <w:p w14:paraId="31611485" w14:textId="6D012FE5" w:rsidR="009577BF" w:rsidRPr="009E35E3" w:rsidRDefault="009577BF" w:rsidP="00E03168">
      <w:pPr>
        <w:pStyle w:val="Body"/>
        <w:spacing w:line="360" w:lineRule="auto"/>
      </w:pPr>
      <w:r w:rsidRPr="007E3F23">
        <w:t xml:space="preserve">The role of the severity of depression was then examined by repeating the above analyses after splitting the HADS depression subscale into 4 quartile </w:t>
      </w:r>
      <w:r>
        <w:t>groups of approximately equal sample size</w:t>
      </w:r>
      <w:r w:rsidR="009E35E3">
        <w:t xml:space="preserve"> representing no depression, mild, moderate, and severe depression</w:t>
      </w:r>
      <w:r>
        <w:t xml:space="preserve">, as follows: 0-3, 4-7, 8-11, and 12 or more. </w:t>
      </w:r>
      <w:r w:rsidRPr="007E3F23">
        <w:t>In each case, the analysis was adjusted using the following covariates: age</w:t>
      </w:r>
      <w:r w:rsidR="000059C4">
        <w:t xml:space="preserve"> as a continuous variable</w:t>
      </w:r>
      <w:r w:rsidRPr="007E3F23">
        <w:t xml:space="preserve">, gender, severity of COPD, poor education and number of QOF diagnoses, all of which, except for gender having been found to be significant predictors </w:t>
      </w:r>
      <w:r w:rsidR="0061141B">
        <w:t xml:space="preserve">at p&lt;0.1 </w:t>
      </w:r>
      <w:r w:rsidRPr="007E3F23">
        <w:t>in the univariate analyses. Odds ratios and 95% confidence intervals are presented for each HADS quartile group with the lowest group as reference group. These analyses were then re</w:t>
      </w:r>
      <w:r>
        <w:t>peated using HADS anxiety score</w:t>
      </w:r>
      <w:r w:rsidRPr="007E3F23">
        <w:t>. A</w:t>
      </w:r>
      <w:r w:rsidR="006430B1">
        <w:t>ll</w:t>
      </w:r>
      <w:r w:rsidRPr="007E3F23">
        <w:t xml:space="preserve"> the</w:t>
      </w:r>
      <w:r w:rsidR="00BD4E64">
        <w:t xml:space="preserve"> </w:t>
      </w:r>
      <w:r w:rsidR="006430B1">
        <w:t>logistic regression</w:t>
      </w:r>
      <w:r w:rsidRPr="007E3F23">
        <w:t xml:space="preserve"> analyses were carried out on the 350 patients </w:t>
      </w:r>
      <w:r>
        <w:t xml:space="preserve">who completed the HADS </w:t>
      </w:r>
      <w:r w:rsidR="00843BBE">
        <w:t>and</w:t>
      </w:r>
      <w:r w:rsidR="00843BBE" w:rsidRPr="007E3F23">
        <w:t xml:space="preserve"> </w:t>
      </w:r>
      <w:r w:rsidR="00843BBE">
        <w:t>multiple</w:t>
      </w:r>
      <w:r w:rsidR="00207406">
        <w:t xml:space="preserve"> </w:t>
      </w:r>
      <w:r w:rsidRPr="007E3F23">
        <w:t xml:space="preserve">imputation </w:t>
      </w:r>
      <w:r w:rsidR="00207406">
        <w:t xml:space="preserve">based on regression on other covariates in each model </w:t>
      </w:r>
      <w:r w:rsidRPr="007E3F23">
        <w:t xml:space="preserve">was used to account for missing data on severity of COPD for 13 patients. In order to investigate whether there was any bias in the results presented for the HADS scores which may have been caused by non-completion of </w:t>
      </w:r>
      <w:r w:rsidRPr="007E3F23">
        <w:lastRenderedPageBreak/>
        <w:t>the questionnaires, these analyses were repeated using inverse probability sampling weights based on age, gender, practice and unscheduled care in the pre</w:t>
      </w:r>
      <w:r w:rsidR="0034425E">
        <w:t>-</w:t>
      </w:r>
      <w:r w:rsidRPr="007E3F23">
        <w:t xml:space="preserve"> baseline year.</w:t>
      </w:r>
    </w:p>
    <w:p w14:paraId="745D015D" w14:textId="77777777" w:rsidR="009577BF" w:rsidRPr="005F101F" w:rsidRDefault="009577BF" w:rsidP="009C7FB2">
      <w:pPr>
        <w:pStyle w:val="PlainText"/>
        <w:spacing w:line="360" w:lineRule="auto"/>
        <w:outlineLvl w:val="0"/>
        <w:rPr>
          <w:rFonts w:ascii="Calibri" w:hAnsi="Calibri" w:cs="Times New Roman"/>
          <w:i/>
          <w:sz w:val="22"/>
          <w:szCs w:val="22"/>
        </w:rPr>
      </w:pPr>
      <w:r w:rsidRPr="005F101F">
        <w:rPr>
          <w:rFonts w:ascii="Calibri" w:hAnsi="Calibri" w:cs="Times New Roman"/>
          <w:i/>
          <w:sz w:val="22"/>
          <w:szCs w:val="22"/>
        </w:rPr>
        <w:t>Sensitivity analyses</w:t>
      </w:r>
    </w:p>
    <w:p w14:paraId="2F0A3ED4" w14:textId="59B9D483" w:rsidR="009577BF" w:rsidRPr="007E3F23" w:rsidRDefault="009577BF" w:rsidP="00E03168">
      <w:pPr>
        <w:pStyle w:val="PlainText"/>
        <w:spacing w:line="360" w:lineRule="auto"/>
        <w:rPr>
          <w:rFonts w:ascii="Calibri" w:hAnsi="Calibri" w:cs="Times New Roman"/>
          <w:sz w:val="22"/>
          <w:szCs w:val="22"/>
        </w:rPr>
      </w:pPr>
      <w:r w:rsidRPr="007E3F23">
        <w:rPr>
          <w:rFonts w:ascii="Calibri" w:hAnsi="Calibri" w:cs="Times New Roman"/>
          <w:sz w:val="22"/>
          <w:szCs w:val="22"/>
        </w:rPr>
        <w:t xml:space="preserve">In order to determine whether there was any bias due to the fact that some of the patients in the 3 intervention practices received the pilot intervention, the logistic regression analyses for the </w:t>
      </w:r>
      <w:r w:rsidR="00093DAF">
        <w:rPr>
          <w:rFonts w:ascii="Calibri" w:hAnsi="Calibri" w:cs="Times New Roman"/>
          <w:sz w:val="22"/>
          <w:szCs w:val="22"/>
        </w:rPr>
        <w:t>follow-up</w:t>
      </w:r>
      <w:r w:rsidRPr="007E3F23">
        <w:rPr>
          <w:rFonts w:ascii="Calibri" w:hAnsi="Calibri" w:cs="Times New Roman"/>
          <w:sz w:val="22"/>
          <w:szCs w:val="22"/>
        </w:rPr>
        <w:t xml:space="preserve">year were repeated both using attendance at 2 or more sessions as an additional covariate, and also after excluding 34 patients with HADS data who attended 2 or more sessions </w:t>
      </w:r>
      <w:r>
        <w:rPr>
          <w:rFonts w:ascii="Calibri" w:hAnsi="Calibri" w:cs="Times New Roman"/>
          <w:sz w:val="22"/>
          <w:szCs w:val="22"/>
        </w:rPr>
        <w:t>of the psychosocial intervention.</w:t>
      </w:r>
    </w:p>
    <w:p w14:paraId="3719102D" w14:textId="77777777" w:rsidR="009577BF" w:rsidRDefault="009577BF" w:rsidP="00E03168">
      <w:pPr>
        <w:pStyle w:val="PlainText"/>
        <w:spacing w:line="480" w:lineRule="auto"/>
        <w:rPr>
          <w:rFonts w:ascii="Calibri" w:hAnsi="Calibri" w:cs="Times New Roman"/>
          <w:sz w:val="22"/>
          <w:szCs w:val="22"/>
        </w:rPr>
      </w:pPr>
    </w:p>
    <w:p w14:paraId="0B430201" w14:textId="66E810E8" w:rsidR="009577BF" w:rsidRPr="007E3F23" w:rsidRDefault="009577BF" w:rsidP="001B2947">
      <w:pPr>
        <w:pStyle w:val="PlainText"/>
        <w:spacing w:line="360" w:lineRule="auto"/>
        <w:rPr>
          <w:rFonts w:ascii="Calibri" w:hAnsi="Calibri" w:cs="Times New Roman"/>
          <w:sz w:val="22"/>
          <w:szCs w:val="22"/>
        </w:rPr>
      </w:pPr>
      <w:r w:rsidRPr="007E3F23">
        <w:rPr>
          <w:rFonts w:ascii="Calibri" w:hAnsi="Calibri" w:cs="Times New Roman"/>
          <w:sz w:val="22"/>
          <w:szCs w:val="22"/>
        </w:rPr>
        <w:t xml:space="preserve">We assessed multicollinearity and found the largest Variance Inflation Factor (VIF) was 1.9 which indicates </w:t>
      </w:r>
      <w:r>
        <w:rPr>
          <w:rFonts w:ascii="Calibri" w:hAnsi="Calibri" w:cs="Times New Roman"/>
          <w:sz w:val="22"/>
          <w:szCs w:val="22"/>
        </w:rPr>
        <w:t xml:space="preserve">there was </w:t>
      </w:r>
      <w:r w:rsidRPr="007E3F23">
        <w:rPr>
          <w:rFonts w:ascii="Calibri" w:hAnsi="Calibri" w:cs="Times New Roman"/>
          <w:sz w:val="22"/>
          <w:szCs w:val="22"/>
        </w:rPr>
        <w:t>no problem with collinearity.</w:t>
      </w:r>
      <w:r w:rsidR="0034425E">
        <w:rPr>
          <w:rFonts w:ascii="Calibri" w:hAnsi="Calibri" w:cs="Times New Roman"/>
          <w:sz w:val="22"/>
          <w:szCs w:val="22"/>
        </w:rPr>
        <w:t xml:space="preserve"> </w:t>
      </w:r>
      <w:r w:rsidRPr="007E3F23">
        <w:rPr>
          <w:rFonts w:ascii="Calibri" w:hAnsi="Calibri" w:cs="Times New Roman"/>
          <w:sz w:val="22"/>
          <w:szCs w:val="22"/>
        </w:rPr>
        <w:t>Analyses were carried out using SPSS version 22 and Stata version 1</w:t>
      </w:r>
      <w:r w:rsidR="0061141B">
        <w:rPr>
          <w:rFonts w:ascii="Calibri" w:hAnsi="Calibri" w:cs="Times New Roman"/>
          <w:sz w:val="22"/>
          <w:szCs w:val="22"/>
        </w:rPr>
        <w:t>4</w:t>
      </w:r>
      <w:r w:rsidRPr="007E3F23">
        <w:rPr>
          <w:rFonts w:ascii="Calibri" w:hAnsi="Calibri" w:cs="Times New Roman"/>
          <w:sz w:val="22"/>
          <w:szCs w:val="22"/>
        </w:rPr>
        <w:t xml:space="preserve"> (StataCorp LP, texas, USA).</w:t>
      </w:r>
    </w:p>
    <w:p w14:paraId="24B093EA" w14:textId="77777777" w:rsidR="009577BF" w:rsidRPr="002A5078" w:rsidRDefault="009577BF" w:rsidP="00E03168">
      <w:pPr>
        <w:pStyle w:val="NormalWeb"/>
        <w:spacing w:before="0" w:after="0" w:line="480" w:lineRule="auto"/>
        <w:rPr>
          <w:rFonts w:ascii="Times New Roman" w:eastAsia="Times New Roman" w:hAnsi="Times New Roman" w:cs="Times New Roman"/>
        </w:rPr>
      </w:pPr>
    </w:p>
    <w:p w14:paraId="252750A6" w14:textId="77777777" w:rsidR="009577BF" w:rsidRPr="007E3F23" w:rsidRDefault="009577BF" w:rsidP="009C7FB2">
      <w:pPr>
        <w:pStyle w:val="NormalWeb"/>
        <w:spacing w:before="0" w:after="0" w:line="480" w:lineRule="auto"/>
        <w:outlineLvl w:val="0"/>
        <w:rPr>
          <w:rFonts w:ascii="Calibri" w:hAnsi="Calibri" w:cs="Times New Roman"/>
          <w:b/>
          <w:bCs/>
          <w:sz w:val="22"/>
          <w:szCs w:val="22"/>
        </w:rPr>
      </w:pPr>
      <w:r w:rsidRPr="007E3F23">
        <w:rPr>
          <w:rFonts w:ascii="Calibri" w:hAnsi="Calibri" w:cs="Times New Roman"/>
          <w:b/>
          <w:bCs/>
          <w:sz w:val="22"/>
          <w:szCs w:val="22"/>
        </w:rPr>
        <w:t>Results</w:t>
      </w:r>
    </w:p>
    <w:p w14:paraId="704DC592" w14:textId="491A81E7" w:rsidR="009577BF" w:rsidRPr="006C1EBF" w:rsidRDefault="009577BF" w:rsidP="009C7FB2">
      <w:pPr>
        <w:pStyle w:val="NormalWeb"/>
        <w:spacing w:before="0" w:after="0" w:line="360" w:lineRule="auto"/>
        <w:outlineLvl w:val="0"/>
        <w:rPr>
          <w:rFonts w:ascii="Calibri" w:hAnsi="Calibri" w:cs="Times New Roman"/>
          <w:sz w:val="22"/>
          <w:szCs w:val="22"/>
        </w:rPr>
      </w:pPr>
      <w:r w:rsidRPr="006C1EBF">
        <w:rPr>
          <w:rFonts w:ascii="Calibri" w:hAnsi="Calibri" w:cs="Times New Roman"/>
          <w:sz w:val="22"/>
          <w:szCs w:val="22"/>
        </w:rPr>
        <w:t>Results are reported acc</w:t>
      </w:r>
      <w:r>
        <w:rPr>
          <w:rFonts w:ascii="Calibri" w:hAnsi="Calibri" w:cs="Times New Roman"/>
          <w:sz w:val="22"/>
          <w:szCs w:val="22"/>
        </w:rPr>
        <w:t>ording to the Strobe Guidelines</w:t>
      </w:r>
      <w:r w:rsidR="008D327C">
        <w:rPr>
          <w:rFonts w:ascii="Calibri" w:hAnsi="Calibri" w:cs="Times New Roman"/>
          <w:sz w:val="22"/>
          <w:szCs w:val="22"/>
        </w:rPr>
        <w:t xml:space="preserve"> </w:t>
      </w:r>
      <w:r>
        <w:rPr>
          <w:rFonts w:ascii="Calibri" w:hAnsi="Calibri" w:cs="Times New Roman"/>
          <w:noProof/>
          <w:sz w:val="22"/>
          <w:szCs w:val="22"/>
        </w:rPr>
        <w:t>[</w:t>
      </w:r>
      <w:r w:rsidR="00BE7954">
        <w:rPr>
          <w:rFonts w:ascii="Calibri" w:hAnsi="Calibri" w:cs="Times New Roman"/>
          <w:noProof/>
          <w:sz w:val="22"/>
          <w:szCs w:val="22"/>
        </w:rPr>
        <w:t>26</w:t>
      </w:r>
      <w:r>
        <w:rPr>
          <w:rFonts w:ascii="Calibri" w:hAnsi="Calibri" w:cs="Times New Roman"/>
          <w:noProof/>
          <w:sz w:val="22"/>
          <w:szCs w:val="22"/>
        </w:rPr>
        <w:t>]</w:t>
      </w:r>
      <w:r w:rsidRPr="006C1EBF">
        <w:rPr>
          <w:rFonts w:ascii="Calibri" w:hAnsi="Calibri" w:cs="Times New Roman"/>
          <w:sz w:val="22"/>
          <w:szCs w:val="22"/>
        </w:rPr>
        <w:t>.</w:t>
      </w:r>
    </w:p>
    <w:p w14:paraId="61B8CD14" w14:textId="77777777" w:rsidR="00855047" w:rsidRDefault="00855047" w:rsidP="00E03168">
      <w:pPr>
        <w:pStyle w:val="NormalWeb"/>
        <w:spacing w:before="0" w:after="0" w:line="360" w:lineRule="auto"/>
        <w:rPr>
          <w:rFonts w:ascii="Calibri" w:eastAsia="Times New Roman" w:hAnsi="Calibri" w:cs="Times New Roman"/>
          <w:b/>
          <w:bCs/>
          <w:sz w:val="22"/>
          <w:szCs w:val="22"/>
        </w:rPr>
      </w:pPr>
    </w:p>
    <w:p w14:paraId="34F959AC" w14:textId="18FCEDDF" w:rsidR="009577BF" w:rsidRPr="006C1EBF" w:rsidRDefault="009577BF" w:rsidP="00E03168">
      <w:pPr>
        <w:pStyle w:val="NormalWeb"/>
        <w:spacing w:before="0" w:after="0" w:line="360" w:lineRule="auto"/>
        <w:rPr>
          <w:rFonts w:ascii="Calibri" w:hAnsi="Calibri" w:cs="Times New Roman"/>
          <w:sz w:val="22"/>
          <w:szCs w:val="22"/>
        </w:rPr>
      </w:pPr>
      <w:r w:rsidRPr="006C1EBF">
        <w:rPr>
          <w:rFonts w:ascii="Calibri" w:hAnsi="Calibri" w:cs="Times New Roman"/>
          <w:sz w:val="22"/>
          <w:szCs w:val="22"/>
        </w:rPr>
        <w:t xml:space="preserve">Of the 950 patients </w:t>
      </w:r>
      <w:r w:rsidR="008D327C">
        <w:rPr>
          <w:rFonts w:ascii="Calibri" w:hAnsi="Calibri" w:cs="Times New Roman"/>
          <w:sz w:val="22"/>
          <w:szCs w:val="22"/>
        </w:rPr>
        <w:t xml:space="preserve">with COPD </w:t>
      </w:r>
      <w:r w:rsidR="00855047">
        <w:rPr>
          <w:rFonts w:ascii="Calibri" w:hAnsi="Calibri" w:cs="Times New Roman"/>
          <w:sz w:val="22"/>
          <w:szCs w:val="22"/>
        </w:rPr>
        <w:t xml:space="preserve">on the patient registers </w:t>
      </w:r>
      <w:r w:rsidR="008D327C">
        <w:rPr>
          <w:rFonts w:ascii="Calibri" w:hAnsi="Calibri" w:cs="Times New Roman"/>
          <w:sz w:val="22"/>
          <w:szCs w:val="22"/>
        </w:rPr>
        <w:t>across</w:t>
      </w:r>
      <w:r w:rsidRPr="006C1EBF">
        <w:rPr>
          <w:rFonts w:ascii="Calibri" w:hAnsi="Calibri" w:cs="Times New Roman"/>
          <w:sz w:val="22"/>
          <w:szCs w:val="22"/>
        </w:rPr>
        <w:t xml:space="preserve"> six practices, 234 were excluded by GPs as being unable to complete the questionnaire (</w:t>
      </w:r>
      <w:r>
        <w:rPr>
          <w:rFonts w:ascii="Calibri" w:hAnsi="Calibri" w:cs="Times New Roman"/>
          <w:sz w:val="22"/>
          <w:szCs w:val="22"/>
        </w:rPr>
        <w:t>F</w:t>
      </w:r>
      <w:r w:rsidRPr="006C1EBF">
        <w:rPr>
          <w:rFonts w:ascii="Calibri" w:hAnsi="Calibri" w:cs="Times New Roman"/>
          <w:sz w:val="22"/>
          <w:szCs w:val="22"/>
        </w:rPr>
        <w:t>igure 1). This left 716 patients who were sent postal questionnaires together with a</w:t>
      </w:r>
      <w:r w:rsidR="008D327C">
        <w:rPr>
          <w:rFonts w:ascii="Calibri" w:hAnsi="Calibri" w:cs="Times New Roman"/>
          <w:sz w:val="22"/>
          <w:szCs w:val="22"/>
        </w:rPr>
        <w:t xml:space="preserve"> patient information sheet,</w:t>
      </w:r>
      <w:r w:rsidRPr="006C1EBF">
        <w:rPr>
          <w:rFonts w:ascii="Calibri" w:hAnsi="Calibri" w:cs="Times New Roman"/>
          <w:sz w:val="22"/>
          <w:szCs w:val="22"/>
        </w:rPr>
        <w:t xml:space="preserve"> </w:t>
      </w:r>
      <w:r w:rsidR="008D327C">
        <w:rPr>
          <w:rFonts w:ascii="Calibri" w:hAnsi="Calibri" w:cs="Times New Roman"/>
          <w:sz w:val="22"/>
          <w:szCs w:val="22"/>
        </w:rPr>
        <w:t xml:space="preserve">consent form, and </w:t>
      </w:r>
      <w:r w:rsidRPr="006C1EBF">
        <w:rPr>
          <w:rFonts w:ascii="Calibri" w:hAnsi="Calibri" w:cs="Times New Roman"/>
          <w:sz w:val="22"/>
          <w:szCs w:val="22"/>
        </w:rPr>
        <w:t>stamped addressed</w:t>
      </w:r>
      <w:r w:rsidR="008D327C">
        <w:rPr>
          <w:rFonts w:ascii="Calibri" w:hAnsi="Calibri" w:cs="Times New Roman"/>
          <w:sz w:val="22"/>
          <w:szCs w:val="22"/>
        </w:rPr>
        <w:t xml:space="preserve"> envelope. </w:t>
      </w:r>
      <w:r w:rsidRPr="006C1EBF">
        <w:rPr>
          <w:rFonts w:ascii="Calibri" w:hAnsi="Calibri" w:cs="Times New Roman"/>
          <w:sz w:val="22"/>
          <w:szCs w:val="22"/>
        </w:rPr>
        <w:t xml:space="preserve">There were 397 questionnaires which were returned of which 355 had usable data (49.6%).  </w:t>
      </w:r>
    </w:p>
    <w:p w14:paraId="5CF1D9E6" w14:textId="77777777" w:rsidR="009577BF" w:rsidRPr="006C1EBF" w:rsidRDefault="009577BF" w:rsidP="00E03168">
      <w:pPr>
        <w:pStyle w:val="NormalWeb"/>
        <w:spacing w:before="0" w:after="0" w:line="360" w:lineRule="auto"/>
        <w:rPr>
          <w:rFonts w:ascii="Calibri" w:hAnsi="Calibri" w:cs="Times New Roman"/>
        </w:rPr>
      </w:pPr>
    </w:p>
    <w:p w14:paraId="23A406AD" w14:textId="3BDC76A2" w:rsidR="003C0405" w:rsidRPr="00855047" w:rsidRDefault="00684C40" w:rsidP="00855047">
      <w:pPr>
        <w:pStyle w:val="Body"/>
        <w:spacing w:after="0" w:line="360" w:lineRule="auto"/>
        <w:rPr>
          <w:rFonts w:cs="Times New Roman"/>
        </w:rPr>
      </w:pPr>
      <w:r w:rsidRPr="00855047">
        <w:t xml:space="preserve">For the whole 950 patients with COPD, </w:t>
      </w:r>
      <w:r w:rsidR="00ED4013">
        <w:t xml:space="preserve">aggregated data showed that </w:t>
      </w:r>
      <w:r w:rsidRPr="00855047">
        <w:t xml:space="preserve">198 (20.8%) had a QOF diagnosis of mental health and 79 (8.3%) had a diagnosis of depression. </w:t>
      </w:r>
      <w:r w:rsidR="003C0405">
        <w:rPr>
          <w:rFonts w:cs="Times New Roman"/>
        </w:rPr>
        <w:t xml:space="preserve">Characteristics of </w:t>
      </w:r>
      <w:r w:rsidR="00BD4E64">
        <w:rPr>
          <w:rFonts w:cs="Times New Roman"/>
        </w:rPr>
        <w:t xml:space="preserve">the 355 participants </w:t>
      </w:r>
      <w:r w:rsidR="004A3047">
        <w:rPr>
          <w:rFonts w:cs="Times New Roman"/>
        </w:rPr>
        <w:t xml:space="preserve">who completed a questionnaire </w:t>
      </w:r>
      <w:r w:rsidR="00BD4E64">
        <w:rPr>
          <w:rFonts w:cs="Times New Roman"/>
        </w:rPr>
        <w:t>are</w:t>
      </w:r>
      <w:r w:rsidR="003C0405">
        <w:rPr>
          <w:rFonts w:cs="Times New Roman"/>
        </w:rPr>
        <w:t xml:space="preserve"> shown in </w:t>
      </w:r>
      <w:r w:rsidR="003C0405" w:rsidRPr="00855047">
        <w:rPr>
          <w:rFonts w:asciiTheme="minorHAnsi" w:hAnsiTheme="minorHAnsi" w:cs="Times New Roman"/>
        </w:rPr>
        <w:t>Table 1</w:t>
      </w:r>
      <w:r w:rsidR="004A3047" w:rsidRPr="00855047">
        <w:rPr>
          <w:rFonts w:asciiTheme="minorHAnsi" w:hAnsiTheme="minorHAnsi" w:cs="Times New Roman"/>
        </w:rPr>
        <w:t>,</w:t>
      </w:r>
      <w:r w:rsidR="003C0405" w:rsidRPr="00855047">
        <w:rPr>
          <w:rFonts w:asciiTheme="minorHAnsi" w:hAnsiTheme="minorHAnsi" w:cs="Times New Roman"/>
        </w:rPr>
        <w:t xml:space="preserve"> for the whole group and then split by the two main study outcomes; at least 1 attendance at ED vs none, and at least 1 emergency hospital admission vs none in the </w:t>
      </w:r>
      <w:r w:rsidR="00093DAF">
        <w:rPr>
          <w:rFonts w:asciiTheme="minorHAnsi" w:hAnsiTheme="minorHAnsi" w:cs="Times New Roman"/>
        </w:rPr>
        <w:t xml:space="preserve">follow-up </w:t>
      </w:r>
      <w:r w:rsidR="003C0405" w:rsidRPr="00855047">
        <w:rPr>
          <w:rFonts w:asciiTheme="minorHAnsi" w:hAnsiTheme="minorHAnsi" w:cs="Times New Roman"/>
        </w:rPr>
        <w:t xml:space="preserve">year. </w:t>
      </w:r>
      <w:r w:rsidR="00505669" w:rsidRPr="00855047">
        <w:rPr>
          <w:rFonts w:asciiTheme="minorHAnsi" w:hAnsiTheme="minorHAnsi" w:cs="Times New Roman"/>
        </w:rPr>
        <w:t xml:space="preserve"> Of the 355 patients who completed questionnaires, 90 (25.4%) attended ED at least once in the </w:t>
      </w:r>
      <w:r w:rsidR="00093DAF">
        <w:rPr>
          <w:rFonts w:asciiTheme="minorHAnsi" w:hAnsiTheme="minorHAnsi" w:cs="Times New Roman"/>
        </w:rPr>
        <w:t>follow-up</w:t>
      </w:r>
      <w:r w:rsidR="00505669" w:rsidRPr="00855047">
        <w:rPr>
          <w:rFonts w:asciiTheme="minorHAnsi" w:hAnsiTheme="minorHAnsi" w:cs="Times New Roman"/>
        </w:rPr>
        <w:t xml:space="preserve"> year and 92 (25.9%) had an emergency hospital admission.  Sixty-eight (19.2%) had a QOF diagnosis of mental health and 27 (7.6%) had a diagnosis of depression.</w:t>
      </w:r>
    </w:p>
    <w:p w14:paraId="642A3492" w14:textId="490FEF7F" w:rsidR="00C50151" w:rsidRPr="003C0405" w:rsidRDefault="00C50151" w:rsidP="003C0405">
      <w:pPr>
        <w:pStyle w:val="Body"/>
        <w:spacing w:after="0" w:line="360" w:lineRule="auto"/>
        <w:rPr>
          <w:rFonts w:cs="Times New Roman"/>
        </w:rPr>
      </w:pPr>
      <w:r>
        <w:br w:type="page"/>
      </w:r>
    </w:p>
    <w:p w14:paraId="10E4366D" w14:textId="41C2AB16" w:rsidR="009577BF" w:rsidRDefault="009577BF" w:rsidP="009C7FB2">
      <w:pPr>
        <w:pStyle w:val="Body"/>
        <w:spacing w:after="0" w:line="360" w:lineRule="auto"/>
        <w:outlineLvl w:val="0"/>
        <w:rPr>
          <w:rFonts w:cs="Times New Roman"/>
          <w:lang w:val="en-US"/>
        </w:rPr>
      </w:pPr>
      <w:r>
        <w:rPr>
          <w:rFonts w:cs="Times New Roman"/>
          <w:lang w:val="en-US"/>
        </w:rPr>
        <w:lastRenderedPageBreak/>
        <w:t>Figure 1: Flow of study participants</w:t>
      </w:r>
    </w:p>
    <w:p w14:paraId="1E08A1AE" w14:textId="77777777" w:rsidR="009577BF" w:rsidRDefault="009577BF" w:rsidP="00E03168">
      <w:pPr>
        <w:pStyle w:val="Body"/>
        <w:spacing w:after="0" w:line="360" w:lineRule="auto"/>
        <w:rPr>
          <w:rFonts w:cs="Times New Roman"/>
          <w:lang w:val="en-US"/>
        </w:rPr>
      </w:pPr>
    </w:p>
    <w:p w14:paraId="4C2F5EE3" w14:textId="77777777" w:rsidR="009577BF" w:rsidRDefault="009577BF" w:rsidP="00E03168">
      <w:pPr>
        <w:pStyle w:val="Body"/>
        <w:spacing w:after="0" w:line="360" w:lineRule="auto"/>
        <w:rPr>
          <w:rFonts w:cs="Times New Roman"/>
          <w:lang w:val="en-US"/>
        </w:rPr>
      </w:pPr>
      <w:r>
        <w:rPr>
          <w:noProof/>
        </w:rPr>
        <mc:AlternateContent>
          <mc:Choice Requires="wpg">
            <w:drawing>
              <wp:anchor distT="0" distB="0" distL="114300" distR="114300" simplePos="0" relativeHeight="251659264" behindDoc="0" locked="0" layoutInCell="1" allowOverlap="1" wp14:anchorId="5C2B2186" wp14:editId="7DB20883">
                <wp:simplePos x="0" y="0"/>
                <wp:positionH relativeFrom="column">
                  <wp:posOffset>804407</wp:posOffset>
                </wp:positionH>
                <wp:positionV relativeFrom="paragraph">
                  <wp:posOffset>96548</wp:posOffset>
                </wp:positionV>
                <wp:extent cx="4006850" cy="5496339"/>
                <wp:effectExtent l="0" t="0" r="12700" b="28575"/>
                <wp:wrapNone/>
                <wp:docPr id="13" name="Group 13"/>
                <wp:cNvGraphicFramePr/>
                <a:graphic xmlns:a="http://schemas.openxmlformats.org/drawingml/2006/main">
                  <a:graphicData uri="http://schemas.microsoft.com/office/word/2010/wordprocessingGroup">
                    <wpg:wgp>
                      <wpg:cNvGrpSpPr/>
                      <wpg:grpSpPr>
                        <a:xfrm>
                          <a:off x="0" y="0"/>
                          <a:ext cx="4006850" cy="5496339"/>
                          <a:chOff x="0" y="0"/>
                          <a:chExt cx="4006850" cy="5496339"/>
                        </a:xfrm>
                      </wpg:grpSpPr>
                      <wps:wsp>
                        <wps:cNvPr id="1" name="Rectangle 1"/>
                        <wps:cNvSpPr/>
                        <wps:spPr>
                          <a:xfrm>
                            <a:off x="0" y="0"/>
                            <a:ext cx="1600200" cy="685800"/>
                          </a:xfrm>
                          <a:prstGeom prst="rect">
                            <a:avLst/>
                          </a:prstGeom>
                          <a:ln/>
                        </wps:spPr>
                        <wps:style>
                          <a:lnRef idx="2">
                            <a:schemeClr val="dk1"/>
                          </a:lnRef>
                          <a:fillRef idx="1">
                            <a:schemeClr val="lt1"/>
                          </a:fillRef>
                          <a:effectRef idx="0">
                            <a:schemeClr val="dk1"/>
                          </a:effectRef>
                          <a:fontRef idx="minor">
                            <a:schemeClr val="dk1"/>
                          </a:fontRef>
                        </wps:style>
                        <wps:txbx>
                          <w:txbxContent>
                            <w:p w14:paraId="2FB4B829" w14:textId="77777777" w:rsidR="00A95956" w:rsidRDefault="00A95956" w:rsidP="00E03168">
                              <w:pPr>
                                <w:jc w:val="center"/>
                              </w:pPr>
                              <w:r>
                                <w:t>Identified on general practice register</w:t>
                              </w:r>
                            </w:p>
                            <w:p w14:paraId="4309C474" w14:textId="77777777" w:rsidR="00A95956" w:rsidRDefault="00A95956" w:rsidP="00E03168">
                              <w:pPr>
                                <w:jc w:val="center"/>
                              </w:pPr>
                              <w:r>
                                <w:t>n=950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a:off x="803082" y="683812"/>
                            <a:ext cx="0" cy="9144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Rectangle 3"/>
                        <wps:cNvSpPr/>
                        <wps:spPr>
                          <a:xfrm>
                            <a:off x="1828800" y="803082"/>
                            <a:ext cx="2178050" cy="2625725"/>
                          </a:xfrm>
                          <a:prstGeom prst="rect">
                            <a:avLst/>
                          </a:prstGeom>
                          <a:solidFill>
                            <a:sysClr val="window" lastClr="FFFFFF"/>
                          </a:solidFill>
                          <a:ln w="25400" cap="flat" cmpd="sng" algn="ctr">
                            <a:solidFill>
                              <a:sysClr val="windowText" lastClr="000000"/>
                            </a:solidFill>
                            <a:prstDash val="solid"/>
                          </a:ln>
                          <a:effectLst/>
                        </wps:spPr>
                        <wps:txbx>
                          <w:txbxContent>
                            <w:p w14:paraId="033E052A" w14:textId="77777777" w:rsidR="00A95956" w:rsidRDefault="00A95956" w:rsidP="00E03168">
                              <w:pPr>
                                <w:jc w:val="center"/>
                              </w:pPr>
                              <w:r>
                                <w:t>Excluded by practice (n=234)</w:t>
                              </w:r>
                            </w:p>
                            <w:p w14:paraId="7D58DBCB" w14:textId="77777777" w:rsidR="00A95956" w:rsidRDefault="00A95956" w:rsidP="00E03168">
                              <w:pPr>
                                <w:jc w:val="center"/>
                              </w:pPr>
                            </w:p>
                            <w:p w14:paraId="54F4FC26" w14:textId="77777777" w:rsidR="00A95956" w:rsidRDefault="00A95956" w:rsidP="00E03168">
                              <w:pPr>
                                <w:jc w:val="center"/>
                              </w:pPr>
                              <w:r>
                                <w:t>Declined to take part n=95</w:t>
                              </w:r>
                            </w:p>
                            <w:p w14:paraId="557A22E2" w14:textId="77777777" w:rsidR="00A95956" w:rsidRDefault="00A95956" w:rsidP="00E03168">
                              <w:pPr>
                                <w:jc w:val="center"/>
                              </w:pPr>
                              <w:r>
                                <w:t>Too ill n=21</w:t>
                              </w:r>
                            </w:p>
                            <w:p w14:paraId="49991337" w14:textId="77777777" w:rsidR="00A95956" w:rsidRDefault="00A95956" w:rsidP="00E03168">
                              <w:pPr>
                                <w:jc w:val="center"/>
                              </w:pPr>
                              <w:r>
                                <w:t>Cognitive impairment n=23</w:t>
                              </w:r>
                            </w:p>
                            <w:p w14:paraId="1082FA07" w14:textId="77777777" w:rsidR="00A95956" w:rsidRDefault="00A95956" w:rsidP="00E03168">
                              <w:pPr>
                                <w:jc w:val="center"/>
                              </w:pPr>
                              <w:r>
                                <w:t>Deceased n=10</w:t>
                              </w:r>
                            </w:p>
                            <w:p w14:paraId="0BBE983E" w14:textId="77777777" w:rsidR="00A95956" w:rsidRDefault="00A95956" w:rsidP="00E03168">
                              <w:pPr>
                                <w:jc w:val="center"/>
                              </w:pPr>
                              <w:r>
                                <w:t>Left practices n=6</w:t>
                              </w:r>
                            </w:p>
                            <w:p w14:paraId="29E330C2" w14:textId="77777777" w:rsidR="00A95956" w:rsidRDefault="00A95956" w:rsidP="00E03168">
                              <w:pPr>
                                <w:jc w:val="center"/>
                              </w:pPr>
                              <w:r>
                                <w:t>Palliative care n=20</w:t>
                              </w:r>
                            </w:p>
                            <w:p w14:paraId="0BD238BA" w14:textId="77777777" w:rsidR="00A95956" w:rsidRDefault="00A95956" w:rsidP="00E03168">
                              <w:pPr>
                                <w:jc w:val="center"/>
                              </w:pPr>
                              <w:r>
                                <w:t>Cancer diagnosis n=39</w:t>
                              </w:r>
                            </w:p>
                            <w:p w14:paraId="1AD6FE88" w14:textId="77777777" w:rsidR="00A95956" w:rsidRDefault="00A95956" w:rsidP="00E03168">
                              <w:pPr>
                                <w:jc w:val="center"/>
                              </w:pPr>
                              <w:r>
                                <w:t>Recent bereavement n=4</w:t>
                              </w:r>
                            </w:p>
                            <w:p w14:paraId="44EF5B68" w14:textId="77777777" w:rsidR="00A95956" w:rsidRDefault="00A95956" w:rsidP="00E03168">
                              <w:pPr>
                                <w:jc w:val="center"/>
                              </w:pPr>
                              <w:r>
                                <w:t>Address unknown n=2</w:t>
                              </w:r>
                            </w:p>
                            <w:p w14:paraId="2D9280DF" w14:textId="77777777" w:rsidR="00A95956" w:rsidRDefault="00A95956" w:rsidP="00E03168">
                              <w:pPr>
                                <w:jc w:val="center"/>
                              </w:pPr>
                              <w:r>
                                <w:t>Only contactable by family n=5</w:t>
                              </w:r>
                            </w:p>
                            <w:p w14:paraId="6866A78D" w14:textId="77777777" w:rsidR="00A95956" w:rsidRDefault="00A95956" w:rsidP="00E03168">
                              <w:pPr>
                                <w:jc w:val="center"/>
                              </w:pPr>
                              <w:r>
                                <w:t>Unaware of diagnosis n=4</w:t>
                              </w:r>
                            </w:p>
                            <w:p w14:paraId="4536C36F" w14:textId="77777777" w:rsidR="00A95956" w:rsidRDefault="00A95956" w:rsidP="00E03168">
                              <w:pPr>
                                <w:jc w:val="center"/>
                              </w:pPr>
                              <w:r>
                                <w:t>Other reason n=5</w:t>
                              </w:r>
                            </w:p>
                            <w:p w14:paraId="60F452C9" w14:textId="77777777" w:rsidR="00A95956" w:rsidRDefault="00A95956" w:rsidP="00E031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951" y="1598212"/>
                            <a:ext cx="1600200" cy="685800"/>
                          </a:xfrm>
                          <a:prstGeom prst="rect">
                            <a:avLst/>
                          </a:prstGeom>
                          <a:solidFill>
                            <a:sysClr val="window" lastClr="FFFFFF"/>
                          </a:solidFill>
                          <a:ln w="25400" cap="flat" cmpd="sng" algn="ctr">
                            <a:solidFill>
                              <a:sysClr val="windowText" lastClr="000000"/>
                            </a:solidFill>
                            <a:prstDash val="solid"/>
                          </a:ln>
                          <a:effectLst/>
                        </wps:spPr>
                        <wps:txbx>
                          <w:txbxContent>
                            <w:p w14:paraId="0E05C967" w14:textId="77777777" w:rsidR="00A95956" w:rsidRDefault="00A95956" w:rsidP="00E03168">
                              <w:pPr>
                                <w:jc w:val="center"/>
                              </w:pPr>
                              <w:r>
                                <w:t xml:space="preserve">Mailed </w:t>
                              </w:r>
                            </w:p>
                            <w:p w14:paraId="0F0C1A69" w14:textId="77777777" w:rsidR="00A95956" w:rsidRDefault="00A95956" w:rsidP="00E03168">
                              <w:pPr>
                                <w:jc w:val="center"/>
                              </w:pPr>
                              <w:r>
                                <w:t>n=716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803082" y="1144988"/>
                            <a:ext cx="1025718"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803082" y="2282024"/>
                            <a:ext cx="0" cy="914400"/>
                          </a:xfrm>
                          <a:prstGeom prst="straightConnector1">
                            <a:avLst/>
                          </a:prstGeom>
                          <a:noFill/>
                          <a:ln w="15875" cap="flat" cmpd="sng" algn="ctr">
                            <a:solidFill>
                              <a:sysClr val="windowText" lastClr="000000"/>
                            </a:solidFill>
                            <a:prstDash val="solid"/>
                            <a:tailEnd type="arrow"/>
                          </a:ln>
                          <a:effectLst/>
                        </wps:spPr>
                        <wps:bodyPr/>
                      </wps:wsp>
                      <wps:wsp>
                        <wps:cNvPr id="8" name="Rectangle 8"/>
                        <wps:cNvSpPr/>
                        <wps:spPr>
                          <a:xfrm>
                            <a:off x="0" y="3212327"/>
                            <a:ext cx="1600200" cy="685800"/>
                          </a:xfrm>
                          <a:prstGeom prst="rect">
                            <a:avLst/>
                          </a:prstGeom>
                          <a:solidFill>
                            <a:sysClr val="window" lastClr="FFFFFF"/>
                          </a:solidFill>
                          <a:ln w="25400" cap="flat" cmpd="sng" algn="ctr">
                            <a:solidFill>
                              <a:sysClr val="windowText" lastClr="000000"/>
                            </a:solidFill>
                            <a:prstDash val="solid"/>
                          </a:ln>
                          <a:effectLst/>
                        </wps:spPr>
                        <wps:txbx>
                          <w:txbxContent>
                            <w:p w14:paraId="532C7C5B" w14:textId="77777777" w:rsidR="00A95956" w:rsidRDefault="00A95956" w:rsidP="00E03168">
                              <w:pPr>
                                <w:jc w:val="center"/>
                              </w:pPr>
                              <w:r>
                                <w:t>Returned questionnaire</w:t>
                              </w:r>
                            </w:p>
                            <w:p w14:paraId="6CAB8693" w14:textId="77777777" w:rsidR="00A95956" w:rsidRDefault="00A95956" w:rsidP="00E03168">
                              <w:pPr>
                                <w:jc w:val="center"/>
                              </w:pPr>
                              <w:r>
                                <w:t>n=397 (55.4%)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803082" y="3896139"/>
                            <a:ext cx="0" cy="914400"/>
                          </a:xfrm>
                          <a:prstGeom prst="straightConnector1">
                            <a:avLst/>
                          </a:prstGeom>
                          <a:noFill/>
                          <a:ln w="15875" cap="flat" cmpd="sng" algn="ctr">
                            <a:solidFill>
                              <a:sysClr val="windowText" lastClr="000000"/>
                            </a:solidFill>
                            <a:prstDash val="solid"/>
                            <a:tailEnd type="arrow"/>
                          </a:ln>
                          <a:effectLst/>
                        </wps:spPr>
                        <wps:bodyPr/>
                      </wps:wsp>
                      <wps:wsp>
                        <wps:cNvPr id="10" name="Rectangle 10"/>
                        <wps:cNvSpPr/>
                        <wps:spPr>
                          <a:xfrm>
                            <a:off x="1828800" y="4063117"/>
                            <a:ext cx="1943100" cy="548640"/>
                          </a:xfrm>
                          <a:prstGeom prst="rect">
                            <a:avLst/>
                          </a:prstGeom>
                          <a:solidFill>
                            <a:sysClr val="window" lastClr="FFFFFF"/>
                          </a:solidFill>
                          <a:ln w="25400" cap="flat" cmpd="sng" algn="ctr">
                            <a:solidFill>
                              <a:sysClr val="windowText" lastClr="000000"/>
                            </a:solidFill>
                            <a:prstDash val="solid"/>
                          </a:ln>
                          <a:effectLst/>
                        </wps:spPr>
                        <wps:txbx>
                          <w:txbxContent>
                            <w:p w14:paraId="13A804ED" w14:textId="77777777" w:rsidR="00A95956" w:rsidRDefault="00A95956" w:rsidP="00E03168">
                              <w:pPr>
                                <w:jc w:val="center"/>
                              </w:pPr>
                              <w:r>
                                <w:t>Blank n=42 (10.6%)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803082" y="4333461"/>
                            <a:ext cx="1025525" cy="0"/>
                          </a:xfrm>
                          <a:prstGeom prst="straightConnector1">
                            <a:avLst/>
                          </a:prstGeom>
                          <a:noFill/>
                          <a:ln w="19050" cap="flat" cmpd="sng" algn="ctr">
                            <a:solidFill>
                              <a:sysClr val="windowText" lastClr="000000"/>
                            </a:solidFill>
                            <a:prstDash val="solid"/>
                            <a:tailEnd type="arrow"/>
                          </a:ln>
                          <a:effectLst/>
                        </wps:spPr>
                        <wps:bodyPr/>
                      </wps:wsp>
                      <wps:wsp>
                        <wps:cNvPr id="12" name="Rectangle 12"/>
                        <wps:cNvSpPr/>
                        <wps:spPr>
                          <a:xfrm>
                            <a:off x="0" y="4810539"/>
                            <a:ext cx="1600200" cy="685800"/>
                          </a:xfrm>
                          <a:prstGeom prst="rect">
                            <a:avLst/>
                          </a:prstGeom>
                          <a:solidFill>
                            <a:sysClr val="window" lastClr="FFFFFF"/>
                          </a:solidFill>
                          <a:ln w="25400" cap="flat" cmpd="sng" algn="ctr">
                            <a:solidFill>
                              <a:sysClr val="windowText" lastClr="000000"/>
                            </a:solidFill>
                            <a:prstDash val="solid"/>
                          </a:ln>
                          <a:effectLst/>
                        </wps:spPr>
                        <wps:txbx>
                          <w:txbxContent>
                            <w:p w14:paraId="1CFFF1ED" w14:textId="77777777" w:rsidR="00A95956" w:rsidRDefault="00A95956" w:rsidP="00E03168">
                              <w:pPr>
                                <w:jc w:val="center"/>
                              </w:pPr>
                              <w:r>
                                <w:t>Complete</w:t>
                              </w:r>
                            </w:p>
                            <w:p w14:paraId="21F0D00A" w14:textId="77777777" w:rsidR="00A95956" w:rsidRDefault="00A95956" w:rsidP="00E03168">
                              <w:pPr>
                                <w:jc w:val="center"/>
                              </w:pPr>
                              <w:r>
                                <w:t>n=355 (49.5%)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2B2186" id="Group 13" o:spid="_x0000_s1026" style="position:absolute;margin-left:63.35pt;margin-top:7.6pt;width:315.5pt;height:432.8pt;z-index:251659264" coordsize="40068,5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">
                <v:rect id="Rectangle 1" o:spid="_x0000_s1027" style="position:absolute;width:1600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" fillcolor="white [3201]" strokecolor="black [3200]" strokeweight="2pt">
                  <v:textbox>
                    <w:txbxContent>
                      <w:p w14:paraId="2FB4B829" w14:textId="77777777" w:rsidR="00A95956" w:rsidRDefault="00A95956" w:rsidP="00E03168">
                        <w:pPr>
                          <w:jc w:val="center"/>
                        </w:pPr>
                        <w:r>
                          <w:t>Identified on general practice register</w:t>
                        </w:r>
                      </w:p>
                      <w:p w14:paraId="4309C474" w14:textId="77777777" w:rsidR="00A95956" w:rsidRDefault="00A95956" w:rsidP="00E03168">
                        <w:pPr>
                          <w:jc w:val="center"/>
                        </w:pPr>
                        <w:r>
                          <w:t>n=950</w:t>
                        </w:r>
                      </w:p>
                    </w:txbxContent>
                  </v:textbox>
                </v:rect>
                <v:shapetype id="_x0000_t32" coordsize="21600,21600" o:spt="32" o:oned="t" path="m,l21600,21600e" filled="f">
                  <v:path arrowok="t" fillok="f" o:connecttype="none"/>
                  <o:lock v:ext="edit" shapetype="t"/>
                </v:shapetype>
                <v:shape id="Straight Arrow Connector 2" o:spid="_x0000_s1028" type="#_x0000_t32" style="position:absolute;left:8030;top:6838;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" strokecolor="black [3213]" strokeweight="1.25pt">
                  <v:stroke endarrow="open"/>
                </v:shape>
                <v:rect id="Rectangle 3" o:spid="_x0000_s1029" style="position:absolute;left:18288;top:8030;width:21780;height:26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textbox>
                    <w:txbxContent>
                      <w:p w14:paraId="033E052A" w14:textId="77777777" w:rsidR="00A95956" w:rsidRDefault="00A95956" w:rsidP="00E03168">
                        <w:pPr>
                          <w:jc w:val="center"/>
                        </w:pPr>
                        <w:r>
                          <w:t>Excluded by practice (n=234)</w:t>
                        </w:r>
                      </w:p>
                      <w:p w14:paraId="7D58DBCB" w14:textId="77777777" w:rsidR="00A95956" w:rsidRDefault="00A95956" w:rsidP="00E03168">
                        <w:pPr>
                          <w:jc w:val="center"/>
                        </w:pPr>
                      </w:p>
                      <w:p w14:paraId="54F4FC26" w14:textId="77777777" w:rsidR="00A95956" w:rsidRDefault="00A95956" w:rsidP="00E03168">
                        <w:pPr>
                          <w:jc w:val="center"/>
                        </w:pPr>
                        <w:r>
                          <w:t>Declined to take part n=95</w:t>
                        </w:r>
                      </w:p>
                      <w:p w14:paraId="557A22E2" w14:textId="77777777" w:rsidR="00A95956" w:rsidRDefault="00A95956" w:rsidP="00E03168">
                        <w:pPr>
                          <w:jc w:val="center"/>
                        </w:pPr>
                        <w:r>
                          <w:t>Too ill n=21</w:t>
                        </w:r>
                      </w:p>
                      <w:p w14:paraId="49991337" w14:textId="77777777" w:rsidR="00A95956" w:rsidRDefault="00A95956" w:rsidP="00E03168">
                        <w:pPr>
                          <w:jc w:val="center"/>
                        </w:pPr>
                        <w:r>
                          <w:t>Cognitive impairment n=23</w:t>
                        </w:r>
                      </w:p>
                      <w:p w14:paraId="1082FA07" w14:textId="77777777" w:rsidR="00A95956" w:rsidRDefault="00A95956" w:rsidP="00E03168">
                        <w:pPr>
                          <w:jc w:val="center"/>
                        </w:pPr>
                        <w:r>
                          <w:t>Deceased n=10</w:t>
                        </w:r>
                      </w:p>
                      <w:p w14:paraId="0BBE983E" w14:textId="77777777" w:rsidR="00A95956" w:rsidRDefault="00A95956" w:rsidP="00E03168">
                        <w:pPr>
                          <w:jc w:val="center"/>
                        </w:pPr>
                        <w:r>
                          <w:t>Left practices n=6</w:t>
                        </w:r>
                      </w:p>
                      <w:p w14:paraId="29E330C2" w14:textId="77777777" w:rsidR="00A95956" w:rsidRDefault="00A95956" w:rsidP="00E03168">
                        <w:pPr>
                          <w:jc w:val="center"/>
                        </w:pPr>
                        <w:r>
                          <w:t>Palliative care n=20</w:t>
                        </w:r>
                      </w:p>
                      <w:p w14:paraId="0BD238BA" w14:textId="77777777" w:rsidR="00A95956" w:rsidRDefault="00A95956" w:rsidP="00E03168">
                        <w:pPr>
                          <w:jc w:val="center"/>
                        </w:pPr>
                        <w:r>
                          <w:t>Cancer diagnosis n=39</w:t>
                        </w:r>
                      </w:p>
                      <w:p w14:paraId="1AD6FE88" w14:textId="77777777" w:rsidR="00A95956" w:rsidRDefault="00A95956" w:rsidP="00E03168">
                        <w:pPr>
                          <w:jc w:val="center"/>
                        </w:pPr>
                        <w:r>
                          <w:t>Recent bereavement n=4</w:t>
                        </w:r>
                      </w:p>
                      <w:p w14:paraId="44EF5B68" w14:textId="77777777" w:rsidR="00A95956" w:rsidRDefault="00A95956" w:rsidP="00E03168">
                        <w:pPr>
                          <w:jc w:val="center"/>
                        </w:pPr>
                        <w:r>
                          <w:t>Address unknown n=2</w:t>
                        </w:r>
                      </w:p>
                      <w:p w14:paraId="2D9280DF" w14:textId="77777777" w:rsidR="00A95956" w:rsidRDefault="00A95956" w:rsidP="00E03168">
                        <w:pPr>
                          <w:jc w:val="center"/>
                        </w:pPr>
                        <w:r>
                          <w:t>Only contactable by family n=5</w:t>
                        </w:r>
                      </w:p>
                      <w:p w14:paraId="6866A78D" w14:textId="77777777" w:rsidR="00A95956" w:rsidRDefault="00A95956" w:rsidP="00E03168">
                        <w:pPr>
                          <w:jc w:val="center"/>
                        </w:pPr>
                        <w:r>
                          <w:t>Unaware of diagnosis n=4</w:t>
                        </w:r>
                      </w:p>
                      <w:p w14:paraId="4536C36F" w14:textId="77777777" w:rsidR="00A95956" w:rsidRDefault="00A95956" w:rsidP="00E03168">
                        <w:pPr>
                          <w:jc w:val="center"/>
                        </w:pPr>
                        <w:r>
                          <w:t>Other reason n=5</w:t>
                        </w:r>
                      </w:p>
                      <w:p w14:paraId="60F452C9" w14:textId="77777777" w:rsidR="00A95956" w:rsidRDefault="00A95956" w:rsidP="00E03168">
                        <w:pPr>
                          <w:jc w:val="center"/>
                        </w:pPr>
                      </w:p>
                    </w:txbxContent>
                  </v:textbox>
                </v:rect>
                <v:rect id="Rectangle 4" o:spid="_x0000_s1030" style="position:absolute;left:79;top:15982;width:1600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EwvgAAANoAAAAPAAAAZHJzL2Rvd25yZXYueG1sRE9Ni8Iw&#10;EL0v+B/CCHsRTRVZ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MUOwTC+AAAA2gAAAA8AAAAAAAAA&#10;AAAAAAAABwIAAGRycy9kb3ducmV2LnhtbFBLBQYAAAAAAwADALcAAADyAgAAAAA=&#10;" fillcolor="window" strokecolor="windowText" strokeweight="2pt">
                  <v:textbox>
                    <w:txbxContent>
                      <w:p w14:paraId="0E05C967" w14:textId="77777777" w:rsidR="00A95956" w:rsidRDefault="00A95956" w:rsidP="00E03168">
                        <w:pPr>
                          <w:jc w:val="center"/>
                        </w:pPr>
                        <w:r>
                          <w:t xml:space="preserve">Mailed </w:t>
                        </w:r>
                      </w:p>
                      <w:p w14:paraId="0F0C1A69" w14:textId="77777777" w:rsidR="00A95956" w:rsidRDefault="00A95956" w:rsidP="00E03168">
                        <w:pPr>
                          <w:jc w:val="center"/>
                        </w:pPr>
                        <w:r>
                          <w:t>n=716</w:t>
                        </w:r>
                      </w:p>
                    </w:txbxContent>
                  </v:textbox>
                </v:rect>
                <v:shape id="Straight Arrow Connector 5" o:spid="_x0000_s1031" type="#_x0000_t32" style="position:absolute;left:8030;top:11449;width:102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" strokecolor="black [3213]" strokeweight="1.5pt">
                  <v:stroke endarrow="open"/>
                </v:shape>
                <v:shape id="Straight Arrow Connector 6" o:spid="_x0000_s1032" type="#_x0000_t32" style="position:absolute;left:8030;top:22820;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" strokecolor="windowText" strokeweight="1.25pt">
                  <v:stroke endarrow="open"/>
                </v:shape>
                <v:rect id="Rectangle 8" o:spid="_x0000_s1033" style="position:absolute;top:32123;width:1600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textbox>
                    <w:txbxContent>
                      <w:p w14:paraId="532C7C5B" w14:textId="77777777" w:rsidR="00A95956" w:rsidRDefault="00A95956" w:rsidP="00E03168">
                        <w:pPr>
                          <w:jc w:val="center"/>
                        </w:pPr>
                        <w:r>
                          <w:t>Returned questionnaire</w:t>
                        </w:r>
                      </w:p>
                      <w:p w14:paraId="6CAB8693" w14:textId="77777777" w:rsidR="00A95956" w:rsidRDefault="00A95956" w:rsidP="00E03168">
                        <w:pPr>
                          <w:jc w:val="center"/>
                        </w:pPr>
                        <w:r>
                          <w:t>n=397 (55.4%)</w:t>
                        </w:r>
                      </w:p>
                    </w:txbxContent>
                  </v:textbox>
                </v:rect>
                <v:shape id="Straight Arrow Connector 9" o:spid="_x0000_s1034" type="#_x0000_t32" style="position:absolute;left:8030;top:38961;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" strokecolor="windowText" strokeweight="1.25pt">
                  <v:stroke endarrow="open"/>
                </v:shape>
                <v:rect id="Rectangle 10" o:spid="_x0000_s1035" style="position:absolute;left:18288;top:40631;width:19431;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textbox>
                    <w:txbxContent>
                      <w:p w14:paraId="13A804ED" w14:textId="77777777" w:rsidR="00A95956" w:rsidRDefault="00A95956" w:rsidP="00E03168">
                        <w:pPr>
                          <w:jc w:val="center"/>
                        </w:pPr>
                        <w:r>
                          <w:t>Blank n=42 (10.6%)</w:t>
                        </w:r>
                      </w:p>
                    </w:txbxContent>
                  </v:textbox>
                </v:rect>
                <v:shape id="Straight Arrow Connector 11" o:spid="_x0000_s1036" type="#_x0000_t32" style="position:absolute;left:8030;top:43334;width:10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" strokecolor="windowText" strokeweight="1.5pt">
                  <v:stroke endarrow="open"/>
                </v:shape>
                <v:rect id="Rectangle 12" o:spid="_x0000_s1037" style="position:absolute;top:48105;width:1600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" fillcolor="window" strokecolor="windowText" strokeweight="2pt">
                  <v:textbox>
                    <w:txbxContent>
                      <w:p w14:paraId="1CFFF1ED" w14:textId="77777777" w:rsidR="00A95956" w:rsidRDefault="00A95956" w:rsidP="00E03168">
                        <w:pPr>
                          <w:jc w:val="center"/>
                        </w:pPr>
                        <w:r>
                          <w:t>Complete</w:t>
                        </w:r>
                      </w:p>
                      <w:p w14:paraId="21F0D00A" w14:textId="77777777" w:rsidR="00A95956" w:rsidRDefault="00A95956" w:rsidP="00E03168">
                        <w:pPr>
                          <w:jc w:val="center"/>
                        </w:pPr>
                        <w:r>
                          <w:t>n=355 (49.5%)</w:t>
                        </w:r>
                      </w:p>
                    </w:txbxContent>
                  </v:textbox>
                </v:rect>
              </v:group>
            </w:pict>
          </mc:Fallback>
        </mc:AlternateContent>
      </w:r>
    </w:p>
    <w:p w14:paraId="5057F9AA" w14:textId="77777777" w:rsidR="009577BF" w:rsidRDefault="009577BF" w:rsidP="00E03168">
      <w:pPr>
        <w:pStyle w:val="Body"/>
        <w:spacing w:after="0" w:line="360" w:lineRule="auto"/>
        <w:rPr>
          <w:rFonts w:cs="Times New Roman"/>
          <w:lang w:val="en-US"/>
        </w:rPr>
      </w:pPr>
    </w:p>
    <w:p w14:paraId="5A11C85F" w14:textId="77777777" w:rsidR="009577BF" w:rsidRDefault="009577BF" w:rsidP="00E03168">
      <w:pPr>
        <w:pStyle w:val="Body"/>
        <w:spacing w:after="0" w:line="360" w:lineRule="auto"/>
        <w:rPr>
          <w:rFonts w:cs="Times New Roman"/>
          <w:lang w:val="en-US"/>
        </w:rPr>
      </w:pPr>
    </w:p>
    <w:p w14:paraId="7740C7A4" w14:textId="77777777" w:rsidR="009577BF" w:rsidRDefault="009577BF" w:rsidP="00E03168">
      <w:pPr>
        <w:pStyle w:val="Body"/>
        <w:spacing w:after="0" w:line="360" w:lineRule="auto"/>
        <w:rPr>
          <w:rFonts w:cs="Times New Roman"/>
          <w:lang w:val="en-US"/>
        </w:rPr>
      </w:pPr>
    </w:p>
    <w:p w14:paraId="0B37C456" w14:textId="77777777" w:rsidR="009577BF" w:rsidRDefault="009577BF" w:rsidP="00E03168">
      <w:pPr>
        <w:pStyle w:val="Body"/>
        <w:spacing w:after="0" w:line="360" w:lineRule="auto"/>
        <w:rPr>
          <w:rFonts w:cs="Times New Roman"/>
          <w:lang w:val="en-US"/>
        </w:rPr>
      </w:pPr>
    </w:p>
    <w:p w14:paraId="7573BE21" w14:textId="77777777" w:rsidR="009577BF" w:rsidRDefault="009577BF" w:rsidP="00E03168">
      <w:pPr>
        <w:pStyle w:val="Body"/>
        <w:spacing w:after="0" w:line="360" w:lineRule="auto"/>
        <w:rPr>
          <w:rFonts w:cs="Times New Roman"/>
          <w:lang w:val="en-US"/>
        </w:rPr>
      </w:pPr>
    </w:p>
    <w:p w14:paraId="7451DC3D" w14:textId="77777777" w:rsidR="009577BF" w:rsidRDefault="009577BF" w:rsidP="00E03168">
      <w:pPr>
        <w:pStyle w:val="Body"/>
        <w:spacing w:after="0" w:line="360" w:lineRule="auto"/>
        <w:rPr>
          <w:rFonts w:cs="Times New Roman"/>
          <w:lang w:val="en-US"/>
        </w:rPr>
      </w:pPr>
    </w:p>
    <w:p w14:paraId="037B11DD" w14:textId="77777777" w:rsidR="009577BF" w:rsidRDefault="009577BF" w:rsidP="00E03168">
      <w:pPr>
        <w:pStyle w:val="Body"/>
        <w:spacing w:after="0" w:line="360" w:lineRule="auto"/>
        <w:rPr>
          <w:rFonts w:cs="Times New Roman"/>
          <w:lang w:val="en-US"/>
        </w:rPr>
      </w:pPr>
    </w:p>
    <w:p w14:paraId="23690EF3" w14:textId="77777777" w:rsidR="009577BF" w:rsidRDefault="009577BF" w:rsidP="00E03168">
      <w:pPr>
        <w:pStyle w:val="Body"/>
        <w:spacing w:after="0" w:line="360" w:lineRule="auto"/>
        <w:rPr>
          <w:rFonts w:cs="Times New Roman"/>
          <w:lang w:val="en-US"/>
        </w:rPr>
      </w:pPr>
    </w:p>
    <w:p w14:paraId="106F3495" w14:textId="77777777" w:rsidR="009577BF" w:rsidRDefault="009577BF" w:rsidP="00E03168">
      <w:pPr>
        <w:pStyle w:val="Body"/>
        <w:spacing w:after="0" w:line="360" w:lineRule="auto"/>
        <w:rPr>
          <w:rFonts w:cs="Times New Roman"/>
          <w:lang w:val="en-US"/>
        </w:rPr>
      </w:pPr>
    </w:p>
    <w:p w14:paraId="1540E35E" w14:textId="77777777" w:rsidR="009577BF" w:rsidRDefault="009577BF" w:rsidP="00E03168">
      <w:pPr>
        <w:pStyle w:val="Body"/>
        <w:spacing w:after="0" w:line="360" w:lineRule="auto"/>
        <w:rPr>
          <w:rFonts w:cs="Times New Roman"/>
          <w:lang w:val="en-US"/>
        </w:rPr>
      </w:pPr>
    </w:p>
    <w:p w14:paraId="755F3934" w14:textId="77777777" w:rsidR="009577BF" w:rsidRDefault="009577BF" w:rsidP="00E03168">
      <w:pPr>
        <w:pStyle w:val="Body"/>
        <w:spacing w:after="0" w:line="360" w:lineRule="auto"/>
        <w:rPr>
          <w:rFonts w:cs="Times New Roman"/>
          <w:lang w:val="en-US"/>
        </w:rPr>
      </w:pPr>
    </w:p>
    <w:p w14:paraId="61227899" w14:textId="77777777" w:rsidR="009577BF" w:rsidRDefault="009577BF" w:rsidP="00E03168">
      <w:pPr>
        <w:pStyle w:val="Body"/>
        <w:spacing w:after="0" w:line="360" w:lineRule="auto"/>
        <w:rPr>
          <w:rFonts w:cs="Times New Roman"/>
          <w:lang w:val="en-US"/>
        </w:rPr>
      </w:pPr>
    </w:p>
    <w:p w14:paraId="02797767" w14:textId="77777777" w:rsidR="009577BF" w:rsidRDefault="009577BF" w:rsidP="00E03168">
      <w:pPr>
        <w:pStyle w:val="Body"/>
        <w:spacing w:after="0" w:line="360" w:lineRule="auto"/>
        <w:rPr>
          <w:rFonts w:cs="Times New Roman"/>
          <w:lang w:val="en-US"/>
        </w:rPr>
      </w:pPr>
    </w:p>
    <w:p w14:paraId="08E65A87" w14:textId="77777777" w:rsidR="009577BF" w:rsidRDefault="009577BF" w:rsidP="00E03168">
      <w:pPr>
        <w:pStyle w:val="Body"/>
        <w:spacing w:after="0" w:line="360" w:lineRule="auto"/>
        <w:rPr>
          <w:rFonts w:cs="Times New Roman"/>
          <w:lang w:val="en-US"/>
        </w:rPr>
      </w:pPr>
    </w:p>
    <w:p w14:paraId="082B91B0" w14:textId="77777777" w:rsidR="009577BF" w:rsidRDefault="009577BF" w:rsidP="00E03168">
      <w:pPr>
        <w:pStyle w:val="Body"/>
        <w:spacing w:after="0" w:line="360" w:lineRule="auto"/>
        <w:rPr>
          <w:rFonts w:cs="Times New Roman"/>
          <w:lang w:val="en-US"/>
        </w:rPr>
      </w:pPr>
    </w:p>
    <w:p w14:paraId="0A80D098" w14:textId="77777777" w:rsidR="009577BF" w:rsidRDefault="009577BF" w:rsidP="00E03168">
      <w:pPr>
        <w:pStyle w:val="Body"/>
        <w:spacing w:after="0" w:line="360" w:lineRule="auto"/>
        <w:rPr>
          <w:rFonts w:cs="Times New Roman"/>
          <w:lang w:val="en-US"/>
        </w:rPr>
      </w:pPr>
    </w:p>
    <w:p w14:paraId="0ACEFC44" w14:textId="77777777" w:rsidR="009577BF" w:rsidRDefault="009577BF" w:rsidP="00E03168">
      <w:pPr>
        <w:pStyle w:val="Body"/>
        <w:spacing w:after="0" w:line="360" w:lineRule="auto"/>
        <w:rPr>
          <w:rFonts w:cs="Times New Roman"/>
          <w:lang w:val="en-US"/>
        </w:rPr>
      </w:pPr>
    </w:p>
    <w:p w14:paraId="41B06D3F" w14:textId="77777777" w:rsidR="009577BF" w:rsidRDefault="009577BF" w:rsidP="00E03168">
      <w:pPr>
        <w:pStyle w:val="Body"/>
        <w:spacing w:after="0" w:line="360" w:lineRule="auto"/>
        <w:rPr>
          <w:rFonts w:cs="Times New Roman"/>
          <w:lang w:val="en-US"/>
        </w:rPr>
      </w:pPr>
    </w:p>
    <w:p w14:paraId="285BEF72" w14:textId="77777777" w:rsidR="009577BF" w:rsidRDefault="009577BF" w:rsidP="00E03168">
      <w:pPr>
        <w:pStyle w:val="Body"/>
        <w:spacing w:after="0" w:line="360" w:lineRule="auto"/>
        <w:rPr>
          <w:rFonts w:cs="Times New Roman"/>
          <w:lang w:val="en-US"/>
        </w:rPr>
      </w:pPr>
    </w:p>
    <w:p w14:paraId="69FDA807" w14:textId="77777777" w:rsidR="009577BF" w:rsidRDefault="009577BF" w:rsidP="00E03168">
      <w:pPr>
        <w:pStyle w:val="Body"/>
        <w:spacing w:after="0" w:line="360" w:lineRule="auto"/>
        <w:rPr>
          <w:rFonts w:cs="Times New Roman"/>
          <w:lang w:val="en-US"/>
        </w:rPr>
      </w:pPr>
    </w:p>
    <w:p w14:paraId="4323F68D" w14:textId="77777777" w:rsidR="009577BF" w:rsidRDefault="009577BF" w:rsidP="00E03168">
      <w:pPr>
        <w:pStyle w:val="Body"/>
        <w:spacing w:after="0" w:line="360" w:lineRule="auto"/>
        <w:rPr>
          <w:rFonts w:cs="Times New Roman"/>
          <w:lang w:val="en-US"/>
        </w:rPr>
      </w:pPr>
    </w:p>
    <w:p w14:paraId="55B6492D" w14:textId="77777777" w:rsidR="009577BF" w:rsidRDefault="009577BF" w:rsidP="00E03168">
      <w:pPr>
        <w:pStyle w:val="Body"/>
        <w:spacing w:after="0" w:line="360" w:lineRule="auto"/>
        <w:rPr>
          <w:rFonts w:cs="Times New Roman"/>
          <w:lang w:val="en-US"/>
        </w:rPr>
      </w:pPr>
    </w:p>
    <w:p w14:paraId="4D2227E7" w14:textId="77777777" w:rsidR="009577BF" w:rsidRDefault="009577BF" w:rsidP="00E03168">
      <w:pPr>
        <w:pStyle w:val="Body"/>
        <w:spacing w:after="0" w:line="360" w:lineRule="auto"/>
        <w:rPr>
          <w:rFonts w:cs="Times New Roman"/>
          <w:lang w:val="en-US"/>
        </w:rPr>
      </w:pPr>
    </w:p>
    <w:p w14:paraId="3261999E" w14:textId="77777777" w:rsidR="009577BF" w:rsidRDefault="009577BF" w:rsidP="00E03168">
      <w:pPr>
        <w:pStyle w:val="Body"/>
        <w:spacing w:after="0" w:line="360" w:lineRule="auto"/>
        <w:rPr>
          <w:rFonts w:cs="Times New Roman"/>
          <w:lang w:val="en-US"/>
        </w:rPr>
      </w:pPr>
    </w:p>
    <w:p w14:paraId="654F0DED" w14:textId="77777777" w:rsidR="009577BF" w:rsidRDefault="009577BF" w:rsidP="00E03168">
      <w:pPr>
        <w:pStyle w:val="Body"/>
        <w:spacing w:after="0" w:line="360" w:lineRule="auto"/>
        <w:rPr>
          <w:rFonts w:cs="Times New Roman"/>
          <w:lang w:val="en-US"/>
        </w:rPr>
      </w:pPr>
    </w:p>
    <w:p w14:paraId="24D61A89" w14:textId="77777777" w:rsidR="009577BF" w:rsidRDefault="009577BF" w:rsidP="00E03168">
      <w:pPr>
        <w:pStyle w:val="Body"/>
        <w:spacing w:after="0" w:line="360" w:lineRule="auto"/>
        <w:rPr>
          <w:rFonts w:cs="Times New Roman"/>
          <w:lang w:val="en-US"/>
        </w:rPr>
      </w:pPr>
    </w:p>
    <w:p w14:paraId="44C4C0A7" w14:textId="77777777" w:rsidR="009577BF" w:rsidRDefault="009577BF" w:rsidP="00E03168">
      <w:pPr>
        <w:pStyle w:val="Body"/>
        <w:spacing w:after="0" w:line="360" w:lineRule="auto"/>
        <w:rPr>
          <w:rFonts w:cs="Times New Roman"/>
          <w:lang w:val="en-US"/>
        </w:rPr>
      </w:pPr>
    </w:p>
    <w:p w14:paraId="4B1F9A10" w14:textId="77777777" w:rsidR="009577BF" w:rsidRDefault="009577BF" w:rsidP="00E03168">
      <w:pPr>
        <w:pStyle w:val="Body"/>
        <w:spacing w:after="0" w:line="360" w:lineRule="auto"/>
        <w:rPr>
          <w:rFonts w:cs="Times New Roman"/>
          <w:lang w:val="en-US"/>
        </w:rPr>
      </w:pPr>
    </w:p>
    <w:p w14:paraId="16663806" w14:textId="77777777" w:rsidR="009577BF" w:rsidRDefault="009577BF" w:rsidP="00E03168">
      <w:pPr>
        <w:pStyle w:val="Body"/>
        <w:spacing w:after="0" w:line="360" w:lineRule="auto"/>
        <w:rPr>
          <w:rFonts w:cs="Times New Roman"/>
          <w:lang w:val="en-US"/>
        </w:rPr>
      </w:pPr>
    </w:p>
    <w:p w14:paraId="6A7FFA58" w14:textId="77777777" w:rsidR="009577BF" w:rsidRDefault="009577BF" w:rsidP="00E03168">
      <w:pPr>
        <w:pStyle w:val="Body"/>
        <w:spacing w:after="0" w:line="360" w:lineRule="auto"/>
        <w:rPr>
          <w:rFonts w:cs="Times New Roman"/>
          <w:lang w:val="en-US"/>
        </w:rPr>
      </w:pPr>
    </w:p>
    <w:p w14:paraId="75F24D18" w14:textId="77777777" w:rsidR="009577BF" w:rsidRPr="007E3F23" w:rsidRDefault="009577BF" w:rsidP="00E03168">
      <w:pPr>
        <w:pStyle w:val="NormalWeb"/>
        <w:spacing w:before="0" w:after="0" w:line="360" w:lineRule="auto"/>
        <w:rPr>
          <w:rFonts w:ascii="Times New Roman" w:eastAsia="Times New Roman" w:hAnsi="Times New Roman" w:cs="Times New Roman"/>
          <w:sz w:val="22"/>
          <w:szCs w:val="22"/>
        </w:rPr>
      </w:pPr>
    </w:p>
    <w:p w14:paraId="20BE7B2F" w14:textId="47B75CAE" w:rsidR="00AA23BD" w:rsidRPr="003C0405" w:rsidRDefault="003C0405" w:rsidP="003C0405">
      <w:pPr>
        <w:pStyle w:val="Body"/>
        <w:spacing w:after="0" w:line="360" w:lineRule="auto"/>
        <w:outlineLvl w:val="0"/>
        <w:rPr>
          <w:rFonts w:cs="Times New Roman"/>
          <w:lang w:val="en-US"/>
        </w:rPr>
      </w:pPr>
      <w:r>
        <w:rPr>
          <w:rFonts w:cs="Times New Roman"/>
          <w:lang w:val="en-US"/>
        </w:rPr>
        <w:lastRenderedPageBreak/>
        <w:t xml:space="preserve">Table 1: </w:t>
      </w:r>
      <w:r w:rsidR="00AA23BD" w:rsidRPr="003C0405">
        <w:rPr>
          <w:rFonts w:cs="Times New Roman"/>
          <w:lang w:val="en-US"/>
        </w:rPr>
        <w:t xml:space="preserve">Characteristics of the 355 study participants: significance of effect on attendance at </w:t>
      </w:r>
      <w:r w:rsidR="00734D6F">
        <w:rPr>
          <w:rFonts w:cs="Times New Roman"/>
          <w:lang w:val="en-US"/>
        </w:rPr>
        <w:t>ED</w:t>
      </w:r>
      <w:r w:rsidR="00AA23BD" w:rsidRPr="003C0405">
        <w:rPr>
          <w:rFonts w:cs="Times New Roman"/>
          <w:lang w:val="en-US"/>
        </w:rPr>
        <w:t xml:space="preserve"> and non-elective admissions in the follow up year.</w:t>
      </w:r>
    </w:p>
    <w:p w14:paraId="46887CFC" w14:textId="77777777" w:rsidR="00AA23BD" w:rsidRPr="00B044CE" w:rsidRDefault="00AA23BD" w:rsidP="00AA23BD">
      <w:pPr>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276"/>
        <w:gridCol w:w="1276"/>
        <w:gridCol w:w="1276"/>
        <w:gridCol w:w="850"/>
        <w:gridCol w:w="1276"/>
        <w:gridCol w:w="1276"/>
        <w:gridCol w:w="850"/>
      </w:tblGrid>
      <w:tr w:rsidR="00AA23BD" w:rsidRPr="007E439E" w14:paraId="4D832D28" w14:textId="77777777" w:rsidTr="00D87732">
        <w:tc>
          <w:tcPr>
            <w:tcW w:w="1809" w:type="dxa"/>
          </w:tcPr>
          <w:p w14:paraId="7D2FB140" w14:textId="77777777" w:rsidR="00AA23BD" w:rsidRDefault="00AA23BD" w:rsidP="00D87732">
            <w:pPr>
              <w:tabs>
                <w:tab w:val="center" w:pos="4320"/>
                <w:tab w:val="right" w:pos="8640"/>
              </w:tabs>
              <w:rPr>
                <w:b/>
                <w:sz w:val="20"/>
                <w:szCs w:val="20"/>
              </w:rPr>
            </w:pPr>
          </w:p>
        </w:tc>
        <w:tc>
          <w:tcPr>
            <w:tcW w:w="1276" w:type="dxa"/>
          </w:tcPr>
          <w:p w14:paraId="29AFDF0F" w14:textId="77777777" w:rsidR="00AA23BD" w:rsidRDefault="00AA23BD" w:rsidP="00D87732">
            <w:pPr>
              <w:tabs>
                <w:tab w:val="center" w:pos="4320"/>
                <w:tab w:val="right" w:pos="8640"/>
              </w:tabs>
              <w:jc w:val="center"/>
              <w:rPr>
                <w:b/>
                <w:sz w:val="20"/>
                <w:szCs w:val="20"/>
              </w:rPr>
            </w:pPr>
          </w:p>
        </w:tc>
        <w:tc>
          <w:tcPr>
            <w:tcW w:w="3402" w:type="dxa"/>
            <w:gridSpan w:val="3"/>
          </w:tcPr>
          <w:p w14:paraId="5B0D1133" w14:textId="606B55C0" w:rsidR="00AA23BD" w:rsidRDefault="00AA23BD" w:rsidP="00D87732">
            <w:pPr>
              <w:tabs>
                <w:tab w:val="center" w:pos="4320"/>
                <w:tab w:val="right" w:pos="8640"/>
              </w:tabs>
              <w:jc w:val="center"/>
              <w:rPr>
                <w:b/>
                <w:sz w:val="20"/>
                <w:szCs w:val="20"/>
              </w:rPr>
            </w:pPr>
            <w:r>
              <w:rPr>
                <w:b/>
                <w:sz w:val="20"/>
                <w:szCs w:val="20"/>
              </w:rPr>
              <w:t>Attended</w:t>
            </w:r>
            <w:r w:rsidR="00734D6F">
              <w:rPr>
                <w:b/>
                <w:sz w:val="20"/>
                <w:szCs w:val="20"/>
              </w:rPr>
              <w:t xml:space="preserve"> ED</w:t>
            </w:r>
          </w:p>
        </w:tc>
        <w:tc>
          <w:tcPr>
            <w:tcW w:w="3402" w:type="dxa"/>
            <w:gridSpan w:val="3"/>
          </w:tcPr>
          <w:p w14:paraId="1F59A7B2" w14:textId="77777777" w:rsidR="00AA23BD" w:rsidRDefault="00AA23BD" w:rsidP="00D87732">
            <w:pPr>
              <w:tabs>
                <w:tab w:val="center" w:pos="4320"/>
                <w:tab w:val="right" w:pos="8640"/>
              </w:tabs>
              <w:jc w:val="center"/>
              <w:rPr>
                <w:b/>
                <w:sz w:val="20"/>
                <w:szCs w:val="20"/>
              </w:rPr>
            </w:pPr>
            <w:r>
              <w:rPr>
                <w:b/>
                <w:sz w:val="20"/>
                <w:szCs w:val="20"/>
              </w:rPr>
              <w:t>Non-elective admission</w:t>
            </w:r>
          </w:p>
        </w:tc>
      </w:tr>
      <w:tr w:rsidR="00AA23BD" w:rsidRPr="007E439E" w14:paraId="591E6A88" w14:textId="77777777" w:rsidTr="00D87732">
        <w:tc>
          <w:tcPr>
            <w:tcW w:w="1809" w:type="dxa"/>
          </w:tcPr>
          <w:p w14:paraId="3C683B09" w14:textId="77777777" w:rsidR="00AA23BD" w:rsidRPr="00B044CE" w:rsidRDefault="00AA23BD" w:rsidP="00D87732">
            <w:pPr>
              <w:tabs>
                <w:tab w:val="center" w:pos="4320"/>
                <w:tab w:val="right" w:pos="8640"/>
              </w:tabs>
              <w:rPr>
                <w:b/>
                <w:sz w:val="20"/>
                <w:szCs w:val="20"/>
              </w:rPr>
            </w:pPr>
            <w:r>
              <w:rPr>
                <w:b/>
                <w:sz w:val="20"/>
                <w:szCs w:val="20"/>
              </w:rPr>
              <w:t>Data supplied by practices</w:t>
            </w:r>
          </w:p>
        </w:tc>
        <w:tc>
          <w:tcPr>
            <w:tcW w:w="1276" w:type="dxa"/>
          </w:tcPr>
          <w:p w14:paraId="36A9845B" w14:textId="77777777" w:rsidR="009E35E3" w:rsidRDefault="009E35E3" w:rsidP="009E35E3">
            <w:pPr>
              <w:tabs>
                <w:tab w:val="center" w:pos="4320"/>
                <w:tab w:val="right" w:pos="8640"/>
              </w:tabs>
              <w:jc w:val="center"/>
              <w:rPr>
                <w:b/>
                <w:sz w:val="20"/>
                <w:szCs w:val="20"/>
              </w:rPr>
            </w:pPr>
            <w:r>
              <w:rPr>
                <w:b/>
                <w:sz w:val="20"/>
                <w:szCs w:val="20"/>
              </w:rPr>
              <w:t>Included Participants</w:t>
            </w:r>
          </w:p>
          <w:p w14:paraId="7272CF5B" w14:textId="7AF22605" w:rsidR="00AA23BD" w:rsidRDefault="00AA23BD" w:rsidP="009E35E3">
            <w:pPr>
              <w:tabs>
                <w:tab w:val="center" w:pos="4320"/>
                <w:tab w:val="right" w:pos="8640"/>
              </w:tabs>
              <w:jc w:val="center"/>
              <w:rPr>
                <w:b/>
                <w:sz w:val="20"/>
                <w:szCs w:val="20"/>
              </w:rPr>
            </w:pPr>
            <w:r>
              <w:rPr>
                <w:b/>
                <w:sz w:val="20"/>
                <w:szCs w:val="20"/>
              </w:rPr>
              <w:t>(n=355)</w:t>
            </w:r>
          </w:p>
          <w:p w14:paraId="3989D49D" w14:textId="77777777" w:rsidR="00AA23BD" w:rsidRDefault="00AA23BD" w:rsidP="00D87732">
            <w:pPr>
              <w:tabs>
                <w:tab w:val="center" w:pos="4320"/>
                <w:tab w:val="right" w:pos="8640"/>
              </w:tabs>
              <w:jc w:val="center"/>
              <w:rPr>
                <w:b/>
                <w:sz w:val="20"/>
                <w:szCs w:val="20"/>
              </w:rPr>
            </w:pPr>
            <w:r>
              <w:rPr>
                <w:b/>
                <w:sz w:val="20"/>
                <w:szCs w:val="20"/>
              </w:rPr>
              <w:t>N (%)</w:t>
            </w:r>
          </w:p>
        </w:tc>
        <w:tc>
          <w:tcPr>
            <w:tcW w:w="1276" w:type="dxa"/>
          </w:tcPr>
          <w:p w14:paraId="77AE5CEE" w14:textId="77777777" w:rsidR="00AA23BD" w:rsidRDefault="00AA23BD" w:rsidP="00D87732">
            <w:pPr>
              <w:tabs>
                <w:tab w:val="center" w:pos="4320"/>
                <w:tab w:val="right" w:pos="8640"/>
              </w:tabs>
              <w:jc w:val="center"/>
              <w:rPr>
                <w:b/>
                <w:sz w:val="20"/>
                <w:szCs w:val="20"/>
              </w:rPr>
            </w:pPr>
            <w:r>
              <w:rPr>
                <w:b/>
                <w:sz w:val="20"/>
                <w:szCs w:val="20"/>
              </w:rPr>
              <w:t xml:space="preserve">No </w:t>
            </w:r>
          </w:p>
          <w:p w14:paraId="773004C1" w14:textId="77777777" w:rsidR="00AA23BD" w:rsidRDefault="00AA23BD" w:rsidP="00D87732">
            <w:pPr>
              <w:tabs>
                <w:tab w:val="center" w:pos="4320"/>
                <w:tab w:val="right" w:pos="8640"/>
              </w:tabs>
              <w:jc w:val="center"/>
              <w:rPr>
                <w:b/>
                <w:sz w:val="20"/>
                <w:szCs w:val="20"/>
              </w:rPr>
            </w:pPr>
            <w:r>
              <w:rPr>
                <w:b/>
                <w:sz w:val="20"/>
                <w:szCs w:val="20"/>
              </w:rPr>
              <w:t>(n=265)</w:t>
            </w:r>
          </w:p>
          <w:p w14:paraId="08334858" w14:textId="77777777" w:rsidR="00AA23BD" w:rsidRPr="00C41570" w:rsidRDefault="00AA23BD" w:rsidP="00D87732">
            <w:pPr>
              <w:tabs>
                <w:tab w:val="center" w:pos="4320"/>
                <w:tab w:val="right" w:pos="8640"/>
              </w:tabs>
              <w:jc w:val="center"/>
              <w:rPr>
                <w:b/>
                <w:sz w:val="20"/>
                <w:szCs w:val="20"/>
              </w:rPr>
            </w:pPr>
            <w:r>
              <w:rPr>
                <w:b/>
                <w:sz w:val="20"/>
                <w:szCs w:val="20"/>
              </w:rPr>
              <w:t>N (%)</w:t>
            </w:r>
          </w:p>
        </w:tc>
        <w:tc>
          <w:tcPr>
            <w:tcW w:w="1276" w:type="dxa"/>
          </w:tcPr>
          <w:p w14:paraId="326AFE8F" w14:textId="77777777" w:rsidR="00AA23BD" w:rsidRDefault="00AA23BD" w:rsidP="00D87732">
            <w:pPr>
              <w:tabs>
                <w:tab w:val="center" w:pos="4320"/>
                <w:tab w:val="right" w:pos="8640"/>
              </w:tabs>
              <w:jc w:val="center"/>
              <w:rPr>
                <w:b/>
                <w:sz w:val="20"/>
                <w:szCs w:val="20"/>
              </w:rPr>
            </w:pPr>
            <w:r>
              <w:rPr>
                <w:b/>
                <w:sz w:val="20"/>
                <w:szCs w:val="20"/>
              </w:rPr>
              <w:t xml:space="preserve">Yes </w:t>
            </w:r>
          </w:p>
          <w:p w14:paraId="4DB47C54" w14:textId="77777777" w:rsidR="00AA23BD" w:rsidRDefault="00AA23BD" w:rsidP="00D87732">
            <w:pPr>
              <w:tabs>
                <w:tab w:val="center" w:pos="4320"/>
                <w:tab w:val="right" w:pos="8640"/>
              </w:tabs>
              <w:jc w:val="center"/>
              <w:rPr>
                <w:b/>
                <w:sz w:val="20"/>
                <w:szCs w:val="20"/>
              </w:rPr>
            </w:pPr>
            <w:r>
              <w:rPr>
                <w:b/>
                <w:sz w:val="20"/>
                <w:szCs w:val="20"/>
              </w:rPr>
              <w:t>(n=90)</w:t>
            </w:r>
          </w:p>
          <w:p w14:paraId="20128E31" w14:textId="77777777" w:rsidR="00AA23BD" w:rsidRPr="00C41570" w:rsidRDefault="00AA23BD" w:rsidP="00D87732">
            <w:pPr>
              <w:tabs>
                <w:tab w:val="center" w:pos="4320"/>
                <w:tab w:val="right" w:pos="8640"/>
              </w:tabs>
              <w:jc w:val="center"/>
              <w:rPr>
                <w:b/>
                <w:sz w:val="20"/>
                <w:szCs w:val="20"/>
              </w:rPr>
            </w:pPr>
            <w:r>
              <w:rPr>
                <w:b/>
                <w:sz w:val="20"/>
                <w:szCs w:val="20"/>
              </w:rPr>
              <w:t>N (%)</w:t>
            </w:r>
          </w:p>
        </w:tc>
        <w:tc>
          <w:tcPr>
            <w:tcW w:w="850" w:type="dxa"/>
          </w:tcPr>
          <w:p w14:paraId="02E5A1F4" w14:textId="77777777" w:rsidR="00AA23BD" w:rsidRPr="00C41570" w:rsidRDefault="00AA23BD" w:rsidP="00D87732">
            <w:pPr>
              <w:tabs>
                <w:tab w:val="center" w:pos="4320"/>
                <w:tab w:val="right" w:pos="8640"/>
              </w:tabs>
              <w:jc w:val="center"/>
              <w:rPr>
                <w:b/>
                <w:sz w:val="20"/>
                <w:szCs w:val="20"/>
              </w:rPr>
            </w:pPr>
            <w:r>
              <w:rPr>
                <w:b/>
                <w:sz w:val="20"/>
                <w:szCs w:val="20"/>
              </w:rPr>
              <w:t xml:space="preserve">Sig </w:t>
            </w:r>
            <w:r w:rsidRPr="005E0D0E">
              <w:rPr>
                <w:b/>
                <w:sz w:val="20"/>
                <w:szCs w:val="20"/>
                <w:vertAlign w:val="superscript"/>
              </w:rPr>
              <w:t>a</w:t>
            </w:r>
          </w:p>
        </w:tc>
        <w:tc>
          <w:tcPr>
            <w:tcW w:w="1276" w:type="dxa"/>
          </w:tcPr>
          <w:p w14:paraId="3E82D14D" w14:textId="77777777" w:rsidR="00AA23BD" w:rsidRDefault="00AA23BD" w:rsidP="00D87732">
            <w:pPr>
              <w:tabs>
                <w:tab w:val="center" w:pos="4320"/>
                <w:tab w:val="right" w:pos="8640"/>
              </w:tabs>
              <w:jc w:val="center"/>
              <w:rPr>
                <w:b/>
                <w:sz w:val="20"/>
                <w:szCs w:val="20"/>
              </w:rPr>
            </w:pPr>
            <w:r>
              <w:rPr>
                <w:b/>
                <w:sz w:val="20"/>
                <w:szCs w:val="20"/>
              </w:rPr>
              <w:t xml:space="preserve">No </w:t>
            </w:r>
          </w:p>
          <w:p w14:paraId="3BA451A4" w14:textId="77777777" w:rsidR="00AA23BD" w:rsidRDefault="00AA23BD" w:rsidP="00D87732">
            <w:pPr>
              <w:tabs>
                <w:tab w:val="center" w:pos="4320"/>
                <w:tab w:val="right" w:pos="8640"/>
              </w:tabs>
              <w:jc w:val="center"/>
              <w:rPr>
                <w:b/>
                <w:sz w:val="20"/>
                <w:szCs w:val="20"/>
              </w:rPr>
            </w:pPr>
            <w:r>
              <w:rPr>
                <w:b/>
                <w:sz w:val="20"/>
                <w:szCs w:val="20"/>
              </w:rPr>
              <w:t>(n=263)</w:t>
            </w:r>
          </w:p>
          <w:p w14:paraId="29DCC2D1" w14:textId="77777777" w:rsidR="00AA23BD" w:rsidRDefault="00AA23BD" w:rsidP="00D87732">
            <w:pPr>
              <w:tabs>
                <w:tab w:val="center" w:pos="4320"/>
                <w:tab w:val="right" w:pos="8640"/>
              </w:tabs>
              <w:jc w:val="center"/>
              <w:rPr>
                <w:b/>
                <w:sz w:val="20"/>
                <w:szCs w:val="20"/>
              </w:rPr>
            </w:pPr>
            <w:r>
              <w:rPr>
                <w:b/>
                <w:sz w:val="20"/>
                <w:szCs w:val="20"/>
              </w:rPr>
              <w:t>N (%)</w:t>
            </w:r>
          </w:p>
        </w:tc>
        <w:tc>
          <w:tcPr>
            <w:tcW w:w="1276" w:type="dxa"/>
          </w:tcPr>
          <w:p w14:paraId="152A9549" w14:textId="77777777" w:rsidR="00AA23BD" w:rsidRDefault="00AA23BD" w:rsidP="00D87732">
            <w:pPr>
              <w:tabs>
                <w:tab w:val="center" w:pos="4320"/>
                <w:tab w:val="right" w:pos="8640"/>
              </w:tabs>
              <w:jc w:val="center"/>
              <w:rPr>
                <w:b/>
                <w:sz w:val="20"/>
                <w:szCs w:val="20"/>
              </w:rPr>
            </w:pPr>
            <w:r>
              <w:rPr>
                <w:b/>
                <w:sz w:val="20"/>
                <w:szCs w:val="20"/>
              </w:rPr>
              <w:t>Yes</w:t>
            </w:r>
          </w:p>
          <w:p w14:paraId="1DADBE54" w14:textId="77777777" w:rsidR="00AA23BD" w:rsidRDefault="00AA23BD" w:rsidP="00D87732">
            <w:pPr>
              <w:tabs>
                <w:tab w:val="center" w:pos="4320"/>
                <w:tab w:val="right" w:pos="8640"/>
              </w:tabs>
              <w:jc w:val="center"/>
              <w:rPr>
                <w:b/>
                <w:sz w:val="20"/>
                <w:szCs w:val="20"/>
              </w:rPr>
            </w:pPr>
            <w:r>
              <w:rPr>
                <w:b/>
                <w:sz w:val="20"/>
                <w:szCs w:val="20"/>
              </w:rPr>
              <w:t>(n=92)</w:t>
            </w:r>
          </w:p>
          <w:p w14:paraId="2D6B67D2" w14:textId="77777777" w:rsidR="00AA23BD" w:rsidRDefault="00AA23BD" w:rsidP="00D87732">
            <w:pPr>
              <w:tabs>
                <w:tab w:val="center" w:pos="4320"/>
                <w:tab w:val="right" w:pos="8640"/>
              </w:tabs>
              <w:jc w:val="center"/>
              <w:rPr>
                <w:b/>
                <w:sz w:val="20"/>
                <w:szCs w:val="20"/>
              </w:rPr>
            </w:pPr>
            <w:r>
              <w:rPr>
                <w:b/>
                <w:sz w:val="20"/>
                <w:szCs w:val="20"/>
              </w:rPr>
              <w:t>N (%)</w:t>
            </w:r>
          </w:p>
        </w:tc>
        <w:tc>
          <w:tcPr>
            <w:tcW w:w="850" w:type="dxa"/>
          </w:tcPr>
          <w:p w14:paraId="0C7AABD3" w14:textId="77777777" w:rsidR="00AA23BD" w:rsidRDefault="00AA23BD" w:rsidP="00D87732">
            <w:pPr>
              <w:tabs>
                <w:tab w:val="center" w:pos="4320"/>
                <w:tab w:val="right" w:pos="8640"/>
              </w:tabs>
              <w:jc w:val="center"/>
              <w:rPr>
                <w:b/>
                <w:sz w:val="20"/>
                <w:szCs w:val="20"/>
              </w:rPr>
            </w:pPr>
            <w:r>
              <w:rPr>
                <w:b/>
                <w:sz w:val="20"/>
                <w:szCs w:val="20"/>
              </w:rPr>
              <w:t xml:space="preserve">Sig </w:t>
            </w:r>
            <w:r w:rsidRPr="005E0D0E">
              <w:rPr>
                <w:b/>
                <w:sz w:val="20"/>
                <w:szCs w:val="20"/>
                <w:vertAlign w:val="superscript"/>
              </w:rPr>
              <w:t>a</w:t>
            </w:r>
          </w:p>
        </w:tc>
      </w:tr>
      <w:tr w:rsidR="00AA23BD" w:rsidRPr="007E439E" w14:paraId="772387E5" w14:textId="77777777" w:rsidTr="00D87732">
        <w:tc>
          <w:tcPr>
            <w:tcW w:w="1809" w:type="dxa"/>
          </w:tcPr>
          <w:p w14:paraId="7EE9DC0A" w14:textId="2047582C" w:rsidR="00AA23BD" w:rsidRDefault="00AA23BD" w:rsidP="00D87732">
            <w:pPr>
              <w:tabs>
                <w:tab w:val="center" w:pos="4320"/>
                <w:tab w:val="right" w:pos="8640"/>
              </w:tabs>
              <w:rPr>
                <w:sz w:val="20"/>
                <w:szCs w:val="20"/>
              </w:rPr>
            </w:pPr>
            <w:r>
              <w:rPr>
                <w:sz w:val="20"/>
                <w:szCs w:val="20"/>
              </w:rPr>
              <w:t>Age group: &lt; 50</w:t>
            </w:r>
          </w:p>
          <w:p w14:paraId="6CAB5667" w14:textId="77777777" w:rsidR="00AA23BD" w:rsidRDefault="00AA23BD" w:rsidP="00D87732">
            <w:pPr>
              <w:tabs>
                <w:tab w:val="center" w:pos="4320"/>
                <w:tab w:val="right" w:pos="8640"/>
              </w:tabs>
              <w:rPr>
                <w:sz w:val="20"/>
                <w:szCs w:val="20"/>
              </w:rPr>
            </w:pPr>
            <w:r>
              <w:rPr>
                <w:sz w:val="20"/>
                <w:szCs w:val="20"/>
              </w:rPr>
              <w:t xml:space="preserve">                   50-59</w:t>
            </w:r>
          </w:p>
          <w:p w14:paraId="041EA77B" w14:textId="77777777" w:rsidR="00AA23BD" w:rsidRDefault="00AA23BD" w:rsidP="00D87732">
            <w:pPr>
              <w:tabs>
                <w:tab w:val="center" w:pos="4320"/>
                <w:tab w:val="right" w:pos="8640"/>
              </w:tabs>
              <w:rPr>
                <w:sz w:val="20"/>
                <w:szCs w:val="20"/>
              </w:rPr>
            </w:pPr>
            <w:r>
              <w:rPr>
                <w:sz w:val="20"/>
                <w:szCs w:val="20"/>
              </w:rPr>
              <w:t xml:space="preserve">                   60-69</w:t>
            </w:r>
          </w:p>
          <w:p w14:paraId="270BC91D" w14:textId="77777777" w:rsidR="00AA23BD" w:rsidRDefault="00AA23BD" w:rsidP="00D87732">
            <w:pPr>
              <w:tabs>
                <w:tab w:val="center" w:pos="4320"/>
                <w:tab w:val="right" w:pos="8640"/>
              </w:tabs>
              <w:rPr>
                <w:sz w:val="20"/>
                <w:szCs w:val="20"/>
              </w:rPr>
            </w:pPr>
            <w:r>
              <w:rPr>
                <w:sz w:val="20"/>
                <w:szCs w:val="20"/>
              </w:rPr>
              <w:t xml:space="preserve">                   70-79</w:t>
            </w:r>
          </w:p>
          <w:p w14:paraId="0A2F368E" w14:textId="77777777" w:rsidR="00AA23BD" w:rsidRPr="00B044CE" w:rsidRDefault="00AA23BD" w:rsidP="00D87732">
            <w:pPr>
              <w:tabs>
                <w:tab w:val="center" w:pos="4320"/>
                <w:tab w:val="right" w:pos="8640"/>
              </w:tabs>
              <w:rPr>
                <w:sz w:val="20"/>
                <w:szCs w:val="20"/>
              </w:rPr>
            </w:pPr>
            <w:r>
              <w:rPr>
                <w:sz w:val="20"/>
                <w:szCs w:val="20"/>
              </w:rPr>
              <w:t xml:space="preserve">                   ≥ 80</w:t>
            </w:r>
          </w:p>
        </w:tc>
        <w:tc>
          <w:tcPr>
            <w:tcW w:w="1276" w:type="dxa"/>
          </w:tcPr>
          <w:p w14:paraId="504C90F8" w14:textId="77777777" w:rsidR="00AA23BD" w:rsidRDefault="00AA23BD" w:rsidP="00D87732">
            <w:pPr>
              <w:tabs>
                <w:tab w:val="center" w:pos="4320"/>
                <w:tab w:val="right" w:pos="8640"/>
              </w:tabs>
              <w:jc w:val="center"/>
              <w:rPr>
                <w:sz w:val="20"/>
                <w:szCs w:val="20"/>
              </w:rPr>
            </w:pPr>
            <w:r>
              <w:rPr>
                <w:sz w:val="20"/>
                <w:szCs w:val="20"/>
              </w:rPr>
              <w:t>19 (5.4%)</w:t>
            </w:r>
          </w:p>
          <w:p w14:paraId="24625A74" w14:textId="77777777" w:rsidR="00AA23BD" w:rsidRDefault="00AA23BD" w:rsidP="00D87732">
            <w:pPr>
              <w:tabs>
                <w:tab w:val="center" w:pos="4320"/>
                <w:tab w:val="right" w:pos="8640"/>
              </w:tabs>
              <w:jc w:val="center"/>
              <w:rPr>
                <w:sz w:val="20"/>
                <w:szCs w:val="20"/>
              </w:rPr>
            </w:pPr>
            <w:r>
              <w:rPr>
                <w:sz w:val="20"/>
                <w:szCs w:val="20"/>
              </w:rPr>
              <w:t>59 (16.6%)</w:t>
            </w:r>
          </w:p>
          <w:p w14:paraId="6C34DE3E" w14:textId="77777777" w:rsidR="00AA23BD" w:rsidRDefault="00AA23BD" w:rsidP="00D87732">
            <w:pPr>
              <w:tabs>
                <w:tab w:val="center" w:pos="4320"/>
                <w:tab w:val="right" w:pos="8640"/>
              </w:tabs>
              <w:jc w:val="center"/>
              <w:rPr>
                <w:sz w:val="20"/>
                <w:szCs w:val="20"/>
              </w:rPr>
            </w:pPr>
            <w:r>
              <w:rPr>
                <w:sz w:val="20"/>
                <w:szCs w:val="20"/>
              </w:rPr>
              <w:t>127 (35.8%)</w:t>
            </w:r>
          </w:p>
          <w:p w14:paraId="433EE304" w14:textId="77777777" w:rsidR="00AA23BD" w:rsidRDefault="00AA23BD" w:rsidP="00D87732">
            <w:pPr>
              <w:tabs>
                <w:tab w:val="center" w:pos="4320"/>
                <w:tab w:val="right" w:pos="8640"/>
              </w:tabs>
              <w:jc w:val="center"/>
              <w:rPr>
                <w:sz w:val="20"/>
                <w:szCs w:val="20"/>
              </w:rPr>
            </w:pPr>
            <w:r>
              <w:rPr>
                <w:sz w:val="20"/>
                <w:szCs w:val="20"/>
              </w:rPr>
              <w:t>95 (26.8%)</w:t>
            </w:r>
          </w:p>
          <w:p w14:paraId="5E97D8E8" w14:textId="77777777" w:rsidR="00AA23BD" w:rsidRDefault="00AA23BD" w:rsidP="00D87732">
            <w:pPr>
              <w:tabs>
                <w:tab w:val="center" w:pos="4320"/>
                <w:tab w:val="right" w:pos="8640"/>
              </w:tabs>
              <w:jc w:val="center"/>
              <w:rPr>
                <w:sz w:val="20"/>
                <w:szCs w:val="20"/>
              </w:rPr>
            </w:pPr>
            <w:r>
              <w:rPr>
                <w:sz w:val="20"/>
                <w:szCs w:val="20"/>
              </w:rPr>
              <w:t>55 (15.5%)</w:t>
            </w:r>
          </w:p>
        </w:tc>
        <w:tc>
          <w:tcPr>
            <w:tcW w:w="1276" w:type="dxa"/>
          </w:tcPr>
          <w:p w14:paraId="02692EED" w14:textId="77777777" w:rsidR="00AA23BD" w:rsidRDefault="00AA23BD" w:rsidP="00D87732">
            <w:pPr>
              <w:tabs>
                <w:tab w:val="center" w:pos="4320"/>
                <w:tab w:val="right" w:pos="8640"/>
              </w:tabs>
              <w:jc w:val="center"/>
              <w:rPr>
                <w:sz w:val="20"/>
                <w:szCs w:val="20"/>
              </w:rPr>
            </w:pPr>
            <w:r>
              <w:rPr>
                <w:sz w:val="20"/>
                <w:szCs w:val="20"/>
              </w:rPr>
              <w:t>15 (5.7%)</w:t>
            </w:r>
          </w:p>
          <w:p w14:paraId="1839EA21" w14:textId="77777777" w:rsidR="00AA23BD" w:rsidRDefault="00AA23BD" w:rsidP="00D87732">
            <w:pPr>
              <w:tabs>
                <w:tab w:val="center" w:pos="4320"/>
                <w:tab w:val="right" w:pos="8640"/>
              </w:tabs>
              <w:jc w:val="center"/>
              <w:rPr>
                <w:sz w:val="20"/>
                <w:szCs w:val="20"/>
              </w:rPr>
            </w:pPr>
            <w:r>
              <w:rPr>
                <w:sz w:val="20"/>
                <w:szCs w:val="20"/>
              </w:rPr>
              <w:t>53 (20.0%)</w:t>
            </w:r>
          </w:p>
          <w:p w14:paraId="00D7B808" w14:textId="77777777" w:rsidR="00AA23BD" w:rsidRDefault="00AA23BD" w:rsidP="00D87732">
            <w:pPr>
              <w:tabs>
                <w:tab w:val="center" w:pos="4320"/>
                <w:tab w:val="right" w:pos="8640"/>
              </w:tabs>
              <w:jc w:val="center"/>
              <w:rPr>
                <w:sz w:val="20"/>
                <w:szCs w:val="20"/>
              </w:rPr>
            </w:pPr>
            <w:r>
              <w:rPr>
                <w:sz w:val="20"/>
                <w:szCs w:val="20"/>
              </w:rPr>
              <w:t>102 (38.5%)</w:t>
            </w:r>
          </w:p>
          <w:p w14:paraId="6EBBAC52" w14:textId="77777777" w:rsidR="00AA23BD" w:rsidRDefault="00AA23BD" w:rsidP="00D87732">
            <w:pPr>
              <w:tabs>
                <w:tab w:val="center" w:pos="4320"/>
                <w:tab w:val="right" w:pos="8640"/>
              </w:tabs>
              <w:jc w:val="center"/>
              <w:rPr>
                <w:sz w:val="20"/>
                <w:szCs w:val="20"/>
              </w:rPr>
            </w:pPr>
            <w:r>
              <w:rPr>
                <w:sz w:val="20"/>
                <w:szCs w:val="20"/>
              </w:rPr>
              <w:t>62 (23.4%)</w:t>
            </w:r>
          </w:p>
          <w:p w14:paraId="30CEC672" w14:textId="77777777" w:rsidR="00AA23BD" w:rsidRDefault="00AA23BD" w:rsidP="00D87732">
            <w:pPr>
              <w:tabs>
                <w:tab w:val="center" w:pos="4320"/>
                <w:tab w:val="right" w:pos="8640"/>
              </w:tabs>
              <w:jc w:val="center"/>
              <w:rPr>
                <w:sz w:val="20"/>
                <w:szCs w:val="20"/>
              </w:rPr>
            </w:pPr>
            <w:r>
              <w:rPr>
                <w:sz w:val="20"/>
                <w:szCs w:val="20"/>
              </w:rPr>
              <w:t>33 (12.5%)</w:t>
            </w:r>
          </w:p>
        </w:tc>
        <w:tc>
          <w:tcPr>
            <w:tcW w:w="1276" w:type="dxa"/>
          </w:tcPr>
          <w:p w14:paraId="079FBDC9" w14:textId="77777777" w:rsidR="00AA23BD" w:rsidRDefault="00AA23BD" w:rsidP="00D87732">
            <w:pPr>
              <w:tabs>
                <w:tab w:val="center" w:pos="4320"/>
                <w:tab w:val="right" w:pos="8640"/>
              </w:tabs>
              <w:jc w:val="center"/>
              <w:rPr>
                <w:sz w:val="20"/>
                <w:szCs w:val="20"/>
              </w:rPr>
            </w:pPr>
            <w:r>
              <w:rPr>
                <w:sz w:val="20"/>
                <w:szCs w:val="20"/>
              </w:rPr>
              <w:t>4 (4.4%)</w:t>
            </w:r>
          </w:p>
          <w:p w14:paraId="16408E9B" w14:textId="77777777" w:rsidR="00AA23BD" w:rsidRDefault="00AA23BD" w:rsidP="00D87732">
            <w:pPr>
              <w:tabs>
                <w:tab w:val="center" w:pos="4320"/>
                <w:tab w:val="right" w:pos="8640"/>
              </w:tabs>
              <w:jc w:val="center"/>
              <w:rPr>
                <w:sz w:val="20"/>
                <w:szCs w:val="20"/>
              </w:rPr>
            </w:pPr>
            <w:r>
              <w:rPr>
                <w:sz w:val="20"/>
                <w:szCs w:val="20"/>
              </w:rPr>
              <w:t>6 (6.7%)</w:t>
            </w:r>
          </w:p>
          <w:p w14:paraId="45AB87D5" w14:textId="77777777" w:rsidR="00AA23BD" w:rsidRDefault="00AA23BD" w:rsidP="00D87732">
            <w:pPr>
              <w:tabs>
                <w:tab w:val="center" w:pos="4320"/>
                <w:tab w:val="right" w:pos="8640"/>
              </w:tabs>
              <w:jc w:val="center"/>
              <w:rPr>
                <w:sz w:val="20"/>
                <w:szCs w:val="20"/>
              </w:rPr>
            </w:pPr>
            <w:r>
              <w:rPr>
                <w:sz w:val="20"/>
                <w:szCs w:val="20"/>
              </w:rPr>
              <w:t>25 (27.8%)</w:t>
            </w:r>
          </w:p>
          <w:p w14:paraId="6086C0B5" w14:textId="77777777" w:rsidR="00AA23BD" w:rsidRDefault="00AA23BD" w:rsidP="00D87732">
            <w:pPr>
              <w:tabs>
                <w:tab w:val="center" w:pos="4320"/>
                <w:tab w:val="right" w:pos="8640"/>
              </w:tabs>
              <w:jc w:val="center"/>
              <w:rPr>
                <w:sz w:val="20"/>
                <w:szCs w:val="20"/>
              </w:rPr>
            </w:pPr>
            <w:r>
              <w:rPr>
                <w:sz w:val="20"/>
                <w:szCs w:val="20"/>
              </w:rPr>
              <w:t>33 (36.7%)</w:t>
            </w:r>
          </w:p>
          <w:p w14:paraId="2C9BC0CA" w14:textId="77777777" w:rsidR="00AA23BD" w:rsidRDefault="00AA23BD" w:rsidP="00D87732">
            <w:pPr>
              <w:tabs>
                <w:tab w:val="center" w:pos="4320"/>
                <w:tab w:val="right" w:pos="8640"/>
              </w:tabs>
              <w:jc w:val="center"/>
              <w:rPr>
                <w:sz w:val="20"/>
                <w:szCs w:val="20"/>
              </w:rPr>
            </w:pPr>
            <w:r>
              <w:rPr>
                <w:sz w:val="20"/>
                <w:szCs w:val="20"/>
              </w:rPr>
              <w:t>22 (24.4%)</w:t>
            </w:r>
          </w:p>
        </w:tc>
        <w:tc>
          <w:tcPr>
            <w:tcW w:w="850" w:type="dxa"/>
          </w:tcPr>
          <w:p w14:paraId="6E3FC179" w14:textId="77777777" w:rsidR="00AA23BD" w:rsidRDefault="00AA23BD" w:rsidP="00D87732">
            <w:pPr>
              <w:tabs>
                <w:tab w:val="center" w:pos="4320"/>
                <w:tab w:val="right" w:pos="8640"/>
              </w:tabs>
              <w:jc w:val="center"/>
              <w:rPr>
                <w:sz w:val="20"/>
                <w:szCs w:val="20"/>
              </w:rPr>
            </w:pPr>
          </w:p>
          <w:p w14:paraId="1EEE32B9" w14:textId="77777777" w:rsidR="00AA23BD" w:rsidRDefault="00AA23BD" w:rsidP="00D87732">
            <w:pPr>
              <w:tabs>
                <w:tab w:val="center" w:pos="4320"/>
                <w:tab w:val="right" w:pos="8640"/>
              </w:tabs>
              <w:jc w:val="center"/>
              <w:rPr>
                <w:sz w:val="20"/>
                <w:szCs w:val="20"/>
              </w:rPr>
            </w:pPr>
          </w:p>
          <w:p w14:paraId="331CAF1C" w14:textId="77777777" w:rsidR="00AA23BD" w:rsidRPr="00B044CE" w:rsidRDefault="00AA23BD" w:rsidP="00D87732">
            <w:pPr>
              <w:tabs>
                <w:tab w:val="center" w:pos="4320"/>
                <w:tab w:val="right" w:pos="8640"/>
              </w:tabs>
              <w:jc w:val="center"/>
              <w:rPr>
                <w:sz w:val="20"/>
                <w:szCs w:val="20"/>
              </w:rPr>
            </w:pPr>
            <w:r>
              <w:rPr>
                <w:sz w:val="20"/>
                <w:szCs w:val="20"/>
              </w:rPr>
              <w:t>&lt;0.001</w:t>
            </w:r>
          </w:p>
        </w:tc>
        <w:tc>
          <w:tcPr>
            <w:tcW w:w="1276" w:type="dxa"/>
          </w:tcPr>
          <w:p w14:paraId="6E769F15" w14:textId="77777777" w:rsidR="00AA23BD" w:rsidRDefault="00AA23BD" w:rsidP="00D87732">
            <w:pPr>
              <w:tabs>
                <w:tab w:val="center" w:pos="4320"/>
                <w:tab w:val="right" w:pos="8640"/>
              </w:tabs>
              <w:jc w:val="center"/>
              <w:rPr>
                <w:sz w:val="20"/>
                <w:szCs w:val="20"/>
              </w:rPr>
            </w:pPr>
            <w:r>
              <w:rPr>
                <w:sz w:val="20"/>
                <w:szCs w:val="20"/>
              </w:rPr>
              <w:t>15 (5.7%)</w:t>
            </w:r>
          </w:p>
          <w:p w14:paraId="57C1E7A2" w14:textId="77777777" w:rsidR="00AA23BD" w:rsidRDefault="00AA23BD" w:rsidP="00D87732">
            <w:pPr>
              <w:tabs>
                <w:tab w:val="center" w:pos="4320"/>
                <w:tab w:val="right" w:pos="8640"/>
              </w:tabs>
              <w:jc w:val="center"/>
              <w:rPr>
                <w:sz w:val="20"/>
                <w:szCs w:val="20"/>
              </w:rPr>
            </w:pPr>
            <w:r>
              <w:rPr>
                <w:sz w:val="20"/>
                <w:szCs w:val="20"/>
              </w:rPr>
              <w:t>53 (20.2%)</w:t>
            </w:r>
          </w:p>
          <w:p w14:paraId="44E00732" w14:textId="77777777" w:rsidR="00AA23BD" w:rsidRDefault="00AA23BD" w:rsidP="00D87732">
            <w:pPr>
              <w:tabs>
                <w:tab w:val="center" w:pos="4320"/>
                <w:tab w:val="right" w:pos="8640"/>
              </w:tabs>
              <w:jc w:val="center"/>
              <w:rPr>
                <w:sz w:val="20"/>
                <w:szCs w:val="20"/>
              </w:rPr>
            </w:pPr>
            <w:r>
              <w:rPr>
                <w:sz w:val="20"/>
                <w:szCs w:val="20"/>
              </w:rPr>
              <w:t>101 (38.4%)</w:t>
            </w:r>
          </w:p>
          <w:p w14:paraId="6180DEBB" w14:textId="77777777" w:rsidR="00AA23BD" w:rsidRDefault="00AA23BD" w:rsidP="00D87732">
            <w:pPr>
              <w:tabs>
                <w:tab w:val="center" w:pos="4320"/>
                <w:tab w:val="right" w:pos="8640"/>
              </w:tabs>
              <w:jc w:val="center"/>
              <w:rPr>
                <w:sz w:val="20"/>
                <w:szCs w:val="20"/>
              </w:rPr>
            </w:pPr>
            <w:r>
              <w:rPr>
                <w:sz w:val="20"/>
                <w:szCs w:val="20"/>
              </w:rPr>
              <w:t>62 (23.6%)</w:t>
            </w:r>
          </w:p>
          <w:p w14:paraId="27ED9669" w14:textId="77777777" w:rsidR="00AA23BD" w:rsidRDefault="00AA23BD" w:rsidP="00D87732">
            <w:pPr>
              <w:tabs>
                <w:tab w:val="center" w:pos="4320"/>
                <w:tab w:val="right" w:pos="8640"/>
              </w:tabs>
              <w:jc w:val="center"/>
              <w:rPr>
                <w:sz w:val="20"/>
                <w:szCs w:val="20"/>
              </w:rPr>
            </w:pPr>
            <w:r>
              <w:rPr>
                <w:sz w:val="20"/>
                <w:szCs w:val="20"/>
              </w:rPr>
              <w:t>32 (12.2%)</w:t>
            </w:r>
          </w:p>
        </w:tc>
        <w:tc>
          <w:tcPr>
            <w:tcW w:w="1276" w:type="dxa"/>
          </w:tcPr>
          <w:p w14:paraId="60AFF1E4" w14:textId="77777777" w:rsidR="00AA23BD" w:rsidRDefault="00AA23BD" w:rsidP="00D87732">
            <w:pPr>
              <w:tabs>
                <w:tab w:val="center" w:pos="4320"/>
                <w:tab w:val="right" w:pos="8640"/>
              </w:tabs>
              <w:jc w:val="center"/>
              <w:rPr>
                <w:sz w:val="20"/>
                <w:szCs w:val="20"/>
              </w:rPr>
            </w:pPr>
            <w:r>
              <w:rPr>
                <w:sz w:val="20"/>
                <w:szCs w:val="20"/>
              </w:rPr>
              <w:t>4 (4.3%)</w:t>
            </w:r>
          </w:p>
          <w:p w14:paraId="58DF9710" w14:textId="77777777" w:rsidR="00AA23BD" w:rsidRDefault="00AA23BD" w:rsidP="00D87732">
            <w:pPr>
              <w:tabs>
                <w:tab w:val="center" w:pos="4320"/>
                <w:tab w:val="right" w:pos="8640"/>
              </w:tabs>
              <w:jc w:val="center"/>
              <w:rPr>
                <w:sz w:val="20"/>
                <w:szCs w:val="20"/>
              </w:rPr>
            </w:pPr>
            <w:r>
              <w:rPr>
                <w:sz w:val="20"/>
                <w:szCs w:val="20"/>
              </w:rPr>
              <w:t>6 (6.5%)</w:t>
            </w:r>
          </w:p>
          <w:p w14:paraId="14B3157C" w14:textId="77777777" w:rsidR="00AA23BD" w:rsidRDefault="00AA23BD" w:rsidP="00D87732">
            <w:pPr>
              <w:tabs>
                <w:tab w:val="center" w:pos="4320"/>
                <w:tab w:val="right" w:pos="8640"/>
              </w:tabs>
              <w:jc w:val="center"/>
              <w:rPr>
                <w:sz w:val="20"/>
                <w:szCs w:val="20"/>
              </w:rPr>
            </w:pPr>
            <w:r>
              <w:rPr>
                <w:sz w:val="20"/>
                <w:szCs w:val="20"/>
              </w:rPr>
              <w:t>26 (28.3%)</w:t>
            </w:r>
          </w:p>
          <w:p w14:paraId="354BF344" w14:textId="77777777" w:rsidR="00AA23BD" w:rsidRDefault="00AA23BD" w:rsidP="00D87732">
            <w:pPr>
              <w:tabs>
                <w:tab w:val="center" w:pos="4320"/>
                <w:tab w:val="right" w:pos="8640"/>
              </w:tabs>
              <w:jc w:val="center"/>
              <w:rPr>
                <w:sz w:val="20"/>
                <w:szCs w:val="20"/>
              </w:rPr>
            </w:pPr>
            <w:r>
              <w:rPr>
                <w:sz w:val="20"/>
                <w:szCs w:val="20"/>
              </w:rPr>
              <w:t>33 (35.9%)</w:t>
            </w:r>
          </w:p>
          <w:p w14:paraId="3DC03A8A" w14:textId="77777777" w:rsidR="00AA23BD" w:rsidRDefault="00AA23BD" w:rsidP="00D87732">
            <w:pPr>
              <w:tabs>
                <w:tab w:val="center" w:pos="4320"/>
                <w:tab w:val="right" w:pos="8640"/>
              </w:tabs>
              <w:jc w:val="center"/>
              <w:rPr>
                <w:sz w:val="20"/>
                <w:szCs w:val="20"/>
              </w:rPr>
            </w:pPr>
            <w:r>
              <w:rPr>
                <w:sz w:val="20"/>
                <w:szCs w:val="20"/>
              </w:rPr>
              <w:t>23 (25.0%)</w:t>
            </w:r>
          </w:p>
        </w:tc>
        <w:tc>
          <w:tcPr>
            <w:tcW w:w="850" w:type="dxa"/>
          </w:tcPr>
          <w:p w14:paraId="12929AE0" w14:textId="77777777" w:rsidR="00AA23BD" w:rsidRDefault="00AA23BD" w:rsidP="00D87732">
            <w:pPr>
              <w:tabs>
                <w:tab w:val="center" w:pos="4320"/>
                <w:tab w:val="right" w:pos="8640"/>
              </w:tabs>
              <w:jc w:val="center"/>
              <w:rPr>
                <w:sz w:val="20"/>
                <w:szCs w:val="20"/>
              </w:rPr>
            </w:pPr>
          </w:p>
          <w:p w14:paraId="1D4C3594" w14:textId="77777777" w:rsidR="00AA23BD" w:rsidRDefault="00AA23BD" w:rsidP="00D87732">
            <w:pPr>
              <w:tabs>
                <w:tab w:val="center" w:pos="4320"/>
                <w:tab w:val="right" w:pos="8640"/>
              </w:tabs>
              <w:jc w:val="center"/>
              <w:rPr>
                <w:sz w:val="20"/>
                <w:szCs w:val="20"/>
              </w:rPr>
            </w:pPr>
          </w:p>
          <w:p w14:paraId="0FB03D12" w14:textId="77777777" w:rsidR="00AA23BD" w:rsidRPr="00B044CE" w:rsidRDefault="00AA23BD" w:rsidP="00D87732">
            <w:pPr>
              <w:tabs>
                <w:tab w:val="center" w:pos="4320"/>
                <w:tab w:val="right" w:pos="8640"/>
              </w:tabs>
              <w:jc w:val="center"/>
              <w:rPr>
                <w:sz w:val="20"/>
                <w:szCs w:val="20"/>
              </w:rPr>
            </w:pPr>
            <w:r>
              <w:rPr>
                <w:sz w:val="20"/>
                <w:szCs w:val="20"/>
              </w:rPr>
              <w:t>&lt;0.001</w:t>
            </w:r>
          </w:p>
        </w:tc>
      </w:tr>
      <w:tr w:rsidR="00AA23BD" w:rsidRPr="007E439E" w14:paraId="57757B9B" w14:textId="77777777" w:rsidTr="00D87732">
        <w:tc>
          <w:tcPr>
            <w:tcW w:w="1809" w:type="dxa"/>
          </w:tcPr>
          <w:p w14:paraId="29214A6A" w14:textId="77777777" w:rsidR="00AA23BD" w:rsidRPr="00B044CE" w:rsidRDefault="00AA23BD" w:rsidP="00D87732">
            <w:pPr>
              <w:tabs>
                <w:tab w:val="center" w:pos="4320"/>
                <w:tab w:val="right" w:pos="8640"/>
              </w:tabs>
              <w:rPr>
                <w:sz w:val="20"/>
                <w:szCs w:val="20"/>
              </w:rPr>
            </w:pPr>
            <w:r w:rsidRPr="00B044CE">
              <w:rPr>
                <w:sz w:val="20"/>
                <w:szCs w:val="20"/>
              </w:rPr>
              <w:t>Female</w:t>
            </w:r>
          </w:p>
        </w:tc>
        <w:tc>
          <w:tcPr>
            <w:tcW w:w="1276" w:type="dxa"/>
          </w:tcPr>
          <w:p w14:paraId="7D307F79" w14:textId="77777777" w:rsidR="00AA23BD" w:rsidRDefault="00AA23BD" w:rsidP="00D87732">
            <w:pPr>
              <w:tabs>
                <w:tab w:val="center" w:pos="4320"/>
                <w:tab w:val="right" w:pos="8640"/>
              </w:tabs>
              <w:jc w:val="center"/>
              <w:rPr>
                <w:sz w:val="20"/>
                <w:szCs w:val="20"/>
              </w:rPr>
            </w:pPr>
            <w:r>
              <w:rPr>
                <w:sz w:val="20"/>
                <w:szCs w:val="20"/>
              </w:rPr>
              <w:t>168 (47.3%)</w:t>
            </w:r>
          </w:p>
        </w:tc>
        <w:tc>
          <w:tcPr>
            <w:tcW w:w="1276" w:type="dxa"/>
          </w:tcPr>
          <w:p w14:paraId="48974349" w14:textId="77777777" w:rsidR="00AA23BD" w:rsidRDefault="00AA23BD" w:rsidP="00D87732">
            <w:pPr>
              <w:tabs>
                <w:tab w:val="center" w:pos="4320"/>
                <w:tab w:val="right" w:pos="8640"/>
              </w:tabs>
              <w:jc w:val="center"/>
              <w:rPr>
                <w:sz w:val="20"/>
                <w:szCs w:val="20"/>
              </w:rPr>
            </w:pPr>
            <w:r>
              <w:rPr>
                <w:sz w:val="20"/>
                <w:szCs w:val="20"/>
              </w:rPr>
              <w:t>127 (47.9%)</w:t>
            </w:r>
          </w:p>
        </w:tc>
        <w:tc>
          <w:tcPr>
            <w:tcW w:w="1276" w:type="dxa"/>
          </w:tcPr>
          <w:p w14:paraId="6DFD2AF2" w14:textId="77777777" w:rsidR="00AA23BD" w:rsidRDefault="00AA23BD" w:rsidP="00D87732">
            <w:pPr>
              <w:tabs>
                <w:tab w:val="center" w:pos="4320"/>
                <w:tab w:val="right" w:pos="8640"/>
              </w:tabs>
              <w:jc w:val="center"/>
              <w:rPr>
                <w:sz w:val="20"/>
                <w:szCs w:val="20"/>
              </w:rPr>
            </w:pPr>
            <w:r>
              <w:rPr>
                <w:sz w:val="20"/>
                <w:szCs w:val="20"/>
              </w:rPr>
              <w:t>41 (45.6%)</w:t>
            </w:r>
          </w:p>
        </w:tc>
        <w:tc>
          <w:tcPr>
            <w:tcW w:w="850" w:type="dxa"/>
          </w:tcPr>
          <w:p w14:paraId="2465878B" w14:textId="77777777" w:rsidR="00AA23BD" w:rsidRPr="00B044CE" w:rsidRDefault="00AA23BD" w:rsidP="00D87732">
            <w:pPr>
              <w:tabs>
                <w:tab w:val="center" w:pos="4320"/>
                <w:tab w:val="right" w:pos="8640"/>
              </w:tabs>
              <w:jc w:val="center"/>
              <w:rPr>
                <w:sz w:val="20"/>
                <w:szCs w:val="20"/>
              </w:rPr>
            </w:pPr>
            <w:r>
              <w:rPr>
                <w:sz w:val="20"/>
                <w:szCs w:val="20"/>
              </w:rPr>
              <w:t>0.72</w:t>
            </w:r>
          </w:p>
        </w:tc>
        <w:tc>
          <w:tcPr>
            <w:tcW w:w="1276" w:type="dxa"/>
          </w:tcPr>
          <w:p w14:paraId="660D9C43" w14:textId="77777777" w:rsidR="00AA23BD" w:rsidRDefault="00AA23BD" w:rsidP="00D87732">
            <w:pPr>
              <w:tabs>
                <w:tab w:val="center" w:pos="4320"/>
                <w:tab w:val="right" w:pos="8640"/>
              </w:tabs>
              <w:jc w:val="center"/>
              <w:rPr>
                <w:sz w:val="20"/>
                <w:szCs w:val="20"/>
              </w:rPr>
            </w:pPr>
            <w:r>
              <w:rPr>
                <w:sz w:val="20"/>
                <w:szCs w:val="20"/>
              </w:rPr>
              <w:t>126 (47.9%)</w:t>
            </w:r>
          </w:p>
        </w:tc>
        <w:tc>
          <w:tcPr>
            <w:tcW w:w="1276" w:type="dxa"/>
          </w:tcPr>
          <w:p w14:paraId="33309C18" w14:textId="77777777" w:rsidR="00AA23BD" w:rsidRDefault="00AA23BD" w:rsidP="00D87732">
            <w:pPr>
              <w:tabs>
                <w:tab w:val="center" w:pos="4320"/>
                <w:tab w:val="right" w:pos="8640"/>
              </w:tabs>
              <w:jc w:val="center"/>
              <w:rPr>
                <w:sz w:val="20"/>
                <w:szCs w:val="20"/>
              </w:rPr>
            </w:pPr>
            <w:r>
              <w:rPr>
                <w:sz w:val="20"/>
                <w:szCs w:val="20"/>
              </w:rPr>
              <w:t>42 (45.7%)</w:t>
            </w:r>
          </w:p>
        </w:tc>
        <w:tc>
          <w:tcPr>
            <w:tcW w:w="850" w:type="dxa"/>
          </w:tcPr>
          <w:p w14:paraId="6AE111D1" w14:textId="77777777" w:rsidR="00AA23BD" w:rsidRPr="00B044CE" w:rsidRDefault="00AA23BD" w:rsidP="00D87732">
            <w:pPr>
              <w:tabs>
                <w:tab w:val="center" w:pos="4320"/>
                <w:tab w:val="right" w:pos="8640"/>
              </w:tabs>
              <w:jc w:val="center"/>
              <w:rPr>
                <w:sz w:val="20"/>
                <w:szCs w:val="20"/>
              </w:rPr>
            </w:pPr>
            <w:r>
              <w:rPr>
                <w:sz w:val="20"/>
                <w:szCs w:val="20"/>
              </w:rPr>
              <w:t>0.72</w:t>
            </w:r>
          </w:p>
        </w:tc>
      </w:tr>
      <w:tr w:rsidR="00AA23BD" w:rsidRPr="007E439E" w14:paraId="012FB85B" w14:textId="77777777" w:rsidTr="00D87732">
        <w:tc>
          <w:tcPr>
            <w:tcW w:w="1809" w:type="dxa"/>
          </w:tcPr>
          <w:p w14:paraId="5113CCBD" w14:textId="77777777" w:rsidR="00AA23BD" w:rsidRPr="00C41570" w:rsidRDefault="00AA23BD" w:rsidP="00D87732">
            <w:pPr>
              <w:tabs>
                <w:tab w:val="center" w:pos="4320"/>
                <w:tab w:val="right" w:pos="8640"/>
              </w:tabs>
              <w:rPr>
                <w:b/>
                <w:sz w:val="20"/>
                <w:szCs w:val="20"/>
              </w:rPr>
            </w:pPr>
            <w:r w:rsidRPr="00C41570">
              <w:rPr>
                <w:b/>
                <w:sz w:val="20"/>
                <w:szCs w:val="20"/>
              </w:rPr>
              <w:t>QOF diagnoses:</w:t>
            </w:r>
          </w:p>
        </w:tc>
        <w:tc>
          <w:tcPr>
            <w:tcW w:w="1276" w:type="dxa"/>
          </w:tcPr>
          <w:p w14:paraId="7FA249EB" w14:textId="77777777" w:rsidR="00AA23BD" w:rsidRPr="00B044CE" w:rsidRDefault="00AA23BD" w:rsidP="00D87732">
            <w:pPr>
              <w:tabs>
                <w:tab w:val="center" w:pos="4320"/>
                <w:tab w:val="right" w:pos="8640"/>
              </w:tabs>
              <w:jc w:val="center"/>
              <w:rPr>
                <w:sz w:val="20"/>
                <w:szCs w:val="20"/>
              </w:rPr>
            </w:pPr>
          </w:p>
        </w:tc>
        <w:tc>
          <w:tcPr>
            <w:tcW w:w="1276" w:type="dxa"/>
          </w:tcPr>
          <w:p w14:paraId="0FFAC5B8" w14:textId="77777777" w:rsidR="00AA23BD" w:rsidRPr="00B044CE" w:rsidRDefault="00AA23BD" w:rsidP="00D87732">
            <w:pPr>
              <w:tabs>
                <w:tab w:val="center" w:pos="4320"/>
                <w:tab w:val="right" w:pos="8640"/>
              </w:tabs>
              <w:jc w:val="center"/>
              <w:rPr>
                <w:sz w:val="20"/>
                <w:szCs w:val="20"/>
              </w:rPr>
            </w:pPr>
          </w:p>
        </w:tc>
        <w:tc>
          <w:tcPr>
            <w:tcW w:w="1276" w:type="dxa"/>
          </w:tcPr>
          <w:p w14:paraId="227FD560" w14:textId="77777777" w:rsidR="00AA23BD" w:rsidRPr="00B044CE" w:rsidRDefault="00AA23BD" w:rsidP="00D87732">
            <w:pPr>
              <w:tabs>
                <w:tab w:val="center" w:pos="4320"/>
                <w:tab w:val="right" w:pos="8640"/>
              </w:tabs>
              <w:jc w:val="center"/>
              <w:rPr>
                <w:sz w:val="20"/>
                <w:szCs w:val="20"/>
              </w:rPr>
            </w:pPr>
          </w:p>
        </w:tc>
        <w:tc>
          <w:tcPr>
            <w:tcW w:w="850" w:type="dxa"/>
          </w:tcPr>
          <w:p w14:paraId="1D2979D3" w14:textId="77777777" w:rsidR="00AA23BD" w:rsidRPr="00B044CE" w:rsidRDefault="00AA23BD" w:rsidP="00D87732">
            <w:pPr>
              <w:tabs>
                <w:tab w:val="center" w:pos="4320"/>
                <w:tab w:val="right" w:pos="8640"/>
              </w:tabs>
              <w:jc w:val="center"/>
              <w:rPr>
                <w:sz w:val="20"/>
                <w:szCs w:val="20"/>
              </w:rPr>
            </w:pPr>
          </w:p>
        </w:tc>
        <w:tc>
          <w:tcPr>
            <w:tcW w:w="1276" w:type="dxa"/>
          </w:tcPr>
          <w:p w14:paraId="5B336519" w14:textId="77777777" w:rsidR="00AA23BD" w:rsidRPr="00B044CE" w:rsidRDefault="00AA23BD" w:rsidP="00D87732">
            <w:pPr>
              <w:tabs>
                <w:tab w:val="center" w:pos="4320"/>
                <w:tab w:val="right" w:pos="8640"/>
              </w:tabs>
              <w:jc w:val="center"/>
              <w:rPr>
                <w:sz w:val="20"/>
                <w:szCs w:val="20"/>
              </w:rPr>
            </w:pPr>
          </w:p>
        </w:tc>
        <w:tc>
          <w:tcPr>
            <w:tcW w:w="1276" w:type="dxa"/>
          </w:tcPr>
          <w:p w14:paraId="5DBA5AEE" w14:textId="77777777" w:rsidR="00AA23BD" w:rsidRPr="00B044CE" w:rsidRDefault="00AA23BD" w:rsidP="00D87732">
            <w:pPr>
              <w:tabs>
                <w:tab w:val="center" w:pos="4320"/>
                <w:tab w:val="right" w:pos="8640"/>
              </w:tabs>
              <w:jc w:val="center"/>
              <w:rPr>
                <w:sz w:val="20"/>
                <w:szCs w:val="20"/>
              </w:rPr>
            </w:pPr>
          </w:p>
        </w:tc>
        <w:tc>
          <w:tcPr>
            <w:tcW w:w="850" w:type="dxa"/>
          </w:tcPr>
          <w:p w14:paraId="513F370C" w14:textId="77777777" w:rsidR="00AA23BD" w:rsidRPr="00B044CE" w:rsidRDefault="00AA23BD" w:rsidP="00D87732">
            <w:pPr>
              <w:tabs>
                <w:tab w:val="center" w:pos="4320"/>
                <w:tab w:val="right" w:pos="8640"/>
              </w:tabs>
              <w:jc w:val="center"/>
              <w:rPr>
                <w:sz w:val="20"/>
                <w:szCs w:val="20"/>
              </w:rPr>
            </w:pPr>
          </w:p>
        </w:tc>
      </w:tr>
      <w:tr w:rsidR="00AA23BD" w:rsidRPr="007E439E" w14:paraId="4E864E6C" w14:textId="77777777" w:rsidTr="00D87732">
        <w:tc>
          <w:tcPr>
            <w:tcW w:w="1809" w:type="dxa"/>
          </w:tcPr>
          <w:p w14:paraId="1EC02B3D" w14:textId="77777777" w:rsidR="00AA23BD" w:rsidRDefault="00AA23BD" w:rsidP="00D87732">
            <w:pPr>
              <w:tabs>
                <w:tab w:val="center" w:pos="4320"/>
                <w:tab w:val="right" w:pos="8640"/>
              </w:tabs>
              <w:rPr>
                <w:sz w:val="20"/>
                <w:szCs w:val="20"/>
              </w:rPr>
            </w:pPr>
            <w:r>
              <w:rPr>
                <w:sz w:val="20"/>
                <w:szCs w:val="20"/>
              </w:rPr>
              <w:t>Mental health</w:t>
            </w:r>
          </w:p>
        </w:tc>
        <w:tc>
          <w:tcPr>
            <w:tcW w:w="1276" w:type="dxa"/>
          </w:tcPr>
          <w:p w14:paraId="4D479522" w14:textId="77777777" w:rsidR="00AA23BD" w:rsidRDefault="00AA23BD" w:rsidP="00D87732">
            <w:pPr>
              <w:tabs>
                <w:tab w:val="center" w:pos="4320"/>
                <w:tab w:val="right" w:pos="8640"/>
              </w:tabs>
              <w:jc w:val="center"/>
              <w:rPr>
                <w:sz w:val="20"/>
                <w:szCs w:val="20"/>
              </w:rPr>
            </w:pPr>
            <w:r>
              <w:rPr>
                <w:sz w:val="20"/>
                <w:szCs w:val="20"/>
              </w:rPr>
              <w:t>68 (19.2%)</w:t>
            </w:r>
          </w:p>
        </w:tc>
        <w:tc>
          <w:tcPr>
            <w:tcW w:w="1276" w:type="dxa"/>
          </w:tcPr>
          <w:p w14:paraId="4E3113C1" w14:textId="77777777" w:rsidR="00AA23BD" w:rsidRDefault="00AA23BD" w:rsidP="00D87732">
            <w:pPr>
              <w:tabs>
                <w:tab w:val="center" w:pos="4320"/>
                <w:tab w:val="right" w:pos="8640"/>
              </w:tabs>
              <w:jc w:val="center"/>
              <w:rPr>
                <w:sz w:val="20"/>
                <w:szCs w:val="20"/>
              </w:rPr>
            </w:pPr>
            <w:r>
              <w:rPr>
                <w:sz w:val="20"/>
                <w:szCs w:val="20"/>
              </w:rPr>
              <w:t>53 (20.0%)</w:t>
            </w:r>
          </w:p>
        </w:tc>
        <w:tc>
          <w:tcPr>
            <w:tcW w:w="1276" w:type="dxa"/>
          </w:tcPr>
          <w:p w14:paraId="4BCF9F8A" w14:textId="77777777" w:rsidR="00AA23BD" w:rsidRDefault="00AA23BD" w:rsidP="00D87732">
            <w:pPr>
              <w:tabs>
                <w:tab w:val="center" w:pos="4320"/>
                <w:tab w:val="right" w:pos="8640"/>
              </w:tabs>
              <w:jc w:val="center"/>
              <w:rPr>
                <w:sz w:val="20"/>
                <w:szCs w:val="20"/>
              </w:rPr>
            </w:pPr>
            <w:r>
              <w:rPr>
                <w:sz w:val="20"/>
                <w:szCs w:val="20"/>
              </w:rPr>
              <w:t>15 (16.7%)</w:t>
            </w:r>
          </w:p>
        </w:tc>
        <w:tc>
          <w:tcPr>
            <w:tcW w:w="850" w:type="dxa"/>
          </w:tcPr>
          <w:p w14:paraId="77285575" w14:textId="77777777" w:rsidR="00AA23BD" w:rsidRDefault="00AA23BD" w:rsidP="00D87732">
            <w:pPr>
              <w:tabs>
                <w:tab w:val="center" w:pos="4320"/>
                <w:tab w:val="right" w:pos="8640"/>
              </w:tabs>
              <w:jc w:val="center"/>
              <w:rPr>
                <w:sz w:val="20"/>
                <w:szCs w:val="20"/>
              </w:rPr>
            </w:pPr>
            <w:r>
              <w:rPr>
                <w:sz w:val="20"/>
                <w:szCs w:val="20"/>
              </w:rPr>
              <w:t>0.54</w:t>
            </w:r>
          </w:p>
        </w:tc>
        <w:tc>
          <w:tcPr>
            <w:tcW w:w="1276" w:type="dxa"/>
          </w:tcPr>
          <w:p w14:paraId="61637206" w14:textId="77777777" w:rsidR="00AA23BD" w:rsidRDefault="00AA23BD" w:rsidP="00D87732">
            <w:pPr>
              <w:tabs>
                <w:tab w:val="center" w:pos="4320"/>
                <w:tab w:val="right" w:pos="8640"/>
              </w:tabs>
              <w:jc w:val="center"/>
              <w:rPr>
                <w:sz w:val="20"/>
                <w:szCs w:val="20"/>
              </w:rPr>
            </w:pPr>
            <w:r>
              <w:rPr>
                <w:sz w:val="20"/>
                <w:szCs w:val="20"/>
              </w:rPr>
              <w:t>53 (20.2%)</w:t>
            </w:r>
          </w:p>
        </w:tc>
        <w:tc>
          <w:tcPr>
            <w:tcW w:w="1276" w:type="dxa"/>
          </w:tcPr>
          <w:p w14:paraId="3F1A2839" w14:textId="77777777" w:rsidR="00AA23BD" w:rsidRDefault="00AA23BD" w:rsidP="00D87732">
            <w:pPr>
              <w:tabs>
                <w:tab w:val="center" w:pos="4320"/>
                <w:tab w:val="right" w:pos="8640"/>
              </w:tabs>
              <w:jc w:val="center"/>
              <w:rPr>
                <w:sz w:val="20"/>
                <w:szCs w:val="20"/>
              </w:rPr>
            </w:pPr>
            <w:r>
              <w:rPr>
                <w:sz w:val="20"/>
                <w:szCs w:val="20"/>
              </w:rPr>
              <w:t>15 (16.3%)</w:t>
            </w:r>
          </w:p>
        </w:tc>
        <w:tc>
          <w:tcPr>
            <w:tcW w:w="850" w:type="dxa"/>
          </w:tcPr>
          <w:p w14:paraId="6985D697" w14:textId="77777777" w:rsidR="00AA23BD" w:rsidRDefault="00AA23BD" w:rsidP="00D87732">
            <w:pPr>
              <w:tabs>
                <w:tab w:val="center" w:pos="4320"/>
                <w:tab w:val="right" w:pos="8640"/>
              </w:tabs>
              <w:jc w:val="center"/>
              <w:rPr>
                <w:sz w:val="20"/>
                <w:szCs w:val="20"/>
              </w:rPr>
            </w:pPr>
            <w:r>
              <w:rPr>
                <w:sz w:val="20"/>
                <w:szCs w:val="20"/>
              </w:rPr>
              <w:t>0.45</w:t>
            </w:r>
          </w:p>
        </w:tc>
      </w:tr>
      <w:tr w:rsidR="00AA23BD" w:rsidRPr="007E439E" w14:paraId="6D755575" w14:textId="77777777" w:rsidTr="00D87732">
        <w:tc>
          <w:tcPr>
            <w:tcW w:w="1809" w:type="dxa"/>
          </w:tcPr>
          <w:p w14:paraId="117B70D6" w14:textId="77777777" w:rsidR="00AA23BD" w:rsidRDefault="00AA23BD" w:rsidP="00D87732">
            <w:pPr>
              <w:tabs>
                <w:tab w:val="center" w:pos="4320"/>
                <w:tab w:val="right" w:pos="8640"/>
              </w:tabs>
              <w:rPr>
                <w:sz w:val="20"/>
                <w:szCs w:val="20"/>
              </w:rPr>
            </w:pPr>
            <w:r>
              <w:rPr>
                <w:sz w:val="20"/>
                <w:szCs w:val="20"/>
              </w:rPr>
              <w:t>Depression</w:t>
            </w:r>
          </w:p>
        </w:tc>
        <w:tc>
          <w:tcPr>
            <w:tcW w:w="1276" w:type="dxa"/>
          </w:tcPr>
          <w:p w14:paraId="47A46EEC" w14:textId="77777777" w:rsidR="00AA23BD" w:rsidRDefault="00AA23BD" w:rsidP="00D87732">
            <w:pPr>
              <w:tabs>
                <w:tab w:val="center" w:pos="4320"/>
                <w:tab w:val="right" w:pos="8640"/>
              </w:tabs>
              <w:jc w:val="center"/>
              <w:rPr>
                <w:sz w:val="20"/>
                <w:szCs w:val="20"/>
              </w:rPr>
            </w:pPr>
            <w:r>
              <w:rPr>
                <w:sz w:val="20"/>
                <w:szCs w:val="20"/>
              </w:rPr>
              <w:t>27 (7.6%)</w:t>
            </w:r>
          </w:p>
        </w:tc>
        <w:tc>
          <w:tcPr>
            <w:tcW w:w="1276" w:type="dxa"/>
          </w:tcPr>
          <w:p w14:paraId="0A4041E2" w14:textId="77777777" w:rsidR="00AA23BD" w:rsidRDefault="00AA23BD" w:rsidP="00D87732">
            <w:pPr>
              <w:tabs>
                <w:tab w:val="center" w:pos="4320"/>
                <w:tab w:val="right" w:pos="8640"/>
              </w:tabs>
              <w:jc w:val="center"/>
              <w:rPr>
                <w:sz w:val="20"/>
                <w:szCs w:val="20"/>
              </w:rPr>
            </w:pPr>
            <w:r>
              <w:rPr>
                <w:sz w:val="20"/>
                <w:szCs w:val="20"/>
              </w:rPr>
              <w:t>21 (7.9%)</w:t>
            </w:r>
          </w:p>
        </w:tc>
        <w:tc>
          <w:tcPr>
            <w:tcW w:w="1276" w:type="dxa"/>
          </w:tcPr>
          <w:p w14:paraId="5E2C2F06" w14:textId="77777777" w:rsidR="00AA23BD" w:rsidRDefault="00AA23BD" w:rsidP="00D87732">
            <w:pPr>
              <w:tabs>
                <w:tab w:val="center" w:pos="4320"/>
                <w:tab w:val="right" w:pos="8640"/>
              </w:tabs>
              <w:jc w:val="center"/>
              <w:rPr>
                <w:sz w:val="20"/>
                <w:szCs w:val="20"/>
              </w:rPr>
            </w:pPr>
            <w:r>
              <w:rPr>
                <w:sz w:val="20"/>
                <w:szCs w:val="20"/>
              </w:rPr>
              <w:t>6 (6.7%)</w:t>
            </w:r>
          </w:p>
        </w:tc>
        <w:tc>
          <w:tcPr>
            <w:tcW w:w="850" w:type="dxa"/>
          </w:tcPr>
          <w:p w14:paraId="6014F4A9" w14:textId="77777777" w:rsidR="00AA23BD" w:rsidRDefault="00AA23BD" w:rsidP="00D87732">
            <w:pPr>
              <w:tabs>
                <w:tab w:val="center" w:pos="4320"/>
                <w:tab w:val="right" w:pos="8640"/>
              </w:tabs>
              <w:jc w:val="center"/>
              <w:rPr>
                <w:sz w:val="20"/>
                <w:szCs w:val="20"/>
              </w:rPr>
            </w:pPr>
            <w:r>
              <w:rPr>
                <w:sz w:val="20"/>
                <w:szCs w:val="20"/>
              </w:rPr>
              <w:t>0.82</w:t>
            </w:r>
          </w:p>
        </w:tc>
        <w:tc>
          <w:tcPr>
            <w:tcW w:w="1276" w:type="dxa"/>
          </w:tcPr>
          <w:p w14:paraId="1EFADE6C" w14:textId="77777777" w:rsidR="00AA23BD" w:rsidRDefault="00AA23BD" w:rsidP="00D87732">
            <w:pPr>
              <w:tabs>
                <w:tab w:val="center" w:pos="4320"/>
                <w:tab w:val="right" w:pos="8640"/>
              </w:tabs>
              <w:jc w:val="center"/>
              <w:rPr>
                <w:sz w:val="20"/>
                <w:szCs w:val="20"/>
              </w:rPr>
            </w:pPr>
            <w:r>
              <w:rPr>
                <w:sz w:val="20"/>
                <w:szCs w:val="20"/>
              </w:rPr>
              <w:t>21 (8.0%)</w:t>
            </w:r>
          </w:p>
        </w:tc>
        <w:tc>
          <w:tcPr>
            <w:tcW w:w="1276" w:type="dxa"/>
          </w:tcPr>
          <w:p w14:paraId="1933A5B6" w14:textId="77777777" w:rsidR="00AA23BD" w:rsidRDefault="00AA23BD" w:rsidP="00D87732">
            <w:pPr>
              <w:tabs>
                <w:tab w:val="center" w:pos="4320"/>
                <w:tab w:val="right" w:pos="8640"/>
              </w:tabs>
              <w:jc w:val="center"/>
              <w:rPr>
                <w:sz w:val="20"/>
                <w:szCs w:val="20"/>
              </w:rPr>
            </w:pPr>
            <w:r>
              <w:rPr>
                <w:sz w:val="20"/>
                <w:szCs w:val="20"/>
              </w:rPr>
              <w:t>6 (6.5%)</w:t>
            </w:r>
          </w:p>
        </w:tc>
        <w:tc>
          <w:tcPr>
            <w:tcW w:w="850" w:type="dxa"/>
          </w:tcPr>
          <w:p w14:paraId="6D68EDBD" w14:textId="77777777" w:rsidR="00AA23BD" w:rsidRDefault="00AA23BD" w:rsidP="00D87732">
            <w:pPr>
              <w:tabs>
                <w:tab w:val="center" w:pos="4320"/>
                <w:tab w:val="right" w:pos="8640"/>
              </w:tabs>
              <w:jc w:val="center"/>
              <w:rPr>
                <w:sz w:val="20"/>
                <w:szCs w:val="20"/>
              </w:rPr>
            </w:pPr>
            <w:r>
              <w:rPr>
                <w:sz w:val="20"/>
                <w:szCs w:val="20"/>
              </w:rPr>
              <w:t>0.82</w:t>
            </w:r>
          </w:p>
        </w:tc>
      </w:tr>
      <w:tr w:rsidR="00AA23BD" w:rsidRPr="007E439E" w14:paraId="0FE2982D" w14:textId="77777777" w:rsidTr="00D87732">
        <w:tc>
          <w:tcPr>
            <w:tcW w:w="1809" w:type="dxa"/>
          </w:tcPr>
          <w:p w14:paraId="495C55A0" w14:textId="77777777" w:rsidR="00AA23BD" w:rsidRPr="00B044CE" w:rsidRDefault="00AA23BD" w:rsidP="00D87732">
            <w:pPr>
              <w:tabs>
                <w:tab w:val="center" w:pos="4320"/>
                <w:tab w:val="right" w:pos="8640"/>
              </w:tabs>
              <w:rPr>
                <w:sz w:val="20"/>
                <w:szCs w:val="20"/>
              </w:rPr>
            </w:pPr>
            <w:r>
              <w:rPr>
                <w:sz w:val="20"/>
                <w:szCs w:val="20"/>
              </w:rPr>
              <w:t>CHD</w:t>
            </w:r>
          </w:p>
        </w:tc>
        <w:tc>
          <w:tcPr>
            <w:tcW w:w="1276" w:type="dxa"/>
          </w:tcPr>
          <w:p w14:paraId="764DB928" w14:textId="77777777" w:rsidR="00AA23BD" w:rsidRDefault="00AA23BD" w:rsidP="00D87732">
            <w:pPr>
              <w:tabs>
                <w:tab w:val="center" w:pos="4320"/>
                <w:tab w:val="right" w:pos="8640"/>
              </w:tabs>
              <w:jc w:val="center"/>
              <w:rPr>
                <w:sz w:val="20"/>
                <w:szCs w:val="20"/>
              </w:rPr>
            </w:pPr>
            <w:r>
              <w:rPr>
                <w:sz w:val="20"/>
                <w:szCs w:val="20"/>
              </w:rPr>
              <w:t>55 (15.5%)</w:t>
            </w:r>
          </w:p>
        </w:tc>
        <w:tc>
          <w:tcPr>
            <w:tcW w:w="1276" w:type="dxa"/>
          </w:tcPr>
          <w:p w14:paraId="1EC5322A" w14:textId="77777777" w:rsidR="00AA23BD" w:rsidRPr="00B044CE" w:rsidRDefault="00AA23BD" w:rsidP="00D87732">
            <w:pPr>
              <w:tabs>
                <w:tab w:val="center" w:pos="4320"/>
                <w:tab w:val="right" w:pos="8640"/>
              </w:tabs>
              <w:jc w:val="center"/>
              <w:rPr>
                <w:sz w:val="20"/>
                <w:szCs w:val="20"/>
              </w:rPr>
            </w:pPr>
            <w:r>
              <w:rPr>
                <w:sz w:val="20"/>
                <w:szCs w:val="20"/>
              </w:rPr>
              <w:t>33 (12.5%)</w:t>
            </w:r>
          </w:p>
        </w:tc>
        <w:tc>
          <w:tcPr>
            <w:tcW w:w="1276" w:type="dxa"/>
          </w:tcPr>
          <w:p w14:paraId="0E2227D6" w14:textId="77777777" w:rsidR="00AA23BD" w:rsidRPr="00B044CE" w:rsidRDefault="00AA23BD" w:rsidP="00D87732">
            <w:pPr>
              <w:tabs>
                <w:tab w:val="center" w:pos="4320"/>
                <w:tab w:val="right" w:pos="8640"/>
              </w:tabs>
              <w:jc w:val="center"/>
              <w:rPr>
                <w:sz w:val="20"/>
                <w:szCs w:val="20"/>
              </w:rPr>
            </w:pPr>
            <w:r>
              <w:rPr>
                <w:sz w:val="20"/>
                <w:szCs w:val="20"/>
              </w:rPr>
              <w:t>22 (24.4%)</w:t>
            </w:r>
          </w:p>
        </w:tc>
        <w:tc>
          <w:tcPr>
            <w:tcW w:w="850" w:type="dxa"/>
          </w:tcPr>
          <w:p w14:paraId="4F5F0785" w14:textId="77777777" w:rsidR="00AA23BD" w:rsidRPr="00B044CE" w:rsidRDefault="00AA23BD" w:rsidP="00D87732">
            <w:pPr>
              <w:tabs>
                <w:tab w:val="center" w:pos="4320"/>
                <w:tab w:val="right" w:pos="8640"/>
              </w:tabs>
              <w:jc w:val="center"/>
              <w:rPr>
                <w:sz w:val="20"/>
                <w:szCs w:val="20"/>
              </w:rPr>
            </w:pPr>
            <w:r>
              <w:rPr>
                <w:sz w:val="20"/>
                <w:szCs w:val="20"/>
              </w:rPr>
              <w:t>0.011</w:t>
            </w:r>
          </w:p>
        </w:tc>
        <w:tc>
          <w:tcPr>
            <w:tcW w:w="1276" w:type="dxa"/>
          </w:tcPr>
          <w:p w14:paraId="0BB05DCC" w14:textId="77777777" w:rsidR="00AA23BD" w:rsidRDefault="00AA23BD" w:rsidP="00D87732">
            <w:pPr>
              <w:tabs>
                <w:tab w:val="center" w:pos="4320"/>
                <w:tab w:val="right" w:pos="8640"/>
              </w:tabs>
              <w:jc w:val="center"/>
              <w:rPr>
                <w:sz w:val="20"/>
                <w:szCs w:val="20"/>
              </w:rPr>
            </w:pPr>
            <w:r>
              <w:rPr>
                <w:sz w:val="20"/>
                <w:szCs w:val="20"/>
              </w:rPr>
              <w:t>32 (12.2%)</w:t>
            </w:r>
          </w:p>
        </w:tc>
        <w:tc>
          <w:tcPr>
            <w:tcW w:w="1276" w:type="dxa"/>
          </w:tcPr>
          <w:p w14:paraId="080B24D8" w14:textId="77777777" w:rsidR="00AA23BD" w:rsidRDefault="00AA23BD" w:rsidP="00D87732">
            <w:pPr>
              <w:tabs>
                <w:tab w:val="center" w:pos="4320"/>
                <w:tab w:val="right" w:pos="8640"/>
              </w:tabs>
              <w:jc w:val="center"/>
              <w:rPr>
                <w:sz w:val="20"/>
                <w:szCs w:val="20"/>
              </w:rPr>
            </w:pPr>
            <w:r>
              <w:rPr>
                <w:sz w:val="20"/>
                <w:szCs w:val="20"/>
              </w:rPr>
              <w:t>23 (25.0%)</w:t>
            </w:r>
          </w:p>
        </w:tc>
        <w:tc>
          <w:tcPr>
            <w:tcW w:w="850" w:type="dxa"/>
          </w:tcPr>
          <w:p w14:paraId="2E911BC1" w14:textId="77777777" w:rsidR="00AA23BD" w:rsidRPr="00B044CE" w:rsidRDefault="00AA23BD" w:rsidP="00D87732">
            <w:pPr>
              <w:tabs>
                <w:tab w:val="center" w:pos="4320"/>
                <w:tab w:val="right" w:pos="8640"/>
              </w:tabs>
              <w:jc w:val="center"/>
              <w:rPr>
                <w:sz w:val="20"/>
                <w:szCs w:val="20"/>
              </w:rPr>
            </w:pPr>
            <w:r>
              <w:rPr>
                <w:sz w:val="20"/>
                <w:szCs w:val="20"/>
              </w:rPr>
              <w:t>0.007</w:t>
            </w:r>
          </w:p>
        </w:tc>
      </w:tr>
      <w:tr w:rsidR="00AA23BD" w:rsidRPr="007E439E" w14:paraId="6317CF57" w14:textId="77777777" w:rsidTr="00D87732">
        <w:tc>
          <w:tcPr>
            <w:tcW w:w="1809" w:type="dxa"/>
          </w:tcPr>
          <w:p w14:paraId="02F4C0C1" w14:textId="77777777" w:rsidR="00AA23BD" w:rsidRPr="00B044CE" w:rsidRDefault="00AA23BD" w:rsidP="00D87732">
            <w:pPr>
              <w:tabs>
                <w:tab w:val="center" w:pos="4320"/>
                <w:tab w:val="right" w:pos="8640"/>
              </w:tabs>
              <w:rPr>
                <w:sz w:val="20"/>
                <w:szCs w:val="20"/>
              </w:rPr>
            </w:pPr>
            <w:r>
              <w:rPr>
                <w:sz w:val="20"/>
                <w:szCs w:val="20"/>
              </w:rPr>
              <w:t>Heart failure</w:t>
            </w:r>
          </w:p>
        </w:tc>
        <w:tc>
          <w:tcPr>
            <w:tcW w:w="1276" w:type="dxa"/>
          </w:tcPr>
          <w:p w14:paraId="02936DC1" w14:textId="77777777" w:rsidR="00AA23BD" w:rsidRDefault="00AA23BD" w:rsidP="00D87732">
            <w:pPr>
              <w:tabs>
                <w:tab w:val="center" w:pos="4320"/>
                <w:tab w:val="right" w:pos="8640"/>
              </w:tabs>
              <w:jc w:val="center"/>
              <w:rPr>
                <w:sz w:val="20"/>
                <w:szCs w:val="20"/>
              </w:rPr>
            </w:pPr>
            <w:r>
              <w:rPr>
                <w:sz w:val="20"/>
                <w:szCs w:val="20"/>
              </w:rPr>
              <w:t>20 (5.6%)</w:t>
            </w:r>
          </w:p>
        </w:tc>
        <w:tc>
          <w:tcPr>
            <w:tcW w:w="1276" w:type="dxa"/>
          </w:tcPr>
          <w:p w14:paraId="6CE63D16" w14:textId="77777777" w:rsidR="00AA23BD" w:rsidRDefault="00AA23BD" w:rsidP="00D87732">
            <w:pPr>
              <w:tabs>
                <w:tab w:val="center" w:pos="4320"/>
                <w:tab w:val="right" w:pos="8640"/>
              </w:tabs>
              <w:jc w:val="center"/>
              <w:rPr>
                <w:sz w:val="20"/>
                <w:szCs w:val="20"/>
              </w:rPr>
            </w:pPr>
            <w:r>
              <w:rPr>
                <w:sz w:val="20"/>
                <w:szCs w:val="20"/>
              </w:rPr>
              <w:t>10 (3.8%)</w:t>
            </w:r>
          </w:p>
        </w:tc>
        <w:tc>
          <w:tcPr>
            <w:tcW w:w="1276" w:type="dxa"/>
          </w:tcPr>
          <w:p w14:paraId="57C259C4" w14:textId="77777777" w:rsidR="00AA23BD" w:rsidRDefault="00AA23BD" w:rsidP="00D87732">
            <w:pPr>
              <w:tabs>
                <w:tab w:val="center" w:pos="4320"/>
                <w:tab w:val="right" w:pos="8640"/>
              </w:tabs>
              <w:jc w:val="center"/>
              <w:rPr>
                <w:sz w:val="20"/>
                <w:szCs w:val="20"/>
              </w:rPr>
            </w:pPr>
            <w:r>
              <w:rPr>
                <w:sz w:val="20"/>
                <w:szCs w:val="20"/>
              </w:rPr>
              <w:t>10 (11.1%)</w:t>
            </w:r>
          </w:p>
        </w:tc>
        <w:tc>
          <w:tcPr>
            <w:tcW w:w="850" w:type="dxa"/>
          </w:tcPr>
          <w:p w14:paraId="55FA923D" w14:textId="77777777" w:rsidR="00AA23BD" w:rsidRPr="00B044CE" w:rsidRDefault="00AA23BD" w:rsidP="00D87732">
            <w:pPr>
              <w:tabs>
                <w:tab w:val="center" w:pos="4320"/>
                <w:tab w:val="right" w:pos="8640"/>
              </w:tabs>
              <w:jc w:val="center"/>
              <w:rPr>
                <w:sz w:val="20"/>
                <w:szCs w:val="20"/>
              </w:rPr>
            </w:pPr>
            <w:r>
              <w:rPr>
                <w:sz w:val="20"/>
                <w:szCs w:val="20"/>
              </w:rPr>
              <w:t>0.015</w:t>
            </w:r>
          </w:p>
        </w:tc>
        <w:tc>
          <w:tcPr>
            <w:tcW w:w="1276" w:type="dxa"/>
          </w:tcPr>
          <w:p w14:paraId="08C9066E" w14:textId="77777777" w:rsidR="00AA23BD" w:rsidRDefault="00AA23BD" w:rsidP="00D87732">
            <w:pPr>
              <w:tabs>
                <w:tab w:val="center" w:pos="4320"/>
                <w:tab w:val="right" w:pos="8640"/>
              </w:tabs>
              <w:jc w:val="center"/>
              <w:rPr>
                <w:sz w:val="20"/>
                <w:szCs w:val="20"/>
              </w:rPr>
            </w:pPr>
            <w:r>
              <w:rPr>
                <w:sz w:val="20"/>
                <w:szCs w:val="20"/>
              </w:rPr>
              <w:t>9 (3.4%)</w:t>
            </w:r>
          </w:p>
        </w:tc>
        <w:tc>
          <w:tcPr>
            <w:tcW w:w="1276" w:type="dxa"/>
          </w:tcPr>
          <w:p w14:paraId="23085C64" w14:textId="77777777" w:rsidR="00AA23BD" w:rsidRDefault="00AA23BD" w:rsidP="00D87732">
            <w:pPr>
              <w:tabs>
                <w:tab w:val="center" w:pos="4320"/>
                <w:tab w:val="right" w:pos="8640"/>
              </w:tabs>
              <w:jc w:val="center"/>
              <w:rPr>
                <w:sz w:val="20"/>
                <w:szCs w:val="20"/>
              </w:rPr>
            </w:pPr>
            <w:r>
              <w:rPr>
                <w:sz w:val="20"/>
                <w:szCs w:val="20"/>
              </w:rPr>
              <w:t>11 (12.0%)</w:t>
            </w:r>
          </w:p>
        </w:tc>
        <w:tc>
          <w:tcPr>
            <w:tcW w:w="850" w:type="dxa"/>
          </w:tcPr>
          <w:p w14:paraId="12CD252C" w14:textId="77777777" w:rsidR="00AA23BD" w:rsidRPr="00B044CE" w:rsidRDefault="00AA23BD" w:rsidP="00D87732">
            <w:pPr>
              <w:tabs>
                <w:tab w:val="center" w:pos="4320"/>
                <w:tab w:val="right" w:pos="8640"/>
              </w:tabs>
              <w:jc w:val="center"/>
              <w:rPr>
                <w:sz w:val="20"/>
                <w:szCs w:val="20"/>
              </w:rPr>
            </w:pPr>
            <w:r>
              <w:rPr>
                <w:sz w:val="20"/>
                <w:szCs w:val="20"/>
              </w:rPr>
              <w:t>0.006</w:t>
            </w:r>
          </w:p>
        </w:tc>
      </w:tr>
      <w:tr w:rsidR="00AA23BD" w:rsidRPr="007E439E" w14:paraId="3677D9AB" w14:textId="77777777" w:rsidTr="00D87732">
        <w:tc>
          <w:tcPr>
            <w:tcW w:w="1809" w:type="dxa"/>
          </w:tcPr>
          <w:p w14:paraId="237A2BF3" w14:textId="77777777" w:rsidR="00AA23BD" w:rsidRPr="00B044CE" w:rsidRDefault="00AA23BD" w:rsidP="00D87732">
            <w:pPr>
              <w:tabs>
                <w:tab w:val="center" w:pos="4320"/>
                <w:tab w:val="right" w:pos="8640"/>
              </w:tabs>
              <w:rPr>
                <w:sz w:val="20"/>
                <w:szCs w:val="20"/>
              </w:rPr>
            </w:pPr>
            <w:r>
              <w:rPr>
                <w:sz w:val="20"/>
                <w:szCs w:val="20"/>
              </w:rPr>
              <w:t>Stroke</w:t>
            </w:r>
          </w:p>
        </w:tc>
        <w:tc>
          <w:tcPr>
            <w:tcW w:w="1276" w:type="dxa"/>
          </w:tcPr>
          <w:p w14:paraId="20F4DFF9" w14:textId="77777777" w:rsidR="00AA23BD" w:rsidRDefault="00AA23BD" w:rsidP="00D87732">
            <w:pPr>
              <w:tabs>
                <w:tab w:val="center" w:pos="4320"/>
                <w:tab w:val="right" w:pos="8640"/>
              </w:tabs>
              <w:jc w:val="center"/>
              <w:rPr>
                <w:sz w:val="20"/>
                <w:szCs w:val="20"/>
              </w:rPr>
            </w:pPr>
            <w:r>
              <w:rPr>
                <w:sz w:val="20"/>
                <w:szCs w:val="20"/>
              </w:rPr>
              <w:t>17 (4.8%)</w:t>
            </w:r>
          </w:p>
        </w:tc>
        <w:tc>
          <w:tcPr>
            <w:tcW w:w="1276" w:type="dxa"/>
          </w:tcPr>
          <w:p w14:paraId="6D410D00" w14:textId="77777777" w:rsidR="00AA23BD" w:rsidRDefault="00AA23BD" w:rsidP="00D87732">
            <w:pPr>
              <w:tabs>
                <w:tab w:val="center" w:pos="4320"/>
                <w:tab w:val="right" w:pos="8640"/>
              </w:tabs>
              <w:jc w:val="center"/>
              <w:rPr>
                <w:sz w:val="20"/>
                <w:szCs w:val="20"/>
              </w:rPr>
            </w:pPr>
            <w:r>
              <w:rPr>
                <w:sz w:val="20"/>
                <w:szCs w:val="20"/>
              </w:rPr>
              <w:t>10 (3.8%)</w:t>
            </w:r>
          </w:p>
        </w:tc>
        <w:tc>
          <w:tcPr>
            <w:tcW w:w="1276" w:type="dxa"/>
          </w:tcPr>
          <w:p w14:paraId="739CA605" w14:textId="77777777" w:rsidR="00AA23BD" w:rsidRDefault="00AA23BD" w:rsidP="00D87732">
            <w:pPr>
              <w:tabs>
                <w:tab w:val="center" w:pos="4320"/>
                <w:tab w:val="right" w:pos="8640"/>
              </w:tabs>
              <w:jc w:val="center"/>
              <w:rPr>
                <w:sz w:val="20"/>
                <w:szCs w:val="20"/>
              </w:rPr>
            </w:pPr>
            <w:r>
              <w:rPr>
                <w:sz w:val="20"/>
                <w:szCs w:val="20"/>
              </w:rPr>
              <w:t>7 (7.8%)</w:t>
            </w:r>
          </w:p>
        </w:tc>
        <w:tc>
          <w:tcPr>
            <w:tcW w:w="850" w:type="dxa"/>
          </w:tcPr>
          <w:p w14:paraId="5B99F2BE" w14:textId="77777777" w:rsidR="00AA23BD" w:rsidRPr="00B044CE" w:rsidRDefault="00AA23BD" w:rsidP="00D87732">
            <w:pPr>
              <w:tabs>
                <w:tab w:val="center" w:pos="4320"/>
                <w:tab w:val="right" w:pos="8640"/>
              </w:tabs>
              <w:jc w:val="center"/>
              <w:rPr>
                <w:sz w:val="20"/>
                <w:szCs w:val="20"/>
              </w:rPr>
            </w:pPr>
            <w:r>
              <w:rPr>
                <w:sz w:val="20"/>
                <w:szCs w:val="20"/>
              </w:rPr>
              <w:t>0.15</w:t>
            </w:r>
          </w:p>
        </w:tc>
        <w:tc>
          <w:tcPr>
            <w:tcW w:w="1276" w:type="dxa"/>
          </w:tcPr>
          <w:p w14:paraId="3C0256A3" w14:textId="77777777" w:rsidR="00AA23BD" w:rsidRDefault="00AA23BD" w:rsidP="00D87732">
            <w:pPr>
              <w:tabs>
                <w:tab w:val="center" w:pos="4320"/>
                <w:tab w:val="right" w:pos="8640"/>
              </w:tabs>
              <w:jc w:val="center"/>
              <w:rPr>
                <w:sz w:val="20"/>
                <w:szCs w:val="20"/>
              </w:rPr>
            </w:pPr>
            <w:r>
              <w:rPr>
                <w:sz w:val="20"/>
                <w:szCs w:val="20"/>
              </w:rPr>
              <w:t>10 (3.8%)</w:t>
            </w:r>
          </w:p>
        </w:tc>
        <w:tc>
          <w:tcPr>
            <w:tcW w:w="1276" w:type="dxa"/>
          </w:tcPr>
          <w:p w14:paraId="40C28F78" w14:textId="77777777" w:rsidR="00AA23BD" w:rsidRDefault="00AA23BD" w:rsidP="00D87732">
            <w:pPr>
              <w:tabs>
                <w:tab w:val="center" w:pos="4320"/>
                <w:tab w:val="right" w:pos="8640"/>
              </w:tabs>
              <w:jc w:val="center"/>
              <w:rPr>
                <w:sz w:val="20"/>
                <w:szCs w:val="20"/>
              </w:rPr>
            </w:pPr>
            <w:r>
              <w:rPr>
                <w:sz w:val="20"/>
                <w:szCs w:val="20"/>
              </w:rPr>
              <w:t>7 (7.6%)</w:t>
            </w:r>
          </w:p>
        </w:tc>
        <w:tc>
          <w:tcPr>
            <w:tcW w:w="850" w:type="dxa"/>
          </w:tcPr>
          <w:p w14:paraId="0306C9C9" w14:textId="77777777" w:rsidR="00AA23BD" w:rsidRPr="00B044CE" w:rsidRDefault="00AA23BD" w:rsidP="00D87732">
            <w:pPr>
              <w:tabs>
                <w:tab w:val="center" w:pos="4320"/>
                <w:tab w:val="right" w:pos="8640"/>
              </w:tabs>
              <w:jc w:val="center"/>
              <w:rPr>
                <w:sz w:val="20"/>
                <w:szCs w:val="20"/>
              </w:rPr>
            </w:pPr>
            <w:r>
              <w:rPr>
                <w:sz w:val="20"/>
                <w:szCs w:val="20"/>
              </w:rPr>
              <w:t>0.16</w:t>
            </w:r>
          </w:p>
        </w:tc>
      </w:tr>
      <w:tr w:rsidR="00AA23BD" w:rsidRPr="007E439E" w14:paraId="319E563D" w14:textId="77777777" w:rsidTr="00D87732">
        <w:tc>
          <w:tcPr>
            <w:tcW w:w="1809" w:type="dxa"/>
          </w:tcPr>
          <w:p w14:paraId="2EE65110" w14:textId="77777777" w:rsidR="00AA23BD" w:rsidRPr="00B044CE" w:rsidRDefault="00AA23BD" w:rsidP="00D87732">
            <w:pPr>
              <w:tabs>
                <w:tab w:val="center" w:pos="4320"/>
                <w:tab w:val="right" w:pos="8640"/>
              </w:tabs>
              <w:rPr>
                <w:sz w:val="20"/>
                <w:szCs w:val="20"/>
              </w:rPr>
            </w:pPr>
            <w:r>
              <w:rPr>
                <w:sz w:val="20"/>
                <w:szCs w:val="20"/>
              </w:rPr>
              <w:t>Hypertension</w:t>
            </w:r>
          </w:p>
        </w:tc>
        <w:tc>
          <w:tcPr>
            <w:tcW w:w="1276" w:type="dxa"/>
          </w:tcPr>
          <w:p w14:paraId="54C0986C" w14:textId="77777777" w:rsidR="00AA23BD" w:rsidRDefault="00AA23BD" w:rsidP="00D87732">
            <w:pPr>
              <w:tabs>
                <w:tab w:val="center" w:pos="4320"/>
                <w:tab w:val="right" w:pos="8640"/>
              </w:tabs>
              <w:jc w:val="center"/>
              <w:rPr>
                <w:sz w:val="20"/>
                <w:szCs w:val="20"/>
              </w:rPr>
            </w:pPr>
            <w:r>
              <w:rPr>
                <w:sz w:val="20"/>
                <w:szCs w:val="20"/>
              </w:rPr>
              <w:t>178 (50.1%)</w:t>
            </w:r>
          </w:p>
        </w:tc>
        <w:tc>
          <w:tcPr>
            <w:tcW w:w="1276" w:type="dxa"/>
          </w:tcPr>
          <w:p w14:paraId="7BA43741" w14:textId="77777777" w:rsidR="00AA23BD" w:rsidRDefault="00AA23BD" w:rsidP="00D87732">
            <w:pPr>
              <w:tabs>
                <w:tab w:val="center" w:pos="4320"/>
                <w:tab w:val="right" w:pos="8640"/>
              </w:tabs>
              <w:jc w:val="center"/>
              <w:rPr>
                <w:sz w:val="20"/>
                <w:szCs w:val="20"/>
              </w:rPr>
            </w:pPr>
            <w:r>
              <w:rPr>
                <w:sz w:val="20"/>
                <w:szCs w:val="20"/>
              </w:rPr>
              <w:t>123 (46.4%)</w:t>
            </w:r>
          </w:p>
        </w:tc>
        <w:tc>
          <w:tcPr>
            <w:tcW w:w="1276" w:type="dxa"/>
          </w:tcPr>
          <w:p w14:paraId="65E8B884" w14:textId="77777777" w:rsidR="00AA23BD" w:rsidRDefault="00AA23BD" w:rsidP="00D87732">
            <w:pPr>
              <w:tabs>
                <w:tab w:val="center" w:pos="4320"/>
                <w:tab w:val="right" w:pos="8640"/>
              </w:tabs>
              <w:jc w:val="center"/>
              <w:rPr>
                <w:sz w:val="20"/>
                <w:szCs w:val="20"/>
              </w:rPr>
            </w:pPr>
            <w:r>
              <w:rPr>
                <w:sz w:val="20"/>
                <w:szCs w:val="20"/>
              </w:rPr>
              <w:t>55 (61.1%)</w:t>
            </w:r>
          </w:p>
        </w:tc>
        <w:tc>
          <w:tcPr>
            <w:tcW w:w="850" w:type="dxa"/>
          </w:tcPr>
          <w:p w14:paraId="2BFB7C31" w14:textId="77777777" w:rsidR="00AA23BD" w:rsidRPr="00B044CE" w:rsidRDefault="00AA23BD" w:rsidP="00D87732">
            <w:pPr>
              <w:tabs>
                <w:tab w:val="center" w:pos="4320"/>
                <w:tab w:val="right" w:pos="8640"/>
              </w:tabs>
              <w:jc w:val="center"/>
              <w:rPr>
                <w:sz w:val="20"/>
                <w:szCs w:val="20"/>
              </w:rPr>
            </w:pPr>
            <w:r>
              <w:rPr>
                <w:sz w:val="20"/>
                <w:szCs w:val="20"/>
              </w:rPr>
              <w:t>0.020</w:t>
            </w:r>
          </w:p>
        </w:tc>
        <w:tc>
          <w:tcPr>
            <w:tcW w:w="1276" w:type="dxa"/>
          </w:tcPr>
          <w:p w14:paraId="69D82E47" w14:textId="77777777" w:rsidR="00AA23BD" w:rsidRDefault="00AA23BD" w:rsidP="00D87732">
            <w:pPr>
              <w:tabs>
                <w:tab w:val="center" w:pos="4320"/>
                <w:tab w:val="right" w:pos="8640"/>
              </w:tabs>
              <w:jc w:val="center"/>
              <w:rPr>
                <w:sz w:val="20"/>
                <w:szCs w:val="20"/>
              </w:rPr>
            </w:pPr>
            <w:r>
              <w:rPr>
                <w:sz w:val="20"/>
                <w:szCs w:val="20"/>
              </w:rPr>
              <w:t>122 (46.4%)</w:t>
            </w:r>
          </w:p>
        </w:tc>
        <w:tc>
          <w:tcPr>
            <w:tcW w:w="1276" w:type="dxa"/>
          </w:tcPr>
          <w:p w14:paraId="257448C4" w14:textId="77777777" w:rsidR="00AA23BD" w:rsidRDefault="00AA23BD" w:rsidP="00D87732">
            <w:pPr>
              <w:tabs>
                <w:tab w:val="center" w:pos="4320"/>
                <w:tab w:val="right" w:pos="8640"/>
              </w:tabs>
              <w:jc w:val="center"/>
              <w:rPr>
                <w:sz w:val="20"/>
                <w:szCs w:val="20"/>
              </w:rPr>
            </w:pPr>
            <w:r>
              <w:rPr>
                <w:sz w:val="20"/>
                <w:szCs w:val="20"/>
              </w:rPr>
              <w:t>56 (60.9%)</w:t>
            </w:r>
          </w:p>
        </w:tc>
        <w:tc>
          <w:tcPr>
            <w:tcW w:w="850" w:type="dxa"/>
          </w:tcPr>
          <w:p w14:paraId="79183B0D" w14:textId="77777777" w:rsidR="00AA23BD" w:rsidRPr="00B044CE" w:rsidRDefault="00AA23BD" w:rsidP="00D87732">
            <w:pPr>
              <w:tabs>
                <w:tab w:val="center" w:pos="4320"/>
                <w:tab w:val="right" w:pos="8640"/>
              </w:tabs>
              <w:jc w:val="center"/>
              <w:rPr>
                <w:sz w:val="20"/>
                <w:szCs w:val="20"/>
              </w:rPr>
            </w:pPr>
            <w:r>
              <w:rPr>
                <w:sz w:val="20"/>
                <w:szCs w:val="20"/>
              </w:rPr>
              <w:t>0.021</w:t>
            </w:r>
          </w:p>
        </w:tc>
      </w:tr>
      <w:tr w:rsidR="00AA23BD" w:rsidRPr="007E439E" w14:paraId="1CF42909" w14:textId="77777777" w:rsidTr="00D87732">
        <w:tc>
          <w:tcPr>
            <w:tcW w:w="1809" w:type="dxa"/>
          </w:tcPr>
          <w:p w14:paraId="225F2705" w14:textId="77777777" w:rsidR="00AA23BD" w:rsidRPr="00B044CE" w:rsidRDefault="00AA23BD" w:rsidP="00D87732">
            <w:pPr>
              <w:tabs>
                <w:tab w:val="center" w:pos="4320"/>
                <w:tab w:val="right" w:pos="8640"/>
              </w:tabs>
              <w:rPr>
                <w:sz w:val="20"/>
                <w:szCs w:val="20"/>
              </w:rPr>
            </w:pPr>
            <w:r>
              <w:rPr>
                <w:sz w:val="20"/>
                <w:szCs w:val="20"/>
              </w:rPr>
              <w:t>Diabetes mellitus</w:t>
            </w:r>
          </w:p>
        </w:tc>
        <w:tc>
          <w:tcPr>
            <w:tcW w:w="1276" w:type="dxa"/>
          </w:tcPr>
          <w:p w14:paraId="3768C1E2" w14:textId="77777777" w:rsidR="00AA23BD" w:rsidRDefault="00AA23BD" w:rsidP="00D87732">
            <w:pPr>
              <w:tabs>
                <w:tab w:val="center" w:pos="4320"/>
                <w:tab w:val="right" w:pos="8640"/>
              </w:tabs>
              <w:jc w:val="center"/>
              <w:rPr>
                <w:sz w:val="20"/>
                <w:szCs w:val="20"/>
              </w:rPr>
            </w:pPr>
            <w:r>
              <w:rPr>
                <w:sz w:val="20"/>
                <w:szCs w:val="20"/>
              </w:rPr>
              <w:t>68 (19.2%)</w:t>
            </w:r>
          </w:p>
        </w:tc>
        <w:tc>
          <w:tcPr>
            <w:tcW w:w="1276" w:type="dxa"/>
          </w:tcPr>
          <w:p w14:paraId="48E2D77D" w14:textId="77777777" w:rsidR="00AA23BD" w:rsidRDefault="00AA23BD" w:rsidP="00D87732">
            <w:pPr>
              <w:tabs>
                <w:tab w:val="center" w:pos="4320"/>
                <w:tab w:val="right" w:pos="8640"/>
              </w:tabs>
              <w:jc w:val="center"/>
              <w:rPr>
                <w:sz w:val="20"/>
                <w:szCs w:val="20"/>
              </w:rPr>
            </w:pPr>
            <w:r>
              <w:rPr>
                <w:sz w:val="20"/>
                <w:szCs w:val="20"/>
              </w:rPr>
              <w:t>51 (19.2%)</w:t>
            </w:r>
          </w:p>
        </w:tc>
        <w:tc>
          <w:tcPr>
            <w:tcW w:w="1276" w:type="dxa"/>
          </w:tcPr>
          <w:p w14:paraId="4171AED3" w14:textId="77777777" w:rsidR="00AA23BD" w:rsidRDefault="00AA23BD" w:rsidP="00D87732">
            <w:pPr>
              <w:tabs>
                <w:tab w:val="center" w:pos="4320"/>
                <w:tab w:val="right" w:pos="8640"/>
              </w:tabs>
              <w:jc w:val="center"/>
              <w:rPr>
                <w:sz w:val="20"/>
                <w:szCs w:val="20"/>
              </w:rPr>
            </w:pPr>
            <w:r>
              <w:rPr>
                <w:sz w:val="20"/>
                <w:szCs w:val="20"/>
              </w:rPr>
              <w:t>17 (18.9%)</w:t>
            </w:r>
          </w:p>
        </w:tc>
        <w:tc>
          <w:tcPr>
            <w:tcW w:w="850" w:type="dxa"/>
          </w:tcPr>
          <w:p w14:paraId="414CBB61" w14:textId="77777777" w:rsidR="00AA23BD" w:rsidRPr="00B044CE" w:rsidRDefault="00AA23BD" w:rsidP="00D87732">
            <w:pPr>
              <w:tabs>
                <w:tab w:val="center" w:pos="4320"/>
                <w:tab w:val="right" w:pos="8640"/>
              </w:tabs>
              <w:jc w:val="center"/>
              <w:rPr>
                <w:sz w:val="20"/>
                <w:szCs w:val="20"/>
              </w:rPr>
            </w:pPr>
            <w:r>
              <w:rPr>
                <w:sz w:val="20"/>
                <w:szCs w:val="20"/>
              </w:rPr>
              <w:t>1.0</w:t>
            </w:r>
          </w:p>
        </w:tc>
        <w:tc>
          <w:tcPr>
            <w:tcW w:w="1276" w:type="dxa"/>
          </w:tcPr>
          <w:p w14:paraId="37BD5334" w14:textId="77777777" w:rsidR="00AA23BD" w:rsidRDefault="00AA23BD" w:rsidP="00D87732">
            <w:pPr>
              <w:tabs>
                <w:tab w:val="center" w:pos="4320"/>
                <w:tab w:val="right" w:pos="8640"/>
              </w:tabs>
              <w:jc w:val="center"/>
              <w:rPr>
                <w:sz w:val="20"/>
                <w:szCs w:val="20"/>
              </w:rPr>
            </w:pPr>
            <w:r>
              <w:rPr>
                <w:sz w:val="20"/>
                <w:szCs w:val="20"/>
              </w:rPr>
              <w:t>50 (19.0%)</w:t>
            </w:r>
          </w:p>
        </w:tc>
        <w:tc>
          <w:tcPr>
            <w:tcW w:w="1276" w:type="dxa"/>
          </w:tcPr>
          <w:p w14:paraId="752DB8FF" w14:textId="77777777" w:rsidR="00AA23BD" w:rsidRDefault="00AA23BD" w:rsidP="00D87732">
            <w:pPr>
              <w:tabs>
                <w:tab w:val="center" w:pos="4320"/>
                <w:tab w:val="right" w:pos="8640"/>
              </w:tabs>
              <w:jc w:val="center"/>
              <w:rPr>
                <w:sz w:val="20"/>
                <w:szCs w:val="20"/>
              </w:rPr>
            </w:pPr>
            <w:r>
              <w:rPr>
                <w:sz w:val="20"/>
                <w:szCs w:val="20"/>
              </w:rPr>
              <w:t>18 (19.6%)</w:t>
            </w:r>
          </w:p>
        </w:tc>
        <w:tc>
          <w:tcPr>
            <w:tcW w:w="850" w:type="dxa"/>
          </w:tcPr>
          <w:p w14:paraId="761EF6EF" w14:textId="77777777" w:rsidR="00AA23BD" w:rsidRPr="00B044CE" w:rsidRDefault="00AA23BD" w:rsidP="00D87732">
            <w:pPr>
              <w:tabs>
                <w:tab w:val="center" w:pos="4320"/>
                <w:tab w:val="right" w:pos="8640"/>
              </w:tabs>
              <w:jc w:val="center"/>
              <w:rPr>
                <w:sz w:val="20"/>
                <w:szCs w:val="20"/>
              </w:rPr>
            </w:pPr>
            <w:r>
              <w:rPr>
                <w:sz w:val="20"/>
                <w:szCs w:val="20"/>
              </w:rPr>
              <w:t>0.88</w:t>
            </w:r>
          </w:p>
        </w:tc>
      </w:tr>
      <w:tr w:rsidR="00AA23BD" w:rsidRPr="007E439E" w14:paraId="043D53C1" w14:textId="77777777" w:rsidTr="00D87732">
        <w:tc>
          <w:tcPr>
            <w:tcW w:w="1809" w:type="dxa"/>
          </w:tcPr>
          <w:p w14:paraId="5DD6FBA2" w14:textId="77777777" w:rsidR="00AA23BD" w:rsidRPr="00B044CE" w:rsidRDefault="00AA23BD" w:rsidP="00D87732">
            <w:pPr>
              <w:tabs>
                <w:tab w:val="center" w:pos="4320"/>
                <w:tab w:val="right" w:pos="8640"/>
              </w:tabs>
              <w:rPr>
                <w:sz w:val="20"/>
                <w:szCs w:val="20"/>
              </w:rPr>
            </w:pPr>
            <w:r>
              <w:rPr>
                <w:sz w:val="20"/>
                <w:szCs w:val="20"/>
              </w:rPr>
              <w:t>Epilepsy</w:t>
            </w:r>
          </w:p>
        </w:tc>
        <w:tc>
          <w:tcPr>
            <w:tcW w:w="1276" w:type="dxa"/>
          </w:tcPr>
          <w:p w14:paraId="1B806CFD" w14:textId="77777777" w:rsidR="00AA23BD" w:rsidRDefault="00AA23BD" w:rsidP="00D87732">
            <w:pPr>
              <w:tabs>
                <w:tab w:val="center" w:pos="4320"/>
                <w:tab w:val="right" w:pos="8640"/>
              </w:tabs>
              <w:jc w:val="center"/>
              <w:rPr>
                <w:sz w:val="20"/>
                <w:szCs w:val="20"/>
              </w:rPr>
            </w:pPr>
            <w:r>
              <w:rPr>
                <w:sz w:val="20"/>
                <w:szCs w:val="20"/>
              </w:rPr>
              <w:t>6 (1.7%)</w:t>
            </w:r>
          </w:p>
        </w:tc>
        <w:tc>
          <w:tcPr>
            <w:tcW w:w="1276" w:type="dxa"/>
          </w:tcPr>
          <w:p w14:paraId="28E1F868" w14:textId="77777777" w:rsidR="00AA23BD" w:rsidRDefault="00AA23BD" w:rsidP="00D87732">
            <w:pPr>
              <w:tabs>
                <w:tab w:val="center" w:pos="4320"/>
                <w:tab w:val="right" w:pos="8640"/>
              </w:tabs>
              <w:jc w:val="center"/>
              <w:rPr>
                <w:sz w:val="20"/>
                <w:szCs w:val="20"/>
              </w:rPr>
            </w:pPr>
            <w:r>
              <w:rPr>
                <w:sz w:val="20"/>
                <w:szCs w:val="20"/>
              </w:rPr>
              <w:t>3 (1.1%)</w:t>
            </w:r>
          </w:p>
        </w:tc>
        <w:tc>
          <w:tcPr>
            <w:tcW w:w="1276" w:type="dxa"/>
          </w:tcPr>
          <w:p w14:paraId="0003871A" w14:textId="77777777" w:rsidR="00AA23BD" w:rsidRDefault="00AA23BD" w:rsidP="00D87732">
            <w:pPr>
              <w:tabs>
                <w:tab w:val="center" w:pos="4320"/>
                <w:tab w:val="right" w:pos="8640"/>
              </w:tabs>
              <w:jc w:val="center"/>
              <w:rPr>
                <w:sz w:val="20"/>
                <w:szCs w:val="20"/>
              </w:rPr>
            </w:pPr>
            <w:r>
              <w:rPr>
                <w:sz w:val="20"/>
                <w:szCs w:val="20"/>
              </w:rPr>
              <w:t>3 (3.3%)</w:t>
            </w:r>
          </w:p>
        </w:tc>
        <w:tc>
          <w:tcPr>
            <w:tcW w:w="850" w:type="dxa"/>
          </w:tcPr>
          <w:p w14:paraId="22629157" w14:textId="77777777" w:rsidR="00AA23BD" w:rsidRPr="00B044CE" w:rsidRDefault="00AA23BD" w:rsidP="00D87732">
            <w:pPr>
              <w:tabs>
                <w:tab w:val="center" w:pos="4320"/>
                <w:tab w:val="right" w:pos="8640"/>
              </w:tabs>
              <w:jc w:val="center"/>
              <w:rPr>
                <w:sz w:val="20"/>
                <w:szCs w:val="20"/>
              </w:rPr>
            </w:pPr>
            <w:r>
              <w:rPr>
                <w:sz w:val="20"/>
                <w:szCs w:val="20"/>
              </w:rPr>
              <w:t>0.17</w:t>
            </w:r>
          </w:p>
        </w:tc>
        <w:tc>
          <w:tcPr>
            <w:tcW w:w="1276" w:type="dxa"/>
          </w:tcPr>
          <w:p w14:paraId="3A6E867B" w14:textId="77777777" w:rsidR="00AA23BD" w:rsidRDefault="00AA23BD" w:rsidP="00D87732">
            <w:pPr>
              <w:tabs>
                <w:tab w:val="center" w:pos="4320"/>
                <w:tab w:val="right" w:pos="8640"/>
              </w:tabs>
              <w:jc w:val="center"/>
              <w:rPr>
                <w:sz w:val="20"/>
                <w:szCs w:val="20"/>
              </w:rPr>
            </w:pPr>
            <w:r>
              <w:rPr>
                <w:sz w:val="20"/>
                <w:szCs w:val="20"/>
              </w:rPr>
              <w:t>3 (1.1%)</w:t>
            </w:r>
          </w:p>
        </w:tc>
        <w:tc>
          <w:tcPr>
            <w:tcW w:w="1276" w:type="dxa"/>
          </w:tcPr>
          <w:p w14:paraId="3D29F61C" w14:textId="77777777" w:rsidR="00AA23BD" w:rsidRDefault="00AA23BD" w:rsidP="00D87732">
            <w:pPr>
              <w:tabs>
                <w:tab w:val="center" w:pos="4320"/>
                <w:tab w:val="right" w:pos="8640"/>
              </w:tabs>
              <w:jc w:val="center"/>
              <w:rPr>
                <w:sz w:val="20"/>
                <w:szCs w:val="20"/>
              </w:rPr>
            </w:pPr>
            <w:r>
              <w:rPr>
                <w:sz w:val="20"/>
                <w:szCs w:val="20"/>
              </w:rPr>
              <w:t>3 (3.3%)</w:t>
            </w:r>
          </w:p>
        </w:tc>
        <w:tc>
          <w:tcPr>
            <w:tcW w:w="850" w:type="dxa"/>
          </w:tcPr>
          <w:p w14:paraId="0DD37507" w14:textId="77777777" w:rsidR="00AA23BD" w:rsidRPr="00B044CE" w:rsidRDefault="00AA23BD" w:rsidP="00D87732">
            <w:pPr>
              <w:tabs>
                <w:tab w:val="center" w:pos="4320"/>
                <w:tab w:val="right" w:pos="8640"/>
              </w:tabs>
              <w:jc w:val="center"/>
              <w:rPr>
                <w:sz w:val="20"/>
                <w:szCs w:val="20"/>
              </w:rPr>
            </w:pPr>
            <w:r>
              <w:rPr>
                <w:sz w:val="20"/>
                <w:szCs w:val="20"/>
              </w:rPr>
              <w:t>0.18</w:t>
            </w:r>
          </w:p>
        </w:tc>
      </w:tr>
      <w:tr w:rsidR="00AA23BD" w:rsidRPr="007E439E" w14:paraId="3D8524DC" w14:textId="77777777" w:rsidTr="00D87732">
        <w:tc>
          <w:tcPr>
            <w:tcW w:w="1809" w:type="dxa"/>
          </w:tcPr>
          <w:p w14:paraId="3FC2CE28" w14:textId="77777777" w:rsidR="00AA23BD" w:rsidRPr="00B044CE" w:rsidRDefault="00AA23BD" w:rsidP="00D87732">
            <w:pPr>
              <w:tabs>
                <w:tab w:val="center" w:pos="4320"/>
                <w:tab w:val="right" w:pos="8640"/>
              </w:tabs>
              <w:rPr>
                <w:sz w:val="20"/>
                <w:szCs w:val="20"/>
              </w:rPr>
            </w:pPr>
            <w:r>
              <w:rPr>
                <w:sz w:val="20"/>
                <w:szCs w:val="20"/>
              </w:rPr>
              <w:t>Hypothyroid</w:t>
            </w:r>
          </w:p>
        </w:tc>
        <w:tc>
          <w:tcPr>
            <w:tcW w:w="1276" w:type="dxa"/>
          </w:tcPr>
          <w:p w14:paraId="2F6BB377" w14:textId="77777777" w:rsidR="00AA23BD" w:rsidRDefault="00AA23BD" w:rsidP="00D87732">
            <w:pPr>
              <w:tabs>
                <w:tab w:val="center" w:pos="4320"/>
                <w:tab w:val="right" w:pos="8640"/>
              </w:tabs>
              <w:jc w:val="center"/>
              <w:rPr>
                <w:sz w:val="20"/>
                <w:szCs w:val="20"/>
              </w:rPr>
            </w:pPr>
            <w:r>
              <w:rPr>
                <w:sz w:val="20"/>
                <w:szCs w:val="20"/>
              </w:rPr>
              <w:t>24 (6.8%)</w:t>
            </w:r>
          </w:p>
        </w:tc>
        <w:tc>
          <w:tcPr>
            <w:tcW w:w="1276" w:type="dxa"/>
          </w:tcPr>
          <w:p w14:paraId="51D0BB63" w14:textId="77777777" w:rsidR="00AA23BD" w:rsidRDefault="00AA23BD" w:rsidP="00D87732">
            <w:pPr>
              <w:tabs>
                <w:tab w:val="center" w:pos="4320"/>
                <w:tab w:val="right" w:pos="8640"/>
              </w:tabs>
              <w:jc w:val="center"/>
              <w:rPr>
                <w:sz w:val="20"/>
                <w:szCs w:val="20"/>
              </w:rPr>
            </w:pPr>
            <w:r>
              <w:rPr>
                <w:sz w:val="20"/>
                <w:szCs w:val="20"/>
              </w:rPr>
              <w:t>16 (6.0%)</w:t>
            </w:r>
          </w:p>
        </w:tc>
        <w:tc>
          <w:tcPr>
            <w:tcW w:w="1276" w:type="dxa"/>
          </w:tcPr>
          <w:p w14:paraId="4FB1B907" w14:textId="77777777" w:rsidR="00AA23BD" w:rsidRDefault="00AA23BD" w:rsidP="00D87732">
            <w:pPr>
              <w:tabs>
                <w:tab w:val="center" w:pos="4320"/>
                <w:tab w:val="right" w:pos="8640"/>
              </w:tabs>
              <w:jc w:val="center"/>
              <w:rPr>
                <w:sz w:val="20"/>
                <w:szCs w:val="20"/>
              </w:rPr>
            </w:pPr>
            <w:r>
              <w:rPr>
                <w:sz w:val="20"/>
                <w:szCs w:val="20"/>
              </w:rPr>
              <w:t>8 (8.9%)</w:t>
            </w:r>
          </w:p>
        </w:tc>
        <w:tc>
          <w:tcPr>
            <w:tcW w:w="850" w:type="dxa"/>
          </w:tcPr>
          <w:p w14:paraId="7014293E" w14:textId="77777777" w:rsidR="00AA23BD" w:rsidRPr="00B044CE" w:rsidRDefault="00AA23BD" w:rsidP="00D87732">
            <w:pPr>
              <w:tabs>
                <w:tab w:val="center" w:pos="4320"/>
                <w:tab w:val="right" w:pos="8640"/>
              </w:tabs>
              <w:jc w:val="center"/>
              <w:rPr>
                <w:sz w:val="20"/>
                <w:szCs w:val="20"/>
              </w:rPr>
            </w:pPr>
            <w:r>
              <w:rPr>
                <w:sz w:val="20"/>
                <w:szCs w:val="20"/>
              </w:rPr>
              <w:t>0.34</w:t>
            </w:r>
          </w:p>
        </w:tc>
        <w:tc>
          <w:tcPr>
            <w:tcW w:w="1276" w:type="dxa"/>
          </w:tcPr>
          <w:p w14:paraId="507F1859" w14:textId="77777777" w:rsidR="00AA23BD" w:rsidRDefault="00AA23BD" w:rsidP="00D87732">
            <w:pPr>
              <w:tabs>
                <w:tab w:val="center" w:pos="4320"/>
                <w:tab w:val="right" w:pos="8640"/>
              </w:tabs>
              <w:jc w:val="center"/>
              <w:rPr>
                <w:sz w:val="20"/>
                <w:szCs w:val="20"/>
              </w:rPr>
            </w:pPr>
            <w:r>
              <w:rPr>
                <w:sz w:val="20"/>
                <w:szCs w:val="20"/>
              </w:rPr>
              <w:t>42 (6.0%)</w:t>
            </w:r>
          </w:p>
        </w:tc>
        <w:tc>
          <w:tcPr>
            <w:tcW w:w="1276" w:type="dxa"/>
          </w:tcPr>
          <w:p w14:paraId="36D5ECAB" w14:textId="77777777" w:rsidR="00AA23BD" w:rsidRDefault="00AA23BD" w:rsidP="00D87732">
            <w:pPr>
              <w:tabs>
                <w:tab w:val="center" w:pos="4320"/>
                <w:tab w:val="right" w:pos="8640"/>
              </w:tabs>
              <w:jc w:val="center"/>
              <w:rPr>
                <w:sz w:val="20"/>
                <w:szCs w:val="20"/>
              </w:rPr>
            </w:pPr>
            <w:r>
              <w:rPr>
                <w:sz w:val="20"/>
                <w:szCs w:val="20"/>
              </w:rPr>
              <w:t>22 (8.7%)</w:t>
            </w:r>
          </w:p>
        </w:tc>
        <w:tc>
          <w:tcPr>
            <w:tcW w:w="850" w:type="dxa"/>
          </w:tcPr>
          <w:p w14:paraId="47E529E6" w14:textId="77777777" w:rsidR="00AA23BD" w:rsidRPr="00B044CE" w:rsidRDefault="00AA23BD" w:rsidP="00D87732">
            <w:pPr>
              <w:tabs>
                <w:tab w:val="center" w:pos="4320"/>
                <w:tab w:val="right" w:pos="8640"/>
              </w:tabs>
              <w:jc w:val="center"/>
              <w:rPr>
                <w:sz w:val="20"/>
                <w:szCs w:val="20"/>
              </w:rPr>
            </w:pPr>
            <w:r>
              <w:rPr>
                <w:sz w:val="20"/>
                <w:szCs w:val="20"/>
              </w:rPr>
              <w:t>0.23</w:t>
            </w:r>
          </w:p>
        </w:tc>
      </w:tr>
      <w:tr w:rsidR="00AA23BD" w:rsidRPr="007E439E" w14:paraId="28A3F4BF" w14:textId="77777777" w:rsidTr="00D87732">
        <w:tc>
          <w:tcPr>
            <w:tcW w:w="1809" w:type="dxa"/>
          </w:tcPr>
          <w:p w14:paraId="37E3F0A0" w14:textId="77777777" w:rsidR="00AA23BD" w:rsidRPr="00B044CE" w:rsidRDefault="00AA23BD" w:rsidP="00D87732">
            <w:pPr>
              <w:tabs>
                <w:tab w:val="center" w:pos="4320"/>
                <w:tab w:val="right" w:pos="8640"/>
              </w:tabs>
              <w:rPr>
                <w:sz w:val="20"/>
                <w:szCs w:val="20"/>
              </w:rPr>
            </w:pPr>
            <w:r>
              <w:rPr>
                <w:sz w:val="20"/>
                <w:szCs w:val="20"/>
              </w:rPr>
              <w:t>Cancer</w:t>
            </w:r>
          </w:p>
        </w:tc>
        <w:tc>
          <w:tcPr>
            <w:tcW w:w="1276" w:type="dxa"/>
          </w:tcPr>
          <w:p w14:paraId="3E9308C3" w14:textId="77777777" w:rsidR="00AA23BD" w:rsidRDefault="00AA23BD" w:rsidP="00D87732">
            <w:pPr>
              <w:tabs>
                <w:tab w:val="center" w:pos="4320"/>
                <w:tab w:val="right" w:pos="8640"/>
              </w:tabs>
              <w:jc w:val="center"/>
              <w:rPr>
                <w:sz w:val="20"/>
                <w:szCs w:val="20"/>
              </w:rPr>
            </w:pPr>
            <w:r>
              <w:rPr>
                <w:sz w:val="20"/>
                <w:szCs w:val="20"/>
              </w:rPr>
              <w:t>49 (13.8%)</w:t>
            </w:r>
          </w:p>
        </w:tc>
        <w:tc>
          <w:tcPr>
            <w:tcW w:w="1276" w:type="dxa"/>
          </w:tcPr>
          <w:p w14:paraId="29C3E421" w14:textId="77777777" w:rsidR="00AA23BD" w:rsidRDefault="00AA23BD" w:rsidP="00D87732">
            <w:pPr>
              <w:tabs>
                <w:tab w:val="center" w:pos="4320"/>
                <w:tab w:val="right" w:pos="8640"/>
              </w:tabs>
              <w:jc w:val="center"/>
              <w:rPr>
                <w:sz w:val="20"/>
                <w:szCs w:val="20"/>
              </w:rPr>
            </w:pPr>
            <w:r>
              <w:rPr>
                <w:sz w:val="20"/>
                <w:szCs w:val="20"/>
              </w:rPr>
              <w:t>33 (12.5%)</w:t>
            </w:r>
          </w:p>
        </w:tc>
        <w:tc>
          <w:tcPr>
            <w:tcW w:w="1276" w:type="dxa"/>
          </w:tcPr>
          <w:p w14:paraId="5B137DCF" w14:textId="77777777" w:rsidR="00AA23BD" w:rsidRDefault="00AA23BD" w:rsidP="00D87732">
            <w:pPr>
              <w:tabs>
                <w:tab w:val="center" w:pos="4320"/>
                <w:tab w:val="right" w:pos="8640"/>
              </w:tabs>
              <w:jc w:val="center"/>
              <w:rPr>
                <w:sz w:val="20"/>
                <w:szCs w:val="20"/>
              </w:rPr>
            </w:pPr>
            <w:r>
              <w:rPr>
                <w:sz w:val="20"/>
                <w:szCs w:val="20"/>
              </w:rPr>
              <w:t>16 (17.8%)</w:t>
            </w:r>
          </w:p>
        </w:tc>
        <w:tc>
          <w:tcPr>
            <w:tcW w:w="850" w:type="dxa"/>
          </w:tcPr>
          <w:p w14:paraId="15CE5468" w14:textId="77777777" w:rsidR="00AA23BD" w:rsidRPr="00B044CE" w:rsidRDefault="00AA23BD" w:rsidP="00D87732">
            <w:pPr>
              <w:tabs>
                <w:tab w:val="center" w:pos="4320"/>
                <w:tab w:val="right" w:pos="8640"/>
              </w:tabs>
              <w:jc w:val="center"/>
              <w:rPr>
                <w:sz w:val="20"/>
                <w:szCs w:val="20"/>
              </w:rPr>
            </w:pPr>
            <w:r>
              <w:rPr>
                <w:sz w:val="20"/>
                <w:szCs w:val="20"/>
              </w:rPr>
              <w:t>0.22</w:t>
            </w:r>
          </w:p>
        </w:tc>
        <w:tc>
          <w:tcPr>
            <w:tcW w:w="1276" w:type="dxa"/>
          </w:tcPr>
          <w:p w14:paraId="2788C3F8" w14:textId="77777777" w:rsidR="00AA23BD" w:rsidRDefault="00AA23BD" w:rsidP="00D87732">
            <w:pPr>
              <w:tabs>
                <w:tab w:val="center" w:pos="4320"/>
                <w:tab w:val="right" w:pos="8640"/>
              </w:tabs>
              <w:jc w:val="center"/>
              <w:rPr>
                <w:sz w:val="20"/>
                <w:szCs w:val="20"/>
              </w:rPr>
            </w:pPr>
            <w:r>
              <w:rPr>
                <w:sz w:val="20"/>
                <w:szCs w:val="20"/>
              </w:rPr>
              <w:t>33 (12.5%)</w:t>
            </w:r>
          </w:p>
        </w:tc>
        <w:tc>
          <w:tcPr>
            <w:tcW w:w="1276" w:type="dxa"/>
          </w:tcPr>
          <w:p w14:paraId="44D2BEAF" w14:textId="77777777" w:rsidR="00AA23BD" w:rsidRDefault="00AA23BD" w:rsidP="00D87732">
            <w:pPr>
              <w:tabs>
                <w:tab w:val="center" w:pos="4320"/>
                <w:tab w:val="right" w:pos="8640"/>
              </w:tabs>
              <w:jc w:val="center"/>
              <w:rPr>
                <w:sz w:val="20"/>
                <w:szCs w:val="20"/>
              </w:rPr>
            </w:pPr>
            <w:r>
              <w:rPr>
                <w:sz w:val="20"/>
                <w:szCs w:val="20"/>
              </w:rPr>
              <w:t>16 (17.4%)</w:t>
            </w:r>
          </w:p>
        </w:tc>
        <w:tc>
          <w:tcPr>
            <w:tcW w:w="850" w:type="dxa"/>
          </w:tcPr>
          <w:p w14:paraId="63EA2540" w14:textId="77777777" w:rsidR="00AA23BD" w:rsidRPr="00B044CE" w:rsidRDefault="00AA23BD" w:rsidP="00D87732">
            <w:pPr>
              <w:tabs>
                <w:tab w:val="center" w:pos="4320"/>
                <w:tab w:val="right" w:pos="8640"/>
              </w:tabs>
              <w:jc w:val="center"/>
              <w:rPr>
                <w:sz w:val="20"/>
                <w:szCs w:val="20"/>
              </w:rPr>
            </w:pPr>
            <w:r>
              <w:rPr>
                <w:sz w:val="20"/>
                <w:szCs w:val="20"/>
              </w:rPr>
              <w:t>0.29</w:t>
            </w:r>
          </w:p>
        </w:tc>
      </w:tr>
      <w:tr w:rsidR="00AA23BD" w:rsidRPr="007E439E" w14:paraId="1C684449" w14:textId="77777777" w:rsidTr="00D87732">
        <w:tc>
          <w:tcPr>
            <w:tcW w:w="1809" w:type="dxa"/>
          </w:tcPr>
          <w:p w14:paraId="34F11DD3" w14:textId="77777777" w:rsidR="00AA23BD" w:rsidRPr="00B044CE" w:rsidRDefault="00AA23BD" w:rsidP="00D87732">
            <w:pPr>
              <w:tabs>
                <w:tab w:val="center" w:pos="4320"/>
                <w:tab w:val="right" w:pos="8640"/>
              </w:tabs>
              <w:rPr>
                <w:sz w:val="20"/>
                <w:szCs w:val="20"/>
              </w:rPr>
            </w:pPr>
            <w:r>
              <w:rPr>
                <w:sz w:val="20"/>
                <w:szCs w:val="20"/>
              </w:rPr>
              <w:t>Asthma</w:t>
            </w:r>
          </w:p>
        </w:tc>
        <w:tc>
          <w:tcPr>
            <w:tcW w:w="1276" w:type="dxa"/>
          </w:tcPr>
          <w:p w14:paraId="21120AB6" w14:textId="77777777" w:rsidR="00AA23BD" w:rsidRDefault="00AA23BD" w:rsidP="00D87732">
            <w:pPr>
              <w:tabs>
                <w:tab w:val="center" w:pos="4320"/>
                <w:tab w:val="right" w:pos="8640"/>
              </w:tabs>
              <w:jc w:val="center"/>
              <w:rPr>
                <w:sz w:val="20"/>
                <w:szCs w:val="20"/>
              </w:rPr>
            </w:pPr>
            <w:r>
              <w:rPr>
                <w:sz w:val="20"/>
                <w:szCs w:val="20"/>
              </w:rPr>
              <w:t>31 (8.7%)</w:t>
            </w:r>
          </w:p>
        </w:tc>
        <w:tc>
          <w:tcPr>
            <w:tcW w:w="1276" w:type="dxa"/>
          </w:tcPr>
          <w:p w14:paraId="4C31A08A" w14:textId="77777777" w:rsidR="00AA23BD" w:rsidRDefault="00AA23BD" w:rsidP="00D87732">
            <w:pPr>
              <w:tabs>
                <w:tab w:val="center" w:pos="4320"/>
                <w:tab w:val="right" w:pos="8640"/>
              </w:tabs>
              <w:jc w:val="center"/>
              <w:rPr>
                <w:sz w:val="20"/>
                <w:szCs w:val="20"/>
              </w:rPr>
            </w:pPr>
            <w:r>
              <w:rPr>
                <w:sz w:val="20"/>
                <w:szCs w:val="20"/>
              </w:rPr>
              <w:t>20 (7.5%)</w:t>
            </w:r>
          </w:p>
        </w:tc>
        <w:tc>
          <w:tcPr>
            <w:tcW w:w="1276" w:type="dxa"/>
          </w:tcPr>
          <w:p w14:paraId="26E89F5B" w14:textId="77777777" w:rsidR="00AA23BD" w:rsidRDefault="00AA23BD" w:rsidP="00D87732">
            <w:pPr>
              <w:tabs>
                <w:tab w:val="center" w:pos="4320"/>
                <w:tab w:val="right" w:pos="8640"/>
              </w:tabs>
              <w:jc w:val="center"/>
              <w:rPr>
                <w:sz w:val="20"/>
                <w:szCs w:val="20"/>
              </w:rPr>
            </w:pPr>
            <w:r>
              <w:rPr>
                <w:sz w:val="20"/>
                <w:szCs w:val="20"/>
              </w:rPr>
              <w:t>11 (12.2%)</w:t>
            </w:r>
          </w:p>
        </w:tc>
        <w:tc>
          <w:tcPr>
            <w:tcW w:w="850" w:type="dxa"/>
          </w:tcPr>
          <w:p w14:paraId="45363C00" w14:textId="77777777" w:rsidR="00AA23BD" w:rsidRPr="00B044CE" w:rsidRDefault="00AA23BD" w:rsidP="00D87732">
            <w:pPr>
              <w:tabs>
                <w:tab w:val="center" w:pos="4320"/>
                <w:tab w:val="right" w:pos="8640"/>
              </w:tabs>
              <w:jc w:val="center"/>
              <w:rPr>
                <w:sz w:val="20"/>
                <w:szCs w:val="20"/>
              </w:rPr>
            </w:pPr>
            <w:r>
              <w:rPr>
                <w:sz w:val="20"/>
                <w:szCs w:val="20"/>
              </w:rPr>
              <w:t>0.20</w:t>
            </w:r>
          </w:p>
        </w:tc>
        <w:tc>
          <w:tcPr>
            <w:tcW w:w="1276" w:type="dxa"/>
          </w:tcPr>
          <w:p w14:paraId="4CA8B2F3" w14:textId="77777777" w:rsidR="00AA23BD" w:rsidRDefault="00AA23BD" w:rsidP="00D87732">
            <w:pPr>
              <w:tabs>
                <w:tab w:val="center" w:pos="4320"/>
                <w:tab w:val="right" w:pos="8640"/>
              </w:tabs>
              <w:jc w:val="center"/>
              <w:rPr>
                <w:sz w:val="20"/>
                <w:szCs w:val="20"/>
              </w:rPr>
            </w:pPr>
            <w:r>
              <w:rPr>
                <w:sz w:val="20"/>
                <w:szCs w:val="20"/>
              </w:rPr>
              <w:t>20 (7.6%)</w:t>
            </w:r>
          </w:p>
        </w:tc>
        <w:tc>
          <w:tcPr>
            <w:tcW w:w="1276" w:type="dxa"/>
          </w:tcPr>
          <w:p w14:paraId="7EE60424" w14:textId="77777777" w:rsidR="00AA23BD" w:rsidRDefault="00AA23BD" w:rsidP="00D87732">
            <w:pPr>
              <w:tabs>
                <w:tab w:val="center" w:pos="4320"/>
                <w:tab w:val="right" w:pos="8640"/>
              </w:tabs>
              <w:jc w:val="center"/>
              <w:rPr>
                <w:sz w:val="20"/>
                <w:szCs w:val="20"/>
              </w:rPr>
            </w:pPr>
            <w:r>
              <w:rPr>
                <w:sz w:val="20"/>
                <w:szCs w:val="20"/>
              </w:rPr>
              <w:t>11 (12.0%)</w:t>
            </w:r>
          </w:p>
        </w:tc>
        <w:tc>
          <w:tcPr>
            <w:tcW w:w="850" w:type="dxa"/>
          </w:tcPr>
          <w:p w14:paraId="5939E08C" w14:textId="77777777" w:rsidR="00AA23BD" w:rsidRPr="00B044CE" w:rsidRDefault="00AA23BD" w:rsidP="00D87732">
            <w:pPr>
              <w:tabs>
                <w:tab w:val="center" w:pos="4320"/>
                <w:tab w:val="right" w:pos="8640"/>
              </w:tabs>
              <w:jc w:val="center"/>
              <w:rPr>
                <w:sz w:val="20"/>
                <w:szCs w:val="20"/>
              </w:rPr>
            </w:pPr>
            <w:r>
              <w:rPr>
                <w:sz w:val="20"/>
                <w:szCs w:val="20"/>
              </w:rPr>
              <w:t>0.20</w:t>
            </w:r>
          </w:p>
        </w:tc>
      </w:tr>
      <w:tr w:rsidR="00AA23BD" w:rsidRPr="007E439E" w14:paraId="33D17AF7" w14:textId="77777777" w:rsidTr="00D87732">
        <w:tc>
          <w:tcPr>
            <w:tcW w:w="1809" w:type="dxa"/>
          </w:tcPr>
          <w:p w14:paraId="67106DCC" w14:textId="77777777" w:rsidR="00AA23BD" w:rsidRPr="00B044CE" w:rsidRDefault="00AA23BD" w:rsidP="00D87732">
            <w:pPr>
              <w:tabs>
                <w:tab w:val="center" w:pos="4320"/>
                <w:tab w:val="right" w:pos="8640"/>
              </w:tabs>
              <w:rPr>
                <w:sz w:val="20"/>
                <w:szCs w:val="20"/>
              </w:rPr>
            </w:pPr>
            <w:r>
              <w:rPr>
                <w:sz w:val="20"/>
                <w:szCs w:val="20"/>
              </w:rPr>
              <w:t>Dementia</w:t>
            </w:r>
          </w:p>
        </w:tc>
        <w:tc>
          <w:tcPr>
            <w:tcW w:w="1276" w:type="dxa"/>
          </w:tcPr>
          <w:p w14:paraId="7C511DAC" w14:textId="77777777" w:rsidR="00AA23BD" w:rsidRDefault="00AA23BD" w:rsidP="00D87732">
            <w:pPr>
              <w:tabs>
                <w:tab w:val="center" w:pos="4320"/>
                <w:tab w:val="right" w:pos="8640"/>
              </w:tabs>
              <w:jc w:val="center"/>
              <w:rPr>
                <w:sz w:val="20"/>
                <w:szCs w:val="20"/>
              </w:rPr>
            </w:pPr>
            <w:r>
              <w:rPr>
                <w:sz w:val="20"/>
                <w:szCs w:val="20"/>
              </w:rPr>
              <w:t>4 (1.1%)</w:t>
            </w:r>
          </w:p>
        </w:tc>
        <w:tc>
          <w:tcPr>
            <w:tcW w:w="1276" w:type="dxa"/>
          </w:tcPr>
          <w:p w14:paraId="4EEC4545" w14:textId="77777777" w:rsidR="00AA23BD" w:rsidRDefault="00AA23BD" w:rsidP="00D87732">
            <w:pPr>
              <w:tabs>
                <w:tab w:val="center" w:pos="4320"/>
                <w:tab w:val="right" w:pos="8640"/>
              </w:tabs>
              <w:jc w:val="center"/>
              <w:rPr>
                <w:sz w:val="20"/>
                <w:szCs w:val="20"/>
              </w:rPr>
            </w:pPr>
            <w:r>
              <w:rPr>
                <w:sz w:val="20"/>
                <w:szCs w:val="20"/>
              </w:rPr>
              <w:t>2 (0.8%)</w:t>
            </w:r>
          </w:p>
        </w:tc>
        <w:tc>
          <w:tcPr>
            <w:tcW w:w="1276" w:type="dxa"/>
          </w:tcPr>
          <w:p w14:paraId="592A5696" w14:textId="77777777" w:rsidR="00AA23BD" w:rsidRDefault="00AA23BD" w:rsidP="00D87732">
            <w:pPr>
              <w:tabs>
                <w:tab w:val="center" w:pos="4320"/>
                <w:tab w:val="right" w:pos="8640"/>
              </w:tabs>
              <w:jc w:val="center"/>
              <w:rPr>
                <w:sz w:val="20"/>
                <w:szCs w:val="20"/>
              </w:rPr>
            </w:pPr>
            <w:r>
              <w:rPr>
                <w:sz w:val="20"/>
                <w:szCs w:val="20"/>
              </w:rPr>
              <w:t>2 (2.2%)</w:t>
            </w:r>
          </w:p>
        </w:tc>
        <w:tc>
          <w:tcPr>
            <w:tcW w:w="850" w:type="dxa"/>
          </w:tcPr>
          <w:p w14:paraId="48488F42" w14:textId="77777777" w:rsidR="00AA23BD" w:rsidRPr="00B044CE" w:rsidRDefault="00AA23BD" w:rsidP="00D87732">
            <w:pPr>
              <w:tabs>
                <w:tab w:val="center" w:pos="4320"/>
                <w:tab w:val="right" w:pos="8640"/>
              </w:tabs>
              <w:jc w:val="center"/>
              <w:rPr>
                <w:sz w:val="20"/>
                <w:szCs w:val="20"/>
              </w:rPr>
            </w:pPr>
            <w:r>
              <w:rPr>
                <w:sz w:val="20"/>
                <w:szCs w:val="20"/>
              </w:rPr>
              <w:t>0.27</w:t>
            </w:r>
          </w:p>
        </w:tc>
        <w:tc>
          <w:tcPr>
            <w:tcW w:w="1276" w:type="dxa"/>
          </w:tcPr>
          <w:p w14:paraId="22ACBDDB" w14:textId="77777777" w:rsidR="00AA23BD" w:rsidRDefault="00AA23BD" w:rsidP="00D87732">
            <w:pPr>
              <w:tabs>
                <w:tab w:val="center" w:pos="4320"/>
                <w:tab w:val="right" w:pos="8640"/>
              </w:tabs>
              <w:jc w:val="center"/>
              <w:rPr>
                <w:sz w:val="20"/>
                <w:szCs w:val="20"/>
              </w:rPr>
            </w:pPr>
            <w:r>
              <w:rPr>
                <w:sz w:val="20"/>
                <w:szCs w:val="20"/>
              </w:rPr>
              <w:t>2 (0.8%)</w:t>
            </w:r>
          </w:p>
        </w:tc>
        <w:tc>
          <w:tcPr>
            <w:tcW w:w="1276" w:type="dxa"/>
          </w:tcPr>
          <w:p w14:paraId="57FC3D18" w14:textId="77777777" w:rsidR="00AA23BD" w:rsidRDefault="00AA23BD" w:rsidP="00D87732">
            <w:pPr>
              <w:tabs>
                <w:tab w:val="center" w:pos="4320"/>
                <w:tab w:val="right" w:pos="8640"/>
              </w:tabs>
              <w:jc w:val="center"/>
              <w:rPr>
                <w:sz w:val="20"/>
                <w:szCs w:val="20"/>
              </w:rPr>
            </w:pPr>
            <w:r>
              <w:rPr>
                <w:sz w:val="20"/>
                <w:szCs w:val="20"/>
              </w:rPr>
              <w:t>2 (2.2%)</w:t>
            </w:r>
          </w:p>
        </w:tc>
        <w:tc>
          <w:tcPr>
            <w:tcW w:w="850" w:type="dxa"/>
          </w:tcPr>
          <w:p w14:paraId="02C0A6F3" w14:textId="77777777" w:rsidR="00AA23BD" w:rsidRPr="00B044CE" w:rsidRDefault="00AA23BD" w:rsidP="00D87732">
            <w:pPr>
              <w:tabs>
                <w:tab w:val="center" w:pos="4320"/>
                <w:tab w:val="right" w:pos="8640"/>
              </w:tabs>
              <w:jc w:val="center"/>
              <w:rPr>
                <w:sz w:val="20"/>
                <w:szCs w:val="20"/>
              </w:rPr>
            </w:pPr>
            <w:r>
              <w:rPr>
                <w:sz w:val="20"/>
                <w:szCs w:val="20"/>
              </w:rPr>
              <w:t>0.28</w:t>
            </w:r>
          </w:p>
        </w:tc>
      </w:tr>
      <w:tr w:rsidR="00AA23BD" w:rsidRPr="007E439E" w14:paraId="381DE52F" w14:textId="77777777" w:rsidTr="00D87732">
        <w:tc>
          <w:tcPr>
            <w:tcW w:w="1809" w:type="dxa"/>
          </w:tcPr>
          <w:p w14:paraId="0667228A" w14:textId="77777777" w:rsidR="00AA23BD" w:rsidRPr="00B044CE" w:rsidRDefault="00AA23BD" w:rsidP="00D87732">
            <w:pPr>
              <w:tabs>
                <w:tab w:val="center" w:pos="4320"/>
                <w:tab w:val="right" w:pos="8640"/>
              </w:tabs>
              <w:rPr>
                <w:sz w:val="20"/>
                <w:szCs w:val="20"/>
              </w:rPr>
            </w:pPr>
            <w:r>
              <w:rPr>
                <w:sz w:val="20"/>
                <w:szCs w:val="20"/>
              </w:rPr>
              <w:t>Kidney disease</w:t>
            </w:r>
          </w:p>
        </w:tc>
        <w:tc>
          <w:tcPr>
            <w:tcW w:w="1276" w:type="dxa"/>
          </w:tcPr>
          <w:p w14:paraId="3DA4B338" w14:textId="77777777" w:rsidR="00AA23BD" w:rsidRDefault="00AA23BD" w:rsidP="00D87732">
            <w:pPr>
              <w:tabs>
                <w:tab w:val="center" w:pos="4320"/>
                <w:tab w:val="right" w:pos="8640"/>
              </w:tabs>
              <w:jc w:val="center"/>
              <w:rPr>
                <w:sz w:val="20"/>
                <w:szCs w:val="20"/>
              </w:rPr>
            </w:pPr>
            <w:r>
              <w:rPr>
                <w:sz w:val="20"/>
                <w:szCs w:val="20"/>
              </w:rPr>
              <w:t>38 (10.7%)</w:t>
            </w:r>
          </w:p>
        </w:tc>
        <w:tc>
          <w:tcPr>
            <w:tcW w:w="1276" w:type="dxa"/>
          </w:tcPr>
          <w:p w14:paraId="727C2FD3" w14:textId="77777777" w:rsidR="00AA23BD" w:rsidRDefault="00AA23BD" w:rsidP="00D87732">
            <w:pPr>
              <w:tabs>
                <w:tab w:val="center" w:pos="4320"/>
                <w:tab w:val="right" w:pos="8640"/>
              </w:tabs>
              <w:jc w:val="center"/>
              <w:rPr>
                <w:sz w:val="20"/>
                <w:szCs w:val="20"/>
              </w:rPr>
            </w:pPr>
            <w:r>
              <w:rPr>
                <w:sz w:val="20"/>
                <w:szCs w:val="20"/>
              </w:rPr>
              <w:t>25 (9.4%)</w:t>
            </w:r>
          </w:p>
        </w:tc>
        <w:tc>
          <w:tcPr>
            <w:tcW w:w="1276" w:type="dxa"/>
          </w:tcPr>
          <w:p w14:paraId="2143B29B" w14:textId="77777777" w:rsidR="00AA23BD" w:rsidRDefault="00AA23BD" w:rsidP="00D87732">
            <w:pPr>
              <w:tabs>
                <w:tab w:val="center" w:pos="4320"/>
                <w:tab w:val="right" w:pos="8640"/>
              </w:tabs>
              <w:jc w:val="center"/>
              <w:rPr>
                <w:sz w:val="20"/>
                <w:szCs w:val="20"/>
              </w:rPr>
            </w:pPr>
            <w:r>
              <w:rPr>
                <w:sz w:val="20"/>
                <w:szCs w:val="20"/>
              </w:rPr>
              <w:t>13 (14.4%)</w:t>
            </w:r>
          </w:p>
        </w:tc>
        <w:tc>
          <w:tcPr>
            <w:tcW w:w="850" w:type="dxa"/>
          </w:tcPr>
          <w:p w14:paraId="3D27AF03" w14:textId="77777777" w:rsidR="00AA23BD" w:rsidRPr="00B044CE" w:rsidRDefault="00AA23BD" w:rsidP="00D87732">
            <w:pPr>
              <w:tabs>
                <w:tab w:val="center" w:pos="4320"/>
                <w:tab w:val="right" w:pos="8640"/>
              </w:tabs>
              <w:jc w:val="center"/>
              <w:rPr>
                <w:sz w:val="20"/>
                <w:szCs w:val="20"/>
              </w:rPr>
            </w:pPr>
            <w:r>
              <w:rPr>
                <w:sz w:val="20"/>
                <w:szCs w:val="20"/>
              </w:rPr>
              <w:t>0.24</w:t>
            </w:r>
          </w:p>
        </w:tc>
        <w:tc>
          <w:tcPr>
            <w:tcW w:w="1276" w:type="dxa"/>
          </w:tcPr>
          <w:p w14:paraId="3671E39A" w14:textId="77777777" w:rsidR="00AA23BD" w:rsidRDefault="00AA23BD" w:rsidP="00D87732">
            <w:pPr>
              <w:tabs>
                <w:tab w:val="center" w:pos="4320"/>
                <w:tab w:val="right" w:pos="8640"/>
              </w:tabs>
              <w:jc w:val="center"/>
              <w:rPr>
                <w:sz w:val="20"/>
                <w:szCs w:val="20"/>
              </w:rPr>
            </w:pPr>
            <w:r>
              <w:rPr>
                <w:sz w:val="20"/>
                <w:szCs w:val="20"/>
              </w:rPr>
              <w:t>25 (9.5%)</w:t>
            </w:r>
          </w:p>
        </w:tc>
        <w:tc>
          <w:tcPr>
            <w:tcW w:w="1276" w:type="dxa"/>
          </w:tcPr>
          <w:p w14:paraId="4A3558CC" w14:textId="77777777" w:rsidR="00AA23BD" w:rsidRDefault="00AA23BD" w:rsidP="00D87732">
            <w:pPr>
              <w:tabs>
                <w:tab w:val="center" w:pos="4320"/>
                <w:tab w:val="right" w:pos="8640"/>
              </w:tabs>
              <w:jc w:val="center"/>
              <w:rPr>
                <w:sz w:val="20"/>
                <w:szCs w:val="20"/>
              </w:rPr>
            </w:pPr>
            <w:r>
              <w:rPr>
                <w:sz w:val="20"/>
                <w:szCs w:val="20"/>
              </w:rPr>
              <w:t>13 (14.1%)</w:t>
            </w:r>
          </w:p>
        </w:tc>
        <w:tc>
          <w:tcPr>
            <w:tcW w:w="850" w:type="dxa"/>
          </w:tcPr>
          <w:p w14:paraId="7B9C5961" w14:textId="77777777" w:rsidR="00AA23BD" w:rsidRPr="00B044CE" w:rsidRDefault="00AA23BD" w:rsidP="00D87732">
            <w:pPr>
              <w:tabs>
                <w:tab w:val="center" w:pos="4320"/>
                <w:tab w:val="right" w:pos="8640"/>
              </w:tabs>
              <w:jc w:val="center"/>
              <w:rPr>
                <w:sz w:val="20"/>
                <w:szCs w:val="20"/>
              </w:rPr>
            </w:pPr>
            <w:r>
              <w:rPr>
                <w:sz w:val="20"/>
                <w:szCs w:val="20"/>
              </w:rPr>
              <w:t>0.24</w:t>
            </w:r>
          </w:p>
        </w:tc>
      </w:tr>
      <w:tr w:rsidR="00AA23BD" w:rsidRPr="007E439E" w14:paraId="2192D161" w14:textId="77777777" w:rsidTr="00D87732">
        <w:tc>
          <w:tcPr>
            <w:tcW w:w="1809" w:type="dxa"/>
          </w:tcPr>
          <w:p w14:paraId="6DEE1B28" w14:textId="77777777" w:rsidR="00AA23BD" w:rsidRPr="00B044CE" w:rsidRDefault="00AA23BD" w:rsidP="00D87732">
            <w:pPr>
              <w:tabs>
                <w:tab w:val="center" w:pos="4320"/>
                <w:tab w:val="right" w:pos="8640"/>
              </w:tabs>
              <w:rPr>
                <w:sz w:val="20"/>
                <w:szCs w:val="20"/>
              </w:rPr>
            </w:pPr>
            <w:r>
              <w:rPr>
                <w:sz w:val="20"/>
                <w:szCs w:val="20"/>
              </w:rPr>
              <w:t>Atrial fibrillation</w:t>
            </w:r>
          </w:p>
        </w:tc>
        <w:tc>
          <w:tcPr>
            <w:tcW w:w="1276" w:type="dxa"/>
          </w:tcPr>
          <w:p w14:paraId="6294BAA0" w14:textId="77777777" w:rsidR="00AA23BD" w:rsidRDefault="00AA23BD" w:rsidP="00D87732">
            <w:pPr>
              <w:tabs>
                <w:tab w:val="center" w:pos="4320"/>
                <w:tab w:val="right" w:pos="8640"/>
              </w:tabs>
              <w:jc w:val="center"/>
              <w:rPr>
                <w:sz w:val="20"/>
                <w:szCs w:val="20"/>
              </w:rPr>
            </w:pPr>
            <w:r>
              <w:rPr>
                <w:sz w:val="20"/>
                <w:szCs w:val="20"/>
              </w:rPr>
              <w:t>21 (5.9%)</w:t>
            </w:r>
          </w:p>
        </w:tc>
        <w:tc>
          <w:tcPr>
            <w:tcW w:w="1276" w:type="dxa"/>
          </w:tcPr>
          <w:p w14:paraId="7EC877F1" w14:textId="77777777" w:rsidR="00AA23BD" w:rsidRDefault="00AA23BD" w:rsidP="00D87732">
            <w:pPr>
              <w:tabs>
                <w:tab w:val="center" w:pos="4320"/>
                <w:tab w:val="right" w:pos="8640"/>
              </w:tabs>
              <w:jc w:val="center"/>
              <w:rPr>
                <w:sz w:val="20"/>
                <w:szCs w:val="20"/>
              </w:rPr>
            </w:pPr>
            <w:r>
              <w:rPr>
                <w:sz w:val="20"/>
                <w:szCs w:val="20"/>
              </w:rPr>
              <w:t>13 (4.9%)</w:t>
            </w:r>
          </w:p>
        </w:tc>
        <w:tc>
          <w:tcPr>
            <w:tcW w:w="1276" w:type="dxa"/>
          </w:tcPr>
          <w:p w14:paraId="6BAE675D" w14:textId="77777777" w:rsidR="00AA23BD" w:rsidRDefault="00AA23BD" w:rsidP="00D87732">
            <w:pPr>
              <w:tabs>
                <w:tab w:val="center" w:pos="4320"/>
                <w:tab w:val="right" w:pos="8640"/>
              </w:tabs>
              <w:jc w:val="center"/>
              <w:rPr>
                <w:sz w:val="20"/>
                <w:szCs w:val="20"/>
              </w:rPr>
            </w:pPr>
            <w:r>
              <w:rPr>
                <w:sz w:val="20"/>
                <w:szCs w:val="20"/>
              </w:rPr>
              <w:t>8 (8.9%)</w:t>
            </w:r>
          </w:p>
        </w:tc>
        <w:tc>
          <w:tcPr>
            <w:tcW w:w="850" w:type="dxa"/>
          </w:tcPr>
          <w:p w14:paraId="1CC03CB8" w14:textId="77777777" w:rsidR="00AA23BD" w:rsidRPr="00B044CE" w:rsidRDefault="00AA23BD" w:rsidP="00D87732">
            <w:pPr>
              <w:tabs>
                <w:tab w:val="center" w:pos="4320"/>
                <w:tab w:val="right" w:pos="8640"/>
              </w:tabs>
              <w:jc w:val="center"/>
              <w:rPr>
                <w:sz w:val="20"/>
                <w:szCs w:val="20"/>
              </w:rPr>
            </w:pPr>
            <w:r>
              <w:rPr>
                <w:sz w:val="20"/>
                <w:szCs w:val="20"/>
              </w:rPr>
              <w:t>0.20</w:t>
            </w:r>
          </w:p>
        </w:tc>
        <w:tc>
          <w:tcPr>
            <w:tcW w:w="1276" w:type="dxa"/>
          </w:tcPr>
          <w:p w14:paraId="15E621E8" w14:textId="77777777" w:rsidR="00AA23BD" w:rsidRDefault="00AA23BD" w:rsidP="00D87732">
            <w:pPr>
              <w:tabs>
                <w:tab w:val="center" w:pos="4320"/>
                <w:tab w:val="right" w:pos="8640"/>
              </w:tabs>
              <w:jc w:val="center"/>
              <w:rPr>
                <w:sz w:val="20"/>
                <w:szCs w:val="20"/>
              </w:rPr>
            </w:pPr>
            <w:r>
              <w:rPr>
                <w:sz w:val="20"/>
                <w:szCs w:val="20"/>
              </w:rPr>
              <w:t>13 (4.9%)</w:t>
            </w:r>
          </w:p>
        </w:tc>
        <w:tc>
          <w:tcPr>
            <w:tcW w:w="1276" w:type="dxa"/>
          </w:tcPr>
          <w:p w14:paraId="38AF8A90" w14:textId="77777777" w:rsidR="00AA23BD" w:rsidRDefault="00AA23BD" w:rsidP="00D87732">
            <w:pPr>
              <w:tabs>
                <w:tab w:val="center" w:pos="4320"/>
                <w:tab w:val="right" w:pos="8640"/>
              </w:tabs>
              <w:jc w:val="center"/>
              <w:rPr>
                <w:sz w:val="20"/>
                <w:szCs w:val="20"/>
              </w:rPr>
            </w:pPr>
            <w:r>
              <w:rPr>
                <w:sz w:val="20"/>
                <w:szCs w:val="20"/>
              </w:rPr>
              <w:t>8 (8.7%)</w:t>
            </w:r>
          </w:p>
        </w:tc>
        <w:tc>
          <w:tcPr>
            <w:tcW w:w="850" w:type="dxa"/>
          </w:tcPr>
          <w:p w14:paraId="41638284" w14:textId="77777777" w:rsidR="00AA23BD" w:rsidRPr="00B044CE" w:rsidRDefault="00AA23BD" w:rsidP="00D87732">
            <w:pPr>
              <w:tabs>
                <w:tab w:val="center" w:pos="4320"/>
                <w:tab w:val="right" w:pos="8640"/>
              </w:tabs>
              <w:jc w:val="center"/>
              <w:rPr>
                <w:sz w:val="20"/>
                <w:szCs w:val="20"/>
              </w:rPr>
            </w:pPr>
            <w:r>
              <w:rPr>
                <w:sz w:val="20"/>
                <w:szCs w:val="20"/>
              </w:rPr>
              <w:t>0.20</w:t>
            </w:r>
          </w:p>
        </w:tc>
      </w:tr>
      <w:tr w:rsidR="00AA23BD" w:rsidRPr="007E439E" w14:paraId="7C3F7FE9" w14:textId="77777777" w:rsidTr="00D87732">
        <w:tc>
          <w:tcPr>
            <w:tcW w:w="1809" w:type="dxa"/>
          </w:tcPr>
          <w:p w14:paraId="18773E66" w14:textId="10C59F17" w:rsidR="00AA23BD" w:rsidRDefault="00AA23BD" w:rsidP="00D87732">
            <w:pPr>
              <w:tabs>
                <w:tab w:val="center" w:pos="4320"/>
                <w:tab w:val="right" w:pos="8640"/>
              </w:tabs>
              <w:rPr>
                <w:sz w:val="20"/>
                <w:szCs w:val="20"/>
              </w:rPr>
            </w:pPr>
            <w:r>
              <w:rPr>
                <w:sz w:val="20"/>
                <w:szCs w:val="20"/>
              </w:rPr>
              <w:t>Number of QOF conditions out of the 12 above</w:t>
            </w:r>
            <w:r w:rsidR="00734D6F">
              <w:rPr>
                <w:sz w:val="20"/>
                <w:szCs w:val="20"/>
                <w:vertAlign w:val="superscript"/>
              </w:rPr>
              <w:t>b</w:t>
            </w:r>
            <w:r>
              <w:rPr>
                <w:sz w:val="20"/>
                <w:szCs w:val="20"/>
              </w:rPr>
              <w:t xml:space="preserve">:                         </w:t>
            </w:r>
          </w:p>
          <w:p w14:paraId="31A17F76" w14:textId="77777777" w:rsidR="00AA23BD" w:rsidRDefault="00AA23BD" w:rsidP="00D87732">
            <w:pPr>
              <w:tabs>
                <w:tab w:val="center" w:pos="4320"/>
                <w:tab w:val="right" w:pos="8640"/>
              </w:tabs>
              <w:rPr>
                <w:sz w:val="20"/>
                <w:szCs w:val="20"/>
              </w:rPr>
            </w:pPr>
            <w:r>
              <w:rPr>
                <w:sz w:val="20"/>
                <w:szCs w:val="20"/>
              </w:rPr>
              <w:t xml:space="preserve">            0</w:t>
            </w:r>
          </w:p>
          <w:p w14:paraId="1BA39262" w14:textId="77777777" w:rsidR="00AA23BD" w:rsidRDefault="00AA23BD" w:rsidP="00D87732">
            <w:pPr>
              <w:tabs>
                <w:tab w:val="center" w:pos="4320"/>
                <w:tab w:val="right" w:pos="8640"/>
              </w:tabs>
              <w:rPr>
                <w:sz w:val="20"/>
                <w:szCs w:val="20"/>
              </w:rPr>
            </w:pPr>
            <w:r>
              <w:rPr>
                <w:sz w:val="20"/>
                <w:szCs w:val="20"/>
              </w:rPr>
              <w:t xml:space="preserve">            1</w:t>
            </w:r>
          </w:p>
          <w:p w14:paraId="6D337C23" w14:textId="77777777" w:rsidR="00AA23BD" w:rsidRDefault="00AA23BD" w:rsidP="00D87732">
            <w:pPr>
              <w:tabs>
                <w:tab w:val="center" w:pos="4320"/>
                <w:tab w:val="right" w:pos="8640"/>
              </w:tabs>
              <w:rPr>
                <w:sz w:val="20"/>
                <w:szCs w:val="20"/>
              </w:rPr>
            </w:pPr>
            <w:r>
              <w:rPr>
                <w:sz w:val="20"/>
                <w:szCs w:val="20"/>
              </w:rPr>
              <w:t xml:space="preserve">            2</w:t>
            </w:r>
          </w:p>
          <w:p w14:paraId="6B2E2FF1" w14:textId="77777777" w:rsidR="00AA23BD" w:rsidRDefault="00AA23BD" w:rsidP="00D87732">
            <w:pPr>
              <w:tabs>
                <w:tab w:val="center" w:pos="4320"/>
                <w:tab w:val="right" w:pos="8640"/>
              </w:tabs>
              <w:rPr>
                <w:sz w:val="20"/>
                <w:szCs w:val="20"/>
              </w:rPr>
            </w:pPr>
            <w:r>
              <w:rPr>
                <w:sz w:val="20"/>
                <w:szCs w:val="20"/>
              </w:rPr>
              <w:t xml:space="preserve">            3 or more                         </w:t>
            </w:r>
          </w:p>
        </w:tc>
        <w:tc>
          <w:tcPr>
            <w:tcW w:w="1276" w:type="dxa"/>
          </w:tcPr>
          <w:p w14:paraId="65F219AC" w14:textId="77777777" w:rsidR="00AA23BD" w:rsidRDefault="00AA23BD" w:rsidP="00D87732">
            <w:pPr>
              <w:tabs>
                <w:tab w:val="center" w:pos="4320"/>
                <w:tab w:val="right" w:pos="8640"/>
              </w:tabs>
              <w:jc w:val="center"/>
              <w:rPr>
                <w:sz w:val="20"/>
                <w:szCs w:val="20"/>
              </w:rPr>
            </w:pPr>
          </w:p>
          <w:p w14:paraId="13CFD5B2" w14:textId="77777777" w:rsidR="00AA23BD" w:rsidRDefault="00AA23BD" w:rsidP="00D87732">
            <w:pPr>
              <w:tabs>
                <w:tab w:val="center" w:pos="4320"/>
                <w:tab w:val="right" w:pos="8640"/>
              </w:tabs>
              <w:jc w:val="center"/>
              <w:rPr>
                <w:sz w:val="20"/>
                <w:szCs w:val="20"/>
              </w:rPr>
            </w:pPr>
          </w:p>
          <w:p w14:paraId="2745CAF5" w14:textId="77777777" w:rsidR="00AA23BD" w:rsidRDefault="00AA23BD" w:rsidP="00D87732">
            <w:pPr>
              <w:tabs>
                <w:tab w:val="center" w:pos="4320"/>
                <w:tab w:val="right" w:pos="8640"/>
              </w:tabs>
              <w:jc w:val="center"/>
              <w:rPr>
                <w:sz w:val="20"/>
                <w:szCs w:val="20"/>
              </w:rPr>
            </w:pPr>
          </w:p>
          <w:p w14:paraId="3B87E2CF" w14:textId="77777777" w:rsidR="00AA23BD" w:rsidRDefault="00AA23BD" w:rsidP="00D87732">
            <w:pPr>
              <w:tabs>
                <w:tab w:val="center" w:pos="4320"/>
                <w:tab w:val="right" w:pos="8640"/>
              </w:tabs>
              <w:jc w:val="center"/>
              <w:rPr>
                <w:sz w:val="20"/>
                <w:szCs w:val="20"/>
              </w:rPr>
            </w:pPr>
            <w:r>
              <w:rPr>
                <w:sz w:val="20"/>
                <w:szCs w:val="20"/>
              </w:rPr>
              <w:t>94 (26.5%</w:t>
            </w:r>
          </w:p>
          <w:p w14:paraId="6714F5D0" w14:textId="77777777" w:rsidR="00AA23BD" w:rsidRDefault="00AA23BD" w:rsidP="00D87732">
            <w:pPr>
              <w:tabs>
                <w:tab w:val="center" w:pos="4320"/>
                <w:tab w:val="right" w:pos="8640"/>
              </w:tabs>
              <w:jc w:val="center"/>
              <w:rPr>
                <w:sz w:val="20"/>
                <w:szCs w:val="20"/>
              </w:rPr>
            </w:pPr>
            <w:r>
              <w:rPr>
                <w:sz w:val="20"/>
                <w:szCs w:val="20"/>
              </w:rPr>
              <w:t>120 (33.8%)</w:t>
            </w:r>
          </w:p>
          <w:p w14:paraId="2A272BDE" w14:textId="77777777" w:rsidR="00AA23BD" w:rsidRDefault="00AA23BD" w:rsidP="00D87732">
            <w:pPr>
              <w:tabs>
                <w:tab w:val="center" w:pos="4320"/>
                <w:tab w:val="right" w:pos="8640"/>
              </w:tabs>
              <w:jc w:val="center"/>
              <w:rPr>
                <w:sz w:val="20"/>
                <w:szCs w:val="20"/>
              </w:rPr>
            </w:pPr>
            <w:r>
              <w:rPr>
                <w:sz w:val="20"/>
                <w:szCs w:val="20"/>
              </w:rPr>
              <w:t>74 (20.8%)</w:t>
            </w:r>
          </w:p>
          <w:p w14:paraId="3BCAAE6D" w14:textId="77777777" w:rsidR="00AA23BD" w:rsidRDefault="00AA23BD" w:rsidP="00D87732">
            <w:pPr>
              <w:tabs>
                <w:tab w:val="center" w:pos="4320"/>
                <w:tab w:val="right" w:pos="8640"/>
              </w:tabs>
              <w:jc w:val="center"/>
              <w:rPr>
                <w:sz w:val="20"/>
                <w:szCs w:val="20"/>
              </w:rPr>
            </w:pPr>
            <w:r>
              <w:rPr>
                <w:sz w:val="20"/>
                <w:szCs w:val="20"/>
              </w:rPr>
              <w:t>67 (18.9%)</w:t>
            </w:r>
          </w:p>
        </w:tc>
        <w:tc>
          <w:tcPr>
            <w:tcW w:w="1276" w:type="dxa"/>
          </w:tcPr>
          <w:p w14:paraId="69927013" w14:textId="77777777" w:rsidR="00AA23BD" w:rsidRDefault="00AA23BD" w:rsidP="00D87732">
            <w:pPr>
              <w:tabs>
                <w:tab w:val="center" w:pos="4320"/>
                <w:tab w:val="right" w:pos="8640"/>
              </w:tabs>
              <w:jc w:val="center"/>
              <w:rPr>
                <w:sz w:val="20"/>
                <w:szCs w:val="20"/>
              </w:rPr>
            </w:pPr>
          </w:p>
          <w:p w14:paraId="31E278FF" w14:textId="77777777" w:rsidR="00AA23BD" w:rsidRDefault="00AA23BD" w:rsidP="00D87732">
            <w:pPr>
              <w:tabs>
                <w:tab w:val="center" w:pos="4320"/>
                <w:tab w:val="right" w:pos="8640"/>
              </w:tabs>
              <w:jc w:val="center"/>
              <w:rPr>
                <w:sz w:val="20"/>
                <w:szCs w:val="20"/>
              </w:rPr>
            </w:pPr>
          </w:p>
          <w:p w14:paraId="58489E49" w14:textId="77777777" w:rsidR="00AA23BD" w:rsidRDefault="00AA23BD" w:rsidP="00D87732">
            <w:pPr>
              <w:tabs>
                <w:tab w:val="center" w:pos="4320"/>
                <w:tab w:val="right" w:pos="8640"/>
              </w:tabs>
              <w:jc w:val="center"/>
              <w:rPr>
                <w:sz w:val="20"/>
                <w:szCs w:val="20"/>
              </w:rPr>
            </w:pPr>
          </w:p>
          <w:p w14:paraId="74ED3394" w14:textId="77777777" w:rsidR="00AA23BD" w:rsidRDefault="00AA23BD" w:rsidP="00D87732">
            <w:pPr>
              <w:tabs>
                <w:tab w:val="center" w:pos="4320"/>
                <w:tab w:val="right" w:pos="8640"/>
              </w:tabs>
              <w:jc w:val="center"/>
              <w:rPr>
                <w:sz w:val="20"/>
                <w:szCs w:val="20"/>
              </w:rPr>
            </w:pPr>
            <w:r>
              <w:rPr>
                <w:sz w:val="20"/>
                <w:szCs w:val="20"/>
              </w:rPr>
              <w:t>79 (29.8%)</w:t>
            </w:r>
          </w:p>
          <w:p w14:paraId="4AE0A588" w14:textId="77777777" w:rsidR="00AA23BD" w:rsidRDefault="00AA23BD" w:rsidP="00D87732">
            <w:pPr>
              <w:tabs>
                <w:tab w:val="center" w:pos="4320"/>
                <w:tab w:val="right" w:pos="8640"/>
              </w:tabs>
              <w:jc w:val="center"/>
              <w:rPr>
                <w:sz w:val="20"/>
                <w:szCs w:val="20"/>
              </w:rPr>
            </w:pPr>
            <w:r>
              <w:rPr>
                <w:sz w:val="20"/>
                <w:szCs w:val="20"/>
              </w:rPr>
              <w:t>93 (35.1%)</w:t>
            </w:r>
          </w:p>
          <w:p w14:paraId="273B3A7C" w14:textId="77777777" w:rsidR="00AA23BD" w:rsidRDefault="00AA23BD" w:rsidP="00D87732">
            <w:pPr>
              <w:tabs>
                <w:tab w:val="center" w:pos="4320"/>
                <w:tab w:val="right" w:pos="8640"/>
              </w:tabs>
              <w:jc w:val="center"/>
              <w:rPr>
                <w:sz w:val="20"/>
                <w:szCs w:val="20"/>
              </w:rPr>
            </w:pPr>
            <w:r>
              <w:rPr>
                <w:sz w:val="20"/>
                <w:szCs w:val="20"/>
              </w:rPr>
              <w:t>53 (20.0%)</w:t>
            </w:r>
          </w:p>
          <w:p w14:paraId="263F65FD" w14:textId="77777777" w:rsidR="00AA23BD" w:rsidRDefault="00AA23BD" w:rsidP="00D87732">
            <w:pPr>
              <w:tabs>
                <w:tab w:val="center" w:pos="4320"/>
                <w:tab w:val="right" w:pos="8640"/>
              </w:tabs>
              <w:jc w:val="center"/>
              <w:rPr>
                <w:sz w:val="20"/>
                <w:szCs w:val="20"/>
              </w:rPr>
            </w:pPr>
            <w:r>
              <w:rPr>
                <w:sz w:val="20"/>
                <w:szCs w:val="20"/>
              </w:rPr>
              <w:t>40 (15.1%)</w:t>
            </w:r>
          </w:p>
        </w:tc>
        <w:tc>
          <w:tcPr>
            <w:tcW w:w="1276" w:type="dxa"/>
          </w:tcPr>
          <w:p w14:paraId="69386490" w14:textId="77777777" w:rsidR="00AA23BD" w:rsidRDefault="00AA23BD" w:rsidP="00D87732">
            <w:pPr>
              <w:tabs>
                <w:tab w:val="center" w:pos="4320"/>
                <w:tab w:val="right" w:pos="8640"/>
              </w:tabs>
              <w:jc w:val="center"/>
              <w:rPr>
                <w:sz w:val="20"/>
                <w:szCs w:val="20"/>
              </w:rPr>
            </w:pPr>
          </w:p>
          <w:p w14:paraId="3376D75B" w14:textId="77777777" w:rsidR="00AA23BD" w:rsidRDefault="00AA23BD" w:rsidP="00D87732">
            <w:pPr>
              <w:tabs>
                <w:tab w:val="center" w:pos="4320"/>
                <w:tab w:val="right" w:pos="8640"/>
              </w:tabs>
              <w:jc w:val="center"/>
              <w:rPr>
                <w:sz w:val="20"/>
                <w:szCs w:val="20"/>
              </w:rPr>
            </w:pPr>
          </w:p>
          <w:p w14:paraId="71309F3D" w14:textId="77777777" w:rsidR="00AA23BD" w:rsidRDefault="00AA23BD" w:rsidP="00D87732">
            <w:pPr>
              <w:tabs>
                <w:tab w:val="center" w:pos="4320"/>
                <w:tab w:val="right" w:pos="8640"/>
              </w:tabs>
              <w:jc w:val="center"/>
              <w:rPr>
                <w:sz w:val="20"/>
                <w:szCs w:val="20"/>
              </w:rPr>
            </w:pPr>
          </w:p>
          <w:p w14:paraId="7159D78D" w14:textId="77777777" w:rsidR="00AA23BD" w:rsidRDefault="00AA23BD" w:rsidP="00D87732">
            <w:pPr>
              <w:tabs>
                <w:tab w:val="center" w:pos="4320"/>
                <w:tab w:val="right" w:pos="8640"/>
              </w:tabs>
              <w:jc w:val="center"/>
              <w:rPr>
                <w:sz w:val="20"/>
                <w:szCs w:val="20"/>
              </w:rPr>
            </w:pPr>
            <w:r>
              <w:rPr>
                <w:sz w:val="20"/>
                <w:szCs w:val="20"/>
              </w:rPr>
              <w:t>15 (16.7%)</w:t>
            </w:r>
          </w:p>
          <w:p w14:paraId="1EAF27BF" w14:textId="77777777" w:rsidR="00AA23BD" w:rsidRDefault="00AA23BD" w:rsidP="00D87732">
            <w:pPr>
              <w:tabs>
                <w:tab w:val="center" w:pos="4320"/>
                <w:tab w:val="right" w:pos="8640"/>
              </w:tabs>
              <w:jc w:val="center"/>
              <w:rPr>
                <w:sz w:val="20"/>
                <w:szCs w:val="20"/>
              </w:rPr>
            </w:pPr>
            <w:r>
              <w:rPr>
                <w:sz w:val="20"/>
                <w:szCs w:val="20"/>
              </w:rPr>
              <w:t>27 (30.0%)</w:t>
            </w:r>
          </w:p>
          <w:p w14:paraId="4094970A" w14:textId="77777777" w:rsidR="00AA23BD" w:rsidRDefault="00AA23BD" w:rsidP="00D87732">
            <w:pPr>
              <w:tabs>
                <w:tab w:val="center" w:pos="4320"/>
                <w:tab w:val="right" w:pos="8640"/>
              </w:tabs>
              <w:jc w:val="center"/>
              <w:rPr>
                <w:sz w:val="20"/>
                <w:szCs w:val="20"/>
              </w:rPr>
            </w:pPr>
            <w:r>
              <w:rPr>
                <w:sz w:val="20"/>
                <w:szCs w:val="20"/>
              </w:rPr>
              <w:t>21 (23.3%)</w:t>
            </w:r>
          </w:p>
          <w:p w14:paraId="1F732D81" w14:textId="77777777" w:rsidR="00AA23BD" w:rsidRDefault="00AA23BD" w:rsidP="00D87732">
            <w:pPr>
              <w:tabs>
                <w:tab w:val="center" w:pos="4320"/>
                <w:tab w:val="right" w:pos="8640"/>
              </w:tabs>
              <w:jc w:val="center"/>
              <w:rPr>
                <w:sz w:val="20"/>
                <w:szCs w:val="20"/>
              </w:rPr>
            </w:pPr>
            <w:r>
              <w:rPr>
                <w:sz w:val="20"/>
                <w:szCs w:val="20"/>
              </w:rPr>
              <w:t>27 (30.0%)</w:t>
            </w:r>
          </w:p>
        </w:tc>
        <w:tc>
          <w:tcPr>
            <w:tcW w:w="850" w:type="dxa"/>
          </w:tcPr>
          <w:p w14:paraId="20A583A9" w14:textId="77777777" w:rsidR="00AA23BD" w:rsidRDefault="00AA23BD" w:rsidP="00D87732">
            <w:pPr>
              <w:tabs>
                <w:tab w:val="center" w:pos="4320"/>
                <w:tab w:val="right" w:pos="8640"/>
              </w:tabs>
              <w:jc w:val="center"/>
              <w:rPr>
                <w:sz w:val="20"/>
                <w:szCs w:val="20"/>
              </w:rPr>
            </w:pPr>
          </w:p>
          <w:p w14:paraId="08B89D0D" w14:textId="77777777" w:rsidR="00AA23BD" w:rsidRDefault="00AA23BD" w:rsidP="00D87732">
            <w:pPr>
              <w:tabs>
                <w:tab w:val="center" w:pos="4320"/>
                <w:tab w:val="right" w:pos="8640"/>
              </w:tabs>
              <w:jc w:val="center"/>
              <w:rPr>
                <w:sz w:val="20"/>
                <w:szCs w:val="20"/>
              </w:rPr>
            </w:pPr>
          </w:p>
          <w:p w14:paraId="2D6DA71C" w14:textId="77777777" w:rsidR="00AA23BD" w:rsidRDefault="00AA23BD" w:rsidP="00D87732">
            <w:pPr>
              <w:tabs>
                <w:tab w:val="center" w:pos="4320"/>
                <w:tab w:val="right" w:pos="8640"/>
              </w:tabs>
              <w:jc w:val="center"/>
              <w:rPr>
                <w:sz w:val="20"/>
                <w:szCs w:val="20"/>
              </w:rPr>
            </w:pPr>
          </w:p>
          <w:p w14:paraId="62B0972A" w14:textId="77777777" w:rsidR="00AA23BD" w:rsidRDefault="00AA23BD" w:rsidP="00D87732">
            <w:pPr>
              <w:tabs>
                <w:tab w:val="center" w:pos="4320"/>
                <w:tab w:val="right" w:pos="8640"/>
              </w:tabs>
              <w:jc w:val="center"/>
              <w:rPr>
                <w:sz w:val="20"/>
                <w:szCs w:val="20"/>
              </w:rPr>
            </w:pPr>
            <w:r>
              <w:rPr>
                <w:sz w:val="20"/>
                <w:szCs w:val="20"/>
              </w:rPr>
              <w:t>&lt;0.001</w:t>
            </w:r>
          </w:p>
        </w:tc>
        <w:tc>
          <w:tcPr>
            <w:tcW w:w="1276" w:type="dxa"/>
          </w:tcPr>
          <w:p w14:paraId="2BA416BA" w14:textId="77777777" w:rsidR="00AA23BD" w:rsidRDefault="00AA23BD" w:rsidP="00D87732">
            <w:pPr>
              <w:tabs>
                <w:tab w:val="center" w:pos="4320"/>
                <w:tab w:val="right" w:pos="8640"/>
              </w:tabs>
              <w:jc w:val="center"/>
              <w:rPr>
                <w:sz w:val="20"/>
                <w:szCs w:val="20"/>
              </w:rPr>
            </w:pPr>
          </w:p>
          <w:p w14:paraId="5108A9B2" w14:textId="77777777" w:rsidR="00AA23BD" w:rsidRDefault="00AA23BD" w:rsidP="00D87732">
            <w:pPr>
              <w:tabs>
                <w:tab w:val="center" w:pos="4320"/>
                <w:tab w:val="right" w:pos="8640"/>
              </w:tabs>
              <w:jc w:val="center"/>
              <w:rPr>
                <w:sz w:val="20"/>
                <w:szCs w:val="20"/>
              </w:rPr>
            </w:pPr>
          </w:p>
          <w:p w14:paraId="5463007B" w14:textId="77777777" w:rsidR="00AA23BD" w:rsidRDefault="00AA23BD" w:rsidP="00D87732">
            <w:pPr>
              <w:tabs>
                <w:tab w:val="center" w:pos="4320"/>
                <w:tab w:val="right" w:pos="8640"/>
              </w:tabs>
              <w:jc w:val="center"/>
              <w:rPr>
                <w:sz w:val="20"/>
                <w:szCs w:val="20"/>
              </w:rPr>
            </w:pPr>
          </w:p>
          <w:p w14:paraId="75166152" w14:textId="77777777" w:rsidR="00AA23BD" w:rsidRDefault="00AA23BD" w:rsidP="00D87732">
            <w:pPr>
              <w:tabs>
                <w:tab w:val="center" w:pos="4320"/>
                <w:tab w:val="right" w:pos="8640"/>
              </w:tabs>
              <w:jc w:val="center"/>
              <w:rPr>
                <w:sz w:val="20"/>
                <w:szCs w:val="20"/>
              </w:rPr>
            </w:pPr>
            <w:r>
              <w:rPr>
                <w:sz w:val="20"/>
                <w:szCs w:val="20"/>
              </w:rPr>
              <w:t>79 (30.0%)</w:t>
            </w:r>
          </w:p>
          <w:p w14:paraId="76A0838B" w14:textId="77777777" w:rsidR="00AA23BD" w:rsidRDefault="00AA23BD" w:rsidP="00D87732">
            <w:pPr>
              <w:tabs>
                <w:tab w:val="center" w:pos="4320"/>
                <w:tab w:val="right" w:pos="8640"/>
              </w:tabs>
              <w:jc w:val="center"/>
              <w:rPr>
                <w:sz w:val="20"/>
                <w:szCs w:val="20"/>
              </w:rPr>
            </w:pPr>
            <w:r>
              <w:rPr>
                <w:sz w:val="20"/>
                <w:szCs w:val="20"/>
              </w:rPr>
              <w:t>93 (35.4%)</w:t>
            </w:r>
          </w:p>
          <w:p w14:paraId="06E355F9" w14:textId="77777777" w:rsidR="00AA23BD" w:rsidRDefault="00AA23BD" w:rsidP="00D87732">
            <w:pPr>
              <w:tabs>
                <w:tab w:val="center" w:pos="4320"/>
                <w:tab w:val="right" w:pos="8640"/>
              </w:tabs>
              <w:jc w:val="center"/>
              <w:rPr>
                <w:sz w:val="20"/>
                <w:szCs w:val="20"/>
              </w:rPr>
            </w:pPr>
            <w:r>
              <w:rPr>
                <w:sz w:val="20"/>
                <w:szCs w:val="20"/>
              </w:rPr>
              <w:t>52 (19.8%)</w:t>
            </w:r>
          </w:p>
          <w:p w14:paraId="5A65E947" w14:textId="77777777" w:rsidR="00AA23BD" w:rsidRDefault="00AA23BD" w:rsidP="00D87732">
            <w:pPr>
              <w:tabs>
                <w:tab w:val="center" w:pos="4320"/>
                <w:tab w:val="right" w:pos="8640"/>
              </w:tabs>
              <w:jc w:val="center"/>
              <w:rPr>
                <w:sz w:val="20"/>
                <w:szCs w:val="20"/>
              </w:rPr>
            </w:pPr>
            <w:r>
              <w:rPr>
                <w:sz w:val="20"/>
                <w:szCs w:val="20"/>
              </w:rPr>
              <w:t>39 (14.8%)</w:t>
            </w:r>
          </w:p>
        </w:tc>
        <w:tc>
          <w:tcPr>
            <w:tcW w:w="1276" w:type="dxa"/>
          </w:tcPr>
          <w:p w14:paraId="12B32F00" w14:textId="77777777" w:rsidR="00AA23BD" w:rsidRDefault="00AA23BD" w:rsidP="00D87732">
            <w:pPr>
              <w:tabs>
                <w:tab w:val="center" w:pos="4320"/>
                <w:tab w:val="right" w:pos="8640"/>
              </w:tabs>
              <w:jc w:val="center"/>
              <w:rPr>
                <w:sz w:val="20"/>
                <w:szCs w:val="20"/>
              </w:rPr>
            </w:pPr>
          </w:p>
          <w:p w14:paraId="7F1EBD2E" w14:textId="77777777" w:rsidR="00AA23BD" w:rsidRDefault="00AA23BD" w:rsidP="00D87732">
            <w:pPr>
              <w:tabs>
                <w:tab w:val="center" w:pos="4320"/>
                <w:tab w:val="right" w:pos="8640"/>
              </w:tabs>
              <w:jc w:val="center"/>
              <w:rPr>
                <w:sz w:val="20"/>
                <w:szCs w:val="20"/>
              </w:rPr>
            </w:pPr>
          </w:p>
          <w:p w14:paraId="594C9807" w14:textId="77777777" w:rsidR="00AA23BD" w:rsidRDefault="00AA23BD" w:rsidP="00D87732">
            <w:pPr>
              <w:tabs>
                <w:tab w:val="center" w:pos="4320"/>
                <w:tab w:val="right" w:pos="8640"/>
              </w:tabs>
              <w:jc w:val="center"/>
              <w:rPr>
                <w:sz w:val="20"/>
                <w:szCs w:val="20"/>
              </w:rPr>
            </w:pPr>
          </w:p>
          <w:p w14:paraId="6A712A5E" w14:textId="77777777" w:rsidR="00AA23BD" w:rsidRDefault="00AA23BD" w:rsidP="00D87732">
            <w:pPr>
              <w:tabs>
                <w:tab w:val="center" w:pos="4320"/>
                <w:tab w:val="right" w:pos="8640"/>
              </w:tabs>
              <w:jc w:val="center"/>
              <w:rPr>
                <w:sz w:val="20"/>
                <w:szCs w:val="20"/>
              </w:rPr>
            </w:pPr>
            <w:r>
              <w:rPr>
                <w:sz w:val="20"/>
                <w:szCs w:val="20"/>
              </w:rPr>
              <w:t>15 (16.3%)</w:t>
            </w:r>
          </w:p>
          <w:p w14:paraId="12735296" w14:textId="77777777" w:rsidR="00AA23BD" w:rsidRDefault="00AA23BD" w:rsidP="00D87732">
            <w:pPr>
              <w:tabs>
                <w:tab w:val="center" w:pos="4320"/>
                <w:tab w:val="right" w:pos="8640"/>
              </w:tabs>
              <w:jc w:val="center"/>
              <w:rPr>
                <w:sz w:val="20"/>
                <w:szCs w:val="20"/>
              </w:rPr>
            </w:pPr>
            <w:r>
              <w:rPr>
                <w:sz w:val="20"/>
                <w:szCs w:val="20"/>
              </w:rPr>
              <w:t>27 (29.3%)</w:t>
            </w:r>
          </w:p>
          <w:p w14:paraId="6D33F053" w14:textId="77777777" w:rsidR="00AA23BD" w:rsidRDefault="00AA23BD" w:rsidP="00D87732">
            <w:pPr>
              <w:tabs>
                <w:tab w:val="center" w:pos="4320"/>
                <w:tab w:val="right" w:pos="8640"/>
              </w:tabs>
              <w:jc w:val="center"/>
              <w:rPr>
                <w:sz w:val="20"/>
                <w:szCs w:val="20"/>
              </w:rPr>
            </w:pPr>
            <w:r>
              <w:rPr>
                <w:sz w:val="20"/>
                <w:szCs w:val="20"/>
              </w:rPr>
              <w:t>22 (23.9%)</w:t>
            </w:r>
          </w:p>
          <w:p w14:paraId="7C9783F4" w14:textId="77777777" w:rsidR="00AA23BD" w:rsidRDefault="00AA23BD" w:rsidP="00D87732">
            <w:pPr>
              <w:tabs>
                <w:tab w:val="center" w:pos="4320"/>
                <w:tab w:val="right" w:pos="8640"/>
              </w:tabs>
              <w:jc w:val="center"/>
              <w:rPr>
                <w:sz w:val="20"/>
                <w:szCs w:val="20"/>
              </w:rPr>
            </w:pPr>
            <w:r>
              <w:rPr>
                <w:sz w:val="20"/>
                <w:szCs w:val="20"/>
              </w:rPr>
              <w:t>28 (30.4%)</w:t>
            </w:r>
          </w:p>
        </w:tc>
        <w:tc>
          <w:tcPr>
            <w:tcW w:w="850" w:type="dxa"/>
          </w:tcPr>
          <w:p w14:paraId="5BAE25BE" w14:textId="77777777" w:rsidR="00AA23BD" w:rsidRDefault="00AA23BD" w:rsidP="00D87732">
            <w:pPr>
              <w:tabs>
                <w:tab w:val="center" w:pos="4320"/>
                <w:tab w:val="right" w:pos="8640"/>
              </w:tabs>
              <w:jc w:val="center"/>
              <w:rPr>
                <w:sz w:val="20"/>
                <w:szCs w:val="20"/>
              </w:rPr>
            </w:pPr>
          </w:p>
          <w:p w14:paraId="42EADED6" w14:textId="77777777" w:rsidR="00AA23BD" w:rsidRDefault="00AA23BD" w:rsidP="00D87732">
            <w:pPr>
              <w:tabs>
                <w:tab w:val="center" w:pos="4320"/>
                <w:tab w:val="right" w:pos="8640"/>
              </w:tabs>
              <w:jc w:val="center"/>
              <w:rPr>
                <w:sz w:val="20"/>
                <w:szCs w:val="20"/>
              </w:rPr>
            </w:pPr>
          </w:p>
          <w:p w14:paraId="47739866" w14:textId="77777777" w:rsidR="00AA23BD" w:rsidRDefault="00AA23BD" w:rsidP="00D87732">
            <w:pPr>
              <w:tabs>
                <w:tab w:val="center" w:pos="4320"/>
                <w:tab w:val="right" w:pos="8640"/>
              </w:tabs>
              <w:jc w:val="center"/>
              <w:rPr>
                <w:sz w:val="20"/>
                <w:szCs w:val="20"/>
              </w:rPr>
            </w:pPr>
          </w:p>
          <w:p w14:paraId="38AA6708" w14:textId="77777777" w:rsidR="00AA23BD" w:rsidRDefault="00AA23BD" w:rsidP="00D87732">
            <w:pPr>
              <w:tabs>
                <w:tab w:val="center" w:pos="4320"/>
                <w:tab w:val="right" w:pos="8640"/>
              </w:tabs>
              <w:jc w:val="center"/>
              <w:rPr>
                <w:sz w:val="20"/>
                <w:szCs w:val="20"/>
              </w:rPr>
            </w:pPr>
            <w:r>
              <w:rPr>
                <w:sz w:val="20"/>
                <w:szCs w:val="20"/>
              </w:rPr>
              <w:t>&lt;0.001</w:t>
            </w:r>
          </w:p>
        </w:tc>
      </w:tr>
      <w:tr w:rsidR="00AA23BD" w:rsidRPr="007E439E" w14:paraId="6CDD52D7" w14:textId="77777777" w:rsidTr="00D87732">
        <w:tc>
          <w:tcPr>
            <w:tcW w:w="1809" w:type="dxa"/>
          </w:tcPr>
          <w:p w14:paraId="2B1AFDF7" w14:textId="0874DDE5" w:rsidR="00AA23BD" w:rsidRPr="00B044CE" w:rsidRDefault="00AA23BD" w:rsidP="00D87732">
            <w:pPr>
              <w:tabs>
                <w:tab w:val="center" w:pos="4320"/>
                <w:tab w:val="right" w:pos="8640"/>
              </w:tabs>
              <w:rPr>
                <w:sz w:val="20"/>
                <w:szCs w:val="20"/>
              </w:rPr>
            </w:pPr>
            <w:r>
              <w:rPr>
                <w:sz w:val="20"/>
                <w:szCs w:val="20"/>
              </w:rPr>
              <w:t xml:space="preserve">Severity of COPD </w:t>
            </w:r>
            <w:r w:rsidR="00734D6F">
              <w:rPr>
                <w:sz w:val="20"/>
                <w:szCs w:val="20"/>
                <w:vertAlign w:val="superscript"/>
              </w:rPr>
              <w:t>c</w:t>
            </w:r>
            <w:r>
              <w:rPr>
                <w:sz w:val="20"/>
                <w:szCs w:val="20"/>
              </w:rPr>
              <w:t>:  Mild                          Moderate                            Severe                       Very severe</w:t>
            </w:r>
          </w:p>
        </w:tc>
        <w:tc>
          <w:tcPr>
            <w:tcW w:w="1276" w:type="dxa"/>
          </w:tcPr>
          <w:p w14:paraId="458DAAFF" w14:textId="77777777" w:rsidR="00AA23BD" w:rsidRDefault="00AA23BD" w:rsidP="00D87732">
            <w:pPr>
              <w:tabs>
                <w:tab w:val="center" w:pos="4320"/>
                <w:tab w:val="right" w:pos="8640"/>
              </w:tabs>
              <w:jc w:val="center"/>
              <w:rPr>
                <w:sz w:val="20"/>
                <w:szCs w:val="20"/>
              </w:rPr>
            </w:pPr>
          </w:p>
          <w:p w14:paraId="66E5D04D" w14:textId="77777777" w:rsidR="00AA23BD" w:rsidRDefault="00AA23BD" w:rsidP="00D87732">
            <w:pPr>
              <w:tabs>
                <w:tab w:val="center" w:pos="4320"/>
                <w:tab w:val="right" w:pos="8640"/>
              </w:tabs>
              <w:jc w:val="center"/>
              <w:rPr>
                <w:sz w:val="20"/>
                <w:szCs w:val="20"/>
              </w:rPr>
            </w:pPr>
            <w:r>
              <w:rPr>
                <w:sz w:val="20"/>
                <w:szCs w:val="20"/>
              </w:rPr>
              <w:t>78 (22.8%)</w:t>
            </w:r>
          </w:p>
          <w:p w14:paraId="197507BF" w14:textId="77777777" w:rsidR="00AA23BD" w:rsidRDefault="00AA23BD" w:rsidP="00D87732">
            <w:pPr>
              <w:tabs>
                <w:tab w:val="center" w:pos="4320"/>
                <w:tab w:val="right" w:pos="8640"/>
              </w:tabs>
              <w:jc w:val="center"/>
              <w:rPr>
                <w:sz w:val="20"/>
                <w:szCs w:val="20"/>
              </w:rPr>
            </w:pPr>
            <w:r>
              <w:rPr>
                <w:sz w:val="20"/>
                <w:szCs w:val="20"/>
              </w:rPr>
              <w:t>186 (54.4%)</w:t>
            </w:r>
          </w:p>
          <w:p w14:paraId="39B6E1D6" w14:textId="77777777" w:rsidR="00AA23BD" w:rsidRDefault="00AA23BD" w:rsidP="00D87732">
            <w:pPr>
              <w:tabs>
                <w:tab w:val="center" w:pos="4320"/>
                <w:tab w:val="right" w:pos="8640"/>
              </w:tabs>
              <w:jc w:val="center"/>
              <w:rPr>
                <w:sz w:val="20"/>
                <w:szCs w:val="20"/>
              </w:rPr>
            </w:pPr>
            <w:r>
              <w:rPr>
                <w:sz w:val="20"/>
                <w:szCs w:val="20"/>
              </w:rPr>
              <w:t>76 (22.2%)</w:t>
            </w:r>
          </w:p>
          <w:p w14:paraId="3802921B" w14:textId="77777777" w:rsidR="00AA23BD" w:rsidRDefault="00AA23BD" w:rsidP="00D87732">
            <w:pPr>
              <w:tabs>
                <w:tab w:val="center" w:pos="4320"/>
                <w:tab w:val="right" w:pos="8640"/>
              </w:tabs>
              <w:jc w:val="center"/>
              <w:rPr>
                <w:sz w:val="20"/>
                <w:szCs w:val="20"/>
              </w:rPr>
            </w:pPr>
            <w:r>
              <w:rPr>
                <w:sz w:val="20"/>
                <w:szCs w:val="20"/>
              </w:rPr>
              <w:t>2 (0.6%)</w:t>
            </w:r>
          </w:p>
        </w:tc>
        <w:tc>
          <w:tcPr>
            <w:tcW w:w="1276" w:type="dxa"/>
          </w:tcPr>
          <w:p w14:paraId="55ABD499" w14:textId="77777777" w:rsidR="00AA23BD" w:rsidRDefault="00AA23BD" w:rsidP="00D87732">
            <w:pPr>
              <w:tabs>
                <w:tab w:val="center" w:pos="4320"/>
                <w:tab w:val="right" w:pos="8640"/>
              </w:tabs>
              <w:jc w:val="center"/>
              <w:rPr>
                <w:sz w:val="20"/>
                <w:szCs w:val="20"/>
              </w:rPr>
            </w:pPr>
          </w:p>
          <w:p w14:paraId="3C07D3AA" w14:textId="77777777" w:rsidR="00AA23BD" w:rsidRDefault="00AA23BD" w:rsidP="00D87732">
            <w:pPr>
              <w:tabs>
                <w:tab w:val="center" w:pos="4320"/>
                <w:tab w:val="right" w:pos="8640"/>
              </w:tabs>
              <w:jc w:val="center"/>
              <w:rPr>
                <w:sz w:val="20"/>
                <w:szCs w:val="20"/>
              </w:rPr>
            </w:pPr>
            <w:r>
              <w:rPr>
                <w:sz w:val="20"/>
                <w:szCs w:val="20"/>
              </w:rPr>
              <w:t>61 (23.7%)</w:t>
            </w:r>
          </w:p>
          <w:p w14:paraId="134FF1AF" w14:textId="77777777" w:rsidR="00AA23BD" w:rsidRDefault="00AA23BD" w:rsidP="00D87732">
            <w:pPr>
              <w:tabs>
                <w:tab w:val="center" w:pos="4320"/>
                <w:tab w:val="right" w:pos="8640"/>
              </w:tabs>
              <w:jc w:val="center"/>
              <w:rPr>
                <w:sz w:val="20"/>
                <w:szCs w:val="20"/>
              </w:rPr>
            </w:pPr>
            <w:r>
              <w:rPr>
                <w:sz w:val="20"/>
                <w:szCs w:val="20"/>
              </w:rPr>
              <w:t>145 (56.4%)</w:t>
            </w:r>
          </w:p>
          <w:p w14:paraId="7CF780A4" w14:textId="77777777" w:rsidR="00AA23BD" w:rsidRDefault="00AA23BD" w:rsidP="00D87732">
            <w:pPr>
              <w:tabs>
                <w:tab w:val="center" w:pos="4320"/>
                <w:tab w:val="right" w:pos="8640"/>
              </w:tabs>
              <w:jc w:val="center"/>
              <w:rPr>
                <w:sz w:val="20"/>
                <w:szCs w:val="20"/>
              </w:rPr>
            </w:pPr>
            <w:r>
              <w:rPr>
                <w:sz w:val="20"/>
                <w:szCs w:val="20"/>
              </w:rPr>
              <w:t>49 (19.1%)</w:t>
            </w:r>
          </w:p>
          <w:p w14:paraId="3E0F0B04" w14:textId="77777777" w:rsidR="00AA23BD" w:rsidRDefault="00AA23BD" w:rsidP="00D87732">
            <w:pPr>
              <w:tabs>
                <w:tab w:val="center" w:pos="4320"/>
                <w:tab w:val="right" w:pos="8640"/>
              </w:tabs>
              <w:jc w:val="center"/>
              <w:rPr>
                <w:sz w:val="20"/>
                <w:szCs w:val="20"/>
              </w:rPr>
            </w:pPr>
            <w:r>
              <w:rPr>
                <w:sz w:val="20"/>
                <w:szCs w:val="20"/>
              </w:rPr>
              <w:t>2 (0.8%)</w:t>
            </w:r>
          </w:p>
        </w:tc>
        <w:tc>
          <w:tcPr>
            <w:tcW w:w="1276" w:type="dxa"/>
          </w:tcPr>
          <w:p w14:paraId="6226609B" w14:textId="77777777" w:rsidR="00AA23BD" w:rsidRDefault="00AA23BD" w:rsidP="00D87732">
            <w:pPr>
              <w:tabs>
                <w:tab w:val="center" w:pos="4320"/>
                <w:tab w:val="right" w:pos="8640"/>
              </w:tabs>
              <w:jc w:val="center"/>
              <w:rPr>
                <w:sz w:val="20"/>
                <w:szCs w:val="20"/>
              </w:rPr>
            </w:pPr>
          </w:p>
          <w:p w14:paraId="75551770" w14:textId="77777777" w:rsidR="00AA23BD" w:rsidRDefault="00AA23BD" w:rsidP="00D87732">
            <w:pPr>
              <w:tabs>
                <w:tab w:val="center" w:pos="4320"/>
                <w:tab w:val="right" w:pos="8640"/>
              </w:tabs>
              <w:jc w:val="center"/>
              <w:rPr>
                <w:sz w:val="20"/>
                <w:szCs w:val="20"/>
              </w:rPr>
            </w:pPr>
            <w:r>
              <w:rPr>
                <w:sz w:val="20"/>
                <w:szCs w:val="20"/>
              </w:rPr>
              <w:t>17 (20.0%)</w:t>
            </w:r>
          </w:p>
          <w:p w14:paraId="5C710A90" w14:textId="77777777" w:rsidR="00AA23BD" w:rsidRDefault="00AA23BD" w:rsidP="00D87732">
            <w:pPr>
              <w:tabs>
                <w:tab w:val="center" w:pos="4320"/>
                <w:tab w:val="right" w:pos="8640"/>
              </w:tabs>
              <w:jc w:val="center"/>
              <w:rPr>
                <w:sz w:val="20"/>
                <w:szCs w:val="20"/>
              </w:rPr>
            </w:pPr>
            <w:r>
              <w:rPr>
                <w:sz w:val="20"/>
                <w:szCs w:val="20"/>
              </w:rPr>
              <w:t>41 (48.2%)</w:t>
            </w:r>
          </w:p>
          <w:p w14:paraId="77AF1F49" w14:textId="77777777" w:rsidR="00AA23BD" w:rsidRDefault="00AA23BD" w:rsidP="00D87732">
            <w:pPr>
              <w:tabs>
                <w:tab w:val="center" w:pos="4320"/>
                <w:tab w:val="right" w:pos="8640"/>
              </w:tabs>
              <w:jc w:val="center"/>
              <w:rPr>
                <w:sz w:val="20"/>
                <w:szCs w:val="20"/>
              </w:rPr>
            </w:pPr>
            <w:r>
              <w:rPr>
                <w:sz w:val="20"/>
                <w:szCs w:val="20"/>
              </w:rPr>
              <w:t>27 (31.8%)</w:t>
            </w:r>
          </w:p>
          <w:p w14:paraId="14501FB8" w14:textId="77777777" w:rsidR="00AA23BD" w:rsidRDefault="00AA23BD" w:rsidP="00D87732">
            <w:pPr>
              <w:tabs>
                <w:tab w:val="center" w:pos="4320"/>
                <w:tab w:val="right" w:pos="8640"/>
              </w:tabs>
              <w:jc w:val="center"/>
              <w:rPr>
                <w:sz w:val="20"/>
                <w:szCs w:val="20"/>
              </w:rPr>
            </w:pPr>
            <w:r>
              <w:rPr>
                <w:sz w:val="20"/>
                <w:szCs w:val="20"/>
              </w:rPr>
              <w:t>0 (0%)</w:t>
            </w:r>
          </w:p>
        </w:tc>
        <w:tc>
          <w:tcPr>
            <w:tcW w:w="850" w:type="dxa"/>
          </w:tcPr>
          <w:p w14:paraId="60DD9468" w14:textId="77777777" w:rsidR="00AA23BD" w:rsidRDefault="00AA23BD" w:rsidP="00D87732">
            <w:pPr>
              <w:tabs>
                <w:tab w:val="center" w:pos="4320"/>
                <w:tab w:val="right" w:pos="8640"/>
              </w:tabs>
              <w:jc w:val="center"/>
              <w:rPr>
                <w:sz w:val="20"/>
                <w:szCs w:val="20"/>
              </w:rPr>
            </w:pPr>
          </w:p>
          <w:p w14:paraId="2F934D52" w14:textId="77777777" w:rsidR="00AA23BD" w:rsidRPr="00B044CE" w:rsidRDefault="00AA23BD" w:rsidP="00D87732">
            <w:pPr>
              <w:tabs>
                <w:tab w:val="center" w:pos="4320"/>
                <w:tab w:val="right" w:pos="8640"/>
              </w:tabs>
              <w:jc w:val="center"/>
              <w:rPr>
                <w:sz w:val="20"/>
                <w:szCs w:val="20"/>
              </w:rPr>
            </w:pPr>
            <w:r>
              <w:rPr>
                <w:sz w:val="20"/>
                <w:szCs w:val="20"/>
              </w:rPr>
              <w:t>0.084</w:t>
            </w:r>
          </w:p>
        </w:tc>
        <w:tc>
          <w:tcPr>
            <w:tcW w:w="1276" w:type="dxa"/>
          </w:tcPr>
          <w:p w14:paraId="410A2013" w14:textId="77777777" w:rsidR="00AA23BD" w:rsidRDefault="00AA23BD" w:rsidP="00D87732">
            <w:pPr>
              <w:tabs>
                <w:tab w:val="center" w:pos="4320"/>
                <w:tab w:val="right" w:pos="8640"/>
              </w:tabs>
              <w:jc w:val="center"/>
              <w:rPr>
                <w:sz w:val="20"/>
                <w:szCs w:val="20"/>
              </w:rPr>
            </w:pPr>
          </w:p>
          <w:p w14:paraId="3C7D5836" w14:textId="77777777" w:rsidR="00AA23BD" w:rsidRDefault="00AA23BD" w:rsidP="00D87732">
            <w:pPr>
              <w:tabs>
                <w:tab w:val="center" w:pos="4320"/>
                <w:tab w:val="right" w:pos="8640"/>
              </w:tabs>
              <w:jc w:val="center"/>
              <w:rPr>
                <w:sz w:val="20"/>
                <w:szCs w:val="20"/>
              </w:rPr>
            </w:pPr>
            <w:r>
              <w:rPr>
                <w:sz w:val="20"/>
                <w:szCs w:val="20"/>
              </w:rPr>
              <w:t>60 (23.5%)</w:t>
            </w:r>
          </w:p>
          <w:p w14:paraId="2FADEB41" w14:textId="77777777" w:rsidR="00AA23BD" w:rsidRDefault="00AA23BD" w:rsidP="00D87732">
            <w:pPr>
              <w:tabs>
                <w:tab w:val="center" w:pos="4320"/>
                <w:tab w:val="right" w:pos="8640"/>
              </w:tabs>
              <w:jc w:val="center"/>
              <w:rPr>
                <w:sz w:val="20"/>
                <w:szCs w:val="20"/>
              </w:rPr>
            </w:pPr>
            <w:r>
              <w:rPr>
                <w:sz w:val="20"/>
                <w:szCs w:val="20"/>
              </w:rPr>
              <w:t>145 (56.9%)</w:t>
            </w:r>
          </w:p>
          <w:p w14:paraId="3E26FC13" w14:textId="77777777" w:rsidR="00AA23BD" w:rsidRDefault="00AA23BD" w:rsidP="00D87732">
            <w:pPr>
              <w:tabs>
                <w:tab w:val="center" w:pos="4320"/>
                <w:tab w:val="right" w:pos="8640"/>
              </w:tabs>
              <w:jc w:val="center"/>
              <w:rPr>
                <w:sz w:val="20"/>
                <w:szCs w:val="20"/>
              </w:rPr>
            </w:pPr>
            <w:r>
              <w:rPr>
                <w:sz w:val="20"/>
                <w:szCs w:val="20"/>
              </w:rPr>
              <w:t>49 (19.2%)</w:t>
            </w:r>
          </w:p>
          <w:p w14:paraId="78A1281C" w14:textId="77777777" w:rsidR="00AA23BD" w:rsidRDefault="00AA23BD" w:rsidP="00D87732">
            <w:pPr>
              <w:tabs>
                <w:tab w:val="center" w:pos="4320"/>
                <w:tab w:val="right" w:pos="8640"/>
              </w:tabs>
              <w:jc w:val="center"/>
              <w:rPr>
                <w:sz w:val="20"/>
                <w:szCs w:val="20"/>
              </w:rPr>
            </w:pPr>
            <w:r>
              <w:rPr>
                <w:sz w:val="20"/>
                <w:szCs w:val="20"/>
              </w:rPr>
              <w:t>1 (0.4%)</w:t>
            </w:r>
          </w:p>
        </w:tc>
        <w:tc>
          <w:tcPr>
            <w:tcW w:w="1276" w:type="dxa"/>
          </w:tcPr>
          <w:p w14:paraId="598CB7C0" w14:textId="77777777" w:rsidR="00AA23BD" w:rsidRDefault="00AA23BD" w:rsidP="00D87732">
            <w:pPr>
              <w:tabs>
                <w:tab w:val="center" w:pos="4320"/>
                <w:tab w:val="right" w:pos="8640"/>
              </w:tabs>
              <w:jc w:val="center"/>
              <w:rPr>
                <w:sz w:val="20"/>
                <w:szCs w:val="20"/>
              </w:rPr>
            </w:pPr>
          </w:p>
          <w:p w14:paraId="06722B14" w14:textId="77777777" w:rsidR="00AA23BD" w:rsidRDefault="00AA23BD" w:rsidP="00D87732">
            <w:pPr>
              <w:tabs>
                <w:tab w:val="center" w:pos="4320"/>
                <w:tab w:val="right" w:pos="8640"/>
              </w:tabs>
              <w:jc w:val="center"/>
              <w:rPr>
                <w:sz w:val="20"/>
                <w:szCs w:val="20"/>
              </w:rPr>
            </w:pPr>
            <w:r>
              <w:rPr>
                <w:sz w:val="20"/>
                <w:szCs w:val="20"/>
              </w:rPr>
              <w:t>18 (20.7%)</w:t>
            </w:r>
          </w:p>
          <w:p w14:paraId="64EB4813" w14:textId="77777777" w:rsidR="00AA23BD" w:rsidRDefault="00AA23BD" w:rsidP="00D87732">
            <w:pPr>
              <w:tabs>
                <w:tab w:val="center" w:pos="4320"/>
                <w:tab w:val="right" w:pos="8640"/>
              </w:tabs>
              <w:jc w:val="center"/>
              <w:rPr>
                <w:sz w:val="20"/>
                <w:szCs w:val="20"/>
              </w:rPr>
            </w:pPr>
            <w:r>
              <w:rPr>
                <w:sz w:val="20"/>
                <w:szCs w:val="20"/>
              </w:rPr>
              <w:t>41 (47.1%)</w:t>
            </w:r>
          </w:p>
          <w:p w14:paraId="3138E861" w14:textId="77777777" w:rsidR="00AA23BD" w:rsidRDefault="00AA23BD" w:rsidP="00D87732">
            <w:pPr>
              <w:tabs>
                <w:tab w:val="center" w:pos="4320"/>
                <w:tab w:val="right" w:pos="8640"/>
              </w:tabs>
              <w:jc w:val="center"/>
              <w:rPr>
                <w:sz w:val="20"/>
                <w:szCs w:val="20"/>
              </w:rPr>
            </w:pPr>
            <w:r>
              <w:rPr>
                <w:sz w:val="20"/>
                <w:szCs w:val="20"/>
              </w:rPr>
              <w:t>27 (31.0%)</w:t>
            </w:r>
          </w:p>
          <w:p w14:paraId="6F37A528" w14:textId="77777777" w:rsidR="00AA23BD" w:rsidRDefault="00AA23BD" w:rsidP="00D87732">
            <w:pPr>
              <w:tabs>
                <w:tab w:val="center" w:pos="4320"/>
                <w:tab w:val="right" w:pos="8640"/>
              </w:tabs>
              <w:jc w:val="center"/>
              <w:rPr>
                <w:sz w:val="20"/>
                <w:szCs w:val="20"/>
              </w:rPr>
            </w:pPr>
            <w:r>
              <w:rPr>
                <w:sz w:val="20"/>
                <w:szCs w:val="20"/>
              </w:rPr>
              <w:t>1 (1.1%)</w:t>
            </w:r>
          </w:p>
        </w:tc>
        <w:tc>
          <w:tcPr>
            <w:tcW w:w="850" w:type="dxa"/>
          </w:tcPr>
          <w:p w14:paraId="44C7DA27" w14:textId="77777777" w:rsidR="00AA23BD" w:rsidRDefault="00AA23BD" w:rsidP="00D87732">
            <w:pPr>
              <w:tabs>
                <w:tab w:val="center" w:pos="4320"/>
                <w:tab w:val="right" w:pos="8640"/>
              </w:tabs>
              <w:jc w:val="center"/>
              <w:rPr>
                <w:sz w:val="20"/>
                <w:szCs w:val="20"/>
              </w:rPr>
            </w:pPr>
          </w:p>
          <w:p w14:paraId="4208F64A" w14:textId="77777777" w:rsidR="00AA23BD" w:rsidRPr="00B044CE" w:rsidRDefault="00AA23BD" w:rsidP="00D87732">
            <w:pPr>
              <w:tabs>
                <w:tab w:val="center" w:pos="4320"/>
                <w:tab w:val="right" w:pos="8640"/>
              </w:tabs>
              <w:jc w:val="center"/>
              <w:rPr>
                <w:sz w:val="20"/>
                <w:szCs w:val="20"/>
              </w:rPr>
            </w:pPr>
            <w:r>
              <w:rPr>
                <w:sz w:val="20"/>
                <w:szCs w:val="20"/>
              </w:rPr>
              <w:t>0.059</w:t>
            </w:r>
          </w:p>
        </w:tc>
      </w:tr>
      <w:tr w:rsidR="00AA23BD" w:rsidRPr="007E439E" w14:paraId="2FD5C4A3" w14:textId="77777777" w:rsidTr="00D87732">
        <w:tc>
          <w:tcPr>
            <w:tcW w:w="1809" w:type="dxa"/>
          </w:tcPr>
          <w:p w14:paraId="01BFF9C5" w14:textId="77777777" w:rsidR="00AA23BD" w:rsidRDefault="00AA23BD" w:rsidP="00D87732">
            <w:pPr>
              <w:tabs>
                <w:tab w:val="center" w:pos="4320"/>
                <w:tab w:val="right" w:pos="8640"/>
              </w:tabs>
              <w:rPr>
                <w:sz w:val="20"/>
                <w:szCs w:val="20"/>
              </w:rPr>
            </w:pPr>
            <w:r>
              <w:rPr>
                <w:sz w:val="20"/>
                <w:szCs w:val="20"/>
              </w:rPr>
              <w:t>Severity of COPD unknown</w:t>
            </w:r>
          </w:p>
        </w:tc>
        <w:tc>
          <w:tcPr>
            <w:tcW w:w="1276" w:type="dxa"/>
          </w:tcPr>
          <w:p w14:paraId="3CDDB131" w14:textId="77777777" w:rsidR="00AA23BD" w:rsidRDefault="00AA23BD" w:rsidP="00D87732">
            <w:pPr>
              <w:tabs>
                <w:tab w:val="center" w:pos="4320"/>
                <w:tab w:val="right" w:pos="8640"/>
              </w:tabs>
              <w:jc w:val="center"/>
              <w:rPr>
                <w:sz w:val="20"/>
                <w:szCs w:val="20"/>
              </w:rPr>
            </w:pPr>
            <w:r>
              <w:rPr>
                <w:sz w:val="20"/>
                <w:szCs w:val="20"/>
              </w:rPr>
              <w:t>13 (3.7%)</w:t>
            </w:r>
          </w:p>
        </w:tc>
        <w:tc>
          <w:tcPr>
            <w:tcW w:w="1276" w:type="dxa"/>
          </w:tcPr>
          <w:p w14:paraId="1FE3683E" w14:textId="77777777" w:rsidR="00AA23BD" w:rsidRDefault="00AA23BD" w:rsidP="00D87732">
            <w:pPr>
              <w:tabs>
                <w:tab w:val="center" w:pos="4320"/>
                <w:tab w:val="right" w:pos="8640"/>
              </w:tabs>
              <w:jc w:val="center"/>
              <w:rPr>
                <w:sz w:val="20"/>
                <w:szCs w:val="20"/>
              </w:rPr>
            </w:pPr>
            <w:r>
              <w:rPr>
                <w:sz w:val="20"/>
                <w:szCs w:val="20"/>
              </w:rPr>
              <w:t>8 (3.0%)</w:t>
            </w:r>
          </w:p>
        </w:tc>
        <w:tc>
          <w:tcPr>
            <w:tcW w:w="1276" w:type="dxa"/>
          </w:tcPr>
          <w:p w14:paraId="7222C8EB" w14:textId="77777777" w:rsidR="00AA23BD" w:rsidRDefault="00AA23BD" w:rsidP="00D87732">
            <w:pPr>
              <w:tabs>
                <w:tab w:val="center" w:pos="4320"/>
                <w:tab w:val="right" w:pos="8640"/>
              </w:tabs>
              <w:jc w:val="center"/>
              <w:rPr>
                <w:sz w:val="20"/>
                <w:szCs w:val="20"/>
              </w:rPr>
            </w:pPr>
            <w:r>
              <w:rPr>
                <w:sz w:val="20"/>
                <w:szCs w:val="20"/>
              </w:rPr>
              <w:t>5 (5.6%)</w:t>
            </w:r>
          </w:p>
        </w:tc>
        <w:tc>
          <w:tcPr>
            <w:tcW w:w="850" w:type="dxa"/>
          </w:tcPr>
          <w:p w14:paraId="3B82DAA1" w14:textId="77777777" w:rsidR="00AA23BD" w:rsidRPr="00B044CE" w:rsidRDefault="00AA23BD" w:rsidP="00D87732">
            <w:pPr>
              <w:tabs>
                <w:tab w:val="center" w:pos="4320"/>
                <w:tab w:val="right" w:pos="8640"/>
              </w:tabs>
              <w:jc w:val="center"/>
              <w:rPr>
                <w:sz w:val="20"/>
                <w:szCs w:val="20"/>
              </w:rPr>
            </w:pPr>
            <w:r>
              <w:rPr>
                <w:sz w:val="20"/>
                <w:szCs w:val="20"/>
              </w:rPr>
              <w:t>0.33</w:t>
            </w:r>
          </w:p>
        </w:tc>
        <w:tc>
          <w:tcPr>
            <w:tcW w:w="1276" w:type="dxa"/>
          </w:tcPr>
          <w:p w14:paraId="260A24B0" w14:textId="77777777" w:rsidR="00AA23BD" w:rsidRDefault="00AA23BD" w:rsidP="00D87732">
            <w:pPr>
              <w:tabs>
                <w:tab w:val="center" w:pos="4320"/>
                <w:tab w:val="right" w:pos="8640"/>
              </w:tabs>
              <w:jc w:val="center"/>
              <w:rPr>
                <w:sz w:val="20"/>
                <w:szCs w:val="20"/>
              </w:rPr>
            </w:pPr>
            <w:r>
              <w:rPr>
                <w:sz w:val="20"/>
                <w:szCs w:val="20"/>
              </w:rPr>
              <w:t>8 (3.0%)</w:t>
            </w:r>
          </w:p>
        </w:tc>
        <w:tc>
          <w:tcPr>
            <w:tcW w:w="1276" w:type="dxa"/>
          </w:tcPr>
          <w:p w14:paraId="6E2E3160" w14:textId="77777777" w:rsidR="00AA23BD" w:rsidRDefault="00AA23BD" w:rsidP="00D87732">
            <w:pPr>
              <w:tabs>
                <w:tab w:val="center" w:pos="4320"/>
                <w:tab w:val="right" w:pos="8640"/>
              </w:tabs>
              <w:jc w:val="center"/>
              <w:rPr>
                <w:sz w:val="20"/>
                <w:szCs w:val="20"/>
              </w:rPr>
            </w:pPr>
            <w:r>
              <w:rPr>
                <w:sz w:val="20"/>
                <w:szCs w:val="20"/>
              </w:rPr>
              <w:t>5 (5.4%)</w:t>
            </w:r>
          </w:p>
        </w:tc>
        <w:tc>
          <w:tcPr>
            <w:tcW w:w="850" w:type="dxa"/>
          </w:tcPr>
          <w:p w14:paraId="7D292DFA" w14:textId="77777777" w:rsidR="00AA23BD" w:rsidRPr="00B044CE" w:rsidRDefault="00AA23BD" w:rsidP="00D87732">
            <w:pPr>
              <w:tabs>
                <w:tab w:val="center" w:pos="4320"/>
                <w:tab w:val="right" w:pos="8640"/>
              </w:tabs>
              <w:jc w:val="center"/>
              <w:rPr>
                <w:sz w:val="20"/>
                <w:szCs w:val="20"/>
              </w:rPr>
            </w:pPr>
            <w:r>
              <w:rPr>
                <w:sz w:val="20"/>
                <w:szCs w:val="20"/>
              </w:rPr>
              <w:t>0.33</w:t>
            </w:r>
          </w:p>
        </w:tc>
      </w:tr>
      <w:tr w:rsidR="00AA23BD" w:rsidRPr="007E439E" w14:paraId="15A5F525" w14:textId="77777777" w:rsidTr="00D87732">
        <w:tc>
          <w:tcPr>
            <w:tcW w:w="1809" w:type="dxa"/>
          </w:tcPr>
          <w:p w14:paraId="36E55B96" w14:textId="067157F0" w:rsidR="00AA23BD" w:rsidRDefault="00AA23BD" w:rsidP="00D87732">
            <w:pPr>
              <w:tabs>
                <w:tab w:val="center" w:pos="4320"/>
                <w:tab w:val="right" w:pos="8640"/>
              </w:tabs>
              <w:rPr>
                <w:sz w:val="20"/>
                <w:szCs w:val="20"/>
              </w:rPr>
            </w:pPr>
            <w:r>
              <w:rPr>
                <w:sz w:val="20"/>
                <w:szCs w:val="20"/>
              </w:rPr>
              <w:t>Attended</w:t>
            </w:r>
            <w:r w:rsidR="00734D6F">
              <w:rPr>
                <w:sz w:val="20"/>
                <w:szCs w:val="20"/>
              </w:rPr>
              <w:t xml:space="preserve"> ED</w:t>
            </w:r>
            <w:r>
              <w:rPr>
                <w:sz w:val="20"/>
                <w:szCs w:val="20"/>
              </w:rPr>
              <w:t xml:space="preserve"> in pre baseline year</w:t>
            </w:r>
          </w:p>
        </w:tc>
        <w:tc>
          <w:tcPr>
            <w:tcW w:w="1276" w:type="dxa"/>
          </w:tcPr>
          <w:p w14:paraId="17F75014" w14:textId="77777777" w:rsidR="00AA23BD" w:rsidRDefault="00AA23BD" w:rsidP="00D87732">
            <w:pPr>
              <w:tabs>
                <w:tab w:val="center" w:pos="4320"/>
                <w:tab w:val="right" w:pos="8640"/>
              </w:tabs>
              <w:jc w:val="center"/>
              <w:rPr>
                <w:sz w:val="20"/>
                <w:szCs w:val="20"/>
              </w:rPr>
            </w:pPr>
            <w:r>
              <w:rPr>
                <w:sz w:val="20"/>
                <w:szCs w:val="20"/>
              </w:rPr>
              <w:t>104 (29.3%)</w:t>
            </w:r>
          </w:p>
        </w:tc>
        <w:tc>
          <w:tcPr>
            <w:tcW w:w="1276" w:type="dxa"/>
          </w:tcPr>
          <w:p w14:paraId="05C7C6CB" w14:textId="77777777" w:rsidR="00AA23BD" w:rsidRDefault="00AA23BD" w:rsidP="00D87732">
            <w:pPr>
              <w:tabs>
                <w:tab w:val="center" w:pos="4320"/>
                <w:tab w:val="right" w:pos="8640"/>
              </w:tabs>
              <w:jc w:val="center"/>
              <w:rPr>
                <w:sz w:val="20"/>
                <w:szCs w:val="20"/>
              </w:rPr>
            </w:pPr>
            <w:r>
              <w:rPr>
                <w:sz w:val="20"/>
                <w:szCs w:val="20"/>
              </w:rPr>
              <w:t>64 (24.2%)</w:t>
            </w:r>
          </w:p>
        </w:tc>
        <w:tc>
          <w:tcPr>
            <w:tcW w:w="1276" w:type="dxa"/>
          </w:tcPr>
          <w:p w14:paraId="5C21FDB6" w14:textId="77777777" w:rsidR="00AA23BD" w:rsidRDefault="00AA23BD" w:rsidP="00D87732">
            <w:pPr>
              <w:tabs>
                <w:tab w:val="center" w:pos="4320"/>
                <w:tab w:val="right" w:pos="8640"/>
              </w:tabs>
              <w:jc w:val="center"/>
              <w:rPr>
                <w:sz w:val="20"/>
                <w:szCs w:val="20"/>
              </w:rPr>
            </w:pPr>
            <w:r>
              <w:rPr>
                <w:sz w:val="20"/>
                <w:szCs w:val="20"/>
              </w:rPr>
              <w:t>40 (44.4%)</w:t>
            </w:r>
          </w:p>
        </w:tc>
        <w:tc>
          <w:tcPr>
            <w:tcW w:w="850" w:type="dxa"/>
          </w:tcPr>
          <w:p w14:paraId="1F0F1027" w14:textId="77777777" w:rsidR="00AA23BD" w:rsidRDefault="00AA23BD" w:rsidP="00D87732">
            <w:pPr>
              <w:tabs>
                <w:tab w:val="center" w:pos="4320"/>
                <w:tab w:val="right" w:pos="8640"/>
              </w:tabs>
              <w:jc w:val="center"/>
              <w:rPr>
                <w:sz w:val="20"/>
                <w:szCs w:val="20"/>
              </w:rPr>
            </w:pPr>
            <w:r>
              <w:rPr>
                <w:sz w:val="20"/>
                <w:szCs w:val="20"/>
              </w:rPr>
              <w:t>&lt;0.001</w:t>
            </w:r>
          </w:p>
        </w:tc>
        <w:tc>
          <w:tcPr>
            <w:tcW w:w="1276" w:type="dxa"/>
          </w:tcPr>
          <w:p w14:paraId="1FEB6443" w14:textId="77777777" w:rsidR="00AA23BD" w:rsidRDefault="00AA23BD" w:rsidP="00D87732">
            <w:pPr>
              <w:tabs>
                <w:tab w:val="center" w:pos="4320"/>
                <w:tab w:val="right" w:pos="8640"/>
              </w:tabs>
              <w:jc w:val="center"/>
              <w:rPr>
                <w:sz w:val="20"/>
                <w:szCs w:val="20"/>
              </w:rPr>
            </w:pPr>
            <w:r>
              <w:rPr>
                <w:sz w:val="20"/>
                <w:szCs w:val="20"/>
              </w:rPr>
              <w:t>64 (24.3%)</w:t>
            </w:r>
          </w:p>
        </w:tc>
        <w:tc>
          <w:tcPr>
            <w:tcW w:w="1276" w:type="dxa"/>
          </w:tcPr>
          <w:p w14:paraId="24722BBE" w14:textId="77777777" w:rsidR="00AA23BD" w:rsidRDefault="00AA23BD" w:rsidP="00D87732">
            <w:pPr>
              <w:tabs>
                <w:tab w:val="center" w:pos="4320"/>
                <w:tab w:val="right" w:pos="8640"/>
              </w:tabs>
              <w:jc w:val="center"/>
              <w:rPr>
                <w:sz w:val="20"/>
                <w:szCs w:val="20"/>
              </w:rPr>
            </w:pPr>
            <w:r>
              <w:rPr>
                <w:sz w:val="20"/>
                <w:szCs w:val="20"/>
              </w:rPr>
              <w:t>40 (43.5%)</w:t>
            </w:r>
          </w:p>
        </w:tc>
        <w:tc>
          <w:tcPr>
            <w:tcW w:w="850" w:type="dxa"/>
          </w:tcPr>
          <w:p w14:paraId="4B04E3DA" w14:textId="77777777" w:rsidR="00AA23BD" w:rsidRDefault="00AA23BD" w:rsidP="00D87732">
            <w:pPr>
              <w:tabs>
                <w:tab w:val="center" w:pos="4320"/>
                <w:tab w:val="right" w:pos="8640"/>
              </w:tabs>
              <w:jc w:val="center"/>
              <w:rPr>
                <w:sz w:val="20"/>
                <w:szCs w:val="20"/>
              </w:rPr>
            </w:pPr>
            <w:r>
              <w:rPr>
                <w:sz w:val="20"/>
                <w:szCs w:val="20"/>
              </w:rPr>
              <w:t>0.001</w:t>
            </w:r>
          </w:p>
        </w:tc>
      </w:tr>
      <w:tr w:rsidR="00AA23BD" w:rsidRPr="007E439E" w14:paraId="46F54155" w14:textId="77777777" w:rsidTr="00D87732">
        <w:tc>
          <w:tcPr>
            <w:tcW w:w="1809" w:type="dxa"/>
          </w:tcPr>
          <w:p w14:paraId="1ABA42D8" w14:textId="77777777" w:rsidR="00AA23BD" w:rsidRDefault="00AA23BD" w:rsidP="00D87732">
            <w:pPr>
              <w:tabs>
                <w:tab w:val="center" w:pos="4320"/>
                <w:tab w:val="right" w:pos="8640"/>
              </w:tabs>
              <w:rPr>
                <w:sz w:val="20"/>
                <w:szCs w:val="20"/>
              </w:rPr>
            </w:pPr>
            <w:r>
              <w:rPr>
                <w:sz w:val="20"/>
                <w:szCs w:val="20"/>
              </w:rPr>
              <w:t>Non-elective admission in pre baseline year</w:t>
            </w:r>
          </w:p>
        </w:tc>
        <w:tc>
          <w:tcPr>
            <w:tcW w:w="1276" w:type="dxa"/>
          </w:tcPr>
          <w:p w14:paraId="76A306FF" w14:textId="77777777" w:rsidR="00AA23BD" w:rsidRDefault="00AA23BD" w:rsidP="00D87732">
            <w:pPr>
              <w:tabs>
                <w:tab w:val="center" w:pos="4320"/>
                <w:tab w:val="right" w:pos="8640"/>
              </w:tabs>
              <w:jc w:val="center"/>
              <w:rPr>
                <w:sz w:val="20"/>
                <w:szCs w:val="20"/>
              </w:rPr>
            </w:pPr>
            <w:r>
              <w:rPr>
                <w:sz w:val="20"/>
                <w:szCs w:val="20"/>
              </w:rPr>
              <w:t>59 (16.6%)</w:t>
            </w:r>
          </w:p>
        </w:tc>
        <w:tc>
          <w:tcPr>
            <w:tcW w:w="1276" w:type="dxa"/>
          </w:tcPr>
          <w:p w14:paraId="67505D1F" w14:textId="77777777" w:rsidR="00AA23BD" w:rsidRDefault="00AA23BD" w:rsidP="00D87732">
            <w:pPr>
              <w:tabs>
                <w:tab w:val="center" w:pos="4320"/>
                <w:tab w:val="right" w:pos="8640"/>
              </w:tabs>
              <w:jc w:val="center"/>
              <w:rPr>
                <w:sz w:val="20"/>
                <w:szCs w:val="20"/>
              </w:rPr>
            </w:pPr>
            <w:r>
              <w:rPr>
                <w:sz w:val="20"/>
                <w:szCs w:val="20"/>
              </w:rPr>
              <w:t>33 (12.5%)</w:t>
            </w:r>
          </w:p>
        </w:tc>
        <w:tc>
          <w:tcPr>
            <w:tcW w:w="1276" w:type="dxa"/>
          </w:tcPr>
          <w:p w14:paraId="11114B1A" w14:textId="77777777" w:rsidR="00AA23BD" w:rsidRDefault="00AA23BD" w:rsidP="00D87732">
            <w:pPr>
              <w:tabs>
                <w:tab w:val="center" w:pos="4320"/>
                <w:tab w:val="right" w:pos="8640"/>
              </w:tabs>
              <w:jc w:val="center"/>
              <w:rPr>
                <w:sz w:val="20"/>
                <w:szCs w:val="20"/>
              </w:rPr>
            </w:pPr>
            <w:r>
              <w:rPr>
                <w:sz w:val="20"/>
                <w:szCs w:val="20"/>
              </w:rPr>
              <w:t>26 (28.9%)</w:t>
            </w:r>
          </w:p>
        </w:tc>
        <w:tc>
          <w:tcPr>
            <w:tcW w:w="850" w:type="dxa"/>
          </w:tcPr>
          <w:p w14:paraId="5F7AD9F1" w14:textId="77777777" w:rsidR="00AA23BD" w:rsidRDefault="00AA23BD" w:rsidP="00D87732">
            <w:pPr>
              <w:tabs>
                <w:tab w:val="center" w:pos="4320"/>
                <w:tab w:val="right" w:pos="8640"/>
              </w:tabs>
              <w:jc w:val="center"/>
              <w:rPr>
                <w:sz w:val="20"/>
                <w:szCs w:val="20"/>
              </w:rPr>
            </w:pPr>
            <w:r>
              <w:rPr>
                <w:sz w:val="20"/>
                <w:szCs w:val="20"/>
              </w:rPr>
              <w:t>0.001</w:t>
            </w:r>
          </w:p>
        </w:tc>
        <w:tc>
          <w:tcPr>
            <w:tcW w:w="1276" w:type="dxa"/>
          </w:tcPr>
          <w:p w14:paraId="0707E6EB" w14:textId="77777777" w:rsidR="00AA23BD" w:rsidRDefault="00AA23BD" w:rsidP="00D87732">
            <w:pPr>
              <w:tabs>
                <w:tab w:val="center" w:pos="4320"/>
                <w:tab w:val="right" w:pos="8640"/>
              </w:tabs>
              <w:jc w:val="center"/>
              <w:rPr>
                <w:sz w:val="20"/>
                <w:szCs w:val="20"/>
              </w:rPr>
            </w:pPr>
            <w:r>
              <w:rPr>
                <w:sz w:val="20"/>
                <w:szCs w:val="20"/>
              </w:rPr>
              <w:t>33 (12.5%)</w:t>
            </w:r>
          </w:p>
        </w:tc>
        <w:tc>
          <w:tcPr>
            <w:tcW w:w="1276" w:type="dxa"/>
          </w:tcPr>
          <w:p w14:paraId="55327C38" w14:textId="77777777" w:rsidR="00AA23BD" w:rsidRDefault="00AA23BD" w:rsidP="00D87732">
            <w:pPr>
              <w:tabs>
                <w:tab w:val="center" w:pos="4320"/>
                <w:tab w:val="right" w:pos="8640"/>
              </w:tabs>
              <w:jc w:val="center"/>
              <w:rPr>
                <w:sz w:val="20"/>
                <w:szCs w:val="20"/>
              </w:rPr>
            </w:pPr>
            <w:r>
              <w:rPr>
                <w:sz w:val="20"/>
                <w:szCs w:val="20"/>
              </w:rPr>
              <w:t>26 (28.3%)</w:t>
            </w:r>
          </w:p>
        </w:tc>
        <w:tc>
          <w:tcPr>
            <w:tcW w:w="850" w:type="dxa"/>
          </w:tcPr>
          <w:p w14:paraId="0CD448B0" w14:textId="77777777" w:rsidR="00AA23BD" w:rsidRDefault="00AA23BD" w:rsidP="00D87732">
            <w:pPr>
              <w:tabs>
                <w:tab w:val="center" w:pos="4320"/>
                <w:tab w:val="right" w:pos="8640"/>
              </w:tabs>
              <w:jc w:val="center"/>
              <w:rPr>
                <w:sz w:val="20"/>
                <w:szCs w:val="20"/>
              </w:rPr>
            </w:pPr>
            <w:r>
              <w:rPr>
                <w:sz w:val="20"/>
                <w:szCs w:val="20"/>
              </w:rPr>
              <w:t>0.001</w:t>
            </w:r>
          </w:p>
        </w:tc>
      </w:tr>
    </w:tbl>
    <w:p w14:paraId="49D838F6" w14:textId="77777777" w:rsidR="00AA23BD" w:rsidRPr="007E439E" w:rsidRDefault="00AA23BD" w:rsidP="00AA23BD">
      <w:pPr>
        <w:rPr>
          <w:sz w:val="20"/>
          <w:szCs w:val="20"/>
          <w:vertAlign w:val="superscript"/>
        </w:rPr>
      </w:pPr>
    </w:p>
    <w:p w14:paraId="070E2277" w14:textId="1F767791" w:rsidR="00AA23BD" w:rsidRDefault="00AA23BD" w:rsidP="00AA23BD">
      <w:pPr>
        <w:rPr>
          <w:sz w:val="20"/>
          <w:szCs w:val="20"/>
        </w:rPr>
      </w:pPr>
      <w:r w:rsidRPr="00A5782F">
        <w:rPr>
          <w:sz w:val="20"/>
          <w:szCs w:val="20"/>
          <w:vertAlign w:val="superscript"/>
        </w:rPr>
        <w:t>a</w:t>
      </w:r>
      <w:r>
        <w:rPr>
          <w:sz w:val="20"/>
          <w:szCs w:val="20"/>
        </w:rPr>
        <w:t xml:space="preserve"> comparison used chi-squared test for linear trend across age, severity and number of QOF groups, and Fisher’s exact test for dichotomous variables</w:t>
      </w:r>
      <w:r w:rsidR="00734D6F">
        <w:rPr>
          <w:sz w:val="20"/>
          <w:szCs w:val="20"/>
        </w:rPr>
        <w:t>.</w:t>
      </w:r>
    </w:p>
    <w:p w14:paraId="1AB9E658" w14:textId="45473913" w:rsidR="00734D6F" w:rsidRPr="00843BBE" w:rsidRDefault="00734D6F" w:rsidP="00AA23BD">
      <w:pPr>
        <w:rPr>
          <w:sz w:val="20"/>
          <w:szCs w:val="20"/>
        </w:rPr>
      </w:pPr>
      <w:r w:rsidRPr="00734D6F">
        <w:rPr>
          <w:sz w:val="20"/>
          <w:szCs w:val="20"/>
          <w:vertAlign w:val="superscript"/>
        </w:rPr>
        <w:t>b</w:t>
      </w:r>
      <w:r>
        <w:rPr>
          <w:sz w:val="20"/>
          <w:szCs w:val="20"/>
          <w:vertAlign w:val="superscript"/>
        </w:rPr>
        <w:t xml:space="preserve"> </w:t>
      </w:r>
      <w:r>
        <w:rPr>
          <w:sz w:val="20"/>
          <w:szCs w:val="20"/>
        </w:rPr>
        <w:t>Physical health conditions only, mental health and depression were excluded from total QOF conditions.</w:t>
      </w:r>
    </w:p>
    <w:p w14:paraId="444CF4B0" w14:textId="58657228" w:rsidR="00AA23BD" w:rsidRDefault="00734D6F" w:rsidP="00AA23BD">
      <w:r>
        <w:rPr>
          <w:sz w:val="20"/>
          <w:szCs w:val="20"/>
          <w:vertAlign w:val="superscript"/>
        </w:rPr>
        <w:t>c</w:t>
      </w:r>
      <w:r w:rsidR="00AA23BD" w:rsidRPr="008525C4">
        <w:rPr>
          <w:sz w:val="20"/>
          <w:szCs w:val="20"/>
          <w:vertAlign w:val="superscript"/>
        </w:rPr>
        <w:t xml:space="preserve"> </w:t>
      </w:r>
      <w:r w:rsidR="00AA23BD">
        <w:rPr>
          <w:sz w:val="20"/>
          <w:szCs w:val="20"/>
        </w:rPr>
        <w:t>missing severity of COPD for 13 patients (5 who attended</w:t>
      </w:r>
      <w:r w:rsidR="006742F5">
        <w:rPr>
          <w:sz w:val="20"/>
          <w:szCs w:val="20"/>
        </w:rPr>
        <w:t xml:space="preserve"> ED</w:t>
      </w:r>
      <w:r w:rsidR="00AA23BD">
        <w:rPr>
          <w:sz w:val="20"/>
          <w:szCs w:val="20"/>
        </w:rPr>
        <w:t xml:space="preserve"> in the follow up year and 8 who did not, 5 who had a non-elective admission in the follow up year and 8 who did not).</w:t>
      </w:r>
      <w:r w:rsidR="00AA23BD">
        <w:t xml:space="preserve"> </w:t>
      </w:r>
    </w:p>
    <w:p w14:paraId="3518C6AA" w14:textId="77777777" w:rsidR="00524303" w:rsidRDefault="00524303" w:rsidP="00E03168">
      <w:pPr>
        <w:pStyle w:val="NormalWeb"/>
        <w:spacing w:before="0" w:after="0" w:line="360" w:lineRule="auto"/>
        <w:rPr>
          <w:rFonts w:ascii="Calibri" w:eastAsia="Times New Roman" w:hAnsi="Calibri" w:cs="Times New Roman"/>
          <w:sz w:val="22"/>
          <w:szCs w:val="22"/>
        </w:rPr>
      </w:pPr>
    </w:p>
    <w:p w14:paraId="4EDA30C5" w14:textId="77777777" w:rsidR="009577BF" w:rsidRPr="007E3F23" w:rsidRDefault="009577BF" w:rsidP="00E03168">
      <w:pPr>
        <w:pStyle w:val="NormalWeb"/>
        <w:spacing w:before="0" w:after="0" w:line="480" w:lineRule="auto"/>
        <w:rPr>
          <w:rFonts w:ascii="Calibri" w:hAnsi="Calibri" w:cs="Times New Roman"/>
          <w:sz w:val="22"/>
          <w:szCs w:val="22"/>
        </w:rPr>
      </w:pPr>
    </w:p>
    <w:p w14:paraId="238DD866" w14:textId="46D943B8" w:rsidR="009577BF" w:rsidRPr="007E3F23" w:rsidRDefault="009577BF" w:rsidP="00E03168">
      <w:pPr>
        <w:pStyle w:val="NormalWeb"/>
        <w:spacing w:before="0" w:after="0" w:line="360" w:lineRule="auto"/>
        <w:rPr>
          <w:rFonts w:ascii="Calibri" w:hAnsi="Calibri" w:cs="Times New Roman"/>
          <w:sz w:val="22"/>
          <w:szCs w:val="22"/>
        </w:rPr>
      </w:pPr>
      <w:r w:rsidRPr="007E3F23">
        <w:rPr>
          <w:rFonts w:ascii="Calibri" w:hAnsi="Calibri" w:cs="Times New Roman"/>
          <w:sz w:val="22"/>
          <w:szCs w:val="22"/>
        </w:rPr>
        <w:lastRenderedPageBreak/>
        <w:t xml:space="preserve">The following variables were associated with both ED attendance and emergency hospital admission in the </w:t>
      </w:r>
      <w:r w:rsidR="00093DAF">
        <w:rPr>
          <w:rFonts w:ascii="Calibri" w:hAnsi="Calibri" w:cs="Times New Roman"/>
          <w:sz w:val="22"/>
          <w:szCs w:val="22"/>
        </w:rPr>
        <w:t xml:space="preserve">follow-up </w:t>
      </w:r>
      <w:r w:rsidRPr="007E3F23">
        <w:rPr>
          <w:rFonts w:ascii="Calibri" w:hAnsi="Calibri" w:cs="Times New Roman"/>
          <w:sz w:val="22"/>
          <w:szCs w:val="22"/>
        </w:rPr>
        <w:t>year using univariate analyses: older age, QOF diagnoses of CHD, heart failure and hypertension, to</w:t>
      </w:r>
      <w:r w:rsidR="00173185">
        <w:rPr>
          <w:rFonts w:ascii="Calibri" w:hAnsi="Calibri" w:cs="Times New Roman"/>
          <w:sz w:val="22"/>
          <w:szCs w:val="22"/>
        </w:rPr>
        <w:t>tal number of QOF diagnoses, having</w:t>
      </w:r>
      <w:r w:rsidRPr="007E3F23">
        <w:rPr>
          <w:rFonts w:ascii="Calibri" w:hAnsi="Calibri" w:cs="Times New Roman"/>
          <w:sz w:val="22"/>
          <w:szCs w:val="22"/>
        </w:rPr>
        <w:t xml:space="preserve"> at least 1 ED attendance</w:t>
      </w:r>
      <w:r w:rsidR="00173185">
        <w:rPr>
          <w:rFonts w:ascii="Calibri" w:hAnsi="Calibri" w:cs="Times New Roman"/>
          <w:sz w:val="22"/>
          <w:szCs w:val="22"/>
        </w:rPr>
        <w:t>,</w:t>
      </w:r>
      <w:r w:rsidRPr="007E3F23">
        <w:rPr>
          <w:rFonts w:ascii="Calibri" w:hAnsi="Calibri" w:cs="Times New Roman"/>
          <w:sz w:val="22"/>
          <w:szCs w:val="22"/>
        </w:rPr>
        <w:t xml:space="preserve"> and at least 1 emergency hospital admission</w:t>
      </w:r>
      <w:r>
        <w:rPr>
          <w:rFonts w:ascii="Calibri" w:hAnsi="Calibri" w:cs="Times New Roman"/>
          <w:sz w:val="22"/>
          <w:szCs w:val="22"/>
        </w:rPr>
        <w:t xml:space="preserve"> in the baseline year (T</w:t>
      </w:r>
      <w:r w:rsidR="00173185">
        <w:rPr>
          <w:rFonts w:ascii="Calibri" w:hAnsi="Calibri" w:cs="Times New Roman"/>
          <w:sz w:val="22"/>
          <w:szCs w:val="22"/>
        </w:rPr>
        <w:t>able 1</w:t>
      </w:r>
      <w:r w:rsidRPr="007E3F23">
        <w:rPr>
          <w:rFonts w:ascii="Calibri" w:hAnsi="Calibri" w:cs="Times New Roman"/>
          <w:sz w:val="22"/>
          <w:szCs w:val="22"/>
        </w:rPr>
        <w:t xml:space="preserve">). </w:t>
      </w:r>
      <w:r w:rsidR="003E752D">
        <w:rPr>
          <w:rFonts w:ascii="Calibri" w:hAnsi="Calibri" w:cs="Times New Roman"/>
          <w:sz w:val="22"/>
          <w:szCs w:val="22"/>
        </w:rPr>
        <w:t xml:space="preserve">Diagnosis of depression or mental health problems and COPD severity, as recorded by the </w:t>
      </w:r>
      <w:r w:rsidR="00EC56E1">
        <w:rPr>
          <w:rFonts w:ascii="Calibri" w:hAnsi="Calibri" w:cs="Times New Roman"/>
          <w:sz w:val="22"/>
          <w:szCs w:val="22"/>
        </w:rPr>
        <w:t>QOF registers</w:t>
      </w:r>
      <w:r w:rsidR="003E752D">
        <w:rPr>
          <w:rFonts w:ascii="Calibri" w:hAnsi="Calibri" w:cs="Times New Roman"/>
          <w:sz w:val="22"/>
          <w:szCs w:val="22"/>
        </w:rPr>
        <w:t xml:space="preserve">, were not </w:t>
      </w:r>
      <w:r w:rsidR="00C50151">
        <w:rPr>
          <w:rFonts w:ascii="Calibri" w:hAnsi="Calibri" w:cs="Times New Roman"/>
          <w:sz w:val="22"/>
          <w:szCs w:val="22"/>
        </w:rPr>
        <w:t xml:space="preserve">significantly </w:t>
      </w:r>
      <w:r w:rsidRPr="007E3F23">
        <w:rPr>
          <w:rFonts w:ascii="Calibri" w:hAnsi="Calibri" w:cs="Times New Roman"/>
          <w:sz w:val="22"/>
          <w:szCs w:val="22"/>
        </w:rPr>
        <w:t xml:space="preserve">associated with </w:t>
      </w:r>
      <w:r w:rsidR="00C50151">
        <w:rPr>
          <w:rFonts w:ascii="Calibri" w:hAnsi="Calibri" w:cs="Times New Roman"/>
          <w:sz w:val="22"/>
          <w:szCs w:val="22"/>
        </w:rPr>
        <w:t>either</w:t>
      </w:r>
      <w:r w:rsidR="003E752D">
        <w:rPr>
          <w:rFonts w:ascii="Calibri" w:hAnsi="Calibri" w:cs="Times New Roman"/>
          <w:sz w:val="22"/>
          <w:szCs w:val="22"/>
        </w:rPr>
        <w:t xml:space="preserve"> </w:t>
      </w:r>
      <w:r w:rsidR="00C50151">
        <w:rPr>
          <w:rFonts w:ascii="Calibri" w:hAnsi="Calibri" w:cs="Times New Roman"/>
          <w:sz w:val="22"/>
          <w:szCs w:val="22"/>
        </w:rPr>
        <w:t xml:space="preserve">of </w:t>
      </w:r>
      <w:r w:rsidRPr="007E3F23">
        <w:rPr>
          <w:rFonts w:ascii="Calibri" w:hAnsi="Calibri" w:cs="Times New Roman"/>
          <w:sz w:val="22"/>
          <w:szCs w:val="22"/>
        </w:rPr>
        <w:t xml:space="preserve">the two outcome variables.  </w:t>
      </w:r>
    </w:p>
    <w:p w14:paraId="13B38AF0" w14:textId="77777777" w:rsidR="009577BF" w:rsidRPr="007E3F23" w:rsidRDefault="009577BF" w:rsidP="00E03168">
      <w:pPr>
        <w:pStyle w:val="NormalWeb"/>
        <w:spacing w:before="0" w:after="0" w:line="360" w:lineRule="auto"/>
        <w:rPr>
          <w:rFonts w:ascii="Calibri" w:hAnsi="Calibri" w:cs="Times New Roman"/>
          <w:sz w:val="22"/>
          <w:szCs w:val="22"/>
        </w:rPr>
      </w:pPr>
    </w:p>
    <w:p w14:paraId="69E5D068" w14:textId="3C16DC0C" w:rsidR="009577BF" w:rsidRDefault="009577BF" w:rsidP="00E03168">
      <w:pPr>
        <w:pStyle w:val="NormalWeb"/>
        <w:spacing w:before="0" w:after="0" w:line="360" w:lineRule="auto"/>
        <w:rPr>
          <w:rFonts w:ascii="Calibri" w:hAnsi="Calibri" w:cs="Times New Roman"/>
          <w:sz w:val="22"/>
          <w:szCs w:val="22"/>
        </w:rPr>
      </w:pPr>
      <w:r w:rsidRPr="007E3F23">
        <w:rPr>
          <w:rFonts w:ascii="Calibri" w:hAnsi="Calibri" w:cs="Times New Roman"/>
          <w:sz w:val="22"/>
          <w:szCs w:val="22"/>
        </w:rPr>
        <w:t xml:space="preserve">Table 2 shows information obtained from the 355 completed questionnaires, again for the whole group and split by at least 1 ED attendance in the </w:t>
      </w:r>
      <w:r w:rsidR="00093DAF">
        <w:rPr>
          <w:rFonts w:ascii="Calibri" w:hAnsi="Calibri" w:cs="Times New Roman"/>
          <w:sz w:val="22"/>
          <w:szCs w:val="22"/>
        </w:rPr>
        <w:t>follow-up</w:t>
      </w:r>
      <w:r w:rsidR="00843BBE">
        <w:rPr>
          <w:rFonts w:ascii="Calibri" w:hAnsi="Calibri" w:cs="Times New Roman"/>
          <w:sz w:val="22"/>
          <w:szCs w:val="22"/>
        </w:rPr>
        <w:t xml:space="preserve"> </w:t>
      </w:r>
      <w:r w:rsidRPr="007E3F23">
        <w:rPr>
          <w:rFonts w:ascii="Calibri" w:hAnsi="Calibri" w:cs="Times New Roman"/>
          <w:sz w:val="22"/>
          <w:szCs w:val="22"/>
        </w:rPr>
        <w:t xml:space="preserve">year and then by at least 1 emergency hospital admission in the </w:t>
      </w:r>
      <w:r w:rsidR="00093DAF">
        <w:rPr>
          <w:rFonts w:ascii="Calibri" w:hAnsi="Calibri" w:cs="Times New Roman"/>
          <w:sz w:val="22"/>
          <w:szCs w:val="22"/>
        </w:rPr>
        <w:t>follow-up</w:t>
      </w:r>
      <w:r w:rsidR="00843BBE">
        <w:rPr>
          <w:rFonts w:ascii="Calibri" w:hAnsi="Calibri" w:cs="Times New Roman"/>
          <w:sz w:val="22"/>
          <w:szCs w:val="22"/>
        </w:rPr>
        <w:t xml:space="preserve"> </w:t>
      </w:r>
      <w:r w:rsidRPr="007E3F23">
        <w:rPr>
          <w:rFonts w:ascii="Calibri" w:hAnsi="Calibri" w:cs="Times New Roman"/>
          <w:sz w:val="22"/>
          <w:szCs w:val="22"/>
        </w:rPr>
        <w:t xml:space="preserve">year.  Of these variables, only poor education and HADS depression (8 or above) were associated with both ED attendance and emergency hospital admission in the </w:t>
      </w:r>
      <w:r w:rsidR="00093DAF">
        <w:rPr>
          <w:rFonts w:ascii="Calibri" w:hAnsi="Calibri" w:cs="Times New Roman"/>
          <w:sz w:val="22"/>
          <w:szCs w:val="22"/>
        </w:rPr>
        <w:t xml:space="preserve">follow-up </w:t>
      </w:r>
      <w:r w:rsidRPr="007E3F23">
        <w:rPr>
          <w:rFonts w:ascii="Calibri" w:hAnsi="Calibri" w:cs="Times New Roman"/>
          <w:sz w:val="22"/>
          <w:szCs w:val="22"/>
        </w:rPr>
        <w:t>year using univariate analyses. Ethnic group, marital status, living situation, and being unemployed and seeking work</w:t>
      </w:r>
      <w:r w:rsidR="00093DAF">
        <w:rPr>
          <w:rFonts w:ascii="Calibri" w:hAnsi="Calibri" w:cs="Times New Roman"/>
          <w:sz w:val="22"/>
          <w:szCs w:val="22"/>
        </w:rPr>
        <w:t>,</w:t>
      </w:r>
      <w:r w:rsidRPr="007E3F23">
        <w:rPr>
          <w:rFonts w:ascii="Calibri" w:hAnsi="Calibri" w:cs="Times New Roman"/>
          <w:sz w:val="22"/>
          <w:szCs w:val="22"/>
        </w:rPr>
        <w:t xml:space="preserve"> were not significantly associated with either ED attendance or emergency admissions in the </w:t>
      </w:r>
      <w:r w:rsidR="00093DAF">
        <w:rPr>
          <w:rFonts w:ascii="Calibri" w:hAnsi="Calibri" w:cs="Times New Roman"/>
          <w:sz w:val="22"/>
          <w:szCs w:val="22"/>
        </w:rPr>
        <w:t>follow-up</w:t>
      </w:r>
      <w:r w:rsidR="00843BBE">
        <w:rPr>
          <w:rFonts w:ascii="Calibri" w:hAnsi="Calibri" w:cs="Times New Roman"/>
          <w:sz w:val="22"/>
          <w:szCs w:val="22"/>
        </w:rPr>
        <w:t xml:space="preserve"> </w:t>
      </w:r>
      <w:r w:rsidRPr="007E3F23">
        <w:rPr>
          <w:rFonts w:ascii="Calibri" w:hAnsi="Calibri" w:cs="Times New Roman"/>
          <w:sz w:val="22"/>
          <w:szCs w:val="22"/>
        </w:rPr>
        <w:t>year</w:t>
      </w:r>
      <w:r w:rsidR="00FD5970">
        <w:rPr>
          <w:rFonts w:ascii="Calibri" w:hAnsi="Calibri" w:cs="Times New Roman"/>
          <w:sz w:val="22"/>
          <w:szCs w:val="22"/>
        </w:rPr>
        <w:t xml:space="preserve">; </w:t>
      </w:r>
      <w:r w:rsidRPr="007E3F23">
        <w:rPr>
          <w:rFonts w:ascii="Calibri" w:hAnsi="Calibri" w:cs="Times New Roman"/>
          <w:sz w:val="22"/>
          <w:szCs w:val="22"/>
        </w:rPr>
        <w:t xml:space="preserve">neither were HADS anxiety </w:t>
      </w:r>
      <w:r w:rsidR="00FD5970">
        <w:rPr>
          <w:rFonts w:ascii="Calibri" w:hAnsi="Calibri" w:cs="Times New Roman"/>
          <w:sz w:val="22"/>
          <w:szCs w:val="22"/>
        </w:rPr>
        <w:t xml:space="preserve">scores of </w:t>
      </w:r>
      <w:r w:rsidRPr="007E3F23">
        <w:rPr>
          <w:rFonts w:ascii="Calibri" w:hAnsi="Calibri" w:cs="Times New Roman"/>
          <w:sz w:val="22"/>
          <w:szCs w:val="22"/>
        </w:rPr>
        <w:t>8 or more.</w:t>
      </w:r>
    </w:p>
    <w:p w14:paraId="6211802C" w14:textId="77777777" w:rsidR="003E752D" w:rsidRDefault="003E752D" w:rsidP="00E03168">
      <w:pPr>
        <w:pStyle w:val="NormalWeb"/>
        <w:spacing w:before="0" w:after="0" w:line="360" w:lineRule="auto"/>
        <w:rPr>
          <w:rFonts w:ascii="Calibri" w:hAnsi="Calibri" w:cs="Times New Roman"/>
          <w:sz w:val="22"/>
          <w:szCs w:val="22"/>
        </w:rPr>
      </w:pPr>
    </w:p>
    <w:p w14:paraId="407AA72C" w14:textId="54049F03" w:rsidR="00524303" w:rsidRPr="007E3F23" w:rsidRDefault="00524303" w:rsidP="00524303">
      <w:pPr>
        <w:pStyle w:val="NormalWeb"/>
        <w:spacing w:before="0" w:after="0" w:line="360" w:lineRule="auto"/>
        <w:rPr>
          <w:rFonts w:ascii="Calibri" w:eastAsia="Times New Roman" w:hAnsi="Calibri" w:cs="Times New Roman"/>
          <w:sz w:val="22"/>
          <w:szCs w:val="22"/>
        </w:rPr>
      </w:pPr>
      <w:r w:rsidRPr="007E3F23">
        <w:rPr>
          <w:rFonts w:ascii="Calibri" w:hAnsi="Calibri" w:cs="Times New Roman"/>
          <w:sz w:val="22"/>
          <w:szCs w:val="22"/>
        </w:rPr>
        <w:t>Seventy-three (20.6%) of the participants who completed the questionnaire reported they were being prescribed antidepressants, 8 (2.3%) reported seeing a counsellor or psychologist, and 9 (2.</w:t>
      </w:r>
      <w:r w:rsidRPr="007E3F23" w:rsidDel="00E97B4F">
        <w:rPr>
          <w:rFonts w:ascii="Calibri" w:hAnsi="Calibri" w:cs="Times New Roman"/>
          <w:sz w:val="22"/>
          <w:szCs w:val="22"/>
        </w:rPr>
        <w:t xml:space="preserve"> </w:t>
      </w:r>
      <w:r w:rsidRPr="007E3F23">
        <w:rPr>
          <w:rFonts w:ascii="Calibri" w:hAnsi="Calibri" w:cs="Times New Roman"/>
          <w:sz w:val="22"/>
          <w:szCs w:val="22"/>
        </w:rPr>
        <w:t>5%) reported that they were in contact with mental health services during the year prior to completion of the questionnaire. There were no significant associations between either of the self-reported medication and treatment variables for mental health and either of the two ou</w:t>
      </w:r>
      <w:r>
        <w:rPr>
          <w:rFonts w:ascii="Calibri" w:hAnsi="Calibri" w:cs="Times New Roman"/>
          <w:sz w:val="22"/>
          <w:szCs w:val="22"/>
        </w:rPr>
        <w:t xml:space="preserve">tcomes in the </w:t>
      </w:r>
      <w:r w:rsidR="00093DAF">
        <w:rPr>
          <w:rFonts w:ascii="Calibri" w:hAnsi="Calibri" w:cs="Times New Roman"/>
          <w:sz w:val="22"/>
          <w:szCs w:val="22"/>
        </w:rPr>
        <w:t>follow-up</w:t>
      </w:r>
      <w:r w:rsidR="00843BBE">
        <w:rPr>
          <w:rFonts w:ascii="Calibri" w:hAnsi="Calibri" w:cs="Times New Roman"/>
          <w:sz w:val="22"/>
          <w:szCs w:val="22"/>
        </w:rPr>
        <w:t xml:space="preserve"> </w:t>
      </w:r>
      <w:r>
        <w:rPr>
          <w:rFonts w:ascii="Calibri" w:hAnsi="Calibri" w:cs="Times New Roman"/>
          <w:sz w:val="22"/>
          <w:szCs w:val="22"/>
        </w:rPr>
        <w:t>year</w:t>
      </w:r>
      <w:r w:rsidR="00FD5970">
        <w:rPr>
          <w:rFonts w:ascii="Calibri" w:hAnsi="Calibri" w:cs="Times New Roman"/>
          <w:sz w:val="22"/>
          <w:szCs w:val="22"/>
        </w:rPr>
        <w:t xml:space="preserve">; </w:t>
      </w:r>
      <w:r>
        <w:rPr>
          <w:rFonts w:ascii="Calibri" w:hAnsi="Calibri" w:cs="Times New Roman"/>
          <w:sz w:val="22"/>
          <w:szCs w:val="22"/>
        </w:rPr>
        <w:t>n</w:t>
      </w:r>
      <w:r w:rsidRPr="007E3F23">
        <w:rPr>
          <w:rFonts w:ascii="Calibri" w:hAnsi="Calibri" w:cs="Times New Roman"/>
          <w:sz w:val="22"/>
          <w:szCs w:val="22"/>
        </w:rPr>
        <w:t>either were there differences for the baseline period.</w:t>
      </w:r>
    </w:p>
    <w:p w14:paraId="5CE7B795" w14:textId="77777777" w:rsidR="00524303" w:rsidRPr="007E3F23" w:rsidRDefault="00524303" w:rsidP="00E03168">
      <w:pPr>
        <w:pStyle w:val="NormalWeb"/>
        <w:spacing w:before="0" w:after="0" w:line="360" w:lineRule="auto"/>
        <w:rPr>
          <w:rFonts w:ascii="Calibri" w:hAnsi="Calibri" w:cs="Times New Roman"/>
          <w:sz w:val="22"/>
          <w:szCs w:val="22"/>
        </w:rPr>
      </w:pPr>
    </w:p>
    <w:p w14:paraId="307920F7" w14:textId="77777777" w:rsidR="009577BF" w:rsidRPr="007E3F23" w:rsidRDefault="009577BF" w:rsidP="00E03168">
      <w:pPr>
        <w:pStyle w:val="NormalWeb"/>
        <w:spacing w:before="0" w:after="0" w:line="480" w:lineRule="auto"/>
        <w:rPr>
          <w:rFonts w:ascii="Calibri" w:eastAsia="Times New Roman" w:hAnsi="Calibri" w:cs="Times New Roman"/>
          <w:sz w:val="22"/>
          <w:szCs w:val="22"/>
        </w:rPr>
      </w:pPr>
    </w:p>
    <w:p w14:paraId="31F26EE2" w14:textId="77777777" w:rsidR="009577BF" w:rsidRDefault="009577BF" w:rsidP="00E03168">
      <w:pPr>
        <w:pStyle w:val="NormalWeb"/>
        <w:spacing w:before="0" w:after="0" w:line="480" w:lineRule="auto"/>
        <w:rPr>
          <w:rFonts w:ascii="Calibri" w:eastAsia="Times New Roman" w:hAnsi="Calibri" w:cs="Times New Roman"/>
          <w:sz w:val="22"/>
          <w:szCs w:val="22"/>
        </w:rPr>
        <w:sectPr w:rsidR="009577BF" w:rsidSect="00EC491B">
          <w:headerReference w:type="default" r:id="rId8"/>
          <w:footerReference w:type="default" r:id="rId9"/>
          <w:pgSz w:w="11906" w:h="16838"/>
          <w:pgMar w:top="1440" w:right="1440" w:bottom="1440" w:left="1440" w:header="708" w:footer="708" w:gutter="0"/>
          <w:cols w:space="708"/>
          <w:docGrid w:linePitch="360"/>
        </w:sectPr>
      </w:pPr>
    </w:p>
    <w:p w14:paraId="3C94B50F" w14:textId="6970B938" w:rsidR="009577BF" w:rsidRPr="006C1EBF" w:rsidRDefault="009577BF" w:rsidP="00E03168">
      <w:pPr>
        <w:rPr>
          <w:rFonts w:ascii="Calibri" w:hAnsi="Calibri"/>
          <w:sz w:val="22"/>
          <w:szCs w:val="22"/>
        </w:rPr>
      </w:pPr>
      <w:r w:rsidRPr="006C1EBF">
        <w:rPr>
          <w:rFonts w:ascii="Calibri" w:hAnsi="Calibri"/>
          <w:sz w:val="22"/>
          <w:szCs w:val="22"/>
        </w:rPr>
        <w:lastRenderedPageBreak/>
        <w:t xml:space="preserve">Table 2: Characteristics of the study participants on baseline questionnaires: significance of effect on attendance at </w:t>
      </w:r>
      <w:r w:rsidR="00734D6F">
        <w:rPr>
          <w:rFonts w:ascii="Calibri" w:hAnsi="Calibri"/>
          <w:sz w:val="22"/>
          <w:szCs w:val="22"/>
        </w:rPr>
        <w:t>ED</w:t>
      </w:r>
      <w:r w:rsidRPr="006C1EBF">
        <w:rPr>
          <w:rFonts w:ascii="Calibri" w:hAnsi="Calibri"/>
          <w:sz w:val="22"/>
          <w:szCs w:val="22"/>
        </w:rPr>
        <w:t xml:space="preserve"> and non-elective admissions in the follow up year</w:t>
      </w:r>
    </w:p>
    <w:p w14:paraId="2FF2DBF0" w14:textId="77777777" w:rsidR="009577BF" w:rsidRPr="00B044CE" w:rsidRDefault="009577BF" w:rsidP="00E03168">
      <w:pPr>
        <w:rPr>
          <w:b/>
        </w:rPr>
      </w:pPr>
    </w:p>
    <w:tbl>
      <w:tblPr>
        <w:tblW w:w="12866"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418"/>
        <w:gridCol w:w="1417"/>
        <w:gridCol w:w="1559"/>
        <w:gridCol w:w="1276"/>
        <w:gridCol w:w="1418"/>
        <w:gridCol w:w="1701"/>
        <w:gridCol w:w="992"/>
      </w:tblGrid>
      <w:tr w:rsidR="009577BF" w:rsidRPr="006C1EBF" w14:paraId="7A942373" w14:textId="77777777" w:rsidTr="00E03168">
        <w:tc>
          <w:tcPr>
            <w:tcW w:w="3085" w:type="dxa"/>
          </w:tcPr>
          <w:p w14:paraId="12EC57B6" w14:textId="77777777" w:rsidR="009577BF" w:rsidRPr="006C1EBF" w:rsidRDefault="009577BF" w:rsidP="00E03168">
            <w:pPr>
              <w:tabs>
                <w:tab w:val="center" w:pos="4320"/>
                <w:tab w:val="right" w:pos="8640"/>
              </w:tabs>
              <w:rPr>
                <w:rFonts w:ascii="Calibri" w:hAnsi="Calibri"/>
                <w:sz w:val="20"/>
                <w:szCs w:val="20"/>
              </w:rPr>
            </w:pPr>
          </w:p>
        </w:tc>
        <w:tc>
          <w:tcPr>
            <w:tcW w:w="1418" w:type="dxa"/>
          </w:tcPr>
          <w:p w14:paraId="0FEDAC93" w14:textId="77777777" w:rsidR="009577BF" w:rsidRPr="006C1EBF" w:rsidRDefault="009577BF" w:rsidP="00E03168">
            <w:pPr>
              <w:tabs>
                <w:tab w:val="center" w:pos="4320"/>
                <w:tab w:val="right" w:pos="8640"/>
              </w:tabs>
              <w:jc w:val="center"/>
              <w:rPr>
                <w:rFonts w:ascii="Calibri" w:hAnsi="Calibri"/>
                <w:sz w:val="20"/>
                <w:szCs w:val="20"/>
              </w:rPr>
            </w:pPr>
          </w:p>
        </w:tc>
        <w:tc>
          <w:tcPr>
            <w:tcW w:w="4252" w:type="dxa"/>
            <w:gridSpan w:val="3"/>
          </w:tcPr>
          <w:p w14:paraId="2C023382" w14:textId="247E8145"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 xml:space="preserve">Attended </w:t>
            </w:r>
            <w:r w:rsidR="00734D6F">
              <w:rPr>
                <w:rFonts w:ascii="Calibri" w:hAnsi="Calibri"/>
                <w:sz w:val="20"/>
                <w:szCs w:val="20"/>
              </w:rPr>
              <w:t>Ed</w:t>
            </w:r>
          </w:p>
        </w:tc>
        <w:tc>
          <w:tcPr>
            <w:tcW w:w="4111" w:type="dxa"/>
            <w:gridSpan w:val="3"/>
          </w:tcPr>
          <w:p w14:paraId="6B7ECD3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Non-elective admission</w:t>
            </w:r>
          </w:p>
        </w:tc>
      </w:tr>
      <w:tr w:rsidR="009577BF" w:rsidRPr="006C1EBF" w14:paraId="2E9F0F55" w14:textId="77777777" w:rsidTr="00E03168">
        <w:tc>
          <w:tcPr>
            <w:tcW w:w="3085" w:type="dxa"/>
          </w:tcPr>
          <w:p w14:paraId="2020FCDF" w14:textId="77777777" w:rsidR="009577BF" w:rsidRPr="006C1EBF" w:rsidRDefault="009577BF" w:rsidP="00E03168">
            <w:pPr>
              <w:tabs>
                <w:tab w:val="center" w:pos="4320"/>
                <w:tab w:val="right" w:pos="8640"/>
              </w:tabs>
              <w:rPr>
                <w:rFonts w:ascii="Calibri" w:hAnsi="Calibri"/>
                <w:sz w:val="20"/>
                <w:szCs w:val="20"/>
              </w:rPr>
            </w:pPr>
          </w:p>
          <w:p w14:paraId="2C91C7DC"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Baseline questionnaire data (n=355)</w:t>
            </w:r>
          </w:p>
        </w:tc>
        <w:tc>
          <w:tcPr>
            <w:tcW w:w="1418" w:type="dxa"/>
          </w:tcPr>
          <w:p w14:paraId="6FAD1C6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Whole group</w:t>
            </w:r>
          </w:p>
          <w:p w14:paraId="5F26D72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(n=355)</w:t>
            </w:r>
          </w:p>
          <w:p w14:paraId="7019079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 (%)</w:t>
            </w:r>
          </w:p>
        </w:tc>
        <w:tc>
          <w:tcPr>
            <w:tcW w:w="1417" w:type="dxa"/>
          </w:tcPr>
          <w:p w14:paraId="0B45724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No</w:t>
            </w:r>
          </w:p>
          <w:p w14:paraId="023D73F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(n=265)</w:t>
            </w:r>
          </w:p>
          <w:p w14:paraId="0A95CB3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 (%)</w:t>
            </w:r>
          </w:p>
        </w:tc>
        <w:tc>
          <w:tcPr>
            <w:tcW w:w="1559" w:type="dxa"/>
          </w:tcPr>
          <w:p w14:paraId="2FA15DE4"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Yes</w:t>
            </w:r>
          </w:p>
          <w:p w14:paraId="5C9BAFA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(n=90)</w:t>
            </w:r>
          </w:p>
          <w:p w14:paraId="5BAFC28C"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 (%)</w:t>
            </w:r>
          </w:p>
        </w:tc>
        <w:tc>
          <w:tcPr>
            <w:tcW w:w="1276" w:type="dxa"/>
          </w:tcPr>
          <w:p w14:paraId="00C761A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 xml:space="preserve">Sig </w:t>
            </w:r>
            <w:r w:rsidRPr="006C1EBF">
              <w:rPr>
                <w:rFonts w:ascii="Calibri" w:hAnsi="Calibri"/>
                <w:sz w:val="20"/>
                <w:szCs w:val="20"/>
                <w:vertAlign w:val="superscript"/>
              </w:rPr>
              <w:t>a</w:t>
            </w:r>
          </w:p>
        </w:tc>
        <w:tc>
          <w:tcPr>
            <w:tcW w:w="1418" w:type="dxa"/>
          </w:tcPr>
          <w:p w14:paraId="7BFA39F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No</w:t>
            </w:r>
          </w:p>
          <w:p w14:paraId="498F24C1"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(n=263)</w:t>
            </w:r>
          </w:p>
          <w:p w14:paraId="1381EBF0"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 (%)</w:t>
            </w:r>
          </w:p>
        </w:tc>
        <w:tc>
          <w:tcPr>
            <w:tcW w:w="1701" w:type="dxa"/>
          </w:tcPr>
          <w:p w14:paraId="7A45184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Yes</w:t>
            </w:r>
          </w:p>
          <w:p w14:paraId="47C11736"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(n=92)</w:t>
            </w:r>
          </w:p>
          <w:p w14:paraId="55A44E1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N (%)</w:t>
            </w:r>
          </w:p>
        </w:tc>
        <w:tc>
          <w:tcPr>
            <w:tcW w:w="992" w:type="dxa"/>
          </w:tcPr>
          <w:p w14:paraId="1B55335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 xml:space="preserve">Sig </w:t>
            </w:r>
            <w:r w:rsidRPr="006C1EBF">
              <w:rPr>
                <w:rFonts w:ascii="Calibri" w:hAnsi="Calibri"/>
                <w:sz w:val="20"/>
                <w:szCs w:val="20"/>
                <w:vertAlign w:val="superscript"/>
              </w:rPr>
              <w:t>a</w:t>
            </w:r>
          </w:p>
        </w:tc>
      </w:tr>
      <w:tr w:rsidR="009577BF" w:rsidRPr="006C1EBF" w14:paraId="7DCA2621" w14:textId="77777777" w:rsidTr="00E03168">
        <w:tc>
          <w:tcPr>
            <w:tcW w:w="3085" w:type="dxa"/>
          </w:tcPr>
          <w:p w14:paraId="271C0659"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White ethnic group</w:t>
            </w:r>
          </w:p>
        </w:tc>
        <w:tc>
          <w:tcPr>
            <w:tcW w:w="1418" w:type="dxa"/>
          </w:tcPr>
          <w:p w14:paraId="792C4F55" w14:textId="77777777" w:rsidR="009577BF" w:rsidRPr="006C1EBF" w:rsidRDefault="009577BF" w:rsidP="00E03168">
            <w:pPr>
              <w:tabs>
                <w:tab w:val="center" w:pos="4320"/>
                <w:tab w:val="right" w:pos="8640"/>
              </w:tabs>
              <w:jc w:val="center"/>
              <w:rPr>
                <w:rFonts w:ascii="Calibri" w:hAnsi="Calibri"/>
                <w:sz w:val="20"/>
                <w:szCs w:val="20"/>
              </w:rPr>
            </w:pPr>
          </w:p>
        </w:tc>
        <w:tc>
          <w:tcPr>
            <w:tcW w:w="1417" w:type="dxa"/>
          </w:tcPr>
          <w:p w14:paraId="33EC6944"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253 (95.5%)</w:t>
            </w:r>
          </w:p>
        </w:tc>
        <w:tc>
          <w:tcPr>
            <w:tcW w:w="1559" w:type="dxa"/>
          </w:tcPr>
          <w:p w14:paraId="0F8F1313"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84 (93.3%)</w:t>
            </w:r>
          </w:p>
        </w:tc>
        <w:tc>
          <w:tcPr>
            <w:tcW w:w="1276" w:type="dxa"/>
          </w:tcPr>
          <w:p w14:paraId="7EDB6A4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0.41</w:t>
            </w:r>
          </w:p>
        </w:tc>
        <w:tc>
          <w:tcPr>
            <w:tcW w:w="1418" w:type="dxa"/>
          </w:tcPr>
          <w:p w14:paraId="428A518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251 (95.4%)</w:t>
            </w:r>
          </w:p>
        </w:tc>
        <w:tc>
          <w:tcPr>
            <w:tcW w:w="1701" w:type="dxa"/>
          </w:tcPr>
          <w:p w14:paraId="4F67B457"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86 (93.5%)</w:t>
            </w:r>
          </w:p>
        </w:tc>
        <w:tc>
          <w:tcPr>
            <w:tcW w:w="992" w:type="dxa"/>
          </w:tcPr>
          <w:p w14:paraId="587E3BD4"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0.42</w:t>
            </w:r>
          </w:p>
        </w:tc>
      </w:tr>
      <w:tr w:rsidR="009577BF" w:rsidRPr="006C1EBF" w14:paraId="05ECA110" w14:textId="77777777" w:rsidTr="00E03168">
        <w:tc>
          <w:tcPr>
            <w:tcW w:w="3085" w:type="dxa"/>
          </w:tcPr>
          <w:p w14:paraId="4F25B254"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 xml:space="preserve">Marital status </w:t>
            </w:r>
            <w:r w:rsidRPr="006C1EBF">
              <w:rPr>
                <w:rFonts w:ascii="Calibri" w:hAnsi="Calibri"/>
                <w:sz w:val="20"/>
                <w:szCs w:val="20"/>
                <w:vertAlign w:val="superscript"/>
              </w:rPr>
              <w:t>b</w:t>
            </w:r>
            <w:r w:rsidRPr="006C1EBF">
              <w:rPr>
                <w:rFonts w:ascii="Calibri" w:hAnsi="Calibri"/>
                <w:sz w:val="20"/>
                <w:szCs w:val="20"/>
              </w:rPr>
              <w:t>:</w:t>
            </w:r>
          </w:p>
          <w:p w14:paraId="7437218B"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 xml:space="preserve"> Single</w:t>
            </w:r>
          </w:p>
          <w:p w14:paraId="020EDA52"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 xml:space="preserve"> Married or cohabiting</w:t>
            </w:r>
          </w:p>
          <w:p w14:paraId="0EDA22FB"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 xml:space="preserve"> Widowed, separated or divorced</w:t>
            </w:r>
          </w:p>
        </w:tc>
        <w:tc>
          <w:tcPr>
            <w:tcW w:w="1418" w:type="dxa"/>
          </w:tcPr>
          <w:p w14:paraId="617CAA96" w14:textId="77777777" w:rsidR="009577BF" w:rsidRPr="006C1EBF" w:rsidRDefault="009577BF" w:rsidP="00E03168">
            <w:pPr>
              <w:tabs>
                <w:tab w:val="center" w:pos="4320"/>
                <w:tab w:val="right" w:pos="8640"/>
              </w:tabs>
              <w:jc w:val="center"/>
              <w:rPr>
                <w:rFonts w:ascii="Calibri" w:hAnsi="Calibri"/>
                <w:sz w:val="20"/>
                <w:szCs w:val="20"/>
              </w:rPr>
            </w:pPr>
          </w:p>
          <w:p w14:paraId="06A91E34"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56 (16.0%)</w:t>
            </w:r>
          </w:p>
          <w:p w14:paraId="20F85EF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169 (48.4%)</w:t>
            </w:r>
          </w:p>
          <w:p w14:paraId="73604521"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124 (35.5%)</w:t>
            </w:r>
          </w:p>
        </w:tc>
        <w:tc>
          <w:tcPr>
            <w:tcW w:w="1417" w:type="dxa"/>
          </w:tcPr>
          <w:p w14:paraId="4F48F88D" w14:textId="77777777" w:rsidR="009577BF" w:rsidRPr="006C1EBF" w:rsidRDefault="009577BF" w:rsidP="00E03168">
            <w:pPr>
              <w:tabs>
                <w:tab w:val="center" w:pos="4320"/>
                <w:tab w:val="right" w:pos="8640"/>
              </w:tabs>
              <w:jc w:val="center"/>
              <w:rPr>
                <w:rFonts w:ascii="Calibri" w:hAnsi="Calibri"/>
                <w:sz w:val="20"/>
                <w:szCs w:val="20"/>
              </w:rPr>
            </w:pPr>
          </w:p>
          <w:p w14:paraId="3D7412E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45 (17.1%)</w:t>
            </w:r>
          </w:p>
          <w:p w14:paraId="29065EB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128 (48.7%)</w:t>
            </w:r>
          </w:p>
          <w:p w14:paraId="746D80A7"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90 (34.2%)</w:t>
            </w:r>
          </w:p>
        </w:tc>
        <w:tc>
          <w:tcPr>
            <w:tcW w:w="1559" w:type="dxa"/>
          </w:tcPr>
          <w:p w14:paraId="27ED7A82" w14:textId="77777777" w:rsidR="009577BF" w:rsidRPr="006C1EBF" w:rsidRDefault="009577BF" w:rsidP="00E03168">
            <w:pPr>
              <w:tabs>
                <w:tab w:val="center" w:pos="4320"/>
                <w:tab w:val="right" w:pos="8640"/>
              </w:tabs>
              <w:jc w:val="center"/>
              <w:rPr>
                <w:rFonts w:ascii="Calibri" w:hAnsi="Calibri"/>
                <w:sz w:val="20"/>
                <w:szCs w:val="20"/>
              </w:rPr>
            </w:pPr>
          </w:p>
          <w:p w14:paraId="5C81A02C"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11 (12.8%)</w:t>
            </w:r>
          </w:p>
          <w:p w14:paraId="73EA94BE"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41 (47.7%)</w:t>
            </w:r>
          </w:p>
          <w:p w14:paraId="0959384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34 (39.5%)</w:t>
            </w:r>
          </w:p>
        </w:tc>
        <w:tc>
          <w:tcPr>
            <w:tcW w:w="1276" w:type="dxa"/>
          </w:tcPr>
          <w:p w14:paraId="3ED0F45A" w14:textId="77777777" w:rsidR="009577BF" w:rsidRPr="006C1EBF" w:rsidRDefault="009577BF" w:rsidP="00E03168">
            <w:pPr>
              <w:tabs>
                <w:tab w:val="center" w:pos="4320"/>
                <w:tab w:val="right" w:pos="8640"/>
              </w:tabs>
              <w:jc w:val="center"/>
              <w:rPr>
                <w:rFonts w:ascii="Calibri" w:hAnsi="Calibri"/>
                <w:sz w:val="20"/>
                <w:szCs w:val="20"/>
              </w:rPr>
            </w:pPr>
          </w:p>
          <w:p w14:paraId="713B047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0.53</w:t>
            </w:r>
          </w:p>
        </w:tc>
        <w:tc>
          <w:tcPr>
            <w:tcW w:w="1418" w:type="dxa"/>
          </w:tcPr>
          <w:p w14:paraId="00287A3F" w14:textId="77777777" w:rsidR="009577BF" w:rsidRPr="006C1EBF" w:rsidRDefault="009577BF" w:rsidP="00E03168">
            <w:pPr>
              <w:tabs>
                <w:tab w:val="center" w:pos="4320"/>
                <w:tab w:val="right" w:pos="8640"/>
              </w:tabs>
              <w:jc w:val="center"/>
              <w:rPr>
                <w:rFonts w:ascii="Calibri" w:hAnsi="Calibri"/>
                <w:sz w:val="20"/>
                <w:szCs w:val="20"/>
              </w:rPr>
            </w:pPr>
          </w:p>
          <w:p w14:paraId="2BE66AF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44 (16.9%)</w:t>
            </w:r>
          </w:p>
          <w:p w14:paraId="41A2B31E"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128 (49.0%)</w:t>
            </w:r>
          </w:p>
          <w:p w14:paraId="19BE53E7"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89 (34.1%)</w:t>
            </w:r>
          </w:p>
        </w:tc>
        <w:tc>
          <w:tcPr>
            <w:tcW w:w="1701" w:type="dxa"/>
          </w:tcPr>
          <w:p w14:paraId="35A57BC4" w14:textId="77777777" w:rsidR="009577BF" w:rsidRPr="006C1EBF" w:rsidRDefault="009577BF" w:rsidP="00E03168">
            <w:pPr>
              <w:tabs>
                <w:tab w:val="center" w:pos="4320"/>
                <w:tab w:val="right" w:pos="8640"/>
              </w:tabs>
              <w:jc w:val="center"/>
              <w:rPr>
                <w:rFonts w:ascii="Calibri" w:hAnsi="Calibri"/>
                <w:sz w:val="20"/>
                <w:szCs w:val="20"/>
              </w:rPr>
            </w:pPr>
          </w:p>
          <w:p w14:paraId="2889E68C"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12 (13.6%)</w:t>
            </w:r>
          </w:p>
          <w:p w14:paraId="4D5E4241"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41 (46.6%)</w:t>
            </w:r>
          </w:p>
          <w:p w14:paraId="342096B3"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35 (39.8%)</w:t>
            </w:r>
          </w:p>
        </w:tc>
        <w:tc>
          <w:tcPr>
            <w:tcW w:w="992" w:type="dxa"/>
          </w:tcPr>
          <w:p w14:paraId="614217C2" w14:textId="77777777" w:rsidR="009577BF" w:rsidRPr="006C1EBF" w:rsidRDefault="009577BF" w:rsidP="00E03168">
            <w:pPr>
              <w:tabs>
                <w:tab w:val="center" w:pos="4320"/>
                <w:tab w:val="right" w:pos="8640"/>
              </w:tabs>
              <w:jc w:val="center"/>
              <w:rPr>
                <w:rFonts w:ascii="Calibri" w:hAnsi="Calibri"/>
                <w:sz w:val="20"/>
                <w:szCs w:val="20"/>
              </w:rPr>
            </w:pPr>
          </w:p>
          <w:p w14:paraId="3F96594C"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0.58</w:t>
            </w:r>
          </w:p>
        </w:tc>
      </w:tr>
      <w:tr w:rsidR="009577BF" w:rsidRPr="006C1EBF" w14:paraId="42EE25BA" w14:textId="77777777" w:rsidTr="00E03168">
        <w:tc>
          <w:tcPr>
            <w:tcW w:w="3085" w:type="dxa"/>
          </w:tcPr>
          <w:p w14:paraId="61EB9E3B"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Living alone</w:t>
            </w:r>
          </w:p>
        </w:tc>
        <w:tc>
          <w:tcPr>
            <w:tcW w:w="1418" w:type="dxa"/>
          </w:tcPr>
          <w:p w14:paraId="272218D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126 (35.9%)</w:t>
            </w:r>
          </w:p>
        </w:tc>
        <w:tc>
          <w:tcPr>
            <w:tcW w:w="1417" w:type="dxa"/>
          </w:tcPr>
          <w:p w14:paraId="6220076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90 (34.4%)</w:t>
            </w:r>
          </w:p>
        </w:tc>
        <w:tc>
          <w:tcPr>
            <w:tcW w:w="1559" w:type="dxa"/>
          </w:tcPr>
          <w:p w14:paraId="01C8308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36 (40.4%)</w:t>
            </w:r>
          </w:p>
        </w:tc>
        <w:tc>
          <w:tcPr>
            <w:tcW w:w="1276" w:type="dxa"/>
          </w:tcPr>
          <w:p w14:paraId="77FAF43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0.31</w:t>
            </w:r>
          </w:p>
        </w:tc>
        <w:tc>
          <w:tcPr>
            <w:tcW w:w="1418" w:type="dxa"/>
          </w:tcPr>
          <w:p w14:paraId="7178239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88 (33.8%)</w:t>
            </w:r>
          </w:p>
        </w:tc>
        <w:tc>
          <w:tcPr>
            <w:tcW w:w="1701" w:type="dxa"/>
          </w:tcPr>
          <w:p w14:paraId="28FA7CE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38 (41.8%)</w:t>
            </w:r>
          </w:p>
        </w:tc>
        <w:tc>
          <w:tcPr>
            <w:tcW w:w="992" w:type="dxa"/>
          </w:tcPr>
          <w:p w14:paraId="2C97499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0.20</w:t>
            </w:r>
          </w:p>
        </w:tc>
      </w:tr>
      <w:tr w:rsidR="009577BF" w:rsidRPr="006C1EBF" w14:paraId="7F2D75E5" w14:textId="77777777" w:rsidTr="00E03168">
        <w:tc>
          <w:tcPr>
            <w:tcW w:w="3085" w:type="dxa"/>
          </w:tcPr>
          <w:p w14:paraId="452A398B"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 xml:space="preserve">Poor education </w:t>
            </w:r>
            <w:r w:rsidRPr="006C1EBF">
              <w:rPr>
                <w:rFonts w:ascii="Calibri" w:hAnsi="Calibri"/>
                <w:sz w:val="20"/>
                <w:szCs w:val="20"/>
                <w:vertAlign w:val="superscript"/>
              </w:rPr>
              <w:t>c</w:t>
            </w:r>
          </w:p>
        </w:tc>
        <w:tc>
          <w:tcPr>
            <w:tcW w:w="1418" w:type="dxa"/>
          </w:tcPr>
          <w:p w14:paraId="7FEE75B0"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266 (74.9%)</w:t>
            </w:r>
          </w:p>
        </w:tc>
        <w:tc>
          <w:tcPr>
            <w:tcW w:w="1417" w:type="dxa"/>
          </w:tcPr>
          <w:p w14:paraId="7A25EC3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190 (71.7%)</w:t>
            </w:r>
          </w:p>
        </w:tc>
        <w:tc>
          <w:tcPr>
            <w:tcW w:w="1559" w:type="dxa"/>
          </w:tcPr>
          <w:p w14:paraId="1BE460B0"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76 (84.4%)</w:t>
            </w:r>
          </w:p>
        </w:tc>
        <w:tc>
          <w:tcPr>
            <w:tcW w:w="1276" w:type="dxa"/>
          </w:tcPr>
          <w:p w14:paraId="235DFDE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0.017</w:t>
            </w:r>
          </w:p>
        </w:tc>
        <w:tc>
          <w:tcPr>
            <w:tcW w:w="1418" w:type="dxa"/>
          </w:tcPr>
          <w:p w14:paraId="67E2691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188 (71.5%)</w:t>
            </w:r>
          </w:p>
        </w:tc>
        <w:tc>
          <w:tcPr>
            <w:tcW w:w="1701" w:type="dxa"/>
          </w:tcPr>
          <w:p w14:paraId="73E5D5C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78 (84.8%)</w:t>
            </w:r>
          </w:p>
        </w:tc>
        <w:tc>
          <w:tcPr>
            <w:tcW w:w="992" w:type="dxa"/>
          </w:tcPr>
          <w:p w14:paraId="5347A90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0.012</w:t>
            </w:r>
          </w:p>
        </w:tc>
      </w:tr>
      <w:tr w:rsidR="009577BF" w:rsidRPr="006C1EBF" w14:paraId="5595AAED" w14:textId="77777777" w:rsidTr="00E03168">
        <w:tc>
          <w:tcPr>
            <w:tcW w:w="3085" w:type="dxa"/>
          </w:tcPr>
          <w:p w14:paraId="0E10BD0B"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Not working due to ill health</w:t>
            </w:r>
          </w:p>
        </w:tc>
        <w:tc>
          <w:tcPr>
            <w:tcW w:w="1418" w:type="dxa"/>
          </w:tcPr>
          <w:p w14:paraId="3331035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72 (20.3%)</w:t>
            </w:r>
          </w:p>
        </w:tc>
        <w:tc>
          <w:tcPr>
            <w:tcW w:w="1417" w:type="dxa"/>
          </w:tcPr>
          <w:p w14:paraId="7A5B2C13"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56 (21.1%)</w:t>
            </w:r>
          </w:p>
        </w:tc>
        <w:tc>
          <w:tcPr>
            <w:tcW w:w="1559" w:type="dxa"/>
          </w:tcPr>
          <w:p w14:paraId="16B6C99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16 (17.8%)</w:t>
            </w:r>
          </w:p>
        </w:tc>
        <w:tc>
          <w:tcPr>
            <w:tcW w:w="1276" w:type="dxa"/>
          </w:tcPr>
          <w:p w14:paraId="7D5F927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0.55</w:t>
            </w:r>
          </w:p>
        </w:tc>
        <w:tc>
          <w:tcPr>
            <w:tcW w:w="1418" w:type="dxa"/>
          </w:tcPr>
          <w:p w14:paraId="5682FAC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56 (21.3%)</w:t>
            </w:r>
          </w:p>
        </w:tc>
        <w:tc>
          <w:tcPr>
            <w:tcW w:w="1701" w:type="dxa"/>
          </w:tcPr>
          <w:p w14:paraId="79DBA7C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16 (17.4%)</w:t>
            </w:r>
          </w:p>
        </w:tc>
        <w:tc>
          <w:tcPr>
            <w:tcW w:w="992" w:type="dxa"/>
          </w:tcPr>
          <w:p w14:paraId="7AC0E81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0.46</w:t>
            </w:r>
          </w:p>
        </w:tc>
      </w:tr>
      <w:tr w:rsidR="009577BF" w:rsidRPr="006C1EBF" w14:paraId="7F9E8F69" w14:textId="77777777" w:rsidTr="00E03168">
        <w:tc>
          <w:tcPr>
            <w:tcW w:w="3085" w:type="dxa"/>
          </w:tcPr>
          <w:p w14:paraId="69CB32D1"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Unemployed but seeking work</w:t>
            </w:r>
          </w:p>
        </w:tc>
        <w:tc>
          <w:tcPr>
            <w:tcW w:w="1418" w:type="dxa"/>
          </w:tcPr>
          <w:p w14:paraId="33696B4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7 (2.0%)</w:t>
            </w:r>
          </w:p>
        </w:tc>
        <w:tc>
          <w:tcPr>
            <w:tcW w:w="1417" w:type="dxa"/>
          </w:tcPr>
          <w:p w14:paraId="6E450CC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7 (2.6%)</w:t>
            </w:r>
          </w:p>
        </w:tc>
        <w:tc>
          <w:tcPr>
            <w:tcW w:w="1559" w:type="dxa"/>
          </w:tcPr>
          <w:p w14:paraId="6A074E6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w:t>
            </w:r>
          </w:p>
        </w:tc>
        <w:tc>
          <w:tcPr>
            <w:tcW w:w="1276" w:type="dxa"/>
          </w:tcPr>
          <w:p w14:paraId="3556F2A0"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0.20</w:t>
            </w:r>
          </w:p>
        </w:tc>
        <w:tc>
          <w:tcPr>
            <w:tcW w:w="1418" w:type="dxa"/>
          </w:tcPr>
          <w:p w14:paraId="63A6A29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7 (2.7%)</w:t>
            </w:r>
          </w:p>
        </w:tc>
        <w:tc>
          <w:tcPr>
            <w:tcW w:w="1701" w:type="dxa"/>
          </w:tcPr>
          <w:p w14:paraId="0AB94D9C"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w:t>
            </w:r>
          </w:p>
        </w:tc>
        <w:tc>
          <w:tcPr>
            <w:tcW w:w="992" w:type="dxa"/>
          </w:tcPr>
          <w:p w14:paraId="01E314B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0.20</w:t>
            </w:r>
          </w:p>
        </w:tc>
      </w:tr>
      <w:tr w:rsidR="009577BF" w:rsidRPr="006C1EBF" w14:paraId="36BF0047" w14:textId="77777777" w:rsidTr="00E03168">
        <w:tc>
          <w:tcPr>
            <w:tcW w:w="3085" w:type="dxa"/>
          </w:tcPr>
          <w:p w14:paraId="00F0B4AC"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 xml:space="preserve">HADS anxiety 8 or more </w:t>
            </w:r>
            <w:r w:rsidRPr="006C1EBF">
              <w:rPr>
                <w:rFonts w:ascii="Calibri" w:hAnsi="Calibri"/>
                <w:sz w:val="20"/>
                <w:szCs w:val="20"/>
                <w:vertAlign w:val="superscript"/>
              </w:rPr>
              <w:t>d</w:t>
            </w:r>
          </w:p>
        </w:tc>
        <w:tc>
          <w:tcPr>
            <w:tcW w:w="1418" w:type="dxa"/>
          </w:tcPr>
          <w:p w14:paraId="2D4FE8E7"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181 (51.7%)</w:t>
            </w:r>
          </w:p>
        </w:tc>
        <w:tc>
          <w:tcPr>
            <w:tcW w:w="1417" w:type="dxa"/>
          </w:tcPr>
          <w:p w14:paraId="6DA6A52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131 (49.8%)</w:t>
            </w:r>
          </w:p>
        </w:tc>
        <w:tc>
          <w:tcPr>
            <w:tcW w:w="1559" w:type="dxa"/>
          </w:tcPr>
          <w:p w14:paraId="2D1AE090"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50 (57.5%)</w:t>
            </w:r>
          </w:p>
        </w:tc>
        <w:tc>
          <w:tcPr>
            <w:tcW w:w="1276" w:type="dxa"/>
          </w:tcPr>
          <w:p w14:paraId="7B25BB44"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0.22</w:t>
            </w:r>
          </w:p>
        </w:tc>
        <w:tc>
          <w:tcPr>
            <w:tcW w:w="1418" w:type="dxa"/>
          </w:tcPr>
          <w:p w14:paraId="718E206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130 (49.8%)</w:t>
            </w:r>
          </w:p>
        </w:tc>
        <w:tc>
          <w:tcPr>
            <w:tcW w:w="1701" w:type="dxa"/>
          </w:tcPr>
          <w:p w14:paraId="747EF83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51 (57.3%)</w:t>
            </w:r>
          </w:p>
        </w:tc>
        <w:tc>
          <w:tcPr>
            <w:tcW w:w="992" w:type="dxa"/>
          </w:tcPr>
          <w:p w14:paraId="4604871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0.27</w:t>
            </w:r>
          </w:p>
        </w:tc>
      </w:tr>
      <w:tr w:rsidR="009577BF" w:rsidRPr="006C1EBF" w14:paraId="44E01AE9" w14:textId="77777777" w:rsidTr="00E03168">
        <w:tc>
          <w:tcPr>
            <w:tcW w:w="3085" w:type="dxa"/>
          </w:tcPr>
          <w:p w14:paraId="587A80DA"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 xml:space="preserve">HADS depression 8 or more </w:t>
            </w:r>
            <w:r w:rsidRPr="006C1EBF">
              <w:rPr>
                <w:rFonts w:ascii="Calibri" w:hAnsi="Calibri"/>
                <w:sz w:val="20"/>
                <w:szCs w:val="20"/>
                <w:vertAlign w:val="superscript"/>
              </w:rPr>
              <w:t>d</w:t>
            </w:r>
          </w:p>
        </w:tc>
        <w:tc>
          <w:tcPr>
            <w:tcW w:w="1418" w:type="dxa"/>
          </w:tcPr>
          <w:p w14:paraId="6EAE1BF6"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173 (49.4%)</w:t>
            </w:r>
          </w:p>
        </w:tc>
        <w:tc>
          <w:tcPr>
            <w:tcW w:w="1417" w:type="dxa"/>
          </w:tcPr>
          <w:p w14:paraId="2873945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118 (44.9%)</w:t>
            </w:r>
          </w:p>
        </w:tc>
        <w:tc>
          <w:tcPr>
            <w:tcW w:w="1559" w:type="dxa"/>
          </w:tcPr>
          <w:p w14:paraId="750FB87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55 (63.2%)</w:t>
            </w:r>
          </w:p>
        </w:tc>
        <w:tc>
          <w:tcPr>
            <w:tcW w:w="1276" w:type="dxa"/>
          </w:tcPr>
          <w:p w14:paraId="77253AD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0.004</w:t>
            </w:r>
          </w:p>
        </w:tc>
        <w:tc>
          <w:tcPr>
            <w:tcW w:w="1418" w:type="dxa"/>
          </w:tcPr>
          <w:p w14:paraId="6A4E791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118 (45.2%)</w:t>
            </w:r>
          </w:p>
        </w:tc>
        <w:tc>
          <w:tcPr>
            <w:tcW w:w="1701" w:type="dxa"/>
          </w:tcPr>
          <w:p w14:paraId="5F88F386"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55 (61.8%)</w:t>
            </w:r>
          </w:p>
        </w:tc>
        <w:tc>
          <w:tcPr>
            <w:tcW w:w="992" w:type="dxa"/>
          </w:tcPr>
          <w:p w14:paraId="23F3390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0.007</w:t>
            </w:r>
          </w:p>
        </w:tc>
      </w:tr>
      <w:tr w:rsidR="009577BF" w:rsidRPr="006C1EBF" w14:paraId="1B0431DC" w14:textId="77777777" w:rsidTr="00E03168">
        <w:tc>
          <w:tcPr>
            <w:tcW w:w="3085" w:type="dxa"/>
          </w:tcPr>
          <w:p w14:paraId="64753429"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 xml:space="preserve">HADS total 17 or more </w:t>
            </w:r>
            <w:r w:rsidRPr="006C1EBF">
              <w:rPr>
                <w:rFonts w:ascii="Calibri" w:hAnsi="Calibri"/>
                <w:sz w:val="20"/>
                <w:szCs w:val="20"/>
                <w:vertAlign w:val="superscript"/>
              </w:rPr>
              <w:t>d</w:t>
            </w:r>
          </w:p>
        </w:tc>
        <w:tc>
          <w:tcPr>
            <w:tcW w:w="1418" w:type="dxa"/>
          </w:tcPr>
          <w:p w14:paraId="7F5EE8B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162 (46.3%)</w:t>
            </w:r>
          </w:p>
        </w:tc>
        <w:tc>
          <w:tcPr>
            <w:tcW w:w="1417" w:type="dxa"/>
          </w:tcPr>
          <w:p w14:paraId="77130D9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116 (44.1%)</w:t>
            </w:r>
          </w:p>
        </w:tc>
        <w:tc>
          <w:tcPr>
            <w:tcW w:w="1559" w:type="dxa"/>
          </w:tcPr>
          <w:p w14:paraId="30FE75E3"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46 (52.9%)</w:t>
            </w:r>
          </w:p>
        </w:tc>
        <w:tc>
          <w:tcPr>
            <w:tcW w:w="1276" w:type="dxa"/>
          </w:tcPr>
          <w:p w14:paraId="2CFD5950"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0.17</w:t>
            </w:r>
          </w:p>
        </w:tc>
        <w:tc>
          <w:tcPr>
            <w:tcW w:w="1418" w:type="dxa"/>
          </w:tcPr>
          <w:p w14:paraId="0E580F5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116 (44.4%)</w:t>
            </w:r>
          </w:p>
        </w:tc>
        <w:tc>
          <w:tcPr>
            <w:tcW w:w="1701" w:type="dxa"/>
          </w:tcPr>
          <w:p w14:paraId="6351DFDC"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46 (51.7%)</w:t>
            </w:r>
          </w:p>
        </w:tc>
        <w:tc>
          <w:tcPr>
            <w:tcW w:w="992" w:type="dxa"/>
          </w:tcPr>
          <w:p w14:paraId="5705F7E7"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0.27</w:t>
            </w:r>
          </w:p>
        </w:tc>
      </w:tr>
    </w:tbl>
    <w:p w14:paraId="0AF98FB4" w14:textId="77777777" w:rsidR="009577BF" w:rsidRPr="007E439E" w:rsidRDefault="009577BF" w:rsidP="00E03168">
      <w:pPr>
        <w:rPr>
          <w:sz w:val="20"/>
          <w:szCs w:val="20"/>
          <w:vertAlign w:val="superscript"/>
        </w:rPr>
      </w:pPr>
    </w:p>
    <w:p w14:paraId="230AAA82" w14:textId="77777777" w:rsidR="009577BF" w:rsidRPr="006C1EBF" w:rsidRDefault="009577BF" w:rsidP="00E03168">
      <w:pPr>
        <w:rPr>
          <w:rFonts w:ascii="Calibri" w:hAnsi="Calibri"/>
          <w:color w:val="000000"/>
          <w:sz w:val="18"/>
          <w:szCs w:val="18"/>
        </w:rPr>
      </w:pPr>
      <w:r w:rsidRPr="006C1EBF">
        <w:rPr>
          <w:rFonts w:ascii="Calibri" w:hAnsi="Calibri"/>
          <w:color w:val="000000"/>
          <w:sz w:val="18"/>
          <w:szCs w:val="18"/>
          <w:vertAlign w:val="superscript"/>
        </w:rPr>
        <w:t>a</w:t>
      </w:r>
      <w:r w:rsidRPr="006C1EBF">
        <w:rPr>
          <w:rFonts w:ascii="Calibri" w:hAnsi="Calibri"/>
          <w:color w:val="000000"/>
          <w:sz w:val="18"/>
          <w:szCs w:val="18"/>
        </w:rPr>
        <w:t xml:space="preserve"> comparison between 2 groups used the chi-squared test, or Fisher’s exact test, as appropriate</w:t>
      </w:r>
    </w:p>
    <w:p w14:paraId="6B3C06F4" w14:textId="77777777" w:rsidR="009577BF" w:rsidRPr="006C1EBF" w:rsidRDefault="009577BF" w:rsidP="00E03168">
      <w:pPr>
        <w:rPr>
          <w:rFonts w:ascii="Calibri" w:hAnsi="Calibri"/>
          <w:color w:val="000000"/>
          <w:sz w:val="18"/>
          <w:szCs w:val="18"/>
        </w:rPr>
      </w:pPr>
      <w:r w:rsidRPr="006C1EBF">
        <w:rPr>
          <w:rFonts w:ascii="Calibri" w:hAnsi="Calibri"/>
          <w:color w:val="000000"/>
          <w:sz w:val="18"/>
          <w:szCs w:val="18"/>
          <w:vertAlign w:val="superscript"/>
        </w:rPr>
        <w:t>b</w:t>
      </w:r>
      <w:r w:rsidRPr="006C1EBF">
        <w:rPr>
          <w:rFonts w:ascii="Calibri" w:hAnsi="Calibri"/>
          <w:color w:val="000000"/>
          <w:sz w:val="18"/>
          <w:szCs w:val="18"/>
        </w:rPr>
        <w:t xml:space="preserve"> missing data for 6 participants</w:t>
      </w:r>
    </w:p>
    <w:p w14:paraId="78E3B4A6" w14:textId="77777777" w:rsidR="009577BF" w:rsidRPr="006C1EBF" w:rsidRDefault="009577BF" w:rsidP="00E03168">
      <w:pPr>
        <w:rPr>
          <w:rFonts w:ascii="Calibri" w:hAnsi="Calibri"/>
          <w:color w:val="000000"/>
          <w:sz w:val="18"/>
          <w:szCs w:val="18"/>
        </w:rPr>
      </w:pPr>
      <w:r w:rsidRPr="006C1EBF">
        <w:rPr>
          <w:rFonts w:ascii="Calibri" w:hAnsi="Calibri"/>
          <w:color w:val="000000"/>
          <w:sz w:val="18"/>
          <w:szCs w:val="18"/>
          <w:vertAlign w:val="superscript"/>
        </w:rPr>
        <w:t>c</w:t>
      </w:r>
      <w:r w:rsidRPr="006C1EBF">
        <w:rPr>
          <w:rFonts w:ascii="Calibri" w:hAnsi="Calibri"/>
          <w:color w:val="000000"/>
          <w:sz w:val="18"/>
          <w:szCs w:val="18"/>
        </w:rPr>
        <w:t xml:space="preserve"> poor education defined by not having any GCSE’s, O levels or higher</w:t>
      </w:r>
    </w:p>
    <w:p w14:paraId="529647CE" w14:textId="77777777" w:rsidR="009577BF" w:rsidRPr="006C1EBF" w:rsidRDefault="009577BF" w:rsidP="00E03168">
      <w:pPr>
        <w:rPr>
          <w:rFonts w:ascii="Calibri" w:hAnsi="Calibri"/>
          <w:color w:val="000000"/>
          <w:sz w:val="18"/>
          <w:szCs w:val="18"/>
        </w:rPr>
      </w:pPr>
      <w:r w:rsidRPr="006C1EBF">
        <w:rPr>
          <w:rFonts w:ascii="Calibri" w:hAnsi="Calibri"/>
          <w:color w:val="000000"/>
          <w:sz w:val="18"/>
          <w:szCs w:val="18"/>
          <w:vertAlign w:val="superscript"/>
        </w:rPr>
        <w:t>d</w:t>
      </w:r>
      <w:r w:rsidRPr="006C1EBF">
        <w:rPr>
          <w:rFonts w:ascii="Calibri" w:hAnsi="Calibri"/>
          <w:color w:val="000000"/>
          <w:sz w:val="18"/>
          <w:szCs w:val="18"/>
        </w:rPr>
        <w:t xml:space="preserve"> missing data for 5 participants</w:t>
      </w:r>
    </w:p>
    <w:p w14:paraId="6A4D7B48" w14:textId="77777777" w:rsidR="009577BF" w:rsidRDefault="009577BF" w:rsidP="00E03168">
      <w:pPr>
        <w:pStyle w:val="NormalWeb"/>
        <w:spacing w:before="0" w:after="0" w:line="480" w:lineRule="auto"/>
        <w:rPr>
          <w:rFonts w:ascii="Calibri" w:eastAsia="Times New Roman" w:hAnsi="Calibri" w:cs="Times New Roman"/>
          <w:sz w:val="22"/>
          <w:szCs w:val="22"/>
        </w:rPr>
      </w:pPr>
    </w:p>
    <w:p w14:paraId="397F6401" w14:textId="77777777" w:rsidR="009577BF" w:rsidRDefault="009577BF" w:rsidP="00E03168">
      <w:pPr>
        <w:pStyle w:val="NormalWeb"/>
        <w:spacing w:before="0" w:after="0" w:line="480" w:lineRule="auto"/>
        <w:rPr>
          <w:rFonts w:ascii="Calibri" w:eastAsia="Times New Roman" w:hAnsi="Calibri" w:cs="Times New Roman"/>
          <w:sz w:val="22"/>
          <w:szCs w:val="22"/>
        </w:rPr>
      </w:pPr>
    </w:p>
    <w:p w14:paraId="672C54F3" w14:textId="77777777" w:rsidR="009577BF" w:rsidRDefault="009577BF" w:rsidP="00E03168">
      <w:pPr>
        <w:pStyle w:val="NormalWeb"/>
        <w:spacing w:before="0" w:after="0" w:line="480" w:lineRule="auto"/>
        <w:rPr>
          <w:rFonts w:ascii="Calibri" w:eastAsia="Times New Roman" w:hAnsi="Calibri" w:cs="Times New Roman"/>
          <w:sz w:val="22"/>
          <w:szCs w:val="22"/>
        </w:rPr>
      </w:pPr>
    </w:p>
    <w:p w14:paraId="2AC3DF45" w14:textId="77777777" w:rsidR="009577BF" w:rsidRDefault="009577BF" w:rsidP="00E03168">
      <w:pPr>
        <w:pStyle w:val="NormalWeb"/>
        <w:spacing w:before="0" w:after="0" w:line="480" w:lineRule="auto"/>
        <w:rPr>
          <w:rFonts w:ascii="Calibri" w:eastAsia="Times New Roman" w:hAnsi="Calibri" w:cs="Times New Roman"/>
          <w:sz w:val="22"/>
          <w:szCs w:val="22"/>
        </w:rPr>
      </w:pPr>
    </w:p>
    <w:p w14:paraId="3759309C" w14:textId="77777777" w:rsidR="009577BF" w:rsidRDefault="009577BF" w:rsidP="00E03168">
      <w:pPr>
        <w:pStyle w:val="NormalWeb"/>
        <w:spacing w:before="0" w:after="0" w:line="480" w:lineRule="auto"/>
        <w:rPr>
          <w:rFonts w:ascii="Calibri" w:eastAsia="Times New Roman" w:hAnsi="Calibri" w:cs="Times New Roman"/>
          <w:sz w:val="22"/>
          <w:szCs w:val="22"/>
        </w:rPr>
        <w:sectPr w:rsidR="009577BF" w:rsidSect="00E03168">
          <w:pgSz w:w="16840" w:h="11900" w:orient="landscape"/>
          <w:pgMar w:top="1440" w:right="1440" w:bottom="1440" w:left="1440" w:header="709" w:footer="709" w:gutter="0"/>
          <w:cols w:space="720"/>
        </w:sectPr>
      </w:pPr>
    </w:p>
    <w:p w14:paraId="73AAA2A4" w14:textId="24320B6F" w:rsidR="009577BF" w:rsidRDefault="009577BF" w:rsidP="00E03168">
      <w:pPr>
        <w:pStyle w:val="NormalWeb"/>
        <w:spacing w:before="0" w:after="0" w:line="360" w:lineRule="auto"/>
        <w:rPr>
          <w:rFonts w:ascii="Calibri" w:eastAsia="Times New Roman" w:hAnsi="Calibri" w:cs="Times New Roman"/>
          <w:sz w:val="22"/>
          <w:szCs w:val="22"/>
        </w:rPr>
      </w:pPr>
      <w:r>
        <w:rPr>
          <w:rFonts w:ascii="Calibri" w:eastAsia="Times New Roman" w:hAnsi="Calibri" w:cs="Times New Roman"/>
          <w:sz w:val="22"/>
          <w:szCs w:val="22"/>
        </w:rPr>
        <w:lastRenderedPageBreak/>
        <w:t xml:space="preserve">Table 3 shows the results of the predictive models </w:t>
      </w:r>
      <w:r w:rsidR="009D040F">
        <w:rPr>
          <w:rFonts w:ascii="Calibri" w:eastAsia="Times New Roman" w:hAnsi="Calibri" w:cs="Times New Roman"/>
          <w:sz w:val="22"/>
          <w:szCs w:val="22"/>
        </w:rPr>
        <w:t xml:space="preserve">for the 350 patients who completed the </w:t>
      </w:r>
      <w:r w:rsidR="00AA23BD">
        <w:rPr>
          <w:rFonts w:ascii="Calibri" w:eastAsia="Times New Roman" w:hAnsi="Calibri" w:cs="Times New Roman"/>
          <w:sz w:val="22"/>
          <w:szCs w:val="22"/>
        </w:rPr>
        <w:t xml:space="preserve">HADS </w:t>
      </w:r>
      <w:r w:rsidR="009D040F">
        <w:rPr>
          <w:rFonts w:ascii="Calibri" w:eastAsia="Times New Roman" w:hAnsi="Calibri" w:cs="Times New Roman"/>
          <w:sz w:val="22"/>
          <w:szCs w:val="22"/>
        </w:rPr>
        <w:t xml:space="preserve">questionnaire, with ED attendance and emergency admission </w:t>
      </w:r>
      <w:r w:rsidR="00093DAF">
        <w:rPr>
          <w:rFonts w:ascii="Calibri" w:eastAsia="Times New Roman" w:hAnsi="Calibri" w:cs="Times New Roman"/>
          <w:sz w:val="22"/>
          <w:szCs w:val="22"/>
        </w:rPr>
        <w:t xml:space="preserve">in the follow-up year </w:t>
      </w:r>
      <w:r w:rsidR="009D040F">
        <w:rPr>
          <w:rFonts w:ascii="Calibri" w:eastAsia="Times New Roman" w:hAnsi="Calibri" w:cs="Times New Roman"/>
          <w:sz w:val="22"/>
          <w:szCs w:val="22"/>
        </w:rPr>
        <w:t>as the independent variables. The following</w:t>
      </w:r>
      <w:r w:rsidR="00AA23BD">
        <w:rPr>
          <w:rFonts w:ascii="Calibri" w:eastAsia="Times New Roman" w:hAnsi="Calibri" w:cs="Times New Roman"/>
          <w:sz w:val="22"/>
          <w:szCs w:val="22"/>
        </w:rPr>
        <w:t xml:space="preserve"> </w:t>
      </w:r>
      <w:r w:rsidR="009D040F">
        <w:rPr>
          <w:rFonts w:ascii="Calibri" w:eastAsia="Times New Roman" w:hAnsi="Calibri" w:cs="Times New Roman"/>
          <w:sz w:val="22"/>
          <w:szCs w:val="22"/>
        </w:rPr>
        <w:t xml:space="preserve">variables were included in both models: age per 10 years, number of physical diagnoses according to QOF, severity of COPD, prior use of unscheduled care in the pre-baseline year and a HADS depression score of 8 or more. </w:t>
      </w:r>
    </w:p>
    <w:p w14:paraId="742E62D7" w14:textId="77777777" w:rsidR="009577BF" w:rsidRDefault="009577BF" w:rsidP="00E03168">
      <w:pPr>
        <w:pStyle w:val="NormalWeb"/>
        <w:spacing w:before="0" w:after="0" w:line="360" w:lineRule="auto"/>
        <w:rPr>
          <w:rFonts w:ascii="Calibri" w:eastAsia="Times New Roman" w:hAnsi="Calibri" w:cs="Times New Roman"/>
          <w:sz w:val="22"/>
          <w:szCs w:val="22"/>
        </w:rPr>
      </w:pPr>
    </w:p>
    <w:p w14:paraId="3292B649" w14:textId="666A19A3" w:rsidR="009577BF" w:rsidRPr="007E3F23" w:rsidRDefault="009577BF" w:rsidP="00E03168">
      <w:pPr>
        <w:pStyle w:val="NormalWeb"/>
        <w:spacing w:before="0" w:after="0" w:line="360" w:lineRule="auto"/>
        <w:rPr>
          <w:rFonts w:ascii="Calibri" w:eastAsia="Times New Roman" w:hAnsi="Calibri" w:cs="Times New Roman"/>
          <w:sz w:val="22"/>
          <w:szCs w:val="22"/>
        </w:rPr>
      </w:pPr>
      <w:r w:rsidRPr="007E3F23">
        <w:rPr>
          <w:rFonts w:ascii="Calibri" w:eastAsia="Times New Roman" w:hAnsi="Calibri" w:cs="Times New Roman"/>
          <w:sz w:val="22"/>
          <w:szCs w:val="22"/>
        </w:rPr>
        <w:t xml:space="preserve">When these analyses were repeated using HADS anxiety instead of depression; anxiety was </w:t>
      </w:r>
      <w:r w:rsidR="0057158E">
        <w:rPr>
          <w:rFonts w:ascii="Calibri" w:eastAsia="Times New Roman" w:hAnsi="Calibri" w:cs="Times New Roman"/>
          <w:sz w:val="22"/>
          <w:szCs w:val="22"/>
        </w:rPr>
        <w:t>not</w:t>
      </w:r>
      <w:r w:rsidRPr="007E3F23">
        <w:rPr>
          <w:rFonts w:ascii="Calibri" w:eastAsia="Times New Roman" w:hAnsi="Calibri" w:cs="Times New Roman"/>
          <w:sz w:val="22"/>
          <w:szCs w:val="22"/>
        </w:rPr>
        <w:t xml:space="preserve">  </w:t>
      </w:r>
      <w:r w:rsidR="0057158E">
        <w:rPr>
          <w:rFonts w:ascii="Calibri" w:eastAsia="Times New Roman" w:hAnsi="Calibri" w:cs="Times New Roman"/>
          <w:sz w:val="22"/>
          <w:szCs w:val="22"/>
        </w:rPr>
        <w:t xml:space="preserve">a </w:t>
      </w:r>
      <w:r w:rsidRPr="007E3F23">
        <w:rPr>
          <w:rFonts w:ascii="Calibri" w:eastAsia="Times New Roman" w:hAnsi="Calibri" w:cs="Times New Roman"/>
          <w:sz w:val="22"/>
          <w:szCs w:val="22"/>
        </w:rPr>
        <w:t>signifi</w:t>
      </w:r>
      <w:r w:rsidR="0057158E">
        <w:rPr>
          <w:rFonts w:ascii="Calibri" w:eastAsia="Times New Roman" w:hAnsi="Calibri" w:cs="Times New Roman"/>
          <w:sz w:val="22"/>
          <w:szCs w:val="22"/>
        </w:rPr>
        <w:t xml:space="preserve">cant risk factor for ED attendance </w:t>
      </w:r>
      <w:r w:rsidRPr="007E3F23">
        <w:rPr>
          <w:rFonts w:ascii="Calibri" w:eastAsia="Times New Roman" w:hAnsi="Calibri" w:cs="Times New Roman"/>
          <w:sz w:val="22"/>
          <w:szCs w:val="22"/>
        </w:rPr>
        <w:t xml:space="preserve"> (odds ratio=1.80, 95% CI 1.00 to 3.24, p=0.051</w:t>
      </w:r>
      <w:r w:rsidR="0057158E">
        <w:rPr>
          <w:rFonts w:ascii="Calibri" w:eastAsia="Times New Roman" w:hAnsi="Calibri" w:cs="Times New Roman"/>
          <w:sz w:val="22"/>
          <w:szCs w:val="22"/>
        </w:rPr>
        <w:t>)</w:t>
      </w:r>
      <w:r w:rsidRPr="007E3F23">
        <w:rPr>
          <w:rFonts w:ascii="Calibri" w:eastAsia="Times New Roman" w:hAnsi="Calibri" w:cs="Times New Roman"/>
          <w:sz w:val="22"/>
          <w:szCs w:val="22"/>
        </w:rPr>
        <w:t xml:space="preserve"> </w:t>
      </w:r>
      <w:r w:rsidR="0057158E">
        <w:rPr>
          <w:rFonts w:ascii="Calibri" w:eastAsia="Times New Roman" w:hAnsi="Calibri" w:cs="Times New Roman"/>
          <w:sz w:val="22"/>
          <w:szCs w:val="22"/>
        </w:rPr>
        <w:t>but was significant for emergency admissions (</w:t>
      </w:r>
      <w:r w:rsidRPr="007E3F23">
        <w:rPr>
          <w:rFonts w:ascii="Calibri" w:eastAsia="Times New Roman" w:hAnsi="Calibri" w:cs="Times New Roman"/>
          <w:sz w:val="22"/>
          <w:szCs w:val="22"/>
        </w:rPr>
        <w:t xml:space="preserve">odds ratio=1.92, 95%CI 1.07 to 3.44, p=0.028 for emergency admissions). </w:t>
      </w:r>
    </w:p>
    <w:p w14:paraId="4167E2D0" w14:textId="77777777" w:rsidR="009577BF" w:rsidRPr="007E3F23" w:rsidRDefault="009577BF" w:rsidP="00E03168">
      <w:pPr>
        <w:pStyle w:val="NormalWeb"/>
        <w:spacing w:before="0" w:after="0" w:line="360" w:lineRule="auto"/>
        <w:rPr>
          <w:rFonts w:ascii="Calibri" w:eastAsia="Times New Roman" w:hAnsi="Calibri" w:cs="Times New Roman"/>
          <w:sz w:val="22"/>
          <w:szCs w:val="22"/>
        </w:rPr>
      </w:pPr>
    </w:p>
    <w:p w14:paraId="49752CAA" w14:textId="0F666A72" w:rsidR="009577BF" w:rsidRPr="006C1EBF" w:rsidRDefault="009577BF" w:rsidP="00E03168">
      <w:pPr>
        <w:rPr>
          <w:rFonts w:ascii="Calibri" w:hAnsi="Calibri"/>
          <w:sz w:val="22"/>
          <w:szCs w:val="22"/>
        </w:rPr>
      </w:pPr>
      <w:r w:rsidRPr="006C1EBF">
        <w:rPr>
          <w:rFonts w:ascii="Calibri" w:hAnsi="Calibri"/>
          <w:sz w:val="22"/>
          <w:szCs w:val="22"/>
        </w:rPr>
        <w:t xml:space="preserve">Table 3:  Odds ratios of potential risk factors for ED attendance and emergency hospital admissions in the </w:t>
      </w:r>
      <w:r w:rsidR="00093DAF">
        <w:rPr>
          <w:rFonts w:ascii="Calibri" w:hAnsi="Calibri"/>
          <w:sz w:val="22"/>
          <w:szCs w:val="22"/>
        </w:rPr>
        <w:t xml:space="preserve">follow-up </w:t>
      </w:r>
      <w:r w:rsidRPr="006C1EBF">
        <w:rPr>
          <w:rFonts w:ascii="Calibri" w:hAnsi="Calibri"/>
          <w:sz w:val="22"/>
          <w:szCs w:val="22"/>
        </w:rPr>
        <w:t>year</w:t>
      </w:r>
      <w:r w:rsidR="00AA23BD">
        <w:rPr>
          <w:rFonts w:ascii="Calibri" w:hAnsi="Calibri"/>
          <w:sz w:val="22"/>
          <w:szCs w:val="22"/>
        </w:rPr>
        <w:t xml:space="preserve"> (n=350)</w:t>
      </w:r>
    </w:p>
    <w:p w14:paraId="2F3F4D33" w14:textId="77777777" w:rsidR="009577BF" w:rsidRPr="006C1EBF" w:rsidRDefault="009577BF" w:rsidP="00E03168">
      <w:pPr>
        <w:rPr>
          <w:rFonts w:ascii="Calibri" w:hAnsi="Calibr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51"/>
        <w:gridCol w:w="1701"/>
        <w:gridCol w:w="1134"/>
        <w:gridCol w:w="850"/>
        <w:gridCol w:w="1559"/>
        <w:gridCol w:w="993"/>
      </w:tblGrid>
      <w:tr w:rsidR="009577BF" w:rsidRPr="006C1EBF" w14:paraId="6ABC9984" w14:textId="77777777" w:rsidTr="003E752D">
        <w:tc>
          <w:tcPr>
            <w:tcW w:w="1951" w:type="dxa"/>
          </w:tcPr>
          <w:p w14:paraId="1F75DC22"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Potential Risk factor</w:t>
            </w:r>
          </w:p>
        </w:tc>
        <w:tc>
          <w:tcPr>
            <w:tcW w:w="3686" w:type="dxa"/>
            <w:gridSpan w:val="3"/>
          </w:tcPr>
          <w:p w14:paraId="078ABB21" w14:textId="670E3DED"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DV=</w:t>
            </w:r>
            <w:r w:rsidR="00734D6F">
              <w:rPr>
                <w:rFonts w:ascii="Calibri" w:hAnsi="Calibri"/>
                <w:sz w:val="20"/>
                <w:szCs w:val="20"/>
              </w:rPr>
              <w:t>ED</w:t>
            </w:r>
            <w:r w:rsidRPr="006C1EBF">
              <w:rPr>
                <w:rFonts w:ascii="Calibri" w:hAnsi="Calibri"/>
                <w:sz w:val="20"/>
                <w:szCs w:val="20"/>
              </w:rPr>
              <w:t xml:space="preserve"> </w:t>
            </w:r>
          </w:p>
        </w:tc>
        <w:tc>
          <w:tcPr>
            <w:tcW w:w="3402" w:type="dxa"/>
            <w:gridSpan w:val="3"/>
          </w:tcPr>
          <w:p w14:paraId="70398BF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 xml:space="preserve">DV=Emergency admission </w:t>
            </w:r>
          </w:p>
        </w:tc>
      </w:tr>
      <w:tr w:rsidR="009577BF" w:rsidRPr="006C1EBF" w14:paraId="5365D501" w14:textId="77777777" w:rsidTr="003E752D">
        <w:tc>
          <w:tcPr>
            <w:tcW w:w="1951" w:type="dxa"/>
          </w:tcPr>
          <w:p w14:paraId="605A3BBC" w14:textId="77777777" w:rsidR="009577BF" w:rsidRPr="006C1EBF" w:rsidRDefault="009577BF" w:rsidP="00E03168">
            <w:pPr>
              <w:tabs>
                <w:tab w:val="center" w:pos="4320"/>
                <w:tab w:val="right" w:pos="8640"/>
              </w:tabs>
              <w:rPr>
                <w:rFonts w:ascii="Calibri" w:hAnsi="Calibri"/>
                <w:sz w:val="20"/>
                <w:szCs w:val="20"/>
              </w:rPr>
            </w:pPr>
          </w:p>
        </w:tc>
        <w:tc>
          <w:tcPr>
            <w:tcW w:w="851" w:type="dxa"/>
          </w:tcPr>
          <w:p w14:paraId="00B292E3"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OR</w:t>
            </w:r>
          </w:p>
        </w:tc>
        <w:tc>
          <w:tcPr>
            <w:tcW w:w="1701" w:type="dxa"/>
          </w:tcPr>
          <w:p w14:paraId="5DB9BE0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95% CI</w:t>
            </w:r>
          </w:p>
        </w:tc>
        <w:tc>
          <w:tcPr>
            <w:tcW w:w="1134" w:type="dxa"/>
          </w:tcPr>
          <w:p w14:paraId="39BC92F3"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Sig</w:t>
            </w:r>
          </w:p>
        </w:tc>
        <w:tc>
          <w:tcPr>
            <w:tcW w:w="850" w:type="dxa"/>
          </w:tcPr>
          <w:p w14:paraId="125E4940"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OR</w:t>
            </w:r>
          </w:p>
        </w:tc>
        <w:tc>
          <w:tcPr>
            <w:tcW w:w="1559" w:type="dxa"/>
          </w:tcPr>
          <w:p w14:paraId="462CCEF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95% CI</w:t>
            </w:r>
          </w:p>
        </w:tc>
        <w:tc>
          <w:tcPr>
            <w:tcW w:w="993" w:type="dxa"/>
          </w:tcPr>
          <w:p w14:paraId="400D258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Sig</w:t>
            </w:r>
          </w:p>
        </w:tc>
      </w:tr>
      <w:tr w:rsidR="009577BF" w:rsidRPr="006C1EBF" w14:paraId="72A09210" w14:textId="77777777" w:rsidTr="003E752D">
        <w:tc>
          <w:tcPr>
            <w:tcW w:w="1951" w:type="dxa"/>
          </w:tcPr>
          <w:p w14:paraId="04A97836"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Age per 10 years</w:t>
            </w:r>
          </w:p>
        </w:tc>
        <w:tc>
          <w:tcPr>
            <w:tcW w:w="851" w:type="dxa"/>
          </w:tcPr>
          <w:p w14:paraId="747551D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1.59</w:t>
            </w:r>
          </w:p>
        </w:tc>
        <w:tc>
          <w:tcPr>
            <w:tcW w:w="1701" w:type="dxa"/>
          </w:tcPr>
          <w:p w14:paraId="53D23F2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1.11 to 2.28</w:t>
            </w:r>
          </w:p>
        </w:tc>
        <w:tc>
          <w:tcPr>
            <w:tcW w:w="1134" w:type="dxa"/>
          </w:tcPr>
          <w:p w14:paraId="43CCEFD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0.011</w:t>
            </w:r>
          </w:p>
        </w:tc>
        <w:tc>
          <w:tcPr>
            <w:tcW w:w="850" w:type="dxa"/>
          </w:tcPr>
          <w:p w14:paraId="281ADC6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1.51</w:t>
            </w:r>
          </w:p>
        </w:tc>
        <w:tc>
          <w:tcPr>
            <w:tcW w:w="1559" w:type="dxa"/>
          </w:tcPr>
          <w:p w14:paraId="29875E6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1.06 to 2.15</w:t>
            </w:r>
          </w:p>
        </w:tc>
        <w:tc>
          <w:tcPr>
            <w:tcW w:w="993" w:type="dxa"/>
          </w:tcPr>
          <w:p w14:paraId="493E35BE"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0.023</w:t>
            </w:r>
          </w:p>
        </w:tc>
      </w:tr>
      <w:tr w:rsidR="009577BF" w:rsidRPr="006C1EBF" w14:paraId="5D5F7FC6" w14:textId="77777777" w:rsidTr="003E752D">
        <w:tc>
          <w:tcPr>
            <w:tcW w:w="1951" w:type="dxa"/>
          </w:tcPr>
          <w:p w14:paraId="15105A10"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Number of physical QOF diagnoses</w:t>
            </w:r>
          </w:p>
        </w:tc>
        <w:tc>
          <w:tcPr>
            <w:tcW w:w="851" w:type="dxa"/>
          </w:tcPr>
          <w:p w14:paraId="2F5BE12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1.21</w:t>
            </w:r>
          </w:p>
        </w:tc>
        <w:tc>
          <w:tcPr>
            <w:tcW w:w="1701" w:type="dxa"/>
          </w:tcPr>
          <w:p w14:paraId="72DA01C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0.99 to 1.49</w:t>
            </w:r>
          </w:p>
        </w:tc>
        <w:tc>
          <w:tcPr>
            <w:tcW w:w="1134" w:type="dxa"/>
          </w:tcPr>
          <w:p w14:paraId="3083940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0.063</w:t>
            </w:r>
          </w:p>
        </w:tc>
        <w:tc>
          <w:tcPr>
            <w:tcW w:w="850" w:type="dxa"/>
          </w:tcPr>
          <w:p w14:paraId="42D37F54"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1.23</w:t>
            </w:r>
          </w:p>
        </w:tc>
        <w:tc>
          <w:tcPr>
            <w:tcW w:w="1559" w:type="dxa"/>
          </w:tcPr>
          <w:p w14:paraId="46C893B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1.01 to 1.51</w:t>
            </w:r>
          </w:p>
        </w:tc>
        <w:tc>
          <w:tcPr>
            <w:tcW w:w="993" w:type="dxa"/>
          </w:tcPr>
          <w:p w14:paraId="17D83B16"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0.043</w:t>
            </w:r>
          </w:p>
        </w:tc>
      </w:tr>
      <w:tr w:rsidR="009577BF" w:rsidRPr="006C1EBF" w14:paraId="17CFD932" w14:textId="77777777" w:rsidTr="003E752D">
        <w:tc>
          <w:tcPr>
            <w:tcW w:w="1951" w:type="dxa"/>
          </w:tcPr>
          <w:p w14:paraId="33B5C564"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Severity of COPD</w:t>
            </w:r>
          </w:p>
        </w:tc>
        <w:tc>
          <w:tcPr>
            <w:tcW w:w="851" w:type="dxa"/>
          </w:tcPr>
          <w:p w14:paraId="5F626DD6"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1.54</w:t>
            </w:r>
          </w:p>
        </w:tc>
        <w:tc>
          <w:tcPr>
            <w:tcW w:w="1701" w:type="dxa"/>
          </w:tcPr>
          <w:p w14:paraId="5E1C82C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1.03 to 2.30</w:t>
            </w:r>
          </w:p>
        </w:tc>
        <w:tc>
          <w:tcPr>
            <w:tcW w:w="1134" w:type="dxa"/>
          </w:tcPr>
          <w:p w14:paraId="06D21CE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0.036</w:t>
            </w:r>
          </w:p>
        </w:tc>
        <w:tc>
          <w:tcPr>
            <w:tcW w:w="850" w:type="dxa"/>
          </w:tcPr>
          <w:p w14:paraId="45ABB97C"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1.53</w:t>
            </w:r>
          </w:p>
        </w:tc>
        <w:tc>
          <w:tcPr>
            <w:tcW w:w="1559" w:type="dxa"/>
          </w:tcPr>
          <w:p w14:paraId="67F7B5A4"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1.03 to 2.28</w:t>
            </w:r>
          </w:p>
        </w:tc>
        <w:tc>
          <w:tcPr>
            <w:tcW w:w="993" w:type="dxa"/>
          </w:tcPr>
          <w:p w14:paraId="25004E7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0.037</w:t>
            </w:r>
          </w:p>
        </w:tc>
      </w:tr>
      <w:tr w:rsidR="009577BF" w:rsidRPr="006C1EBF" w14:paraId="7A2AB20F" w14:textId="77777777" w:rsidTr="003E752D">
        <w:tc>
          <w:tcPr>
            <w:tcW w:w="1951" w:type="dxa"/>
          </w:tcPr>
          <w:p w14:paraId="1BCC0718"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 xml:space="preserve">Used UC in the pre-baseline year </w:t>
            </w:r>
            <w:r w:rsidRPr="006C1EBF">
              <w:rPr>
                <w:rFonts w:ascii="Calibri" w:hAnsi="Calibri"/>
                <w:sz w:val="20"/>
                <w:szCs w:val="20"/>
                <w:vertAlign w:val="superscript"/>
              </w:rPr>
              <w:t>a</w:t>
            </w:r>
          </w:p>
        </w:tc>
        <w:tc>
          <w:tcPr>
            <w:tcW w:w="851" w:type="dxa"/>
          </w:tcPr>
          <w:p w14:paraId="7D38D27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2.37</w:t>
            </w:r>
          </w:p>
        </w:tc>
        <w:tc>
          <w:tcPr>
            <w:tcW w:w="1701" w:type="dxa"/>
          </w:tcPr>
          <w:p w14:paraId="07EF52F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1.36 to 4.14</w:t>
            </w:r>
          </w:p>
        </w:tc>
        <w:tc>
          <w:tcPr>
            <w:tcW w:w="1134" w:type="dxa"/>
          </w:tcPr>
          <w:p w14:paraId="034F5E1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0.002</w:t>
            </w:r>
          </w:p>
        </w:tc>
        <w:tc>
          <w:tcPr>
            <w:tcW w:w="850" w:type="dxa"/>
          </w:tcPr>
          <w:p w14:paraId="16D9A2A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2.05</w:t>
            </w:r>
          </w:p>
        </w:tc>
        <w:tc>
          <w:tcPr>
            <w:tcW w:w="1559" w:type="dxa"/>
          </w:tcPr>
          <w:p w14:paraId="3642862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1.08 to 3.89</w:t>
            </w:r>
          </w:p>
        </w:tc>
        <w:tc>
          <w:tcPr>
            <w:tcW w:w="993" w:type="dxa"/>
          </w:tcPr>
          <w:p w14:paraId="3121D66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0.028</w:t>
            </w:r>
          </w:p>
        </w:tc>
      </w:tr>
      <w:tr w:rsidR="009577BF" w:rsidRPr="006C1EBF" w14:paraId="5BA824F4" w14:textId="77777777" w:rsidTr="003E752D">
        <w:tc>
          <w:tcPr>
            <w:tcW w:w="1951" w:type="dxa"/>
          </w:tcPr>
          <w:p w14:paraId="52FDF3B1"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HADS depression score ≥8</w:t>
            </w:r>
          </w:p>
        </w:tc>
        <w:tc>
          <w:tcPr>
            <w:tcW w:w="851" w:type="dxa"/>
          </w:tcPr>
          <w:p w14:paraId="737AAC1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2.78</w:t>
            </w:r>
          </w:p>
        </w:tc>
        <w:tc>
          <w:tcPr>
            <w:tcW w:w="1701" w:type="dxa"/>
          </w:tcPr>
          <w:p w14:paraId="44289937"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1.55 to 4.99</w:t>
            </w:r>
          </w:p>
        </w:tc>
        <w:tc>
          <w:tcPr>
            <w:tcW w:w="1134" w:type="dxa"/>
          </w:tcPr>
          <w:p w14:paraId="648AA8EC"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0.001</w:t>
            </w:r>
          </w:p>
        </w:tc>
        <w:tc>
          <w:tcPr>
            <w:tcW w:w="850" w:type="dxa"/>
          </w:tcPr>
          <w:p w14:paraId="367F4CB0"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2.63</w:t>
            </w:r>
          </w:p>
        </w:tc>
        <w:tc>
          <w:tcPr>
            <w:tcW w:w="1559" w:type="dxa"/>
          </w:tcPr>
          <w:p w14:paraId="4CADC571"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1.48 to 4.66</w:t>
            </w:r>
          </w:p>
        </w:tc>
        <w:tc>
          <w:tcPr>
            <w:tcW w:w="993" w:type="dxa"/>
          </w:tcPr>
          <w:p w14:paraId="417C612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0.001</w:t>
            </w:r>
          </w:p>
        </w:tc>
      </w:tr>
    </w:tbl>
    <w:p w14:paraId="5C9E9448" w14:textId="77777777" w:rsidR="009577BF" w:rsidRPr="006C1EBF" w:rsidRDefault="009577BF" w:rsidP="00E03168">
      <w:pPr>
        <w:rPr>
          <w:rFonts w:ascii="Calibri" w:hAnsi="Calibri"/>
          <w:b/>
          <w:sz w:val="20"/>
          <w:szCs w:val="20"/>
          <w:vertAlign w:val="superscript"/>
        </w:rPr>
      </w:pPr>
    </w:p>
    <w:p w14:paraId="4AAB80B9" w14:textId="286A94E0" w:rsidR="009577BF" w:rsidRDefault="009577BF" w:rsidP="00E03168">
      <w:pPr>
        <w:rPr>
          <w:rFonts w:ascii="Calibri" w:hAnsi="Calibri"/>
          <w:sz w:val="20"/>
          <w:szCs w:val="20"/>
        </w:rPr>
      </w:pPr>
      <w:r w:rsidRPr="006C1EBF">
        <w:rPr>
          <w:rFonts w:ascii="Calibri" w:hAnsi="Calibri"/>
          <w:sz w:val="20"/>
          <w:szCs w:val="20"/>
          <w:vertAlign w:val="superscript"/>
        </w:rPr>
        <w:t>a</w:t>
      </w:r>
      <w:r w:rsidRPr="006C1EBF">
        <w:rPr>
          <w:rFonts w:ascii="Calibri" w:hAnsi="Calibri"/>
          <w:sz w:val="20"/>
          <w:szCs w:val="20"/>
        </w:rPr>
        <w:t xml:space="preserve"> UC= unscheduled care, ED attendance in pre-baseline year for ED attendance in prospective year, and emergency admissions in pre-baseline year for emergency admissions in </w:t>
      </w:r>
      <w:r w:rsidR="00093DAF">
        <w:rPr>
          <w:rFonts w:ascii="Calibri" w:hAnsi="Calibri"/>
          <w:sz w:val="20"/>
          <w:szCs w:val="20"/>
        </w:rPr>
        <w:t>the follow-up</w:t>
      </w:r>
      <w:r w:rsidRPr="006C1EBF">
        <w:rPr>
          <w:rFonts w:ascii="Calibri" w:hAnsi="Calibri"/>
          <w:sz w:val="20"/>
          <w:szCs w:val="20"/>
        </w:rPr>
        <w:t>year</w:t>
      </w:r>
    </w:p>
    <w:p w14:paraId="69CCD232" w14:textId="76765FA0" w:rsidR="00734D6F" w:rsidRPr="006C1EBF" w:rsidRDefault="00734D6F" w:rsidP="00E03168">
      <w:pPr>
        <w:rPr>
          <w:rFonts w:ascii="Calibri" w:hAnsi="Calibri"/>
          <w:sz w:val="20"/>
          <w:szCs w:val="20"/>
        </w:rPr>
      </w:pPr>
      <w:r>
        <w:rPr>
          <w:rFonts w:ascii="Calibri" w:hAnsi="Calibri"/>
          <w:sz w:val="20"/>
          <w:szCs w:val="20"/>
        </w:rPr>
        <w:t>DV- Dependent Variable</w:t>
      </w:r>
    </w:p>
    <w:p w14:paraId="307608A2" w14:textId="77777777" w:rsidR="009577BF" w:rsidRDefault="009577BF" w:rsidP="00E03168">
      <w:pPr>
        <w:pStyle w:val="NormalWeb"/>
        <w:spacing w:before="0" w:after="0" w:line="480" w:lineRule="auto"/>
        <w:rPr>
          <w:rFonts w:ascii="Calibri" w:hAnsi="Calibri" w:cs="Times New Roman"/>
          <w:sz w:val="22"/>
          <w:szCs w:val="22"/>
        </w:rPr>
      </w:pPr>
    </w:p>
    <w:p w14:paraId="2051DE7F" w14:textId="1BDE1ECF" w:rsidR="009577BF" w:rsidRPr="006C1EBF" w:rsidRDefault="009577BF" w:rsidP="00E03168">
      <w:pPr>
        <w:pStyle w:val="NormalWeb"/>
        <w:spacing w:before="0" w:after="0" w:line="360" w:lineRule="auto"/>
        <w:rPr>
          <w:rFonts w:ascii="Calibri" w:hAnsi="Calibri" w:cs="Times New Roman"/>
          <w:sz w:val="22"/>
          <w:szCs w:val="22"/>
        </w:rPr>
      </w:pPr>
      <w:r w:rsidRPr="007E3F23">
        <w:rPr>
          <w:rFonts w:ascii="Calibri" w:hAnsi="Calibri" w:cs="Times New Roman"/>
          <w:sz w:val="22"/>
          <w:szCs w:val="22"/>
        </w:rPr>
        <w:t>Table 4 shows that patients with depression scores even as low as 4-7 (2</w:t>
      </w:r>
      <w:r w:rsidRPr="007E3F23">
        <w:rPr>
          <w:rFonts w:ascii="Calibri" w:hAnsi="Calibri" w:cs="Times New Roman"/>
          <w:sz w:val="22"/>
          <w:szCs w:val="22"/>
          <w:vertAlign w:val="superscript"/>
        </w:rPr>
        <w:t>nd</w:t>
      </w:r>
      <w:r w:rsidRPr="007E3F23">
        <w:rPr>
          <w:rFonts w:ascii="Calibri" w:hAnsi="Calibri" w:cs="Times New Roman"/>
          <w:sz w:val="22"/>
          <w:szCs w:val="22"/>
        </w:rPr>
        <w:t xml:space="preserve"> quartile) were 2.4 times as likely as the reference group (scores 0-3) to attend ED in the follow up year, and 2.8 times as likely to have an emergency admission, after adjusting for age sex, poor education, number of QOF diagnoses, severity of COPD and either ED attendance or emergency hospital admission in the pre-baseline year. Patients with scores above the median (3</w:t>
      </w:r>
      <w:r w:rsidRPr="007E3F23">
        <w:rPr>
          <w:rFonts w:ascii="Calibri" w:hAnsi="Calibri" w:cs="Times New Roman"/>
          <w:sz w:val="22"/>
          <w:szCs w:val="22"/>
          <w:vertAlign w:val="superscript"/>
        </w:rPr>
        <w:t>rd</w:t>
      </w:r>
      <w:r w:rsidRPr="007E3F23">
        <w:rPr>
          <w:rFonts w:ascii="Calibri" w:hAnsi="Calibri" w:cs="Times New Roman"/>
          <w:sz w:val="22"/>
          <w:szCs w:val="22"/>
        </w:rPr>
        <w:t xml:space="preserve"> and 4</w:t>
      </w:r>
      <w:r w:rsidRPr="007E3F23">
        <w:rPr>
          <w:rFonts w:ascii="Calibri" w:hAnsi="Calibri" w:cs="Times New Roman"/>
          <w:sz w:val="22"/>
          <w:szCs w:val="22"/>
          <w:vertAlign w:val="superscript"/>
        </w:rPr>
        <w:t>th</w:t>
      </w:r>
      <w:r w:rsidRPr="007E3F23">
        <w:rPr>
          <w:rFonts w:ascii="Calibri" w:hAnsi="Calibri" w:cs="Times New Roman"/>
          <w:sz w:val="22"/>
          <w:szCs w:val="22"/>
        </w:rPr>
        <w:t xml:space="preserve"> quartiles, score 8 or more) were more than 4 times as likely as the reference group to attend ED or have an emergency admission in the follow up year, after adjusting for the same covariates as before.</w:t>
      </w:r>
      <w:r>
        <w:rPr>
          <w:rFonts w:ascii="Calibri" w:hAnsi="Calibri" w:cs="Times New Roman"/>
          <w:sz w:val="22"/>
          <w:szCs w:val="22"/>
        </w:rPr>
        <w:t xml:space="preserve"> </w:t>
      </w:r>
      <w:r w:rsidRPr="007E3F23">
        <w:rPr>
          <w:rFonts w:ascii="Calibri" w:hAnsi="Calibri" w:cs="Times New Roman"/>
          <w:sz w:val="22"/>
          <w:szCs w:val="22"/>
        </w:rPr>
        <w:t xml:space="preserve">The pattern however was different for anxiety. There was no significant relationship between severity of anxiety and ED attendance or emergency hospital admission in the </w:t>
      </w:r>
      <w:r w:rsidR="00093DAF">
        <w:rPr>
          <w:rFonts w:ascii="Calibri" w:hAnsi="Calibri" w:cs="Times New Roman"/>
          <w:sz w:val="22"/>
          <w:szCs w:val="22"/>
        </w:rPr>
        <w:t xml:space="preserve">follow-up </w:t>
      </w:r>
      <w:r w:rsidRPr="007E3F23">
        <w:rPr>
          <w:rFonts w:ascii="Calibri" w:hAnsi="Calibri" w:cs="Times New Roman"/>
          <w:sz w:val="22"/>
          <w:szCs w:val="22"/>
        </w:rPr>
        <w:t xml:space="preserve">year, after adjusting for the same covariates as before. </w:t>
      </w:r>
      <w:r w:rsidRPr="006C1EBF">
        <w:rPr>
          <w:rFonts w:ascii="Calibri" w:eastAsia="Times New Roman" w:hAnsi="Calibri" w:cs="Times New Roman"/>
          <w:color w:val="auto"/>
          <w:sz w:val="22"/>
          <w:szCs w:val="22"/>
        </w:rPr>
        <w:t xml:space="preserve">The results for </w:t>
      </w:r>
      <w:r>
        <w:rPr>
          <w:rFonts w:ascii="Calibri" w:eastAsia="Times New Roman" w:hAnsi="Calibri" w:cs="Times New Roman"/>
          <w:color w:val="auto"/>
          <w:sz w:val="22"/>
          <w:szCs w:val="22"/>
        </w:rPr>
        <w:t xml:space="preserve">the </w:t>
      </w:r>
      <w:r w:rsidRPr="006C1EBF">
        <w:rPr>
          <w:rFonts w:ascii="Calibri" w:eastAsia="Times New Roman" w:hAnsi="Calibri" w:cs="Times New Roman"/>
          <w:color w:val="auto"/>
          <w:sz w:val="22"/>
          <w:szCs w:val="22"/>
        </w:rPr>
        <w:t>HADS scores were very similar when repeated using inverse probability sampling weights to adjust for non-completion of questionnaires.</w:t>
      </w:r>
    </w:p>
    <w:p w14:paraId="7FD16EA5" w14:textId="77777777" w:rsidR="009577BF" w:rsidRPr="007E3F23" w:rsidRDefault="009577BF" w:rsidP="00E03168">
      <w:pPr>
        <w:pStyle w:val="NormalWeb"/>
        <w:spacing w:before="0" w:after="0" w:line="360" w:lineRule="auto"/>
        <w:rPr>
          <w:rFonts w:ascii="Calibri" w:eastAsia="Times New Roman" w:hAnsi="Calibri" w:cs="Times New Roman"/>
          <w:color w:val="FFC000"/>
          <w:sz w:val="22"/>
          <w:szCs w:val="22"/>
        </w:rPr>
      </w:pPr>
      <w:r w:rsidRPr="007E3F23">
        <w:rPr>
          <w:rFonts w:ascii="Calibri" w:eastAsia="Times New Roman" w:hAnsi="Calibri" w:cs="Times New Roman"/>
          <w:color w:val="FFC000"/>
          <w:sz w:val="22"/>
          <w:szCs w:val="22"/>
        </w:rPr>
        <w:t xml:space="preserve"> </w:t>
      </w:r>
    </w:p>
    <w:p w14:paraId="208EBF35" w14:textId="36EFA401" w:rsidR="009577BF" w:rsidRPr="006C1EBF" w:rsidRDefault="009577BF" w:rsidP="00E03168">
      <w:pPr>
        <w:rPr>
          <w:rFonts w:ascii="Calibri" w:hAnsi="Calibri"/>
          <w:sz w:val="22"/>
          <w:szCs w:val="22"/>
        </w:rPr>
      </w:pPr>
      <w:r w:rsidRPr="006C1EBF">
        <w:rPr>
          <w:rFonts w:ascii="Calibri" w:hAnsi="Calibri"/>
          <w:sz w:val="22"/>
          <w:szCs w:val="22"/>
        </w:rPr>
        <w:lastRenderedPageBreak/>
        <w:t xml:space="preserve">Table 4:  Odds ratios for HADS depression in 4 quartile groups by </w:t>
      </w:r>
      <w:r w:rsidR="00734D6F">
        <w:rPr>
          <w:rFonts w:ascii="Calibri" w:hAnsi="Calibri"/>
          <w:sz w:val="22"/>
          <w:szCs w:val="22"/>
        </w:rPr>
        <w:t>ED</w:t>
      </w:r>
      <w:r w:rsidRPr="006C1EBF">
        <w:rPr>
          <w:rFonts w:ascii="Calibri" w:hAnsi="Calibri"/>
          <w:sz w:val="22"/>
          <w:szCs w:val="22"/>
        </w:rPr>
        <w:t xml:space="preserve"> visits and emergency inpatient admissions in the </w:t>
      </w:r>
      <w:r w:rsidR="00093DAF">
        <w:rPr>
          <w:rFonts w:ascii="Calibri" w:hAnsi="Calibri"/>
          <w:sz w:val="22"/>
          <w:szCs w:val="22"/>
        </w:rPr>
        <w:t>follow-up</w:t>
      </w:r>
      <w:r w:rsidRPr="006C1EBF">
        <w:rPr>
          <w:rFonts w:ascii="Calibri" w:hAnsi="Calibri"/>
          <w:sz w:val="22"/>
          <w:szCs w:val="22"/>
        </w:rPr>
        <w:t xml:space="preserve">year (n=350) </w:t>
      </w:r>
    </w:p>
    <w:p w14:paraId="1F4A131F" w14:textId="77777777" w:rsidR="009577BF" w:rsidRPr="00236781" w:rsidRDefault="009577BF" w:rsidP="00E031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1126"/>
        <w:gridCol w:w="1622"/>
        <w:gridCol w:w="1133"/>
        <w:gridCol w:w="789"/>
        <w:gridCol w:w="1546"/>
        <w:gridCol w:w="920"/>
      </w:tblGrid>
      <w:tr w:rsidR="009577BF" w:rsidRPr="006C1EBF" w14:paraId="73FD8D13" w14:textId="77777777" w:rsidTr="00E03168">
        <w:tc>
          <w:tcPr>
            <w:tcW w:w="8779" w:type="dxa"/>
            <w:gridSpan w:val="7"/>
          </w:tcPr>
          <w:p w14:paraId="77CC4EF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 xml:space="preserve">HADS depression scores in 4 quartiles: odds ratios adjusted for age, sex, poor education, number of QOF physical diagnoses, severity of COPD and either A&amp;E or emergency admission in the previous year </w:t>
            </w:r>
          </w:p>
        </w:tc>
      </w:tr>
      <w:tr w:rsidR="009577BF" w:rsidRPr="006C1EBF" w14:paraId="6E618B13" w14:textId="77777777" w:rsidTr="00E03168">
        <w:tc>
          <w:tcPr>
            <w:tcW w:w="1643" w:type="dxa"/>
          </w:tcPr>
          <w:p w14:paraId="611A1925" w14:textId="77777777" w:rsidR="009577BF" w:rsidRPr="006C1EBF" w:rsidRDefault="009577BF" w:rsidP="00E03168">
            <w:pPr>
              <w:tabs>
                <w:tab w:val="center" w:pos="4320"/>
                <w:tab w:val="right" w:pos="8640"/>
              </w:tabs>
              <w:rPr>
                <w:rFonts w:ascii="Calibri" w:hAnsi="Calibri"/>
                <w:sz w:val="20"/>
                <w:szCs w:val="20"/>
              </w:rPr>
            </w:pPr>
          </w:p>
        </w:tc>
        <w:tc>
          <w:tcPr>
            <w:tcW w:w="3881" w:type="dxa"/>
            <w:gridSpan w:val="3"/>
          </w:tcPr>
          <w:p w14:paraId="41439B66" w14:textId="22738345" w:rsidR="009577BF" w:rsidRPr="006C1EBF" w:rsidRDefault="00734D6F" w:rsidP="00E03168">
            <w:pPr>
              <w:tabs>
                <w:tab w:val="center" w:pos="4320"/>
                <w:tab w:val="right" w:pos="8640"/>
              </w:tabs>
              <w:jc w:val="center"/>
              <w:rPr>
                <w:rFonts w:ascii="Calibri" w:hAnsi="Calibri"/>
                <w:sz w:val="20"/>
                <w:szCs w:val="20"/>
              </w:rPr>
            </w:pPr>
            <w:r>
              <w:rPr>
                <w:rFonts w:ascii="Calibri" w:hAnsi="Calibri"/>
                <w:sz w:val="20"/>
                <w:szCs w:val="20"/>
              </w:rPr>
              <w:t>ED</w:t>
            </w:r>
            <w:r w:rsidR="009577BF" w:rsidRPr="006C1EBF">
              <w:rPr>
                <w:rFonts w:ascii="Calibri" w:hAnsi="Calibri"/>
                <w:sz w:val="20"/>
                <w:szCs w:val="20"/>
              </w:rPr>
              <w:t xml:space="preserve"> </w:t>
            </w:r>
          </w:p>
        </w:tc>
        <w:tc>
          <w:tcPr>
            <w:tcW w:w="3255" w:type="dxa"/>
            <w:gridSpan w:val="3"/>
          </w:tcPr>
          <w:p w14:paraId="59AD74A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 xml:space="preserve">Emergency admission </w:t>
            </w:r>
          </w:p>
        </w:tc>
      </w:tr>
      <w:tr w:rsidR="009577BF" w:rsidRPr="006C1EBF" w14:paraId="65F3F764" w14:textId="77777777" w:rsidTr="00E03168">
        <w:tc>
          <w:tcPr>
            <w:tcW w:w="1643" w:type="dxa"/>
          </w:tcPr>
          <w:p w14:paraId="2F2158A1"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 xml:space="preserve">HADS depression score at baseline </w:t>
            </w:r>
          </w:p>
        </w:tc>
        <w:tc>
          <w:tcPr>
            <w:tcW w:w="1126" w:type="dxa"/>
          </w:tcPr>
          <w:p w14:paraId="2D51F4B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OR</w:t>
            </w:r>
          </w:p>
        </w:tc>
        <w:tc>
          <w:tcPr>
            <w:tcW w:w="1622" w:type="dxa"/>
          </w:tcPr>
          <w:p w14:paraId="3C264E0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95% CI</w:t>
            </w:r>
          </w:p>
        </w:tc>
        <w:tc>
          <w:tcPr>
            <w:tcW w:w="1133" w:type="dxa"/>
          </w:tcPr>
          <w:p w14:paraId="248D115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Sig</w:t>
            </w:r>
          </w:p>
        </w:tc>
        <w:tc>
          <w:tcPr>
            <w:tcW w:w="789" w:type="dxa"/>
          </w:tcPr>
          <w:p w14:paraId="52DE9DB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OR</w:t>
            </w:r>
          </w:p>
        </w:tc>
        <w:tc>
          <w:tcPr>
            <w:tcW w:w="1546" w:type="dxa"/>
          </w:tcPr>
          <w:p w14:paraId="4155DD16"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95% CI</w:t>
            </w:r>
          </w:p>
        </w:tc>
        <w:tc>
          <w:tcPr>
            <w:tcW w:w="920" w:type="dxa"/>
          </w:tcPr>
          <w:p w14:paraId="160F59C7"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Sig</w:t>
            </w:r>
          </w:p>
        </w:tc>
      </w:tr>
      <w:tr w:rsidR="009577BF" w:rsidRPr="006C1EBF" w14:paraId="10908B7D" w14:textId="77777777" w:rsidTr="00E03168">
        <w:tc>
          <w:tcPr>
            <w:tcW w:w="1643" w:type="dxa"/>
          </w:tcPr>
          <w:p w14:paraId="5B6697D6"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0 – 3</w:t>
            </w:r>
          </w:p>
        </w:tc>
        <w:tc>
          <w:tcPr>
            <w:tcW w:w="3881" w:type="dxa"/>
            <w:gridSpan w:val="3"/>
          </w:tcPr>
          <w:p w14:paraId="09DBC4C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Reference group</w:t>
            </w:r>
          </w:p>
        </w:tc>
        <w:tc>
          <w:tcPr>
            <w:tcW w:w="3255" w:type="dxa"/>
            <w:gridSpan w:val="3"/>
          </w:tcPr>
          <w:p w14:paraId="4F1916E7"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Reference group</w:t>
            </w:r>
          </w:p>
        </w:tc>
      </w:tr>
      <w:tr w:rsidR="009577BF" w:rsidRPr="006C1EBF" w14:paraId="43EED4CD" w14:textId="77777777" w:rsidTr="00E03168">
        <w:tc>
          <w:tcPr>
            <w:tcW w:w="1643" w:type="dxa"/>
          </w:tcPr>
          <w:p w14:paraId="1443FFA6"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4 - 7</w:t>
            </w:r>
          </w:p>
        </w:tc>
        <w:tc>
          <w:tcPr>
            <w:tcW w:w="1126" w:type="dxa"/>
          </w:tcPr>
          <w:p w14:paraId="0FB3307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2.40</w:t>
            </w:r>
          </w:p>
        </w:tc>
        <w:tc>
          <w:tcPr>
            <w:tcW w:w="1622" w:type="dxa"/>
          </w:tcPr>
          <w:p w14:paraId="6857F330"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1.02 to 5.61</w:t>
            </w:r>
          </w:p>
        </w:tc>
        <w:tc>
          <w:tcPr>
            <w:tcW w:w="1133" w:type="dxa"/>
          </w:tcPr>
          <w:p w14:paraId="1119791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0.044</w:t>
            </w:r>
          </w:p>
        </w:tc>
        <w:tc>
          <w:tcPr>
            <w:tcW w:w="789" w:type="dxa"/>
          </w:tcPr>
          <w:p w14:paraId="19473C7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2.84</w:t>
            </w:r>
          </w:p>
        </w:tc>
        <w:tc>
          <w:tcPr>
            <w:tcW w:w="1546" w:type="dxa"/>
          </w:tcPr>
          <w:p w14:paraId="5CE7D4F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1.23 to 6.58</w:t>
            </w:r>
          </w:p>
        </w:tc>
        <w:tc>
          <w:tcPr>
            <w:tcW w:w="920" w:type="dxa"/>
          </w:tcPr>
          <w:p w14:paraId="44E2980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0.015</w:t>
            </w:r>
          </w:p>
        </w:tc>
      </w:tr>
      <w:tr w:rsidR="009577BF" w:rsidRPr="006C1EBF" w14:paraId="661462CA" w14:textId="77777777" w:rsidTr="00E03168">
        <w:tc>
          <w:tcPr>
            <w:tcW w:w="1643" w:type="dxa"/>
          </w:tcPr>
          <w:p w14:paraId="3C66A646"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8 - 11</w:t>
            </w:r>
          </w:p>
        </w:tc>
        <w:tc>
          <w:tcPr>
            <w:tcW w:w="1126" w:type="dxa"/>
          </w:tcPr>
          <w:p w14:paraId="49059130"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4.56</w:t>
            </w:r>
          </w:p>
        </w:tc>
        <w:tc>
          <w:tcPr>
            <w:tcW w:w="1622" w:type="dxa"/>
          </w:tcPr>
          <w:p w14:paraId="759FBC65"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1.96 to 10.6</w:t>
            </w:r>
          </w:p>
        </w:tc>
        <w:tc>
          <w:tcPr>
            <w:tcW w:w="1133" w:type="dxa"/>
          </w:tcPr>
          <w:p w14:paraId="0C0B665B"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&lt;0.001</w:t>
            </w:r>
          </w:p>
        </w:tc>
        <w:tc>
          <w:tcPr>
            <w:tcW w:w="789" w:type="dxa"/>
          </w:tcPr>
          <w:p w14:paraId="2C6267AF"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4.80</w:t>
            </w:r>
          </w:p>
        </w:tc>
        <w:tc>
          <w:tcPr>
            <w:tcW w:w="1546" w:type="dxa"/>
          </w:tcPr>
          <w:p w14:paraId="56306802"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2.07 to 11.1</w:t>
            </w:r>
          </w:p>
        </w:tc>
        <w:tc>
          <w:tcPr>
            <w:tcW w:w="920" w:type="dxa"/>
          </w:tcPr>
          <w:p w14:paraId="1A1300D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&lt;0.001</w:t>
            </w:r>
          </w:p>
        </w:tc>
      </w:tr>
      <w:tr w:rsidR="009577BF" w:rsidRPr="006C1EBF" w14:paraId="4A7CCD7A" w14:textId="77777777" w:rsidTr="00E03168">
        <w:tc>
          <w:tcPr>
            <w:tcW w:w="1643" w:type="dxa"/>
          </w:tcPr>
          <w:p w14:paraId="371ED70B" w14:textId="77777777" w:rsidR="009577BF" w:rsidRPr="006C1EBF" w:rsidRDefault="009577BF" w:rsidP="00E03168">
            <w:pPr>
              <w:tabs>
                <w:tab w:val="center" w:pos="4320"/>
                <w:tab w:val="right" w:pos="8640"/>
              </w:tabs>
              <w:rPr>
                <w:rFonts w:ascii="Calibri" w:hAnsi="Calibri"/>
                <w:sz w:val="20"/>
                <w:szCs w:val="20"/>
              </w:rPr>
            </w:pPr>
            <w:r w:rsidRPr="006C1EBF">
              <w:rPr>
                <w:rFonts w:ascii="Calibri" w:hAnsi="Calibri"/>
                <w:sz w:val="20"/>
                <w:szCs w:val="20"/>
              </w:rPr>
              <w:t>12 or more</w:t>
            </w:r>
          </w:p>
        </w:tc>
        <w:tc>
          <w:tcPr>
            <w:tcW w:w="1126" w:type="dxa"/>
          </w:tcPr>
          <w:p w14:paraId="352C9DE8"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4.65</w:t>
            </w:r>
          </w:p>
        </w:tc>
        <w:tc>
          <w:tcPr>
            <w:tcW w:w="1622" w:type="dxa"/>
          </w:tcPr>
          <w:p w14:paraId="0BB2B01D"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1.97 to 11.0</w:t>
            </w:r>
          </w:p>
        </w:tc>
        <w:tc>
          <w:tcPr>
            <w:tcW w:w="1133" w:type="dxa"/>
          </w:tcPr>
          <w:p w14:paraId="611B126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&lt;0.001</w:t>
            </w:r>
          </w:p>
        </w:tc>
        <w:tc>
          <w:tcPr>
            <w:tcW w:w="789" w:type="dxa"/>
          </w:tcPr>
          <w:p w14:paraId="669E4A17"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4.82</w:t>
            </w:r>
          </w:p>
        </w:tc>
        <w:tc>
          <w:tcPr>
            <w:tcW w:w="1546" w:type="dxa"/>
          </w:tcPr>
          <w:p w14:paraId="618D4F89"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2.05 to 11.3</w:t>
            </w:r>
          </w:p>
        </w:tc>
        <w:tc>
          <w:tcPr>
            <w:tcW w:w="920" w:type="dxa"/>
          </w:tcPr>
          <w:p w14:paraId="05312C4A" w14:textId="77777777" w:rsidR="009577BF" w:rsidRPr="006C1EBF" w:rsidRDefault="009577BF" w:rsidP="00E03168">
            <w:pPr>
              <w:tabs>
                <w:tab w:val="center" w:pos="4320"/>
                <w:tab w:val="right" w:pos="8640"/>
              </w:tabs>
              <w:jc w:val="center"/>
              <w:rPr>
                <w:rFonts w:ascii="Calibri" w:hAnsi="Calibri"/>
                <w:sz w:val="20"/>
                <w:szCs w:val="20"/>
              </w:rPr>
            </w:pPr>
            <w:r w:rsidRPr="006C1EBF">
              <w:rPr>
                <w:rFonts w:ascii="Calibri" w:hAnsi="Calibri"/>
                <w:sz w:val="20"/>
                <w:szCs w:val="20"/>
              </w:rPr>
              <w:t>&lt;0.001</w:t>
            </w:r>
          </w:p>
        </w:tc>
      </w:tr>
    </w:tbl>
    <w:p w14:paraId="30E39CCF" w14:textId="77777777" w:rsidR="009577BF" w:rsidRPr="006C1EBF" w:rsidRDefault="009577BF" w:rsidP="00E03168">
      <w:pPr>
        <w:pStyle w:val="NormalWeb"/>
        <w:spacing w:before="0" w:after="0" w:line="480" w:lineRule="auto"/>
        <w:rPr>
          <w:rFonts w:ascii="Calibri" w:eastAsia="Times New Roman" w:hAnsi="Calibri" w:cs="Times New Roman"/>
          <w:color w:val="auto"/>
          <w:sz w:val="22"/>
          <w:szCs w:val="22"/>
        </w:rPr>
      </w:pPr>
    </w:p>
    <w:p w14:paraId="270382B9" w14:textId="77777777" w:rsidR="009577BF" w:rsidRDefault="009577BF" w:rsidP="00E03168">
      <w:pPr>
        <w:pStyle w:val="NormalWeb"/>
        <w:spacing w:before="0" w:after="0" w:line="480" w:lineRule="auto"/>
        <w:rPr>
          <w:rFonts w:ascii="Calibri" w:eastAsia="Times New Roman" w:hAnsi="Calibri" w:cs="Times New Roman"/>
          <w:i/>
          <w:color w:val="auto"/>
          <w:sz w:val="22"/>
          <w:szCs w:val="22"/>
        </w:rPr>
      </w:pPr>
    </w:p>
    <w:p w14:paraId="4CBABEA9" w14:textId="77777777" w:rsidR="009577BF" w:rsidRPr="007E3F23" w:rsidRDefault="009577BF" w:rsidP="009C7FB2">
      <w:pPr>
        <w:pStyle w:val="NormalWeb"/>
        <w:spacing w:before="0" w:after="0" w:line="480" w:lineRule="auto"/>
        <w:outlineLvl w:val="0"/>
        <w:rPr>
          <w:rFonts w:ascii="Calibri" w:eastAsia="Times New Roman" w:hAnsi="Calibri" w:cs="Times New Roman"/>
          <w:i/>
          <w:color w:val="auto"/>
          <w:sz w:val="22"/>
          <w:szCs w:val="22"/>
        </w:rPr>
      </w:pPr>
      <w:r w:rsidRPr="007E3F23">
        <w:rPr>
          <w:rFonts w:ascii="Calibri" w:eastAsia="Times New Roman" w:hAnsi="Calibri" w:cs="Times New Roman"/>
          <w:i/>
          <w:color w:val="auto"/>
          <w:sz w:val="22"/>
          <w:szCs w:val="22"/>
        </w:rPr>
        <w:t>Sensitivity analyses</w:t>
      </w:r>
    </w:p>
    <w:p w14:paraId="33312FDD" w14:textId="77777777" w:rsidR="009577BF" w:rsidRPr="00E57FD0" w:rsidRDefault="009577BF" w:rsidP="00E03168">
      <w:pPr>
        <w:pStyle w:val="PlainText"/>
        <w:spacing w:line="360" w:lineRule="auto"/>
        <w:rPr>
          <w:rFonts w:ascii="Calibri" w:eastAsia="Calibri" w:hAnsi="Calibri" w:cs="Times New Roman"/>
          <w:sz w:val="22"/>
          <w:szCs w:val="22"/>
        </w:rPr>
      </w:pPr>
      <w:r w:rsidRPr="00E57FD0">
        <w:rPr>
          <w:rFonts w:ascii="Calibri" w:eastAsia="Calibri" w:hAnsi="Calibri" w:cs="Times New Roman"/>
          <w:sz w:val="22"/>
          <w:szCs w:val="22"/>
        </w:rPr>
        <w:t>The results of the logistic regression analyses after excluding 34 patients with HADS data who received the pilot intervention showed very similar results to the main results for the whole sample. Similar results were also found if the sensitivity analysis was conducted using 2 or more sessions as an additional covariate rather than by excluding those patients.</w:t>
      </w:r>
    </w:p>
    <w:p w14:paraId="0105FC4B" w14:textId="77777777" w:rsidR="009577BF" w:rsidRDefault="009577BF" w:rsidP="00E03168">
      <w:pPr>
        <w:pStyle w:val="Body"/>
        <w:spacing w:after="0" w:line="360" w:lineRule="auto"/>
        <w:rPr>
          <w:rFonts w:eastAsia="Times New Roman" w:cs="Times New Roman"/>
          <w:color w:val="FFC000"/>
          <w:lang w:val="en-US"/>
        </w:rPr>
      </w:pPr>
    </w:p>
    <w:p w14:paraId="64DEEFB6" w14:textId="77777777" w:rsidR="009577BF" w:rsidRPr="007E3F23" w:rsidRDefault="009577BF" w:rsidP="009C7FB2">
      <w:pPr>
        <w:pStyle w:val="Body"/>
        <w:spacing w:after="0" w:line="360" w:lineRule="auto"/>
        <w:outlineLvl w:val="0"/>
        <w:rPr>
          <w:rFonts w:cs="Times New Roman"/>
          <w:b/>
        </w:rPr>
      </w:pPr>
      <w:r w:rsidRPr="007E3F23">
        <w:rPr>
          <w:rFonts w:cs="Times New Roman"/>
          <w:b/>
          <w:lang w:val="en-US"/>
        </w:rPr>
        <w:t xml:space="preserve">Discussion </w:t>
      </w:r>
    </w:p>
    <w:p w14:paraId="579F0443" w14:textId="1DEAEC6E" w:rsidR="009577BF" w:rsidRPr="007E3F23" w:rsidRDefault="009577BF" w:rsidP="00E03168">
      <w:pPr>
        <w:pStyle w:val="Body"/>
        <w:spacing w:after="0" w:line="360" w:lineRule="auto"/>
        <w:rPr>
          <w:rFonts w:cs="Times New Roman"/>
        </w:rPr>
      </w:pPr>
      <w:r w:rsidRPr="007E3F23">
        <w:rPr>
          <w:rFonts w:cs="Times New Roman"/>
          <w:lang w:val="en-US"/>
        </w:rPr>
        <w:t>This study shows that depression</w:t>
      </w:r>
      <w:r>
        <w:rPr>
          <w:rFonts w:cs="Times New Roman"/>
          <w:lang w:val="en-US"/>
        </w:rPr>
        <w:t xml:space="preserve">, </w:t>
      </w:r>
      <w:r w:rsidRPr="007E3F23">
        <w:rPr>
          <w:rFonts w:cs="Times New Roman"/>
          <w:lang w:val="en-US"/>
        </w:rPr>
        <w:t xml:space="preserve">more than anxiety, is an independent risk factor for both attendances at ED and emergency hospital admissions in primary care patients with COPD. This is the first study to show that even mild symptoms of depression increase the risk of use of urgent care by more than two fold, and moderate to severe symptoms of depression increase the risk by </w:t>
      </w:r>
      <w:r w:rsidR="00A4467F">
        <w:rPr>
          <w:rFonts w:cs="Times New Roman"/>
          <w:lang w:val="en-US"/>
        </w:rPr>
        <w:t>nearly 5 times</w:t>
      </w:r>
      <w:r w:rsidRPr="007E3F23">
        <w:rPr>
          <w:rFonts w:cs="Times New Roman"/>
          <w:lang w:val="en-US"/>
        </w:rPr>
        <w:t xml:space="preserve">. These findings are independent of severity of disease and comorbidity of other chronic physical conditions. </w:t>
      </w:r>
    </w:p>
    <w:p w14:paraId="0A7374CE" w14:textId="77777777" w:rsidR="009577BF" w:rsidRDefault="009577BF" w:rsidP="00E03168">
      <w:pPr>
        <w:pStyle w:val="Body"/>
        <w:spacing w:after="0" w:line="360" w:lineRule="auto"/>
        <w:rPr>
          <w:rFonts w:cs="Times New Roman"/>
          <w:lang w:val="en-US"/>
        </w:rPr>
      </w:pPr>
    </w:p>
    <w:p w14:paraId="0A54BCFC" w14:textId="73A0D269" w:rsidR="009577BF" w:rsidRDefault="009577BF" w:rsidP="00E03168">
      <w:pPr>
        <w:pStyle w:val="Body"/>
        <w:spacing w:after="0" w:line="360" w:lineRule="auto"/>
        <w:rPr>
          <w:rFonts w:cs="Times New Roman"/>
          <w:lang w:val="en-US"/>
        </w:rPr>
      </w:pPr>
      <w:r w:rsidRPr="007E3F23">
        <w:rPr>
          <w:rFonts w:cs="Times New Roman"/>
          <w:lang w:val="en-US"/>
        </w:rPr>
        <w:t xml:space="preserve">Depression has previously </w:t>
      </w:r>
      <w:r>
        <w:rPr>
          <w:rFonts w:cs="Times New Roman"/>
          <w:lang w:val="en-US"/>
        </w:rPr>
        <w:t xml:space="preserve">been shown </w:t>
      </w:r>
      <w:r w:rsidRPr="007E3F23">
        <w:rPr>
          <w:rFonts w:cs="Times New Roman"/>
          <w:lang w:val="en-US"/>
        </w:rPr>
        <w:t>to be a strong risk factor for acute hospital re-admission</w:t>
      </w:r>
      <w:r>
        <w:rPr>
          <w:rFonts w:cs="Times New Roman"/>
          <w:lang w:val="en-US"/>
        </w:rPr>
        <w:t xml:space="preserve">s </w:t>
      </w:r>
      <w:r>
        <w:rPr>
          <w:rFonts w:cs="Times New Roman"/>
          <w:noProof/>
          <w:lang w:val="en-US"/>
        </w:rPr>
        <w:t>[6]</w:t>
      </w:r>
      <w:r w:rsidRPr="007E3F23">
        <w:rPr>
          <w:rFonts w:cs="Times New Roman"/>
          <w:lang w:val="en-US"/>
        </w:rPr>
        <w:t xml:space="preserve">.  </w:t>
      </w:r>
      <w:r w:rsidR="00A07B3C" w:rsidRPr="007E3F23">
        <w:rPr>
          <w:rFonts w:cs="Times New Roman"/>
          <w:lang w:val="en-US"/>
        </w:rPr>
        <w:t>Patients understandably view their contacts with urgent care services as unavoidable and a result of an</w:t>
      </w:r>
      <w:r w:rsidR="00A07B3C">
        <w:rPr>
          <w:rFonts w:cs="Times New Roman"/>
          <w:lang w:val="en-US"/>
        </w:rPr>
        <w:t xml:space="preserve"> exacerbation of their illness. </w:t>
      </w:r>
      <w:r w:rsidR="00A07B3C" w:rsidRPr="007E3F23">
        <w:rPr>
          <w:rFonts w:cs="Times New Roman"/>
          <w:lang w:val="en-US"/>
        </w:rPr>
        <w:t>They view hospitals as places of expertise and safety, where they wil</w:t>
      </w:r>
      <w:r w:rsidR="00A07B3C">
        <w:rPr>
          <w:rFonts w:cs="Times New Roman"/>
          <w:lang w:val="en-US"/>
        </w:rPr>
        <w:t xml:space="preserve">l get the acute care they need </w:t>
      </w:r>
      <w:r w:rsidR="00A07B3C">
        <w:rPr>
          <w:rFonts w:cs="Times New Roman"/>
          <w:noProof/>
          <w:lang w:val="en-US"/>
        </w:rPr>
        <w:t>[</w:t>
      </w:r>
      <w:r w:rsidR="00BE7954">
        <w:rPr>
          <w:rFonts w:cs="Times New Roman"/>
          <w:noProof/>
          <w:lang w:val="en-US"/>
        </w:rPr>
        <w:t>27</w:t>
      </w:r>
      <w:r w:rsidR="00A07B3C">
        <w:rPr>
          <w:rFonts w:cs="Times New Roman"/>
          <w:noProof/>
          <w:lang w:val="en-US"/>
        </w:rPr>
        <w:t xml:space="preserve">, </w:t>
      </w:r>
      <w:r w:rsidR="00BE7954">
        <w:rPr>
          <w:rFonts w:cs="Times New Roman"/>
          <w:noProof/>
          <w:lang w:val="en-US"/>
        </w:rPr>
        <w:t>28</w:t>
      </w:r>
      <w:r w:rsidR="00A07B3C">
        <w:rPr>
          <w:rFonts w:cs="Times New Roman"/>
          <w:noProof/>
          <w:lang w:val="en-US"/>
        </w:rPr>
        <w:t>]</w:t>
      </w:r>
      <w:r w:rsidR="00A07B3C" w:rsidRPr="007E3F23">
        <w:rPr>
          <w:rFonts w:cs="Times New Roman"/>
          <w:lang w:val="en-US"/>
        </w:rPr>
        <w:t xml:space="preserve">. </w:t>
      </w:r>
      <w:r w:rsidR="00A07B3C">
        <w:rPr>
          <w:rFonts w:cs="Times New Roman"/>
          <w:lang w:val="en-US"/>
        </w:rPr>
        <w:t>However, w</w:t>
      </w:r>
      <w:r w:rsidRPr="007E3F23">
        <w:rPr>
          <w:rFonts w:cs="Times New Roman"/>
          <w:lang w:val="en-US"/>
        </w:rPr>
        <w:t>hilst some hospital admissions may be unavoidable and necessary for patients with COPD, our findings provide further evidence that there may be modifiable psychosocial factors, which are also driving contact with acute care.</w:t>
      </w:r>
    </w:p>
    <w:p w14:paraId="6FE2C139" w14:textId="77777777" w:rsidR="009577BF" w:rsidRPr="007E3F23" w:rsidRDefault="009577BF" w:rsidP="00E03168">
      <w:pPr>
        <w:pStyle w:val="Body"/>
        <w:spacing w:after="0" w:line="360" w:lineRule="auto"/>
        <w:rPr>
          <w:rFonts w:cs="Times New Roman"/>
        </w:rPr>
      </w:pPr>
    </w:p>
    <w:p w14:paraId="691B91F4" w14:textId="7BB4F2CA" w:rsidR="009577BF" w:rsidRDefault="009577BF" w:rsidP="00E03168">
      <w:pPr>
        <w:pStyle w:val="Body"/>
        <w:spacing w:after="0" w:line="360" w:lineRule="auto"/>
        <w:rPr>
          <w:rFonts w:cs="Times New Roman"/>
          <w:lang w:val="en-US"/>
        </w:rPr>
      </w:pPr>
      <w:r w:rsidRPr="007E3F23">
        <w:rPr>
          <w:rFonts w:cs="Times New Roman"/>
          <w:lang w:val="en-US"/>
        </w:rPr>
        <w:t>Depression is not identified or recognised as a potential driver of acute care, and it remains hidden.  In the current study</w:t>
      </w:r>
      <w:r w:rsidR="009D040F">
        <w:rPr>
          <w:rFonts w:cs="Times New Roman"/>
          <w:lang w:val="en-US"/>
        </w:rPr>
        <w:t xml:space="preserve">, </w:t>
      </w:r>
      <w:r w:rsidRPr="007E3F23">
        <w:rPr>
          <w:rFonts w:cs="Times New Roman"/>
          <w:lang w:val="en-US"/>
        </w:rPr>
        <w:t xml:space="preserve">only </w:t>
      </w:r>
      <w:r w:rsidR="003A4976">
        <w:rPr>
          <w:rFonts w:cs="Times New Roman"/>
          <w:lang w:val="en-US"/>
        </w:rPr>
        <w:t>7.6</w:t>
      </w:r>
      <w:r w:rsidRPr="007E3F23">
        <w:rPr>
          <w:rFonts w:cs="Times New Roman"/>
          <w:lang w:val="en-US"/>
        </w:rPr>
        <w:t>% of p</w:t>
      </w:r>
      <w:r w:rsidR="001806D6">
        <w:rPr>
          <w:rFonts w:cs="Times New Roman"/>
          <w:lang w:val="en-US"/>
        </w:rPr>
        <w:t xml:space="preserve">articipants </w:t>
      </w:r>
      <w:r w:rsidRPr="007E3F23">
        <w:rPr>
          <w:rFonts w:cs="Times New Roman"/>
          <w:lang w:val="en-US"/>
        </w:rPr>
        <w:t xml:space="preserve">were identified by the practices as suffering from depression using QOF diagnosis, and a very small proportion were receiving any kind of recognised </w:t>
      </w:r>
      <w:r w:rsidRPr="007E3F23">
        <w:rPr>
          <w:rFonts w:cs="Times New Roman"/>
          <w:lang w:val="en-US"/>
        </w:rPr>
        <w:lastRenderedPageBreak/>
        <w:t>intervention for their mental health.  However, the prevalence of moderate to severe symptoms of depression</w:t>
      </w:r>
      <w:r>
        <w:rPr>
          <w:rFonts w:cs="Times New Roman"/>
          <w:lang w:val="en-US"/>
        </w:rPr>
        <w:t xml:space="preserve"> using the HADS, was nearly 50%, and </w:t>
      </w:r>
      <w:r w:rsidRPr="007E3F23">
        <w:rPr>
          <w:rFonts w:cs="Times New Roman"/>
          <w:lang w:val="en-US"/>
        </w:rPr>
        <w:t>25</w:t>
      </w:r>
      <w:r>
        <w:rPr>
          <w:rFonts w:cs="Times New Roman"/>
          <w:lang w:val="en-US"/>
        </w:rPr>
        <w:t xml:space="preserve">% </w:t>
      </w:r>
      <w:r w:rsidRPr="007E3F23">
        <w:rPr>
          <w:rFonts w:cs="Times New Roman"/>
          <w:lang w:val="en-US"/>
        </w:rPr>
        <w:t xml:space="preserve">of patients had mild symptoms (HADS depression of 4-7), which as our data suggest, doubled the </w:t>
      </w:r>
      <w:r w:rsidR="00207406">
        <w:rPr>
          <w:rFonts w:cs="Times New Roman"/>
          <w:lang w:val="en-US"/>
        </w:rPr>
        <w:t>odds</w:t>
      </w:r>
      <w:r w:rsidRPr="007E3F23">
        <w:rPr>
          <w:rFonts w:cs="Times New Roman"/>
          <w:lang w:val="en-US"/>
        </w:rPr>
        <w:t xml:space="preserve"> of use of urgent care.</w:t>
      </w:r>
      <w:r>
        <w:rPr>
          <w:rFonts w:cs="Times New Roman"/>
          <w:lang w:val="en-US"/>
        </w:rPr>
        <w:t xml:space="preserve"> </w:t>
      </w:r>
    </w:p>
    <w:p w14:paraId="61BB2D5B" w14:textId="77777777" w:rsidR="009577BF" w:rsidRPr="007E3F23" w:rsidRDefault="009577BF" w:rsidP="00E03168">
      <w:pPr>
        <w:pStyle w:val="Body"/>
        <w:spacing w:after="0" w:line="360" w:lineRule="auto"/>
        <w:rPr>
          <w:rFonts w:cs="Times New Roman"/>
        </w:rPr>
      </w:pPr>
    </w:p>
    <w:p w14:paraId="64C7F597" w14:textId="7E65F9C1" w:rsidR="009577BF" w:rsidRDefault="009577BF" w:rsidP="00E03168">
      <w:pPr>
        <w:pStyle w:val="Body"/>
        <w:spacing w:after="0" w:line="360" w:lineRule="auto"/>
        <w:rPr>
          <w:rFonts w:cs="Times New Roman"/>
          <w:lang w:val="en-US"/>
        </w:rPr>
      </w:pPr>
      <w:r w:rsidRPr="007E3F23">
        <w:rPr>
          <w:rFonts w:cs="Times New Roman"/>
          <w:lang w:val="en-US"/>
        </w:rPr>
        <w:t>The mechanism whereby depression influences use of urgent care in patients with COPD is unclear. There is a large evi</w:t>
      </w:r>
      <w:r w:rsidR="00A07B3C">
        <w:rPr>
          <w:rFonts w:cs="Times New Roman"/>
          <w:lang w:val="en-US"/>
        </w:rPr>
        <w:t>dence base from studies on long-</w:t>
      </w:r>
      <w:r w:rsidRPr="007E3F23">
        <w:rPr>
          <w:rFonts w:cs="Times New Roman"/>
          <w:lang w:val="en-US"/>
        </w:rPr>
        <w:t>term conditions, which show</w:t>
      </w:r>
      <w:r>
        <w:rPr>
          <w:rFonts w:cs="Times New Roman"/>
          <w:lang w:val="en-US"/>
        </w:rPr>
        <w:t>s</w:t>
      </w:r>
      <w:r w:rsidRPr="007E3F23">
        <w:rPr>
          <w:rFonts w:cs="Times New Roman"/>
          <w:lang w:val="en-US"/>
        </w:rPr>
        <w:t xml:space="preserve"> that depression has a deleterious effect on many aspects of physical health outcomes, including</w:t>
      </w:r>
      <w:r w:rsidR="00A07B3C">
        <w:rPr>
          <w:rFonts w:cs="Times New Roman"/>
          <w:lang w:val="en-US"/>
        </w:rPr>
        <w:t>:</w:t>
      </w:r>
      <w:r w:rsidRPr="007E3F23">
        <w:rPr>
          <w:rFonts w:cs="Times New Roman"/>
          <w:lang w:val="en-US"/>
        </w:rPr>
        <w:t xml:space="preserve"> quality </w:t>
      </w:r>
      <w:r>
        <w:rPr>
          <w:rFonts w:cs="Times New Roman"/>
          <w:lang w:val="en-US"/>
        </w:rPr>
        <w:t xml:space="preserve">of life </w:t>
      </w:r>
      <w:r>
        <w:rPr>
          <w:rFonts w:cs="Times New Roman"/>
          <w:noProof/>
          <w:lang w:val="en-US"/>
        </w:rPr>
        <w:t>[8]</w:t>
      </w:r>
      <w:r w:rsidRPr="007E3F23">
        <w:rPr>
          <w:rFonts w:cs="Times New Roman"/>
          <w:lang w:val="en-US"/>
        </w:rPr>
        <w:t>, adherenc</w:t>
      </w:r>
      <w:r>
        <w:rPr>
          <w:rFonts w:cs="Times New Roman"/>
          <w:lang w:val="en-US"/>
        </w:rPr>
        <w:t xml:space="preserve">e to treatment </w:t>
      </w:r>
      <w:r>
        <w:rPr>
          <w:rFonts w:cs="Times New Roman"/>
          <w:noProof/>
          <w:lang w:val="en-US"/>
        </w:rPr>
        <w:t>[</w:t>
      </w:r>
      <w:r w:rsidR="00BE7954">
        <w:rPr>
          <w:rFonts w:cs="Times New Roman"/>
          <w:noProof/>
          <w:lang w:val="en-US"/>
        </w:rPr>
        <w:t>29</w:t>
      </w:r>
      <w:r>
        <w:rPr>
          <w:rFonts w:cs="Times New Roman"/>
          <w:noProof/>
          <w:lang w:val="en-US"/>
        </w:rPr>
        <w:t>]</w:t>
      </w:r>
      <w:r>
        <w:rPr>
          <w:rFonts w:cs="Times New Roman"/>
          <w:lang w:val="en-US"/>
        </w:rPr>
        <w:t xml:space="preserve">, exercise </w:t>
      </w:r>
      <w:r>
        <w:rPr>
          <w:rFonts w:cs="Times New Roman"/>
          <w:noProof/>
          <w:lang w:val="en-US"/>
        </w:rPr>
        <w:t>[7]</w:t>
      </w:r>
      <w:r w:rsidRPr="007E3F23">
        <w:rPr>
          <w:rFonts w:cs="Times New Roman"/>
          <w:lang w:val="en-US"/>
        </w:rPr>
        <w:t xml:space="preserve">, </w:t>
      </w:r>
      <w:r>
        <w:rPr>
          <w:rFonts w:cs="Times New Roman"/>
          <w:lang w:val="en-US"/>
        </w:rPr>
        <w:t>and self-</w:t>
      </w:r>
      <w:r w:rsidRPr="007E3F23">
        <w:rPr>
          <w:rFonts w:cs="Times New Roman"/>
          <w:lang w:val="en-US"/>
        </w:rPr>
        <w:t>care</w:t>
      </w:r>
      <w:r>
        <w:rPr>
          <w:rFonts w:cs="Times New Roman"/>
          <w:lang w:val="en-US"/>
        </w:rPr>
        <w:t xml:space="preserve"> </w:t>
      </w:r>
      <w:r>
        <w:rPr>
          <w:rFonts w:cs="Times New Roman"/>
          <w:noProof/>
          <w:lang w:val="en-US"/>
        </w:rPr>
        <w:t>[</w:t>
      </w:r>
      <w:r w:rsidR="00BE7954">
        <w:rPr>
          <w:rFonts w:cs="Times New Roman"/>
          <w:noProof/>
          <w:lang w:val="en-US"/>
        </w:rPr>
        <w:t>30</w:t>
      </w:r>
      <w:r>
        <w:rPr>
          <w:rFonts w:cs="Times New Roman"/>
          <w:noProof/>
          <w:lang w:val="en-US"/>
        </w:rPr>
        <w:t>]</w:t>
      </w:r>
      <w:r w:rsidRPr="007E3F23">
        <w:rPr>
          <w:rFonts w:cs="Times New Roman"/>
          <w:lang w:val="en-US"/>
        </w:rPr>
        <w:t xml:space="preserve">. Depression is </w:t>
      </w:r>
      <w:r>
        <w:rPr>
          <w:rFonts w:cs="Times New Roman"/>
          <w:lang w:val="en-US"/>
        </w:rPr>
        <w:t xml:space="preserve">also </w:t>
      </w:r>
      <w:r w:rsidRPr="007E3F23">
        <w:rPr>
          <w:rFonts w:cs="Times New Roman"/>
          <w:lang w:val="en-US"/>
        </w:rPr>
        <w:t>associated with feelings of hopelessness, social withdrawal, lower self-</w:t>
      </w:r>
      <w:r>
        <w:rPr>
          <w:rFonts w:cs="Times New Roman"/>
          <w:lang w:val="en-US"/>
        </w:rPr>
        <w:t>efficacy</w:t>
      </w:r>
      <w:r w:rsidRPr="007E3F23">
        <w:rPr>
          <w:rFonts w:cs="Times New Roman"/>
          <w:lang w:val="en-US"/>
        </w:rPr>
        <w:t xml:space="preserve">, </w:t>
      </w:r>
      <w:r>
        <w:rPr>
          <w:rFonts w:cs="Times New Roman"/>
          <w:lang w:val="en-US"/>
        </w:rPr>
        <w:t xml:space="preserve">loss of autonomy and uncertainty </w:t>
      </w:r>
      <w:r>
        <w:rPr>
          <w:rFonts w:cs="Times New Roman"/>
          <w:noProof/>
          <w:lang w:val="en-US"/>
        </w:rPr>
        <w:t>[</w:t>
      </w:r>
      <w:r w:rsidR="00AF5419">
        <w:rPr>
          <w:rFonts w:cs="Times New Roman"/>
          <w:noProof/>
          <w:lang w:val="en-US"/>
        </w:rPr>
        <w:t xml:space="preserve">31, </w:t>
      </w:r>
      <w:r w:rsidR="00BE7954">
        <w:rPr>
          <w:rFonts w:cs="Times New Roman"/>
          <w:noProof/>
          <w:lang w:val="en-US"/>
        </w:rPr>
        <w:t>3</w:t>
      </w:r>
      <w:r w:rsidR="00AF5419">
        <w:rPr>
          <w:rFonts w:cs="Times New Roman"/>
          <w:noProof/>
          <w:lang w:val="en-US"/>
        </w:rPr>
        <w:t>2</w:t>
      </w:r>
      <w:r>
        <w:rPr>
          <w:rFonts w:cs="Times New Roman"/>
          <w:noProof/>
          <w:lang w:val="en-US"/>
        </w:rPr>
        <w:t>]</w:t>
      </w:r>
      <w:r>
        <w:rPr>
          <w:rFonts w:cs="Times New Roman"/>
          <w:lang w:val="en-US"/>
        </w:rPr>
        <w:t xml:space="preserve">. </w:t>
      </w:r>
      <w:r w:rsidRPr="007E3F23">
        <w:rPr>
          <w:rFonts w:cs="Times New Roman"/>
          <w:lang w:val="en-US"/>
        </w:rPr>
        <w:t xml:space="preserve">All </w:t>
      </w:r>
      <w:r>
        <w:rPr>
          <w:rFonts w:cs="Times New Roman"/>
          <w:lang w:val="en-US"/>
        </w:rPr>
        <w:t xml:space="preserve">of </w:t>
      </w:r>
      <w:r w:rsidRPr="007E3F23">
        <w:rPr>
          <w:rFonts w:cs="Times New Roman"/>
          <w:lang w:val="en-US"/>
        </w:rPr>
        <w:t>these factors could potentially contribute to acute exacerbations in COPD, prompting the need for acute care.</w:t>
      </w:r>
    </w:p>
    <w:p w14:paraId="66259385" w14:textId="77777777" w:rsidR="009577BF" w:rsidRPr="007E3F23" w:rsidRDefault="009577BF" w:rsidP="00E03168">
      <w:pPr>
        <w:pStyle w:val="Body"/>
        <w:spacing w:after="0" w:line="360" w:lineRule="auto"/>
        <w:rPr>
          <w:rFonts w:cs="Times New Roman"/>
        </w:rPr>
      </w:pPr>
    </w:p>
    <w:p w14:paraId="4A994436" w14:textId="2EB08B09" w:rsidR="009577BF" w:rsidRDefault="009577BF" w:rsidP="00E03168">
      <w:pPr>
        <w:pStyle w:val="Body"/>
        <w:spacing w:after="0" w:line="360" w:lineRule="auto"/>
        <w:rPr>
          <w:rFonts w:cs="Times New Roman"/>
          <w:lang w:val="en-US"/>
        </w:rPr>
      </w:pPr>
      <w:r w:rsidRPr="007E3F23">
        <w:rPr>
          <w:rFonts w:cs="Times New Roman"/>
          <w:lang w:val="en-US"/>
        </w:rPr>
        <w:t>The lesser effect for anxiety is consistent with other studies of rele</w:t>
      </w:r>
      <w:r>
        <w:rPr>
          <w:rFonts w:cs="Times New Roman"/>
          <w:lang w:val="en-US"/>
        </w:rPr>
        <w:t xml:space="preserve">vance. Laurin </w:t>
      </w:r>
      <w:r w:rsidR="00A07B3C">
        <w:rPr>
          <w:rFonts w:cs="Times New Roman"/>
          <w:lang w:val="en-US"/>
        </w:rPr>
        <w:t xml:space="preserve">et al. </w:t>
      </w:r>
      <w:r>
        <w:rPr>
          <w:rFonts w:cs="Times New Roman"/>
          <w:lang w:val="en-US"/>
        </w:rPr>
        <w:t xml:space="preserve">(2012) </w:t>
      </w:r>
      <w:r w:rsidRPr="007E3F23">
        <w:rPr>
          <w:rFonts w:cs="Times New Roman"/>
          <w:lang w:val="en-US"/>
        </w:rPr>
        <w:t>found both anxiety and depression were associated with COPD exacerbations, but mainly those that were symptom based, rather than those which were event based and necessitated hospital treatment</w:t>
      </w:r>
      <w:r w:rsidR="00A07B3C">
        <w:rPr>
          <w:rFonts w:cs="Times New Roman"/>
          <w:lang w:val="en-US"/>
        </w:rPr>
        <w:t xml:space="preserve"> </w:t>
      </w:r>
      <w:r>
        <w:rPr>
          <w:rFonts w:cs="Times New Roman"/>
          <w:noProof/>
          <w:lang w:val="en-US"/>
        </w:rPr>
        <w:t>[3</w:t>
      </w:r>
      <w:r w:rsidR="00AF5419">
        <w:rPr>
          <w:rFonts w:cs="Times New Roman"/>
          <w:noProof/>
          <w:lang w:val="en-US"/>
        </w:rPr>
        <w:t>3</w:t>
      </w:r>
      <w:r>
        <w:rPr>
          <w:rFonts w:cs="Times New Roman"/>
          <w:noProof/>
          <w:lang w:val="en-US"/>
        </w:rPr>
        <w:t>]</w:t>
      </w:r>
      <w:r w:rsidRPr="007E3F23">
        <w:rPr>
          <w:rFonts w:cs="Times New Roman"/>
          <w:lang w:val="en-US"/>
        </w:rPr>
        <w:t>. Xu et al. (</w:t>
      </w:r>
      <w:r>
        <w:rPr>
          <w:rFonts w:cs="Times New Roman"/>
          <w:lang w:val="en-US"/>
        </w:rPr>
        <w:t>2008</w:t>
      </w:r>
      <w:r w:rsidRPr="007E3F23">
        <w:rPr>
          <w:rFonts w:cs="Times New Roman"/>
          <w:lang w:val="en-US"/>
        </w:rPr>
        <w:t xml:space="preserve">) found that depression was associated with </w:t>
      </w:r>
      <w:r w:rsidR="00A07B3C">
        <w:rPr>
          <w:rFonts w:cs="Times New Roman"/>
          <w:lang w:val="en-US"/>
        </w:rPr>
        <w:t xml:space="preserve">an increase in </w:t>
      </w:r>
      <w:r w:rsidRPr="007E3F23">
        <w:rPr>
          <w:rFonts w:cs="Times New Roman"/>
          <w:lang w:val="en-US"/>
        </w:rPr>
        <w:t xml:space="preserve">symptom based exacerbations and hospitalisations, but anxiety was only associated with </w:t>
      </w:r>
      <w:r w:rsidR="00A07B3C">
        <w:rPr>
          <w:rFonts w:cs="Times New Roman"/>
          <w:lang w:val="en-US"/>
        </w:rPr>
        <w:t xml:space="preserve">an increase in </w:t>
      </w:r>
      <w:r w:rsidRPr="007E3F23">
        <w:rPr>
          <w:rFonts w:cs="Times New Roman"/>
          <w:lang w:val="en-US"/>
        </w:rPr>
        <w:t>symptom based exacerbations, and not COPD hospitalisations</w:t>
      </w:r>
      <w:r>
        <w:rPr>
          <w:rFonts w:cs="Times New Roman"/>
          <w:lang w:val="en-US"/>
        </w:rPr>
        <w:t xml:space="preserve"> </w:t>
      </w:r>
      <w:r>
        <w:rPr>
          <w:rFonts w:cs="Times New Roman"/>
          <w:noProof/>
          <w:lang w:val="en-US"/>
        </w:rPr>
        <w:t>[5]</w:t>
      </w:r>
      <w:r w:rsidRPr="007E3F23">
        <w:rPr>
          <w:rFonts w:cs="Times New Roman"/>
          <w:lang w:val="en-US"/>
        </w:rPr>
        <w:t>. A recent systematic review which examined the role of anxiety as a risk factor for acute care in pat</w:t>
      </w:r>
      <w:r w:rsidR="00A07B3C">
        <w:rPr>
          <w:rFonts w:cs="Times New Roman"/>
          <w:lang w:val="en-US"/>
        </w:rPr>
        <w:t>ients with long-</w:t>
      </w:r>
      <w:r w:rsidRPr="007E3F23">
        <w:rPr>
          <w:rFonts w:cs="Times New Roman"/>
          <w:lang w:val="en-US"/>
        </w:rPr>
        <w:t>term conditions found no evidence of an association between anxiety and prospective u</w:t>
      </w:r>
      <w:r>
        <w:rPr>
          <w:rFonts w:cs="Times New Roman"/>
          <w:lang w:val="en-US"/>
        </w:rPr>
        <w:t xml:space="preserve">se of urgent care </w:t>
      </w:r>
      <w:r>
        <w:rPr>
          <w:rFonts w:cs="Times New Roman"/>
          <w:noProof/>
          <w:lang w:val="en-US"/>
        </w:rPr>
        <w:t>[</w:t>
      </w:r>
      <w:r w:rsidR="00AF5419">
        <w:rPr>
          <w:rFonts w:cs="Times New Roman"/>
          <w:noProof/>
          <w:lang w:val="en-US"/>
        </w:rPr>
        <w:t>34</w:t>
      </w:r>
      <w:r>
        <w:rPr>
          <w:rFonts w:cs="Times New Roman"/>
          <w:noProof/>
          <w:lang w:val="en-US"/>
        </w:rPr>
        <w:t>]</w:t>
      </w:r>
      <w:r w:rsidRPr="007E3F23">
        <w:rPr>
          <w:rFonts w:cs="Times New Roman"/>
          <w:lang w:val="en-US"/>
        </w:rPr>
        <w:t>.</w:t>
      </w:r>
    </w:p>
    <w:p w14:paraId="74DA9EDC" w14:textId="77777777" w:rsidR="009577BF" w:rsidRPr="007E3F23" w:rsidRDefault="009577BF" w:rsidP="00E03168">
      <w:pPr>
        <w:pStyle w:val="Body"/>
        <w:spacing w:after="0" w:line="360" w:lineRule="auto"/>
        <w:rPr>
          <w:rFonts w:cs="Times New Roman"/>
        </w:rPr>
      </w:pPr>
    </w:p>
    <w:p w14:paraId="020D568F" w14:textId="45D2B076" w:rsidR="009577BF" w:rsidRDefault="009577BF" w:rsidP="00E03168">
      <w:pPr>
        <w:pStyle w:val="Body"/>
        <w:spacing w:after="0" w:line="360" w:lineRule="auto"/>
        <w:rPr>
          <w:rFonts w:cs="Times New Roman"/>
          <w:lang w:val="en-US"/>
        </w:rPr>
      </w:pPr>
      <w:r w:rsidRPr="007E3F23">
        <w:rPr>
          <w:rFonts w:cs="Times New Roman"/>
          <w:lang w:val="en-US"/>
        </w:rPr>
        <w:t xml:space="preserve">Whilst it seems </w:t>
      </w:r>
      <w:r w:rsidR="00A07B3C">
        <w:rPr>
          <w:rFonts w:cs="Times New Roman"/>
          <w:lang w:val="en-US"/>
        </w:rPr>
        <w:t xml:space="preserve">that </w:t>
      </w:r>
      <w:r w:rsidRPr="007E3F23">
        <w:rPr>
          <w:rFonts w:cs="Times New Roman"/>
          <w:lang w:val="en-US"/>
        </w:rPr>
        <w:t>anxiety may play a role in COPD symptom exacerbations, it does not seem to be an important predictor of emergency hospitalisation or ED attendance. It is possible that anxiety and general worry prompts people with C</w:t>
      </w:r>
      <w:r>
        <w:rPr>
          <w:rFonts w:cs="Times New Roman"/>
          <w:lang w:val="en-US"/>
        </w:rPr>
        <w:t>OPD to seek care w</w:t>
      </w:r>
      <w:r w:rsidRPr="007E3F23">
        <w:rPr>
          <w:rFonts w:cs="Times New Roman"/>
          <w:lang w:val="en-US"/>
        </w:rPr>
        <w:t xml:space="preserve">hen they recognise </w:t>
      </w:r>
      <w:r>
        <w:rPr>
          <w:rFonts w:cs="Times New Roman"/>
          <w:lang w:val="en-US"/>
        </w:rPr>
        <w:t xml:space="preserve">that </w:t>
      </w:r>
      <w:r w:rsidRPr="007E3F23">
        <w:rPr>
          <w:rFonts w:cs="Times New Roman"/>
          <w:lang w:val="en-US"/>
        </w:rPr>
        <w:t xml:space="preserve">they are having an exacerbation, and </w:t>
      </w:r>
      <w:r>
        <w:rPr>
          <w:rFonts w:cs="Times New Roman"/>
          <w:lang w:val="en-US"/>
        </w:rPr>
        <w:t xml:space="preserve">that </w:t>
      </w:r>
      <w:r w:rsidRPr="007E3F23">
        <w:rPr>
          <w:rFonts w:cs="Times New Roman"/>
          <w:lang w:val="en-US"/>
        </w:rPr>
        <w:t>this may prevent further deterioration of their condition</w:t>
      </w:r>
      <w:r>
        <w:rPr>
          <w:rFonts w:cs="Times New Roman"/>
          <w:lang w:val="en-US"/>
        </w:rPr>
        <w:t>, but anxiety does n</w:t>
      </w:r>
      <w:r w:rsidR="00A07B3C">
        <w:rPr>
          <w:rFonts w:cs="Times New Roman"/>
          <w:lang w:val="en-US"/>
        </w:rPr>
        <w:t>ot appear to be a powerful long</w:t>
      </w:r>
      <w:r w:rsidR="006742F5">
        <w:rPr>
          <w:rFonts w:cs="Times New Roman"/>
          <w:lang w:val="en-US"/>
        </w:rPr>
        <w:t>-</w:t>
      </w:r>
      <w:r>
        <w:rPr>
          <w:rFonts w:cs="Times New Roman"/>
          <w:lang w:val="en-US"/>
        </w:rPr>
        <w:t>term predictor</w:t>
      </w:r>
      <w:r w:rsidRPr="007E3F23">
        <w:rPr>
          <w:rFonts w:cs="Times New Roman"/>
          <w:lang w:val="en-US"/>
        </w:rPr>
        <w:t xml:space="preserve">. </w:t>
      </w:r>
    </w:p>
    <w:p w14:paraId="54BE7082" w14:textId="77777777" w:rsidR="009577BF" w:rsidRPr="007E3F23" w:rsidRDefault="009577BF" w:rsidP="00E03168">
      <w:pPr>
        <w:pStyle w:val="Body"/>
        <w:spacing w:after="0" w:line="360" w:lineRule="auto"/>
        <w:rPr>
          <w:rFonts w:cs="Times New Roman"/>
          <w:lang w:val="en-US"/>
        </w:rPr>
      </w:pPr>
    </w:p>
    <w:p w14:paraId="28EF0CCA" w14:textId="3EC887B1" w:rsidR="009577BF" w:rsidRDefault="009577BF" w:rsidP="00E03168">
      <w:pPr>
        <w:pStyle w:val="Body"/>
        <w:spacing w:after="0" w:line="360" w:lineRule="auto"/>
        <w:rPr>
          <w:rFonts w:cs="Times New Roman"/>
          <w:lang w:val="en-US"/>
        </w:rPr>
      </w:pPr>
      <w:r w:rsidRPr="007E3F23">
        <w:rPr>
          <w:rFonts w:cs="Times New Roman"/>
          <w:lang w:val="en-US"/>
        </w:rPr>
        <w:t>This study has several strengths. First, it involved a primary care population, which has rarely been studied in COPD. Second</w:t>
      </w:r>
      <w:r w:rsidR="006742F5">
        <w:rPr>
          <w:rFonts w:cs="Times New Roman"/>
          <w:lang w:val="en-US"/>
        </w:rPr>
        <w:t>,</w:t>
      </w:r>
      <w:r w:rsidRPr="007E3F23">
        <w:rPr>
          <w:rFonts w:cs="Times New Roman"/>
          <w:lang w:val="en-US"/>
        </w:rPr>
        <w:t xml:space="preserve"> it included a representative gender distribution with equal numbers of men and women, in contrast to many previous studies of COPD which are over represented by males</w:t>
      </w:r>
      <w:r>
        <w:rPr>
          <w:rFonts w:cs="Times New Roman"/>
          <w:lang w:val="en-US"/>
        </w:rPr>
        <w:t xml:space="preserve"> </w:t>
      </w:r>
      <w:r>
        <w:rPr>
          <w:rFonts w:cs="Times New Roman"/>
          <w:noProof/>
          <w:lang w:val="en-US"/>
        </w:rPr>
        <w:t>[</w:t>
      </w:r>
      <w:r w:rsidR="00AF5419">
        <w:rPr>
          <w:rFonts w:cs="Times New Roman"/>
          <w:noProof/>
          <w:lang w:val="en-US"/>
        </w:rPr>
        <w:t>35</w:t>
      </w:r>
      <w:r>
        <w:rPr>
          <w:rFonts w:cs="Times New Roman"/>
          <w:noProof/>
          <w:lang w:val="en-US"/>
        </w:rPr>
        <w:t>]</w:t>
      </w:r>
      <w:r w:rsidRPr="007E3F23">
        <w:rPr>
          <w:rFonts w:cs="Times New Roman"/>
          <w:lang w:val="en-US"/>
        </w:rPr>
        <w:t>. This adds to the study’s external validity and clinical relevance. Third, we employed a recognised and widely used measure of anxiety and depression (HADS)</w:t>
      </w:r>
      <w:r>
        <w:rPr>
          <w:rFonts w:cs="Times New Roman"/>
          <w:lang w:val="en-US"/>
        </w:rPr>
        <w:t>.</w:t>
      </w:r>
      <w:r w:rsidRPr="007E3F23">
        <w:rPr>
          <w:rFonts w:cs="Times New Roman"/>
          <w:lang w:val="en-US"/>
        </w:rPr>
        <w:t xml:space="preserve"> We did not, however, limit the analysis of the HADS to a simple cut off, the accuracy of which could have been questioned, but instead explored the influence of differing levels of symptom severity. Fourth, we used a prospective </w:t>
      </w:r>
      <w:r w:rsidRPr="007E3F23">
        <w:rPr>
          <w:rFonts w:cs="Times New Roman"/>
          <w:lang w:val="en-US"/>
        </w:rPr>
        <w:lastRenderedPageBreak/>
        <w:t>design so that the causal relationship between psychosocial variables and use of urgent care could be evaluated. Finally, we were able to control for both severity of illness and co-morbidity of other chronic physical illness, the latter of which has rarely been done in studies on COPD.</w:t>
      </w:r>
    </w:p>
    <w:p w14:paraId="75CA5887" w14:textId="77777777" w:rsidR="009577BF" w:rsidRPr="00CA1F58" w:rsidRDefault="009577BF" w:rsidP="00E03168">
      <w:pPr>
        <w:pStyle w:val="Body"/>
        <w:spacing w:after="0" w:line="360" w:lineRule="auto"/>
        <w:rPr>
          <w:rFonts w:cs="Times New Roman"/>
          <w:lang w:val="en-US"/>
        </w:rPr>
      </w:pPr>
    </w:p>
    <w:p w14:paraId="63FB9E3B" w14:textId="2157EF45" w:rsidR="00967504" w:rsidRDefault="009577BF" w:rsidP="00E03168">
      <w:pPr>
        <w:pStyle w:val="Body"/>
        <w:spacing w:after="0" w:line="360" w:lineRule="auto"/>
        <w:rPr>
          <w:rFonts w:cs="Times New Roman"/>
          <w:bCs/>
          <w:lang w:val="en-US"/>
        </w:rPr>
      </w:pPr>
      <w:r w:rsidRPr="007E3F23">
        <w:rPr>
          <w:rFonts w:cs="Times New Roman"/>
          <w:lang w:val="en-US"/>
        </w:rPr>
        <w:t xml:space="preserve">There are </w:t>
      </w:r>
      <w:r w:rsidR="007474EF">
        <w:rPr>
          <w:rFonts w:cs="Times New Roman"/>
          <w:lang w:val="en-US"/>
        </w:rPr>
        <w:t>two main</w:t>
      </w:r>
      <w:r w:rsidRPr="007E3F23">
        <w:rPr>
          <w:rFonts w:cs="Times New Roman"/>
          <w:lang w:val="en-US"/>
        </w:rPr>
        <w:t xml:space="preserve"> limitations of this study. First, the study was embedded within a small randomised controlled feasibility trial. A small number of patients with COPD therefore received a psychosocial intervention during the study. This amounted however</w:t>
      </w:r>
      <w:r w:rsidR="006742F5">
        <w:rPr>
          <w:rFonts w:cs="Times New Roman"/>
          <w:lang w:val="en-US"/>
        </w:rPr>
        <w:t>,</w:t>
      </w:r>
      <w:r w:rsidRPr="007E3F23">
        <w:rPr>
          <w:rFonts w:cs="Times New Roman"/>
          <w:lang w:val="en-US"/>
        </w:rPr>
        <w:t xml:space="preserve"> to less than 8% of the total number of patients with COPD at the study practices</w:t>
      </w:r>
      <w:r w:rsidR="00236B42">
        <w:rPr>
          <w:rFonts w:cs="Times New Roman"/>
          <w:lang w:val="en-US"/>
        </w:rPr>
        <w:t>.</w:t>
      </w:r>
      <w:r w:rsidRPr="007E3F23">
        <w:rPr>
          <w:rFonts w:cs="Times New Roman"/>
          <w:lang w:val="en-US"/>
        </w:rPr>
        <w:t xml:space="preserve"> </w:t>
      </w:r>
      <w:r w:rsidR="00236B42">
        <w:rPr>
          <w:rFonts w:cs="Times New Roman"/>
          <w:lang w:val="en-US"/>
        </w:rPr>
        <w:t>W</w:t>
      </w:r>
      <w:r w:rsidRPr="007E3F23">
        <w:rPr>
          <w:rFonts w:cs="Times New Roman"/>
          <w:lang w:val="en-US"/>
        </w:rPr>
        <w:t xml:space="preserve">e carried out analyses with and without these patients to check whether </w:t>
      </w:r>
      <w:r w:rsidR="00236B42">
        <w:rPr>
          <w:rFonts w:cs="Times New Roman"/>
          <w:lang w:val="en-US"/>
        </w:rPr>
        <w:t xml:space="preserve">or not </w:t>
      </w:r>
      <w:r w:rsidRPr="007E3F23">
        <w:rPr>
          <w:rFonts w:cs="Times New Roman"/>
          <w:lang w:val="en-US"/>
        </w:rPr>
        <w:t>there was an effect on the overall outcome</w:t>
      </w:r>
      <w:r w:rsidR="00236B42">
        <w:rPr>
          <w:rFonts w:cs="Times New Roman"/>
          <w:lang w:val="en-US"/>
        </w:rPr>
        <w:t xml:space="preserve"> and found that</w:t>
      </w:r>
      <w:r w:rsidRPr="007E3F23">
        <w:rPr>
          <w:rFonts w:cs="Times New Roman"/>
          <w:lang w:val="en-US"/>
        </w:rPr>
        <w:t xml:space="preserve"> </w:t>
      </w:r>
      <w:r w:rsidR="00236B42">
        <w:rPr>
          <w:rFonts w:cs="Times New Roman"/>
          <w:bCs/>
          <w:lang w:val="en-US"/>
        </w:rPr>
        <w:t>i</w:t>
      </w:r>
      <w:r w:rsidRPr="007E3F23">
        <w:rPr>
          <w:rFonts w:cs="Times New Roman"/>
          <w:bCs/>
          <w:lang w:val="en-US"/>
        </w:rPr>
        <w:t xml:space="preserve">nclusion of the patients who received the intervention did not impact on the overall results. </w:t>
      </w:r>
    </w:p>
    <w:p w14:paraId="52E08E2B" w14:textId="77777777" w:rsidR="00967504" w:rsidRDefault="00967504" w:rsidP="00E03168">
      <w:pPr>
        <w:pStyle w:val="Body"/>
        <w:spacing w:after="0" w:line="360" w:lineRule="auto"/>
        <w:rPr>
          <w:rFonts w:cs="Times New Roman"/>
          <w:bCs/>
          <w:lang w:val="en-US"/>
        </w:rPr>
      </w:pPr>
    </w:p>
    <w:p w14:paraId="6EB32741" w14:textId="65EB7C23" w:rsidR="009577BF" w:rsidRDefault="007474EF" w:rsidP="00E03168">
      <w:pPr>
        <w:pStyle w:val="Body"/>
        <w:spacing w:after="0" w:line="360" w:lineRule="auto"/>
        <w:rPr>
          <w:rFonts w:cs="Times New Roman"/>
          <w:lang w:val="en-US"/>
        </w:rPr>
      </w:pPr>
      <w:r>
        <w:rPr>
          <w:rFonts w:cs="Times New Roman"/>
          <w:lang w:val="en-US"/>
        </w:rPr>
        <w:t>Second</w:t>
      </w:r>
      <w:r w:rsidR="009577BF" w:rsidRPr="007E3F23">
        <w:rPr>
          <w:rFonts w:cs="Times New Roman"/>
          <w:lang w:val="en-US"/>
        </w:rPr>
        <w:t xml:space="preserve">, the response rate to the baseline questionnaire was approximately 50%. Whilst a higher response rate would have been desirable, response rates to postal questionnaires have been falling in the UK over recent years, and </w:t>
      </w:r>
      <w:r w:rsidR="006742F5">
        <w:rPr>
          <w:rFonts w:cs="Times New Roman"/>
          <w:lang w:val="en-US"/>
        </w:rPr>
        <w:t>our</w:t>
      </w:r>
      <w:r w:rsidR="009577BF" w:rsidRPr="007E3F23">
        <w:rPr>
          <w:rFonts w:cs="Times New Roman"/>
          <w:lang w:val="en-US"/>
        </w:rPr>
        <w:t xml:space="preserve"> response rate is comparable with other recent UK based primary care postal surveys</w:t>
      </w:r>
      <w:r w:rsidR="009577BF">
        <w:rPr>
          <w:rFonts w:cs="Times New Roman"/>
          <w:lang w:val="en-US"/>
        </w:rPr>
        <w:t xml:space="preserve"> </w:t>
      </w:r>
      <w:r w:rsidR="009577BF">
        <w:rPr>
          <w:rFonts w:cs="Times New Roman"/>
          <w:noProof/>
          <w:lang w:val="en-US"/>
        </w:rPr>
        <w:t>[</w:t>
      </w:r>
      <w:r w:rsidR="00AF5419">
        <w:rPr>
          <w:rFonts w:cs="Times New Roman"/>
          <w:noProof/>
          <w:lang w:val="en-US"/>
        </w:rPr>
        <w:t>36</w:t>
      </w:r>
      <w:r w:rsidR="009577BF">
        <w:rPr>
          <w:rFonts w:cs="Times New Roman"/>
          <w:noProof/>
          <w:lang w:val="en-US"/>
        </w:rPr>
        <w:t xml:space="preserve">, </w:t>
      </w:r>
      <w:r w:rsidR="00AF5419">
        <w:rPr>
          <w:rFonts w:cs="Times New Roman"/>
          <w:noProof/>
          <w:lang w:val="en-US"/>
        </w:rPr>
        <w:t>37</w:t>
      </w:r>
      <w:r w:rsidR="009577BF">
        <w:rPr>
          <w:rFonts w:cs="Times New Roman"/>
          <w:noProof/>
          <w:lang w:val="en-US"/>
        </w:rPr>
        <w:t>]</w:t>
      </w:r>
      <w:r w:rsidR="009577BF" w:rsidRPr="007E3F23">
        <w:rPr>
          <w:rFonts w:cs="Times New Roman"/>
          <w:lang w:val="en-US"/>
        </w:rPr>
        <w:t>.</w:t>
      </w:r>
      <w:r w:rsidR="009577BF">
        <w:rPr>
          <w:rFonts w:cs="Times New Roman"/>
          <w:lang w:val="en-US"/>
        </w:rPr>
        <w:t xml:space="preserve"> The study was also carried out in an area of high deprivation where response rates to postal questionnaires have fallen over the last 15 years </w:t>
      </w:r>
      <w:r w:rsidR="009577BF">
        <w:rPr>
          <w:rFonts w:cs="Times New Roman"/>
          <w:noProof/>
          <w:lang w:val="en-US"/>
        </w:rPr>
        <w:t>[</w:t>
      </w:r>
      <w:r w:rsidR="00AF5419">
        <w:rPr>
          <w:rFonts w:cs="Times New Roman"/>
          <w:noProof/>
          <w:lang w:val="en-US"/>
        </w:rPr>
        <w:t>38</w:t>
      </w:r>
      <w:r w:rsidR="009577BF">
        <w:rPr>
          <w:rFonts w:cs="Times New Roman"/>
          <w:noProof/>
          <w:lang w:val="en-US"/>
        </w:rPr>
        <w:t>]</w:t>
      </w:r>
      <w:r w:rsidR="009577BF">
        <w:rPr>
          <w:rFonts w:cs="Times New Roman"/>
          <w:lang w:val="en-US"/>
        </w:rPr>
        <w:t>.</w:t>
      </w:r>
      <w:r w:rsidR="009577BF" w:rsidRPr="00855047">
        <w:rPr>
          <w:rFonts w:cs="Times New Roman"/>
          <w:color w:val="auto"/>
          <w:lang w:val="en-US"/>
        </w:rPr>
        <w:t xml:space="preserve"> The crucial point about the response rate was whether it introduced any potential bias </w:t>
      </w:r>
      <w:r w:rsidR="009577BF" w:rsidRPr="00855047">
        <w:rPr>
          <w:rFonts w:cs="Times New Roman"/>
          <w:noProof/>
          <w:color w:val="auto"/>
          <w:lang w:val="en-US"/>
        </w:rPr>
        <w:t>[</w:t>
      </w:r>
      <w:r w:rsidR="00AF5419">
        <w:rPr>
          <w:rFonts w:cs="Times New Roman"/>
          <w:noProof/>
          <w:color w:val="auto"/>
          <w:lang w:val="en-US"/>
        </w:rPr>
        <w:t>39</w:t>
      </w:r>
      <w:r w:rsidR="009577BF" w:rsidRPr="00855047">
        <w:rPr>
          <w:rFonts w:cs="Times New Roman"/>
          <w:noProof/>
          <w:color w:val="auto"/>
          <w:lang w:val="en-US"/>
        </w:rPr>
        <w:t>]</w:t>
      </w:r>
      <w:r w:rsidR="009577BF" w:rsidRPr="00855047">
        <w:rPr>
          <w:rFonts w:cs="Times New Roman"/>
          <w:color w:val="auto"/>
          <w:lang w:val="en-US"/>
        </w:rPr>
        <w:t xml:space="preserve">. Specifically, did the participants and non -participants differ in respect to their use of urgent care or levels of depression?  </w:t>
      </w:r>
      <w:r w:rsidR="00EC56E1">
        <w:rPr>
          <w:rFonts w:cs="Times New Roman"/>
          <w:lang w:val="en-US"/>
        </w:rPr>
        <w:t xml:space="preserve">Using aggregated data, we </w:t>
      </w:r>
      <w:r>
        <w:rPr>
          <w:rFonts w:cs="Times New Roman"/>
          <w:lang w:val="en-US"/>
        </w:rPr>
        <w:t xml:space="preserve">found the rates of mental </w:t>
      </w:r>
      <w:r w:rsidR="00855047">
        <w:rPr>
          <w:rFonts w:cs="Times New Roman"/>
          <w:lang w:val="en-US"/>
        </w:rPr>
        <w:t xml:space="preserve">health problems and depression </w:t>
      </w:r>
      <w:r>
        <w:rPr>
          <w:rFonts w:cs="Times New Roman"/>
          <w:lang w:val="en-US"/>
        </w:rPr>
        <w:t xml:space="preserve">as recorded using </w:t>
      </w:r>
      <w:r w:rsidR="00EC56E1">
        <w:rPr>
          <w:rFonts w:cs="Times New Roman"/>
          <w:lang w:val="en-US"/>
        </w:rPr>
        <w:t xml:space="preserve">the </w:t>
      </w:r>
      <w:r>
        <w:rPr>
          <w:rFonts w:cs="Times New Roman"/>
          <w:lang w:val="en-US"/>
        </w:rPr>
        <w:t>QOF</w:t>
      </w:r>
      <w:r w:rsidR="00EC56E1">
        <w:rPr>
          <w:rFonts w:cs="Times New Roman"/>
          <w:lang w:val="en-US"/>
        </w:rPr>
        <w:t xml:space="preserve"> databases</w:t>
      </w:r>
      <w:r>
        <w:rPr>
          <w:rFonts w:cs="Times New Roman"/>
          <w:lang w:val="en-US"/>
        </w:rPr>
        <w:t>, were similar for the sub-group who completed the questionnaires</w:t>
      </w:r>
      <w:r w:rsidR="003A4976">
        <w:rPr>
          <w:rFonts w:cs="Times New Roman"/>
          <w:lang w:val="en-US"/>
        </w:rPr>
        <w:t xml:space="preserve"> and th</w:t>
      </w:r>
      <w:r w:rsidR="007D3535">
        <w:rPr>
          <w:rFonts w:cs="Times New Roman"/>
          <w:lang w:val="en-US"/>
        </w:rPr>
        <w:t>e group as a whole</w:t>
      </w:r>
      <w:r w:rsidR="00855047">
        <w:rPr>
          <w:rFonts w:cs="Times New Roman"/>
          <w:lang w:val="en-US"/>
        </w:rPr>
        <w:t>. However,</w:t>
      </w:r>
      <w:r w:rsidR="00E40FB0">
        <w:rPr>
          <w:rFonts w:cs="Times New Roman"/>
          <w:lang w:val="en-US"/>
        </w:rPr>
        <w:t xml:space="preserve"> we were not able to compare the groups on use of urgent healthcare</w:t>
      </w:r>
      <w:r w:rsidR="007D3535">
        <w:rPr>
          <w:rFonts w:cs="Times New Roman"/>
          <w:lang w:val="en-US"/>
        </w:rPr>
        <w:t>.</w:t>
      </w:r>
      <w:r>
        <w:rPr>
          <w:rFonts w:cs="Times New Roman"/>
          <w:lang w:val="en-US"/>
        </w:rPr>
        <w:t xml:space="preserve"> </w:t>
      </w:r>
    </w:p>
    <w:p w14:paraId="69F5DE53" w14:textId="77777777" w:rsidR="009577BF" w:rsidRPr="007E3F23" w:rsidRDefault="009577BF" w:rsidP="00E03168">
      <w:pPr>
        <w:pStyle w:val="Body"/>
        <w:spacing w:after="0" w:line="360" w:lineRule="auto"/>
        <w:rPr>
          <w:rFonts w:cs="Times New Roman"/>
          <w:lang w:val="en-US"/>
        </w:rPr>
      </w:pPr>
    </w:p>
    <w:p w14:paraId="69987766" w14:textId="21B0D57C" w:rsidR="009E35E3" w:rsidRDefault="009577BF" w:rsidP="003E752D">
      <w:pPr>
        <w:pStyle w:val="Body"/>
        <w:spacing w:after="0" w:line="360" w:lineRule="auto"/>
      </w:pPr>
      <w:r w:rsidRPr="007E3F23">
        <w:rPr>
          <w:rFonts w:cs="Times New Roman"/>
          <w:lang w:val="en-US"/>
        </w:rPr>
        <w:t xml:space="preserve">In conclusion, </w:t>
      </w:r>
      <w:r w:rsidR="00473C9A">
        <w:rPr>
          <w:rFonts w:cs="Times New Roman"/>
          <w:lang w:val="en-US"/>
        </w:rPr>
        <w:t xml:space="preserve">this study shows that </w:t>
      </w:r>
      <w:r w:rsidRPr="007E3F23">
        <w:rPr>
          <w:rFonts w:cs="Times New Roman"/>
          <w:lang w:val="en-US"/>
        </w:rPr>
        <w:t>depressive symptoms are common among patients with COPD in primary care</w:t>
      </w:r>
      <w:r w:rsidR="00473C9A">
        <w:rPr>
          <w:rFonts w:cs="Times New Roman"/>
          <w:lang w:val="en-US"/>
        </w:rPr>
        <w:t>.</w:t>
      </w:r>
      <w:r w:rsidRPr="007E3F23">
        <w:rPr>
          <w:rFonts w:cs="Times New Roman"/>
          <w:lang w:val="en-US"/>
        </w:rPr>
        <w:t xml:space="preserve"> </w:t>
      </w:r>
      <w:r w:rsidR="00473C9A">
        <w:rPr>
          <w:rFonts w:cs="Times New Roman"/>
          <w:lang w:val="en-US"/>
        </w:rPr>
        <w:t>It is likely that depression was under recognised in this cohort however, d</w:t>
      </w:r>
      <w:r w:rsidRPr="007E3F23">
        <w:rPr>
          <w:rFonts w:cs="Times New Roman"/>
          <w:lang w:val="en-US"/>
        </w:rPr>
        <w:t xml:space="preserve">epressive symptoms </w:t>
      </w:r>
      <w:r w:rsidR="00473C9A">
        <w:rPr>
          <w:rFonts w:cs="Times New Roman"/>
          <w:lang w:val="en-US"/>
        </w:rPr>
        <w:t>were</w:t>
      </w:r>
      <w:r w:rsidRPr="007E3F23">
        <w:rPr>
          <w:rFonts w:cs="Times New Roman"/>
          <w:lang w:val="en-US"/>
        </w:rPr>
        <w:t xml:space="preserve"> associated with 4</w:t>
      </w:r>
      <w:r w:rsidR="001A6609">
        <w:rPr>
          <w:rFonts w:cs="Times New Roman"/>
          <w:lang w:val="en-US"/>
        </w:rPr>
        <w:t>-</w:t>
      </w:r>
      <w:r w:rsidRPr="007E3F23">
        <w:rPr>
          <w:rFonts w:cs="Times New Roman"/>
          <w:lang w:val="en-US"/>
        </w:rPr>
        <w:t xml:space="preserve">fold </w:t>
      </w:r>
      <w:r w:rsidR="001A6609">
        <w:rPr>
          <w:rFonts w:cs="Times New Roman"/>
          <w:lang w:val="en-US"/>
        </w:rPr>
        <w:t xml:space="preserve">increased odds </w:t>
      </w:r>
      <w:r w:rsidRPr="007E3F23">
        <w:rPr>
          <w:rFonts w:cs="Times New Roman"/>
          <w:lang w:val="en-US"/>
        </w:rPr>
        <w:t xml:space="preserve">of </w:t>
      </w:r>
      <w:r w:rsidR="00473C9A">
        <w:rPr>
          <w:rFonts w:cs="Times New Roman"/>
          <w:lang w:val="en-US"/>
        </w:rPr>
        <w:t xml:space="preserve">the </w:t>
      </w:r>
      <w:r w:rsidRPr="007E3F23">
        <w:rPr>
          <w:rFonts w:cs="Times New Roman"/>
          <w:lang w:val="en-US"/>
        </w:rPr>
        <w:t>use of acute care, after controlling for severity of disease and co-morbidity.</w:t>
      </w:r>
      <w:r>
        <w:rPr>
          <w:rFonts w:cs="Times New Roman"/>
          <w:lang w:val="en-US"/>
        </w:rPr>
        <w:t xml:space="preserve"> </w:t>
      </w:r>
      <w:r w:rsidRPr="007E3F23">
        <w:rPr>
          <w:rFonts w:cs="Times New Roman"/>
          <w:lang w:val="en-US"/>
        </w:rPr>
        <w:t xml:space="preserve"> These results confirm that there are potentially modifiable psychosocial risk factors, which if addressed, could lead to reductions in avoidable emergency hospital admissions and ED attendances in COPD patients with mild to severe disease</w:t>
      </w:r>
      <w:r>
        <w:rPr>
          <w:rFonts w:cs="Times New Roman"/>
          <w:lang w:val="en-US"/>
        </w:rPr>
        <w:t>.</w:t>
      </w:r>
      <w:r w:rsidR="00690982">
        <w:rPr>
          <w:rFonts w:cs="Times New Roman"/>
          <w:lang w:val="en-US"/>
        </w:rPr>
        <w:t xml:space="preserve"> Such an approach is in line </w:t>
      </w:r>
      <w:r w:rsidR="001A6609">
        <w:rPr>
          <w:rFonts w:cs="Times New Roman"/>
          <w:lang w:val="en-US"/>
        </w:rPr>
        <w:t xml:space="preserve">with </w:t>
      </w:r>
      <w:r w:rsidR="00690982">
        <w:rPr>
          <w:rFonts w:cs="Times New Roman"/>
          <w:lang w:val="en-US"/>
        </w:rPr>
        <w:t xml:space="preserve">the </w:t>
      </w:r>
      <w:r w:rsidR="00690982">
        <w:t xml:space="preserve">Five Year Forward View </w:t>
      </w:r>
      <w:r w:rsidR="00BE7954">
        <w:t xml:space="preserve">and NHS Long-term Plan </w:t>
      </w:r>
      <w:r w:rsidR="00690982">
        <w:t>to drive and scale improvements in integration between physical and mental health care for people with long</w:t>
      </w:r>
      <w:r w:rsidR="001A6609">
        <w:t>-</w:t>
      </w:r>
      <w:r w:rsidR="00690982">
        <w:t>term conditions and depression</w:t>
      </w:r>
      <w:r w:rsidR="00AF5419">
        <w:t xml:space="preserve"> </w:t>
      </w:r>
      <w:r w:rsidR="00BE7954">
        <w:t>[</w:t>
      </w:r>
      <w:r w:rsidR="00AF5419">
        <w:t>40</w:t>
      </w:r>
      <w:r w:rsidR="00BE7954">
        <w:t>,</w:t>
      </w:r>
      <w:r w:rsidR="00843BBE">
        <w:t xml:space="preserve"> </w:t>
      </w:r>
      <w:r w:rsidR="00AF5419">
        <w:t>41</w:t>
      </w:r>
      <w:r w:rsidR="00BE7954">
        <w:t>]</w:t>
      </w:r>
      <w:r w:rsidR="00690982">
        <w:t>. There is scope to develop and test interventions to ameliorate depressive symptoms in COPD to deliver on this strategic goal in the NHS.</w:t>
      </w:r>
    </w:p>
    <w:p w14:paraId="0840619D" w14:textId="77777777" w:rsidR="00855047" w:rsidRDefault="00855047" w:rsidP="003E752D">
      <w:pPr>
        <w:pStyle w:val="Body"/>
        <w:spacing w:after="0" w:line="360" w:lineRule="auto"/>
        <w:rPr>
          <w:rFonts w:cs="Times New Roman"/>
          <w:lang w:val="en-US"/>
        </w:rPr>
      </w:pPr>
    </w:p>
    <w:p w14:paraId="013B2B7C" w14:textId="2691B4D3" w:rsidR="00CE6398" w:rsidRPr="008937D8" w:rsidRDefault="00CE6398" w:rsidP="002F003B">
      <w:pPr>
        <w:pStyle w:val="EndNoteBibliography"/>
        <w:ind w:left="720" w:hanging="720"/>
      </w:pPr>
      <w:r w:rsidRPr="008937D8">
        <w:rPr>
          <w:b/>
        </w:rPr>
        <w:lastRenderedPageBreak/>
        <w:t>References</w:t>
      </w:r>
    </w:p>
    <w:p w14:paraId="3CE7A05D" w14:textId="301E2259" w:rsidR="00CE6398" w:rsidRPr="00155EFD" w:rsidRDefault="00CE6398" w:rsidP="00CE6398">
      <w:pPr>
        <w:pStyle w:val="EndNoteBibliography"/>
        <w:ind w:left="720" w:hanging="720"/>
      </w:pPr>
      <w:bookmarkStart w:id="1" w:name="_ENREF_3"/>
      <w:r>
        <w:t>1</w:t>
      </w:r>
      <w:bookmarkStart w:id="2" w:name="_ENREF_11"/>
      <w:bookmarkEnd w:id="1"/>
      <w:r w:rsidRPr="00155EFD">
        <w:t>. Zhang M, Roger C, Cheung M, et al. Prevalence of depressive symptoms in patients with chronic obstructive pulmonary disease: a systematic review, meta-analysis, and meta-regression. General Hospital Psychiatry 2011;</w:t>
      </w:r>
      <w:r w:rsidRPr="00155EFD">
        <w:rPr>
          <w:b/>
        </w:rPr>
        <w:t>33</w:t>
      </w:r>
      <w:r w:rsidRPr="00155EFD">
        <w:t xml:space="preserve">(3):7 </w:t>
      </w:r>
      <w:bookmarkEnd w:id="2"/>
    </w:p>
    <w:p w14:paraId="1CFFDA45" w14:textId="0F18860E" w:rsidR="00CE6398" w:rsidRPr="00155EFD" w:rsidRDefault="00CE6398" w:rsidP="00CE6398">
      <w:pPr>
        <w:pStyle w:val="EndNoteBibliography"/>
        <w:ind w:left="720" w:hanging="720"/>
      </w:pPr>
      <w:bookmarkStart w:id="3" w:name="_ENREF_12"/>
      <w:r w:rsidRPr="00155EFD">
        <w:t>2. Matte D, Pizzichini M, Hoepers A, et al. Prevalence of depression in COPD: A systematic review and meta-anlaysis of controlled studies. Respiratory Medicine 2016;</w:t>
      </w:r>
      <w:r w:rsidRPr="00155EFD">
        <w:rPr>
          <w:b/>
        </w:rPr>
        <w:t>117</w:t>
      </w:r>
      <w:r w:rsidRPr="00155EFD">
        <w:t xml:space="preserve">:8 </w:t>
      </w:r>
      <w:bookmarkEnd w:id="3"/>
    </w:p>
    <w:p w14:paraId="1E654250" w14:textId="3ADB72C5" w:rsidR="00CE6398" w:rsidRPr="00155EFD" w:rsidRDefault="00CE6398" w:rsidP="00CE6398">
      <w:pPr>
        <w:pStyle w:val="EndNoteBibliography"/>
        <w:ind w:left="720" w:hanging="720"/>
      </w:pPr>
      <w:bookmarkStart w:id="4" w:name="_ENREF_13"/>
      <w:r w:rsidRPr="00155EFD">
        <w:t>3. Fan V, Giardino N, Blough D, et al. Costs of pulmonary rehabilitation and predictors of adherence in the National Emphysema Treatment Trial. COPD 2008;</w:t>
      </w:r>
      <w:r w:rsidRPr="00155EFD">
        <w:rPr>
          <w:b/>
        </w:rPr>
        <w:t>5</w:t>
      </w:r>
      <w:r w:rsidRPr="00155EFD">
        <w:t xml:space="preserve">(2):11 </w:t>
      </w:r>
      <w:bookmarkEnd w:id="4"/>
    </w:p>
    <w:p w14:paraId="2DADC836" w14:textId="0FCEC570" w:rsidR="00CE6398" w:rsidRPr="00155EFD" w:rsidRDefault="00CE6398" w:rsidP="00CE6398">
      <w:pPr>
        <w:pStyle w:val="EndNoteBibliography"/>
        <w:ind w:left="720" w:hanging="720"/>
      </w:pPr>
      <w:bookmarkStart w:id="5" w:name="_ENREF_14"/>
      <w:r w:rsidRPr="00155EFD">
        <w:t>4. Khdour M, Hawwa A, Kidney J, et al. Potential risk fators for medication non-adherence in patients with chronic obstructive pulmonary disease. European Jounral of Clinical Pharmacology 2012;</w:t>
      </w:r>
      <w:r w:rsidRPr="00155EFD">
        <w:rPr>
          <w:b/>
        </w:rPr>
        <w:t>68</w:t>
      </w:r>
      <w:r w:rsidRPr="00155EFD">
        <w:t xml:space="preserve">(10):8 </w:t>
      </w:r>
      <w:bookmarkEnd w:id="5"/>
    </w:p>
    <w:p w14:paraId="7EE68E97" w14:textId="0A791350" w:rsidR="00CE6398" w:rsidRPr="00155EFD" w:rsidRDefault="00CE6398" w:rsidP="00CE6398">
      <w:pPr>
        <w:pStyle w:val="EndNoteBibliography"/>
        <w:ind w:left="720" w:hanging="720"/>
      </w:pPr>
      <w:bookmarkStart w:id="6" w:name="_ENREF_15"/>
      <w:r w:rsidRPr="00155EFD">
        <w:t>5. Xu W, Collet J, Shapiro S, et al. Independant effect of depression and anxiety on chronic obstructive pulmonary disease exacerbations and hosptialisations. American Journal of Respiratory and Critical Care Medicine 2008;</w:t>
      </w:r>
      <w:r w:rsidRPr="00155EFD">
        <w:rPr>
          <w:b/>
        </w:rPr>
        <w:t>178</w:t>
      </w:r>
      <w:r w:rsidRPr="00155EFD">
        <w:t xml:space="preserve">(9):7 </w:t>
      </w:r>
      <w:bookmarkEnd w:id="6"/>
    </w:p>
    <w:p w14:paraId="6DF921ED" w14:textId="61E68B53" w:rsidR="00CE6398" w:rsidRPr="00155EFD" w:rsidRDefault="00CE6398" w:rsidP="00CE6398">
      <w:pPr>
        <w:pStyle w:val="EndNoteBibliography"/>
        <w:ind w:left="720" w:hanging="720"/>
      </w:pPr>
      <w:bookmarkStart w:id="7" w:name="_ENREF_16"/>
      <w:r w:rsidRPr="00155EFD">
        <w:t>6. Coventry PA, Gemmell I, Todd CJ. Psychosocial risk factors for hospital readmission in COPD patients on early discharge services: a cohort study. BMC Pulmonary Medicine 2011;</w:t>
      </w:r>
      <w:r w:rsidRPr="00155EFD">
        <w:rPr>
          <w:b/>
        </w:rPr>
        <w:t>11</w:t>
      </w:r>
      <w:r w:rsidRPr="00155EFD">
        <w:t>(1):49 doi: 10.1186</w:t>
      </w:r>
      <w:r>
        <w:t>/1471-2466-11-49</w:t>
      </w:r>
      <w:r w:rsidRPr="00155EFD">
        <w:t>.</w:t>
      </w:r>
      <w:bookmarkEnd w:id="7"/>
    </w:p>
    <w:p w14:paraId="099770AB" w14:textId="647BCFE2" w:rsidR="00CE6398" w:rsidRPr="00155EFD" w:rsidRDefault="00CE6398" w:rsidP="00CE6398">
      <w:pPr>
        <w:pStyle w:val="EndNoteBibliography"/>
        <w:ind w:left="720" w:hanging="720"/>
      </w:pPr>
      <w:bookmarkStart w:id="8" w:name="_ENREF_17"/>
      <w:r w:rsidRPr="00155EFD">
        <w:t>7. Kim H, Kumik M, Molinari V, et al. Functional impairment in COPD patients: the impact of anxiety and depression. Psychosomatics 2000;</w:t>
      </w:r>
      <w:r w:rsidRPr="00155EFD">
        <w:rPr>
          <w:b/>
        </w:rPr>
        <w:t>41</w:t>
      </w:r>
      <w:r w:rsidRPr="00155EFD">
        <w:t xml:space="preserve">(6):6 </w:t>
      </w:r>
      <w:bookmarkEnd w:id="8"/>
    </w:p>
    <w:p w14:paraId="11CA156F" w14:textId="7CE2FE0B" w:rsidR="00CE6398" w:rsidRDefault="00CE6398" w:rsidP="00CE6398">
      <w:pPr>
        <w:pStyle w:val="EndNoteBibliography"/>
        <w:ind w:left="720" w:hanging="720"/>
      </w:pPr>
      <w:bookmarkStart w:id="9" w:name="_ENREF_18"/>
      <w:r w:rsidRPr="00155EFD">
        <w:t>8. Blakemore A, Dickens C, Guthrie E, et al. Depression and anxiety predict health-related quality of life in chronic obstructive pulmonary disease: a systematic review and meta-analysis. International Journal of Chronic Obstructive Pulmonary Disease 2014;</w:t>
      </w:r>
      <w:r w:rsidRPr="00155EFD">
        <w:rPr>
          <w:b/>
        </w:rPr>
        <w:t>20</w:t>
      </w:r>
      <w:r w:rsidRPr="00155EFD">
        <w:t>(9):11 doi: 10.2147/C</w:t>
      </w:r>
      <w:r>
        <w:t>OPD.S58136</w:t>
      </w:r>
      <w:r w:rsidRPr="00155EFD">
        <w:t>.</w:t>
      </w:r>
      <w:bookmarkEnd w:id="9"/>
    </w:p>
    <w:p w14:paraId="6366F387" w14:textId="2B38F03F" w:rsidR="00CE6398" w:rsidRDefault="00CE6398" w:rsidP="00CE6398">
      <w:pPr>
        <w:pStyle w:val="EndNoteBibliography"/>
        <w:ind w:left="720" w:hanging="720"/>
      </w:pPr>
      <w:bookmarkStart w:id="10" w:name="_ENREF_19"/>
      <w:r w:rsidRPr="00155EFD">
        <w:t>9. Atlantis E, Fahey P, Cochrane B, et al. Bidirectional associatations between clinically relevant depression or anxiety and COPD: a systematic review. Chest 2014;</w:t>
      </w:r>
      <w:r w:rsidRPr="00155EFD">
        <w:rPr>
          <w:b/>
        </w:rPr>
        <w:t>144</w:t>
      </w:r>
      <w:r w:rsidRPr="00155EFD">
        <w:t>(3):1</w:t>
      </w:r>
      <w:r>
        <w:t>1 doi: 10.1378/chest.12-1911</w:t>
      </w:r>
      <w:r w:rsidRPr="00155EFD">
        <w:t>.</w:t>
      </w:r>
      <w:bookmarkEnd w:id="10"/>
    </w:p>
    <w:p w14:paraId="4A845B5F" w14:textId="347ECA6D" w:rsidR="00CE6398" w:rsidRPr="00155EFD" w:rsidRDefault="00CE6398" w:rsidP="00CE6398">
      <w:pPr>
        <w:pStyle w:val="EndNoteBibliography"/>
        <w:ind w:left="720" w:hanging="720"/>
      </w:pPr>
      <w:r>
        <w:t>10</w:t>
      </w:r>
      <w:r w:rsidRPr="00155EFD">
        <w:t>. Oostenbrink J, Rutten-van Molken M. Resource use and risk factors in high-cost exacerbations of COPD Respiratory Medicine 2004;</w:t>
      </w:r>
      <w:r w:rsidRPr="00155EFD">
        <w:rPr>
          <w:b/>
        </w:rPr>
        <w:t>98</w:t>
      </w:r>
      <w:r w:rsidRPr="00155EFD">
        <w:t xml:space="preserve">:883 </w:t>
      </w:r>
    </w:p>
    <w:p w14:paraId="52B21BD6" w14:textId="4F412B50" w:rsidR="00CE6398" w:rsidRDefault="00CE6398" w:rsidP="00CE6398">
      <w:pPr>
        <w:pStyle w:val="EndNoteBibliography"/>
        <w:ind w:left="720" w:hanging="720"/>
      </w:pPr>
      <w:r>
        <w:t>11</w:t>
      </w:r>
      <w:r w:rsidRPr="00155EFD">
        <w:t>. Mittmann N, Kuramoto L, Seung S, et al. The cost of moderate and severe COPD exacerbations in the Canadian healthcare system. Respiratory Medicine 2008;</w:t>
      </w:r>
      <w:r w:rsidRPr="00155EFD">
        <w:rPr>
          <w:b/>
        </w:rPr>
        <w:t>103</w:t>
      </w:r>
      <w:r w:rsidRPr="00155EFD">
        <w:t xml:space="preserve">(3):413 </w:t>
      </w:r>
    </w:p>
    <w:p w14:paraId="3E230B39" w14:textId="42656B4A" w:rsidR="00CE6398" w:rsidRPr="00155EFD" w:rsidRDefault="00CE6398" w:rsidP="00CE6398">
      <w:pPr>
        <w:pStyle w:val="EndNoteBibliography"/>
        <w:ind w:left="720" w:hanging="720"/>
      </w:pPr>
      <w:bookmarkStart w:id="11" w:name="_ENREF_20"/>
      <w:r>
        <w:t>12</w:t>
      </w:r>
      <w:r w:rsidRPr="00155EFD">
        <w:t>. Dickens C, Katon W, Blakemore A, et al. Does depression predict the use of urgent and unsch</w:t>
      </w:r>
      <w:r>
        <w:t>eduled care by people with long-</w:t>
      </w:r>
      <w:r w:rsidRPr="00155EFD">
        <w:t>term conditions? A systematic review with meta-analysis. Journal of Psychosomatic Research 2012;</w:t>
      </w:r>
      <w:r w:rsidRPr="00155EFD">
        <w:rPr>
          <w:b/>
        </w:rPr>
        <w:t>73</w:t>
      </w:r>
      <w:r w:rsidRPr="00155EFD">
        <w:t>(5):8 doi: 10.1016/j.jpsychores.</w:t>
      </w:r>
      <w:r>
        <w:t>2012.08.018</w:t>
      </w:r>
      <w:r w:rsidRPr="00155EFD">
        <w:t>.</w:t>
      </w:r>
      <w:bookmarkEnd w:id="11"/>
    </w:p>
    <w:p w14:paraId="61725ED3" w14:textId="5D857E81" w:rsidR="00CE6398" w:rsidRPr="00155EFD" w:rsidRDefault="00CE6398" w:rsidP="00CE6398">
      <w:pPr>
        <w:pStyle w:val="EndNoteBibliography"/>
        <w:ind w:left="720" w:hanging="720"/>
      </w:pPr>
      <w:bookmarkStart w:id="12" w:name="_ENREF_21"/>
      <w:r>
        <w:t>13</w:t>
      </w:r>
      <w:r w:rsidRPr="00155EFD">
        <w:t>. Guthrie E, Dickens C, Blakemore A, et al. Depression predicts future emergency hospital admission in primary care patients with long-term physical illness: a cohort study. Journal of Psychosomatic Research 2016;</w:t>
      </w:r>
      <w:r w:rsidRPr="00155EFD">
        <w:rPr>
          <w:b/>
        </w:rPr>
        <w:t>82</w:t>
      </w:r>
      <w:r w:rsidRPr="00155EFD">
        <w:t xml:space="preserve">:8 </w:t>
      </w:r>
      <w:bookmarkEnd w:id="12"/>
    </w:p>
    <w:p w14:paraId="7BACABAD" w14:textId="6BF996A7" w:rsidR="00CE6398" w:rsidRDefault="00CE6398" w:rsidP="00CE6398">
      <w:pPr>
        <w:pStyle w:val="EndNoteBibliography"/>
        <w:ind w:left="720" w:hanging="720"/>
      </w:pPr>
      <w:bookmarkStart w:id="13" w:name="_ENREF_22"/>
      <w:r>
        <w:t>14</w:t>
      </w:r>
      <w:r w:rsidRPr="00155EFD">
        <w:t>. Foster J, Yawn B, Maziar A, et al. Enhancing COPD management in primary care settings. Medscape General Medicine 2007;</w:t>
      </w:r>
      <w:r w:rsidRPr="00155EFD">
        <w:rPr>
          <w:b/>
        </w:rPr>
        <w:t>9</w:t>
      </w:r>
      <w:r w:rsidRPr="00155EFD">
        <w:t xml:space="preserve">(3) </w:t>
      </w:r>
      <w:bookmarkEnd w:id="13"/>
    </w:p>
    <w:p w14:paraId="0657FCCA" w14:textId="2F26305B" w:rsidR="00CE6398" w:rsidRPr="00155EFD" w:rsidRDefault="00CE6398" w:rsidP="00CE6398">
      <w:pPr>
        <w:pStyle w:val="EndNoteBibliography"/>
        <w:ind w:left="720" w:hanging="720"/>
      </w:pPr>
      <w:bookmarkStart w:id="14" w:name="_ENREF_23"/>
      <w:r>
        <w:t>15</w:t>
      </w:r>
      <w:r w:rsidRPr="00155EFD">
        <w:t>. Calederon-Larranga A, Carney L, Soljack M, et al. Association of population and primary healthcare factors with hospital admission rates for chronic obstructive pulmonary disease in England: national cross-sectional survey. Thorax 2011;</w:t>
      </w:r>
      <w:r w:rsidRPr="00155EFD">
        <w:rPr>
          <w:b/>
        </w:rPr>
        <w:t>66</w:t>
      </w:r>
      <w:r w:rsidRPr="00155EFD">
        <w:t xml:space="preserve">(3) </w:t>
      </w:r>
      <w:r>
        <w:t>doi: 10.1136/thx.2010.147058</w:t>
      </w:r>
      <w:r w:rsidRPr="00155EFD">
        <w:t>.</w:t>
      </w:r>
      <w:bookmarkEnd w:id="14"/>
    </w:p>
    <w:p w14:paraId="7889939E" w14:textId="66DC2731" w:rsidR="00CE6398" w:rsidRDefault="00CE6398" w:rsidP="00CE6398">
      <w:pPr>
        <w:pStyle w:val="EndNoteBibliography"/>
        <w:ind w:left="720" w:hanging="720"/>
      </w:pPr>
      <w:bookmarkStart w:id="15" w:name="_ENREF_24"/>
      <w:r>
        <w:t>16</w:t>
      </w:r>
      <w:r w:rsidRPr="00155EFD">
        <w:t>. Langer S, Chew-Graham CA, Drinkwater J, et al. A motivational intervention for patients with COPD in primary care: qualitative evaluation of a new practitioner role. BMC Family Practice 2014;</w:t>
      </w:r>
      <w:r w:rsidRPr="00155EFD">
        <w:rPr>
          <w:b/>
        </w:rPr>
        <w:t>15</w:t>
      </w:r>
      <w:r w:rsidRPr="00155EFD">
        <w:t>(1):164 d</w:t>
      </w:r>
      <w:r>
        <w:t>oi: 10.1186/1471-2296-15-164</w:t>
      </w:r>
      <w:r w:rsidRPr="00155EFD">
        <w:t>.</w:t>
      </w:r>
      <w:bookmarkEnd w:id="15"/>
    </w:p>
    <w:p w14:paraId="10FFA629" w14:textId="229D23DD" w:rsidR="00CE6398" w:rsidRPr="00CE6398" w:rsidRDefault="00CE6398" w:rsidP="00CE6398">
      <w:pPr>
        <w:pStyle w:val="EndNoteBibliography"/>
        <w:ind w:left="720" w:hanging="720"/>
      </w:pPr>
      <w:bookmarkStart w:id="16" w:name="_ENREF_25"/>
      <w:r>
        <w:t>17. Guthrie E, Afzal C, Blakely C, et al. CHOICE: Choosing Health Options in Chronic Care Emergencies. Programme Grants for Applied Research 2017;</w:t>
      </w:r>
      <w:r>
        <w:rPr>
          <w:b/>
        </w:rPr>
        <w:t>5</w:t>
      </w:r>
      <w:r>
        <w:t>(13)</w:t>
      </w:r>
    </w:p>
    <w:p w14:paraId="7626FF7E" w14:textId="17F21126" w:rsidR="00CE6398" w:rsidRPr="00155EFD" w:rsidRDefault="00CE6398" w:rsidP="00CE6398">
      <w:pPr>
        <w:pStyle w:val="EndNoteBibliography"/>
        <w:ind w:left="720" w:hanging="720"/>
      </w:pPr>
      <w:r>
        <w:t>18</w:t>
      </w:r>
      <w:r w:rsidRPr="00155EFD">
        <w:t xml:space="preserve">. Department of Health. Investing in general practice: the new general medical services contract. Secondary Investing in general practice: the new general medical services contract  2003. </w:t>
      </w:r>
      <w:bookmarkEnd w:id="16"/>
      <w:r w:rsidR="002F003B">
        <w:rPr>
          <w:rStyle w:val="Hyperlink"/>
        </w:rPr>
        <w:lastRenderedPageBreak/>
        <w:fldChar w:fldCharType="begin"/>
      </w:r>
      <w:r w:rsidR="002F003B">
        <w:rPr>
          <w:rStyle w:val="Hyperlink"/>
        </w:rPr>
        <w:instrText xml:space="preserve"> HYPERLINK "http://www.nhsemployers.org/~/media/Employers/Documents/SiteCollectionDocuments/gms_contract_cd_130209.pdf" </w:instrText>
      </w:r>
      <w:r w:rsidR="002F003B">
        <w:rPr>
          <w:rStyle w:val="Hyperlink"/>
        </w:rPr>
        <w:fldChar w:fldCharType="separate"/>
      </w:r>
      <w:r w:rsidRPr="002301E0">
        <w:rPr>
          <w:rStyle w:val="Hyperlink"/>
        </w:rPr>
        <w:t>http://www.nhsemployers.org/~/media/Employers/Documents/SiteCollectionDocuments/gms_contract_cd_130209.pdf</w:t>
      </w:r>
      <w:r w:rsidR="002F003B">
        <w:rPr>
          <w:rStyle w:val="Hyperlink"/>
        </w:rPr>
        <w:fldChar w:fldCharType="end"/>
      </w:r>
      <w:r w:rsidRPr="00155EFD">
        <w:t>.</w:t>
      </w:r>
    </w:p>
    <w:p w14:paraId="4937C625" w14:textId="20C5995B" w:rsidR="00CE6398" w:rsidRDefault="00CE6398" w:rsidP="00CE6398">
      <w:pPr>
        <w:pStyle w:val="EndNoteBibliography"/>
        <w:ind w:left="720" w:hanging="720"/>
      </w:pPr>
      <w:bookmarkStart w:id="17" w:name="_ENREF_26"/>
      <w:r>
        <w:t>1</w:t>
      </w:r>
      <w:r w:rsidR="0069386D">
        <w:t>9</w:t>
      </w:r>
      <w:r w:rsidRPr="00155EFD">
        <w:t>. Global Initiative for Chronic Obstructive Pulmonary Disease. Global Strategy for Diagnosis, Management, and Prevention of COPD, 2011.</w:t>
      </w:r>
      <w:bookmarkEnd w:id="17"/>
    </w:p>
    <w:p w14:paraId="052975D0" w14:textId="7B4B9D33" w:rsidR="00CE6398" w:rsidRPr="00155EFD" w:rsidRDefault="0069386D" w:rsidP="00CE6398">
      <w:pPr>
        <w:pStyle w:val="EndNoteBibliography"/>
        <w:ind w:left="720" w:hanging="720"/>
      </w:pPr>
      <w:bookmarkStart w:id="18" w:name="_ENREF_27"/>
      <w:r>
        <w:t>20</w:t>
      </w:r>
      <w:r w:rsidR="00CE6398" w:rsidRPr="00155EFD">
        <w:t>. Zigmond AS, Snaith RP. The hospital anxiety and depression scale. Acta Psychiatrica Scandinavica 1983;</w:t>
      </w:r>
      <w:r w:rsidR="00CE6398" w:rsidRPr="00155EFD">
        <w:rPr>
          <w:b/>
        </w:rPr>
        <w:t>67</w:t>
      </w:r>
      <w:r w:rsidR="00CE6398" w:rsidRPr="00155EFD">
        <w:t>(6):361-70 doi: 10.111</w:t>
      </w:r>
      <w:r w:rsidR="00CE6398">
        <w:t>1/j.1600-0447.1983.tb09716.x</w:t>
      </w:r>
      <w:r w:rsidR="00CE6398" w:rsidRPr="00155EFD">
        <w:t>.</w:t>
      </w:r>
      <w:bookmarkEnd w:id="18"/>
    </w:p>
    <w:p w14:paraId="2299521B" w14:textId="6C7CB538" w:rsidR="00CE6398" w:rsidRPr="00155EFD" w:rsidRDefault="0069386D" w:rsidP="00CE6398">
      <w:pPr>
        <w:pStyle w:val="EndNoteBibliography"/>
        <w:ind w:left="720" w:hanging="720"/>
      </w:pPr>
      <w:bookmarkStart w:id="19" w:name="_ENREF_28"/>
      <w:r>
        <w:t>21</w:t>
      </w:r>
      <w:r w:rsidR="00CE6398" w:rsidRPr="00155EFD">
        <w:t>. Bjelland I, Dahl AA, Haug TT, et al. The validity of the Hospital Anxiety and Depression Scale. Journal of Psychosomatic Research 2002;</w:t>
      </w:r>
      <w:r w:rsidR="00CE6398" w:rsidRPr="00155EFD">
        <w:rPr>
          <w:b/>
        </w:rPr>
        <w:t>52</w:t>
      </w:r>
      <w:r w:rsidR="00CE6398" w:rsidRPr="00155EFD">
        <w:t xml:space="preserve">(2):69-77 doi: </w:t>
      </w:r>
      <w:r w:rsidR="00CE6398" w:rsidRPr="009577BF">
        <w:t>http://dx.doi.org/10.1016</w:t>
      </w:r>
      <w:r w:rsidR="00CE6398">
        <w:t>/S0022-3999(01)00296-3</w:t>
      </w:r>
      <w:r w:rsidR="00CE6398" w:rsidRPr="00155EFD">
        <w:t>.</w:t>
      </w:r>
      <w:bookmarkEnd w:id="19"/>
    </w:p>
    <w:p w14:paraId="6EEF895B" w14:textId="425E2A5C" w:rsidR="00CE6398" w:rsidRDefault="0069386D" w:rsidP="00CE6398">
      <w:pPr>
        <w:pStyle w:val="EndNoteBibliography"/>
        <w:ind w:left="720" w:hanging="720"/>
      </w:pPr>
      <w:bookmarkStart w:id="20" w:name="_ENREF_29"/>
      <w:r>
        <w:t>22</w:t>
      </w:r>
      <w:r w:rsidR="00CE6398" w:rsidRPr="00155EFD">
        <w:t>. Brennan C, Worrall-Davies A, McMillan D, et al. The Hospital Anxiety and Depression Scale: A diagnostic meta-analysis of case-finding ability. Journal of Psychosomatic Research 2010;</w:t>
      </w:r>
      <w:r w:rsidR="00CE6398" w:rsidRPr="00155EFD">
        <w:rPr>
          <w:b/>
        </w:rPr>
        <w:t>69</w:t>
      </w:r>
      <w:r w:rsidR="00CE6398" w:rsidRPr="00155EFD">
        <w:t xml:space="preserve">(4):371-78 doi: </w:t>
      </w:r>
      <w:bookmarkEnd w:id="20"/>
      <w:r w:rsidR="002F003B">
        <w:rPr>
          <w:rStyle w:val="Hyperlink"/>
        </w:rPr>
        <w:fldChar w:fldCharType="begin"/>
      </w:r>
      <w:r w:rsidR="002F003B">
        <w:rPr>
          <w:rStyle w:val="Hyperlink"/>
        </w:rPr>
        <w:instrText xml:space="preserve"> HYPERLINK "http://dx.doi.org/10.1016/j.jpsychores.2010.04.006" </w:instrText>
      </w:r>
      <w:r w:rsidR="002F003B">
        <w:rPr>
          <w:rStyle w:val="Hyperlink"/>
        </w:rPr>
        <w:fldChar w:fldCharType="separate"/>
      </w:r>
      <w:r w:rsidR="001D1855" w:rsidRPr="00913193">
        <w:rPr>
          <w:rStyle w:val="Hyperlink"/>
        </w:rPr>
        <w:t>http://dx.doi.org/10.1016/j.jpsychores.2010.04.006</w:t>
      </w:r>
      <w:r w:rsidR="002F003B">
        <w:rPr>
          <w:rStyle w:val="Hyperlink"/>
        </w:rPr>
        <w:fldChar w:fldCharType="end"/>
      </w:r>
      <w:r w:rsidR="00CE6398" w:rsidRPr="00155EFD">
        <w:t>.</w:t>
      </w:r>
    </w:p>
    <w:p w14:paraId="2F0F147F" w14:textId="3278E0C4" w:rsidR="001D1855" w:rsidRPr="001D1855" w:rsidRDefault="001D1855" w:rsidP="00CE6398">
      <w:pPr>
        <w:pStyle w:val="EndNoteBibliography"/>
        <w:ind w:left="720" w:hanging="720"/>
      </w:pPr>
      <w:bookmarkStart w:id="21" w:name="_ENREF_30"/>
      <w:r>
        <w:t>23. Creed F, Morgan R, Fiddler M, et al. Depression and anxiety impair health-related quality of life an are associated with increased costs in general medical inpatients. Psychosomatics 2002; 43: 302-309</w:t>
      </w:r>
    </w:p>
    <w:p w14:paraId="7675670F" w14:textId="6F180B85" w:rsidR="00CE6398" w:rsidRDefault="0069386D" w:rsidP="00CE6398">
      <w:pPr>
        <w:pStyle w:val="EndNoteBibliography"/>
        <w:ind w:left="720" w:hanging="720"/>
      </w:pPr>
      <w:r>
        <w:t>2</w:t>
      </w:r>
      <w:r w:rsidR="001D1855">
        <w:t>4</w:t>
      </w:r>
      <w:r w:rsidR="00CE6398" w:rsidRPr="00155EFD">
        <w:t>. Garcia-Aymerich J, Farrero E, Félez MA, et al. Risk factors of readmission to hospital for a COPD exacerbation: a prospective study. Thorax 2003;</w:t>
      </w:r>
      <w:r w:rsidR="00CE6398" w:rsidRPr="00155EFD">
        <w:rPr>
          <w:b/>
        </w:rPr>
        <w:t>58</w:t>
      </w:r>
      <w:r w:rsidR="00CE6398" w:rsidRPr="00155EFD">
        <w:t xml:space="preserve">(2):100-05 </w:t>
      </w:r>
      <w:r w:rsidR="00CE6398">
        <w:t>doi: 10.1136/thorax.58.2.100</w:t>
      </w:r>
      <w:r w:rsidR="00CE6398" w:rsidRPr="00155EFD">
        <w:t>.</w:t>
      </w:r>
      <w:bookmarkEnd w:id="21"/>
    </w:p>
    <w:p w14:paraId="323004D2" w14:textId="2669723A" w:rsidR="0069386D" w:rsidRPr="00155EFD" w:rsidRDefault="001D1855" w:rsidP="0069386D">
      <w:pPr>
        <w:pStyle w:val="EndNoteBibliography"/>
        <w:ind w:left="720" w:hanging="720"/>
      </w:pPr>
      <w:bookmarkStart w:id="22" w:name="_ENREF_31"/>
      <w:r>
        <w:t>25</w:t>
      </w:r>
      <w:r w:rsidR="0069386D" w:rsidRPr="00155EFD">
        <w:t>. Almagro P, Barreiro B, Ochoa de Echaguen A, et al. Risk factors for hospital readmission in patients with chronic obstructive pulmonary disease. Respiration 2006;</w:t>
      </w:r>
      <w:r w:rsidR="0069386D" w:rsidRPr="00155EFD">
        <w:rPr>
          <w:b/>
        </w:rPr>
        <w:t>73</w:t>
      </w:r>
      <w:r w:rsidR="0069386D" w:rsidRPr="00155EFD">
        <w:t xml:space="preserve">(3):311-17 </w:t>
      </w:r>
      <w:bookmarkEnd w:id="22"/>
    </w:p>
    <w:p w14:paraId="7735CA19" w14:textId="0742B2A9" w:rsidR="0069386D" w:rsidRPr="00155EFD" w:rsidRDefault="001D1855" w:rsidP="0069386D">
      <w:pPr>
        <w:pStyle w:val="EndNoteBibliography"/>
        <w:ind w:left="720" w:hanging="720"/>
      </w:pPr>
      <w:bookmarkStart w:id="23" w:name="_ENREF_32"/>
      <w:r>
        <w:t>26</w:t>
      </w:r>
      <w:r w:rsidR="0069386D" w:rsidRPr="00155EFD">
        <w:t>. von Elm E, Altman D, Egger M, et al. The strengthening of reporting of observational studies in epidemiology (STROBE) statement: guidelines for reporting observational studies. The Lancet 2007;</w:t>
      </w:r>
      <w:r w:rsidR="0069386D" w:rsidRPr="00155EFD">
        <w:rPr>
          <w:b/>
        </w:rPr>
        <w:t>370</w:t>
      </w:r>
      <w:r w:rsidR="0069386D" w:rsidRPr="00155EFD">
        <w:t xml:space="preserve">(9596):1453-57 </w:t>
      </w:r>
      <w:bookmarkEnd w:id="23"/>
    </w:p>
    <w:p w14:paraId="65970ACE" w14:textId="67281847" w:rsidR="0069386D" w:rsidRPr="00155EFD" w:rsidRDefault="001D1855" w:rsidP="0069386D">
      <w:pPr>
        <w:pStyle w:val="EndNoteBibliography"/>
        <w:ind w:left="720" w:hanging="720"/>
      </w:pPr>
      <w:bookmarkStart w:id="24" w:name="_ENREF_33"/>
      <w:r>
        <w:t>27</w:t>
      </w:r>
      <w:r w:rsidR="0069386D" w:rsidRPr="00155EFD">
        <w:t>. Hunter C, Chew-Graham C, Langer S, et al. A qualitative study of patient choices in using emergency health care for long-term conditions: The importance of candidacy and recursivity. Patient Education and Counseling 2013;</w:t>
      </w:r>
      <w:r w:rsidR="0069386D" w:rsidRPr="00155EFD">
        <w:rPr>
          <w:b/>
        </w:rPr>
        <w:t>93</w:t>
      </w:r>
      <w:r w:rsidR="0069386D" w:rsidRPr="00155EFD">
        <w:t xml:space="preserve">(2):335-41 doi: </w:t>
      </w:r>
      <w:r w:rsidR="0069386D" w:rsidRPr="009577BF">
        <w:t>http://dx.doi.org/10.</w:t>
      </w:r>
      <w:r w:rsidR="0069386D">
        <w:t>1016/j.pec.2013.06.001</w:t>
      </w:r>
      <w:r w:rsidR="0069386D" w:rsidRPr="00155EFD">
        <w:t>.</w:t>
      </w:r>
      <w:bookmarkEnd w:id="24"/>
    </w:p>
    <w:p w14:paraId="6E866610" w14:textId="65AA6704" w:rsidR="0069386D" w:rsidRDefault="001D1855" w:rsidP="0069386D">
      <w:pPr>
        <w:pStyle w:val="EndNoteBibliography"/>
        <w:ind w:left="720" w:hanging="720"/>
      </w:pPr>
      <w:bookmarkStart w:id="25" w:name="_ENREF_34"/>
      <w:r>
        <w:t>28</w:t>
      </w:r>
      <w:r w:rsidR="0069386D" w:rsidRPr="00155EFD">
        <w:t>. Langer S, Chew-Graham C, Hunter C, et al. Why do patients with long-term conditions use unscheduled care? A qualitative literature review. Health &amp; Social Care in the Community 2013;</w:t>
      </w:r>
      <w:r w:rsidR="0069386D" w:rsidRPr="00155EFD">
        <w:rPr>
          <w:b/>
        </w:rPr>
        <w:t>21</w:t>
      </w:r>
      <w:r w:rsidR="0069386D" w:rsidRPr="00155EFD">
        <w:t>(4):339-51 doi: 10.1111/j.1365-2524.2012.0109</w:t>
      </w:r>
      <w:r w:rsidR="0069386D">
        <w:t>3.x</w:t>
      </w:r>
      <w:r w:rsidR="0069386D" w:rsidRPr="00155EFD">
        <w:t>.</w:t>
      </w:r>
      <w:bookmarkEnd w:id="25"/>
    </w:p>
    <w:p w14:paraId="107FCCDA" w14:textId="2A6DACDD" w:rsidR="0069386D" w:rsidRPr="00155EFD" w:rsidRDefault="001D1855" w:rsidP="0069386D">
      <w:pPr>
        <w:pStyle w:val="EndNoteBibliography"/>
        <w:ind w:left="720" w:hanging="720"/>
      </w:pPr>
      <w:bookmarkStart w:id="26" w:name="_ENREF_35"/>
      <w:r>
        <w:t>29</w:t>
      </w:r>
      <w:r w:rsidR="0069386D" w:rsidRPr="00155EFD">
        <w:t>. DiMatteo M, Lepper HS, Croghan TW. Depression is a risk factor for noncompliance with medical treatment: Meta-analysis of the effects of anxiety and depression on patient adherence. Archives of Internal Medicine 2000;</w:t>
      </w:r>
      <w:r w:rsidR="0069386D" w:rsidRPr="00155EFD">
        <w:rPr>
          <w:b/>
        </w:rPr>
        <w:t>160</w:t>
      </w:r>
      <w:r w:rsidR="0069386D" w:rsidRPr="00155EFD">
        <w:t xml:space="preserve">(14):2101-07 doi: </w:t>
      </w:r>
      <w:r w:rsidR="0069386D">
        <w:t>10.1001/archinte.160.14.2101</w:t>
      </w:r>
      <w:r w:rsidR="0069386D" w:rsidRPr="00155EFD">
        <w:t>.</w:t>
      </w:r>
      <w:bookmarkEnd w:id="26"/>
    </w:p>
    <w:p w14:paraId="11E27DAC" w14:textId="3A8A1C3C" w:rsidR="0069386D" w:rsidRPr="00155EFD" w:rsidRDefault="001D1855" w:rsidP="0069386D">
      <w:pPr>
        <w:pStyle w:val="EndNoteBibliography"/>
        <w:ind w:left="720" w:hanging="720"/>
      </w:pPr>
      <w:bookmarkStart w:id="27" w:name="_ENREF_36"/>
      <w:r>
        <w:t>30</w:t>
      </w:r>
      <w:r w:rsidR="0069386D" w:rsidRPr="00155EFD">
        <w:t>. Yıldırım A, Hacıhasanoğlu Aşılar R, Bakar N, et al. Effect of anxiety and depression on self-care agency and quality of life in hospitalized patients with chronic obstructive pulmonary disease: A questionnaire survey. International Journal of Nursing Practice 2013;</w:t>
      </w:r>
      <w:r w:rsidR="0069386D" w:rsidRPr="00155EFD">
        <w:rPr>
          <w:b/>
        </w:rPr>
        <w:t>19</w:t>
      </w:r>
      <w:r w:rsidR="0069386D" w:rsidRPr="00155EFD">
        <w:t>(1):</w:t>
      </w:r>
      <w:r w:rsidR="0069386D">
        <w:t>14-22 doi: 10.1111/ijn.12031</w:t>
      </w:r>
      <w:r w:rsidR="0069386D" w:rsidRPr="00155EFD">
        <w:t>.</w:t>
      </w:r>
      <w:bookmarkEnd w:id="27"/>
    </w:p>
    <w:p w14:paraId="38FBE4FC" w14:textId="73A972DD" w:rsidR="0069386D" w:rsidRPr="00155EFD" w:rsidRDefault="00AF5419" w:rsidP="0069386D">
      <w:pPr>
        <w:pStyle w:val="EndNoteBibliography"/>
        <w:ind w:left="720" w:hanging="720"/>
      </w:pPr>
      <w:bookmarkStart w:id="28" w:name="_ENREF_37"/>
      <w:r>
        <w:t>31</w:t>
      </w:r>
      <w:r w:rsidR="0069386D" w:rsidRPr="00155EFD">
        <w:t>. Yohannes AM, Baldwin RC, Connolly MJ. Mood disorders in elderly patients with chronic obstructive pulmonary disease. Reviews in Clinical Gerontology 2000;</w:t>
      </w:r>
      <w:r w:rsidR="0069386D" w:rsidRPr="00155EFD">
        <w:rPr>
          <w:b/>
        </w:rPr>
        <w:t>10</w:t>
      </w:r>
      <w:r w:rsidR="0069386D" w:rsidRPr="00155EFD">
        <w:t>:193-202 do</w:t>
      </w:r>
      <w:r w:rsidR="0069386D">
        <w:t>i: 10.1017/s0959259800002100</w:t>
      </w:r>
      <w:r w:rsidR="0069386D" w:rsidRPr="00155EFD">
        <w:t>.</w:t>
      </w:r>
      <w:bookmarkEnd w:id="28"/>
    </w:p>
    <w:p w14:paraId="328C658C" w14:textId="61FB26B5" w:rsidR="0069386D" w:rsidRDefault="00AF5419" w:rsidP="0069386D">
      <w:pPr>
        <w:pStyle w:val="EndNoteBibliography"/>
        <w:ind w:left="720" w:hanging="720"/>
      </w:pPr>
      <w:bookmarkStart w:id="29" w:name="_ENREF_38"/>
      <w:r>
        <w:t>32</w:t>
      </w:r>
      <w:r w:rsidR="0069386D" w:rsidRPr="00155EFD">
        <w:t>. Coventry PA, Dickens C, Todd C. How does mental–physical multimorbidity express itself in lived time and space? A phenomenological analysis of encounters with depression and chronic physical illness. Social Science &amp; Medicine 2014;</w:t>
      </w:r>
      <w:r w:rsidR="0069386D" w:rsidRPr="00155EFD">
        <w:rPr>
          <w:b/>
        </w:rPr>
        <w:t>118</w:t>
      </w:r>
      <w:r w:rsidR="0069386D" w:rsidRPr="00155EFD">
        <w:t xml:space="preserve">:108-18 doi: </w:t>
      </w:r>
      <w:r w:rsidR="0069386D" w:rsidRPr="009577BF">
        <w:t>http://dx.doi.org/10.1016/j.socscimed.2014.07.068[published</w:t>
      </w:r>
      <w:r w:rsidR="0069386D" w:rsidRPr="00155EFD">
        <w:t xml:space="preserve"> Online First: Epub Date]|.</w:t>
      </w:r>
      <w:bookmarkEnd w:id="29"/>
    </w:p>
    <w:p w14:paraId="56826B26" w14:textId="1B45B697" w:rsidR="0069386D" w:rsidRPr="00155EFD" w:rsidRDefault="00AF5419" w:rsidP="0069386D">
      <w:pPr>
        <w:pStyle w:val="EndNoteBibliography"/>
        <w:ind w:left="720" w:hanging="720"/>
      </w:pPr>
      <w:bookmarkStart w:id="30" w:name="_ENREF_39"/>
      <w:r>
        <w:t>33</w:t>
      </w:r>
      <w:r w:rsidR="0069386D" w:rsidRPr="00155EFD">
        <w:t>. Laurin C, Moullec G, Bacon SL, et al. Impact of Anxiety and Depression on Chronic Obstructive Pulmonary Disease Exacerbation Risk. American Journal of Respiratory and Critical Care Medicine 2012;</w:t>
      </w:r>
      <w:r w:rsidR="0069386D" w:rsidRPr="00155EFD">
        <w:rPr>
          <w:b/>
        </w:rPr>
        <w:t>185</w:t>
      </w:r>
      <w:r w:rsidR="0069386D" w:rsidRPr="00155EFD">
        <w:t>(9):918-23 doi: 10.1164/rccm.2011</w:t>
      </w:r>
      <w:r w:rsidR="0069386D">
        <w:t>05-0939PP</w:t>
      </w:r>
      <w:r w:rsidR="0069386D" w:rsidRPr="00155EFD">
        <w:t>.</w:t>
      </w:r>
      <w:bookmarkEnd w:id="30"/>
    </w:p>
    <w:p w14:paraId="645567CB" w14:textId="0A8EBD17" w:rsidR="0069386D" w:rsidRPr="00155EFD" w:rsidRDefault="00AF5419" w:rsidP="0069386D">
      <w:pPr>
        <w:pStyle w:val="EndNoteBibliography"/>
        <w:ind w:left="720" w:hanging="720"/>
      </w:pPr>
      <w:bookmarkStart w:id="31" w:name="_ENREF_40"/>
      <w:r>
        <w:t>34</w:t>
      </w:r>
      <w:r w:rsidR="0069386D" w:rsidRPr="00155EFD">
        <w:t xml:space="preserve">. Blakeley C, Blakemore A, Hunter C, et al. Does anxiety predict the use of </w:t>
      </w:r>
      <w:r w:rsidR="0069386D">
        <w:t>urgent care by people with long-</w:t>
      </w:r>
      <w:r w:rsidR="0069386D" w:rsidRPr="00155EFD">
        <w:t>term conditions? A systematic review with meta-analysis. Journal of Psychosomatic Research 2014;</w:t>
      </w:r>
      <w:r w:rsidR="0069386D" w:rsidRPr="00155EFD">
        <w:rPr>
          <w:b/>
        </w:rPr>
        <w:t>77</w:t>
      </w:r>
      <w:r w:rsidR="0069386D" w:rsidRPr="00155EFD">
        <w:t>(3):232-39 doi: 10.1016/j.jpsycho</w:t>
      </w:r>
      <w:r w:rsidR="0069386D">
        <w:t>res.2014.06.010</w:t>
      </w:r>
      <w:r w:rsidR="0069386D" w:rsidRPr="00155EFD">
        <w:t>.</w:t>
      </w:r>
      <w:bookmarkEnd w:id="31"/>
    </w:p>
    <w:p w14:paraId="3B7BD287" w14:textId="28F143A2" w:rsidR="0069386D" w:rsidRPr="00155EFD" w:rsidRDefault="00AF5419" w:rsidP="0069386D">
      <w:pPr>
        <w:pStyle w:val="EndNoteBibliography"/>
        <w:ind w:left="720" w:hanging="720"/>
      </w:pPr>
      <w:bookmarkStart w:id="32" w:name="_ENREF_41"/>
      <w:r>
        <w:lastRenderedPageBreak/>
        <w:t>35</w:t>
      </w:r>
      <w:r w:rsidR="0069386D" w:rsidRPr="00155EFD">
        <w:t>. Cleland JA, Lee AJ, Hall S. Associations of depression and anxiety with gender, age, health-related quality of life and symptoms in primary care COPD patients. Family Practice 2007;</w:t>
      </w:r>
      <w:r w:rsidR="0069386D" w:rsidRPr="00155EFD">
        <w:rPr>
          <w:b/>
        </w:rPr>
        <w:t>24</w:t>
      </w:r>
      <w:r w:rsidR="0069386D" w:rsidRPr="00155EFD">
        <w:t xml:space="preserve">(3):217-23 doi: </w:t>
      </w:r>
      <w:r w:rsidR="0069386D">
        <w:t>10.1093/fampra/cmm009</w:t>
      </w:r>
      <w:r w:rsidR="0069386D" w:rsidRPr="00155EFD">
        <w:t>.</w:t>
      </w:r>
      <w:bookmarkEnd w:id="32"/>
    </w:p>
    <w:p w14:paraId="18486195" w14:textId="62FA401C" w:rsidR="0069386D" w:rsidRPr="00155EFD" w:rsidRDefault="00AF5419" w:rsidP="0069386D">
      <w:pPr>
        <w:pStyle w:val="EndNoteBibliography"/>
        <w:ind w:left="720" w:hanging="720"/>
      </w:pPr>
      <w:bookmarkStart w:id="33" w:name="_ENREF_42"/>
      <w:r>
        <w:t>36</w:t>
      </w:r>
      <w:r w:rsidR="0069386D" w:rsidRPr="00155EFD">
        <w:t>. Campbell J, Smith P, Nissen S, et al. The GP Patient Survey for use in primary care in the National Health Service in the UK – development and psychometric characteristics. BMC Family Practice 2009;</w:t>
      </w:r>
      <w:r w:rsidR="0069386D" w:rsidRPr="00155EFD">
        <w:rPr>
          <w:b/>
        </w:rPr>
        <w:t>10</w:t>
      </w:r>
      <w:r w:rsidR="0069386D" w:rsidRPr="00155EFD">
        <w:t xml:space="preserve">(1):57 </w:t>
      </w:r>
      <w:r w:rsidR="0069386D">
        <w:t>doi: 10.1186/1471-2296-10-57</w:t>
      </w:r>
      <w:r w:rsidR="0069386D" w:rsidRPr="00155EFD">
        <w:t>.</w:t>
      </w:r>
      <w:bookmarkEnd w:id="33"/>
    </w:p>
    <w:p w14:paraId="2BD4511F" w14:textId="51003B3E" w:rsidR="0069386D" w:rsidRPr="00155EFD" w:rsidRDefault="00AF5419" w:rsidP="0069386D">
      <w:pPr>
        <w:pStyle w:val="EndNoteBibliography"/>
        <w:ind w:left="720" w:hanging="720"/>
      </w:pPr>
      <w:bookmarkStart w:id="34" w:name="_ENREF_43"/>
      <w:r>
        <w:t>37</w:t>
      </w:r>
      <w:r w:rsidR="0069386D" w:rsidRPr="00155EFD">
        <w:t>. Peters M, Crocker H, Jenkinson C, et al. The routine collection of patient-reported outcome measures (PROMs) for long-term conditions in primary care: a cohort survey. BMJ Open 2014;</w:t>
      </w:r>
      <w:r w:rsidR="0069386D" w:rsidRPr="00155EFD">
        <w:rPr>
          <w:b/>
        </w:rPr>
        <w:t>4</w:t>
      </w:r>
      <w:r w:rsidR="0069386D" w:rsidRPr="00155EFD">
        <w:t>(2) doi:</w:t>
      </w:r>
      <w:r w:rsidR="0069386D">
        <w:t xml:space="preserve"> 10.1136/bmjopen-2013-003968</w:t>
      </w:r>
      <w:r w:rsidR="0069386D" w:rsidRPr="00155EFD">
        <w:t>.</w:t>
      </w:r>
      <w:bookmarkEnd w:id="34"/>
    </w:p>
    <w:p w14:paraId="0B38CA63" w14:textId="2E491B38" w:rsidR="0069386D" w:rsidRPr="00155EFD" w:rsidRDefault="00AF5419" w:rsidP="0069386D">
      <w:pPr>
        <w:pStyle w:val="EndNoteBibliography"/>
        <w:ind w:left="720" w:hanging="720"/>
      </w:pPr>
      <w:bookmarkStart w:id="35" w:name="_ENREF_44"/>
      <w:r>
        <w:t>38</w:t>
      </w:r>
      <w:r w:rsidR="0069386D" w:rsidRPr="00155EFD">
        <w:t>. Hazell M, Morris J, Linehan M, et al. Factors influencing the response to postal questionnaire surveys about respiratory symptoms. 2008;</w:t>
      </w:r>
      <w:r w:rsidR="0069386D" w:rsidRPr="00155EFD">
        <w:rPr>
          <w:b/>
        </w:rPr>
        <w:t>18</w:t>
      </w:r>
      <w:r w:rsidR="0069386D" w:rsidRPr="00155EFD">
        <w:t>:165 doi: 10.3132/pcrj.2009.0</w:t>
      </w:r>
      <w:r w:rsidR="0069386D">
        <w:t>000</w:t>
      </w:r>
      <w:r w:rsidR="0069386D" w:rsidRPr="00155EFD">
        <w:t>.</w:t>
      </w:r>
      <w:bookmarkEnd w:id="35"/>
    </w:p>
    <w:p w14:paraId="1CB8ED51" w14:textId="52A10850" w:rsidR="0069386D" w:rsidRDefault="00AF5419" w:rsidP="0069386D">
      <w:pPr>
        <w:pStyle w:val="EndNoteBibliography"/>
        <w:ind w:left="720" w:hanging="720"/>
      </w:pPr>
      <w:bookmarkStart w:id="36" w:name="_ENREF_45"/>
      <w:r>
        <w:t>39</w:t>
      </w:r>
      <w:r w:rsidR="0069386D" w:rsidRPr="00155EFD">
        <w:t>. Asch DA, Jedrziewski MK, Christakis NA. Response rates to mail surveys published in medical journals. Journal of Clinical Epidemiology 1997;</w:t>
      </w:r>
      <w:r w:rsidR="0069386D" w:rsidRPr="00155EFD">
        <w:rPr>
          <w:b/>
        </w:rPr>
        <w:t>50</w:t>
      </w:r>
      <w:r w:rsidR="0069386D" w:rsidRPr="00155EFD">
        <w:t xml:space="preserve">(10):1129-36 doi: </w:t>
      </w:r>
      <w:bookmarkEnd w:id="36"/>
      <w:r w:rsidR="002F003B">
        <w:rPr>
          <w:rStyle w:val="Hyperlink"/>
        </w:rPr>
        <w:fldChar w:fldCharType="begin"/>
      </w:r>
      <w:r w:rsidR="002F003B">
        <w:rPr>
          <w:rStyle w:val="Hyperlink"/>
        </w:rPr>
        <w:instrText xml:space="preserve"> HYPERLINK "http://dx.doi.org/10.1016/S0895-4356(97)00126-1" </w:instrText>
      </w:r>
      <w:r w:rsidR="002F003B">
        <w:rPr>
          <w:rStyle w:val="Hyperlink"/>
        </w:rPr>
        <w:fldChar w:fldCharType="separate"/>
      </w:r>
      <w:r w:rsidRPr="00913193">
        <w:rPr>
          <w:rStyle w:val="Hyperlink"/>
        </w:rPr>
        <w:t>http://dx.doi.org/10.1016/S0895-4356(97)00126-1</w:t>
      </w:r>
      <w:r w:rsidR="002F003B">
        <w:rPr>
          <w:rStyle w:val="Hyperlink"/>
        </w:rPr>
        <w:fldChar w:fldCharType="end"/>
      </w:r>
      <w:r w:rsidR="0069386D" w:rsidRPr="00155EFD">
        <w:t>.</w:t>
      </w:r>
    </w:p>
    <w:p w14:paraId="736C39B5" w14:textId="0762B021" w:rsidR="00AF5419" w:rsidRDefault="00AF5419" w:rsidP="0069386D">
      <w:pPr>
        <w:pStyle w:val="EndNoteBibliography"/>
        <w:ind w:left="720" w:hanging="720"/>
        <w:rPr>
          <w:rStyle w:val="apple-converted-space"/>
          <w:shd w:val="clear" w:color="auto" w:fill="FFFFFF"/>
        </w:rPr>
      </w:pPr>
      <w:r>
        <w:t xml:space="preserve">40. NHS England, Public Health England, Health Education England, Monitor, Care Quality Commision, NHS Trust Development Authority Five Year Forward View. </w:t>
      </w:r>
      <w:hyperlink r:id="rId10" w:tgtFrame="_blank" w:history="1">
        <w:r>
          <w:rPr>
            <w:rStyle w:val="Hyperlink"/>
            <w:color w:val="642A8F"/>
            <w:shd w:val="clear" w:color="auto" w:fill="FFFFFF"/>
          </w:rPr>
          <w:t>http://www.england.nhs.uk/wp-content/uploads/2014/10/5yfv-web.pdf</w:t>
        </w:r>
      </w:hyperlink>
      <w:r>
        <w:rPr>
          <w:rStyle w:val="apple-converted-space"/>
          <w:shd w:val="clear" w:color="auto" w:fill="FFFFFF"/>
        </w:rPr>
        <w:t xml:space="preserve"> (accessed November 2018).</w:t>
      </w:r>
    </w:p>
    <w:p w14:paraId="533DDD61" w14:textId="5DBAC240" w:rsidR="00AF5419" w:rsidRPr="00155EFD" w:rsidRDefault="00AF5419" w:rsidP="0069386D">
      <w:pPr>
        <w:pStyle w:val="EndNoteBibliography"/>
        <w:ind w:left="720" w:hanging="720"/>
      </w:pPr>
      <w:r>
        <w:rPr>
          <w:rStyle w:val="apple-converted-space"/>
          <w:shd w:val="clear" w:color="auto" w:fill="FFFFFF"/>
        </w:rPr>
        <w:t xml:space="preserve">41 NHS. The NHS Long Term Plan. January 2019. </w:t>
      </w:r>
      <w:hyperlink r:id="rId11" w:history="1">
        <w:r w:rsidRPr="00AF5419">
          <w:rPr>
            <w:rStyle w:val="apple-converted-space"/>
          </w:rPr>
          <w:t>https://www.longtermplan.nhs.uk/wp-content/uploads/2019/01/nhs-long-term-plan.pdf</w:t>
        </w:r>
      </w:hyperlink>
      <w:r w:rsidRPr="00AF5419">
        <w:rPr>
          <w:rStyle w:val="apple-converted-space"/>
        </w:rPr>
        <w:t>.</w:t>
      </w:r>
      <w:r>
        <w:rPr>
          <w:rStyle w:val="apple-converted-space"/>
        </w:rPr>
        <w:t xml:space="preserve"> (accessed February 2019).</w:t>
      </w:r>
    </w:p>
    <w:p w14:paraId="47641A74" w14:textId="77777777" w:rsidR="0069386D" w:rsidRPr="00155EFD" w:rsidRDefault="0069386D" w:rsidP="0069386D">
      <w:pPr>
        <w:pStyle w:val="EndNoteBibliography"/>
        <w:ind w:left="720" w:hanging="720"/>
      </w:pPr>
    </w:p>
    <w:p w14:paraId="54F68602" w14:textId="77777777" w:rsidR="0069386D" w:rsidRDefault="0069386D" w:rsidP="0069386D">
      <w:pPr>
        <w:pStyle w:val="EndNoteBibliography"/>
        <w:ind w:left="720" w:hanging="720"/>
      </w:pPr>
    </w:p>
    <w:p w14:paraId="012FD13E" w14:textId="77777777" w:rsidR="0069386D" w:rsidRPr="00155EFD" w:rsidRDefault="0069386D" w:rsidP="0069386D">
      <w:pPr>
        <w:pStyle w:val="EndNoteBibliography"/>
        <w:ind w:left="720" w:hanging="720"/>
      </w:pPr>
    </w:p>
    <w:p w14:paraId="60093BB5" w14:textId="77777777" w:rsidR="0069386D" w:rsidRPr="00155EFD" w:rsidRDefault="0069386D" w:rsidP="00CE6398">
      <w:pPr>
        <w:pStyle w:val="EndNoteBibliography"/>
        <w:ind w:left="720" w:hanging="720"/>
      </w:pPr>
    </w:p>
    <w:p w14:paraId="2960E477" w14:textId="77777777" w:rsidR="00CE6398" w:rsidRDefault="00CE6398" w:rsidP="00CE6398">
      <w:pPr>
        <w:pStyle w:val="EndNoteBibliography"/>
        <w:ind w:left="720" w:hanging="720"/>
      </w:pPr>
    </w:p>
    <w:p w14:paraId="3B379416" w14:textId="77777777" w:rsidR="00CE6398" w:rsidRPr="00155EFD" w:rsidRDefault="00CE6398" w:rsidP="00CE6398">
      <w:pPr>
        <w:pStyle w:val="EndNoteBibliography"/>
        <w:ind w:left="720" w:hanging="720"/>
      </w:pPr>
    </w:p>
    <w:p w14:paraId="40E75941" w14:textId="77777777" w:rsidR="00CE6398" w:rsidRDefault="00CE6398" w:rsidP="00CE6398">
      <w:pPr>
        <w:pStyle w:val="EndNoteBibliography"/>
        <w:ind w:left="720" w:hanging="720"/>
      </w:pPr>
    </w:p>
    <w:p w14:paraId="1A8702E4" w14:textId="77777777" w:rsidR="00CE6398" w:rsidRPr="00155EFD" w:rsidRDefault="00CE6398" w:rsidP="002F003B">
      <w:pPr>
        <w:pStyle w:val="EndNoteBibliography"/>
        <w:ind w:left="720" w:hanging="720"/>
      </w:pPr>
    </w:p>
    <w:p w14:paraId="3B8A27BB" w14:textId="77777777" w:rsidR="00CE6398" w:rsidRDefault="00CE6398" w:rsidP="002F003B">
      <w:pPr>
        <w:pStyle w:val="EndNoteBibliography"/>
        <w:ind w:left="720" w:hanging="720"/>
      </w:pPr>
    </w:p>
    <w:p w14:paraId="12277036" w14:textId="77777777" w:rsidR="00CE6398" w:rsidRPr="00155EFD" w:rsidRDefault="00CE6398" w:rsidP="002F003B">
      <w:pPr>
        <w:pStyle w:val="EndNoteBibliography"/>
        <w:ind w:left="720" w:hanging="720"/>
      </w:pPr>
    </w:p>
    <w:p w14:paraId="0FC66E5B" w14:textId="77777777" w:rsidR="00CE6398" w:rsidRDefault="00CE6398" w:rsidP="002F003B">
      <w:pPr>
        <w:pStyle w:val="EndNoteBibliography"/>
        <w:ind w:left="720" w:hanging="720"/>
      </w:pPr>
    </w:p>
    <w:p w14:paraId="3D4F11C5" w14:textId="77777777" w:rsidR="00CE6398" w:rsidRPr="00155EFD" w:rsidRDefault="00CE6398" w:rsidP="002F003B">
      <w:pPr>
        <w:pStyle w:val="EndNoteBibliography"/>
        <w:ind w:left="720" w:hanging="720"/>
      </w:pPr>
    </w:p>
    <w:p w14:paraId="6FF6A00D" w14:textId="77777777" w:rsidR="00CE6398" w:rsidRDefault="00CE6398" w:rsidP="002F003B">
      <w:pPr>
        <w:pStyle w:val="EndNoteBibliography"/>
        <w:ind w:left="720" w:hanging="720"/>
      </w:pPr>
    </w:p>
    <w:p w14:paraId="628B01D5" w14:textId="77777777" w:rsidR="00CE6398" w:rsidRPr="00155EFD" w:rsidRDefault="00CE6398" w:rsidP="002F003B">
      <w:pPr>
        <w:pStyle w:val="EndNoteBibliography"/>
        <w:ind w:left="720" w:hanging="720"/>
      </w:pPr>
    </w:p>
    <w:p w14:paraId="6C4B44A7" w14:textId="77777777" w:rsidR="001A6609" w:rsidRPr="002F003B" w:rsidRDefault="001A6609" w:rsidP="002F003B">
      <w:pPr>
        <w:pStyle w:val="Body"/>
        <w:spacing w:after="0" w:line="360" w:lineRule="auto"/>
        <w:rPr>
          <w:lang w:val="en-US"/>
        </w:rPr>
      </w:pPr>
    </w:p>
    <w:p w14:paraId="1E95B8D9" w14:textId="77777777" w:rsidR="001A6609" w:rsidRPr="002F003B" w:rsidRDefault="001A6609" w:rsidP="002F003B">
      <w:pPr>
        <w:pStyle w:val="Body"/>
        <w:spacing w:after="0" w:line="360" w:lineRule="auto"/>
        <w:rPr>
          <w:b/>
          <w:lang w:val="en-US"/>
        </w:rPr>
      </w:pPr>
    </w:p>
    <w:p w14:paraId="70E1322C" w14:textId="77777777" w:rsidR="001A6609" w:rsidRPr="002F003B" w:rsidRDefault="001A6609" w:rsidP="002F003B">
      <w:pPr>
        <w:pStyle w:val="Body"/>
        <w:spacing w:after="0" w:line="360" w:lineRule="auto"/>
        <w:rPr>
          <w:b/>
          <w:lang w:val="en-US"/>
        </w:rPr>
      </w:pPr>
    </w:p>
    <w:p w14:paraId="0A4EBDEB" w14:textId="77777777" w:rsidR="001A6609" w:rsidRPr="002F003B" w:rsidRDefault="001A6609" w:rsidP="002F003B">
      <w:pPr>
        <w:pStyle w:val="Body"/>
        <w:spacing w:after="0" w:line="360" w:lineRule="auto"/>
        <w:rPr>
          <w:b/>
          <w:lang w:val="en-US"/>
        </w:rPr>
      </w:pPr>
    </w:p>
    <w:p w14:paraId="09D8A47C" w14:textId="77777777" w:rsidR="001A6609" w:rsidRPr="002F003B" w:rsidRDefault="001A6609" w:rsidP="002F003B">
      <w:pPr>
        <w:pStyle w:val="Body"/>
        <w:spacing w:after="0" w:line="360" w:lineRule="auto"/>
        <w:rPr>
          <w:b/>
          <w:lang w:val="en-US"/>
        </w:rPr>
      </w:pPr>
    </w:p>
    <w:p w14:paraId="572AE0CB" w14:textId="77777777" w:rsidR="001A6609" w:rsidRPr="002F003B" w:rsidRDefault="001A6609" w:rsidP="002F003B">
      <w:pPr>
        <w:pStyle w:val="Body"/>
        <w:spacing w:after="0" w:line="360" w:lineRule="auto"/>
        <w:rPr>
          <w:b/>
          <w:lang w:val="en-US"/>
        </w:rPr>
      </w:pPr>
    </w:p>
    <w:p w14:paraId="22FEAAFB" w14:textId="77777777" w:rsidR="001A6609" w:rsidRPr="002F003B" w:rsidRDefault="001A6609" w:rsidP="002F003B">
      <w:pPr>
        <w:pStyle w:val="Body"/>
        <w:spacing w:after="0" w:line="360" w:lineRule="auto"/>
        <w:rPr>
          <w:b/>
          <w:lang w:val="en-US"/>
        </w:rPr>
      </w:pPr>
    </w:p>
    <w:p w14:paraId="1EF233DB" w14:textId="77777777" w:rsidR="001A6609" w:rsidRPr="002F003B" w:rsidRDefault="001A6609" w:rsidP="002F003B">
      <w:pPr>
        <w:pStyle w:val="Body"/>
        <w:spacing w:after="0" w:line="360" w:lineRule="auto"/>
        <w:rPr>
          <w:b/>
          <w:lang w:val="en-US"/>
        </w:rPr>
      </w:pPr>
    </w:p>
    <w:p w14:paraId="4CBC15C6" w14:textId="77777777" w:rsidR="001A6609" w:rsidRPr="002F003B" w:rsidRDefault="001A6609" w:rsidP="002F003B">
      <w:pPr>
        <w:pStyle w:val="Body"/>
        <w:spacing w:after="0" w:line="360" w:lineRule="auto"/>
        <w:rPr>
          <w:b/>
          <w:lang w:val="en-US"/>
        </w:rPr>
      </w:pPr>
    </w:p>
    <w:p w14:paraId="669C3621" w14:textId="77777777" w:rsidR="001A6609" w:rsidRPr="002F003B" w:rsidRDefault="001A6609" w:rsidP="002F003B">
      <w:pPr>
        <w:pStyle w:val="Body"/>
        <w:spacing w:after="0" w:line="360" w:lineRule="auto"/>
        <w:rPr>
          <w:b/>
          <w:lang w:val="en-US"/>
        </w:rPr>
      </w:pPr>
    </w:p>
    <w:p w14:paraId="11D56ABB" w14:textId="77777777" w:rsidR="001A6609" w:rsidRPr="002F003B" w:rsidRDefault="001A6609" w:rsidP="002F003B">
      <w:pPr>
        <w:pStyle w:val="Body"/>
        <w:spacing w:after="0" w:line="360" w:lineRule="auto"/>
        <w:rPr>
          <w:b/>
          <w:lang w:val="en-US"/>
        </w:rPr>
      </w:pPr>
    </w:p>
    <w:p w14:paraId="38117A16" w14:textId="77777777" w:rsidR="00843BBE" w:rsidRPr="002F003B" w:rsidRDefault="00843BBE" w:rsidP="002F003B">
      <w:pPr>
        <w:pStyle w:val="Body"/>
        <w:spacing w:after="0" w:line="360" w:lineRule="auto"/>
        <w:rPr>
          <w:b/>
          <w:lang w:val="en-US"/>
        </w:rPr>
      </w:pPr>
    </w:p>
    <w:p w14:paraId="497B5EBC" w14:textId="1CEE36B4" w:rsidR="00AB75A4" w:rsidRDefault="00AB75A4" w:rsidP="00F224EC">
      <w:pPr>
        <w:pStyle w:val="Body"/>
        <w:spacing w:after="0" w:line="360" w:lineRule="auto"/>
        <w:rPr>
          <w:rFonts w:cs="Times New Roman"/>
          <w:b/>
          <w:lang w:val="en-US"/>
        </w:rPr>
      </w:pPr>
      <w:r w:rsidRPr="00F224EC">
        <w:rPr>
          <w:rFonts w:cs="Times New Roman"/>
          <w:b/>
          <w:lang w:val="en-US"/>
        </w:rPr>
        <w:lastRenderedPageBreak/>
        <w:t xml:space="preserve">Ethics Approval and Informed Consent </w:t>
      </w:r>
    </w:p>
    <w:p w14:paraId="2C86126F" w14:textId="2DFC7B83" w:rsidR="00B849F9" w:rsidRPr="00B849F9" w:rsidRDefault="00B849F9" w:rsidP="00F224EC">
      <w:pPr>
        <w:pStyle w:val="Body"/>
        <w:spacing w:after="0" w:line="360" w:lineRule="auto"/>
        <w:rPr>
          <w:rFonts w:cs="Times New Roman"/>
          <w:lang w:val="en-US"/>
        </w:rPr>
      </w:pPr>
      <w:r>
        <w:rPr>
          <w:rFonts w:cs="Times New Roman"/>
          <w:lang w:val="en-US"/>
        </w:rPr>
        <w:t xml:space="preserve">This study received ethics approval from the Northwest 8 Research Ethics Committee (REC) – GM East (09/H1013/80). </w:t>
      </w:r>
    </w:p>
    <w:p w14:paraId="2E7DEBF1" w14:textId="040BC9D8" w:rsidR="00B849F9" w:rsidRPr="00B849F9" w:rsidRDefault="00B849F9" w:rsidP="00F224EC">
      <w:pPr>
        <w:pStyle w:val="Body"/>
        <w:spacing w:after="0" w:line="360" w:lineRule="auto"/>
        <w:rPr>
          <w:rFonts w:cs="Times New Roman"/>
          <w:lang w:val="en-US"/>
        </w:rPr>
      </w:pPr>
      <w:r>
        <w:rPr>
          <w:rFonts w:cs="Times New Roman"/>
          <w:lang w:val="en-US"/>
        </w:rPr>
        <w:t xml:space="preserve">Informed consent was obtained from all individual participants included in this study. </w:t>
      </w:r>
    </w:p>
    <w:p w14:paraId="79B55A26" w14:textId="77777777" w:rsidR="00AB75A4" w:rsidRDefault="00AB75A4"/>
    <w:p w14:paraId="3D505DF0" w14:textId="16FF0B4E" w:rsidR="00AB75A4" w:rsidRDefault="00AB75A4" w:rsidP="00F224EC">
      <w:pPr>
        <w:pStyle w:val="Body"/>
        <w:spacing w:after="0" w:line="360" w:lineRule="auto"/>
        <w:rPr>
          <w:rFonts w:cs="Times New Roman"/>
          <w:b/>
          <w:lang w:val="en-US"/>
        </w:rPr>
      </w:pPr>
      <w:r w:rsidRPr="00F224EC">
        <w:rPr>
          <w:rFonts w:cs="Times New Roman"/>
          <w:b/>
          <w:lang w:val="en-US"/>
        </w:rPr>
        <w:t>Data Availability</w:t>
      </w:r>
    </w:p>
    <w:p w14:paraId="4A1B16A6" w14:textId="0D761B17" w:rsidR="00B849F9" w:rsidRPr="00B849F9" w:rsidRDefault="00B849F9" w:rsidP="00F224EC">
      <w:pPr>
        <w:pStyle w:val="Body"/>
        <w:spacing w:after="0" w:line="360" w:lineRule="auto"/>
        <w:rPr>
          <w:rFonts w:cs="Times New Roman"/>
          <w:lang w:val="en-US"/>
        </w:rPr>
      </w:pPr>
      <w:r>
        <w:rPr>
          <w:rFonts w:cs="Times New Roman"/>
          <w:lang w:val="en-US"/>
        </w:rPr>
        <w:t xml:space="preserve">Data may be available on request from the authors. </w:t>
      </w:r>
    </w:p>
    <w:p w14:paraId="4F309CE0" w14:textId="77777777" w:rsidR="00AB75A4" w:rsidRDefault="00AB75A4"/>
    <w:p w14:paraId="51615F37" w14:textId="3D3AD76F" w:rsidR="00AB75A4" w:rsidRDefault="00AB75A4" w:rsidP="00F224EC">
      <w:pPr>
        <w:pStyle w:val="Body"/>
        <w:spacing w:after="0" w:line="360" w:lineRule="auto"/>
        <w:rPr>
          <w:rFonts w:cs="Times New Roman"/>
          <w:b/>
          <w:lang w:val="en-US"/>
        </w:rPr>
      </w:pPr>
      <w:r w:rsidRPr="00F224EC">
        <w:rPr>
          <w:rFonts w:cs="Times New Roman"/>
          <w:b/>
          <w:lang w:val="en-US"/>
        </w:rPr>
        <w:t>Funding</w:t>
      </w:r>
    </w:p>
    <w:p w14:paraId="7B51CBA4" w14:textId="4DE776B2" w:rsidR="00F224EC" w:rsidRPr="00F224EC" w:rsidRDefault="00F224EC" w:rsidP="00F224EC">
      <w:pPr>
        <w:pStyle w:val="Body"/>
        <w:spacing w:after="0" w:line="360" w:lineRule="auto"/>
        <w:rPr>
          <w:rFonts w:cs="Times New Roman"/>
          <w:lang w:val="en-US"/>
        </w:rPr>
      </w:pPr>
      <w:r>
        <w:rPr>
          <w:rFonts w:cs="Times New Roman"/>
          <w:lang w:val="en-US"/>
        </w:rPr>
        <w:t>This study was funded by the National Institute for Health Research (NIHR) under its Programme Grants for Applied Research scheme (RP-PG-0707-10162)</w:t>
      </w:r>
      <w:r w:rsidR="00B849F9">
        <w:rPr>
          <w:rFonts w:cs="Times New Roman"/>
          <w:lang w:val="en-US"/>
        </w:rPr>
        <w:t xml:space="preserve">. This paper represents independent research funded by the NIHR. Views and opinions expressed are those of the authors and do not necessarily reflect those of the NHS, NIHR, NETSCC, HS&amp;DR or Department of Health. </w:t>
      </w:r>
    </w:p>
    <w:p w14:paraId="1F8E9D72" w14:textId="77777777" w:rsidR="00AB75A4" w:rsidRDefault="00AB75A4"/>
    <w:p w14:paraId="15679FEF" w14:textId="436F48CC" w:rsidR="00AB75A4" w:rsidRDefault="00AB75A4" w:rsidP="00F224EC">
      <w:pPr>
        <w:pStyle w:val="Body"/>
        <w:spacing w:after="0" w:line="360" w:lineRule="auto"/>
        <w:rPr>
          <w:rFonts w:cs="Times New Roman"/>
          <w:b/>
          <w:lang w:val="en-US"/>
        </w:rPr>
      </w:pPr>
      <w:r w:rsidRPr="00F224EC">
        <w:rPr>
          <w:rFonts w:cs="Times New Roman"/>
          <w:b/>
          <w:lang w:val="en-US"/>
        </w:rPr>
        <w:t>Competing Interests</w:t>
      </w:r>
    </w:p>
    <w:p w14:paraId="19B2C25B" w14:textId="7DD54F58" w:rsidR="00F224EC" w:rsidRPr="00F224EC" w:rsidRDefault="00F224EC" w:rsidP="00F224EC">
      <w:pPr>
        <w:pStyle w:val="Body"/>
        <w:spacing w:after="0" w:line="360" w:lineRule="auto"/>
        <w:rPr>
          <w:rFonts w:cs="Times New Roman"/>
          <w:lang w:val="en-US"/>
        </w:rPr>
      </w:pPr>
      <w:r>
        <w:rPr>
          <w:rFonts w:cs="Times New Roman"/>
          <w:lang w:val="en-US"/>
        </w:rPr>
        <w:t xml:space="preserve">The authors report no conflicts of interest in this work. </w:t>
      </w:r>
    </w:p>
    <w:p w14:paraId="40CAA725" w14:textId="06FA058B" w:rsidR="00AB75A4" w:rsidRDefault="00B849F9" w:rsidP="00B849F9">
      <w:pPr>
        <w:pStyle w:val="Body"/>
        <w:spacing w:after="0" w:line="360" w:lineRule="auto"/>
        <w:rPr>
          <w:rFonts w:cs="Times New Roman"/>
          <w:b/>
          <w:lang w:val="en-US"/>
        </w:rPr>
      </w:pPr>
      <w:r>
        <w:br/>
      </w:r>
      <w:r w:rsidR="00AB75A4" w:rsidRPr="00F224EC">
        <w:rPr>
          <w:rFonts w:cs="Times New Roman"/>
          <w:b/>
          <w:lang w:val="en-US"/>
        </w:rPr>
        <w:t>Author Contributions</w:t>
      </w:r>
    </w:p>
    <w:p w14:paraId="43C16D92" w14:textId="03C45141" w:rsidR="00B849F9" w:rsidRPr="00FF7963" w:rsidRDefault="00FF7963" w:rsidP="00B849F9">
      <w:pPr>
        <w:pStyle w:val="Body"/>
        <w:spacing w:after="0" w:line="360" w:lineRule="auto"/>
        <w:rPr>
          <w:rFonts w:cs="Times New Roman"/>
          <w:lang w:val="en-US"/>
        </w:rPr>
      </w:pPr>
      <w:r w:rsidRPr="00FF7963">
        <w:rPr>
          <w:rFonts w:cs="Times New Roman"/>
          <w:lang w:val="en-US"/>
        </w:rPr>
        <w:t xml:space="preserve">EG, CD, CCG and BT designed the study. </w:t>
      </w:r>
      <w:r>
        <w:rPr>
          <w:rFonts w:cs="Times New Roman"/>
          <w:lang w:val="en-US"/>
        </w:rPr>
        <w:t xml:space="preserve">Data was collected by AB, CA and BT analyzed the data. AB wrote the paper and CD, CA, CCG, PC, EG edited and revised the paper for critical content. All authors agreed the final draft. </w:t>
      </w:r>
    </w:p>
    <w:p w14:paraId="675E48FA" w14:textId="77777777" w:rsidR="00B849F9" w:rsidRPr="00B849F9" w:rsidRDefault="00B849F9" w:rsidP="00B849F9">
      <w:pPr>
        <w:pStyle w:val="Body"/>
        <w:spacing w:after="0" w:line="360" w:lineRule="auto"/>
        <w:rPr>
          <w:rFonts w:cs="Times New Roman"/>
          <w:lang w:val="en-US"/>
        </w:rPr>
      </w:pPr>
    </w:p>
    <w:p w14:paraId="397B0C29" w14:textId="77777777" w:rsidR="00AB75A4" w:rsidRDefault="00AB75A4"/>
    <w:p w14:paraId="303F91DB" w14:textId="77777777" w:rsidR="00AB75A4" w:rsidRDefault="00AB75A4"/>
    <w:sectPr w:rsidR="00AB75A4" w:rsidSect="00E03168">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F775F" w14:textId="77777777" w:rsidR="00516D4B" w:rsidRDefault="00516D4B">
      <w:r>
        <w:separator/>
      </w:r>
    </w:p>
  </w:endnote>
  <w:endnote w:type="continuationSeparator" w:id="0">
    <w:p w14:paraId="3DAD4A93" w14:textId="77777777" w:rsidR="00516D4B" w:rsidRDefault="00516D4B">
      <w:r>
        <w:continuationSeparator/>
      </w:r>
    </w:p>
  </w:endnote>
  <w:endnote w:type="continuationNotice" w:id="1">
    <w:p w14:paraId="387400B4" w14:textId="77777777" w:rsidR="00516D4B" w:rsidRDefault="00516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CD2E" w14:textId="2C05E722" w:rsidR="00A95956" w:rsidRDefault="00A95956">
    <w:pPr>
      <w:pStyle w:val="Footer"/>
      <w:jc w:val="center"/>
    </w:pPr>
    <w:r>
      <w:fldChar w:fldCharType="begin"/>
    </w:r>
    <w:r>
      <w:instrText xml:space="preserve"> PAGE </w:instrText>
    </w:r>
    <w:r>
      <w:fldChar w:fldCharType="separate"/>
    </w:r>
    <w:r w:rsidR="00CB4E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7D68A" w14:textId="77777777" w:rsidR="00516D4B" w:rsidRDefault="00516D4B">
      <w:r>
        <w:separator/>
      </w:r>
    </w:p>
  </w:footnote>
  <w:footnote w:type="continuationSeparator" w:id="0">
    <w:p w14:paraId="772B5018" w14:textId="77777777" w:rsidR="00516D4B" w:rsidRDefault="00516D4B">
      <w:r>
        <w:continuationSeparator/>
      </w:r>
    </w:p>
  </w:footnote>
  <w:footnote w:type="continuationNotice" w:id="1">
    <w:p w14:paraId="2223F41F" w14:textId="77777777" w:rsidR="00516D4B" w:rsidRDefault="00516D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402A" w14:textId="77777777" w:rsidR="008937D8" w:rsidRDefault="00893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94737"/>
    <w:multiLevelType w:val="hybridMultilevel"/>
    <w:tmpl w:val="D3FAC8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577BF"/>
    <w:rsid w:val="000059C4"/>
    <w:rsid w:val="00012219"/>
    <w:rsid w:val="00040148"/>
    <w:rsid w:val="000637D4"/>
    <w:rsid w:val="00087E1C"/>
    <w:rsid w:val="00093DAF"/>
    <w:rsid w:val="0009570F"/>
    <w:rsid w:val="000A4CC8"/>
    <w:rsid w:val="000A61A6"/>
    <w:rsid w:val="000D4BF7"/>
    <w:rsid w:val="000E6129"/>
    <w:rsid w:val="000F53E0"/>
    <w:rsid w:val="00117146"/>
    <w:rsid w:val="00130656"/>
    <w:rsid w:val="00140515"/>
    <w:rsid w:val="00145ED7"/>
    <w:rsid w:val="00173185"/>
    <w:rsid w:val="001756FD"/>
    <w:rsid w:val="00175D3C"/>
    <w:rsid w:val="001806D6"/>
    <w:rsid w:val="001A6609"/>
    <w:rsid w:val="001B2947"/>
    <w:rsid w:val="001D1855"/>
    <w:rsid w:val="001E315C"/>
    <w:rsid w:val="00207406"/>
    <w:rsid w:val="0021042C"/>
    <w:rsid w:val="00217E39"/>
    <w:rsid w:val="00236B42"/>
    <w:rsid w:val="00242E15"/>
    <w:rsid w:val="00244387"/>
    <w:rsid w:val="0024592B"/>
    <w:rsid w:val="00252F26"/>
    <w:rsid w:val="0025430B"/>
    <w:rsid w:val="0026700F"/>
    <w:rsid w:val="00273F7F"/>
    <w:rsid w:val="002C58A1"/>
    <w:rsid w:val="002D0EB7"/>
    <w:rsid w:val="002E1750"/>
    <w:rsid w:val="002F003B"/>
    <w:rsid w:val="002F75B1"/>
    <w:rsid w:val="003351BC"/>
    <w:rsid w:val="0034425E"/>
    <w:rsid w:val="003656A0"/>
    <w:rsid w:val="00373A1A"/>
    <w:rsid w:val="0038686F"/>
    <w:rsid w:val="003935E7"/>
    <w:rsid w:val="00397D82"/>
    <w:rsid w:val="003A0E96"/>
    <w:rsid w:val="003A4976"/>
    <w:rsid w:val="003B57DF"/>
    <w:rsid w:val="003C0405"/>
    <w:rsid w:val="003E752D"/>
    <w:rsid w:val="004040EE"/>
    <w:rsid w:val="00424280"/>
    <w:rsid w:val="00473C9A"/>
    <w:rsid w:val="004A0AEE"/>
    <w:rsid w:val="004A3047"/>
    <w:rsid w:val="00503D84"/>
    <w:rsid w:val="00505669"/>
    <w:rsid w:val="00506AC4"/>
    <w:rsid w:val="005154A8"/>
    <w:rsid w:val="00516D4B"/>
    <w:rsid w:val="00524303"/>
    <w:rsid w:val="00531F8E"/>
    <w:rsid w:val="00546A11"/>
    <w:rsid w:val="0057158E"/>
    <w:rsid w:val="00591D55"/>
    <w:rsid w:val="005939D9"/>
    <w:rsid w:val="005943FB"/>
    <w:rsid w:val="005B00DE"/>
    <w:rsid w:val="005C0D1E"/>
    <w:rsid w:val="005E1142"/>
    <w:rsid w:val="00600528"/>
    <w:rsid w:val="0060142C"/>
    <w:rsid w:val="0061141B"/>
    <w:rsid w:val="006152D6"/>
    <w:rsid w:val="006430B1"/>
    <w:rsid w:val="00664B6B"/>
    <w:rsid w:val="00666428"/>
    <w:rsid w:val="006742F5"/>
    <w:rsid w:val="00684C40"/>
    <w:rsid w:val="00685BC4"/>
    <w:rsid w:val="00690982"/>
    <w:rsid w:val="0069386D"/>
    <w:rsid w:val="00696882"/>
    <w:rsid w:val="006B11E8"/>
    <w:rsid w:val="006B6AE4"/>
    <w:rsid w:val="00710B19"/>
    <w:rsid w:val="00713A5B"/>
    <w:rsid w:val="00734D6F"/>
    <w:rsid w:val="007458DD"/>
    <w:rsid w:val="007474EF"/>
    <w:rsid w:val="00753C9B"/>
    <w:rsid w:val="00787B22"/>
    <w:rsid w:val="007933A1"/>
    <w:rsid w:val="007B2898"/>
    <w:rsid w:val="007D3535"/>
    <w:rsid w:val="0083041E"/>
    <w:rsid w:val="00831FED"/>
    <w:rsid w:val="00843BBE"/>
    <w:rsid w:val="00855047"/>
    <w:rsid w:val="008937D8"/>
    <w:rsid w:val="008D327C"/>
    <w:rsid w:val="008E0D20"/>
    <w:rsid w:val="008F6BF8"/>
    <w:rsid w:val="00912B42"/>
    <w:rsid w:val="009577BF"/>
    <w:rsid w:val="00967504"/>
    <w:rsid w:val="0098424C"/>
    <w:rsid w:val="00985796"/>
    <w:rsid w:val="009946EC"/>
    <w:rsid w:val="009A2DBC"/>
    <w:rsid w:val="009A6A2B"/>
    <w:rsid w:val="009C7FB2"/>
    <w:rsid w:val="009D040F"/>
    <w:rsid w:val="009E35E3"/>
    <w:rsid w:val="00A00211"/>
    <w:rsid w:val="00A05C33"/>
    <w:rsid w:val="00A07652"/>
    <w:rsid w:val="00A07B3C"/>
    <w:rsid w:val="00A1154F"/>
    <w:rsid w:val="00A4467F"/>
    <w:rsid w:val="00A4657B"/>
    <w:rsid w:val="00A70119"/>
    <w:rsid w:val="00A95956"/>
    <w:rsid w:val="00A97EA2"/>
    <w:rsid w:val="00AA23BD"/>
    <w:rsid w:val="00AB75A4"/>
    <w:rsid w:val="00AD6A28"/>
    <w:rsid w:val="00AF5419"/>
    <w:rsid w:val="00B057E8"/>
    <w:rsid w:val="00B4216F"/>
    <w:rsid w:val="00B579E7"/>
    <w:rsid w:val="00B80750"/>
    <w:rsid w:val="00B849F9"/>
    <w:rsid w:val="00B8718A"/>
    <w:rsid w:val="00B90550"/>
    <w:rsid w:val="00BA6F51"/>
    <w:rsid w:val="00BB53E6"/>
    <w:rsid w:val="00BB5DA3"/>
    <w:rsid w:val="00BC50BF"/>
    <w:rsid w:val="00BD4E64"/>
    <w:rsid w:val="00BD5420"/>
    <w:rsid w:val="00BD74E0"/>
    <w:rsid w:val="00BE3A06"/>
    <w:rsid w:val="00BE7954"/>
    <w:rsid w:val="00C459AB"/>
    <w:rsid w:val="00C50151"/>
    <w:rsid w:val="00C509A7"/>
    <w:rsid w:val="00C86F56"/>
    <w:rsid w:val="00CA29E1"/>
    <w:rsid w:val="00CB4EEF"/>
    <w:rsid w:val="00CE6398"/>
    <w:rsid w:val="00D175F2"/>
    <w:rsid w:val="00D3707F"/>
    <w:rsid w:val="00D520BD"/>
    <w:rsid w:val="00D75503"/>
    <w:rsid w:val="00D87732"/>
    <w:rsid w:val="00DA0DFC"/>
    <w:rsid w:val="00DA32CA"/>
    <w:rsid w:val="00DC3656"/>
    <w:rsid w:val="00E03168"/>
    <w:rsid w:val="00E05421"/>
    <w:rsid w:val="00E07DC8"/>
    <w:rsid w:val="00E2333F"/>
    <w:rsid w:val="00E3287A"/>
    <w:rsid w:val="00E40FB0"/>
    <w:rsid w:val="00E60C1F"/>
    <w:rsid w:val="00EB2911"/>
    <w:rsid w:val="00EB7C4B"/>
    <w:rsid w:val="00EC1A74"/>
    <w:rsid w:val="00EC491B"/>
    <w:rsid w:val="00EC56E1"/>
    <w:rsid w:val="00ED4013"/>
    <w:rsid w:val="00EE5F7D"/>
    <w:rsid w:val="00F224EC"/>
    <w:rsid w:val="00F31BAE"/>
    <w:rsid w:val="00F37F3B"/>
    <w:rsid w:val="00F53BE7"/>
    <w:rsid w:val="00F66647"/>
    <w:rsid w:val="00FA32EE"/>
    <w:rsid w:val="00FB7AC0"/>
    <w:rsid w:val="00FC549A"/>
    <w:rsid w:val="00FC5EAA"/>
    <w:rsid w:val="00FD5970"/>
    <w:rsid w:val="00FF79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CA72A"/>
  <w15:docId w15:val="{8698DAB9-25B9-4E11-998D-5447C64A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77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77BF"/>
    <w:rPr>
      <w:u w:val="single"/>
    </w:rPr>
  </w:style>
  <w:style w:type="paragraph" w:customStyle="1" w:styleId="HeaderFooter">
    <w:name w:val="Header &amp; Footer"/>
    <w:rsid w:val="009577B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styleId="Footer">
    <w:name w:val="footer"/>
    <w:link w:val="FooterChar"/>
    <w:rsid w:val="009577BF"/>
    <w:pPr>
      <w:pBdr>
        <w:top w:val="nil"/>
        <w:left w:val="nil"/>
        <w:bottom w:val="nil"/>
        <w:right w:val="nil"/>
        <w:between w:val="nil"/>
        <w:bar w:val="nil"/>
      </w:pBdr>
      <w:tabs>
        <w:tab w:val="center" w:pos="4153"/>
        <w:tab w:val="right" w:pos="8306"/>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FooterChar">
    <w:name w:val="Footer Char"/>
    <w:basedOn w:val="DefaultParagraphFont"/>
    <w:link w:val="Footer"/>
    <w:rsid w:val="009577BF"/>
    <w:rPr>
      <w:rFonts w:ascii="Times New Roman" w:eastAsia="Arial Unicode MS" w:hAnsi="Arial Unicode MS" w:cs="Arial Unicode MS"/>
      <w:color w:val="000000"/>
      <w:sz w:val="24"/>
      <w:szCs w:val="24"/>
      <w:u w:color="000000"/>
      <w:bdr w:val="nil"/>
      <w:lang w:val="en-US" w:eastAsia="en-GB"/>
    </w:rPr>
  </w:style>
  <w:style w:type="paragraph" w:styleId="NormalWeb">
    <w:name w:val="Normal (Web)"/>
    <w:uiPriority w:val="99"/>
    <w:rsid w:val="009577BF"/>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val="en-US" w:eastAsia="en-GB"/>
    </w:rPr>
  </w:style>
  <w:style w:type="paragraph" w:customStyle="1" w:styleId="Body">
    <w:name w:val="Body"/>
    <w:link w:val="BodyChar"/>
    <w:rsid w:val="009577BF"/>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PlainText">
    <w:name w:val="Plain Text"/>
    <w:link w:val="PlainTextChar"/>
    <w:rsid w:val="009577BF"/>
    <w:pPr>
      <w:pBdr>
        <w:top w:val="nil"/>
        <w:left w:val="nil"/>
        <w:bottom w:val="nil"/>
        <w:right w:val="nil"/>
        <w:between w:val="nil"/>
        <w:bar w:val="nil"/>
      </w:pBdr>
      <w:spacing w:after="0" w:line="240" w:lineRule="auto"/>
    </w:pPr>
    <w:rPr>
      <w:rFonts w:ascii="Consolas" w:eastAsia="Consolas" w:hAnsi="Consolas" w:cs="Consolas"/>
      <w:color w:val="000000"/>
      <w:sz w:val="21"/>
      <w:szCs w:val="21"/>
      <w:u w:color="000000"/>
      <w:bdr w:val="nil"/>
      <w:lang w:val="en-US" w:eastAsia="en-GB"/>
    </w:rPr>
  </w:style>
  <w:style w:type="character" w:customStyle="1" w:styleId="PlainTextChar">
    <w:name w:val="Plain Text Char"/>
    <w:basedOn w:val="DefaultParagraphFont"/>
    <w:link w:val="PlainText"/>
    <w:rsid w:val="009577BF"/>
    <w:rPr>
      <w:rFonts w:ascii="Consolas" w:eastAsia="Consolas" w:hAnsi="Consolas" w:cs="Consolas"/>
      <w:color w:val="000000"/>
      <w:sz w:val="21"/>
      <w:szCs w:val="21"/>
      <w:u w:color="000000"/>
      <w:bdr w:val="nil"/>
      <w:lang w:val="en-US" w:eastAsia="en-GB"/>
    </w:rPr>
  </w:style>
  <w:style w:type="paragraph" w:styleId="BalloonText">
    <w:name w:val="Balloon Text"/>
    <w:basedOn w:val="Normal"/>
    <w:link w:val="BalloonTextChar"/>
    <w:uiPriority w:val="99"/>
    <w:semiHidden/>
    <w:unhideWhenUsed/>
    <w:rsid w:val="009577BF"/>
    <w:rPr>
      <w:rFonts w:ascii="Tahoma" w:hAnsi="Tahoma" w:cs="Tahoma"/>
      <w:sz w:val="16"/>
      <w:szCs w:val="16"/>
    </w:rPr>
  </w:style>
  <w:style w:type="character" w:customStyle="1" w:styleId="BalloonTextChar">
    <w:name w:val="Balloon Text Char"/>
    <w:basedOn w:val="DefaultParagraphFont"/>
    <w:link w:val="BalloonText"/>
    <w:uiPriority w:val="99"/>
    <w:semiHidden/>
    <w:rsid w:val="009577BF"/>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9577BF"/>
    <w:rPr>
      <w:sz w:val="16"/>
      <w:szCs w:val="16"/>
    </w:rPr>
  </w:style>
  <w:style w:type="paragraph" w:styleId="CommentText">
    <w:name w:val="annotation text"/>
    <w:basedOn w:val="Normal"/>
    <w:link w:val="CommentTextChar"/>
    <w:uiPriority w:val="99"/>
    <w:semiHidden/>
    <w:unhideWhenUsed/>
    <w:rsid w:val="009577BF"/>
    <w:rPr>
      <w:sz w:val="20"/>
      <w:szCs w:val="20"/>
    </w:rPr>
  </w:style>
  <w:style w:type="character" w:customStyle="1" w:styleId="CommentTextChar">
    <w:name w:val="Comment Text Char"/>
    <w:basedOn w:val="DefaultParagraphFont"/>
    <w:link w:val="CommentText"/>
    <w:uiPriority w:val="99"/>
    <w:semiHidden/>
    <w:rsid w:val="009577BF"/>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9577BF"/>
    <w:rPr>
      <w:b/>
      <w:bCs/>
    </w:rPr>
  </w:style>
  <w:style w:type="character" w:customStyle="1" w:styleId="CommentSubjectChar">
    <w:name w:val="Comment Subject Char"/>
    <w:basedOn w:val="CommentTextChar"/>
    <w:link w:val="CommentSubject"/>
    <w:uiPriority w:val="99"/>
    <w:semiHidden/>
    <w:rsid w:val="009577BF"/>
    <w:rPr>
      <w:rFonts w:ascii="Times New Roman" w:eastAsia="Arial Unicode MS" w:hAnsi="Times New Roman" w:cs="Times New Roman"/>
      <w:b/>
      <w:bCs/>
      <w:sz w:val="20"/>
      <w:szCs w:val="20"/>
      <w:bdr w:val="nil"/>
      <w:lang w:val="en-US"/>
    </w:rPr>
  </w:style>
  <w:style w:type="character" w:customStyle="1" w:styleId="apple-converted-space">
    <w:name w:val="apple-converted-space"/>
    <w:basedOn w:val="DefaultParagraphFont"/>
    <w:rsid w:val="009577BF"/>
  </w:style>
  <w:style w:type="paragraph" w:customStyle="1" w:styleId="EndNoteBibliographyTitle">
    <w:name w:val="EndNote Bibliography Title"/>
    <w:basedOn w:val="Normal"/>
    <w:link w:val="EndNoteBibliographyTitleChar"/>
    <w:rsid w:val="009577BF"/>
    <w:pPr>
      <w:jc w:val="center"/>
    </w:pPr>
    <w:rPr>
      <w:rFonts w:ascii="Calibri" w:hAnsi="Calibri"/>
      <w:noProof/>
      <w:color w:val="000000"/>
      <w:sz w:val="22"/>
      <w:u w:color="000000"/>
      <w:lang w:eastAsia="en-GB"/>
    </w:rPr>
  </w:style>
  <w:style w:type="character" w:customStyle="1" w:styleId="BodyChar">
    <w:name w:val="Body Char"/>
    <w:basedOn w:val="DefaultParagraphFont"/>
    <w:link w:val="Body"/>
    <w:rsid w:val="009577BF"/>
    <w:rPr>
      <w:rFonts w:ascii="Calibri" w:eastAsia="Calibri" w:hAnsi="Calibri" w:cs="Calibri"/>
      <w:color w:val="000000"/>
      <w:u w:color="000000"/>
      <w:bdr w:val="nil"/>
      <w:lang w:eastAsia="en-GB"/>
    </w:rPr>
  </w:style>
  <w:style w:type="character" w:customStyle="1" w:styleId="EndNoteBibliographyTitleChar">
    <w:name w:val="EndNote Bibliography Title Char"/>
    <w:basedOn w:val="BodyChar"/>
    <w:link w:val="EndNoteBibliographyTitle"/>
    <w:rsid w:val="009577BF"/>
    <w:rPr>
      <w:rFonts w:ascii="Calibri" w:eastAsia="Arial Unicode MS" w:hAnsi="Calibri" w:cs="Times New Roman"/>
      <w:noProof/>
      <w:color w:val="000000"/>
      <w:szCs w:val="24"/>
      <w:u w:color="000000"/>
      <w:bdr w:val="nil"/>
      <w:lang w:val="en-US" w:eastAsia="en-GB"/>
    </w:rPr>
  </w:style>
  <w:style w:type="paragraph" w:customStyle="1" w:styleId="EndNoteBibliography">
    <w:name w:val="EndNote Bibliography"/>
    <w:basedOn w:val="Normal"/>
    <w:link w:val="EndNoteBibliographyChar"/>
    <w:rsid w:val="009577BF"/>
    <w:rPr>
      <w:rFonts w:ascii="Calibri" w:hAnsi="Calibri"/>
      <w:noProof/>
      <w:color w:val="000000"/>
      <w:sz w:val="22"/>
      <w:u w:color="000000"/>
      <w:lang w:eastAsia="en-GB"/>
    </w:rPr>
  </w:style>
  <w:style w:type="character" w:customStyle="1" w:styleId="EndNoteBibliographyChar">
    <w:name w:val="EndNote Bibliography Char"/>
    <w:basedOn w:val="BodyChar"/>
    <w:link w:val="EndNoteBibliography"/>
    <w:rsid w:val="009577BF"/>
    <w:rPr>
      <w:rFonts w:ascii="Calibri" w:eastAsia="Arial Unicode MS" w:hAnsi="Calibri" w:cs="Times New Roman"/>
      <w:noProof/>
      <w:color w:val="000000"/>
      <w:szCs w:val="24"/>
      <w:u w:color="000000"/>
      <w:bdr w:val="nil"/>
      <w:lang w:val="en-US" w:eastAsia="en-GB"/>
    </w:rPr>
  </w:style>
  <w:style w:type="paragraph" w:styleId="DocumentMap">
    <w:name w:val="Document Map"/>
    <w:basedOn w:val="Normal"/>
    <w:link w:val="DocumentMapChar"/>
    <w:uiPriority w:val="99"/>
    <w:semiHidden/>
    <w:unhideWhenUsed/>
    <w:rsid w:val="009C7FB2"/>
  </w:style>
  <w:style w:type="character" w:customStyle="1" w:styleId="DocumentMapChar">
    <w:name w:val="Document Map Char"/>
    <w:basedOn w:val="DefaultParagraphFont"/>
    <w:link w:val="DocumentMap"/>
    <w:uiPriority w:val="99"/>
    <w:semiHidden/>
    <w:rsid w:val="009C7FB2"/>
    <w:rPr>
      <w:rFonts w:ascii="Times New Roman" w:eastAsia="Arial Unicode MS" w:hAnsi="Times New Roman" w:cs="Times New Roman"/>
      <w:sz w:val="24"/>
      <w:szCs w:val="24"/>
      <w:bdr w:val="nil"/>
      <w:lang w:val="en-US"/>
    </w:rPr>
  </w:style>
  <w:style w:type="paragraph" w:styleId="Revision">
    <w:name w:val="Revision"/>
    <w:hidden/>
    <w:uiPriority w:val="99"/>
    <w:semiHidden/>
    <w:rsid w:val="009D040F"/>
    <w:pPr>
      <w:spacing w:after="0" w:line="240" w:lineRule="auto"/>
    </w:pPr>
    <w:rPr>
      <w:rFonts w:ascii="Times New Roman" w:eastAsia="Arial Unicode MS" w:hAnsi="Times New Roman" w:cs="Times New Roman"/>
      <w:sz w:val="24"/>
      <w:szCs w:val="24"/>
      <w:bdr w:val="nil"/>
      <w:lang w:val="en-US"/>
    </w:rPr>
  </w:style>
  <w:style w:type="character" w:styleId="LineNumber">
    <w:name w:val="line number"/>
    <w:basedOn w:val="DefaultParagraphFont"/>
    <w:uiPriority w:val="99"/>
    <w:semiHidden/>
    <w:unhideWhenUsed/>
    <w:rsid w:val="00F224EC"/>
  </w:style>
  <w:style w:type="paragraph" w:styleId="Header">
    <w:name w:val="header"/>
    <w:basedOn w:val="Normal"/>
    <w:link w:val="HeaderChar"/>
    <w:uiPriority w:val="99"/>
    <w:unhideWhenUsed/>
    <w:rsid w:val="008937D8"/>
    <w:pPr>
      <w:tabs>
        <w:tab w:val="center" w:pos="4513"/>
        <w:tab w:val="right" w:pos="9026"/>
      </w:tabs>
    </w:pPr>
  </w:style>
  <w:style w:type="character" w:customStyle="1" w:styleId="HeaderChar">
    <w:name w:val="Header Char"/>
    <w:basedOn w:val="DefaultParagraphFont"/>
    <w:link w:val="Header"/>
    <w:uiPriority w:val="99"/>
    <w:rsid w:val="008937D8"/>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89484">
      <w:bodyDiv w:val="1"/>
      <w:marLeft w:val="0"/>
      <w:marRight w:val="0"/>
      <w:marTop w:val="0"/>
      <w:marBottom w:val="0"/>
      <w:divBdr>
        <w:top w:val="none" w:sz="0" w:space="0" w:color="auto"/>
        <w:left w:val="none" w:sz="0" w:space="0" w:color="auto"/>
        <w:bottom w:val="none" w:sz="0" w:space="0" w:color="auto"/>
        <w:right w:val="none" w:sz="0" w:space="0" w:color="auto"/>
      </w:divBdr>
      <w:divsChild>
        <w:div w:id="1726368922">
          <w:marLeft w:val="0"/>
          <w:marRight w:val="0"/>
          <w:marTop w:val="0"/>
          <w:marBottom w:val="0"/>
          <w:divBdr>
            <w:top w:val="none" w:sz="0" w:space="0" w:color="auto"/>
            <w:left w:val="none" w:sz="0" w:space="0" w:color="auto"/>
            <w:bottom w:val="none" w:sz="0" w:space="0" w:color="auto"/>
            <w:right w:val="none" w:sz="0" w:space="0" w:color="auto"/>
          </w:divBdr>
        </w:div>
        <w:div w:id="1183202449">
          <w:marLeft w:val="0"/>
          <w:marRight w:val="0"/>
          <w:marTop w:val="0"/>
          <w:marBottom w:val="0"/>
          <w:divBdr>
            <w:top w:val="none" w:sz="0" w:space="0" w:color="auto"/>
            <w:left w:val="none" w:sz="0" w:space="0" w:color="auto"/>
            <w:bottom w:val="none" w:sz="0" w:space="0" w:color="auto"/>
            <w:right w:val="none" w:sz="0" w:space="0" w:color="auto"/>
          </w:divBdr>
        </w:div>
        <w:div w:id="237718855">
          <w:marLeft w:val="0"/>
          <w:marRight w:val="0"/>
          <w:marTop w:val="0"/>
          <w:marBottom w:val="0"/>
          <w:divBdr>
            <w:top w:val="none" w:sz="0" w:space="0" w:color="auto"/>
            <w:left w:val="none" w:sz="0" w:space="0" w:color="auto"/>
            <w:bottom w:val="none" w:sz="0" w:space="0" w:color="auto"/>
            <w:right w:val="none" w:sz="0" w:space="0" w:color="auto"/>
          </w:divBdr>
        </w:div>
        <w:div w:id="1261597322">
          <w:marLeft w:val="0"/>
          <w:marRight w:val="0"/>
          <w:marTop w:val="0"/>
          <w:marBottom w:val="0"/>
          <w:divBdr>
            <w:top w:val="none" w:sz="0" w:space="0" w:color="auto"/>
            <w:left w:val="none" w:sz="0" w:space="0" w:color="auto"/>
            <w:bottom w:val="none" w:sz="0" w:space="0" w:color="auto"/>
            <w:right w:val="none" w:sz="0" w:space="0" w:color="auto"/>
          </w:divBdr>
        </w:div>
        <w:div w:id="1082483330">
          <w:marLeft w:val="0"/>
          <w:marRight w:val="0"/>
          <w:marTop w:val="0"/>
          <w:marBottom w:val="0"/>
          <w:divBdr>
            <w:top w:val="none" w:sz="0" w:space="0" w:color="auto"/>
            <w:left w:val="none" w:sz="0" w:space="0" w:color="auto"/>
            <w:bottom w:val="none" w:sz="0" w:space="0" w:color="auto"/>
            <w:right w:val="none" w:sz="0" w:space="0" w:color="auto"/>
          </w:divBdr>
        </w:div>
        <w:div w:id="928386557">
          <w:marLeft w:val="0"/>
          <w:marRight w:val="0"/>
          <w:marTop w:val="0"/>
          <w:marBottom w:val="0"/>
          <w:divBdr>
            <w:top w:val="none" w:sz="0" w:space="0" w:color="auto"/>
            <w:left w:val="none" w:sz="0" w:space="0" w:color="auto"/>
            <w:bottom w:val="none" w:sz="0" w:space="0" w:color="auto"/>
            <w:right w:val="none" w:sz="0" w:space="0" w:color="auto"/>
          </w:divBdr>
        </w:div>
        <w:div w:id="513888139">
          <w:marLeft w:val="0"/>
          <w:marRight w:val="0"/>
          <w:marTop w:val="0"/>
          <w:marBottom w:val="0"/>
          <w:divBdr>
            <w:top w:val="none" w:sz="0" w:space="0" w:color="auto"/>
            <w:left w:val="none" w:sz="0" w:space="0" w:color="auto"/>
            <w:bottom w:val="none" w:sz="0" w:space="0" w:color="auto"/>
            <w:right w:val="none" w:sz="0" w:space="0" w:color="auto"/>
          </w:divBdr>
        </w:div>
        <w:div w:id="500125882">
          <w:marLeft w:val="0"/>
          <w:marRight w:val="0"/>
          <w:marTop w:val="0"/>
          <w:marBottom w:val="0"/>
          <w:divBdr>
            <w:top w:val="none" w:sz="0" w:space="0" w:color="auto"/>
            <w:left w:val="none" w:sz="0" w:space="0" w:color="auto"/>
            <w:bottom w:val="none" w:sz="0" w:space="0" w:color="auto"/>
            <w:right w:val="none" w:sz="0" w:space="0" w:color="auto"/>
          </w:divBdr>
        </w:div>
        <w:div w:id="399602323">
          <w:marLeft w:val="0"/>
          <w:marRight w:val="0"/>
          <w:marTop w:val="0"/>
          <w:marBottom w:val="0"/>
          <w:divBdr>
            <w:top w:val="none" w:sz="0" w:space="0" w:color="auto"/>
            <w:left w:val="none" w:sz="0" w:space="0" w:color="auto"/>
            <w:bottom w:val="none" w:sz="0" w:space="0" w:color="auto"/>
            <w:right w:val="none" w:sz="0" w:space="0" w:color="auto"/>
          </w:divBdr>
        </w:div>
        <w:div w:id="150487523">
          <w:marLeft w:val="0"/>
          <w:marRight w:val="0"/>
          <w:marTop w:val="0"/>
          <w:marBottom w:val="0"/>
          <w:divBdr>
            <w:top w:val="none" w:sz="0" w:space="0" w:color="auto"/>
            <w:left w:val="none" w:sz="0" w:space="0" w:color="auto"/>
            <w:bottom w:val="none" w:sz="0" w:space="0" w:color="auto"/>
            <w:right w:val="none" w:sz="0" w:space="0" w:color="auto"/>
          </w:divBdr>
        </w:div>
        <w:div w:id="785196077">
          <w:marLeft w:val="0"/>
          <w:marRight w:val="0"/>
          <w:marTop w:val="0"/>
          <w:marBottom w:val="0"/>
          <w:divBdr>
            <w:top w:val="none" w:sz="0" w:space="0" w:color="auto"/>
            <w:left w:val="none" w:sz="0" w:space="0" w:color="auto"/>
            <w:bottom w:val="none" w:sz="0" w:space="0" w:color="auto"/>
            <w:right w:val="none" w:sz="0" w:space="0" w:color="auto"/>
          </w:divBdr>
        </w:div>
        <w:div w:id="1518929049">
          <w:marLeft w:val="0"/>
          <w:marRight w:val="0"/>
          <w:marTop w:val="0"/>
          <w:marBottom w:val="0"/>
          <w:divBdr>
            <w:top w:val="none" w:sz="0" w:space="0" w:color="auto"/>
            <w:left w:val="none" w:sz="0" w:space="0" w:color="auto"/>
            <w:bottom w:val="none" w:sz="0" w:space="0" w:color="auto"/>
            <w:right w:val="none" w:sz="0" w:space="0" w:color="auto"/>
          </w:divBdr>
        </w:div>
        <w:div w:id="1556624717">
          <w:marLeft w:val="0"/>
          <w:marRight w:val="0"/>
          <w:marTop w:val="0"/>
          <w:marBottom w:val="0"/>
          <w:divBdr>
            <w:top w:val="none" w:sz="0" w:space="0" w:color="auto"/>
            <w:left w:val="none" w:sz="0" w:space="0" w:color="auto"/>
            <w:bottom w:val="none" w:sz="0" w:space="0" w:color="auto"/>
            <w:right w:val="none" w:sz="0" w:space="0" w:color="auto"/>
          </w:divBdr>
        </w:div>
        <w:div w:id="1449354527">
          <w:marLeft w:val="0"/>
          <w:marRight w:val="0"/>
          <w:marTop w:val="0"/>
          <w:marBottom w:val="0"/>
          <w:divBdr>
            <w:top w:val="none" w:sz="0" w:space="0" w:color="auto"/>
            <w:left w:val="none" w:sz="0" w:space="0" w:color="auto"/>
            <w:bottom w:val="none" w:sz="0" w:space="0" w:color="auto"/>
            <w:right w:val="none" w:sz="0" w:space="0" w:color="auto"/>
          </w:divBdr>
        </w:div>
        <w:div w:id="212347071">
          <w:marLeft w:val="0"/>
          <w:marRight w:val="0"/>
          <w:marTop w:val="0"/>
          <w:marBottom w:val="0"/>
          <w:divBdr>
            <w:top w:val="none" w:sz="0" w:space="0" w:color="auto"/>
            <w:left w:val="none" w:sz="0" w:space="0" w:color="auto"/>
            <w:bottom w:val="none" w:sz="0" w:space="0" w:color="auto"/>
            <w:right w:val="none" w:sz="0" w:space="0" w:color="auto"/>
          </w:divBdr>
        </w:div>
      </w:divsChild>
    </w:div>
    <w:div w:id="1477915896">
      <w:bodyDiv w:val="1"/>
      <w:marLeft w:val="0"/>
      <w:marRight w:val="0"/>
      <w:marTop w:val="0"/>
      <w:marBottom w:val="0"/>
      <w:divBdr>
        <w:top w:val="none" w:sz="0" w:space="0" w:color="auto"/>
        <w:left w:val="none" w:sz="0" w:space="0" w:color="auto"/>
        <w:bottom w:val="none" w:sz="0" w:space="0" w:color="auto"/>
        <w:right w:val="none" w:sz="0" w:space="0" w:color="auto"/>
      </w:divBdr>
      <w:divsChild>
        <w:div w:id="1512798392">
          <w:marLeft w:val="0"/>
          <w:marRight w:val="0"/>
          <w:marTop w:val="0"/>
          <w:marBottom w:val="0"/>
          <w:divBdr>
            <w:top w:val="none" w:sz="0" w:space="0" w:color="auto"/>
            <w:left w:val="none" w:sz="0" w:space="0" w:color="auto"/>
            <w:bottom w:val="none" w:sz="0" w:space="0" w:color="auto"/>
            <w:right w:val="none" w:sz="0" w:space="0" w:color="auto"/>
          </w:divBdr>
        </w:div>
        <w:div w:id="1690717481">
          <w:marLeft w:val="0"/>
          <w:marRight w:val="0"/>
          <w:marTop w:val="0"/>
          <w:marBottom w:val="0"/>
          <w:divBdr>
            <w:top w:val="none" w:sz="0" w:space="0" w:color="auto"/>
            <w:left w:val="none" w:sz="0" w:space="0" w:color="auto"/>
            <w:bottom w:val="none" w:sz="0" w:space="0" w:color="auto"/>
            <w:right w:val="none" w:sz="0" w:space="0" w:color="auto"/>
          </w:divBdr>
        </w:div>
        <w:div w:id="866911216">
          <w:marLeft w:val="0"/>
          <w:marRight w:val="0"/>
          <w:marTop w:val="0"/>
          <w:marBottom w:val="0"/>
          <w:divBdr>
            <w:top w:val="none" w:sz="0" w:space="0" w:color="auto"/>
            <w:left w:val="none" w:sz="0" w:space="0" w:color="auto"/>
            <w:bottom w:val="none" w:sz="0" w:space="0" w:color="auto"/>
            <w:right w:val="none" w:sz="0" w:space="0" w:color="auto"/>
          </w:divBdr>
        </w:div>
        <w:div w:id="111897476">
          <w:marLeft w:val="0"/>
          <w:marRight w:val="0"/>
          <w:marTop w:val="0"/>
          <w:marBottom w:val="0"/>
          <w:divBdr>
            <w:top w:val="none" w:sz="0" w:space="0" w:color="auto"/>
            <w:left w:val="none" w:sz="0" w:space="0" w:color="auto"/>
            <w:bottom w:val="none" w:sz="0" w:space="0" w:color="auto"/>
            <w:right w:val="none" w:sz="0" w:space="0" w:color="auto"/>
          </w:divBdr>
        </w:div>
        <w:div w:id="1069377638">
          <w:marLeft w:val="0"/>
          <w:marRight w:val="0"/>
          <w:marTop w:val="0"/>
          <w:marBottom w:val="0"/>
          <w:divBdr>
            <w:top w:val="none" w:sz="0" w:space="0" w:color="auto"/>
            <w:left w:val="none" w:sz="0" w:space="0" w:color="auto"/>
            <w:bottom w:val="none" w:sz="0" w:space="0" w:color="auto"/>
            <w:right w:val="none" w:sz="0" w:space="0" w:color="auto"/>
          </w:divBdr>
        </w:div>
        <w:div w:id="1222210402">
          <w:marLeft w:val="0"/>
          <w:marRight w:val="0"/>
          <w:marTop w:val="0"/>
          <w:marBottom w:val="0"/>
          <w:divBdr>
            <w:top w:val="none" w:sz="0" w:space="0" w:color="auto"/>
            <w:left w:val="none" w:sz="0" w:space="0" w:color="auto"/>
            <w:bottom w:val="none" w:sz="0" w:space="0" w:color="auto"/>
            <w:right w:val="none" w:sz="0" w:space="0" w:color="auto"/>
          </w:divBdr>
        </w:div>
        <w:div w:id="719090551">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327094377">
          <w:marLeft w:val="0"/>
          <w:marRight w:val="0"/>
          <w:marTop w:val="0"/>
          <w:marBottom w:val="0"/>
          <w:divBdr>
            <w:top w:val="none" w:sz="0" w:space="0" w:color="auto"/>
            <w:left w:val="none" w:sz="0" w:space="0" w:color="auto"/>
            <w:bottom w:val="none" w:sz="0" w:space="0" w:color="auto"/>
            <w:right w:val="none" w:sz="0" w:space="0" w:color="auto"/>
          </w:divBdr>
        </w:div>
        <w:div w:id="268047385">
          <w:marLeft w:val="0"/>
          <w:marRight w:val="0"/>
          <w:marTop w:val="0"/>
          <w:marBottom w:val="0"/>
          <w:divBdr>
            <w:top w:val="none" w:sz="0" w:space="0" w:color="auto"/>
            <w:left w:val="none" w:sz="0" w:space="0" w:color="auto"/>
            <w:bottom w:val="none" w:sz="0" w:space="0" w:color="auto"/>
            <w:right w:val="none" w:sz="0" w:space="0" w:color="auto"/>
          </w:divBdr>
        </w:div>
        <w:div w:id="582104076">
          <w:marLeft w:val="0"/>
          <w:marRight w:val="0"/>
          <w:marTop w:val="0"/>
          <w:marBottom w:val="0"/>
          <w:divBdr>
            <w:top w:val="none" w:sz="0" w:space="0" w:color="auto"/>
            <w:left w:val="none" w:sz="0" w:space="0" w:color="auto"/>
            <w:bottom w:val="none" w:sz="0" w:space="0" w:color="auto"/>
            <w:right w:val="none" w:sz="0" w:space="0" w:color="auto"/>
          </w:divBdr>
        </w:div>
        <w:div w:id="911549579">
          <w:marLeft w:val="0"/>
          <w:marRight w:val="0"/>
          <w:marTop w:val="0"/>
          <w:marBottom w:val="0"/>
          <w:divBdr>
            <w:top w:val="none" w:sz="0" w:space="0" w:color="auto"/>
            <w:left w:val="none" w:sz="0" w:space="0" w:color="auto"/>
            <w:bottom w:val="none" w:sz="0" w:space="0" w:color="auto"/>
            <w:right w:val="none" w:sz="0" w:space="0" w:color="auto"/>
          </w:divBdr>
        </w:div>
        <w:div w:id="1796018122">
          <w:marLeft w:val="0"/>
          <w:marRight w:val="0"/>
          <w:marTop w:val="0"/>
          <w:marBottom w:val="0"/>
          <w:divBdr>
            <w:top w:val="none" w:sz="0" w:space="0" w:color="auto"/>
            <w:left w:val="none" w:sz="0" w:space="0" w:color="auto"/>
            <w:bottom w:val="none" w:sz="0" w:space="0" w:color="auto"/>
            <w:right w:val="none" w:sz="0" w:space="0" w:color="auto"/>
          </w:divBdr>
        </w:div>
        <w:div w:id="1321929918">
          <w:marLeft w:val="0"/>
          <w:marRight w:val="0"/>
          <w:marTop w:val="0"/>
          <w:marBottom w:val="0"/>
          <w:divBdr>
            <w:top w:val="none" w:sz="0" w:space="0" w:color="auto"/>
            <w:left w:val="none" w:sz="0" w:space="0" w:color="auto"/>
            <w:bottom w:val="none" w:sz="0" w:space="0" w:color="auto"/>
            <w:right w:val="none" w:sz="0" w:space="0" w:color="auto"/>
          </w:divBdr>
        </w:div>
        <w:div w:id="167958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y.blakemore@mancheste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ngtermplan.nhs.uk/wp-content/uploads/2019/01/nhs-long-term-plan.pdf" TargetMode="External"/><Relationship Id="rId5" Type="http://schemas.openxmlformats.org/officeDocument/2006/relationships/footnotes" Target="footnotes.xml"/><Relationship Id="rId10" Type="http://schemas.openxmlformats.org/officeDocument/2006/relationships/hyperlink" Target="http://www.england.nhs.uk/wp-content/uploads/2014/10/5yfv-web.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6857</Words>
  <Characters>39085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Blakemore</dc:creator>
  <cp:lastModifiedBy>kc528</cp:lastModifiedBy>
  <cp:revision>2</cp:revision>
  <cp:lastPrinted>2019-02-27T14:47:00Z</cp:lastPrinted>
  <dcterms:created xsi:type="dcterms:W3CDTF">2019-04-01T14:17:00Z</dcterms:created>
  <dcterms:modified xsi:type="dcterms:W3CDTF">2019-04-01T14:17:00Z</dcterms:modified>
</cp:coreProperties>
</file>