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32EB05" w14:textId="77777777" w:rsidR="0018490D" w:rsidRPr="0018490D" w:rsidRDefault="0018490D" w:rsidP="00CB63D5">
      <w:pPr>
        <w:spacing w:line="480" w:lineRule="auto"/>
        <w:rPr>
          <w:b/>
          <w:sz w:val="28"/>
          <w:szCs w:val="28"/>
        </w:rPr>
      </w:pPr>
      <w:r w:rsidRPr="0018490D">
        <w:rPr>
          <w:b/>
          <w:sz w:val="28"/>
          <w:szCs w:val="28"/>
        </w:rPr>
        <w:t>Debating Banking in Britain: The Colwyn Committee, 1918</w:t>
      </w:r>
    </w:p>
    <w:p w14:paraId="506EE03A" w14:textId="77777777" w:rsidR="006234C0" w:rsidRDefault="006234C0" w:rsidP="00CB63D5">
      <w:pPr>
        <w:spacing w:line="480" w:lineRule="auto"/>
        <w:rPr>
          <w:b/>
          <w:sz w:val="28"/>
          <w:szCs w:val="28"/>
        </w:rPr>
      </w:pPr>
    </w:p>
    <w:p w14:paraId="489D00DD" w14:textId="77777777" w:rsidR="0018490D" w:rsidRPr="00794CAE" w:rsidRDefault="0018490D" w:rsidP="00CB63D5">
      <w:pPr>
        <w:spacing w:line="480" w:lineRule="auto"/>
        <w:rPr>
          <w:sz w:val="28"/>
          <w:szCs w:val="28"/>
        </w:rPr>
      </w:pPr>
      <w:r w:rsidRPr="00794CAE">
        <w:rPr>
          <w:b/>
          <w:sz w:val="28"/>
          <w:szCs w:val="28"/>
        </w:rPr>
        <w:t>Abstract</w:t>
      </w:r>
    </w:p>
    <w:p w14:paraId="4A36F86C" w14:textId="77777777" w:rsidR="00D971ED" w:rsidRPr="00D971ED" w:rsidRDefault="00D971ED" w:rsidP="00CB63D5">
      <w:pPr>
        <w:spacing w:line="480" w:lineRule="auto"/>
        <w:rPr>
          <w:bCs/>
          <w:sz w:val="24"/>
        </w:rPr>
      </w:pPr>
    </w:p>
    <w:p w14:paraId="39E534C8" w14:textId="73ACF6F8" w:rsidR="00D971ED" w:rsidRPr="00D971ED" w:rsidRDefault="00EB4547" w:rsidP="00CB63D5">
      <w:pPr>
        <w:spacing w:line="480" w:lineRule="auto"/>
        <w:rPr>
          <w:bCs/>
          <w:sz w:val="24"/>
        </w:rPr>
      </w:pPr>
      <w:r>
        <w:rPr>
          <w:bCs/>
          <w:sz w:val="24"/>
        </w:rPr>
        <w:t xml:space="preserve">By 1918 </w:t>
      </w:r>
      <w:r w:rsidR="00B330A7">
        <w:rPr>
          <w:bCs/>
          <w:sz w:val="24"/>
        </w:rPr>
        <w:t xml:space="preserve">the British </w:t>
      </w:r>
      <w:r>
        <w:rPr>
          <w:bCs/>
          <w:sz w:val="24"/>
        </w:rPr>
        <w:t xml:space="preserve">banking system had </w:t>
      </w:r>
      <w:r w:rsidR="00A50E45">
        <w:rPr>
          <w:bCs/>
          <w:sz w:val="24"/>
        </w:rPr>
        <w:t xml:space="preserve">reached a degree of maturity and concentration, with a small number of large banks dominating the sector. Political concerns about the rise of financial power led to the </w:t>
      </w:r>
      <w:r w:rsidR="00B330A7">
        <w:rPr>
          <w:bCs/>
          <w:sz w:val="24"/>
        </w:rPr>
        <w:t xml:space="preserve">appointment of the </w:t>
      </w:r>
      <w:r w:rsidR="00A50E45">
        <w:rPr>
          <w:bCs/>
          <w:sz w:val="24"/>
        </w:rPr>
        <w:t>Colwyn Committee</w:t>
      </w:r>
      <w:r w:rsidR="00D971ED">
        <w:rPr>
          <w:bCs/>
          <w:sz w:val="24"/>
        </w:rPr>
        <w:t xml:space="preserve"> to investigate </w:t>
      </w:r>
      <w:r w:rsidR="00A50E45">
        <w:rPr>
          <w:bCs/>
          <w:sz w:val="24"/>
        </w:rPr>
        <w:t xml:space="preserve">the amalgamations </w:t>
      </w:r>
      <w:r w:rsidR="00D971ED">
        <w:rPr>
          <w:bCs/>
          <w:sz w:val="24"/>
        </w:rPr>
        <w:t>process</w:t>
      </w:r>
      <w:r w:rsidR="00A50E45">
        <w:rPr>
          <w:bCs/>
          <w:sz w:val="24"/>
        </w:rPr>
        <w:t>, and consider the issue of concentration with reference to the role of banking in the economy</w:t>
      </w:r>
      <w:r w:rsidR="00D971ED">
        <w:rPr>
          <w:bCs/>
          <w:sz w:val="24"/>
        </w:rPr>
        <w:t xml:space="preserve">. </w:t>
      </w:r>
      <w:r w:rsidR="00A50E45">
        <w:rPr>
          <w:bCs/>
          <w:sz w:val="24"/>
        </w:rPr>
        <w:t xml:space="preserve">In this </w:t>
      </w:r>
      <w:r w:rsidR="00FC6FD8">
        <w:rPr>
          <w:bCs/>
          <w:sz w:val="24"/>
        </w:rPr>
        <w:t>paper</w:t>
      </w:r>
      <w:r w:rsidR="00A50E45">
        <w:rPr>
          <w:bCs/>
          <w:sz w:val="24"/>
        </w:rPr>
        <w:t xml:space="preserve"> we explore </w:t>
      </w:r>
      <w:r w:rsidR="00DC2102">
        <w:rPr>
          <w:bCs/>
          <w:sz w:val="24"/>
        </w:rPr>
        <w:t>this</w:t>
      </w:r>
      <w:r w:rsidR="00A50E45">
        <w:rPr>
          <w:bCs/>
          <w:sz w:val="24"/>
        </w:rPr>
        <w:t xml:space="preserve"> critical inflection point in </w:t>
      </w:r>
      <w:r w:rsidR="00FC6FD8">
        <w:rPr>
          <w:bCs/>
          <w:sz w:val="24"/>
        </w:rPr>
        <w:t>British banking</w:t>
      </w:r>
      <w:r w:rsidR="00FC6FD8" w:rsidRPr="00FC6FD8">
        <w:rPr>
          <w:bCs/>
          <w:sz w:val="24"/>
        </w:rPr>
        <w:t xml:space="preserve"> </w:t>
      </w:r>
      <w:r w:rsidR="00A50E45">
        <w:rPr>
          <w:bCs/>
          <w:sz w:val="24"/>
        </w:rPr>
        <w:t xml:space="preserve">history </w:t>
      </w:r>
      <w:r w:rsidR="00FC6FD8">
        <w:rPr>
          <w:bCs/>
          <w:sz w:val="24"/>
        </w:rPr>
        <w:t>and argue that the Committee’s proceedings reveal that m</w:t>
      </w:r>
      <w:r w:rsidR="00FC6FD8" w:rsidRPr="00D971ED">
        <w:rPr>
          <w:bCs/>
          <w:sz w:val="24"/>
        </w:rPr>
        <w:t xml:space="preserve">any </w:t>
      </w:r>
      <w:r w:rsidR="00FC6FD8">
        <w:rPr>
          <w:bCs/>
          <w:sz w:val="24"/>
        </w:rPr>
        <w:t>current</w:t>
      </w:r>
      <w:r w:rsidR="00FC6FD8" w:rsidRPr="00D971ED">
        <w:rPr>
          <w:bCs/>
          <w:sz w:val="24"/>
        </w:rPr>
        <w:t xml:space="preserve"> concerns about banking </w:t>
      </w:r>
      <w:r w:rsidR="00FC6FD8">
        <w:rPr>
          <w:bCs/>
          <w:sz w:val="24"/>
        </w:rPr>
        <w:t>correspond to</w:t>
      </w:r>
      <w:r w:rsidR="00FC6FD8" w:rsidRPr="00D971ED">
        <w:rPr>
          <w:bCs/>
          <w:sz w:val="24"/>
        </w:rPr>
        <w:t xml:space="preserve"> th</w:t>
      </w:r>
      <w:r w:rsidR="00FC6FD8">
        <w:rPr>
          <w:bCs/>
          <w:sz w:val="24"/>
        </w:rPr>
        <w:t>ose of a century ago</w:t>
      </w:r>
      <w:r w:rsidR="00C20A80">
        <w:rPr>
          <w:bCs/>
          <w:sz w:val="24"/>
        </w:rPr>
        <w:t xml:space="preserve">. We </w:t>
      </w:r>
      <w:r w:rsidR="00FC6FD8">
        <w:rPr>
          <w:bCs/>
          <w:sz w:val="24"/>
        </w:rPr>
        <w:t xml:space="preserve">also </w:t>
      </w:r>
      <w:r w:rsidR="00C20A80">
        <w:rPr>
          <w:bCs/>
          <w:sz w:val="24"/>
        </w:rPr>
        <w:t xml:space="preserve">argue that–contrary to </w:t>
      </w:r>
      <w:r w:rsidR="00DC2102">
        <w:rPr>
          <w:bCs/>
          <w:sz w:val="24"/>
        </w:rPr>
        <w:t>some</w:t>
      </w:r>
      <w:r w:rsidR="00C20A80">
        <w:rPr>
          <w:bCs/>
          <w:sz w:val="24"/>
        </w:rPr>
        <w:t xml:space="preserve"> historical interpretation–the </w:t>
      </w:r>
      <w:r w:rsidR="00FC6FD8">
        <w:rPr>
          <w:bCs/>
          <w:sz w:val="24"/>
        </w:rPr>
        <w:t>C</w:t>
      </w:r>
      <w:r w:rsidR="00C20A80">
        <w:rPr>
          <w:bCs/>
          <w:sz w:val="24"/>
        </w:rPr>
        <w:t xml:space="preserve">ommittee </w:t>
      </w:r>
      <w:r w:rsidR="00DC2102">
        <w:rPr>
          <w:bCs/>
          <w:sz w:val="24"/>
        </w:rPr>
        <w:t>did</w:t>
      </w:r>
      <w:r w:rsidR="00C20A80">
        <w:rPr>
          <w:bCs/>
          <w:sz w:val="24"/>
        </w:rPr>
        <w:t xml:space="preserve"> not unequivocally favour financ</w:t>
      </w:r>
      <w:r w:rsidR="00DC2102">
        <w:rPr>
          <w:bCs/>
          <w:sz w:val="24"/>
        </w:rPr>
        <w:t>ial interests</w:t>
      </w:r>
      <w:r w:rsidR="00C20A80">
        <w:rPr>
          <w:bCs/>
          <w:sz w:val="24"/>
        </w:rPr>
        <w:t>, but rather sought to stabilise organi</w:t>
      </w:r>
      <w:r w:rsidR="007819AC">
        <w:rPr>
          <w:bCs/>
          <w:sz w:val="24"/>
        </w:rPr>
        <w:t>s</w:t>
      </w:r>
      <w:r w:rsidR="00C20A80">
        <w:rPr>
          <w:bCs/>
          <w:sz w:val="24"/>
        </w:rPr>
        <w:t>ational change in the sector, and introduce new restrictions on the freedom of banks in respect of amalgamation, as well as supervision and regulation.</w:t>
      </w:r>
    </w:p>
    <w:p w14:paraId="2926A590" w14:textId="77777777" w:rsidR="008532FA" w:rsidRPr="008532FA" w:rsidRDefault="008532FA" w:rsidP="00CB63D5">
      <w:pPr>
        <w:spacing w:line="480" w:lineRule="auto"/>
        <w:rPr>
          <w:bCs/>
          <w:sz w:val="24"/>
        </w:rPr>
      </w:pPr>
    </w:p>
    <w:p w14:paraId="4AAA5509" w14:textId="77777777" w:rsidR="008532FA" w:rsidRPr="008532FA" w:rsidRDefault="008532FA" w:rsidP="00CB63D5">
      <w:pPr>
        <w:spacing w:line="480" w:lineRule="auto"/>
        <w:rPr>
          <w:bCs/>
          <w:sz w:val="24"/>
        </w:rPr>
      </w:pPr>
      <w:r w:rsidRPr="008532FA">
        <w:rPr>
          <w:b/>
          <w:bCs/>
          <w:sz w:val="24"/>
        </w:rPr>
        <w:t>key words</w:t>
      </w:r>
      <w:r w:rsidRPr="008532FA">
        <w:rPr>
          <w:bCs/>
          <w:sz w:val="24"/>
        </w:rPr>
        <w:t xml:space="preserve">: banking amalgamations; banking regulation; British banking; </w:t>
      </w:r>
      <w:r w:rsidR="00794CAE">
        <w:rPr>
          <w:bCs/>
          <w:sz w:val="24"/>
        </w:rPr>
        <w:t>financial development</w:t>
      </w:r>
      <w:r w:rsidRPr="008532FA">
        <w:rPr>
          <w:bCs/>
          <w:sz w:val="24"/>
        </w:rPr>
        <w:t>.</w:t>
      </w:r>
    </w:p>
    <w:p w14:paraId="038D1E4E" w14:textId="77777777" w:rsidR="008532FA" w:rsidRPr="008532FA" w:rsidRDefault="008532FA" w:rsidP="00CB63D5">
      <w:pPr>
        <w:spacing w:line="480" w:lineRule="auto"/>
        <w:rPr>
          <w:bCs/>
          <w:sz w:val="24"/>
        </w:rPr>
      </w:pPr>
    </w:p>
    <w:p w14:paraId="57D03641" w14:textId="77777777" w:rsidR="008532FA" w:rsidRPr="008532FA" w:rsidRDefault="008532FA" w:rsidP="00CB63D5">
      <w:pPr>
        <w:spacing w:line="480" w:lineRule="auto"/>
        <w:rPr>
          <w:bCs/>
          <w:sz w:val="24"/>
        </w:rPr>
      </w:pPr>
    </w:p>
    <w:p w14:paraId="69BE43FC" w14:textId="77777777" w:rsidR="008532FA" w:rsidRPr="00656258" w:rsidRDefault="00B77046" w:rsidP="00CB63D5">
      <w:pPr>
        <w:spacing w:line="480" w:lineRule="auto"/>
        <w:rPr>
          <w:b/>
          <w:bCs/>
          <w:sz w:val="28"/>
          <w:szCs w:val="28"/>
        </w:rPr>
      </w:pPr>
      <w:r w:rsidRPr="00656258">
        <w:rPr>
          <w:bCs/>
          <w:sz w:val="28"/>
          <w:szCs w:val="28"/>
        </w:rPr>
        <w:br w:type="page"/>
      </w:r>
      <w:r w:rsidR="008532FA" w:rsidRPr="00656258">
        <w:rPr>
          <w:b/>
          <w:bCs/>
          <w:sz w:val="28"/>
          <w:szCs w:val="28"/>
        </w:rPr>
        <w:lastRenderedPageBreak/>
        <w:t>Introduction</w:t>
      </w:r>
    </w:p>
    <w:p w14:paraId="43431BB9" w14:textId="77777777" w:rsidR="00DB2A75" w:rsidRPr="00DB2A75" w:rsidRDefault="00DB2A75" w:rsidP="00CB63D5">
      <w:pPr>
        <w:spacing w:line="480" w:lineRule="auto"/>
        <w:rPr>
          <w:bCs/>
          <w:sz w:val="24"/>
        </w:rPr>
      </w:pPr>
    </w:p>
    <w:p w14:paraId="0FE008D7" w14:textId="73609331" w:rsidR="00673E7D" w:rsidRDefault="00DB2A75" w:rsidP="00CB63D5">
      <w:pPr>
        <w:spacing w:line="480" w:lineRule="auto"/>
        <w:rPr>
          <w:bCs/>
          <w:sz w:val="24"/>
        </w:rPr>
      </w:pPr>
      <w:r w:rsidRPr="00DB2A75">
        <w:rPr>
          <w:bCs/>
          <w:sz w:val="24"/>
        </w:rPr>
        <w:t>The link between financial development and economic growth has been widely investigated and most evidence points to a positive causal effect.</w:t>
      </w:r>
      <w:r w:rsidR="00CB63D5" w:rsidRPr="00DB2A75">
        <w:rPr>
          <w:bCs/>
          <w:sz w:val="24"/>
          <w:vertAlign w:val="superscript"/>
        </w:rPr>
        <w:endnoteReference w:id="1"/>
      </w:r>
      <w:r w:rsidR="00CB63D5" w:rsidRPr="00DB2A75">
        <w:rPr>
          <w:bCs/>
          <w:sz w:val="24"/>
        </w:rPr>
        <w:t xml:space="preserve"> </w:t>
      </w:r>
      <w:r w:rsidR="00433802" w:rsidRPr="00DB2A75">
        <w:rPr>
          <w:bCs/>
          <w:sz w:val="24"/>
        </w:rPr>
        <w:t xml:space="preserve">Gerschenkron </w:t>
      </w:r>
      <w:r w:rsidR="00F41573">
        <w:rPr>
          <w:bCs/>
          <w:sz w:val="24"/>
        </w:rPr>
        <w:t xml:space="preserve">(1962) </w:t>
      </w:r>
      <w:r w:rsidR="00433802" w:rsidRPr="00DB2A75">
        <w:rPr>
          <w:bCs/>
          <w:sz w:val="24"/>
        </w:rPr>
        <w:t>and Goldsmith</w:t>
      </w:r>
      <w:r w:rsidR="00433802">
        <w:rPr>
          <w:bCs/>
          <w:sz w:val="24"/>
        </w:rPr>
        <w:t xml:space="preserve"> </w:t>
      </w:r>
      <w:r w:rsidR="00F41573">
        <w:rPr>
          <w:bCs/>
          <w:sz w:val="24"/>
        </w:rPr>
        <w:t xml:space="preserve">(1969) </w:t>
      </w:r>
      <w:r w:rsidR="00433802" w:rsidRPr="00DB2A75">
        <w:rPr>
          <w:bCs/>
          <w:sz w:val="24"/>
        </w:rPr>
        <w:t xml:space="preserve">debated </w:t>
      </w:r>
      <w:r w:rsidR="00433802">
        <w:rPr>
          <w:bCs/>
          <w:sz w:val="24"/>
        </w:rPr>
        <w:t>t</w:t>
      </w:r>
      <w:r w:rsidR="00CB63D5" w:rsidRPr="00DB2A75">
        <w:rPr>
          <w:bCs/>
          <w:sz w:val="24"/>
        </w:rPr>
        <w:t xml:space="preserve">he relative merits of bank-based versus market-based financial systems </w:t>
      </w:r>
      <w:r w:rsidR="00CB63D5">
        <w:rPr>
          <w:bCs/>
          <w:sz w:val="24"/>
        </w:rPr>
        <w:t xml:space="preserve">in financial development </w:t>
      </w:r>
      <w:r w:rsidR="00CB63D5" w:rsidRPr="00DB2A75">
        <w:rPr>
          <w:bCs/>
          <w:sz w:val="24"/>
        </w:rPr>
        <w:t>several decades ago</w:t>
      </w:r>
      <w:r w:rsidR="005A2F8D">
        <w:rPr>
          <w:bCs/>
          <w:sz w:val="24"/>
        </w:rPr>
        <w:t>. More recently</w:t>
      </w:r>
      <w:r w:rsidR="00C56A43">
        <w:rPr>
          <w:bCs/>
          <w:sz w:val="24"/>
        </w:rPr>
        <w:t xml:space="preserve"> </w:t>
      </w:r>
      <w:r w:rsidR="00CB63D5" w:rsidRPr="00DB2A75">
        <w:rPr>
          <w:bCs/>
          <w:sz w:val="24"/>
        </w:rPr>
        <w:t>Fohlin argue</w:t>
      </w:r>
      <w:r w:rsidR="005A2F8D">
        <w:rPr>
          <w:bCs/>
          <w:sz w:val="24"/>
        </w:rPr>
        <w:t>d</w:t>
      </w:r>
      <w:r w:rsidR="00CB63D5" w:rsidRPr="00DB2A75">
        <w:rPr>
          <w:bCs/>
          <w:sz w:val="24"/>
        </w:rPr>
        <w:t xml:space="preserve"> that </w:t>
      </w:r>
      <w:r w:rsidR="00B03B98">
        <w:rPr>
          <w:bCs/>
          <w:sz w:val="24"/>
        </w:rPr>
        <w:t>‘</w:t>
      </w:r>
      <w:r w:rsidR="00C56A43">
        <w:rPr>
          <w:bCs/>
          <w:sz w:val="24"/>
        </w:rPr>
        <w:t>t</w:t>
      </w:r>
      <w:r w:rsidR="00CB63D5" w:rsidRPr="00DB2A75">
        <w:rPr>
          <w:bCs/>
          <w:sz w:val="24"/>
        </w:rPr>
        <w:t xml:space="preserve">he specific type of financial system or institutions that develop is far less important for economic growth than the development of </w:t>
      </w:r>
      <w:r w:rsidR="00CB63D5" w:rsidRPr="00DB2A75">
        <w:rPr>
          <w:bCs/>
          <w:i/>
          <w:sz w:val="24"/>
        </w:rPr>
        <w:t>some</w:t>
      </w:r>
      <w:r w:rsidR="00CB63D5" w:rsidRPr="00DB2A75">
        <w:rPr>
          <w:bCs/>
          <w:sz w:val="24"/>
        </w:rPr>
        <w:t xml:space="preserve"> well-functioning financial system’ (Fohlin</w:t>
      </w:r>
      <w:r w:rsidR="00CB63D5">
        <w:rPr>
          <w:bCs/>
          <w:sz w:val="24"/>
        </w:rPr>
        <w:t xml:space="preserve">, </w:t>
      </w:r>
      <w:r w:rsidR="00CB63D5" w:rsidRPr="00DB2A75">
        <w:rPr>
          <w:bCs/>
          <w:sz w:val="24"/>
        </w:rPr>
        <w:t>2016, 426</w:t>
      </w:r>
      <w:r w:rsidR="00CB63D5">
        <w:rPr>
          <w:bCs/>
          <w:sz w:val="24"/>
        </w:rPr>
        <w:t>,</w:t>
      </w:r>
      <w:r w:rsidR="00CB63D5" w:rsidRPr="00B83800">
        <w:rPr>
          <w:bCs/>
          <w:sz w:val="24"/>
        </w:rPr>
        <w:t xml:space="preserve"> </w:t>
      </w:r>
      <w:r w:rsidR="00C56A43">
        <w:rPr>
          <w:bCs/>
          <w:sz w:val="24"/>
        </w:rPr>
        <w:t>emphasis</w:t>
      </w:r>
      <w:r w:rsidR="00C56A43" w:rsidRPr="00DB2A75">
        <w:rPr>
          <w:bCs/>
          <w:sz w:val="24"/>
        </w:rPr>
        <w:t xml:space="preserve"> </w:t>
      </w:r>
      <w:r w:rsidR="00CB63D5" w:rsidRPr="00DB2A75">
        <w:rPr>
          <w:bCs/>
          <w:sz w:val="24"/>
        </w:rPr>
        <w:t>in original</w:t>
      </w:r>
      <w:r w:rsidR="00CB63D5">
        <w:rPr>
          <w:bCs/>
          <w:sz w:val="24"/>
        </w:rPr>
        <w:t>)</w:t>
      </w:r>
      <w:r w:rsidR="00CB63D5" w:rsidRPr="00DB2A75">
        <w:rPr>
          <w:bCs/>
          <w:sz w:val="24"/>
        </w:rPr>
        <w:t>.</w:t>
      </w:r>
      <w:r w:rsidR="00CB63D5" w:rsidRPr="00DB2A75">
        <w:rPr>
          <w:bCs/>
          <w:sz w:val="24"/>
          <w:vertAlign w:val="superscript"/>
        </w:rPr>
        <w:endnoteReference w:id="2"/>
      </w:r>
      <w:r w:rsidR="00CB63D5" w:rsidRPr="00DB2A75">
        <w:rPr>
          <w:bCs/>
          <w:sz w:val="24"/>
        </w:rPr>
        <w:t xml:space="preserve"> </w:t>
      </w:r>
      <w:r w:rsidR="005A2F8D">
        <w:rPr>
          <w:bCs/>
          <w:sz w:val="24"/>
        </w:rPr>
        <w:t xml:space="preserve">Recent historical </w:t>
      </w:r>
      <w:r w:rsidR="00CB63D5" w:rsidRPr="00DB2A75">
        <w:rPr>
          <w:bCs/>
          <w:sz w:val="24"/>
        </w:rPr>
        <w:t xml:space="preserve">evidence </w:t>
      </w:r>
      <w:r w:rsidR="00C56A43">
        <w:rPr>
          <w:bCs/>
          <w:sz w:val="24"/>
        </w:rPr>
        <w:t xml:space="preserve">similarly indicates </w:t>
      </w:r>
      <w:r w:rsidR="00CB63D5" w:rsidRPr="00DB2A75">
        <w:rPr>
          <w:bCs/>
          <w:sz w:val="24"/>
        </w:rPr>
        <w:t>that both banks and stock markets contribute to economic growth</w:t>
      </w:r>
      <w:r w:rsidR="005A2F8D" w:rsidRPr="005A2F8D">
        <w:rPr>
          <w:bCs/>
          <w:sz w:val="24"/>
        </w:rPr>
        <w:t xml:space="preserve"> </w:t>
      </w:r>
      <w:r w:rsidR="005A2F8D">
        <w:rPr>
          <w:bCs/>
          <w:sz w:val="24"/>
        </w:rPr>
        <w:t>(</w:t>
      </w:r>
      <w:r w:rsidR="005A2F8D" w:rsidRPr="005A2F8D">
        <w:rPr>
          <w:bCs/>
          <w:sz w:val="24"/>
        </w:rPr>
        <w:t>for example, Carlin and Mayer</w:t>
      </w:r>
      <w:r w:rsidR="005A2F8D">
        <w:rPr>
          <w:bCs/>
          <w:sz w:val="24"/>
        </w:rPr>
        <w:t>,</w:t>
      </w:r>
      <w:r w:rsidR="005A2F8D" w:rsidRPr="005A2F8D">
        <w:rPr>
          <w:bCs/>
          <w:sz w:val="24"/>
        </w:rPr>
        <w:t xml:space="preserve"> 2003</w:t>
      </w:r>
      <w:r w:rsidR="005A2F8D">
        <w:rPr>
          <w:bCs/>
          <w:sz w:val="24"/>
        </w:rPr>
        <w:t xml:space="preserve">; </w:t>
      </w:r>
      <w:r w:rsidR="005A2F8D" w:rsidRPr="005A2F8D">
        <w:rPr>
          <w:bCs/>
          <w:sz w:val="24"/>
        </w:rPr>
        <w:t>Levine and Zervos</w:t>
      </w:r>
      <w:r w:rsidR="005A2F8D">
        <w:rPr>
          <w:bCs/>
          <w:sz w:val="24"/>
        </w:rPr>
        <w:t>, 1998</w:t>
      </w:r>
      <w:r w:rsidR="005A2F8D" w:rsidRPr="005A2F8D">
        <w:rPr>
          <w:bCs/>
          <w:sz w:val="24"/>
        </w:rPr>
        <w:t>; Rajan and Zingales</w:t>
      </w:r>
      <w:r w:rsidR="005A2F8D">
        <w:rPr>
          <w:bCs/>
          <w:sz w:val="24"/>
        </w:rPr>
        <w:t>,</w:t>
      </w:r>
      <w:r w:rsidR="005A2F8D" w:rsidRPr="005A2F8D">
        <w:rPr>
          <w:bCs/>
          <w:sz w:val="24"/>
        </w:rPr>
        <w:t xml:space="preserve"> 1998)</w:t>
      </w:r>
      <w:r w:rsidR="00C56A43">
        <w:rPr>
          <w:bCs/>
          <w:sz w:val="24"/>
        </w:rPr>
        <w:t xml:space="preserve">. </w:t>
      </w:r>
      <w:r w:rsidR="003A51CE">
        <w:rPr>
          <w:bCs/>
          <w:sz w:val="24"/>
        </w:rPr>
        <w:t>Nevertheless, the variations in the structure and form of financial services provision</w:t>
      </w:r>
      <w:r w:rsidR="00AC770C">
        <w:rPr>
          <w:bCs/>
          <w:sz w:val="24"/>
        </w:rPr>
        <w:t xml:space="preserve"> </w:t>
      </w:r>
      <w:r w:rsidR="003A51CE">
        <w:rPr>
          <w:bCs/>
          <w:sz w:val="24"/>
        </w:rPr>
        <w:t>–</w:t>
      </w:r>
      <w:r w:rsidR="00AC770C">
        <w:rPr>
          <w:bCs/>
          <w:sz w:val="24"/>
        </w:rPr>
        <w:t xml:space="preserve"> </w:t>
      </w:r>
      <w:r w:rsidR="003A51CE">
        <w:rPr>
          <w:bCs/>
          <w:sz w:val="24"/>
        </w:rPr>
        <w:t>specifically with respect to the financing of industry</w:t>
      </w:r>
      <w:r w:rsidR="00AC770C">
        <w:rPr>
          <w:bCs/>
          <w:sz w:val="24"/>
        </w:rPr>
        <w:t xml:space="preserve"> </w:t>
      </w:r>
      <w:r w:rsidR="003A51CE">
        <w:rPr>
          <w:bCs/>
          <w:sz w:val="24"/>
        </w:rPr>
        <w:t>–</w:t>
      </w:r>
      <w:r w:rsidR="00AC770C">
        <w:rPr>
          <w:bCs/>
          <w:sz w:val="24"/>
        </w:rPr>
        <w:t xml:space="preserve"> </w:t>
      </w:r>
      <w:r w:rsidR="003A51CE">
        <w:rPr>
          <w:bCs/>
          <w:sz w:val="24"/>
        </w:rPr>
        <w:t>are often used to express essentialist notions of which is preferable, or better suited</w:t>
      </w:r>
      <w:r w:rsidR="004819B2">
        <w:rPr>
          <w:bCs/>
          <w:sz w:val="24"/>
        </w:rPr>
        <w:t>,</w:t>
      </w:r>
      <w:r w:rsidR="003A51CE">
        <w:rPr>
          <w:bCs/>
          <w:sz w:val="24"/>
        </w:rPr>
        <w:t xml:space="preserve"> to </w:t>
      </w:r>
      <w:r w:rsidR="004819B2">
        <w:rPr>
          <w:bCs/>
          <w:sz w:val="24"/>
        </w:rPr>
        <w:t>the promotion of</w:t>
      </w:r>
      <w:r w:rsidR="003A51CE">
        <w:rPr>
          <w:bCs/>
          <w:sz w:val="24"/>
        </w:rPr>
        <w:t xml:space="preserve"> economic growth more generally.</w:t>
      </w:r>
    </w:p>
    <w:p w14:paraId="7C1EB609" w14:textId="77777777" w:rsidR="00673E7D" w:rsidRDefault="00673E7D" w:rsidP="00CB63D5">
      <w:pPr>
        <w:spacing w:line="480" w:lineRule="auto"/>
        <w:rPr>
          <w:bCs/>
          <w:sz w:val="24"/>
        </w:rPr>
      </w:pPr>
    </w:p>
    <w:p w14:paraId="7F17AE33" w14:textId="13550EC1" w:rsidR="005D2E39" w:rsidRDefault="003A51CE" w:rsidP="00CB63D5">
      <w:pPr>
        <w:spacing w:line="480" w:lineRule="auto"/>
        <w:rPr>
          <w:bCs/>
          <w:sz w:val="24"/>
        </w:rPr>
      </w:pPr>
      <w:r w:rsidRPr="00105454">
        <w:rPr>
          <w:bCs/>
          <w:sz w:val="24"/>
        </w:rPr>
        <w:t xml:space="preserve">The financial system of </w:t>
      </w:r>
      <w:r>
        <w:rPr>
          <w:bCs/>
          <w:sz w:val="24"/>
        </w:rPr>
        <w:t>the United Kingdom</w:t>
      </w:r>
      <w:r w:rsidR="004A2F92">
        <w:rPr>
          <w:bCs/>
          <w:sz w:val="24"/>
        </w:rPr>
        <w:t xml:space="preserve"> </w:t>
      </w:r>
      <w:r>
        <w:rPr>
          <w:bCs/>
          <w:sz w:val="24"/>
        </w:rPr>
        <w:t>–</w:t>
      </w:r>
      <w:r w:rsidR="004A2F92">
        <w:rPr>
          <w:bCs/>
          <w:sz w:val="24"/>
        </w:rPr>
        <w:t xml:space="preserve"> </w:t>
      </w:r>
      <w:r>
        <w:rPr>
          <w:bCs/>
          <w:sz w:val="24"/>
        </w:rPr>
        <w:t xml:space="preserve">like that of </w:t>
      </w:r>
      <w:r w:rsidRPr="00105454">
        <w:rPr>
          <w:bCs/>
          <w:sz w:val="24"/>
        </w:rPr>
        <w:t xml:space="preserve">the </w:t>
      </w:r>
      <w:r>
        <w:rPr>
          <w:bCs/>
          <w:sz w:val="24"/>
        </w:rPr>
        <w:t>United States of America</w:t>
      </w:r>
      <w:r w:rsidR="004A2F92">
        <w:rPr>
          <w:bCs/>
          <w:sz w:val="24"/>
        </w:rPr>
        <w:t xml:space="preserve"> </w:t>
      </w:r>
      <w:r>
        <w:rPr>
          <w:bCs/>
          <w:sz w:val="24"/>
        </w:rPr>
        <w:t>–</w:t>
      </w:r>
      <w:r w:rsidR="004A2F92">
        <w:rPr>
          <w:bCs/>
          <w:sz w:val="24"/>
        </w:rPr>
        <w:t xml:space="preserve"> </w:t>
      </w:r>
      <w:r>
        <w:rPr>
          <w:bCs/>
          <w:sz w:val="24"/>
        </w:rPr>
        <w:t>is</w:t>
      </w:r>
      <w:r w:rsidRPr="00105454">
        <w:rPr>
          <w:bCs/>
          <w:sz w:val="24"/>
        </w:rPr>
        <w:t xml:space="preserve"> generally characterised as </w:t>
      </w:r>
      <w:r>
        <w:rPr>
          <w:bCs/>
          <w:sz w:val="24"/>
        </w:rPr>
        <w:t xml:space="preserve">stock </w:t>
      </w:r>
      <w:r w:rsidRPr="00105454">
        <w:rPr>
          <w:bCs/>
          <w:sz w:val="24"/>
        </w:rPr>
        <w:t>market-oriented</w:t>
      </w:r>
      <w:r>
        <w:rPr>
          <w:bCs/>
          <w:sz w:val="24"/>
        </w:rPr>
        <w:t xml:space="preserve">, </w:t>
      </w:r>
      <w:r w:rsidR="005A2F8D">
        <w:rPr>
          <w:bCs/>
          <w:sz w:val="24"/>
        </w:rPr>
        <w:t>in contrast to</w:t>
      </w:r>
      <w:r w:rsidRPr="00105454">
        <w:rPr>
          <w:bCs/>
          <w:sz w:val="24"/>
        </w:rPr>
        <w:t xml:space="preserve"> the </w:t>
      </w:r>
      <w:r w:rsidR="005A2F8D" w:rsidRPr="00105454">
        <w:rPr>
          <w:bCs/>
          <w:sz w:val="24"/>
        </w:rPr>
        <w:t xml:space="preserve">bank-oriented </w:t>
      </w:r>
      <w:r w:rsidRPr="00105454">
        <w:rPr>
          <w:bCs/>
          <w:sz w:val="24"/>
        </w:rPr>
        <w:t>financial systems of France, Germany and Japan (Allen and Gale, 2000; Newton, 2010).</w:t>
      </w:r>
      <w:r w:rsidR="005D2E39">
        <w:rPr>
          <w:bCs/>
          <w:sz w:val="24"/>
        </w:rPr>
        <w:t xml:space="preserve"> The particular combination of stock market capital provision and banking in the UK has been the subject of a </w:t>
      </w:r>
      <w:r w:rsidR="005A2F8D">
        <w:rPr>
          <w:bCs/>
          <w:sz w:val="24"/>
        </w:rPr>
        <w:t>long-running and wide-ranging</w:t>
      </w:r>
      <w:r w:rsidR="005D2E39">
        <w:rPr>
          <w:bCs/>
          <w:sz w:val="24"/>
        </w:rPr>
        <w:t xml:space="preserve"> debate about whether the financial sector as a whole performed poorly in its wider economic function of promotion of economic growth</w:t>
      </w:r>
      <w:r w:rsidR="0014283F">
        <w:rPr>
          <w:bCs/>
          <w:sz w:val="24"/>
        </w:rPr>
        <w:t xml:space="preserve"> (Best and Humphries, 1986; </w:t>
      </w:r>
      <w:r w:rsidR="00CD38AA">
        <w:rPr>
          <w:bCs/>
          <w:sz w:val="24"/>
        </w:rPr>
        <w:t xml:space="preserve">Ingham, 1984; </w:t>
      </w:r>
      <w:r w:rsidR="0014283F">
        <w:rPr>
          <w:bCs/>
          <w:sz w:val="24"/>
        </w:rPr>
        <w:t>Nicholls, 1988; Peters, 1993</w:t>
      </w:r>
      <w:r w:rsidR="00D812CC">
        <w:rPr>
          <w:bCs/>
          <w:sz w:val="24"/>
        </w:rPr>
        <w:t>)</w:t>
      </w:r>
      <w:r w:rsidR="000B468B">
        <w:rPr>
          <w:bCs/>
          <w:sz w:val="24"/>
        </w:rPr>
        <w:t xml:space="preserve">. </w:t>
      </w:r>
      <w:r>
        <w:rPr>
          <w:bCs/>
          <w:sz w:val="24"/>
        </w:rPr>
        <w:t xml:space="preserve">In turn this provokes questions about </w:t>
      </w:r>
      <w:r w:rsidRPr="002A1592">
        <w:rPr>
          <w:bCs/>
          <w:i/>
          <w:sz w:val="24"/>
        </w:rPr>
        <w:t>how</w:t>
      </w:r>
      <w:r>
        <w:rPr>
          <w:bCs/>
          <w:sz w:val="24"/>
        </w:rPr>
        <w:t xml:space="preserve"> a specific financial system developed</w:t>
      </w:r>
      <w:r w:rsidR="005A2F8D" w:rsidRPr="005A2F8D">
        <w:rPr>
          <w:bCs/>
          <w:sz w:val="24"/>
        </w:rPr>
        <w:t xml:space="preserve"> </w:t>
      </w:r>
      <w:r w:rsidR="005A2F8D">
        <w:rPr>
          <w:bCs/>
          <w:sz w:val="24"/>
        </w:rPr>
        <w:t>historically</w:t>
      </w:r>
      <w:r w:rsidR="005D2E39">
        <w:rPr>
          <w:bCs/>
          <w:sz w:val="24"/>
        </w:rPr>
        <w:t>, and the extent to which it</w:t>
      </w:r>
      <w:r w:rsidR="005A2F8D">
        <w:rPr>
          <w:bCs/>
          <w:sz w:val="24"/>
        </w:rPr>
        <w:t xml:space="preserve"> </w:t>
      </w:r>
      <w:r w:rsidR="005D2E39">
        <w:rPr>
          <w:bCs/>
          <w:sz w:val="24"/>
        </w:rPr>
        <w:t>emerge</w:t>
      </w:r>
      <w:r w:rsidR="005A2F8D">
        <w:rPr>
          <w:bCs/>
          <w:sz w:val="24"/>
        </w:rPr>
        <w:t xml:space="preserve">d or </w:t>
      </w:r>
      <w:r w:rsidR="005A2F8D">
        <w:rPr>
          <w:bCs/>
          <w:sz w:val="24"/>
        </w:rPr>
        <w:lastRenderedPageBreak/>
        <w:t>was</w:t>
      </w:r>
      <w:r w:rsidR="005D2E39">
        <w:rPr>
          <w:bCs/>
          <w:sz w:val="24"/>
        </w:rPr>
        <w:t xml:space="preserve"> intentionally structured</w:t>
      </w:r>
      <w:r>
        <w:rPr>
          <w:bCs/>
          <w:sz w:val="24"/>
        </w:rPr>
        <w:t xml:space="preserve">. </w:t>
      </w:r>
      <w:r w:rsidR="00AC770C" w:rsidRPr="00AC770C">
        <w:rPr>
          <w:bCs/>
          <w:sz w:val="24"/>
        </w:rPr>
        <w:t xml:space="preserve">Richard Grossman identified four themes that shape the historical development of banking: financial and institutional crises, bailouts, periods of amalgamation and merger, and regulation </w:t>
      </w:r>
      <w:r w:rsidR="00AC770C" w:rsidRPr="00AC770C">
        <w:rPr>
          <w:bCs/>
          <w:sz w:val="24"/>
          <w:lang w:val="en-US"/>
        </w:rPr>
        <w:t>(</w:t>
      </w:r>
      <w:r w:rsidR="00AC770C" w:rsidRPr="00AC770C">
        <w:rPr>
          <w:bCs/>
          <w:sz w:val="24"/>
        </w:rPr>
        <w:t>Grossman, 2010, xviii</w:t>
      </w:r>
      <w:r w:rsidR="00AC770C" w:rsidRPr="00AC770C">
        <w:rPr>
          <w:bCs/>
          <w:sz w:val="24"/>
          <w:lang w:val="en-US"/>
        </w:rPr>
        <w:t>)</w:t>
      </w:r>
      <w:r w:rsidR="00AC770C" w:rsidRPr="00AC770C">
        <w:rPr>
          <w:bCs/>
          <w:sz w:val="24"/>
        </w:rPr>
        <w:t xml:space="preserve">. All of these elements are relevant to </w:t>
      </w:r>
      <w:r w:rsidR="00AC770C">
        <w:rPr>
          <w:bCs/>
          <w:sz w:val="24"/>
        </w:rPr>
        <w:t>this paper</w:t>
      </w:r>
      <w:r w:rsidR="00AC770C" w:rsidRPr="00AC770C">
        <w:rPr>
          <w:bCs/>
          <w:sz w:val="24"/>
        </w:rPr>
        <w:t>, especially the latter two.</w:t>
      </w:r>
    </w:p>
    <w:p w14:paraId="4A82D3FD" w14:textId="77777777" w:rsidR="005D2E39" w:rsidRDefault="005D2E39" w:rsidP="00CB63D5">
      <w:pPr>
        <w:spacing w:line="480" w:lineRule="auto"/>
        <w:rPr>
          <w:bCs/>
          <w:sz w:val="24"/>
        </w:rPr>
      </w:pPr>
    </w:p>
    <w:p w14:paraId="365003F4" w14:textId="0C7C85BB" w:rsidR="00A160D6" w:rsidRPr="00A160D6" w:rsidRDefault="00AC770C" w:rsidP="00A160D6">
      <w:pPr>
        <w:spacing w:line="480" w:lineRule="auto"/>
        <w:rPr>
          <w:bCs/>
          <w:sz w:val="24"/>
        </w:rPr>
      </w:pPr>
      <w:r>
        <w:rPr>
          <w:bCs/>
          <w:sz w:val="24"/>
        </w:rPr>
        <w:t>W</w:t>
      </w:r>
      <w:r w:rsidR="004A2F92">
        <w:rPr>
          <w:bCs/>
          <w:sz w:val="24"/>
        </w:rPr>
        <w:t xml:space="preserve">e </w:t>
      </w:r>
      <w:r w:rsidR="003A51CE">
        <w:rPr>
          <w:bCs/>
          <w:sz w:val="24"/>
        </w:rPr>
        <w:t xml:space="preserve">focus </w:t>
      </w:r>
      <w:r w:rsidR="005A2F8D">
        <w:rPr>
          <w:bCs/>
          <w:sz w:val="24"/>
        </w:rPr>
        <w:t>on</w:t>
      </w:r>
      <w:r w:rsidR="005D2E39">
        <w:rPr>
          <w:bCs/>
          <w:sz w:val="24"/>
        </w:rPr>
        <w:t xml:space="preserve"> the</w:t>
      </w:r>
      <w:r w:rsidR="003A51CE">
        <w:rPr>
          <w:bCs/>
          <w:sz w:val="24"/>
        </w:rPr>
        <w:t xml:space="preserve"> British banking system</w:t>
      </w:r>
      <w:r w:rsidR="005D2E39">
        <w:rPr>
          <w:bCs/>
          <w:sz w:val="24"/>
        </w:rPr>
        <w:t xml:space="preserve"> at </w:t>
      </w:r>
      <w:r w:rsidR="005A2F8D">
        <w:rPr>
          <w:bCs/>
          <w:sz w:val="24"/>
        </w:rPr>
        <w:t xml:space="preserve">an arguably </w:t>
      </w:r>
      <w:r w:rsidR="005D2E39">
        <w:rPr>
          <w:bCs/>
          <w:sz w:val="24"/>
        </w:rPr>
        <w:t>critical moment in its historical development</w:t>
      </w:r>
      <w:r w:rsidR="003A51CE">
        <w:rPr>
          <w:bCs/>
          <w:sz w:val="24"/>
        </w:rPr>
        <w:t>.</w:t>
      </w:r>
      <w:r w:rsidR="005D2E39">
        <w:rPr>
          <w:bCs/>
          <w:sz w:val="24"/>
        </w:rPr>
        <w:t xml:space="preserve"> </w:t>
      </w:r>
      <w:r w:rsidR="005E2F32" w:rsidRPr="00AB14BB">
        <w:rPr>
          <w:bCs/>
          <w:sz w:val="24"/>
        </w:rPr>
        <w:t xml:space="preserve">The UK arguably had a highly competitive financial system at the outbreak of World War One </w:t>
      </w:r>
      <w:r w:rsidR="00CB5621">
        <w:rPr>
          <w:bCs/>
          <w:sz w:val="24"/>
        </w:rPr>
        <w:t>and</w:t>
      </w:r>
      <w:r w:rsidR="00CB5621" w:rsidRPr="00CB5621">
        <w:rPr>
          <w:bCs/>
          <w:sz w:val="24"/>
        </w:rPr>
        <w:t xml:space="preserve"> delivered at least broadly comparable outcomes in business finance to Germany (Hannah, 2017, especially 91–95).</w:t>
      </w:r>
      <w:r w:rsidR="005E2F32" w:rsidRPr="00AB14BB">
        <w:rPr>
          <w:bCs/>
          <w:sz w:val="24"/>
        </w:rPr>
        <w:t xml:space="preserve"> </w:t>
      </w:r>
      <w:r w:rsidR="001E7E68">
        <w:rPr>
          <w:bCs/>
          <w:sz w:val="24"/>
        </w:rPr>
        <w:t xml:space="preserve">Table 1 provides some measures of financial development in 1913 and </w:t>
      </w:r>
      <w:r w:rsidR="00CB5621">
        <w:rPr>
          <w:bCs/>
          <w:sz w:val="24"/>
        </w:rPr>
        <w:t>reinforces the view</w:t>
      </w:r>
      <w:r w:rsidR="001E7E68">
        <w:rPr>
          <w:bCs/>
          <w:sz w:val="24"/>
        </w:rPr>
        <w:t xml:space="preserve"> that the financial systems of several major countries were not dissimilar in terms of outcomes and structures.  However, b</w:t>
      </w:r>
      <w:r w:rsidR="005E2F32">
        <w:rPr>
          <w:bCs/>
          <w:sz w:val="24"/>
        </w:rPr>
        <w:t xml:space="preserve">y 1918 concerns around amalgamations in </w:t>
      </w:r>
      <w:r w:rsidR="001E7E68">
        <w:rPr>
          <w:bCs/>
          <w:sz w:val="24"/>
        </w:rPr>
        <w:t xml:space="preserve">British </w:t>
      </w:r>
      <w:r w:rsidR="005E2F32">
        <w:rPr>
          <w:bCs/>
          <w:sz w:val="24"/>
        </w:rPr>
        <w:t xml:space="preserve">banking led to the establishment of </w:t>
      </w:r>
      <w:r w:rsidR="00CB63D5" w:rsidRPr="00B83800">
        <w:rPr>
          <w:bCs/>
          <w:sz w:val="24"/>
        </w:rPr>
        <w:t>an influential official investigation</w:t>
      </w:r>
      <w:r w:rsidR="00CB63D5">
        <w:rPr>
          <w:bCs/>
          <w:sz w:val="24"/>
        </w:rPr>
        <w:t>,</w:t>
      </w:r>
      <w:r w:rsidR="00CB63D5" w:rsidRPr="00656258">
        <w:rPr>
          <w:bCs/>
          <w:sz w:val="24"/>
        </w:rPr>
        <w:t xml:space="preserve"> the Treasury Committee on Banking Amalgamations (sometimes referred to by the name of its chairman, Lord Colwyn, and hereafter ‘the Committee’)</w:t>
      </w:r>
      <w:r w:rsidR="005E2F32">
        <w:rPr>
          <w:bCs/>
          <w:sz w:val="24"/>
        </w:rPr>
        <w:t>.</w:t>
      </w:r>
      <w:r w:rsidR="00CB63D5" w:rsidRPr="00B83800">
        <w:rPr>
          <w:bCs/>
          <w:sz w:val="24"/>
        </w:rPr>
        <w:t xml:space="preserve"> </w:t>
      </w:r>
      <w:r w:rsidR="005D2E39">
        <w:rPr>
          <w:bCs/>
          <w:sz w:val="24"/>
        </w:rPr>
        <w:t xml:space="preserve">The </w:t>
      </w:r>
      <w:r w:rsidR="005A2F8D">
        <w:rPr>
          <w:bCs/>
          <w:sz w:val="24"/>
        </w:rPr>
        <w:t>main outcome</w:t>
      </w:r>
      <w:r w:rsidR="005D2E39">
        <w:rPr>
          <w:bCs/>
          <w:sz w:val="24"/>
        </w:rPr>
        <w:t xml:space="preserve"> of the </w:t>
      </w:r>
      <w:r w:rsidR="005A2F8D">
        <w:rPr>
          <w:bCs/>
          <w:sz w:val="24"/>
        </w:rPr>
        <w:t>C</w:t>
      </w:r>
      <w:r w:rsidR="005D2E39">
        <w:rPr>
          <w:bCs/>
          <w:sz w:val="24"/>
        </w:rPr>
        <w:t xml:space="preserve">ommittee was to </w:t>
      </w:r>
      <w:r w:rsidR="005A2F8D">
        <w:rPr>
          <w:bCs/>
          <w:sz w:val="24"/>
        </w:rPr>
        <w:t xml:space="preserve">check the progress </w:t>
      </w:r>
      <w:r w:rsidR="005D2E39">
        <w:rPr>
          <w:bCs/>
          <w:sz w:val="24"/>
        </w:rPr>
        <w:t>of banking amalgamations</w:t>
      </w:r>
      <w:r w:rsidR="001E7E68">
        <w:rPr>
          <w:bCs/>
          <w:sz w:val="24"/>
        </w:rPr>
        <w:t>, which</w:t>
      </w:r>
      <w:r w:rsidR="005D2E39">
        <w:rPr>
          <w:bCs/>
          <w:sz w:val="24"/>
        </w:rPr>
        <w:t xml:space="preserve"> beg</w:t>
      </w:r>
      <w:r w:rsidR="001E7E68">
        <w:rPr>
          <w:bCs/>
          <w:sz w:val="24"/>
        </w:rPr>
        <w:t>a</w:t>
      </w:r>
      <w:r w:rsidR="005D2E39">
        <w:rPr>
          <w:bCs/>
          <w:sz w:val="24"/>
        </w:rPr>
        <w:t xml:space="preserve">n in the </w:t>
      </w:r>
      <w:r w:rsidR="00206AD8">
        <w:rPr>
          <w:bCs/>
          <w:sz w:val="24"/>
        </w:rPr>
        <w:t>late eighteenth</w:t>
      </w:r>
      <w:r w:rsidR="005D2E39">
        <w:rPr>
          <w:bCs/>
          <w:sz w:val="24"/>
        </w:rPr>
        <w:t xml:space="preserve"> </w:t>
      </w:r>
      <w:r w:rsidR="00206AD8">
        <w:rPr>
          <w:bCs/>
          <w:sz w:val="24"/>
        </w:rPr>
        <w:t>c</w:t>
      </w:r>
      <w:r w:rsidR="005D2E39">
        <w:rPr>
          <w:bCs/>
          <w:sz w:val="24"/>
        </w:rPr>
        <w:t>entury, and intensified in the period after 1810</w:t>
      </w:r>
      <w:r w:rsidR="00206AD8">
        <w:rPr>
          <w:bCs/>
          <w:sz w:val="24"/>
        </w:rPr>
        <w:t>, creating the structure of British domestic banking which remains recognisable today</w:t>
      </w:r>
      <w:r w:rsidR="005D2E39">
        <w:rPr>
          <w:bCs/>
          <w:sz w:val="24"/>
        </w:rPr>
        <w:t>.</w:t>
      </w:r>
      <w:r w:rsidR="0048005A">
        <w:rPr>
          <w:bCs/>
          <w:sz w:val="24"/>
        </w:rPr>
        <w:t xml:space="preserve"> </w:t>
      </w:r>
      <w:r w:rsidR="00206AD8">
        <w:rPr>
          <w:bCs/>
          <w:sz w:val="24"/>
        </w:rPr>
        <w:t xml:space="preserve">This </w:t>
      </w:r>
      <w:r w:rsidR="0048005A">
        <w:rPr>
          <w:bCs/>
          <w:sz w:val="24"/>
        </w:rPr>
        <w:t xml:space="preserve">inflection point </w:t>
      </w:r>
      <w:r w:rsidR="00206AD8">
        <w:rPr>
          <w:bCs/>
          <w:sz w:val="24"/>
        </w:rPr>
        <w:t xml:space="preserve">is widely </w:t>
      </w:r>
      <w:r w:rsidR="0048005A">
        <w:rPr>
          <w:bCs/>
          <w:sz w:val="24"/>
        </w:rPr>
        <w:t>discussed in the existing historiography</w:t>
      </w:r>
      <w:r w:rsidR="00206AD8">
        <w:rPr>
          <w:bCs/>
          <w:sz w:val="24"/>
        </w:rPr>
        <w:t xml:space="preserve"> </w:t>
      </w:r>
      <w:r w:rsidR="001B1212">
        <w:rPr>
          <w:bCs/>
          <w:sz w:val="24"/>
        </w:rPr>
        <w:t>mainly by</w:t>
      </w:r>
      <w:r w:rsidR="00206AD8">
        <w:rPr>
          <w:bCs/>
          <w:sz w:val="24"/>
        </w:rPr>
        <w:t xml:space="preserve"> reference to the Committee’s </w:t>
      </w:r>
      <w:r w:rsidR="001B1212">
        <w:rPr>
          <w:bCs/>
          <w:sz w:val="24"/>
        </w:rPr>
        <w:t xml:space="preserve">findings rather than its </w:t>
      </w:r>
      <w:r w:rsidR="00206AD8">
        <w:rPr>
          <w:bCs/>
          <w:sz w:val="24"/>
        </w:rPr>
        <w:t>deliberations</w:t>
      </w:r>
      <w:r w:rsidR="0048005A">
        <w:rPr>
          <w:bCs/>
          <w:sz w:val="24"/>
        </w:rPr>
        <w:t>.</w:t>
      </w:r>
      <w:r w:rsidR="00673E7D">
        <w:rPr>
          <w:bCs/>
          <w:sz w:val="24"/>
        </w:rPr>
        <w:t xml:space="preserve"> </w:t>
      </w:r>
      <w:r w:rsidR="00A160D6" w:rsidRPr="00A160D6">
        <w:rPr>
          <w:bCs/>
          <w:sz w:val="24"/>
        </w:rPr>
        <w:t xml:space="preserve">We place </w:t>
      </w:r>
      <w:r w:rsidR="001E7E68" w:rsidRPr="00A160D6">
        <w:rPr>
          <w:bCs/>
          <w:sz w:val="24"/>
        </w:rPr>
        <w:t xml:space="preserve">the </w:t>
      </w:r>
      <w:r w:rsidR="00673E7D" w:rsidRPr="00A160D6">
        <w:rPr>
          <w:bCs/>
          <w:sz w:val="24"/>
        </w:rPr>
        <w:t>Committee</w:t>
      </w:r>
      <w:r w:rsidR="00673E7D">
        <w:rPr>
          <w:bCs/>
          <w:sz w:val="24"/>
        </w:rPr>
        <w:t>’s</w:t>
      </w:r>
      <w:r w:rsidR="00673E7D" w:rsidRPr="00A160D6">
        <w:rPr>
          <w:bCs/>
          <w:sz w:val="24"/>
        </w:rPr>
        <w:t xml:space="preserve"> </w:t>
      </w:r>
      <w:r w:rsidR="00A160D6" w:rsidRPr="00A160D6">
        <w:rPr>
          <w:bCs/>
          <w:sz w:val="24"/>
        </w:rPr>
        <w:t xml:space="preserve">political deliberations </w:t>
      </w:r>
      <w:r w:rsidR="007819AC">
        <w:rPr>
          <w:bCs/>
          <w:sz w:val="24"/>
        </w:rPr>
        <w:t>into the organis</w:t>
      </w:r>
      <w:r w:rsidR="00A160D6" w:rsidRPr="00A160D6">
        <w:rPr>
          <w:bCs/>
          <w:sz w:val="24"/>
        </w:rPr>
        <w:t>ational context of the business/financial history of the period, and explore how that discourse contributed to shaping the subsequent development of the UK financial sector.</w:t>
      </w:r>
    </w:p>
    <w:p w14:paraId="60C2A12F" w14:textId="77777777" w:rsidR="001E7E68" w:rsidRDefault="001E7E68" w:rsidP="00CB63D5">
      <w:pPr>
        <w:spacing w:line="480" w:lineRule="auto"/>
        <w:rPr>
          <w:bCs/>
          <w:sz w:val="24"/>
        </w:rPr>
      </w:pPr>
    </w:p>
    <w:p w14:paraId="431C511F" w14:textId="0F88E4D0" w:rsidR="001E7E68" w:rsidRDefault="001E7E68" w:rsidP="00CB63D5">
      <w:pPr>
        <w:spacing w:line="480" w:lineRule="auto"/>
        <w:rPr>
          <w:bCs/>
          <w:sz w:val="24"/>
        </w:rPr>
      </w:pPr>
      <w:r>
        <w:rPr>
          <w:bCs/>
          <w:sz w:val="24"/>
        </w:rPr>
        <w:t>INSERT TABLE 1 HERE</w:t>
      </w:r>
    </w:p>
    <w:p w14:paraId="0E0C78F4" w14:textId="77777777" w:rsidR="001E7E68" w:rsidRDefault="001E7E68" w:rsidP="00CB63D5">
      <w:pPr>
        <w:spacing w:line="480" w:lineRule="auto"/>
        <w:rPr>
          <w:bCs/>
          <w:sz w:val="24"/>
        </w:rPr>
      </w:pPr>
    </w:p>
    <w:p w14:paraId="6E0EB50E" w14:textId="4EBB2B3D" w:rsidR="0084584C" w:rsidRDefault="0048005A" w:rsidP="00CB63D5">
      <w:pPr>
        <w:spacing w:line="480" w:lineRule="auto"/>
        <w:rPr>
          <w:bCs/>
          <w:sz w:val="24"/>
        </w:rPr>
      </w:pPr>
      <w:r>
        <w:rPr>
          <w:bCs/>
          <w:sz w:val="24"/>
        </w:rPr>
        <w:t xml:space="preserve">The central contribution of this paper is to contextualise, problematize, and interpret the </w:t>
      </w:r>
      <w:r w:rsidR="00071C68">
        <w:rPr>
          <w:bCs/>
          <w:sz w:val="24"/>
        </w:rPr>
        <w:t>unpublished evidence presented to</w:t>
      </w:r>
      <w:r>
        <w:rPr>
          <w:bCs/>
          <w:sz w:val="24"/>
        </w:rPr>
        <w:t xml:space="preserve"> the </w:t>
      </w:r>
      <w:r w:rsidR="005A2F8D">
        <w:rPr>
          <w:bCs/>
          <w:sz w:val="24"/>
        </w:rPr>
        <w:t>C</w:t>
      </w:r>
      <w:r>
        <w:rPr>
          <w:bCs/>
          <w:sz w:val="24"/>
        </w:rPr>
        <w:t xml:space="preserve">ommittee with reference to </w:t>
      </w:r>
      <w:r w:rsidR="00A160D6" w:rsidRPr="00A160D6">
        <w:rPr>
          <w:bCs/>
          <w:sz w:val="24"/>
        </w:rPr>
        <w:t xml:space="preserve">contemporary concerns relating to the nature, development and future of </w:t>
      </w:r>
      <w:r w:rsidR="00206AD8">
        <w:rPr>
          <w:bCs/>
          <w:sz w:val="24"/>
        </w:rPr>
        <w:t xml:space="preserve">British </w:t>
      </w:r>
      <w:r>
        <w:rPr>
          <w:bCs/>
          <w:sz w:val="24"/>
        </w:rPr>
        <w:t xml:space="preserve">banking </w:t>
      </w:r>
      <w:r w:rsidR="00206AD8">
        <w:rPr>
          <w:bCs/>
          <w:sz w:val="24"/>
        </w:rPr>
        <w:t xml:space="preserve">and the </w:t>
      </w:r>
      <w:r w:rsidR="001E7E68">
        <w:rPr>
          <w:bCs/>
          <w:sz w:val="24"/>
        </w:rPr>
        <w:t xml:space="preserve">wider </w:t>
      </w:r>
      <w:r w:rsidR="00206AD8">
        <w:rPr>
          <w:bCs/>
          <w:sz w:val="24"/>
        </w:rPr>
        <w:t>financial system</w:t>
      </w:r>
      <w:r>
        <w:rPr>
          <w:bCs/>
          <w:sz w:val="24"/>
        </w:rPr>
        <w:t xml:space="preserve">. </w:t>
      </w:r>
      <w:r w:rsidR="00071C68" w:rsidRPr="00071C68">
        <w:rPr>
          <w:bCs/>
          <w:sz w:val="24"/>
        </w:rPr>
        <w:t>The Committee’s terms of reference required it to consider and report on the effect of bank amalgamations on ‘the industrial and mercantile community’ and what, if any, legislation or other safeguards should be introduced.</w:t>
      </w:r>
      <w:r w:rsidR="004A2F92">
        <w:rPr>
          <w:bCs/>
          <w:sz w:val="24"/>
        </w:rPr>
        <w:t xml:space="preserve"> </w:t>
      </w:r>
      <w:r w:rsidR="00DA2F29">
        <w:rPr>
          <w:bCs/>
          <w:sz w:val="24"/>
        </w:rPr>
        <w:t xml:space="preserve">These terms of reference raise </w:t>
      </w:r>
      <w:r w:rsidR="004A2F92">
        <w:rPr>
          <w:bCs/>
          <w:sz w:val="24"/>
        </w:rPr>
        <w:t xml:space="preserve">the </w:t>
      </w:r>
      <w:r w:rsidR="00DA2F29">
        <w:rPr>
          <w:bCs/>
          <w:sz w:val="24"/>
        </w:rPr>
        <w:t xml:space="preserve">question </w:t>
      </w:r>
      <w:r w:rsidR="004A2F92">
        <w:rPr>
          <w:bCs/>
          <w:sz w:val="24"/>
        </w:rPr>
        <w:t>of h</w:t>
      </w:r>
      <w:r w:rsidR="005339D4">
        <w:rPr>
          <w:bCs/>
          <w:sz w:val="24"/>
        </w:rPr>
        <w:t xml:space="preserve">ow the Committee </w:t>
      </w:r>
      <w:r w:rsidR="001E7E68">
        <w:rPr>
          <w:bCs/>
          <w:sz w:val="24"/>
        </w:rPr>
        <w:t>its</w:t>
      </w:r>
      <w:r w:rsidR="00CF331D">
        <w:rPr>
          <w:bCs/>
          <w:sz w:val="24"/>
        </w:rPr>
        <w:t xml:space="preserve"> witnesses </w:t>
      </w:r>
      <w:r w:rsidR="005339D4">
        <w:rPr>
          <w:bCs/>
          <w:sz w:val="24"/>
        </w:rPr>
        <w:t>interpret</w:t>
      </w:r>
      <w:r w:rsidR="004A2F92">
        <w:rPr>
          <w:bCs/>
          <w:sz w:val="24"/>
        </w:rPr>
        <w:t>ed</w:t>
      </w:r>
      <w:r w:rsidR="005339D4">
        <w:rPr>
          <w:bCs/>
          <w:sz w:val="24"/>
        </w:rPr>
        <w:t xml:space="preserve"> the role of banks</w:t>
      </w:r>
      <w:r w:rsidR="00CF331D">
        <w:rPr>
          <w:bCs/>
          <w:sz w:val="24"/>
        </w:rPr>
        <w:t xml:space="preserve"> in the provision of business finance</w:t>
      </w:r>
      <w:r w:rsidR="004A2F92">
        <w:rPr>
          <w:bCs/>
          <w:sz w:val="24"/>
        </w:rPr>
        <w:t>.</w:t>
      </w:r>
      <w:r w:rsidR="005339D4">
        <w:rPr>
          <w:bCs/>
          <w:sz w:val="24"/>
        </w:rPr>
        <w:t xml:space="preserve"> </w:t>
      </w:r>
      <w:r w:rsidR="00CF331D">
        <w:rPr>
          <w:bCs/>
          <w:sz w:val="24"/>
        </w:rPr>
        <w:t xml:space="preserve">In particular, did amalgamations impact on competition so as to create a tension between banks’ ‘public utility role’ and the stability of the financial system? If so, what solutions, if any, could the Committee offer? </w:t>
      </w:r>
    </w:p>
    <w:p w14:paraId="71669BE3" w14:textId="77777777" w:rsidR="005D2E39" w:rsidRDefault="005D2E39" w:rsidP="00CB63D5">
      <w:pPr>
        <w:spacing w:line="480" w:lineRule="auto"/>
        <w:rPr>
          <w:bCs/>
          <w:sz w:val="24"/>
        </w:rPr>
      </w:pPr>
    </w:p>
    <w:p w14:paraId="087735ED" w14:textId="7D76956E" w:rsidR="00CB63D5" w:rsidRPr="00B83800" w:rsidRDefault="00CB63D5" w:rsidP="00CB63D5">
      <w:pPr>
        <w:spacing w:line="480" w:lineRule="auto"/>
        <w:rPr>
          <w:bCs/>
          <w:sz w:val="24"/>
        </w:rPr>
      </w:pPr>
      <w:r w:rsidRPr="00B83800">
        <w:rPr>
          <w:bCs/>
          <w:sz w:val="24"/>
        </w:rPr>
        <w:t xml:space="preserve">The paper is structured as follows. The next section </w:t>
      </w:r>
      <w:r>
        <w:rPr>
          <w:bCs/>
          <w:sz w:val="24"/>
        </w:rPr>
        <w:t>outlines the development of the British banking system in the nineteenth and early twentieth centuries</w:t>
      </w:r>
      <w:r w:rsidR="000B7411">
        <w:rPr>
          <w:bCs/>
          <w:sz w:val="24"/>
        </w:rPr>
        <w:t xml:space="preserve">, and considers </w:t>
      </w:r>
      <w:r w:rsidRPr="00B83800">
        <w:rPr>
          <w:bCs/>
          <w:sz w:val="24"/>
        </w:rPr>
        <w:t xml:space="preserve">the amalgamation </w:t>
      </w:r>
      <w:r>
        <w:rPr>
          <w:bCs/>
          <w:sz w:val="24"/>
        </w:rPr>
        <w:t xml:space="preserve">process </w:t>
      </w:r>
      <w:r w:rsidR="000B7411">
        <w:rPr>
          <w:bCs/>
          <w:sz w:val="24"/>
        </w:rPr>
        <w:t xml:space="preserve">that shaped the sector </w:t>
      </w:r>
      <w:r w:rsidRPr="00B83800">
        <w:rPr>
          <w:bCs/>
          <w:sz w:val="24"/>
        </w:rPr>
        <w:t xml:space="preserve">to place the Committee’s deliberations in broader context. The </w:t>
      </w:r>
      <w:r w:rsidR="000B7411">
        <w:rPr>
          <w:bCs/>
          <w:sz w:val="24"/>
        </w:rPr>
        <w:t>third</w:t>
      </w:r>
      <w:r w:rsidR="000B7411" w:rsidRPr="00B83800">
        <w:rPr>
          <w:bCs/>
          <w:sz w:val="24"/>
        </w:rPr>
        <w:t xml:space="preserve"> </w:t>
      </w:r>
      <w:r w:rsidRPr="00B83800">
        <w:rPr>
          <w:bCs/>
          <w:sz w:val="24"/>
        </w:rPr>
        <w:t>section outlines the background to the Committee, briefly discuss</w:t>
      </w:r>
      <w:r w:rsidR="00A160D6">
        <w:rPr>
          <w:bCs/>
          <w:sz w:val="24"/>
        </w:rPr>
        <w:t>ing</w:t>
      </w:r>
      <w:r w:rsidRPr="00B83800">
        <w:rPr>
          <w:bCs/>
          <w:sz w:val="24"/>
        </w:rPr>
        <w:t xml:space="preserve"> its membership, the witnesses, its proceedings and their outcome. The </w:t>
      </w:r>
      <w:r w:rsidR="000B7411">
        <w:rPr>
          <w:bCs/>
          <w:sz w:val="24"/>
        </w:rPr>
        <w:t>fourth</w:t>
      </w:r>
      <w:r w:rsidR="000B7411" w:rsidRPr="00B83800">
        <w:rPr>
          <w:bCs/>
          <w:sz w:val="24"/>
        </w:rPr>
        <w:t xml:space="preserve"> </w:t>
      </w:r>
      <w:r w:rsidRPr="00B83800">
        <w:rPr>
          <w:bCs/>
          <w:sz w:val="24"/>
        </w:rPr>
        <w:t xml:space="preserve">section addresses the issues raised by witnesses and attempts to place their evidence in the context of academic scholarship on banking, concepts of banking and theories of financial development. The </w:t>
      </w:r>
      <w:r w:rsidR="000B7411">
        <w:rPr>
          <w:bCs/>
          <w:sz w:val="24"/>
        </w:rPr>
        <w:t xml:space="preserve">fifth and </w:t>
      </w:r>
      <w:r w:rsidRPr="00B83800">
        <w:rPr>
          <w:bCs/>
          <w:sz w:val="24"/>
        </w:rPr>
        <w:t>final section concludes.</w:t>
      </w:r>
    </w:p>
    <w:p w14:paraId="605C6C49" w14:textId="1C1E7B37" w:rsidR="00A82EDC" w:rsidRDefault="00A82EDC">
      <w:pPr>
        <w:overflowPunct/>
        <w:autoSpaceDE/>
        <w:autoSpaceDN/>
        <w:adjustRightInd/>
        <w:textAlignment w:val="auto"/>
        <w:rPr>
          <w:bCs/>
          <w:sz w:val="24"/>
        </w:rPr>
      </w:pPr>
      <w:r>
        <w:rPr>
          <w:bCs/>
          <w:sz w:val="24"/>
        </w:rPr>
        <w:br w:type="page"/>
      </w:r>
    </w:p>
    <w:p w14:paraId="54B30648" w14:textId="0E2B8370" w:rsidR="00CB63D5" w:rsidRPr="00656258" w:rsidRDefault="00510330" w:rsidP="00CB63D5">
      <w:pPr>
        <w:spacing w:line="480" w:lineRule="auto"/>
        <w:rPr>
          <w:b/>
          <w:bCs/>
          <w:sz w:val="28"/>
          <w:szCs w:val="28"/>
        </w:rPr>
      </w:pPr>
      <w:r>
        <w:rPr>
          <w:b/>
          <w:bCs/>
          <w:sz w:val="28"/>
          <w:szCs w:val="28"/>
        </w:rPr>
        <w:lastRenderedPageBreak/>
        <w:t xml:space="preserve">The </w:t>
      </w:r>
      <w:r w:rsidR="00D812CC">
        <w:rPr>
          <w:b/>
          <w:bCs/>
          <w:sz w:val="28"/>
          <w:szCs w:val="28"/>
        </w:rPr>
        <w:t>a</w:t>
      </w:r>
      <w:r>
        <w:rPr>
          <w:b/>
          <w:bCs/>
          <w:sz w:val="28"/>
          <w:szCs w:val="28"/>
        </w:rPr>
        <w:t xml:space="preserve">malgamation movement and the </w:t>
      </w:r>
      <w:r w:rsidR="00CB63D5" w:rsidRPr="00656258">
        <w:rPr>
          <w:b/>
          <w:bCs/>
          <w:sz w:val="28"/>
          <w:szCs w:val="28"/>
        </w:rPr>
        <w:t>development of the British banking system</w:t>
      </w:r>
    </w:p>
    <w:p w14:paraId="7304E938" w14:textId="77777777" w:rsidR="00CB63D5" w:rsidRDefault="00CB63D5" w:rsidP="00CB63D5">
      <w:pPr>
        <w:spacing w:line="480" w:lineRule="auto"/>
        <w:rPr>
          <w:bCs/>
          <w:sz w:val="24"/>
        </w:rPr>
      </w:pPr>
    </w:p>
    <w:p w14:paraId="1E740D38" w14:textId="0E0D87FF" w:rsidR="00CB63D5" w:rsidRDefault="00CB63D5" w:rsidP="00CB63D5">
      <w:pPr>
        <w:spacing w:line="480" w:lineRule="auto"/>
        <w:rPr>
          <w:bCs/>
          <w:sz w:val="24"/>
        </w:rPr>
      </w:pPr>
      <w:r>
        <w:rPr>
          <w:bCs/>
          <w:sz w:val="24"/>
        </w:rPr>
        <w:t>In the late nineteenth and early twentieth centuries</w:t>
      </w:r>
      <w:r w:rsidRPr="00116310">
        <w:rPr>
          <w:bCs/>
          <w:sz w:val="24"/>
        </w:rPr>
        <w:t xml:space="preserve"> British banking was subject to general corporate law but otherwise essentially unregulated</w:t>
      </w:r>
      <w:r>
        <w:rPr>
          <w:bCs/>
          <w:sz w:val="24"/>
        </w:rPr>
        <w:t>. B</w:t>
      </w:r>
      <w:r w:rsidRPr="00116310">
        <w:rPr>
          <w:bCs/>
          <w:sz w:val="24"/>
        </w:rPr>
        <w:t>anks were predominantly limited liability companies</w:t>
      </w:r>
      <w:r>
        <w:rPr>
          <w:bCs/>
          <w:sz w:val="24"/>
        </w:rPr>
        <w:t>,</w:t>
      </w:r>
      <w:r w:rsidRPr="00116310">
        <w:rPr>
          <w:bCs/>
          <w:sz w:val="24"/>
        </w:rPr>
        <w:t xml:space="preserve"> there was no deposit insurance</w:t>
      </w:r>
      <w:r>
        <w:rPr>
          <w:bCs/>
          <w:sz w:val="24"/>
        </w:rPr>
        <w:t>,</w:t>
      </w:r>
      <w:r w:rsidRPr="00116310">
        <w:rPr>
          <w:bCs/>
          <w:sz w:val="24"/>
        </w:rPr>
        <w:t xml:space="preserve"> there were no ratio-based capital or liquidity regulations</w:t>
      </w:r>
      <w:r>
        <w:rPr>
          <w:bCs/>
          <w:sz w:val="24"/>
        </w:rPr>
        <w:t>,</w:t>
      </w:r>
      <w:r w:rsidRPr="00116310">
        <w:rPr>
          <w:bCs/>
          <w:sz w:val="24"/>
        </w:rPr>
        <w:t xml:space="preserve"> and there were no limits on branching or mergers and acquisitions. </w:t>
      </w:r>
      <w:r>
        <w:rPr>
          <w:bCs/>
          <w:sz w:val="24"/>
        </w:rPr>
        <w:t xml:space="preserve">Against </w:t>
      </w:r>
      <w:r w:rsidRPr="00116310">
        <w:rPr>
          <w:bCs/>
          <w:sz w:val="24"/>
        </w:rPr>
        <w:t>the background of the gold standard with freedom of capital movement, and a largely passive Bank of England</w:t>
      </w:r>
      <w:r>
        <w:rPr>
          <w:bCs/>
          <w:sz w:val="24"/>
        </w:rPr>
        <w:t>, b</w:t>
      </w:r>
      <w:r w:rsidRPr="00116310">
        <w:rPr>
          <w:bCs/>
          <w:sz w:val="24"/>
        </w:rPr>
        <w:t xml:space="preserve">ankers </w:t>
      </w:r>
      <w:r w:rsidR="00465031">
        <w:rPr>
          <w:bCs/>
          <w:sz w:val="24"/>
        </w:rPr>
        <w:t>operated without</w:t>
      </w:r>
      <w:r w:rsidR="004819B2">
        <w:rPr>
          <w:bCs/>
          <w:sz w:val="24"/>
        </w:rPr>
        <w:t xml:space="preserve"> </w:t>
      </w:r>
      <w:r w:rsidRPr="00116310">
        <w:rPr>
          <w:bCs/>
          <w:sz w:val="24"/>
        </w:rPr>
        <w:t>intrusive regulation</w:t>
      </w:r>
      <w:r>
        <w:rPr>
          <w:bCs/>
          <w:sz w:val="24"/>
        </w:rPr>
        <w:t xml:space="preserve"> (</w:t>
      </w:r>
      <w:r w:rsidRPr="00160533">
        <w:rPr>
          <w:bCs/>
          <w:sz w:val="24"/>
        </w:rPr>
        <w:t>Capie, 2016</w:t>
      </w:r>
      <w:r>
        <w:rPr>
          <w:bCs/>
          <w:sz w:val="24"/>
        </w:rPr>
        <w:t>)</w:t>
      </w:r>
      <w:r w:rsidRPr="00116310">
        <w:rPr>
          <w:bCs/>
          <w:sz w:val="24"/>
        </w:rPr>
        <w:t>.</w:t>
      </w:r>
    </w:p>
    <w:p w14:paraId="652BEB31" w14:textId="77777777" w:rsidR="00CB63D5" w:rsidRPr="002F74C9" w:rsidRDefault="00CB63D5" w:rsidP="00CB63D5">
      <w:pPr>
        <w:spacing w:line="480" w:lineRule="auto"/>
        <w:rPr>
          <w:bCs/>
          <w:sz w:val="24"/>
        </w:rPr>
      </w:pPr>
    </w:p>
    <w:p w14:paraId="0930A714" w14:textId="7FD3A2B0" w:rsidR="0028728A" w:rsidRDefault="00CB63D5" w:rsidP="00CB63D5">
      <w:pPr>
        <w:spacing w:line="480" w:lineRule="auto"/>
        <w:rPr>
          <w:bCs/>
          <w:sz w:val="24"/>
        </w:rPr>
      </w:pPr>
      <w:r w:rsidRPr="002F74C9">
        <w:rPr>
          <w:bCs/>
          <w:sz w:val="24"/>
        </w:rPr>
        <w:t xml:space="preserve">Victorian </w:t>
      </w:r>
      <w:r>
        <w:rPr>
          <w:bCs/>
          <w:sz w:val="24"/>
        </w:rPr>
        <w:t>banks</w:t>
      </w:r>
      <w:r w:rsidRPr="002F74C9">
        <w:rPr>
          <w:bCs/>
          <w:sz w:val="24"/>
        </w:rPr>
        <w:t xml:space="preserve"> developed significant branch networks before 1880 but these were not national</w:t>
      </w:r>
      <w:r>
        <w:rPr>
          <w:bCs/>
          <w:sz w:val="24"/>
        </w:rPr>
        <w:t xml:space="preserve"> (</w:t>
      </w:r>
      <w:r w:rsidRPr="00160533">
        <w:rPr>
          <w:bCs/>
          <w:sz w:val="24"/>
        </w:rPr>
        <w:t>Barnes and Newton, 2018</w:t>
      </w:r>
      <w:r>
        <w:rPr>
          <w:bCs/>
          <w:sz w:val="24"/>
        </w:rPr>
        <w:t>)</w:t>
      </w:r>
      <w:r w:rsidRPr="002F74C9">
        <w:rPr>
          <w:bCs/>
          <w:sz w:val="24"/>
        </w:rPr>
        <w:t>.</w:t>
      </w:r>
      <w:r>
        <w:rPr>
          <w:bCs/>
          <w:sz w:val="24"/>
        </w:rPr>
        <w:t xml:space="preserve"> </w:t>
      </w:r>
      <w:r w:rsidRPr="002F74C9">
        <w:rPr>
          <w:bCs/>
          <w:sz w:val="24"/>
        </w:rPr>
        <w:t>Sykes summarised the perceived advantages of local decision-making: ‘the provinces have the benefits derived from a management working in the midst of provincial and local conditions, maintaining responsive and intimate touch with industrial changes’</w:t>
      </w:r>
      <w:r>
        <w:rPr>
          <w:bCs/>
          <w:sz w:val="24"/>
        </w:rPr>
        <w:t xml:space="preserve"> (</w:t>
      </w:r>
      <w:r w:rsidRPr="00A7749B">
        <w:rPr>
          <w:sz w:val="24"/>
          <w:szCs w:val="24"/>
        </w:rPr>
        <w:t>Sykes, 1926, 189</w:t>
      </w:r>
      <w:r>
        <w:rPr>
          <w:bCs/>
          <w:sz w:val="24"/>
        </w:rPr>
        <w:t>).</w:t>
      </w:r>
      <w:r w:rsidRPr="002F74C9">
        <w:rPr>
          <w:bCs/>
          <w:sz w:val="24"/>
        </w:rPr>
        <w:t xml:space="preserve"> Histories of British banking typically describe a system </w:t>
      </w:r>
      <w:r>
        <w:rPr>
          <w:bCs/>
          <w:sz w:val="24"/>
        </w:rPr>
        <w:t xml:space="preserve">with lending decisions </w:t>
      </w:r>
      <w:r w:rsidRPr="002F74C9">
        <w:rPr>
          <w:bCs/>
          <w:sz w:val="24"/>
        </w:rPr>
        <w:t xml:space="preserve">based on </w:t>
      </w:r>
      <w:r>
        <w:rPr>
          <w:bCs/>
          <w:sz w:val="24"/>
        </w:rPr>
        <w:t xml:space="preserve">borrower </w:t>
      </w:r>
      <w:r w:rsidRPr="002F74C9">
        <w:rPr>
          <w:bCs/>
          <w:sz w:val="24"/>
        </w:rPr>
        <w:t>reputation and the availability of a broad range of collateral rather than detailed analysis of prospects, loan characteristics, and client distress</w:t>
      </w:r>
      <w:r>
        <w:rPr>
          <w:bCs/>
          <w:sz w:val="24"/>
        </w:rPr>
        <w:t xml:space="preserve"> (</w:t>
      </w:r>
      <w:r w:rsidRPr="00A7749B">
        <w:rPr>
          <w:sz w:val="24"/>
          <w:szCs w:val="24"/>
        </w:rPr>
        <w:t>Capie and Collins, 1999a and 1999b; Collins and Baker, 2003</w:t>
      </w:r>
      <w:r>
        <w:rPr>
          <w:bCs/>
          <w:sz w:val="24"/>
        </w:rPr>
        <w:t>)</w:t>
      </w:r>
      <w:r w:rsidRPr="002F74C9">
        <w:rPr>
          <w:bCs/>
          <w:sz w:val="24"/>
        </w:rPr>
        <w:t>.</w:t>
      </w:r>
      <w:r w:rsidR="00206AD8">
        <w:rPr>
          <w:bCs/>
          <w:sz w:val="24"/>
        </w:rPr>
        <w:t xml:space="preserve"> </w:t>
      </w:r>
      <w:r>
        <w:rPr>
          <w:bCs/>
          <w:sz w:val="24"/>
        </w:rPr>
        <w:t xml:space="preserve">This </w:t>
      </w:r>
      <w:r w:rsidRPr="00B02364">
        <w:rPr>
          <w:bCs/>
          <w:sz w:val="24"/>
        </w:rPr>
        <w:t xml:space="preserve">system evolved through amalgamations from the late </w:t>
      </w:r>
      <w:r w:rsidR="004819B2">
        <w:rPr>
          <w:bCs/>
          <w:sz w:val="24"/>
        </w:rPr>
        <w:t>eighteenth</w:t>
      </w:r>
      <w:r w:rsidR="004819B2" w:rsidRPr="00B02364">
        <w:rPr>
          <w:bCs/>
          <w:sz w:val="24"/>
        </w:rPr>
        <w:t xml:space="preserve"> </w:t>
      </w:r>
      <w:r w:rsidRPr="00B02364">
        <w:rPr>
          <w:bCs/>
          <w:sz w:val="24"/>
        </w:rPr>
        <w:t>century onwards from one with hundreds of unit banks, unable to expand because of limiting legislation removed in the first half of the nineteenth century, into a highly concentrated system.</w:t>
      </w:r>
      <w:r w:rsidRPr="00B02364">
        <w:rPr>
          <w:bCs/>
          <w:sz w:val="24"/>
          <w:vertAlign w:val="superscript"/>
        </w:rPr>
        <w:endnoteReference w:id="3"/>
      </w:r>
    </w:p>
    <w:p w14:paraId="6A047858" w14:textId="77777777" w:rsidR="009C792F" w:rsidRDefault="009C792F" w:rsidP="00CE5DB6">
      <w:pPr>
        <w:spacing w:line="480" w:lineRule="auto"/>
        <w:rPr>
          <w:sz w:val="24"/>
        </w:rPr>
      </w:pPr>
    </w:p>
    <w:p w14:paraId="4E6881B3" w14:textId="2F255129" w:rsidR="00CE5DB6" w:rsidRPr="00553174" w:rsidRDefault="00CE5DB6" w:rsidP="00CE5DB6">
      <w:pPr>
        <w:spacing w:line="480" w:lineRule="auto"/>
        <w:rPr>
          <w:sz w:val="24"/>
        </w:rPr>
      </w:pPr>
      <w:r w:rsidRPr="00553174">
        <w:rPr>
          <w:sz w:val="24"/>
        </w:rPr>
        <w:lastRenderedPageBreak/>
        <w:t>The periodi</w:t>
      </w:r>
      <w:r w:rsidR="007819AC">
        <w:rPr>
          <w:sz w:val="24"/>
        </w:rPr>
        <w:t>s</w:t>
      </w:r>
      <w:r w:rsidRPr="00553174">
        <w:rPr>
          <w:sz w:val="24"/>
        </w:rPr>
        <w:t>ation of the amalgamation movement owes much to the classic work by Sykes</w:t>
      </w:r>
      <w:r>
        <w:rPr>
          <w:sz w:val="24"/>
        </w:rPr>
        <w:t xml:space="preserve"> (1926)</w:t>
      </w:r>
      <w:r w:rsidRPr="00553174">
        <w:rPr>
          <w:sz w:val="24"/>
        </w:rPr>
        <w:t>.</w:t>
      </w:r>
      <w:r>
        <w:rPr>
          <w:sz w:val="24"/>
        </w:rPr>
        <w:t xml:space="preserve"> </w:t>
      </w:r>
      <w:r w:rsidRPr="00553174">
        <w:rPr>
          <w:sz w:val="24"/>
        </w:rPr>
        <w:t xml:space="preserve">In identifying 1825 as the beginning of the period, Sykes was essentially correct. </w:t>
      </w:r>
      <w:r w:rsidR="00E04DF8">
        <w:rPr>
          <w:sz w:val="24"/>
        </w:rPr>
        <w:t>Alt</w:t>
      </w:r>
      <w:r w:rsidRPr="00553174">
        <w:rPr>
          <w:sz w:val="24"/>
        </w:rPr>
        <w:t>hough the population of British banks beg</w:t>
      </w:r>
      <w:r>
        <w:rPr>
          <w:sz w:val="24"/>
        </w:rPr>
        <w:t>a</w:t>
      </w:r>
      <w:r w:rsidRPr="00553174">
        <w:rPr>
          <w:sz w:val="24"/>
        </w:rPr>
        <w:t xml:space="preserve">n to decline from its peak in 1810, the process of amalgamation began </w:t>
      </w:r>
      <w:r>
        <w:rPr>
          <w:sz w:val="24"/>
        </w:rPr>
        <w:t>in earnest</w:t>
      </w:r>
      <w:r w:rsidRPr="00553174">
        <w:rPr>
          <w:sz w:val="24"/>
        </w:rPr>
        <w:t xml:space="preserve"> only in the 1820s </w:t>
      </w:r>
      <w:r>
        <w:rPr>
          <w:sz w:val="24"/>
        </w:rPr>
        <w:t>(Garnett, Mollan and Bentley, 2015; 2017)</w:t>
      </w:r>
      <w:r w:rsidRPr="00553174">
        <w:rPr>
          <w:sz w:val="24"/>
        </w:rPr>
        <w:t>.</w:t>
      </w:r>
      <w:r w:rsidR="00BF1094">
        <w:rPr>
          <w:rStyle w:val="EndnoteReference"/>
          <w:sz w:val="24"/>
        </w:rPr>
        <w:endnoteReference w:id="4"/>
      </w:r>
      <w:r>
        <w:rPr>
          <w:sz w:val="24"/>
        </w:rPr>
        <w:t xml:space="preserve"> Figure</w:t>
      </w:r>
      <w:r w:rsidRPr="00553174">
        <w:rPr>
          <w:sz w:val="24"/>
        </w:rPr>
        <w:t xml:space="preserve"> 1 </w:t>
      </w:r>
      <w:r>
        <w:rPr>
          <w:sz w:val="24"/>
        </w:rPr>
        <w:t xml:space="preserve">indicates that </w:t>
      </w:r>
      <w:r w:rsidRPr="00553174">
        <w:rPr>
          <w:sz w:val="24"/>
        </w:rPr>
        <w:t>there were in broad terms four phases of heavy amalgamation. The first began around 1825 and ended in the early 1840s. The second began around 1854, terminating in the late 1860s. The third</w:t>
      </w:r>
      <w:r>
        <w:rPr>
          <w:sz w:val="24"/>
        </w:rPr>
        <w:t xml:space="preserve">, and </w:t>
      </w:r>
      <w:r w:rsidRPr="00553174">
        <w:rPr>
          <w:sz w:val="24"/>
        </w:rPr>
        <w:t>most significant</w:t>
      </w:r>
      <w:r>
        <w:rPr>
          <w:sz w:val="24"/>
        </w:rPr>
        <w:t xml:space="preserve">, </w:t>
      </w:r>
      <w:r w:rsidRPr="00553174">
        <w:rPr>
          <w:sz w:val="24"/>
        </w:rPr>
        <w:t xml:space="preserve">began in the early 1880s and </w:t>
      </w:r>
      <w:r>
        <w:rPr>
          <w:sz w:val="24"/>
        </w:rPr>
        <w:t>continued</w:t>
      </w:r>
      <w:r w:rsidRPr="00553174">
        <w:rPr>
          <w:sz w:val="24"/>
        </w:rPr>
        <w:t xml:space="preserve"> until </w:t>
      </w:r>
      <w:r>
        <w:rPr>
          <w:sz w:val="24"/>
        </w:rPr>
        <w:t xml:space="preserve">the </w:t>
      </w:r>
      <w:r w:rsidRPr="00553174">
        <w:rPr>
          <w:sz w:val="24"/>
        </w:rPr>
        <w:t xml:space="preserve">outbreak of World War </w:t>
      </w:r>
      <w:r>
        <w:rPr>
          <w:sz w:val="24"/>
        </w:rPr>
        <w:t xml:space="preserve">One </w:t>
      </w:r>
      <w:r w:rsidRPr="00553174">
        <w:rPr>
          <w:sz w:val="24"/>
        </w:rPr>
        <w:t xml:space="preserve">in 1914. The final, less significant phase began around the end of </w:t>
      </w:r>
      <w:r>
        <w:rPr>
          <w:sz w:val="24"/>
        </w:rPr>
        <w:t xml:space="preserve">the war </w:t>
      </w:r>
      <w:r w:rsidRPr="00553174">
        <w:rPr>
          <w:sz w:val="24"/>
        </w:rPr>
        <w:t>in 1918 and terminated</w:t>
      </w:r>
      <w:r>
        <w:rPr>
          <w:sz w:val="24"/>
        </w:rPr>
        <w:t xml:space="preserve">, </w:t>
      </w:r>
      <w:r w:rsidRPr="00553174">
        <w:rPr>
          <w:sz w:val="24"/>
        </w:rPr>
        <w:t xml:space="preserve">as Sykes suggests, around 1924. </w:t>
      </w:r>
    </w:p>
    <w:p w14:paraId="1A447E1B" w14:textId="77777777" w:rsidR="00CE5DB6" w:rsidRDefault="00CE5DB6" w:rsidP="00CE5DB6">
      <w:pPr>
        <w:spacing w:line="480" w:lineRule="auto"/>
        <w:rPr>
          <w:sz w:val="24"/>
        </w:rPr>
      </w:pPr>
    </w:p>
    <w:p w14:paraId="50A68FA0" w14:textId="77777777" w:rsidR="00CE5DB6" w:rsidRDefault="00CE5DB6" w:rsidP="00CE5DB6">
      <w:pPr>
        <w:spacing w:line="480" w:lineRule="auto"/>
        <w:rPr>
          <w:sz w:val="24"/>
        </w:rPr>
      </w:pPr>
      <w:r>
        <w:rPr>
          <w:sz w:val="24"/>
        </w:rPr>
        <w:t>INSERT FIGURE 1 HERE</w:t>
      </w:r>
    </w:p>
    <w:p w14:paraId="20E0C159" w14:textId="77777777" w:rsidR="00CE5DB6" w:rsidRPr="00553174" w:rsidRDefault="00CE5DB6" w:rsidP="00CE5DB6">
      <w:pPr>
        <w:spacing w:line="480" w:lineRule="auto"/>
        <w:rPr>
          <w:sz w:val="24"/>
        </w:rPr>
      </w:pPr>
    </w:p>
    <w:p w14:paraId="69662D19" w14:textId="03627867" w:rsidR="00CE5DB6" w:rsidRPr="00553174" w:rsidRDefault="00CE5DB6" w:rsidP="00CE5DB6">
      <w:pPr>
        <w:spacing w:line="480" w:lineRule="auto"/>
        <w:rPr>
          <w:sz w:val="24"/>
        </w:rPr>
      </w:pPr>
      <w:r>
        <w:rPr>
          <w:sz w:val="24"/>
        </w:rPr>
        <w:t>Figure</w:t>
      </w:r>
      <w:r w:rsidRPr="00553174">
        <w:rPr>
          <w:sz w:val="24"/>
        </w:rPr>
        <w:t xml:space="preserve"> 2 </w:t>
      </w:r>
      <w:r>
        <w:rPr>
          <w:sz w:val="24"/>
        </w:rPr>
        <w:t xml:space="preserve">shows that </w:t>
      </w:r>
      <w:r w:rsidRPr="00553174">
        <w:rPr>
          <w:sz w:val="24"/>
        </w:rPr>
        <w:t>the population of British banks</w:t>
      </w:r>
      <w:r>
        <w:rPr>
          <w:sz w:val="24"/>
        </w:rPr>
        <w:t xml:space="preserve"> (in comparison with 1810-1924)</w:t>
      </w:r>
      <w:r w:rsidRPr="00553174">
        <w:rPr>
          <w:sz w:val="24"/>
        </w:rPr>
        <w:t xml:space="preserve"> was broadly stable between 1924 and 1987 when it again began to decline, </w:t>
      </w:r>
      <w:r>
        <w:rPr>
          <w:sz w:val="24"/>
        </w:rPr>
        <w:t>al</w:t>
      </w:r>
      <w:r w:rsidRPr="00553174">
        <w:rPr>
          <w:sz w:val="24"/>
        </w:rPr>
        <w:t xml:space="preserve">though there is evidence of population instability from the 1960s onwards when measured as </w:t>
      </w:r>
      <w:r>
        <w:rPr>
          <w:sz w:val="24"/>
        </w:rPr>
        <w:t xml:space="preserve">the </w:t>
      </w:r>
      <w:r w:rsidRPr="00553174">
        <w:rPr>
          <w:sz w:val="24"/>
        </w:rPr>
        <w:t>year</w:t>
      </w:r>
      <w:r>
        <w:rPr>
          <w:sz w:val="24"/>
        </w:rPr>
        <w:t>-</w:t>
      </w:r>
      <w:r w:rsidRPr="00553174">
        <w:rPr>
          <w:sz w:val="24"/>
        </w:rPr>
        <w:t>on</w:t>
      </w:r>
      <w:r>
        <w:rPr>
          <w:sz w:val="24"/>
        </w:rPr>
        <w:t>-</w:t>
      </w:r>
      <w:r w:rsidRPr="00553174">
        <w:rPr>
          <w:sz w:val="24"/>
        </w:rPr>
        <w:t xml:space="preserve">year change in the population. What is incontrovertible, however, is that the end of the amalgamation movement as a secular trend in the population of British banks </w:t>
      </w:r>
      <w:r w:rsidR="00A160D6">
        <w:rPr>
          <w:sz w:val="24"/>
        </w:rPr>
        <w:t>was followed by</w:t>
      </w:r>
      <w:r w:rsidR="00A160D6" w:rsidRPr="00553174">
        <w:rPr>
          <w:sz w:val="24"/>
        </w:rPr>
        <w:t xml:space="preserve"> about half a century or so </w:t>
      </w:r>
      <w:r w:rsidRPr="00553174">
        <w:rPr>
          <w:sz w:val="24"/>
        </w:rPr>
        <w:t xml:space="preserve">of </w:t>
      </w:r>
      <w:r w:rsidRPr="00286C1C">
        <w:rPr>
          <w:i/>
          <w:sz w:val="24"/>
        </w:rPr>
        <w:t>relative</w:t>
      </w:r>
      <w:r>
        <w:rPr>
          <w:sz w:val="24"/>
        </w:rPr>
        <w:t xml:space="preserve"> </w:t>
      </w:r>
      <w:r w:rsidRPr="00553174">
        <w:rPr>
          <w:sz w:val="24"/>
        </w:rPr>
        <w:t xml:space="preserve">population stability from the interwar period until at least the 1960s, and arguably until the 1980s. This </w:t>
      </w:r>
      <w:r>
        <w:rPr>
          <w:sz w:val="24"/>
        </w:rPr>
        <w:t>highlights the importance of</w:t>
      </w:r>
      <w:r w:rsidRPr="00553174">
        <w:rPr>
          <w:sz w:val="24"/>
        </w:rPr>
        <w:t xml:space="preserve"> the policies that stem from the </w:t>
      </w:r>
      <w:r>
        <w:rPr>
          <w:sz w:val="24"/>
        </w:rPr>
        <w:t>C</w:t>
      </w:r>
      <w:r w:rsidRPr="00553174">
        <w:rPr>
          <w:sz w:val="24"/>
        </w:rPr>
        <w:t xml:space="preserve">ommittee, </w:t>
      </w:r>
      <w:r w:rsidR="00A160D6">
        <w:rPr>
          <w:sz w:val="24"/>
        </w:rPr>
        <w:t>and</w:t>
      </w:r>
      <w:r w:rsidRPr="00553174">
        <w:rPr>
          <w:sz w:val="24"/>
        </w:rPr>
        <w:t xml:space="preserve"> brought to a close a period of profound consolidation in British banking. </w:t>
      </w:r>
    </w:p>
    <w:p w14:paraId="0FDD1A03" w14:textId="77777777" w:rsidR="00CE5DB6" w:rsidRDefault="00CE5DB6" w:rsidP="00CE5DB6">
      <w:pPr>
        <w:spacing w:line="480" w:lineRule="auto"/>
        <w:rPr>
          <w:sz w:val="24"/>
        </w:rPr>
      </w:pPr>
    </w:p>
    <w:p w14:paraId="303B9738" w14:textId="77777777" w:rsidR="00CE5DB6" w:rsidRDefault="00CE5DB6" w:rsidP="00CE5DB6">
      <w:pPr>
        <w:spacing w:line="480" w:lineRule="auto"/>
        <w:rPr>
          <w:sz w:val="24"/>
        </w:rPr>
      </w:pPr>
      <w:r>
        <w:rPr>
          <w:sz w:val="24"/>
        </w:rPr>
        <w:t>INSERT FIGURE 2 HERE</w:t>
      </w:r>
    </w:p>
    <w:p w14:paraId="792506AC" w14:textId="77777777" w:rsidR="00CE5DB6" w:rsidRPr="00553174" w:rsidRDefault="00CE5DB6" w:rsidP="00CE5DB6">
      <w:pPr>
        <w:spacing w:line="480" w:lineRule="auto"/>
        <w:rPr>
          <w:sz w:val="24"/>
        </w:rPr>
      </w:pPr>
    </w:p>
    <w:p w14:paraId="637708F6" w14:textId="0BDBE109" w:rsidR="00D513BA" w:rsidRPr="00D513BA" w:rsidRDefault="00CE5DB6" w:rsidP="00D513BA">
      <w:pPr>
        <w:spacing w:line="480" w:lineRule="auto"/>
        <w:rPr>
          <w:sz w:val="24"/>
        </w:rPr>
      </w:pPr>
      <w:r>
        <w:rPr>
          <w:sz w:val="24"/>
        </w:rPr>
        <w:lastRenderedPageBreak/>
        <w:t>Figures 3 and 4</w:t>
      </w:r>
      <w:r w:rsidRPr="00553174">
        <w:rPr>
          <w:sz w:val="24"/>
        </w:rPr>
        <w:t xml:space="preserve"> show that the amalgamation process </w:t>
      </w:r>
      <w:r>
        <w:rPr>
          <w:sz w:val="24"/>
        </w:rPr>
        <w:t>during the 40 years or so preceding</w:t>
      </w:r>
      <w:r w:rsidRPr="00553174">
        <w:rPr>
          <w:sz w:val="24"/>
        </w:rPr>
        <w:t xml:space="preserve"> the Committee was also a process of creation of new banks, and failure of existing banks. Between 1880 and 1918 there were 382 mergers</w:t>
      </w:r>
      <w:r>
        <w:rPr>
          <w:sz w:val="24"/>
        </w:rPr>
        <w:t xml:space="preserve"> between banks</w:t>
      </w:r>
      <w:r w:rsidRPr="00553174">
        <w:rPr>
          <w:sz w:val="24"/>
        </w:rPr>
        <w:t>, 599 bank failures, and 251 new banks</w:t>
      </w:r>
      <w:r>
        <w:rPr>
          <w:sz w:val="24"/>
        </w:rPr>
        <w:t xml:space="preserve"> created</w:t>
      </w:r>
      <w:r w:rsidRPr="00553174">
        <w:rPr>
          <w:sz w:val="24"/>
        </w:rPr>
        <w:t xml:space="preserve">. These individual events drove fundamental trends in the </w:t>
      </w:r>
      <w:r>
        <w:rPr>
          <w:sz w:val="24"/>
        </w:rPr>
        <w:t xml:space="preserve">overall </w:t>
      </w:r>
      <w:r w:rsidR="00105C6C">
        <w:rPr>
          <w:sz w:val="24"/>
        </w:rPr>
        <w:t xml:space="preserve">banking </w:t>
      </w:r>
      <w:r w:rsidRPr="00553174">
        <w:rPr>
          <w:sz w:val="24"/>
        </w:rPr>
        <w:t xml:space="preserve">population, </w:t>
      </w:r>
      <w:r w:rsidR="009C792F">
        <w:rPr>
          <w:sz w:val="24"/>
        </w:rPr>
        <w:t>notably</w:t>
      </w:r>
      <w:r w:rsidRPr="00553174">
        <w:rPr>
          <w:sz w:val="24"/>
        </w:rPr>
        <w:t xml:space="preserve"> the elate</w:t>
      </w:r>
      <w:r w:rsidR="00105C6C">
        <w:rPr>
          <w:sz w:val="24"/>
        </w:rPr>
        <w:t>-</w:t>
      </w:r>
      <w:r>
        <w:rPr>
          <w:sz w:val="24"/>
        </w:rPr>
        <w:t>nineteen</w:t>
      </w:r>
      <w:r w:rsidRPr="00553174">
        <w:rPr>
          <w:sz w:val="24"/>
        </w:rPr>
        <w:t xml:space="preserve">th </w:t>
      </w:r>
      <w:r>
        <w:rPr>
          <w:sz w:val="24"/>
        </w:rPr>
        <w:t>c</w:t>
      </w:r>
      <w:r w:rsidRPr="00553174">
        <w:rPr>
          <w:sz w:val="24"/>
        </w:rPr>
        <w:t xml:space="preserve">entury </w:t>
      </w:r>
      <w:r w:rsidR="00105C6C" w:rsidRPr="00553174">
        <w:rPr>
          <w:sz w:val="24"/>
        </w:rPr>
        <w:t xml:space="preserve">emergence </w:t>
      </w:r>
      <w:r w:rsidRPr="00553174">
        <w:rPr>
          <w:sz w:val="24"/>
        </w:rPr>
        <w:t>of the large retail banks</w:t>
      </w:r>
      <w:r>
        <w:rPr>
          <w:sz w:val="24"/>
        </w:rPr>
        <w:t xml:space="preserve"> and the later dominance of</w:t>
      </w:r>
      <w:r w:rsidRPr="00553174">
        <w:rPr>
          <w:sz w:val="24"/>
        </w:rPr>
        <w:t xml:space="preserve"> the Big Five, wh</w:t>
      </w:r>
      <w:r>
        <w:rPr>
          <w:sz w:val="24"/>
        </w:rPr>
        <w:t>ich</w:t>
      </w:r>
      <w:r w:rsidRPr="00553174">
        <w:rPr>
          <w:sz w:val="24"/>
        </w:rPr>
        <w:t xml:space="preserve"> had grown </w:t>
      </w:r>
      <w:r>
        <w:rPr>
          <w:sz w:val="24"/>
        </w:rPr>
        <w:t>through</w:t>
      </w:r>
      <w:r w:rsidRPr="00553174">
        <w:rPr>
          <w:sz w:val="24"/>
        </w:rPr>
        <w:t xml:space="preserve"> amalgamation</w:t>
      </w:r>
      <w:r w:rsidR="001F3DC2">
        <w:rPr>
          <w:sz w:val="24"/>
        </w:rPr>
        <w:t xml:space="preserve"> </w:t>
      </w:r>
      <w:r w:rsidR="00D513BA">
        <w:rPr>
          <w:sz w:val="24"/>
        </w:rPr>
        <w:t>(</w:t>
      </w:r>
      <w:r w:rsidR="00D513BA" w:rsidRPr="00160533">
        <w:rPr>
          <w:bCs/>
          <w:sz w:val="24"/>
        </w:rPr>
        <w:t>Capie and Rodrik-Bali, 1982</w:t>
      </w:r>
      <w:r w:rsidR="00D513BA">
        <w:rPr>
          <w:bCs/>
          <w:sz w:val="24"/>
        </w:rPr>
        <w:t>)</w:t>
      </w:r>
      <w:r w:rsidR="00D513BA" w:rsidRPr="002F74C9">
        <w:rPr>
          <w:bCs/>
          <w:sz w:val="24"/>
        </w:rPr>
        <w:t xml:space="preserve">. </w:t>
      </w:r>
      <w:r w:rsidR="009C792F" w:rsidRPr="002F74C9">
        <w:rPr>
          <w:bCs/>
          <w:sz w:val="24"/>
        </w:rPr>
        <w:t>For example, Barclays</w:t>
      </w:r>
      <w:r w:rsidR="009C792F">
        <w:rPr>
          <w:bCs/>
          <w:sz w:val="24"/>
        </w:rPr>
        <w:t xml:space="preserve"> </w:t>
      </w:r>
      <w:r w:rsidR="00105C6C">
        <w:rPr>
          <w:bCs/>
          <w:sz w:val="24"/>
        </w:rPr>
        <w:t>emerged through the 1896</w:t>
      </w:r>
      <w:r w:rsidR="009C792F" w:rsidRPr="002F74C9">
        <w:rPr>
          <w:bCs/>
          <w:sz w:val="24"/>
        </w:rPr>
        <w:t xml:space="preserve"> merger of 12 private banks, and expanded its geographical footprint into </w:t>
      </w:r>
      <w:r w:rsidR="009C792F">
        <w:rPr>
          <w:bCs/>
          <w:sz w:val="24"/>
        </w:rPr>
        <w:t>the country</w:t>
      </w:r>
      <w:r w:rsidR="009C792F" w:rsidRPr="002F74C9">
        <w:rPr>
          <w:bCs/>
          <w:sz w:val="24"/>
        </w:rPr>
        <w:t>’s industrial areas through later amalgamations</w:t>
      </w:r>
      <w:r w:rsidR="009C792F">
        <w:rPr>
          <w:bCs/>
          <w:sz w:val="24"/>
        </w:rPr>
        <w:t xml:space="preserve"> (</w:t>
      </w:r>
      <w:r w:rsidR="009C792F" w:rsidRPr="00160533">
        <w:rPr>
          <w:bCs/>
          <w:sz w:val="24"/>
        </w:rPr>
        <w:t>Ackrill and Hannah, 2001</w:t>
      </w:r>
      <w:r w:rsidR="003E1CC8">
        <w:rPr>
          <w:bCs/>
          <w:sz w:val="24"/>
        </w:rPr>
        <w:t>,</w:t>
      </w:r>
      <w:r w:rsidR="009C792F" w:rsidRPr="00160533">
        <w:rPr>
          <w:bCs/>
          <w:sz w:val="24"/>
        </w:rPr>
        <w:t xml:space="preserve"> 55</w:t>
      </w:r>
      <w:r w:rsidR="00242643">
        <w:rPr>
          <w:bCs/>
          <w:sz w:val="24"/>
        </w:rPr>
        <w:t>–</w:t>
      </w:r>
      <w:r w:rsidR="009C792F" w:rsidRPr="00160533">
        <w:rPr>
          <w:bCs/>
          <w:sz w:val="24"/>
        </w:rPr>
        <w:t>58, 60</w:t>
      </w:r>
      <w:r w:rsidR="00242643">
        <w:rPr>
          <w:bCs/>
          <w:sz w:val="24"/>
        </w:rPr>
        <w:t>–</w:t>
      </w:r>
      <w:r w:rsidR="009C792F" w:rsidRPr="00160533">
        <w:rPr>
          <w:bCs/>
          <w:sz w:val="24"/>
        </w:rPr>
        <w:t>61</w:t>
      </w:r>
      <w:r w:rsidR="009C792F">
        <w:rPr>
          <w:bCs/>
          <w:sz w:val="24"/>
        </w:rPr>
        <w:t>)</w:t>
      </w:r>
      <w:r w:rsidR="009C792F" w:rsidRPr="002F74C9">
        <w:rPr>
          <w:bCs/>
          <w:sz w:val="24"/>
        </w:rPr>
        <w:t xml:space="preserve">. </w:t>
      </w:r>
      <w:r w:rsidR="009C792F">
        <w:rPr>
          <w:bCs/>
          <w:sz w:val="24"/>
        </w:rPr>
        <w:t xml:space="preserve">Another of the Big Five, the Midland, illustrates the relative importance of amalgamations and organic growth through branch openings. From 1880 to 1919 the Midland added 921 branches through amalgamations against 536 through new branch openings, with only 16 branch closures in the period (Crick and Wadsworth, 1936, 333). </w:t>
      </w:r>
      <w:r w:rsidR="00D513BA">
        <w:rPr>
          <w:bCs/>
          <w:sz w:val="24"/>
        </w:rPr>
        <w:t>C</w:t>
      </w:r>
      <w:r w:rsidR="00D513BA" w:rsidRPr="002F74C9">
        <w:rPr>
          <w:bCs/>
          <w:sz w:val="24"/>
        </w:rPr>
        <w:t xml:space="preserve">oncentration in the share of bank deposits </w:t>
      </w:r>
      <w:r w:rsidR="00CE4261">
        <w:rPr>
          <w:bCs/>
          <w:sz w:val="24"/>
        </w:rPr>
        <w:t xml:space="preserve">and branch numbers </w:t>
      </w:r>
      <w:r w:rsidR="00D513BA" w:rsidRPr="002F74C9">
        <w:rPr>
          <w:bCs/>
          <w:sz w:val="24"/>
        </w:rPr>
        <w:t>increased considerably between 1910 and 192</w:t>
      </w:r>
      <w:r w:rsidR="008F641D">
        <w:rPr>
          <w:bCs/>
          <w:sz w:val="24"/>
        </w:rPr>
        <w:t xml:space="preserve">1 </w:t>
      </w:r>
      <w:r w:rsidR="008F641D" w:rsidRPr="002F74C9">
        <w:rPr>
          <w:bCs/>
          <w:sz w:val="24"/>
        </w:rPr>
        <w:t xml:space="preserve">(see Table </w:t>
      </w:r>
      <w:r w:rsidR="008F641D">
        <w:rPr>
          <w:bCs/>
          <w:sz w:val="24"/>
        </w:rPr>
        <w:t>2</w:t>
      </w:r>
      <w:r w:rsidR="008F641D" w:rsidRPr="002F74C9">
        <w:rPr>
          <w:bCs/>
          <w:sz w:val="24"/>
        </w:rPr>
        <w:t>)</w:t>
      </w:r>
      <w:r w:rsidR="00D513BA" w:rsidRPr="002F74C9">
        <w:rPr>
          <w:bCs/>
          <w:sz w:val="24"/>
        </w:rPr>
        <w:t xml:space="preserve">, especially </w:t>
      </w:r>
      <w:r w:rsidR="00D513BA">
        <w:rPr>
          <w:bCs/>
          <w:sz w:val="24"/>
        </w:rPr>
        <w:t>through</w:t>
      </w:r>
      <w:r w:rsidR="00D513BA" w:rsidRPr="002F74C9">
        <w:rPr>
          <w:bCs/>
          <w:sz w:val="24"/>
        </w:rPr>
        <w:t xml:space="preserve"> several large amalgamations in 1917 and 1918</w:t>
      </w:r>
      <w:r w:rsidR="00D513BA">
        <w:rPr>
          <w:bCs/>
          <w:sz w:val="24"/>
        </w:rPr>
        <w:t xml:space="preserve"> (</w:t>
      </w:r>
      <w:r w:rsidR="00CE4261">
        <w:rPr>
          <w:bCs/>
          <w:sz w:val="24"/>
        </w:rPr>
        <w:t>Alhadeff, 1968</w:t>
      </w:r>
      <w:r w:rsidR="003E1CC8">
        <w:rPr>
          <w:bCs/>
          <w:sz w:val="24"/>
        </w:rPr>
        <w:t>,</w:t>
      </w:r>
      <w:r w:rsidR="00CE4261">
        <w:rPr>
          <w:bCs/>
          <w:sz w:val="24"/>
        </w:rPr>
        <w:t xml:space="preserve"> 244</w:t>
      </w:r>
      <w:r w:rsidR="00242643">
        <w:rPr>
          <w:bCs/>
          <w:sz w:val="24"/>
        </w:rPr>
        <w:t>–</w:t>
      </w:r>
      <w:r w:rsidR="00CE4261">
        <w:rPr>
          <w:bCs/>
          <w:sz w:val="24"/>
        </w:rPr>
        <w:t xml:space="preserve">246; </w:t>
      </w:r>
      <w:r w:rsidR="00D513BA" w:rsidRPr="00160533">
        <w:rPr>
          <w:bCs/>
          <w:sz w:val="24"/>
        </w:rPr>
        <w:t>Capie and Rodrik-Bali, 1982; Turner, 2014, 43</w:t>
      </w:r>
      <w:r w:rsidR="00D513BA">
        <w:rPr>
          <w:bCs/>
          <w:sz w:val="24"/>
        </w:rPr>
        <w:t>)</w:t>
      </w:r>
      <w:r w:rsidR="00D513BA" w:rsidRPr="002F74C9">
        <w:rPr>
          <w:bCs/>
          <w:sz w:val="24"/>
        </w:rPr>
        <w:t>.</w:t>
      </w:r>
    </w:p>
    <w:p w14:paraId="1DD3DAA1" w14:textId="77777777" w:rsidR="00D513BA" w:rsidRDefault="00D513BA" w:rsidP="00CE5DB6">
      <w:pPr>
        <w:spacing w:line="480" w:lineRule="auto"/>
        <w:rPr>
          <w:sz w:val="24"/>
        </w:rPr>
      </w:pPr>
    </w:p>
    <w:p w14:paraId="76B1EF4D" w14:textId="08FFEAB9" w:rsidR="00CE5DB6" w:rsidRDefault="00CE5DB6" w:rsidP="00CE5DB6">
      <w:pPr>
        <w:spacing w:line="480" w:lineRule="auto"/>
        <w:rPr>
          <w:sz w:val="24"/>
        </w:rPr>
      </w:pPr>
      <w:r>
        <w:rPr>
          <w:sz w:val="24"/>
        </w:rPr>
        <w:t xml:space="preserve">INSERT </w:t>
      </w:r>
      <w:r w:rsidR="003056BF">
        <w:rPr>
          <w:sz w:val="24"/>
        </w:rPr>
        <w:t xml:space="preserve">TABLE 2 AND </w:t>
      </w:r>
      <w:r>
        <w:rPr>
          <w:sz w:val="24"/>
        </w:rPr>
        <w:t>FIGURES 3 AND 4 HERE</w:t>
      </w:r>
    </w:p>
    <w:p w14:paraId="233664D2" w14:textId="77777777" w:rsidR="00CE5DB6" w:rsidRDefault="00CE5DB6" w:rsidP="00CE5DB6">
      <w:pPr>
        <w:spacing w:line="480" w:lineRule="auto"/>
        <w:rPr>
          <w:sz w:val="24"/>
        </w:rPr>
      </w:pPr>
    </w:p>
    <w:p w14:paraId="6C86E190" w14:textId="464D2CE1" w:rsidR="00CB63D5" w:rsidRPr="002F74C9" w:rsidRDefault="00CB63D5" w:rsidP="00CB63D5">
      <w:pPr>
        <w:spacing w:line="480" w:lineRule="auto"/>
        <w:rPr>
          <w:bCs/>
          <w:sz w:val="24"/>
        </w:rPr>
      </w:pPr>
      <w:r w:rsidRPr="002F74C9">
        <w:rPr>
          <w:bCs/>
          <w:sz w:val="24"/>
        </w:rPr>
        <w:t>Th</w:t>
      </w:r>
      <w:r>
        <w:rPr>
          <w:bCs/>
          <w:sz w:val="24"/>
        </w:rPr>
        <w:t xml:space="preserve">is process created </w:t>
      </w:r>
      <w:r w:rsidRPr="002F74C9">
        <w:rPr>
          <w:bCs/>
          <w:sz w:val="24"/>
        </w:rPr>
        <w:t xml:space="preserve">banks </w:t>
      </w:r>
      <w:r w:rsidR="008F641D">
        <w:rPr>
          <w:bCs/>
          <w:sz w:val="24"/>
        </w:rPr>
        <w:t xml:space="preserve">with </w:t>
      </w:r>
      <w:r w:rsidR="008F641D" w:rsidRPr="002F74C9">
        <w:rPr>
          <w:bCs/>
          <w:sz w:val="24"/>
        </w:rPr>
        <w:t>lar</w:t>
      </w:r>
      <w:r w:rsidR="008F641D">
        <w:rPr>
          <w:bCs/>
          <w:sz w:val="24"/>
        </w:rPr>
        <w:t>ge branch networks and dominant</w:t>
      </w:r>
      <w:r w:rsidR="008F641D" w:rsidRPr="002F74C9">
        <w:rPr>
          <w:bCs/>
          <w:sz w:val="24"/>
        </w:rPr>
        <w:t xml:space="preserve"> market shares</w:t>
      </w:r>
      <w:r w:rsidR="008F641D">
        <w:rPr>
          <w:bCs/>
          <w:sz w:val="24"/>
        </w:rPr>
        <w:t>.</w:t>
      </w:r>
      <w:r>
        <w:rPr>
          <w:bCs/>
          <w:sz w:val="24"/>
        </w:rPr>
        <w:t xml:space="preserve"> </w:t>
      </w:r>
      <w:r w:rsidR="008F641D">
        <w:rPr>
          <w:bCs/>
          <w:sz w:val="24"/>
        </w:rPr>
        <w:t xml:space="preserve">These banks </w:t>
      </w:r>
      <w:r w:rsidRPr="002F74C9">
        <w:rPr>
          <w:bCs/>
          <w:sz w:val="24"/>
        </w:rPr>
        <w:t xml:space="preserve">were well-diversified geographically and across </w:t>
      </w:r>
      <w:r>
        <w:rPr>
          <w:bCs/>
          <w:sz w:val="24"/>
        </w:rPr>
        <w:t xml:space="preserve">different </w:t>
      </w:r>
      <w:r w:rsidRPr="002F74C9">
        <w:rPr>
          <w:bCs/>
          <w:sz w:val="24"/>
        </w:rPr>
        <w:t xml:space="preserve">sectors of the economy, and their asset structures had become more liquid and conservative with a gradual shift to lower capital ratios with more (notionally short-term) overdraft lending, tougher lending terms, higher cash balances, and greater holdings of high </w:t>
      </w:r>
      <w:r w:rsidRPr="002F74C9">
        <w:rPr>
          <w:bCs/>
          <w:sz w:val="24"/>
        </w:rPr>
        <w:lastRenderedPageBreak/>
        <w:t>quality investments</w:t>
      </w:r>
      <w:r>
        <w:rPr>
          <w:bCs/>
          <w:sz w:val="24"/>
        </w:rPr>
        <w:t xml:space="preserve"> (</w:t>
      </w:r>
      <w:r w:rsidRPr="00A7749B">
        <w:rPr>
          <w:sz w:val="24"/>
          <w:szCs w:val="24"/>
        </w:rPr>
        <w:t>Baker and Collins, 2002; Collins and Baker, 2001a</w:t>
      </w:r>
      <w:r>
        <w:rPr>
          <w:sz w:val="24"/>
          <w:szCs w:val="24"/>
        </w:rPr>
        <w:t>;</w:t>
      </w:r>
      <w:r w:rsidRPr="00A7749B">
        <w:rPr>
          <w:sz w:val="24"/>
          <w:szCs w:val="24"/>
        </w:rPr>
        <w:t xml:space="preserve"> 2001b</w:t>
      </w:r>
      <w:r>
        <w:rPr>
          <w:sz w:val="24"/>
          <w:szCs w:val="24"/>
        </w:rPr>
        <w:t>;</w:t>
      </w:r>
      <w:r w:rsidRPr="00A7749B">
        <w:rPr>
          <w:sz w:val="24"/>
          <w:szCs w:val="24"/>
        </w:rPr>
        <w:t xml:space="preserve"> 2003</w:t>
      </w:r>
      <w:r>
        <w:rPr>
          <w:bCs/>
          <w:sz w:val="24"/>
        </w:rPr>
        <w:t>)</w:t>
      </w:r>
      <w:r w:rsidRPr="002F74C9">
        <w:rPr>
          <w:bCs/>
          <w:sz w:val="24"/>
        </w:rPr>
        <w:t xml:space="preserve">. Lending power and decision-making </w:t>
      </w:r>
      <w:r w:rsidR="00206AD8">
        <w:rPr>
          <w:bCs/>
          <w:sz w:val="24"/>
        </w:rPr>
        <w:t>were</w:t>
      </w:r>
      <w:r w:rsidR="00206AD8" w:rsidRPr="002F74C9">
        <w:rPr>
          <w:bCs/>
          <w:sz w:val="24"/>
        </w:rPr>
        <w:t xml:space="preserve"> </w:t>
      </w:r>
      <w:r w:rsidRPr="002F74C9">
        <w:rPr>
          <w:bCs/>
          <w:sz w:val="24"/>
        </w:rPr>
        <w:t xml:space="preserve">generally concentrated in these banks’ head offices, which had gravitated to London even if </w:t>
      </w:r>
      <w:r w:rsidR="00206AD8">
        <w:rPr>
          <w:bCs/>
          <w:sz w:val="24"/>
        </w:rPr>
        <w:t>some had</w:t>
      </w:r>
      <w:r w:rsidR="00206AD8" w:rsidRPr="002F74C9">
        <w:rPr>
          <w:bCs/>
          <w:sz w:val="24"/>
        </w:rPr>
        <w:t xml:space="preserve"> </w:t>
      </w:r>
      <w:r w:rsidRPr="002F74C9">
        <w:rPr>
          <w:bCs/>
          <w:sz w:val="24"/>
        </w:rPr>
        <w:t>origins in the provinces.</w:t>
      </w:r>
      <w:r w:rsidRPr="002F74C9">
        <w:rPr>
          <w:bCs/>
          <w:sz w:val="24"/>
          <w:vertAlign w:val="superscript"/>
        </w:rPr>
        <w:endnoteReference w:id="5"/>
      </w:r>
      <w:r w:rsidRPr="002F74C9">
        <w:rPr>
          <w:bCs/>
          <w:sz w:val="24"/>
        </w:rPr>
        <w:t xml:space="preserve"> </w:t>
      </w:r>
    </w:p>
    <w:p w14:paraId="7FD6F467" w14:textId="77777777" w:rsidR="00CB63D5" w:rsidRPr="00656258" w:rsidRDefault="00CB63D5" w:rsidP="00CB63D5">
      <w:pPr>
        <w:spacing w:line="480" w:lineRule="auto"/>
        <w:rPr>
          <w:bCs/>
          <w:sz w:val="24"/>
        </w:rPr>
      </w:pPr>
    </w:p>
    <w:p w14:paraId="746B0B13" w14:textId="6A5A7CFF" w:rsidR="00CB63D5" w:rsidRPr="00656258" w:rsidRDefault="002A2A05" w:rsidP="00CB63D5">
      <w:pPr>
        <w:spacing w:line="480" w:lineRule="auto"/>
        <w:rPr>
          <w:bCs/>
          <w:sz w:val="24"/>
        </w:rPr>
      </w:pPr>
      <w:r>
        <w:rPr>
          <w:bCs/>
          <w:sz w:val="24"/>
        </w:rPr>
        <w:t>H</w:t>
      </w:r>
      <w:r w:rsidR="00CB63D5" w:rsidRPr="00656258">
        <w:rPr>
          <w:bCs/>
          <w:sz w:val="24"/>
        </w:rPr>
        <w:t>istorians have tended to focus on two aspects of increased concentration</w:t>
      </w:r>
      <w:r w:rsidRPr="002A2A05">
        <w:rPr>
          <w:bCs/>
          <w:sz w:val="24"/>
        </w:rPr>
        <w:t xml:space="preserve"> </w:t>
      </w:r>
      <w:r>
        <w:rPr>
          <w:bCs/>
          <w:sz w:val="24"/>
        </w:rPr>
        <w:t xml:space="preserve">in </w:t>
      </w:r>
      <w:r w:rsidRPr="00656258">
        <w:rPr>
          <w:bCs/>
          <w:sz w:val="24"/>
        </w:rPr>
        <w:t xml:space="preserve">British </w:t>
      </w:r>
      <w:r>
        <w:rPr>
          <w:bCs/>
          <w:sz w:val="24"/>
        </w:rPr>
        <w:t xml:space="preserve">domestic </w:t>
      </w:r>
      <w:r w:rsidRPr="00656258">
        <w:rPr>
          <w:bCs/>
          <w:sz w:val="24"/>
        </w:rPr>
        <w:t>banking</w:t>
      </w:r>
      <w:r w:rsidR="00CB63D5" w:rsidRPr="00656258">
        <w:rPr>
          <w:bCs/>
          <w:sz w:val="24"/>
        </w:rPr>
        <w:t>: the potential negative impact on competition and customers, particularly small and medium-sized enterprises and innovative businesses;</w:t>
      </w:r>
      <w:r w:rsidR="00CB63D5" w:rsidRPr="00656258">
        <w:rPr>
          <w:bCs/>
          <w:sz w:val="24"/>
          <w:vertAlign w:val="superscript"/>
        </w:rPr>
        <w:t xml:space="preserve"> </w:t>
      </w:r>
      <w:r w:rsidR="00CB63D5" w:rsidRPr="00656258">
        <w:rPr>
          <w:bCs/>
          <w:sz w:val="24"/>
        </w:rPr>
        <w:t>and the potential positive impact on stability.</w:t>
      </w:r>
      <w:r w:rsidR="00CB63D5" w:rsidRPr="00656258">
        <w:rPr>
          <w:bCs/>
          <w:sz w:val="24"/>
          <w:vertAlign w:val="superscript"/>
        </w:rPr>
        <w:endnoteReference w:id="6"/>
      </w:r>
      <w:r w:rsidR="00CB63D5" w:rsidRPr="00656258">
        <w:rPr>
          <w:bCs/>
          <w:sz w:val="24"/>
        </w:rPr>
        <w:t xml:space="preserve"> The alleged failings, together with the failure of these banks, the Bank of England, and government to facilitate industrial restructuring, are central to some versions of the ‘declinist’ narrative on British economic history (Best and Humphries, 1986; Elbaum and Lazonick, 1984, 1986; Tomlinson, 2009). </w:t>
      </w:r>
      <w:r w:rsidR="00105C6C">
        <w:rPr>
          <w:bCs/>
          <w:sz w:val="24"/>
        </w:rPr>
        <w:t>Others contest t</w:t>
      </w:r>
      <w:r w:rsidR="00CB63D5" w:rsidRPr="00656258">
        <w:rPr>
          <w:bCs/>
          <w:sz w:val="24"/>
        </w:rPr>
        <w:t>hese claims</w:t>
      </w:r>
      <w:r w:rsidR="00105C6C">
        <w:rPr>
          <w:bCs/>
          <w:sz w:val="24"/>
        </w:rPr>
        <w:t xml:space="preserve"> and</w:t>
      </w:r>
      <w:r w:rsidR="00CB63D5" w:rsidRPr="00656258">
        <w:rPr>
          <w:bCs/>
          <w:sz w:val="24"/>
        </w:rPr>
        <w:t xml:space="preserve"> argue that these criticisms and the differences between British banks and those elsewhere, particularly in continental Europe, have been exaggerated, and that the banks could claim that their role in the provision of finance was expected to be limited</w:t>
      </w:r>
      <w:r w:rsidR="00CB63D5" w:rsidRPr="0034448B">
        <w:rPr>
          <w:sz w:val="24"/>
          <w:szCs w:val="24"/>
        </w:rPr>
        <w:t xml:space="preserve"> </w:t>
      </w:r>
      <w:r w:rsidR="00CB63D5">
        <w:rPr>
          <w:sz w:val="24"/>
          <w:szCs w:val="24"/>
        </w:rPr>
        <w:t>(</w:t>
      </w:r>
      <w:r w:rsidR="00CB63D5" w:rsidRPr="0034448B">
        <w:rPr>
          <w:bCs/>
          <w:sz w:val="24"/>
        </w:rPr>
        <w:t>Ackrill and Hannah</w:t>
      </w:r>
      <w:r>
        <w:rPr>
          <w:bCs/>
          <w:sz w:val="24"/>
        </w:rPr>
        <w:t>,</w:t>
      </w:r>
      <w:r w:rsidR="00F838F1">
        <w:rPr>
          <w:bCs/>
          <w:sz w:val="24"/>
        </w:rPr>
        <w:t xml:space="preserve"> </w:t>
      </w:r>
      <w:r w:rsidR="00CB63D5" w:rsidRPr="0034448B">
        <w:rPr>
          <w:bCs/>
          <w:sz w:val="24"/>
        </w:rPr>
        <w:t>2001</w:t>
      </w:r>
      <w:r w:rsidR="00242643">
        <w:rPr>
          <w:bCs/>
          <w:sz w:val="24"/>
        </w:rPr>
        <w:t>,</w:t>
      </w:r>
      <w:r w:rsidR="00F159BC">
        <w:rPr>
          <w:bCs/>
          <w:sz w:val="24"/>
        </w:rPr>
        <w:t xml:space="preserve"> </w:t>
      </w:r>
      <w:r w:rsidR="00CB63D5" w:rsidRPr="0034448B">
        <w:rPr>
          <w:bCs/>
          <w:sz w:val="24"/>
        </w:rPr>
        <w:t>93</w:t>
      </w:r>
      <w:r w:rsidR="00242643">
        <w:rPr>
          <w:bCs/>
          <w:sz w:val="24"/>
        </w:rPr>
        <w:t>–</w:t>
      </w:r>
      <w:r w:rsidR="00CB63D5" w:rsidRPr="0034448B">
        <w:rPr>
          <w:bCs/>
          <w:sz w:val="24"/>
        </w:rPr>
        <w:t>95; Collins</w:t>
      </w:r>
      <w:r>
        <w:rPr>
          <w:bCs/>
          <w:sz w:val="24"/>
        </w:rPr>
        <w:t>,</w:t>
      </w:r>
      <w:r w:rsidR="00CB63D5" w:rsidRPr="0034448B">
        <w:rPr>
          <w:bCs/>
          <w:sz w:val="24"/>
        </w:rPr>
        <w:t xml:space="preserve"> 1998; Newton</w:t>
      </w:r>
      <w:r>
        <w:rPr>
          <w:bCs/>
          <w:sz w:val="24"/>
        </w:rPr>
        <w:t>,</w:t>
      </w:r>
      <w:r w:rsidR="00CB63D5" w:rsidRPr="0034448B">
        <w:rPr>
          <w:bCs/>
          <w:sz w:val="24"/>
        </w:rPr>
        <w:t xml:space="preserve"> 2003; and Ross</w:t>
      </w:r>
      <w:r>
        <w:rPr>
          <w:bCs/>
          <w:sz w:val="24"/>
        </w:rPr>
        <w:t xml:space="preserve">, </w:t>
      </w:r>
      <w:r w:rsidR="00CB63D5" w:rsidRPr="0034448B">
        <w:rPr>
          <w:bCs/>
          <w:sz w:val="24"/>
        </w:rPr>
        <w:t>1990; 1996</w:t>
      </w:r>
      <w:r w:rsidR="00CB63D5">
        <w:rPr>
          <w:bCs/>
          <w:sz w:val="24"/>
        </w:rPr>
        <w:t>)</w:t>
      </w:r>
      <w:r w:rsidR="00CB63D5" w:rsidRPr="00656258">
        <w:rPr>
          <w:bCs/>
          <w:sz w:val="24"/>
        </w:rPr>
        <w:t>.</w:t>
      </w:r>
    </w:p>
    <w:p w14:paraId="7859DA4B" w14:textId="77777777" w:rsidR="00CB63D5" w:rsidRDefault="00CB63D5" w:rsidP="00CB63D5">
      <w:pPr>
        <w:spacing w:line="480" w:lineRule="auto"/>
        <w:rPr>
          <w:sz w:val="24"/>
          <w:szCs w:val="24"/>
        </w:rPr>
      </w:pPr>
    </w:p>
    <w:p w14:paraId="24C5F138" w14:textId="3FD860DD" w:rsidR="00D62888" w:rsidRPr="00D62888" w:rsidRDefault="002A2A05" w:rsidP="00D62888">
      <w:pPr>
        <w:spacing w:line="480" w:lineRule="auto"/>
        <w:rPr>
          <w:bCs/>
          <w:sz w:val="24"/>
          <w:szCs w:val="24"/>
        </w:rPr>
      </w:pPr>
      <w:r w:rsidRPr="002A2A05">
        <w:rPr>
          <w:bCs/>
          <w:sz w:val="24"/>
          <w:szCs w:val="24"/>
        </w:rPr>
        <w:t>The latter stages of th</w:t>
      </w:r>
      <w:r w:rsidR="00797938">
        <w:rPr>
          <w:bCs/>
          <w:sz w:val="24"/>
          <w:szCs w:val="24"/>
        </w:rPr>
        <w:t>e amalgamation</w:t>
      </w:r>
      <w:r w:rsidRPr="002A2A05">
        <w:rPr>
          <w:bCs/>
          <w:sz w:val="24"/>
          <w:szCs w:val="24"/>
        </w:rPr>
        <w:t xml:space="preserve"> process aroused popular fears of a ‘</w:t>
      </w:r>
      <w:r w:rsidR="003056BF">
        <w:rPr>
          <w:bCs/>
          <w:sz w:val="24"/>
          <w:szCs w:val="24"/>
        </w:rPr>
        <w:t>Money T</w:t>
      </w:r>
      <w:r w:rsidRPr="002A2A05">
        <w:rPr>
          <w:bCs/>
          <w:sz w:val="24"/>
          <w:szCs w:val="24"/>
        </w:rPr>
        <w:t>rust’</w:t>
      </w:r>
      <w:r w:rsidR="00D62888">
        <w:rPr>
          <w:bCs/>
          <w:sz w:val="24"/>
          <w:szCs w:val="24"/>
        </w:rPr>
        <w:t xml:space="preserve"> (i.e., the control of the financial system by elite interests, concentrated in an oligopoly made up of a small number of banks)</w:t>
      </w:r>
      <w:r w:rsidRPr="002A2A05">
        <w:rPr>
          <w:bCs/>
          <w:sz w:val="24"/>
          <w:szCs w:val="24"/>
        </w:rPr>
        <w:t>, partly influenced by debates on banking in the US following the 1907 financial crisis.</w:t>
      </w:r>
      <w:r w:rsidRPr="002A2A05">
        <w:rPr>
          <w:bCs/>
          <w:sz w:val="24"/>
          <w:szCs w:val="24"/>
          <w:vertAlign w:val="superscript"/>
        </w:rPr>
        <w:endnoteReference w:id="7"/>
      </w:r>
      <w:r w:rsidRPr="002A2A05">
        <w:rPr>
          <w:bCs/>
          <w:sz w:val="24"/>
          <w:szCs w:val="24"/>
        </w:rPr>
        <w:t xml:space="preserve"> </w:t>
      </w:r>
      <w:r w:rsidR="008F641D">
        <w:rPr>
          <w:bCs/>
          <w:sz w:val="24"/>
          <w:szCs w:val="24"/>
        </w:rPr>
        <w:t>E</w:t>
      </w:r>
      <w:r w:rsidR="00B560B9">
        <w:rPr>
          <w:bCs/>
          <w:sz w:val="24"/>
          <w:szCs w:val="24"/>
        </w:rPr>
        <w:t>xamin</w:t>
      </w:r>
      <w:r w:rsidR="008F641D">
        <w:rPr>
          <w:bCs/>
          <w:sz w:val="24"/>
          <w:szCs w:val="24"/>
        </w:rPr>
        <w:t xml:space="preserve">ation of </w:t>
      </w:r>
      <w:r w:rsidR="00D62888" w:rsidRPr="00553174">
        <w:rPr>
          <w:sz w:val="24"/>
        </w:rPr>
        <w:t xml:space="preserve">the trend in the </w:t>
      </w:r>
      <w:r w:rsidR="008F641D">
        <w:rPr>
          <w:sz w:val="24"/>
        </w:rPr>
        <w:t xml:space="preserve">UK </w:t>
      </w:r>
      <w:r w:rsidR="00B560B9">
        <w:rPr>
          <w:sz w:val="24"/>
        </w:rPr>
        <w:t xml:space="preserve">banking </w:t>
      </w:r>
      <w:r w:rsidR="00D62888" w:rsidRPr="00553174">
        <w:rPr>
          <w:sz w:val="24"/>
        </w:rPr>
        <w:t>population</w:t>
      </w:r>
      <w:r w:rsidR="008F641D">
        <w:rPr>
          <w:sz w:val="24"/>
        </w:rPr>
        <w:t xml:space="preserve"> offers some insight into</w:t>
      </w:r>
      <w:r w:rsidR="008F641D">
        <w:rPr>
          <w:bCs/>
          <w:sz w:val="24"/>
          <w:szCs w:val="24"/>
        </w:rPr>
        <w:t xml:space="preserve"> the reasonableness of this concern</w:t>
      </w:r>
      <w:r w:rsidR="00B560B9">
        <w:rPr>
          <w:sz w:val="24"/>
        </w:rPr>
        <w:t>.</w:t>
      </w:r>
      <w:r w:rsidR="00D62888" w:rsidRPr="00553174">
        <w:rPr>
          <w:sz w:val="24"/>
        </w:rPr>
        <w:t xml:space="preserve"> </w:t>
      </w:r>
      <w:r w:rsidR="00D62888">
        <w:rPr>
          <w:sz w:val="24"/>
        </w:rPr>
        <w:t xml:space="preserve">Figure 5 </w:t>
      </w:r>
      <w:r w:rsidR="00B560B9">
        <w:rPr>
          <w:sz w:val="24"/>
        </w:rPr>
        <w:t>shows</w:t>
      </w:r>
      <w:r w:rsidR="00D62888">
        <w:rPr>
          <w:sz w:val="24"/>
        </w:rPr>
        <w:t xml:space="preserve"> two fitted lines, one fitted to the real population, and the other to a linear trend line based on the consolidation rate in the population as a whole</w:t>
      </w:r>
      <w:r w:rsidR="00D62888" w:rsidRPr="00553174">
        <w:rPr>
          <w:sz w:val="24"/>
        </w:rPr>
        <w:t xml:space="preserve"> measured </w:t>
      </w:r>
      <w:r w:rsidR="00D62888" w:rsidRPr="00553174">
        <w:rPr>
          <w:sz w:val="24"/>
        </w:rPr>
        <w:lastRenderedPageBreak/>
        <w:t xml:space="preserve">from </w:t>
      </w:r>
      <w:r w:rsidR="00B560B9">
        <w:rPr>
          <w:sz w:val="24"/>
        </w:rPr>
        <w:t>its</w:t>
      </w:r>
      <w:r w:rsidR="00D62888" w:rsidRPr="00553174">
        <w:rPr>
          <w:sz w:val="24"/>
        </w:rPr>
        <w:t xml:space="preserve"> peak in 1810 to the point of the </w:t>
      </w:r>
      <w:r w:rsidR="00D62888">
        <w:rPr>
          <w:sz w:val="24"/>
        </w:rPr>
        <w:t>C</w:t>
      </w:r>
      <w:r w:rsidR="00D62888" w:rsidRPr="00553174">
        <w:rPr>
          <w:sz w:val="24"/>
        </w:rPr>
        <w:t>ommittee</w:t>
      </w:r>
      <w:r w:rsidR="00A23336">
        <w:rPr>
          <w:sz w:val="24"/>
        </w:rPr>
        <w:t>’</w:t>
      </w:r>
      <w:r w:rsidR="00D62888" w:rsidRPr="00553174">
        <w:rPr>
          <w:sz w:val="24"/>
        </w:rPr>
        <w:t>s deliberations in 1918</w:t>
      </w:r>
      <w:r w:rsidR="00BF1094">
        <w:rPr>
          <w:sz w:val="24"/>
        </w:rPr>
        <w:t>. This</w:t>
      </w:r>
      <w:r w:rsidR="00D62888" w:rsidRPr="00553174">
        <w:rPr>
          <w:sz w:val="24"/>
        </w:rPr>
        <w:t xml:space="preserve"> fitted linear trend line indicates that the population of UK banks would </w:t>
      </w:r>
      <w:r w:rsidR="00B560B9">
        <w:rPr>
          <w:sz w:val="24"/>
        </w:rPr>
        <w:t xml:space="preserve">have </w:t>
      </w:r>
      <w:r w:rsidR="00DD5F8F">
        <w:rPr>
          <w:sz w:val="24"/>
        </w:rPr>
        <w:t>become very small</w:t>
      </w:r>
      <w:r w:rsidR="00D62888" w:rsidRPr="00553174">
        <w:rPr>
          <w:sz w:val="24"/>
        </w:rPr>
        <w:t xml:space="preserve"> by the 1950s.</w:t>
      </w:r>
      <w:r w:rsidR="00D62888">
        <w:rPr>
          <w:sz w:val="24"/>
        </w:rPr>
        <w:t xml:space="preserve"> </w:t>
      </w:r>
      <w:r w:rsidR="00BF1094">
        <w:rPr>
          <w:sz w:val="24"/>
        </w:rPr>
        <w:t>T</w:t>
      </w:r>
      <w:r w:rsidR="00B560B9">
        <w:rPr>
          <w:sz w:val="24"/>
        </w:rPr>
        <w:t xml:space="preserve">his </w:t>
      </w:r>
      <w:r w:rsidR="00D62888">
        <w:rPr>
          <w:sz w:val="24"/>
        </w:rPr>
        <w:t xml:space="preserve">crude </w:t>
      </w:r>
      <w:r w:rsidR="00B560B9">
        <w:rPr>
          <w:sz w:val="24"/>
        </w:rPr>
        <w:t xml:space="preserve">counter-factual </w:t>
      </w:r>
      <w:r w:rsidR="00D62888">
        <w:rPr>
          <w:sz w:val="24"/>
        </w:rPr>
        <w:t xml:space="preserve">device does not </w:t>
      </w:r>
      <w:r w:rsidR="003056BF">
        <w:rPr>
          <w:sz w:val="24"/>
        </w:rPr>
        <w:t>‘</w:t>
      </w:r>
      <w:r w:rsidR="00D62888">
        <w:rPr>
          <w:sz w:val="24"/>
        </w:rPr>
        <w:t>predict</w:t>
      </w:r>
      <w:r w:rsidR="003056BF">
        <w:rPr>
          <w:sz w:val="24"/>
        </w:rPr>
        <w:t>’</w:t>
      </w:r>
      <w:r w:rsidR="00D62888">
        <w:rPr>
          <w:sz w:val="24"/>
        </w:rPr>
        <w:t xml:space="preserve"> what would have happened without </w:t>
      </w:r>
      <w:r w:rsidR="00A23336">
        <w:rPr>
          <w:sz w:val="24"/>
        </w:rPr>
        <w:t>the Committee</w:t>
      </w:r>
      <w:r w:rsidR="00BF1094">
        <w:rPr>
          <w:sz w:val="24"/>
        </w:rPr>
        <w:t>.</w:t>
      </w:r>
      <w:r w:rsidR="00105C6C">
        <w:rPr>
          <w:sz w:val="24"/>
        </w:rPr>
        <w:t xml:space="preserve"> R</w:t>
      </w:r>
      <w:r w:rsidR="00D62888">
        <w:rPr>
          <w:sz w:val="24"/>
        </w:rPr>
        <w:t>ather</w:t>
      </w:r>
      <w:r w:rsidR="00105C6C">
        <w:rPr>
          <w:sz w:val="24"/>
        </w:rPr>
        <w:t>,</w:t>
      </w:r>
      <w:r w:rsidR="00D62888">
        <w:rPr>
          <w:sz w:val="24"/>
        </w:rPr>
        <w:t xml:space="preserve"> it shows the </w:t>
      </w:r>
      <w:r w:rsidR="00105C6C">
        <w:rPr>
          <w:sz w:val="24"/>
        </w:rPr>
        <w:t xml:space="preserve">banking sector </w:t>
      </w:r>
      <w:r w:rsidR="00D62888">
        <w:rPr>
          <w:sz w:val="24"/>
        </w:rPr>
        <w:t xml:space="preserve">population demographic context which the Committee </w:t>
      </w:r>
      <w:r w:rsidR="00105C6C">
        <w:rPr>
          <w:sz w:val="24"/>
        </w:rPr>
        <w:t xml:space="preserve">faced </w:t>
      </w:r>
      <w:r w:rsidR="00D62888">
        <w:rPr>
          <w:sz w:val="24"/>
        </w:rPr>
        <w:t xml:space="preserve">–the trend </w:t>
      </w:r>
      <w:r w:rsidR="00BF1094">
        <w:rPr>
          <w:sz w:val="24"/>
        </w:rPr>
        <w:t xml:space="preserve">was </w:t>
      </w:r>
      <w:r w:rsidR="00D62888">
        <w:rPr>
          <w:sz w:val="24"/>
        </w:rPr>
        <w:t xml:space="preserve">towards continued consolidation through amalgamation </w:t>
      </w:r>
      <w:r w:rsidR="00105C6C" w:rsidRPr="00105C6C">
        <w:rPr>
          <w:sz w:val="24"/>
        </w:rPr>
        <w:t>–</w:t>
      </w:r>
      <w:r w:rsidR="00105C6C">
        <w:rPr>
          <w:sz w:val="24"/>
        </w:rPr>
        <w:t xml:space="preserve"> </w:t>
      </w:r>
      <w:r w:rsidR="00D62888">
        <w:rPr>
          <w:sz w:val="24"/>
        </w:rPr>
        <w:t xml:space="preserve">and that concerns about a </w:t>
      </w:r>
      <w:r w:rsidR="003056BF">
        <w:rPr>
          <w:sz w:val="24"/>
        </w:rPr>
        <w:t>‘M</w:t>
      </w:r>
      <w:r w:rsidR="00D62888">
        <w:rPr>
          <w:sz w:val="24"/>
        </w:rPr>
        <w:t xml:space="preserve">oney </w:t>
      </w:r>
      <w:r w:rsidR="003056BF">
        <w:rPr>
          <w:sz w:val="24"/>
        </w:rPr>
        <w:t>T</w:t>
      </w:r>
      <w:r w:rsidR="00D62888">
        <w:rPr>
          <w:sz w:val="24"/>
        </w:rPr>
        <w:t>rust</w:t>
      </w:r>
      <w:r w:rsidR="003056BF">
        <w:rPr>
          <w:sz w:val="24"/>
        </w:rPr>
        <w:t>’</w:t>
      </w:r>
      <w:r w:rsidR="00D62888">
        <w:rPr>
          <w:sz w:val="24"/>
        </w:rPr>
        <w:t xml:space="preserve"> were not unreasonable when viewed from th</w:t>
      </w:r>
      <w:r w:rsidR="00BF1094">
        <w:rPr>
          <w:sz w:val="24"/>
        </w:rPr>
        <w:t>is</w:t>
      </w:r>
      <w:r w:rsidR="00D62888">
        <w:rPr>
          <w:sz w:val="24"/>
        </w:rPr>
        <w:t xml:space="preserve"> perspective.</w:t>
      </w:r>
    </w:p>
    <w:p w14:paraId="58C3B707" w14:textId="77777777" w:rsidR="00D62888" w:rsidRDefault="00D62888" w:rsidP="00D62888">
      <w:pPr>
        <w:spacing w:line="480" w:lineRule="auto"/>
        <w:rPr>
          <w:sz w:val="24"/>
        </w:rPr>
      </w:pPr>
    </w:p>
    <w:p w14:paraId="67515E88" w14:textId="77777777" w:rsidR="00D62888" w:rsidRDefault="00D62888" w:rsidP="00D62888">
      <w:pPr>
        <w:spacing w:line="480" w:lineRule="auto"/>
        <w:rPr>
          <w:sz w:val="24"/>
        </w:rPr>
      </w:pPr>
      <w:r>
        <w:rPr>
          <w:sz w:val="24"/>
        </w:rPr>
        <w:t xml:space="preserve">INSERT FIGURE 5 </w:t>
      </w:r>
    </w:p>
    <w:p w14:paraId="0ABE831C" w14:textId="77777777" w:rsidR="008F641D" w:rsidRPr="008F641D" w:rsidRDefault="008F641D" w:rsidP="008F641D">
      <w:pPr>
        <w:spacing w:line="480" w:lineRule="auto"/>
        <w:rPr>
          <w:bCs/>
          <w:sz w:val="24"/>
          <w:szCs w:val="24"/>
        </w:rPr>
      </w:pPr>
    </w:p>
    <w:p w14:paraId="49B88DE1" w14:textId="77777777" w:rsidR="008F641D" w:rsidRPr="008F641D" w:rsidRDefault="008F641D" w:rsidP="008F641D">
      <w:pPr>
        <w:spacing w:line="480" w:lineRule="auto"/>
        <w:rPr>
          <w:b/>
          <w:bCs/>
          <w:sz w:val="28"/>
          <w:szCs w:val="28"/>
        </w:rPr>
      </w:pPr>
      <w:r w:rsidRPr="008F641D">
        <w:rPr>
          <w:b/>
          <w:bCs/>
          <w:sz w:val="28"/>
          <w:szCs w:val="28"/>
        </w:rPr>
        <w:t>The Committee</w:t>
      </w:r>
    </w:p>
    <w:p w14:paraId="01A66B30" w14:textId="77777777" w:rsidR="00D62888" w:rsidRDefault="00D62888" w:rsidP="002A2A05">
      <w:pPr>
        <w:spacing w:line="480" w:lineRule="auto"/>
        <w:rPr>
          <w:bCs/>
          <w:sz w:val="24"/>
          <w:szCs w:val="24"/>
        </w:rPr>
      </w:pPr>
    </w:p>
    <w:p w14:paraId="4F79618B" w14:textId="783B8D2F" w:rsidR="007B042E" w:rsidRDefault="002A2A05" w:rsidP="007655D6">
      <w:pPr>
        <w:spacing w:line="480" w:lineRule="auto"/>
        <w:rPr>
          <w:sz w:val="24"/>
          <w:szCs w:val="24"/>
        </w:rPr>
      </w:pPr>
      <w:r w:rsidRPr="002A2A05">
        <w:rPr>
          <w:bCs/>
          <w:sz w:val="24"/>
          <w:szCs w:val="24"/>
        </w:rPr>
        <w:t>Public and political disquiet</w:t>
      </w:r>
      <w:r w:rsidR="00D62888">
        <w:rPr>
          <w:bCs/>
          <w:sz w:val="24"/>
          <w:szCs w:val="24"/>
        </w:rPr>
        <w:t xml:space="preserve"> at the prospects of further consolidation in the sector</w:t>
      </w:r>
      <w:r w:rsidRPr="002A2A05">
        <w:rPr>
          <w:bCs/>
          <w:sz w:val="24"/>
          <w:szCs w:val="24"/>
        </w:rPr>
        <w:t xml:space="preserve"> led the government to appoint the Committee on 11 March 1918. </w:t>
      </w:r>
      <w:r w:rsidR="00797938" w:rsidRPr="002A2A05">
        <w:rPr>
          <w:bCs/>
          <w:sz w:val="24"/>
          <w:szCs w:val="24"/>
        </w:rPr>
        <w:t>The majority of the Committee</w:t>
      </w:r>
      <w:r w:rsidR="00797938">
        <w:rPr>
          <w:bCs/>
          <w:sz w:val="24"/>
          <w:szCs w:val="24"/>
        </w:rPr>
        <w:t>’s 12</w:t>
      </w:r>
      <w:r w:rsidR="00797938" w:rsidRPr="002A2A05">
        <w:rPr>
          <w:bCs/>
          <w:sz w:val="24"/>
          <w:szCs w:val="24"/>
        </w:rPr>
        <w:t xml:space="preserve"> members and </w:t>
      </w:r>
      <w:r w:rsidR="00797938">
        <w:rPr>
          <w:bCs/>
          <w:sz w:val="24"/>
          <w:szCs w:val="24"/>
        </w:rPr>
        <w:t xml:space="preserve">22 </w:t>
      </w:r>
      <w:r w:rsidR="00797938" w:rsidRPr="002A2A05">
        <w:rPr>
          <w:bCs/>
          <w:sz w:val="24"/>
          <w:szCs w:val="24"/>
        </w:rPr>
        <w:t xml:space="preserve">witnesses were elite bankers and businessmen. </w:t>
      </w:r>
      <w:r w:rsidR="007655D6" w:rsidRPr="002E6AA9">
        <w:rPr>
          <w:sz w:val="24"/>
          <w:szCs w:val="24"/>
        </w:rPr>
        <w:t xml:space="preserve">The chairman Lord Colwyn was a </w:t>
      </w:r>
      <w:r w:rsidR="007655D6">
        <w:rPr>
          <w:sz w:val="24"/>
          <w:szCs w:val="24"/>
        </w:rPr>
        <w:t>businessman and banker.</w:t>
      </w:r>
      <w:r w:rsidR="007655D6" w:rsidRPr="002E6AA9">
        <w:rPr>
          <w:sz w:val="24"/>
          <w:szCs w:val="24"/>
          <w:vertAlign w:val="superscript"/>
        </w:rPr>
        <w:endnoteReference w:id="8"/>
      </w:r>
      <w:r w:rsidR="007655D6">
        <w:rPr>
          <w:sz w:val="24"/>
          <w:szCs w:val="24"/>
        </w:rPr>
        <w:t xml:space="preserve"> O</w:t>
      </w:r>
      <w:r w:rsidR="007655D6" w:rsidRPr="002E6AA9">
        <w:rPr>
          <w:sz w:val="24"/>
          <w:szCs w:val="24"/>
        </w:rPr>
        <w:t xml:space="preserve">ther members included </w:t>
      </w:r>
      <w:r w:rsidR="007655D6">
        <w:rPr>
          <w:sz w:val="24"/>
          <w:szCs w:val="24"/>
        </w:rPr>
        <w:t>the Governor of the Bank of England, Lord Cunliffe, several bank chairmen or directors, a merchant banker, and several businessmen and industrialists (see Table 3)</w:t>
      </w:r>
      <w:r w:rsidR="007655D6" w:rsidRPr="002E6AA9">
        <w:rPr>
          <w:sz w:val="24"/>
          <w:szCs w:val="24"/>
        </w:rPr>
        <w:t>.</w:t>
      </w:r>
      <w:r w:rsidR="007655D6">
        <w:rPr>
          <w:sz w:val="24"/>
          <w:szCs w:val="24"/>
        </w:rPr>
        <w:t xml:space="preserve"> The witnesses were more mixed, with nine joint-stock bank directors, a variety of other representatives of the financial community, a handful of other businessmen of various types, two economists, one an academic and the other a civil servant, and, intriguingly, the Fabian socialist Sidney Webb (see </w:t>
      </w:r>
      <w:r w:rsidR="007655D6" w:rsidRPr="002E6AA9">
        <w:rPr>
          <w:sz w:val="24"/>
          <w:szCs w:val="24"/>
        </w:rPr>
        <w:t xml:space="preserve">Table </w:t>
      </w:r>
      <w:r w:rsidR="007655D6">
        <w:rPr>
          <w:sz w:val="24"/>
          <w:szCs w:val="24"/>
        </w:rPr>
        <w:t>4)</w:t>
      </w:r>
      <w:r w:rsidR="007655D6" w:rsidRPr="002E6AA9">
        <w:rPr>
          <w:sz w:val="24"/>
          <w:szCs w:val="24"/>
        </w:rPr>
        <w:t>.</w:t>
      </w:r>
      <w:r w:rsidR="007655D6">
        <w:rPr>
          <w:sz w:val="24"/>
          <w:szCs w:val="24"/>
        </w:rPr>
        <w:t xml:space="preserve"> The p</w:t>
      </w:r>
      <w:r w:rsidR="007655D6" w:rsidRPr="00C009B2">
        <w:rPr>
          <w:sz w:val="24"/>
          <w:szCs w:val="24"/>
        </w:rPr>
        <w:t xml:space="preserve">rocess by which witnesses </w:t>
      </w:r>
      <w:r w:rsidR="007655D6">
        <w:rPr>
          <w:sz w:val="24"/>
          <w:szCs w:val="24"/>
        </w:rPr>
        <w:t>were selected</w:t>
      </w:r>
      <w:r w:rsidR="007655D6" w:rsidRPr="00C009B2">
        <w:rPr>
          <w:sz w:val="24"/>
          <w:szCs w:val="24"/>
        </w:rPr>
        <w:t xml:space="preserve"> is </w:t>
      </w:r>
      <w:r w:rsidR="00105C6C">
        <w:rPr>
          <w:sz w:val="24"/>
          <w:szCs w:val="24"/>
        </w:rPr>
        <w:t>un</w:t>
      </w:r>
      <w:r w:rsidR="007655D6" w:rsidRPr="00C009B2">
        <w:rPr>
          <w:sz w:val="24"/>
          <w:szCs w:val="24"/>
        </w:rPr>
        <w:t>known</w:t>
      </w:r>
      <w:r w:rsidR="007655D6">
        <w:rPr>
          <w:sz w:val="24"/>
          <w:szCs w:val="24"/>
        </w:rPr>
        <w:t>.</w:t>
      </w:r>
      <w:r w:rsidR="007655D6">
        <w:rPr>
          <w:rStyle w:val="EndnoteReference"/>
          <w:sz w:val="24"/>
          <w:szCs w:val="24"/>
        </w:rPr>
        <w:endnoteReference w:id="9"/>
      </w:r>
      <w:r w:rsidR="007655D6" w:rsidRPr="00B54A4D">
        <w:rPr>
          <w:sz w:val="24"/>
          <w:szCs w:val="24"/>
        </w:rPr>
        <w:t xml:space="preserve"> </w:t>
      </w:r>
      <w:r w:rsidR="007655D6">
        <w:rPr>
          <w:sz w:val="24"/>
          <w:szCs w:val="24"/>
        </w:rPr>
        <w:t xml:space="preserve">The mix of Committee members and witnesses appears cosy and conflicted by modern standards. </w:t>
      </w:r>
      <w:r w:rsidR="007655D6" w:rsidRPr="00AB6E42">
        <w:rPr>
          <w:sz w:val="24"/>
          <w:szCs w:val="24"/>
        </w:rPr>
        <w:t xml:space="preserve">Several members (Cunliffe, Beckett, Gibbs) and witnesses (Addis, Farrer, Inchcape) </w:t>
      </w:r>
      <w:r w:rsidR="007655D6">
        <w:rPr>
          <w:sz w:val="24"/>
          <w:szCs w:val="24"/>
        </w:rPr>
        <w:t xml:space="preserve">were simultaneously </w:t>
      </w:r>
      <w:r w:rsidR="007655D6" w:rsidRPr="00AB6E42">
        <w:rPr>
          <w:sz w:val="24"/>
          <w:szCs w:val="24"/>
        </w:rPr>
        <w:t>s</w:t>
      </w:r>
      <w:r w:rsidR="007655D6">
        <w:rPr>
          <w:sz w:val="24"/>
          <w:szCs w:val="24"/>
        </w:rPr>
        <w:t>itting</w:t>
      </w:r>
      <w:r w:rsidR="007655D6" w:rsidRPr="00AB6E42">
        <w:rPr>
          <w:sz w:val="24"/>
          <w:szCs w:val="24"/>
        </w:rPr>
        <w:t xml:space="preserve"> </w:t>
      </w:r>
      <w:r w:rsidR="007655D6" w:rsidRPr="00AB6E42">
        <w:rPr>
          <w:sz w:val="24"/>
          <w:szCs w:val="24"/>
        </w:rPr>
        <w:lastRenderedPageBreak/>
        <w:t>together as members of the Committee</w:t>
      </w:r>
      <w:r w:rsidR="007655D6">
        <w:rPr>
          <w:sz w:val="24"/>
          <w:szCs w:val="24"/>
        </w:rPr>
        <w:t xml:space="preserve"> on Currency and Foreign Exchanges after the War, chaired by Cunliffe</w:t>
      </w:r>
      <w:r w:rsidR="007655D6" w:rsidRPr="00AB6E42">
        <w:rPr>
          <w:sz w:val="24"/>
          <w:szCs w:val="24"/>
        </w:rPr>
        <w:t>.</w:t>
      </w:r>
      <w:r w:rsidR="007655D6">
        <w:rPr>
          <w:rStyle w:val="EndnoteReference"/>
          <w:sz w:val="24"/>
          <w:szCs w:val="24"/>
        </w:rPr>
        <w:endnoteReference w:id="10"/>
      </w:r>
      <w:r w:rsidR="007655D6">
        <w:rPr>
          <w:sz w:val="24"/>
          <w:szCs w:val="24"/>
        </w:rPr>
        <w:t xml:space="preserve"> The witnesses Addis, Bell and Beaumont Pease were faced by their own bank chairmen (Keswick and Vassar-Smith) as members of the Committee.</w:t>
      </w:r>
      <w:r w:rsidR="007B042E">
        <w:rPr>
          <w:rStyle w:val="EndnoteReference"/>
          <w:sz w:val="24"/>
          <w:szCs w:val="24"/>
        </w:rPr>
        <w:endnoteReference w:id="11"/>
      </w:r>
    </w:p>
    <w:p w14:paraId="33C4AB4B" w14:textId="77777777" w:rsidR="007655D6" w:rsidRDefault="007655D6" w:rsidP="002A2A05">
      <w:pPr>
        <w:spacing w:line="480" w:lineRule="auto"/>
        <w:rPr>
          <w:bCs/>
          <w:sz w:val="24"/>
          <w:szCs w:val="24"/>
        </w:rPr>
      </w:pPr>
    </w:p>
    <w:p w14:paraId="028B7292" w14:textId="3CCCA6CE" w:rsidR="002A2A05" w:rsidRPr="002A2A05" w:rsidRDefault="002A2A05" w:rsidP="002A2A05">
      <w:pPr>
        <w:spacing w:line="480" w:lineRule="auto"/>
        <w:rPr>
          <w:bCs/>
          <w:sz w:val="24"/>
          <w:szCs w:val="24"/>
        </w:rPr>
      </w:pPr>
      <w:r w:rsidRPr="002A2A05">
        <w:rPr>
          <w:bCs/>
          <w:sz w:val="24"/>
          <w:szCs w:val="24"/>
        </w:rPr>
        <w:t xml:space="preserve">On 1 May 1918, the Committee published a short report, heavily influenced by the </w:t>
      </w:r>
      <w:r w:rsidR="00105C6C" w:rsidRPr="002A2A05">
        <w:rPr>
          <w:bCs/>
          <w:sz w:val="24"/>
          <w:szCs w:val="24"/>
        </w:rPr>
        <w:t>witnesses</w:t>
      </w:r>
      <w:r w:rsidR="00105C6C">
        <w:rPr>
          <w:bCs/>
          <w:sz w:val="24"/>
          <w:szCs w:val="24"/>
        </w:rPr>
        <w:t>’</w:t>
      </w:r>
      <w:r w:rsidR="00105C6C" w:rsidRPr="002A2A05">
        <w:rPr>
          <w:bCs/>
          <w:sz w:val="24"/>
          <w:szCs w:val="24"/>
        </w:rPr>
        <w:t xml:space="preserve"> </w:t>
      </w:r>
      <w:r w:rsidRPr="002A2A05">
        <w:rPr>
          <w:bCs/>
          <w:sz w:val="24"/>
          <w:szCs w:val="24"/>
        </w:rPr>
        <w:t xml:space="preserve">oral evidence. Although the report has been referred to widely in the historical literature, only a handful of scholars appear to have consulted the transcripts of evidence (Carnevali, 2005; Grossman, 1999; Kynaston, 1999; Sayers, 1976). One of these, Francesca Carnevali, characterised the Committee as follows: ‘financial interests set up the committee and shaped the direction of its investigation. Bankers were asked by bankers whether bank amalgamations should be allowed to continue’ (Carnevali, 2005, 19). </w:t>
      </w:r>
      <w:r w:rsidR="0095423A">
        <w:rPr>
          <w:bCs/>
          <w:sz w:val="24"/>
          <w:szCs w:val="24"/>
        </w:rPr>
        <w:t xml:space="preserve">Thus Carnevali effectively argues that the Colwyn </w:t>
      </w:r>
      <w:r w:rsidRPr="002A2A05">
        <w:rPr>
          <w:bCs/>
          <w:sz w:val="24"/>
          <w:szCs w:val="24"/>
        </w:rPr>
        <w:t>process</w:t>
      </w:r>
      <w:r w:rsidR="0095423A">
        <w:rPr>
          <w:bCs/>
          <w:sz w:val="24"/>
          <w:szCs w:val="24"/>
        </w:rPr>
        <w:t xml:space="preserve"> was fundamentally flawed, having been captured by banking interests</w:t>
      </w:r>
      <w:r w:rsidR="005B4608">
        <w:rPr>
          <w:bCs/>
          <w:sz w:val="24"/>
          <w:szCs w:val="24"/>
        </w:rPr>
        <w:t xml:space="preserve"> which would resist meaningful change</w:t>
      </w:r>
      <w:r w:rsidR="0095423A">
        <w:rPr>
          <w:bCs/>
          <w:sz w:val="24"/>
          <w:szCs w:val="24"/>
        </w:rPr>
        <w:t>.</w:t>
      </w:r>
      <w:r w:rsidRPr="002A2A05">
        <w:rPr>
          <w:bCs/>
          <w:sz w:val="24"/>
          <w:szCs w:val="24"/>
        </w:rPr>
        <w:t xml:space="preserve"> </w:t>
      </w:r>
      <w:r w:rsidR="005B4608">
        <w:rPr>
          <w:bCs/>
          <w:sz w:val="24"/>
          <w:szCs w:val="24"/>
        </w:rPr>
        <w:t>W</w:t>
      </w:r>
      <w:r w:rsidR="0095423A">
        <w:rPr>
          <w:bCs/>
          <w:sz w:val="24"/>
          <w:szCs w:val="24"/>
        </w:rPr>
        <w:t>e argue</w:t>
      </w:r>
      <w:r w:rsidR="005B4608">
        <w:rPr>
          <w:bCs/>
          <w:sz w:val="24"/>
          <w:szCs w:val="24"/>
        </w:rPr>
        <w:t xml:space="preserve">, however, </w:t>
      </w:r>
      <w:r w:rsidR="0095423A">
        <w:rPr>
          <w:bCs/>
          <w:sz w:val="24"/>
          <w:szCs w:val="24"/>
        </w:rPr>
        <w:t xml:space="preserve">that </w:t>
      </w:r>
      <w:r w:rsidR="000129C7">
        <w:rPr>
          <w:bCs/>
          <w:sz w:val="24"/>
          <w:szCs w:val="24"/>
        </w:rPr>
        <w:t xml:space="preserve">this interpretation </w:t>
      </w:r>
      <w:r w:rsidRPr="002A2A05">
        <w:rPr>
          <w:bCs/>
          <w:sz w:val="24"/>
          <w:szCs w:val="24"/>
        </w:rPr>
        <w:t>fail</w:t>
      </w:r>
      <w:r w:rsidR="000129C7">
        <w:rPr>
          <w:bCs/>
          <w:sz w:val="24"/>
          <w:szCs w:val="24"/>
        </w:rPr>
        <w:t>s</w:t>
      </w:r>
      <w:r w:rsidRPr="002A2A05">
        <w:rPr>
          <w:bCs/>
          <w:sz w:val="24"/>
          <w:szCs w:val="24"/>
        </w:rPr>
        <w:t xml:space="preserve"> to</w:t>
      </w:r>
      <w:r w:rsidR="000129C7">
        <w:rPr>
          <w:bCs/>
          <w:sz w:val="24"/>
          <w:szCs w:val="24"/>
        </w:rPr>
        <w:t xml:space="preserve"> </w:t>
      </w:r>
      <w:r w:rsidRPr="002A2A05">
        <w:rPr>
          <w:bCs/>
          <w:sz w:val="24"/>
          <w:szCs w:val="24"/>
        </w:rPr>
        <w:t xml:space="preserve">acknowledge the many insights the evidence </w:t>
      </w:r>
      <w:r w:rsidR="00797938">
        <w:rPr>
          <w:bCs/>
          <w:sz w:val="24"/>
          <w:szCs w:val="24"/>
        </w:rPr>
        <w:t>offers</w:t>
      </w:r>
      <w:r w:rsidRPr="002A2A05">
        <w:rPr>
          <w:bCs/>
          <w:sz w:val="24"/>
          <w:szCs w:val="24"/>
        </w:rPr>
        <w:t xml:space="preserve"> on the nature and structure of </w:t>
      </w:r>
      <w:r w:rsidR="00797938" w:rsidRPr="002A2A05">
        <w:rPr>
          <w:bCs/>
          <w:sz w:val="24"/>
          <w:szCs w:val="24"/>
        </w:rPr>
        <w:t xml:space="preserve">contemporary </w:t>
      </w:r>
      <w:r w:rsidRPr="002A2A05">
        <w:rPr>
          <w:bCs/>
          <w:sz w:val="24"/>
          <w:szCs w:val="24"/>
        </w:rPr>
        <w:t>banking and the British financial system more generally</w:t>
      </w:r>
      <w:r w:rsidR="005B4608">
        <w:rPr>
          <w:bCs/>
          <w:sz w:val="24"/>
          <w:szCs w:val="24"/>
        </w:rPr>
        <w:t>, as well as the outcome of the Committee</w:t>
      </w:r>
      <w:r w:rsidRPr="002A2A05">
        <w:rPr>
          <w:bCs/>
          <w:sz w:val="24"/>
          <w:szCs w:val="24"/>
        </w:rPr>
        <w:t>.</w:t>
      </w:r>
    </w:p>
    <w:p w14:paraId="02F788E1" w14:textId="77777777" w:rsidR="00CB63D5" w:rsidRPr="00CD6BA3" w:rsidRDefault="00CB63D5" w:rsidP="00CB63D5">
      <w:pPr>
        <w:spacing w:line="480" w:lineRule="auto"/>
        <w:rPr>
          <w:sz w:val="24"/>
          <w:szCs w:val="24"/>
        </w:rPr>
      </w:pPr>
    </w:p>
    <w:p w14:paraId="6D4AC726" w14:textId="77777777" w:rsidR="00CB63D5" w:rsidRPr="00CD6BA3" w:rsidRDefault="00CB63D5" w:rsidP="00CB63D5">
      <w:pPr>
        <w:spacing w:line="480" w:lineRule="auto"/>
        <w:rPr>
          <w:sz w:val="24"/>
          <w:szCs w:val="24"/>
        </w:rPr>
      </w:pPr>
      <w:r w:rsidRPr="00CD6BA3">
        <w:rPr>
          <w:sz w:val="24"/>
          <w:szCs w:val="24"/>
        </w:rPr>
        <w:t xml:space="preserve">INSERT TABLES </w:t>
      </w:r>
      <w:r>
        <w:rPr>
          <w:sz w:val="24"/>
          <w:szCs w:val="24"/>
        </w:rPr>
        <w:t>3</w:t>
      </w:r>
      <w:r w:rsidRPr="00CD6BA3">
        <w:rPr>
          <w:sz w:val="24"/>
          <w:szCs w:val="24"/>
        </w:rPr>
        <w:t xml:space="preserve"> AND </w:t>
      </w:r>
      <w:r>
        <w:rPr>
          <w:sz w:val="24"/>
          <w:szCs w:val="24"/>
        </w:rPr>
        <w:t>4</w:t>
      </w:r>
      <w:r w:rsidRPr="00CD6BA3">
        <w:rPr>
          <w:sz w:val="24"/>
          <w:szCs w:val="24"/>
        </w:rPr>
        <w:t xml:space="preserve"> HERE</w:t>
      </w:r>
    </w:p>
    <w:p w14:paraId="086F5B54" w14:textId="77777777" w:rsidR="00CB63D5" w:rsidRDefault="00CB63D5" w:rsidP="00CB63D5">
      <w:pPr>
        <w:spacing w:line="480" w:lineRule="auto"/>
        <w:rPr>
          <w:bCs/>
          <w:sz w:val="24"/>
          <w:szCs w:val="24"/>
        </w:rPr>
      </w:pPr>
    </w:p>
    <w:p w14:paraId="330F69A0" w14:textId="15161532" w:rsidR="00CB63D5" w:rsidRDefault="00797938" w:rsidP="00CB63D5">
      <w:pPr>
        <w:spacing w:line="480" w:lineRule="auto"/>
        <w:rPr>
          <w:sz w:val="24"/>
          <w:szCs w:val="24"/>
          <w:lang w:val="en-US"/>
        </w:rPr>
      </w:pPr>
      <w:r>
        <w:rPr>
          <w:sz w:val="24"/>
          <w:szCs w:val="24"/>
        </w:rPr>
        <w:t>T</w:t>
      </w:r>
      <w:r w:rsidR="00CB63D5" w:rsidRPr="00304996">
        <w:rPr>
          <w:sz w:val="24"/>
          <w:szCs w:val="24"/>
        </w:rPr>
        <w:t xml:space="preserve">he </w:t>
      </w:r>
      <w:r w:rsidR="00CB63D5">
        <w:rPr>
          <w:sz w:val="24"/>
          <w:szCs w:val="24"/>
        </w:rPr>
        <w:t>C</w:t>
      </w:r>
      <w:r w:rsidR="00CB63D5" w:rsidRPr="00304996">
        <w:rPr>
          <w:sz w:val="24"/>
          <w:szCs w:val="24"/>
        </w:rPr>
        <w:t>ommittee</w:t>
      </w:r>
      <w:r>
        <w:rPr>
          <w:sz w:val="24"/>
          <w:szCs w:val="24"/>
        </w:rPr>
        <w:t>’s</w:t>
      </w:r>
      <w:r w:rsidR="00CB63D5">
        <w:rPr>
          <w:sz w:val="24"/>
          <w:szCs w:val="24"/>
        </w:rPr>
        <w:t xml:space="preserve"> report noted that it</w:t>
      </w:r>
      <w:r w:rsidR="00CB63D5" w:rsidRPr="00304996">
        <w:rPr>
          <w:sz w:val="24"/>
          <w:szCs w:val="24"/>
        </w:rPr>
        <w:t xml:space="preserve"> was ‘… forced to the conclusion that the possible dangers resulting from further large amalgamations are material enough to outweigh the arguments against Government interference … and some measure of Government control is essential’</w:t>
      </w:r>
      <w:r w:rsidR="00CB63D5">
        <w:rPr>
          <w:sz w:val="24"/>
          <w:szCs w:val="24"/>
        </w:rPr>
        <w:t xml:space="preserve"> (</w:t>
      </w:r>
      <w:r w:rsidR="00CB63D5" w:rsidRPr="00A7749B">
        <w:rPr>
          <w:sz w:val="24"/>
          <w:szCs w:val="24"/>
        </w:rPr>
        <w:t xml:space="preserve">Treasury Committee on Bank Amalgamations, </w:t>
      </w:r>
      <w:r w:rsidR="00CB63D5" w:rsidRPr="00A7749B">
        <w:rPr>
          <w:sz w:val="24"/>
          <w:szCs w:val="24"/>
        </w:rPr>
        <w:lastRenderedPageBreak/>
        <w:t>1918, 7</w:t>
      </w:r>
      <w:r w:rsidR="00CB63D5">
        <w:rPr>
          <w:sz w:val="24"/>
          <w:szCs w:val="24"/>
        </w:rPr>
        <w:t>)</w:t>
      </w:r>
      <w:r w:rsidR="00CB63D5" w:rsidRPr="00304996">
        <w:rPr>
          <w:sz w:val="24"/>
          <w:szCs w:val="24"/>
        </w:rPr>
        <w:t>.</w:t>
      </w:r>
      <w:r w:rsidR="00CB63D5">
        <w:rPr>
          <w:sz w:val="24"/>
          <w:szCs w:val="24"/>
        </w:rPr>
        <w:t xml:space="preserve"> </w:t>
      </w:r>
      <w:r w:rsidR="00CB63D5" w:rsidRPr="00304996">
        <w:rPr>
          <w:sz w:val="24"/>
          <w:szCs w:val="24"/>
        </w:rPr>
        <w:t xml:space="preserve">The Joint Stock Banks (Amalgamation Control) Bill was drafted </w:t>
      </w:r>
      <w:r w:rsidR="00CB63D5">
        <w:rPr>
          <w:sz w:val="24"/>
          <w:szCs w:val="24"/>
        </w:rPr>
        <w:t xml:space="preserve">in 1919 </w:t>
      </w:r>
      <w:r w:rsidR="00CB63D5" w:rsidRPr="00304996">
        <w:rPr>
          <w:sz w:val="24"/>
          <w:szCs w:val="24"/>
        </w:rPr>
        <w:t>to require government approval for future changes of ownership and control in banking, but no</w:t>
      </w:r>
      <w:r w:rsidR="00CB63D5">
        <w:rPr>
          <w:sz w:val="24"/>
          <w:szCs w:val="24"/>
        </w:rPr>
        <w:t xml:space="preserve"> legislation</w:t>
      </w:r>
      <w:r w:rsidR="00CB63D5" w:rsidRPr="00304996">
        <w:rPr>
          <w:sz w:val="24"/>
          <w:szCs w:val="24"/>
        </w:rPr>
        <w:t xml:space="preserve"> was passed.</w:t>
      </w:r>
      <w:r w:rsidR="00CB63D5" w:rsidRPr="00304996">
        <w:rPr>
          <w:sz w:val="24"/>
          <w:szCs w:val="24"/>
          <w:vertAlign w:val="superscript"/>
        </w:rPr>
        <w:endnoteReference w:id="12"/>
      </w:r>
      <w:r w:rsidR="00CB63D5" w:rsidRPr="00304996">
        <w:rPr>
          <w:sz w:val="24"/>
          <w:szCs w:val="24"/>
        </w:rPr>
        <w:t xml:space="preserve"> </w:t>
      </w:r>
      <w:r w:rsidR="007B042E">
        <w:rPr>
          <w:sz w:val="24"/>
          <w:szCs w:val="24"/>
        </w:rPr>
        <w:t>However,</w:t>
      </w:r>
      <w:r w:rsidR="007B042E" w:rsidRPr="00304996">
        <w:rPr>
          <w:sz w:val="24"/>
          <w:szCs w:val="24"/>
        </w:rPr>
        <w:t xml:space="preserve"> </w:t>
      </w:r>
      <w:r w:rsidR="00CB63D5">
        <w:rPr>
          <w:sz w:val="24"/>
          <w:szCs w:val="24"/>
        </w:rPr>
        <w:t xml:space="preserve">the mechanism proposed in the draft Bill was introduced on a non-statutory basis: </w:t>
      </w:r>
      <w:r w:rsidR="00CB63D5" w:rsidRPr="00304996">
        <w:rPr>
          <w:sz w:val="24"/>
          <w:szCs w:val="24"/>
        </w:rPr>
        <w:t>an Advisory Committee on Bank Amalgamations was appointed</w:t>
      </w:r>
      <w:r w:rsidR="00CB63D5" w:rsidRPr="00A326E1">
        <w:rPr>
          <w:sz w:val="24"/>
          <w:szCs w:val="24"/>
          <w:lang w:val="en-US"/>
        </w:rPr>
        <w:t xml:space="preserve"> </w:t>
      </w:r>
      <w:r w:rsidR="00CB63D5">
        <w:rPr>
          <w:sz w:val="24"/>
          <w:szCs w:val="24"/>
          <w:lang w:val="en-US"/>
        </w:rPr>
        <w:t xml:space="preserve">in May 1919 by the </w:t>
      </w:r>
      <w:r w:rsidR="00CB63D5" w:rsidRPr="00A326E1">
        <w:rPr>
          <w:sz w:val="24"/>
          <w:szCs w:val="24"/>
          <w:lang w:val="en-US"/>
        </w:rPr>
        <w:t>Chancellor</w:t>
      </w:r>
      <w:r w:rsidR="00CB63D5">
        <w:rPr>
          <w:sz w:val="24"/>
          <w:szCs w:val="24"/>
          <w:lang w:val="en-US"/>
        </w:rPr>
        <w:t xml:space="preserve"> of the Exchequer, Andrew </w:t>
      </w:r>
      <w:r w:rsidR="00CB63D5" w:rsidRPr="00A326E1">
        <w:rPr>
          <w:sz w:val="24"/>
          <w:szCs w:val="24"/>
          <w:lang w:val="en-US"/>
        </w:rPr>
        <w:t>Bonar Law</w:t>
      </w:r>
      <w:r w:rsidR="00CB63D5">
        <w:rPr>
          <w:sz w:val="24"/>
          <w:szCs w:val="24"/>
          <w:lang w:val="en-US"/>
        </w:rPr>
        <w:t xml:space="preserve">. This committee had two members: </w:t>
      </w:r>
      <w:r w:rsidR="00CB63D5" w:rsidRPr="00304996">
        <w:rPr>
          <w:sz w:val="24"/>
          <w:szCs w:val="24"/>
        </w:rPr>
        <w:t xml:space="preserve">Colwyn </w:t>
      </w:r>
      <w:r w:rsidR="00CB63D5" w:rsidRPr="00A326E1">
        <w:rPr>
          <w:sz w:val="24"/>
          <w:szCs w:val="24"/>
          <w:lang w:val="en-US"/>
        </w:rPr>
        <w:t>(as ‘commercial representative’</w:t>
      </w:r>
      <w:r w:rsidR="00CB63D5">
        <w:rPr>
          <w:sz w:val="24"/>
          <w:szCs w:val="24"/>
          <w:lang w:val="en-US"/>
        </w:rPr>
        <w:t xml:space="preserve">) </w:t>
      </w:r>
      <w:r w:rsidR="00CB63D5" w:rsidRPr="00304996">
        <w:rPr>
          <w:sz w:val="24"/>
          <w:szCs w:val="24"/>
        </w:rPr>
        <w:t>and Lord Inchcape, a shipping magnate</w:t>
      </w:r>
      <w:r w:rsidR="00D93C34">
        <w:rPr>
          <w:sz w:val="24"/>
          <w:szCs w:val="24"/>
        </w:rPr>
        <w:t>,</w:t>
      </w:r>
      <w:r w:rsidR="00CB63D5" w:rsidRPr="00304996">
        <w:rPr>
          <w:sz w:val="24"/>
          <w:szCs w:val="24"/>
        </w:rPr>
        <w:t xml:space="preserve"> director of </w:t>
      </w:r>
      <w:r w:rsidR="00CB63D5">
        <w:rPr>
          <w:sz w:val="24"/>
          <w:szCs w:val="24"/>
        </w:rPr>
        <w:t>one</w:t>
      </w:r>
      <w:r w:rsidR="00CB63D5" w:rsidRPr="00304996">
        <w:rPr>
          <w:sz w:val="24"/>
          <w:szCs w:val="24"/>
        </w:rPr>
        <w:t xml:space="preserve"> of the Big Five, the National Provincial</w:t>
      </w:r>
      <w:r w:rsidR="00CB63D5">
        <w:rPr>
          <w:sz w:val="24"/>
          <w:szCs w:val="24"/>
        </w:rPr>
        <w:t xml:space="preserve">, and witness to the Committee </w:t>
      </w:r>
      <w:r w:rsidR="00CB63D5">
        <w:rPr>
          <w:sz w:val="24"/>
          <w:szCs w:val="24"/>
          <w:lang w:val="en-US"/>
        </w:rPr>
        <w:t>(</w:t>
      </w:r>
      <w:r w:rsidR="00CB63D5" w:rsidRPr="00A326E1">
        <w:rPr>
          <w:sz w:val="24"/>
          <w:szCs w:val="24"/>
          <w:lang w:val="en-US"/>
        </w:rPr>
        <w:t>as ‘banking representative’</w:t>
      </w:r>
      <w:r w:rsidR="00CB63D5">
        <w:rPr>
          <w:sz w:val="24"/>
          <w:szCs w:val="24"/>
          <w:lang w:val="en-US"/>
        </w:rPr>
        <w:t>)</w:t>
      </w:r>
      <w:r w:rsidR="00CB63D5" w:rsidRPr="00304996">
        <w:rPr>
          <w:sz w:val="24"/>
          <w:szCs w:val="24"/>
        </w:rPr>
        <w:t>.</w:t>
      </w:r>
      <w:r w:rsidR="00CB63D5" w:rsidRPr="00304996">
        <w:rPr>
          <w:sz w:val="24"/>
          <w:szCs w:val="24"/>
          <w:vertAlign w:val="superscript"/>
        </w:rPr>
        <w:endnoteReference w:id="13"/>
      </w:r>
      <w:r w:rsidR="00CB63D5" w:rsidRPr="00304996">
        <w:rPr>
          <w:sz w:val="24"/>
          <w:szCs w:val="24"/>
        </w:rPr>
        <w:t xml:space="preserve"> </w:t>
      </w:r>
      <w:r w:rsidR="00CB63D5">
        <w:rPr>
          <w:sz w:val="24"/>
          <w:szCs w:val="24"/>
        </w:rPr>
        <w:t xml:space="preserve">The Committee witness Sir James Hope </w:t>
      </w:r>
      <w:r w:rsidR="00CB63D5" w:rsidRPr="00304996">
        <w:rPr>
          <w:sz w:val="24"/>
          <w:szCs w:val="24"/>
        </w:rPr>
        <w:t xml:space="preserve">Simpson </w:t>
      </w:r>
      <w:r w:rsidR="00CB63D5" w:rsidRPr="00304996">
        <w:rPr>
          <w:sz w:val="24"/>
          <w:szCs w:val="24"/>
          <w:lang w:val="en-US"/>
        </w:rPr>
        <w:t xml:space="preserve">appears to have provided the idea for </w:t>
      </w:r>
      <w:r w:rsidR="00CB63D5">
        <w:rPr>
          <w:sz w:val="24"/>
          <w:szCs w:val="24"/>
          <w:lang w:val="en-US"/>
        </w:rPr>
        <w:t>this advisory committee</w:t>
      </w:r>
      <w:r w:rsidR="00CB63D5" w:rsidRPr="00304996">
        <w:rPr>
          <w:sz w:val="24"/>
          <w:szCs w:val="24"/>
          <w:lang w:val="en-US"/>
        </w:rPr>
        <w:t xml:space="preserve"> when he advocated ‘a confidential body’ to judge amalgamations on merits </w:t>
      </w:r>
      <w:r w:rsidR="00CB63D5">
        <w:rPr>
          <w:sz w:val="24"/>
          <w:szCs w:val="24"/>
          <w:lang w:val="en-US"/>
        </w:rPr>
        <w:t>rather than</w:t>
      </w:r>
      <w:r w:rsidR="00CB63D5" w:rsidRPr="00304996">
        <w:rPr>
          <w:sz w:val="24"/>
          <w:szCs w:val="24"/>
          <w:lang w:val="en-US"/>
        </w:rPr>
        <w:t xml:space="preserve"> b</w:t>
      </w:r>
      <w:r w:rsidR="00CB63D5">
        <w:rPr>
          <w:sz w:val="24"/>
          <w:szCs w:val="24"/>
          <w:lang w:val="en-US"/>
        </w:rPr>
        <w:t xml:space="preserve">y rules. </w:t>
      </w:r>
    </w:p>
    <w:p w14:paraId="7153FD3B" w14:textId="77777777" w:rsidR="00CB63D5" w:rsidRDefault="00CB63D5" w:rsidP="00CB63D5">
      <w:pPr>
        <w:spacing w:line="480" w:lineRule="auto"/>
        <w:rPr>
          <w:sz w:val="24"/>
          <w:szCs w:val="24"/>
        </w:rPr>
      </w:pPr>
    </w:p>
    <w:p w14:paraId="2AE7CBDB" w14:textId="003AC731" w:rsidR="00CB63D5" w:rsidRDefault="0006655A" w:rsidP="00CB63D5">
      <w:pPr>
        <w:spacing w:line="480" w:lineRule="auto"/>
        <w:rPr>
          <w:sz w:val="24"/>
          <w:szCs w:val="24"/>
        </w:rPr>
      </w:pPr>
      <w:r>
        <w:rPr>
          <w:sz w:val="24"/>
          <w:szCs w:val="24"/>
        </w:rPr>
        <w:t>Despite</w:t>
      </w:r>
      <w:r w:rsidR="00CB63D5" w:rsidRPr="00545A04">
        <w:rPr>
          <w:sz w:val="24"/>
          <w:szCs w:val="24"/>
        </w:rPr>
        <w:t xml:space="preserve"> the failure to legislate on amalgamations, official opinion was resolutely opposed to further domestic expansion by the Big Five and amalgamations between members of the London Clearing House</w:t>
      </w:r>
      <w:r w:rsidR="00CB63D5">
        <w:rPr>
          <w:sz w:val="24"/>
          <w:szCs w:val="24"/>
        </w:rPr>
        <w:t>,</w:t>
      </w:r>
      <w:r w:rsidR="00CB63D5">
        <w:rPr>
          <w:sz w:val="24"/>
        </w:rPr>
        <w:t xml:space="preserve"> and official policy thwarted various transactions, although several amalgamations in progress when the Committee was appointed were allowed without intervention</w:t>
      </w:r>
      <w:r w:rsidR="00CB63D5" w:rsidRPr="00545A04">
        <w:rPr>
          <w:sz w:val="24"/>
          <w:szCs w:val="24"/>
        </w:rPr>
        <w:t>.</w:t>
      </w:r>
      <w:r w:rsidR="00CB63D5" w:rsidRPr="00545A04">
        <w:rPr>
          <w:sz w:val="24"/>
          <w:szCs w:val="24"/>
          <w:vertAlign w:val="superscript"/>
        </w:rPr>
        <w:endnoteReference w:id="14"/>
      </w:r>
      <w:r w:rsidR="00CB63D5" w:rsidRPr="00545A04">
        <w:rPr>
          <w:sz w:val="24"/>
          <w:szCs w:val="24"/>
        </w:rPr>
        <w:t xml:space="preserve"> </w:t>
      </w:r>
      <w:r w:rsidR="00CB63D5">
        <w:rPr>
          <w:sz w:val="24"/>
        </w:rPr>
        <w:t>Nevertheless, t</w:t>
      </w:r>
      <w:r w:rsidR="00CB63D5" w:rsidRPr="00545A04">
        <w:rPr>
          <w:sz w:val="24"/>
          <w:szCs w:val="24"/>
        </w:rPr>
        <w:t xml:space="preserve">he keenness of two of the Big Five, Barclays and Lloyds, to test the boundaries of the restrictions </w:t>
      </w:r>
      <w:r w:rsidR="00CB63D5">
        <w:rPr>
          <w:sz w:val="24"/>
          <w:szCs w:val="24"/>
        </w:rPr>
        <w:t>greatly</w:t>
      </w:r>
      <w:r w:rsidR="00CB63D5" w:rsidRPr="00545A04">
        <w:rPr>
          <w:sz w:val="24"/>
          <w:szCs w:val="24"/>
        </w:rPr>
        <w:t xml:space="preserve"> irritat</w:t>
      </w:r>
      <w:r w:rsidR="00CB63D5">
        <w:rPr>
          <w:sz w:val="24"/>
          <w:szCs w:val="24"/>
        </w:rPr>
        <w:t>ed</w:t>
      </w:r>
      <w:r w:rsidR="00CB63D5" w:rsidRPr="00545A04">
        <w:rPr>
          <w:sz w:val="24"/>
          <w:szCs w:val="24"/>
        </w:rPr>
        <w:t xml:space="preserve"> </w:t>
      </w:r>
      <w:r w:rsidR="00CB63D5">
        <w:rPr>
          <w:sz w:val="24"/>
          <w:szCs w:val="24"/>
        </w:rPr>
        <w:t xml:space="preserve">Cunliffe’s successor, Montagu </w:t>
      </w:r>
      <w:r w:rsidR="00CB63D5" w:rsidRPr="00545A04">
        <w:rPr>
          <w:sz w:val="24"/>
          <w:szCs w:val="24"/>
        </w:rPr>
        <w:t>Norman</w:t>
      </w:r>
      <w:r w:rsidR="00CB63D5">
        <w:rPr>
          <w:sz w:val="24"/>
          <w:szCs w:val="24"/>
        </w:rPr>
        <w:t>, who</w:t>
      </w:r>
      <w:r w:rsidR="00CB63D5" w:rsidRPr="00545A04">
        <w:rPr>
          <w:sz w:val="24"/>
          <w:szCs w:val="24"/>
        </w:rPr>
        <w:t xml:space="preserve"> was particularly concerned about the possibility of contagion from their </w:t>
      </w:r>
      <w:r w:rsidR="00CB63D5">
        <w:rPr>
          <w:sz w:val="24"/>
          <w:szCs w:val="24"/>
        </w:rPr>
        <w:t xml:space="preserve">expanding </w:t>
      </w:r>
      <w:r w:rsidR="00CB63D5" w:rsidRPr="00545A04">
        <w:rPr>
          <w:sz w:val="24"/>
          <w:szCs w:val="24"/>
        </w:rPr>
        <w:t>international activities.</w:t>
      </w:r>
      <w:r w:rsidR="00CB63D5" w:rsidRPr="00545A04">
        <w:rPr>
          <w:sz w:val="24"/>
          <w:szCs w:val="24"/>
          <w:vertAlign w:val="superscript"/>
        </w:rPr>
        <w:endnoteReference w:id="15"/>
      </w:r>
      <w:r w:rsidR="00CB63D5">
        <w:rPr>
          <w:sz w:val="24"/>
          <w:szCs w:val="24"/>
        </w:rPr>
        <w:t xml:space="preserve"> </w:t>
      </w:r>
    </w:p>
    <w:p w14:paraId="7B6C2E22" w14:textId="77777777" w:rsidR="00AB14BB" w:rsidRDefault="00AB14BB" w:rsidP="00CB63D5">
      <w:pPr>
        <w:spacing w:line="480" w:lineRule="auto"/>
        <w:rPr>
          <w:sz w:val="24"/>
          <w:szCs w:val="24"/>
        </w:rPr>
      </w:pPr>
    </w:p>
    <w:p w14:paraId="03E7CB4A" w14:textId="623DA82A" w:rsidR="00CB63D5" w:rsidRDefault="00CB63D5" w:rsidP="00CB63D5">
      <w:pPr>
        <w:spacing w:line="480" w:lineRule="auto"/>
        <w:rPr>
          <w:b/>
          <w:sz w:val="28"/>
          <w:szCs w:val="28"/>
        </w:rPr>
      </w:pPr>
      <w:r>
        <w:rPr>
          <w:b/>
          <w:sz w:val="28"/>
          <w:szCs w:val="28"/>
        </w:rPr>
        <w:t xml:space="preserve">The Evidence </w:t>
      </w:r>
    </w:p>
    <w:p w14:paraId="6E6E7C52" w14:textId="77777777" w:rsidR="00CB63D5" w:rsidRPr="00D2765A" w:rsidRDefault="00CB63D5" w:rsidP="00CB63D5">
      <w:pPr>
        <w:spacing w:line="480" w:lineRule="auto"/>
        <w:rPr>
          <w:sz w:val="24"/>
        </w:rPr>
      </w:pPr>
    </w:p>
    <w:p w14:paraId="1FA43699" w14:textId="0E767265" w:rsidR="00CB63D5" w:rsidRDefault="00CB63D5" w:rsidP="00CB63D5">
      <w:pPr>
        <w:spacing w:line="480" w:lineRule="auto"/>
        <w:rPr>
          <w:bCs/>
          <w:sz w:val="24"/>
        </w:rPr>
      </w:pPr>
      <w:r w:rsidRPr="00D2765A">
        <w:rPr>
          <w:sz w:val="24"/>
        </w:rPr>
        <w:t xml:space="preserve">Many of the questions on which the Committee heard evidence, such as the relationship between competition and financial stability and the merits of geographic </w:t>
      </w:r>
      <w:r w:rsidRPr="00D2765A">
        <w:rPr>
          <w:sz w:val="24"/>
        </w:rPr>
        <w:lastRenderedPageBreak/>
        <w:t>spread, continue to attract the interest of economists.</w:t>
      </w:r>
      <w:r w:rsidRPr="00D2765A">
        <w:rPr>
          <w:sz w:val="24"/>
          <w:vertAlign w:val="superscript"/>
        </w:rPr>
        <w:endnoteReference w:id="16"/>
      </w:r>
      <w:r>
        <w:rPr>
          <w:sz w:val="24"/>
        </w:rPr>
        <w:t xml:space="preserve"> </w:t>
      </w:r>
      <w:r w:rsidRPr="00B424AC">
        <w:rPr>
          <w:bCs/>
          <w:sz w:val="24"/>
        </w:rPr>
        <w:t xml:space="preserve">Witnesses ranged beyond the Committee’s terms of reference in </w:t>
      </w:r>
      <w:r>
        <w:rPr>
          <w:bCs/>
          <w:sz w:val="24"/>
        </w:rPr>
        <w:t>the breadth</w:t>
      </w:r>
      <w:r w:rsidRPr="00B424AC">
        <w:rPr>
          <w:bCs/>
          <w:sz w:val="24"/>
        </w:rPr>
        <w:t xml:space="preserve"> of issues</w:t>
      </w:r>
      <w:r>
        <w:rPr>
          <w:bCs/>
          <w:sz w:val="24"/>
        </w:rPr>
        <w:t xml:space="preserve"> they addressed</w:t>
      </w:r>
      <w:r w:rsidRPr="00B424AC">
        <w:rPr>
          <w:bCs/>
          <w:sz w:val="24"/>
        </w:rPr>
        <w:t xml:space="preserve">: the implications of amalgamations for customers large and small, from local to international; the size and number of banks needed to ensure effective competition; the impact of amalgamations on branch networks; their impact on capital levels in banking, and hence financial stability; the belief of some witnesses that British banks needed to amalgamate in order to compete with other large international banks; the implications of amalgamations for the state, including pressures to assume a larger role in banking, to intervene in the affairs of struggling banks, and the possible nationalisation of banks; and comparisons between the British financial system and those of </w:t>
      </w:r>
      <w:r>
        <w:rPr>
          <w:bCs/>
          <w:sz w:val="24"/>
        </w:rPr>
        <w:t xml:space="preserve">other countries, notably </w:t>
      </w:r>
      <w:r w:rsidRPr="00B424AC">
        <w:rPr>
          <w:bCs/>
          <w:sz w:val="24"/>
        </w:rPr>
        <w:t xml:space="preserve">Germany, the US and Canada. </w:t>
      </w:r>
      <w:r w:rsidR="00BF1094">
        <w:rPr>
          <w:bCs/>
          <w:sz w:val="24"/>
        </w:rPr>
        <w:t>W</w:t>
      </w:r>
      <w:r>
        <w:rPr>
          <w:bCs/>
          <w:sz w:val="24"/>
        </w:rPr>
        <w:t xml:space="preserve">e address these issues </w:t>
      </w:r>
      <w:r w:rsidR="00BF1094">
        <w:rPr>
          <w:bCs/>
          <w:sz w:val="24"/>
        </w:rPr>
        <w:t>below</w:t>
      </w:r>
      <w:r>
        <w:rPr>
          <w:bCs/>
          <w:sz w:val="24"/>
        </w:rPr>
        <w:t>.</w:t>
      </w:r>
    </w:p>
    <w:p w14:paraId="79CF5921" w14:textId="77777777" w:rsidR="00CB63D5" w:rsidRDefault="00CB63D5" w:rsidP="00CB63D5">
      <w:pPr>
        <w:spacing w:line="480" w:lineRule="auto"/>
        <w:rPr>
          <w:bCs/>
          <w:sz w:val="24"/>
        </w:rPr>
      </w:pPr>
    </w:p>
    <w:p w14:paraId="229B471E" w14:textId="77777777" w:rsidR="00CB63D5" w:rsidRPr="00DF007A" w:rsidRDefault="00CB63D5" w:rsidP="00CB63D5">
      <w:pPr>
        <w:spacing w:line="480" w:lineRule="auto"/>
        <w:rPr>
          <w:b/>
          <w:bCs/>
          <w:i/>
          <w:sz w:val="24"/>
        </w:rPr>
      </w:pPr>
      <w:r w:rsidRPr="00DF007A">
        <w:rPr>
          <w:b/>
          <w:bCs/>
          <w:i/>
          <w:sz w:val="24"/>
        </w:rPr>
        <w:t>The rationale for bank amalgamations</w:t>
      </w:r>
    </w:p>
    <w:p w14:paraId="3A0414C1" w14:textId="77777777" w:rsidR="00CB63D5" w:rsidRPr="003E75B2" w:rsidRDefault="00CB63D5" w:rsidP="00CB63D5">
      <w:pPr>
        <w:spacing w:line="480" w:lineRule="auto"/>
        <w:rPr>
          <w:bCs/>
          <w:sz w:val="24"/>
        </w:rPr>
      </w:pPr>
    </w:p>
    <w:p w14:paraId="499CF532" w14:textId="12C022FF" w:rsidR="00CB63D5" w:rsidRPr="003E75B2" w:rsidRDefault="00CB63D5" w:rsidP="00CB63D5">
      <w:pPr>
        <w:spacing w:line="480" w:lineRule="auto"/>
        <w:rPr>
          <w:bCs/>
          <w:sz w:val="24"/>
        </w:rPr>
      </w:pPr>
      <w:r w:rsidRPr="003E75B2">
        <w:rPr>
          <w:bCs/>
          <w:sz w:val="24"/>
        </w:rPr>
        <w:t>Banking literature identifies offensive and defensive motivations in banking mergers and acquisitions.</w:t>
      </w:r>
      <w:r>
        <w:rPr>
          <w:bCs/>
          <w:sz w:val="24"/>
        </w:rPr>
        <w:t xml:space="preserve"> Foremost among these is that amalgamations offer the </w:t>
      </w:r>
      <w:r w:rsidRPr="003E75B2">
        <w:rPr>
          <w:bCs/>
          <w:sz w:val="24"/>
        </w:rPr>
        <w:t xml:space="preserve">easiest way </w:t>
      </w:r>
      <w:r>
        <w:rPr>
          <w:bCs/>
          <w:sz w:val="24"/>
        </w:rPr>
        <w:t>to expand</w:t>
      </w:r>
      <w:r w:rsidRPr="003E75B2">
        <w:rPr>
          <w:bCs/>
          <w:sz w:val="24"/>
        </w:rPr>
        <w:t xml:space="preserve"> geographical coverage and establish branch networks</w:t>
      </w:r>
      <w:r>
        <w:rPr>
          <w:bCs/>
          <w:sz w:val="24"/>
        </w:rPr>
        <w:t xml:space="preserve"> (</w:t>
      </w:r>
      <w:r w:rsidRPr="0012723B">
        <w:rPr>
          <w:bCs/>
          <w:sz w:val="24"/>
        </w:rPr>
        <w:t>Dymski, 2012, 572</w:t>
      </w:r>
      <w:r>
        <w:rPr>
          <w:bCs/>
          <w:sz w:val="24"/>
        </w:rPr>
        <w:t>)</w:t>
      </w:r>
      <w:r w:rsidRPr="003E75B2">
        <w:rPr>
          <w:bCs/>
          <w:sz w:val="24"/>
        </w:rPr>
        <w:t xml:space="preserve">. This view is consistent with the suggestion that </w:t>
      </w:r>
      <w:r w:rsidR="00433802">
        <w:rPr>
          <w:bCs/>
          <w:sz w:val="24"/>
        </w:rPr>
        <w:t>British</w:t>
      </w:r>
      <w:r w:rsidR="00BF1094">
        <w:rPr>
          <w:bCs/>
          <w:sz w:val="24"/>
        </w:rPr>
        <w:t xml:space="preserve"> </w:t>
      </w:r>
      <w:r w:rsidRPr="003E75B2">
        <w:rPr>
          <w:bCs/>
          <w:sz w:val="24"/>
        </w:rPr>
        <w:t>banks found amalgamation an advantageous way to expand</w:t>
      </w:r>
      <w:r>
        <w:rPr>
          <w:bCs/>
          <w:sz w:val="24"/>
        </w:rPr>
        <w:t xml:space="preserve"> (</w:t>
      </w:r>
      <w:r w:rsidRPr="0012723B">
        <w:rPr>
          <w:bCs/>
          <w:sz w:val="24"/>
        </w:rPr>
        <w:t>Garnett, Mollan, and Bentley, 2015</w:t>
      </w:r>
      <w:r>
        <w:rPr>
          <w:bCs/>
          <w:sz w:val="24"/>
        </w:rPr>
        <w:t>)</w:t>
      </w:r>
      <w:r w:rsidRPr="003E75B2">
        <w:rPr>
          <w:bCs/>
          <w:sz w:val="24"/>
        </w:rPr>
        <w:t xml:space="preserve">. </w:t>
      </w:r>
      <w:r>
        <w:rPr>
          <w:bCs/>
          <w:sz w:val="24"/>
        </w:rPr>
        <w:t xml:space="preserve">The literature considers amalgamations as broadly acceptable if the banking </w:t>
      </w:r>
      <w:r w:rsidRPr="003E75B2">
        <w:rPr>
          <w:bCs/>
          <w:sz w:val="24"/>
        </w:rPr>
        <w:t xml:space="preserve">market </w:t>
      </w:r>
      <w:r>
        <w:rPr>
          <w:bCs/>
          <w:sz w:val="24"/>
        </w:rPr>
        <w:t xml:space="preserve">remains </w:t>
      </w:r>
      <w:r w:rsidRPr="003E75B2">
        <w:rPr>
          <w:bCs/>
          <w:sz w:val="24"/>
        </w:rPr>
        <w:t>contestable</w:t>
      </w:r>
      <w:r>
        <w:rPr>
          <w:bCs/>
          <w:sz w:val="24"/>
        </w:rPr>
        <w:t xml:space="preserve"> and </w:t>
      </w:r>
      <w:r w:rsidRPr="003E75B2">
        <w:rPr>
          <w:bCs/>
          <w:sz w:val="24"/>
        </w:rPr>
        <w:t xml:space="preserve">stability </w:t>
      </w:r>
      <w:r>
        <w:rPr>
          <w:bCs/>
          <w:sz w:val="24"/>
        </w:rPr>
        <w:t>is preserved (</w:t>
      </w:r>
      <w:r w:rsidRPr="0012723B">
        <w:rPr>
          <w:bCs/>
          <w:sz w:val="24"/>
        </w:rPr>
        <w:t>Dymski, 2012</w:t>
      </w:r>
      <w:r>
        <w:rPr>
          <w:bCs/>
          <w:sz w:val="24"/>
        </w:rPr>
        <w:t>).</w:t>
      </w:r>
    </w:p>
    <w:p w14:paraId="25776B23" w14:textId="77777777" w:rsidR="00CB63D5" w:rsidRPr="001D7C07" w:rsidRDefault="00CB63D5" w:rsidP="00CB63D5">
      <w:pPr>
        <w:spacing w:line="480" w:lineRule="auto"/>
        <w:rPr>
          <w:sz w:val="24"/>
        </w:rPr>
      </w:pPr>
    </w:p>
    <w:p w14:paraId="7155EDBC" w14:textId="700B3D4B" w:rsidR="00CB63D5" w:rsidRPr="00A94008" w:rsidRDefault="00CB63D5" w:rsidP="00CB63D5">
      <w:pPr>
        <w:spacing w:line="480" w:lineRule="auto"/>
        <w:rPr>
          <w:sz w:val="24"/>
        </w:rPr>
      </w:pPr>
      <w:r>
        <w:rPr>
          <w:sz w:val="24"/>
          <w:lang w:val="en-US"/>
        </w:rPr>
        <w:t>For the most part t</w:t>
      </w:r>
      <w:r w:rsidRPr="005768C6">
        <w:rPr>
          <w:sz w:val="24"/>
          <w:lang w:val="en-US"/>
        </w:rPr>
        <w:t xml:space="preserve">he </w:t>
      </w:r>
      <w:r w:rsidR="003658AF">
        <w:rPr>
          <w:sz w:val="24"/>
          <w:lang w:val="en-US"/>
        </w:rPr>
        <w:t xml:space="preserve">evidence of the Committee’s </w:t>
      </w:r>
      <w:r w:rsidRPr="005768C6">
        <w:rPr>
          <w:sz w:val="24"/>
          <w:lang w:val="en-US"/>
        </w:rPr>
        <w:t xml:space="preserve">banking witnesses </w:t>
      </w:r>
      <w:r w:rsidR="003658AF">
        <w:rPr>
          <w:sz w:val="24"/>
          <w:lang w:val="en-US"/>
        </w:rPr>
        <w:t xml:space="preserve">is consistent with this literature. These witnesses </w:t>
      </w:r>
      <w:r>
        <w:rPr>
          <w:sz w:val="24"/>
          <w:lang w:val="en-US"/>
        </w:rPr>
        <w:t>favoured</w:t>
      </w:r>
      <w:r w:rsidRPr="005768C6">
        <w:rPr>
          <w:sz w:val="24"/>
          <w:lang w:val="en-US"/>
        </w:rPr>
        <w:t xml:space="preserve"> amalgamations</w:t>
      </w:r>
      <w:r>
        <w:rPr>
          <w:sz w:val="24"/>
          <w:lang w:val="en-US"/>
        </w:rPr>
        <w:t xml:space="preserve"> and saw no reason to </w:t>
      </w:r>
      <w:r>
        <w:rPr>
          <w:sz w:val="24"/>
          <w:lang w:val="en-US"/>
        </w:rPr>
        <w:lastRenderedPageBreak/>
        <w:t>make them more difficult</w:t>
      </w:r>
      <w:r w:rsidRPr="005768C6">
        <w:rPr>
          <w:sz w:val="24"/>
          <w:lang w:val="en-US"/>
        </w:rPr>
        <w:t>.</w:t>
      </w:r>
      <w:r w:rsidRPr="00691C03">
        <w:rPr>
          <w:sz w:val="24"/>
          <w:lang w:val="en-US"/>
        </w:rPr>
        <w:t xml:space="preserve"> </w:t>
      </w:r>
      <w:r>
        <w:rPr>
          <w:sz w:val="24"/>
          <w:lang w:val="en-US"/>
        </w:rPr>
        <w:t>Ford Darling</w:t>
      </w:r>
      <w:r w:rsidRPr="00691C03">
        <w:rPr>
          <w:sz w:val="24"/>
          <w:lang w:val="en-US"/>
        </w:rPr>
        <w:t xml:space="preserve"> suggested several motives for the</w:t>
      </w:r>
      <w:r>
        <w:rPr>
          <w:sz w:val="24"/>
          <w:lang w:val="en-US"/>
        </w:rPr>
        <w:t xml:space="preserve"> proposed</w:t>
      </w:r>
      <w:r w:rsidRPr="00691C03">
        <w:rPr>
          <w:sz w:val="24"/>
          <w:lang w:val="en-US"/>
        </w:rPr>
        <w:t xml:space="preserve"> merger </w:t>
      </w:r>
      <w:r>
        <w:rPr>
          <w:sz w:val="24"/>
          <w:lang w:val="en-US"/>
        </w:rPr>
        <w:t xml:space="preserve">of his own bank </w:t>
      </w:r>
      <w:r w:rsidRPr="00691C03">
        <w:rPr>
          <w:sz w:val="24"/>
          <w:lang w:val="en-US"/>
        </w:rPr>
        <w:t>with the London</w:t>
      </w:r>
      <w:r>
        <w:rPr>
          <w:sz w:val="24"/>
          <w:lang w:val="en-US"/>
        </w:rPr>
        <w:t>,</w:t>
      </w:r>
      <w:r w:rsidRPr="00691C03">
        <w:rPr>
          <w:sz w:val="24"/>
          <w:lang w:val="en-US"/>
        </w:rPr>
        <w:t xml:space="preserve"> City and Midland: its lack of geographical spread, its under-representation in industrial centres, the cost of opening branches, and its lack of foreign business and infrastructure to support it.</w:t>
      </w:r>
      <w:r>
        <w:rPr>
          <w:sz w:val="24"/>
          <w:lang w:val="en-US"/>
        </w:rPr>
        <w:t xml:space="preserve"> </w:t>
      </w:r>
      <w:r w:rsidRPr="00FE6E50">
        <w:rPr>
          <w:sz w:val="24"/>
          <w:lang w:val="en-US"/>
        </w:rPr>
        <w:t>Hambling</w:t>
      </w:r>
      <w:r>
        <w:rPr>
          <w:sz w:val="24"/>
          <w:lang w:val="en-US"/>
        </w:rPr>
        <w:t xml:space="preserve"> considered it </w:t>
      </w:r>
      <w:r w:rsidRPr="00FE6E50">
        <w:rPr>
          <w:sz w:val="24"/>
          <w:lang w:val="en-US"/>
        </w:rPr>
        <w:t xml:space="preserve">easier </w:t>
      </w:r>
      <w:r>
        <w:rPr>
          <w:sz w:val="24"/>
          <w:lang w:val="en-US"/>
        </w:rPr>
        <w:t xml:space="preserve">for a bank </w:t>
      </w:r>
      <w:r w:rsidRPr="00FE6E50">
        <w:rPr>
          <w:sz w:val="24"/>
          <w:lang w:val="en-US"/>
        </w:rPr>
        <w:t>to amalgamate with a</w:t>
      </w:r>
      <w:r>
        <w:rPr>
          <w:sz w:val="24"/>
          <w:lang w:val="en-US"/>
        </w:rPr>
        <w:t>nother</w:t>
      </w:r>
      <w:r w:rsidRPr="00FE6E50">
        <w:rPr>
          <w:sz w:val="24"/>
          <w:lang w:val="en-US"/>
        </w:rPr>
        <w:t xml:space="preserve"> than </w:t>
      </w:r>
      <w:r>
        <w:rPr>
          <w:sz w:val="24"/>
          <w:lang w:val="en-US"/>
        </w:rPr>
        <w:t>to establish new branches</w:t>
      </w:r>
      <w:r w:rsidRPr="00FE6E50">
        <w:rPr>
          <w:sz w:val="24"/>
          <w:lang w:val="en-US"/>
        </w:rPr>
        <w:t>.</w:t>
      </w:r>
      <w:r>
        <w:rPr>
          <w:sz w:val="24"/>
          <w:lang w:val="en-US"/>
        </w:rPr>
        <w:t xml:space="preserve"> </w:t>
      </w:r>
      <w:r w:rsidRPr="00732A02">
        <w:rPr>
          <w:sz w:val="24"/>
          <w:lang w:val="en-US"/>
        </w:rPr>
        <w:t xml:space="preserve">Drummond Fraser believed that amalgamations offered the possibility of economies of scale and supported those that did not involve </w:t>
      </w:r>
      <w:r w:rsidR="00F76098">
        <w:rPr>
          <w:sz w:val="24"/>
          <w:lang w:val="en-US"/>
        </w:rPr>
        <w:t xml:space="preserve">geographical </w:t>
      </w:r>
      <w:r w:rsidRPr="00732A02">
        <w:rPr>
          <w:sz w:val="24"/>
          <w:lang w:val="en-US"/>
        </w:rPr>
        <w:t>overlaps of branches</w:t>
      </w:r>
      <w:r w:rsidR="00F76098">
        <w:rPr>
          <w:sz w:val="24"/>
          <w:lang w:val="en-US"/>
        </w:rPr>
        <w:t xml:space="preserve"> or</w:t>
      </w:r>
      <w:r w:rsidRPr="00732A02">
        <w:rPr>
          <w:sz w:val="24"/>
          <w:lang w:val="en-US"/>
        </w:rPr>
        <w:t xml:space="preserve"> decrease the ratio of paid-up capital to deposits. </w:t>
      </w:r>
      <w:r>
        <w:rPr>
          <w:sz w:val="24"/>
          <w:lang w:val="en-US"/>
        </w:rPr>
        <w:t xml:space="preserve">The non-banker </w:t>
      </w:r>
      <w:r w:rsidRPr="00A94008">
        <w:rPr>
          <w:sz w:val="24"/>
          <w:lang w:val="en-US"/>
        </w:rPr>
        <w:t>Cowdray felt that bigger banks were able to draw on larger pools of management talent.</w:t>
      </w:r>
      <w:r>
        <w:rPr>
          <w:sz w:val="24"/>
          <w:lang w:val="en-US"/>
        </w:rPr>
        <w:t xml:space="preserve"> Other justifications for amalgamations are considered below.</w:t>
      </w:r>
    </w:p>
    <w:p w14:paraId="088E4534" w14:textId="77777777" w:rsidR="00CB63D5" w:rsidRDefault="00CB63D5" w:rsidP="00CB63D5">
      <w:pPr>
        <w:spacing w:line="480" w:lineRule="auto"/>
        <w:rPr>
          <w:sz w:val="24"/>
        </w:rPr>
      </w:pPr>
    </w:p>
    <w:p w14:paraId="550191C3" w14:textId="0CE218AC" w:rsidR="00CB63D5" w:rsidRPr="00D2765A" w:rsidRDefault="00CB63D5" w:rsidP="00CB63D5">
      <w:pPr>
        <w:spacing w:line="480" w:lineRule="auto"/>
        <w:rPr>
          <w:sz w:val="24"/>
        </w:rPr>
      </w:pPr>
      <w:r>
        <w:rPr>
          <w:sz w:val="24"/>
        </w:rPr>
        <w:t xml:space="preserve">The </w:t>
      </w:r>
      <w:r w:rsidRPr="00B424AC">
        <w:rPr>
          <w:sz w:val="24"/>
        </w:rPr>
        <w:t>Committee</w:t>
      </w:r>
      <w:r>
        <w:rPr>
          <w:sz w:val="24"/>
        </w:rPr>
        <w:t>’s report</w:t>
      </w:r>
      <w:r w:rsidRPr="00B424AC">
        <w:rPr>
          <w:sz w:val="24"/>
        </w:rPr>
        <w:t xml:space="preserve"> focused heavily on the changing nature of amalgamations</w:t>
      </w:r>
      <w:r>
        <w:rPr>
          <w:sz w:val="24"/>
        </w:rPr>
        <w:t xml:space="preserve">, adopting a distinction made principally by </w:t>
      </w:r>
      <w:r w:rsidR="003658AF">
        <w:rPr>
          <w:sz w:val="24"/>
        </w:rPr>
        <w:t xml:space="preserve">the economist </w:t>
      </w:r>
      <w:r>
        <w:rPr>
          <w:sz w:val="24"/>
        </w:rPr>
        <w:t xml:space="preserve">Foxwell. He </w:t>
      </w:r>
      <w:r w:rsidRPr="00D2765A">
        <w:rPr>
          <w:sz w:val="24"/>
        </w:rPr>
        <w:t>identified three types:</w:t>
      </w:r>
      <w:r>
        <w:rPr>
          <w:sz w:val="24"/>
        </w:rPr>
        <w:t xml:space="preserve"> those between </w:t>
      </w:r>
      <w:r w:rsidRPr="00D2765A">
        <w:rPr>
          <w:sz w:val="24"/>
        </w:rPr>
        <w:t>small unit banks within regions</w:t>
      </w:r>
      <w:r>
        <w:rPr>
          <w:sz w:val="24"/>
        </w:rPr>
        <w:t xml:space="preserve">, which he saw </w:t>
      </w:r>
      <w:r w:rsidRPr="00D2765A">
        <w:rPr>
          <w:sz w:val="24"/>
        </w:rPr>
        <w:t>as positive in t</w:t>
      </w:r>
      <w:r>
        <w:rPr>
          <w:sz w:val="24"/>
        </w:rPr>
        <w:t xml:space="preserve">erms of risk-spreading; those between </w:t>
      </w:r>
      <w:r w:rsidRPr="00D2765A">
        <w:rPr>
          <w:sz w:val="24"/>
        </w:rPr>
        <w:t xml:space="preserve">larger banks (possibly </w:t>
      </w:r>
      <w:r>
        <w:rPr>
          <w:sz w:val="24"/>
        </w:rPr>
        <w:t>c</w:t>
      </w:r>
      <w:r w:rsidRPr="00D2765A">
        <w:rPr>
          <w:sz w:val="24"/>
        </w:rPr>
        <w:t>reated thr</w:t>
      </w:r>
      <w:r>
        <w:rPr>
          <w:sz w:val="24"/>
        </w:rPr>
        <w:t>ough the previous type</w:t>
      </w:r>
      <w:r w:rsidRPr="00D2765A">
        <w:rPr>
          <w:sz w:val="24"/>
        </w:rPr>
        <w:t xml:space="preserve">) </w:t>
      </w:r>
      <w:r>
        <w:rPr>
          <w:sz w:val="24"/>
        </w:rPr>
        <w:t xml:space="preserve">in different </w:t>
      </w:r>
      <w:r w:rsidRPr="00D2765A">
        <w:rPr>
          <w:sz w:val="24"/>
        </w:rPr>
        <w:t>regions to achieve ‘national’ coverage</w:t>
      </w:r>
      <w:r>
        <w:rPr>
          <w:sz w:val="24"/>
        </w:rPr>
        <w:t>, which he</w:t>
      </w:r>
      <w:r w:rsidRPr="00D2765A">
        <w:rPr>
          <w:sz w:val="24"/>
        </w:rPr>
        <w:t xml:space="preserve"> again </w:t>
      </w:r>
      <w:r w:rsidR="00F76098">
        <w:rPr>
          <w:sz w:val="24"/>
        </w:rPr>
        <w:t>favoured as</w:t>
      </w:r>
      <w:r w:rsidRPr="00D2765A">
        <w:rPr>
          <w:sz w:val="24"/>
        </w:rPr>
        <w:t xml:space="preserve"> spreading risk geographically</w:t>
      </w:r>
      <w:r>
        <w:rPr>
          <w:sz w:val="24"/>
        </w:rPr>
        <w:t xml:space="preserve"> and </w:t>
      </w:r>
      <w:r w:rsidRPr="00D2765A">
        <w:rPr>
          <w:sz w:val="24"/>
        </w:rPr>
        <w:t>by industry of borrower</w:t>
      </w:r>
      <w:r>
        <w:rPr>
          <w:sz w:val="24"/>
        </w:rPr>
        <w:t xml:space="preserve">; and finally those </w:t>
      </w:r>
      <w:r w:rsidRPr="00D2765A">
        <w:rPr>
          <w:sz w:val="24"/>
        </w:rPr>
        <w:t>of already-large banks with some degree of national coverage</w:t>
      </w:r>
      <w:r>
        <w:rPr>
          <w:sz w:val="24"/>
        </w:rPr>
        <w:t>, which he saw</w:t>
      </w:r>
      <w:r w:rsidRPr="00D2765A">
        <w:rPr>
          <w:sz w:val="24"/>
        </w:rPr>
        <w:t xml:space="preserve"> negatively as reducing competition.</w:t>
      </w:r>
    </w:p>
    <w:p w14:paraId="3841D6AF" w14:textId="77777777" w:rsidR="00CB63D5" w:rsidRPr="00280981" w:rsidRDefault="00CB63D5" w:rsidP="00CB63D5">
      <w:pPr>
        <w:spacing w:line="480" w:lineRule="auto"/>
        <w:rPr>
          <w:sz w:val="24"/>
        </w:rPr>
      </w:pPr>
    </w:p>
    <w:p w14:paraId="50D5C02E" w14:textId="77777777" w:rsidR="00CB63D5" w:rsidRPr="00280981" w:rsidRDefault="00CB63D5" w:rsidP="00CB63D5">
      <w:pPr>
        <w:spacing w:line="480" w:lineRule="auto"/>
        <w:rPr>
          <w:b/>
          <w:i/>
          <w:sz w:val="24"/>
        </w:rPr>
      </w:pPr>
      <w:r w:rsidRPr="00280981">
        <w:rPr>
          <w:b/>
          <w:i/>
          <w:sz w:val="24"/>
        </w:rPr>
        <w:t>The need for big banks</w:t>
      </w:r>
    </w:p>
    <w:p w14:paraId="333A7EED" w14:textId="77777777" w:rsidR="00CB63D5" w:rsidRDefault="00CB63D5" w:rsidP="00CB63D5">
      <w:pPr>
        <w:spacing w:line="480" w:lineRule="auto"/>
        <w:rPr>
          <w:sz w:val="24"/>
        </w:rPr>
      </w:pPr>
    </w:p>
    <w:p w14:paraId="03E46D5F" w14:textId="577A2C0B" w:rsidR="00CB63D5" w:rsidRPr="002462EB" w:rsidRDefault="00CB63D5" w:rsidP="00CB63D5">
      <w:pPr>
        <w:spacing w:line="480" w:lineRule="auto"/>
        <w:rPr>
          <w:sz w:val="24"/>
          <w:lang w:val="en-US"/>
        </w:rPr>
      </w:pPr>
      <w:r>
        <w:rPr>
          <w:sz w:val="24"/>
        </w:rPr>
        <w:t>Several witnesses discussed the need for large banks</w:t>
      </w:r>
      <w:r w:rsidR="00F76098">
        <w:rPr>
          <w:sz w:val="24"/>
        </w:rPr>
        <w:t>, with</w:t>
      </w:r>
      <w:r w:rsidR="00C74A28">
        <w:rPr>
          <w:sz w:val="24"/>
        </w:rPr>
        <w:t xml:space="preserve"> two strands to this argument: firstly, the necessity of large banks to accommodate the needs of individual customers; and secondly, the need for scale in banking to support economic </w:t>
      </w:r>
      <w:r w:rsidR="00C74A28">
        <w:rPr>
          <w:sz w:val="24"/>
        </w:rPr>
        <w:lastRenderedPageBreak/>
        <w:t>development</w:t>
      </w:r>
      <w:r>
        <w:rPr>
          <w:sz w:val="24"/>
        </w:rPr>
        <w:t xml:space="preserve">. </w:t>
      </w:r>
      <w:r>
        <w:rPr>
          <w:sz w:val="24"/>
          <w:lang w:val="en-US"/>
        </w:rPr>
        <w:t xml:space="preserve">Ford Darling cited </w:t>
      </w:r>
      <w:r w:rsidRPr="00691C03">
        <w:rPr>
          <w:sz w:val="24"/>
          <w:lang w:val="en-US"/>
        </w:rPr>
        <w:t xml:space="preserve">the </w:t>
      </w:r>
      <w:r>
        <w:rPr>
          <w:sz w:val="24"/>
          <w:lang w:val="en-US"/>
        </w:rPr>
        <w:t xml:space="preserve">business needs of </w:t>
      </w:r>
      <w:r w:rsidRPr="00691C03">
        <w:rPr>
          <w:sz w:val="24"/>
          <w:lang w:val="en-US"/>
        </w:rPr>
        <w:t>large customer</w:t>
      </w:r>
      <w:r>
        <w:rPr>
          <w:sz w:val="24"/>
          <w:lang w:val="en-US"/>
        </w:rPr>
        <w:t>s</w:t>
      </w:r>
      <w:r w:rsidRPr="00691C03">
        <w:rPr>
          <w:sz w:val="24"/>
          <w:lang w:val="en-US"/>
        </w:rPr>
        <w:t xml:space="preserve"> </w:t>
      </w:r>
      <w:r>
        <w:rPr>
          <w:sz w:val="24"/>
          <w:lang w:val="en-US"/>
        </w:rPr>
        <w:t xml:space="preserve">as a reason for </w:t>
      </w:r>
      <w:r w:rsidR="003658AF">
        <w:rPr>
          <w:sz w:val="24"/>
          <w:lang w:val="en-US"/>
        </w:rPr>
        <w:t xml:space="preserve">his bank’s </w:t>
      </w:r>
      <w:r>
        <w:rPr>
          <w:sz w:val="24"/>
          <w:lang w:val="en-US"/>
        </w:rPr>
        <w:t xml:space="preserve">planned amalgamation, </w:t>
      </w:r>
      <w:r w:rsidRPr="00691C03">
        <w:rPr>
          <w:sz w:val="24"/>
          <w:lang w:val="en-US"/>
        </w:rPr>
        <w:t xml:space="preserve">although </w:t>
      </w:r>
      <w:r w:rsidR="003658AF">
        <w:rPr>
          <w:sz w:val="24"/>
          <w:lang w:val="en-US"/>
        </w:rPr>
        <w:t>it</w:t>
      </w:r>
      <w:r>
        <w:rPr>
          <w:sz w:val="24"/>
          <w:lang w:val="en-US"/>
        </w:rPr>
        <w:t xml:space="preserve"> had </w:t>
      </w:r>
      <w:r w:rsidRPr="00691C03">
        <w:rPr>
          <w:sz w:val="24"/>
          <w:lang w:val="en-US"/>
        </w:rPr>
        <w:t>never</w:t>
      </w:r>
      <w:r>
        <w:rPr>
          <w:sz w:val="24"/>
          <w:lang w:val="en-US"/>
        </w:rPr>
        <w:t xml:space="preserve"> yet struggled </w:t>
      </w:r>
      <w:r w:rsidR="00C74A28">
        <w:rPr>
          <w:sz w:val="24"/>
          <w:lang w:val="en-US"/>
        </w:rPr>
        <w:t>to accommodate these needs</w:t>
      </w:r>
      <w:r>
        <w:rPr>
          <w:sz w:val="24"/>
          <w:lang w:val="en-US"/>
        </w:rPr>
        <w:t>.</w:t>
      </w:r>
      <w:r>
        <w:rPr>
          <w:rStyle w:val="EndnoteReference"/>
          <w:sz w:val="24"/>
          <w:lang w:val="en-US"/>
        </w:rPr>
        <w:endnoteReference w:id="17"/>
      </w:r>
      <w:r>
        <w:rPr>
          <w:sz w:val="24"/>
          <w:lang w:val="en-US"/>
        </w:rPr>
        <w:t xml:space="preserve"> </w:t>
      </w:r>
      <w:r w:rsidRPr="00280981">
        <w:rPr>
          <w:sz w:val="24"/>
        </w:rPr>
        <w:t xml:space="preserve">Several </w:t>
      </w:r>
      <w:r w:rsidRPr="00BF7E3F">
        <w:rPr>
          <w:sz w:val="24"/>
          <w:lang w:val="en-US"/>
        </w:rPr>
        <w:t xml:space="preserve">non-banking </w:t>
      </w:r>
      <w:r w:rsidRPr="00280981">
        <w:rPr>
          <w:sz w:val="24"/>
        </w:rPr>
        <w:t xml:space="preserve">witnesses </w:t>
      </w:r>
      <w:r>
        <w:rPr>
          <w:sz w:val="24"/>
        </w:rPr>
        <w:t xml:space="preserve">accepted </w:t>
      </w:r>
      <w:r w:rsidR="00C74A28">
        <w:rPr>
          <w:sz w:val="24"/>
        </w:rPr>
        <w:t>the need for scale in banking</w:t>
      </w:r>
      <w:r w:rsidRPr="00280981">
        <w:rPr>
          <w:sz w:val="24"/>
        </w:rPr>
        <w:t xml:space="preserve">. </w:t>
      </w:r>
      <w:r>
        <w:rPr>
          <w:sz w:val="24"/>
          <w:lang w:val="en-US"/>
        </w:rPr>
        <w:t>Courtney Johnston</w:t>
      </w:r>
      <w:r w:rsidRPr="00BF7E3F">
        <w:rPr>
          <w:sz w:val="24"/>
          <w:lang w:val="en-US"/>
        </w:rPr>
        <w:t xml:space="preserve"> favoured amalgamations in principle, not only of banks, as ‘absolutely essential’ to be able to compete</w:t>
      </w:r>
      <w:r>
        <w:rPr>
          <w:sz w:val="24"/>
          <w:lang w:val="en-US"/>
        </w:rPr>
        <w:t xml:space="preserve">. </w:t>
      </w:r>
      <w:r w:rsidRPr="00280981">
        <w:rPr>
          <w:sz w:val="24"/>
        </w:rPr>
        <w:t>Selfridge</w:t>
      </w:r>
      <w:r w:rsidRPr="00280981">
        <w:rPr>
          <w:sz w:val="24"/>
          <w:lang w:val="en-US"/>
        </w:rPr>
        <w:t xml:space="preserve"> argued that US trusts ‘… have been of the greatest possible assistance to the States …’, and advocated </w:t>
      </w:r>
      <w:r w:rsidR="00530937">
        <w:rPr>
          <w:sz w:val="24"/>
          <w:lang w:val="en-US"/>
        </w:rPr>
        <w:t>what we might contemporarily descri</w:t>
      </w:r>
      <w:r w:rsidR="00226AE5">
        <w:rPr>
          <w:sz w:val="24"/>
          <w:lang w:val="en-US"/>
        </w:rPr>
        <w:t xml:space="preserve">be as </w:t>
      </w:r>
      <w:r w:rsidRPr="00280981">
        <w:rPr>
          <w:sz w:val="24"/>
          <w:lang w:val="en-US"/>
        </w:rPr>
        <w:t xml:space="preserve">distinctly </w:t>
      </w:r>
      <w:r w:rsidR="00871D4B">
        <w:rPr>
          <w:sz w:val="24"/>
          <w:lang w:val="en-US"/>
        </w:rPr>
        <w:t>‘</w:t>
      </w:r>
      <w:r w:rsidRPr="00280981">
        <w:rPr>
          <w:sz w:val="24"/>
          <w:lang w:val="en-US"/>
        </w:rPr>
        <w:t>Chandlerian</w:t>
      </w:r>
      <w:r w:rsidR="00871D4B">
        <w:rPr>
          <w:sz w:val="24"/>
          <w:lang w:val="en-US"/>
        </w:rPr>
        <w:t>’</w:t>
      </w:r>
      <w:r w:rsidRPr="00280981">
        <w:rPr>
          <w:sz w:val="24"/>
          <w:lang w:val="en-US"/>
        </w:rPr>
        <w:t xml:space="preserve"> views</w:t>
      </w:r>
      <w:r w:rsidR="00226AE5">
        <w:rPr>
          <w:sz w:val="24"/>
          <w:lang w:val="en-US"/>
        </w:rPr>
        <w:t xml:space="preserve"> on the desirable scale and scope of </w:t>
      </w:r>
      <w:r w:rsidR="00530937">
        <w:rPr>
          <w:sz w:val="24"/>
          <w:lang w:val="en-US"/>
        </w:rPr>
        <w:t>banking</w:t>
      </w:r>
      <w:r w:rsidR="00226AE5">
        <w:rPr>
          <w:sz w:val="24"/>
          <w:lang w:val="en-US"/>
        </w:rPr>
        <w:t xml:space="preserve"> enterprises</w:t>
      </w:r>
      <w:r w:rsidRPr="00280981">
        <w:rPr>
          <w:sz w:val="24"/>
          <w:lang w:val="en-US"/>
        </w:rPr>
        <w:t xml:space="preserve">: ‘It seems to me that all our businesses should be bigger in this country ... If you are going to put out a fire you are going to the biggest reservoir for your water. You do not want a lot of little reservoirs’. Cowdray considered that a contractor such as Pearson benefitted from using bank-provided project finance before floating securities in completed and proven projects. He argued that small banks were less useful for this purpose: big banks were better able to assess such projects, whereas smaller banks were more inclined to show favoritism to certain customers. He </w:t>
      </w:r>
      <w:r>
        <w:rPr>
          <w:sz w:val="24"/>
          <w:lang w:val="en-US"/>
        </w:rPr>
        <w:t>considered</w:t>
      </w:r>
      <w:r w:rsidRPr="00280981">
        <w:rPr>
          <w:sz w:val="24"/>
          <w:lang w:val="en-US"/>
        </w:rPr>
        <w:t xml:space="preserve"> that </w:t>
      </w:r>
      <w:r w:rsidR="00433802">
        <w:rPr>
          <w:sz w:val="24"/>
          <w:lang w:val="en-US"/>
        </w:rPr>
        <w:t>British</w:t>
      </w:r>
      <w:r w:rsidR="00433802" w:rsidRPr="00280981">
        <w:rPr>
          <w:sz w:val="24"/>
          <w:lang w:val="en-US"/>
        </w:rPr>
        <w:t xml:space="preserve"> </w:t>
      </w:r>
      <w:r w:rsidRPr="00280981">
        <w:rPr>
          <w:sz w:val="24"/>
          <w:lang w:val="en-US"/>
        </w:rPr>
        <w:t xml:space="preserve">banks needed to grow to match the size of the largest US banks and agreed when Colwyn asked whether </w:t>
      </w:r>
      <w:r>
        <w:rPr>
          <w:sz w:val="24"/>
          <w:lang w:val="en-US"/>
        </w:rPr>
        <w:t>the country</w:t>
      </w:r>
      <w:r w:rsidRPr="00280981">
        <w:rPr>
          <w:sz w:val="24"/>
          <w:lang w:val="en-US"/>
        </w:rPr>
        <w:t xml:space="preserve"> had lost business in, say, ‘the East and South America – because our banks have not been large enough to deal with it?’ Foxwell thought that the size of banks in countries such as France and Germany ‘… makes it necessary, I think, that we should have in this country very large and powerful banks, but how large and how powerful, of course, it is impossible to lay down a priori’.</w:t>
      </w:r>
      <w:r>
        <w:rPr>
          <w:sz w:val="24"/>
          <w:lang w:val="en-US"/>
        </w:rPr>
        <w:t xml:space="preserve"> His argument was echoed by </w:t>
      </w:r>
      <w:r w:rsidRPr="002462EB">
        <w:rPr>
          <w:sz w:val="24"/>
          <w:lang w:val="en-US"/>
        </w:rPr>
        <w:t xml:space="preserve">Holden </w:t>
      </w:r>
      <w:r>
        <w:rPr>
          <w:sz w:val="24"/>
          <w:lang w:val="en-US"/>
        </w:rPr>
        <w:t>who considered</w:t>
      </w:r>
      <w:r w:rsidRPr="002462EB">
        <w:rPr>
          <w:sz w:val="24"/>
          <w:lang w:val="en-US"/>
        </w:rPr>
        <w:t xml:space="preserve"> amalgamation ‘is the only means of obtaining individual Banks of a size and power at all commensurate with those now being formed or devel</w:t>
      </w:r>
      <w:r>
        <w:rPr>
          <w:sz w:val="24"/>
          <w:lang w:val="en-US"/>
        </w:rPr>
        <w:t xml:space="preserve">oped in America and Germany’. He argued that </w:t>
      </w:r>
      <w:r w:rsidRPr="002462EB">
        <w:rPr>
          <w:sz w:val="24"/>
          <w:lang w:val="en-US"/>
        </w:rPr>
        <w:t>large banks would help maintain London</w:t>
      </w:r>
      <w:r w:rsidR="00D93C34">
        <w:rPr>
          <w:sz w:val="24"/>
          <w:lang w:val="en-US"/>
        </w:rPr>
        <w:t>’s</w:t>
      </w:r>
      <w:r w:rsidRPr="002462EB">
        <w:rPr>
          <w:sz w:val="24"/>
          <w:lang w:val="en-US"/>
        </w:rPr>
        <w:t xml:space="preserve"> </w:t>
      </w:r>
      <w:r w:rsidR="00D93C34" w:rsidRPr="002462EB">
        <w:rPr>
          <w:sz w:val="24"/>
          <w:lang w:val="en-US"/>
        </w:rPr>
        <w:t xml:space="preserve">importance </w:t>
      </w:r>
      <w:r w:rsidRPr="002462EB">
        <w:rPr>
          <w:sz w:val="24"/>
          <w:lang w:val="en-US"/>
        </w:rPr>
        <w:lastRenderedPageBreak/>
        <w:t>as a financial centre, even though the UK’s population was smaller than th</w:t>
      </w:r>
      <w:r>
        <w:rPr>
          <w:sz w:val="24"/>
          <w:lang w:val="en-US"/>
        </w:rPr>
        <w:t>ose</w:t>
      </w:r>
      <w:r w:rsidRPr="002462EB">
        <w:rPr>
          <w:sz w:val="24"/>
          <w:lang w:val="en-US"/>
        </w:rPr>
        <w:t xml:space="preserve"> of Germany and the US. </w:t>
      </w:r>
    </w:p>
    <w:p w14:paraId="6D448FA7" w14:textId="77777777" w:rsidR="00CB63D5" w:rsidRDefault="00CB63D5" w:rsidP="00CB63D5">
      <w:pPr>
        <w:spacing w:line="480" w:lineRule="auto"/>
        <w:rPr>
          <w:sz w:val="24"/>
          <w:lang w:val="en-US"/>
        </w:rPr>
      </w:pPr>
    </w:p>
    <w:p w14:paraId="7A47F812" w14:textId="13103B56" w:rsidR="00CB63D5" w:rsidRPr="00D2765A" w:rsidRDefault="00CB63D5" w:rsidP="00CB63D5">
      <w:pPr>
        <w:spacing w:line="480" w:lineRule="auto"/>
        <w:rPr>
          <w:b/>
          <w:i/>
          <w:sz w:val="24"/>
          <w:lang w:val="en-US"/>
        </w:rPr>
      </w:pPr>
      <w:r w:rsidRPr="00D2765A">
        <w:rPr>
          <w:b/>
          <w:i/>
          <w:sz w:val="24"/>
          <w:lang w:val="en-US"/>
        </w:rPr>
        <w:t>‘Too</w:t>
      </w:r>
      <w:r w:rsidR="00C66C48">
        <w:rPr>
          <w:b/>
          <w:i/>
          <w:sz w:val="24"/>
          <w:lang w:val="en-US"/>
        </w:rPr>
        <w:t>-</w:t>
      </w:r>
      <w:r w:rsidRPr="00D2765A">
        <w:rPr>
          <w:b/>
          <w:i/>
          <w:sz w:val="24"/>
          <w:lang w:val="en-US"/>
        </w:rPr>
        <w:t>small</w:t>
      </w:r>
      <w:r w:rsidR="00C66C48">
        <w:rPr>
          <w:b/>
          <w:i/>
          <w:sz w:val="24"/>
          <w:lang w:val="en-US"/>
        </w:rPr>
        <w:t>-</w:t>
      </w:r>
      <w:r w:rsidRPr="00D2765A">
        <w:rPr>
          <w:b/>
          <w:i/>
          <w:sz w:val="24"/>
          <w:lang w:val="en-US"/>
        </w:rPr>
        <w:t>to</w:t>
      </w:r>
      <w:r w:rsidR="00C66C48">
        <w:rPr>
          <w:b/>
          <w:i/>
          <w:sz w:val="24"/>
          <w:lang w:val="en-US"/>
        </w:rPr>
        <w:t>-</w:t>
      </w:r>
      <w:r w:rsidRPr="00D2765A">
        <w:rPr>
          <w:b/>
          <w:i/>
          <w:sz w:val="24"/>
          <w:lang w:val="en-US"/>
        </w:rPr>
        <w:t>survive’ banks</w:t>
      </w:r>
    </w:p>
    <w:p w14:paraId="3604B4DD" w14:textId="77777777" w:rsidR="00CB63D5" w:rsidRDefault="00CB63D5" w:rsidP="00CB63D5">
      <w:pPr>
        <w:spacing w:line="480" w:lineRule="auto"/>
        <w:rPr>
          <w:sz w:val="24"/>
          <w:lang w:val="en-US"/>
        </w:rPr>
      </w:pPr>
    </w:p>
    <w:p w14:paraId="6D9B5288" w14:textId="39DCA04F" w:rsidR="00CB63D5" w:rsidRDefault="00CB63D5" w:rsidP="00CB63D5">
      <w:pPr>
        <w:spacing w:line="480" w:lineRule="auto"/>
        <w:rPr>
          <w:sz w:val="24"/>
          <w:lang w:val="en-US"/>
        </w:rPr>
      </w:pPr>
      <w:r>
        <w:rPr>
          <w:sz w:val="24"/>
          <w:lang w:val="en-US"/>
        </w:rPr>
        <w:t xml:space="preserve">The two witnesses from Lloyds Bank, Bell and Beaumont Pease, </w:t>
      </w:r>
      <w:r w:rsidR="00D93C34">
        <w:rPr>
          <w:sz w:val="24"/>
          <w:lang w:val="en-US"/>
        </w:rPr>
        <w:t>discussed</w:t>
      </w:r>
      <w:r>
        <w:rPr>
          <w:sz w:val="24"/>
          <w:lang w:val="en-US"/>
        </w:rPr>
        <w:t xml:space="preserve"> the weakness of small local banks. </w:t>
      </w:r>
      <w:r w:rsidRPr="00D2765A">
        <w:rPr>
          <w:sz w:val="24"/>
          <w:lang w:val="en-US"/>
        </w:rPr>
        <w:t xml:space="preserve">Bell had been at the </w:t>
      </w:r>
      <w:r w:rsidRPr="00D2765A">
        <w:rPr>
          <w:sz w:val="24"/>
        </w:rPr>
        <w:t xml:space="preserve">11-branch </w:t>
      </w:r>
      <w:r w:rsidRPr="00D2765A">
        <w:rPr>
          <w:sz w:val="24"/>
          <w:lang w:val="en-US"/>
        </w:rPr>
        <w:t>Liverpool Union Bank, which he claimed was sound but was forced to amalgamate with Lloyds in 1900 due to the seasonality of its business in which customer needs would exceed its deposits available to lend and individual customers could borrow in excess of the bank’s capital.</w:t>
      </w:r>
      <w:r>
        <w:rPr>
          <w:rStyle w:val="EndnoteReference"/>
          <w:sz w:val="24"/>
          <w:lang w:val="en-US"/>
        </w:rPr>
        <w:endnoteReference w:id="18"/>
      </w:r>
      <w:r w:rsidRPr="00D2765A">
        <w:rPr>
          <w:sz w:val="24"/>
          <w:lang w:val="en-US"/>
        </w:rPr>
        <w:t xml:space="preserve"> The bank therefore faced the dilemma of turning away </w:t>
      </w:r>
      <w:r>
        <w:rPr>
          <w:sz w:val="24"/>
          <w:lang w:val="en-US"/>
        </w:rPr>
        <w:t>sound</w:t>
      </w:r>
      <w:r w:rsidRPr="00D2765A">
        <w:rPr>
          <w:sz w:val="24"/>
          <w:lang w:val="en-US"/>
        </w:rPr>
        <w:t xml:space="preserve"> business from good customers or amalgamating with a larger bank. He claimed that all Liverpool</w:t>
      </w:r>
      <w:r>
        <w:rPr>
          <w:sz w:val="24"/>
          <w:lang w:val="en-US"/>
        </w:rPr>
        <w:t>’s</w:t>
      </w:r>
      <w:r w:rsidRPr="00D2765A">
        <w:rPr>
          <w:sz w:val="24"/>
          <w:lang w:val="en-US"/>
        </w:rPr>
        <w:t xml:space="preserve"> local banks were under </w:t>
      </w:r>
      <w:r>
        <w:rPr>
          <w:sz w:val="24"/>
          <w:lang w:val="en-US"/>
        </w:rPr>
        <w:t>similar</w:t>
      </w:r>
      <w:r w:rsidRPr="00D2765A">
        <w:rPr>
          <w:sz w:val="24"/>
          <w:lang w:val="en-US"/>
        </w:rPr>
        <w:t xml:space="preserve"> strain ‘until the big joint stock banks came into the city and brought resources from all over the country’. </w:t>
      </w:r>
      <w:r>
        <w:rPr>
          <w:sz w:val="24"/>
          <w:lang w:val="en-US"/>
        </w:rPr>
        <w:t>Purely l</w:t>
      </w:r>
      <w:r w:rsidRPr="00D2765A">
        <w:rPr>
          <w:sz w:val="24"/>
          <w:lang w:val="en-US"/>
        </w:rPr>
        <w:t>ocal mergers would not have solved th</w:t>
      </w:r>
      <w:r>
        <w:rPr>
          <w:sz w:val="24"/>
          <w:lang w:val="en-US"/>
        </w:rPr>
        <w:t>e</w:t>
      </w:r>
      <w:r w:rsidRPr="00D2765A">
        <w:rPr>
          <w:sz w:val="24"/>
          <w:lang w:val="en-US"/>
        </w:rPr>
        <w:t xml:space="preserve"> problem</w:t>
      </w:r>
      <w:r w:rsidR="00210756">
        <w:rPr>
          <w:sz w:val="24"/>
          <w:lang w:val="en-US"/>
        </w:rPr>
        <w:t>s</w:t>
      </w:r>
      <w:r>
        <w:rPr>
          <w:sz w:val="24"/>
          <w:lang w:val="en-US"/>
        </w:rPr>
        <w:t xml:space="preserve"> of seasonality and narrowness of the deposit base</w:t>
      </w:r>
      <w:r w:rsidRPr="00D2765A">
        <w:rPr>
          <w:sz w:val="24"/>
          <w:lang w:val="en-US"/>
        </w:rPr>
        <w:t>.</w:t>
      </w:r>
    </w:p>
    <w:p w14:paraId="7ABA19D9" w14:textId="77777777" w:rsidR="00CB63D5" w:rsidRDefault="00CB63D5" w:rsidP="00CB63D5">
      <w:pPr>
        <w:spacing w:line="480" w:lineRule="auto"/>
        <w:rPr>
          <w:sz w:val="24"/>
          <w:lang w:val="en-US"/>
        </w:rPr>
      </w:pPr>
    </w:p>
    <w:p w14:paraId="507E9025" w14:textId="5FFEB88F" w:rsidR="00CB63D5" w:rsidRPr="00635C4B" w:rsidRDefault="00CB63D5" w:rsidP="00CB63D5">
      <w:pPr>
        <w:spacing w:line="480" w:lineRule="auto"/>
        <w:rPr>
          <w:sz w:val="24"/>
          <w:lang w:val="en-US"/>
        </w:rPr>
      </w:pPr>
      <w:r>
        <w:rPr>
          <w:sz w:val="24"/>
          <w:lang w:val="en-US"/>
        </w:rPr>
        <w:t xml:space="preserve">Holden described his bank’s amalgamations in Liverpool, Manchester and Oldham, and maintained that all had contributed positively to competition, stability and lending in these locations. </w:t>
      </w:r>
      <w:r w:rsidR="00D93C34">
        <w:rPr>
          <w:sz w:val="24"/>
          <w:lang w:val="en-US"/>
        </w:rPr>
        <w:t>T</w:t>
      </w:r>
      <w:r>
        <w:rPr>
          <w:sz w:val="24"/>
          <w:lang w:val="en-US"/>
        </w:rPr>
        <w:t xml:space="preserve">he London banker </w:t>
      </w:r>
      <w:r w:rsidRPr="00635C4B">
        <w:rPr>
          <w:sz w:val="24"/>
          <w:lang w:val="en-US"/>
        </w:rPr>
        <w:t>Ford Darling</w:t>
      </w:r>
      <w:r>
        <w:rPr>
          <w:sz w:val="24"/>
          <w:lang w:val="en-US"/>
        </w:rPr>
        <w:t xml:space="preserve"> presented a different argument</w:t>
      </w:r>
      <w:r w:rsidRPr="00635C4B">
        <w:rPr>
          <w:sz w:val="24"/>
          <w:lang w:val="en-US"/>
        </w:rPr>
        <w:t>: for all but ‘three industrial centres’</w:t>
      </w:r>
      <w:r>
        <w:rPr>
          <w:sz w:val="24"/>
          <w:lang w:val="en-US"/>
        </w:rPr>
        <w:t xml:space="preserve"> in which his bank was present,</w:t>
      </w:r>
      <w:r w:rsidRPr="00635C4B">
        <w:rPr>
          <w:sz w:val="24"/>
          <w:lang w:val="en-US"/>
        </w:rPr>
        <w:t xml:space="preserve"> </w:t>
      </w:r>
      <w:r>
        <w:rPr>
          <w:sz w:val="24"/>
          <w:lang w:val="en-US"/>
        </w:rPr>
        <w:t>‘</w:t>
      </w:r>
      <w:r w:rsidRPr="00635C4B">
        <w:rPr>
          <w:sz w:val="24"/>
          <w:lang w:val="en-US"/>
        </w:rPr>
        <w:t>country branch</w:t>
      </w:r>
      <w:r>
        <w:rPr>
          <w:sz w:val="24"/>
          <w:lang w:val="en-US"/>
        </w:rPr>
        <w:t>’</w:t>
      </w:r>
      <w:r w:rsidRPr="00635C4B">
        <w:rPr>
          <w:sz w:val="24"/>
          <w:lang w:val="en-US"/>
        </w:rPr>
        <w:t xml:space="preserve"> deposits exceed</w:t>
      </w:r>
      <w:r>
        <w:rPr>
          <w:sz w:val="24"/>
          <w:lang w:val="en-US"/>
        </w:rPr>
        <w:t>ed</w:t>
      </w:r>
      <w:r w:rsidRPr="00635C4B">
        <w:rPr>
          <w:sz w:val="24"/>
          <w:lang w:val="en-US"/>
        </w:rPr>
        <w:t xml:space="preserve"> advances, so </w:t>
      </w:r>
      <w:r>
        <w:rPr>
          <w:sz w:val="24"/>
          <w:lang w:val="en-US"/>
        </w:rPr>
        <w:t>its head office</w:t>
      </w:r>
      <w:r w:rsidRPr="00635C4B">
        <w:rPr>
          <w:sz w:val="24"/>
          <w:lang w:val="en-US"/>
        </w:rPr>
        <w:t xml:space="preserve"> </w:t>
      </w:r>
      <w:r>
        <w:rPr>
          <w:sz w:val="24"/>
          <w:lang w:val="en-US"/>
        </w:rPr>
        <w:t xml:space="preserve">provided profitable investment outlets for </w:t>
      </w:r>
      <w:r w:rsidRPr="00635C4B">
        <w:rPr>
          <w:sz w:val="24"/>
          <w:lang w:val="en-US"/>
        </w:rPr>
        <w:t>surplu</w:t>
      </w:r>
      <w:r>
        <w:rPr>
          <w:sz w:val="24"/>
          <w:lang w:val="en-US"/>
        </w:rPr>
        <w:t>s funds.</w:t>
      </w:r>
      <w:r w:rsidRPr="00635C4B">
        <w:rPr>
          <w:sz w:val="24"/>
        </w:rPr>
        <w:t xml:space="preserve"> </w:t>
      </w:r>
      <w:r w:rsidRPr="00976A15">
        <w:rPr>
          <w:sz w:val="24"/>
          <w:lang w:val="en-US"/>
        </w:rPr>
        <w:t>Hambling</w:t>
      </w:r>
      <w:r>
        <w:rPr>
          <w:sz w:val="24"/>
          <w:lang w:val="en-US"/>
        </w:rPr>
        <w:t xml:space="preserve"> similarly considered </w:t>
      </w:r>
      <w:r w:rsidRPr="00976A15">
        <w:rPr>
          <w:sz w:val="24"/>
          <w:lang w:val="en-US"/>
        </w:rPr>
        <w:t>‘</w:t>
      </w:r>
      <w:r>
        <w:rPr>
          <w:sz w:val="24"/>
          <w:lang w:val="en-US"/>
        </w:rPr>
        <w:t>…</w:t>
      </w:r>
      <w:r w:rsidRPr="00976A15">
        <w:rPr>
          <w:sz w:val="24"/>
          <w:lang w:val="en-US"/>
        </w:rPr>
        <w:t xml:space="preserve"> that banks should become national</w:t>
      </w:r>
      <w:r>
        <w:rPr>
          <w:sz w:val="24"/>
          <w:lang w:val="en-US"/>
        </w:rPr>
        <w:t xml:space="preserve"> … [and]</w:t>
      </w:r>
      <w:r w:rsidRPr="00976A15">
        <w:rPr>
          <w:sz w:val="24"/>
          <w:lang w:val="en-US"/>
        </w:rPr>
        <w:t xml:space="preserve"> operate in all areas. … they should be able to collect their deposits where deposits can be collected and </w:t>
      </w:r>
      <w:r>
        <w:rPr>
          <w:sz w:val="24"/>
          <w:lang w:val="en-US"/>
        </w:rPr>
        <w:t>…</w:t>
      </w:r>
      <w:r w:rsidRPr="00976A15">
        <w:rPr>
          <w:sz w:val="24"/>
          <w:lang w:val="en-US"/>
        </w:rPr>
        <w:t xml:space="preserve"> they should be able to lend </w:t>
      </w:r>
      <w:r>
        <w:rPr>
          <w:sz w:val="24"/>
          <w:lang w:val="en-US"/>
        </w:rPr>
        <w:t xml:space="preserve">them where </w:t>
      </w:r>
      <w:r>
        <w:rPr>
          <w:sz w:val="24"/>
          <w:lang w:val="en-US"/>
        </w:rPr>
        <w:lastRenderedPageBreak/>
        <w:t>commerce wants them’. T</w:t>
      </w:r>
      <w:r>
        <w:rPr>
          <w:sz w:val="24"/>
        </w:rPr>
        <w:t xml:space="preserve">he Liverpool banker Hope </w:t>
      </w:r>
      <w:r w:rsidRPr="001D7C07">
        <w:rPr>
          <w:sz w:val="24"/>
        </w:rPr>
        <w:t xml:space="preserve">Simpson </w:t>
      </w:r>
      <w:r>
        <w:rPr>
          <w:sz w:val="24"/>
        </w:rPr>
        <w:t xml:space="preserve">also </w:t>
      </w:r>
      <w:r w:rsidRPr="001D7C07">
        <w:rPr>
          <w:sz w:val="24"/>
        </w:rPr>
        <w:t>favoured amalgamations of regional banks ‘into’ London</w:t>
      </w:r>
      <w:r>
        <w:rPr>
          <w:sz w:val="24"/>
        </w:rPr>
        <w:t>.</w:t>
      </w:r>
      <w:r>
        <w:rPr>
          <w:rStyle w:val="EndnoteReference"/>
          <w:sz w:val="24"/>
        </w:rPr>
        <w:endnoteReference w:id="19"/>
      </w:r>
    </w:p>
    <w:p w14:paraId="226CAE17" w14:textId="77777777" w:rsidR="00CB63D5" w:rsidRDefault="00CB63D5" w:rsidP="00CB63D5">
      <w:pPr>
        <w:spacing w:line="480" w:lineRule="auto"/>
        <w:rPr>
          <w:sz w:val="24"/>
          <w:lang w:val="en-US"/>
        </w:rPr>
      </w:pPr>
    </w:p>
    <w:p w14:paraId="3E5F693E" w14:textId="62DB5F23" w:rsidR="00CB63D5" w:rsidRPr="00C838A4" w:rsidRDefault="00CB63D5" w:rsidP="00CB63D5">
      <w:pPr>
        <w:spacing w:line="480" w:lineRule="auto"/>
        <w:rPr>
          <w:sz w:val="24"/>
          <w:lang w:val="en-US"/>
        </w:rPr>
      </w:pPr>
      <w:r w:rsidRPr="00D2765A">
        <w:rPr>
          <w:sz w:val="24"/>
          <w:lang w:val="en-US"/>
        </w:rPr>
        <w:t>Bell described a small proportion of Lloyds’ amalgamations as ‘rescues’ and Beaumont Pease went further, claiming some were with insolvent banks</w:t>
      </w:r>
      <w:r>
        <w:rPr>
          <w:sz w:val="24"/>
          <w:lang w:val="en-US"/>
        </w:rPr>
        <w:t>.</w:t>
      </w:r>
      <w:r w:rsidRPr="00D2765A">
        <w:rPr>
          <w:sz w:val="24"/>
        </w:rPr>
        <w:t xml:space="preserve"> </w:t>
      </w:r>
      <w:r w:rsidR="000E6137" w:rsidRPr="00A7749B">
        <w:rPr>
          <w:sz w:val="24"/>
          <w:szCs w:val="24"/>
        </w:rPr>
        <w:t xml:space="preserve">Sayers </w:t>
      </w:r>
      <w:r w:rsidR="000E6137">
        <w:rPr>
          <w:sz w:val="24"/>
          <w:szCs w:val="24"/>
        </w:rPr>
        <w:t>(1957</w:t>
      </w:r>
      <w:r w:rsidR="00242643">
        <w:rPr>
          <w:sz w:val="24"/>
          <w:szCs w:val="24"/>
        </w:rPr>
        <w:t>,</w:t>
      </w:r>
      <w:r w:rsidR="00F159BC">
        <w:rPr>
          <w:sz w:val="24"/>
          <w:szCs w:val="24"/>
        </w:rPr>
        <w:t xml:space="preserve"> </w:t>
      </w:r>
      <w:r w:rsidR="000E6137">
        <w:rPr>
          <w:sz w:val="24"/>
          <w:szCs w:val="24"/>
        </w:rPr>
        <w:t>256</w:t>
      </w:r>
      <w:r w:rsidR="00242643">
        <w:rPr>
          <w:sz w:val="24"/>
          <w:szCs w:val="24"/>
        </w:rPr>
        <w:t>–</w:t>
      </w:r>
      <w:r w:rsidR="000E6137" w:rsidRPr="00A7749B">
        <w:rPr>
          <w:sz w:val="24"/>
          <w:szCs w:val="24"/>
        </w:rPr>
        <w:t>2</w:t>
      </w:r>
      <w:r w:rsidR="000E6137">
        <w:rPr>
          <w:sz w:val="24"/>
          <w:szCs w:val="24"/>
        </w:rPr>
        <w:t>5</w:t>
      </w:r>
      <w:r w:rsidR="000E6137" w:rsidRPr="00A7749B">
        <w:rPr>
          <w:sz w:val="24"/>
          <w:szCs w:val="24"/>
        </w:rPr>
        <w:t>7</w:t>
      </w:r>
      <w:r w:rsidR="000E6137">
        <w:rPr>
          <w:sz w:val="24"/>
        </w:rPr>
        <w:t>) offers some support for this view, identifying two 1902 acquisitions, the Bucks and Oxon Union Bank and the Cornish Bank, as financially weak</w:t>
      </w:r>
      <w:r w:rsidR="00397968">
        <w:rPr>
          <w:sz w:val="24"/>
        </w:rPr>
        <w:t>.</w:t>
      </w:r>
      <w:r>
        <w:rPr>
          <w:sz w:val="24"/>
        </w:rPr>
        <w:t xml:space="preserve"> </w:t>
      </w:r>
      <w:r w:rsidRPr="00C838A4">
        <w:rPr>
          <w:sz w:val="24"/>
          <w:lang w:val="en-US"/>
        </w:rPr>
        <w:t>H</w:t>
      </w:r>
      <w:r>
        <w:rPr>
          <w:sz w:val="24"/>
          <w:lang w:val="en-US"/>
        </w:rPr>
        <w:t>old</w:t>
      </w:r>
      <w:r w:rsidRPr="00C838A4">
        <w:rPr>
          <w:sz w:val="24"/>
          <w:lang w:val="en-US"/>
        </w:rPr>
        <w:t>e</w:t>
      </w:r>
      <w:r>
        <w:rPr>
          <w:sz w:val="24"/>
          <w:lang w:val="en-US"/>
        </w:rPr>
        <w:t>n</w:t>
      </w:r>
      <w:r w:rsidRPr="00C838A4">
        <w:rPr>
          <w:sz w:val="24"/>
          <w:lang w:val="en-US"/>
        </w:rPr>
        <w:t xml:space="preserve"> </w:t>
      </w:r>
      <w:r w:rsidR="004C15A9">
        <w:rPr>
          <w:sz w:val="24"/>
          <w:lang w:val="en-US"/>
        </w:rPr>
        <w:t xml:space="preserve">appeared to support the view of Bell and Beaumont Pease. He </w:t>
      </w:r>
      <w:r w:rsidRPr="00C838A4">
        <w:rPr>
          <w:sz w:val="24"/>
          <w:lang w:val="en-US"/>
        </w:rPr>
        <w:t xml:space="preserve">highlighted that there had been very few bank failures in the period 1900-1913 and </w:t>
      </w:r>
      <w:r>
        <w:rPr>
          <w:sz w:val="24"/>
          <w:lang w:val="en-US"/>
        </w:rPr>
        <w:t>linked this to the willingness of the larger banks to ‘</w:t>
      </w:r>
      <w:r w:rsidRPr="00C838A4">
        <w:rPr>
          <w:sz w:val="24"/>
          <w:lang w:val="en-US"/>
        </w:rPr>
        <w:t xml:space="preserve">immediately take up </w:t>
      </w:r>
      <w:r>
        <w:rPr>
          <w:sz w:val="24"/>
          <w:lang w:val="en-US"/>
        </w:rPr>
        <w:t>[a weak bank]</w:t>
      </w:r>
      <w:r w:rsidRPr="00C838A4">
        <w:rPr>
          <w:sz w:val="24"/>
          <w:lang w:val="en-US"/>
        </w:rPr>
        <w:t xml:space="preserve"> and prevent disaster</w:t>
      </w:r>
      <w:r>
        <w:rPr>
          <w:sz w:val="24"/>
          <w:lang w:val="en-US"/>
        </w:rPr>
        <w:t>’ through amalgamation or some other form of support</w:t>
      </w:r>
      <w:r w:rsidRPr="00C838A4">
        <w:rPr>
          <w:sz w:val="24"/>
          <w:lang w:val="en-US"/>
        </w:rPr>
        <w:t>.</w:t>
      </w:r>
      <w:r>
        <w:rPr>
          <w:sz w:val="24"/>
          <w:lang w:val="en-US"/>
        </w:rPr>
        <w:t xml:space="preserve"> </w:t>
      </w:r>
      <w:r w:rsidR="00F76098">
        <w:rPr>
          <w:sz w:val="24"/>
          <w:lang w:val="en-US"/>
        </w:rPr>
        <w:t>Holden</w:t>
      </w:r>
      <w:r w:rsidR="00F76098" w:rsidRPr="00C838A4">
        <w:rPr>
          <w:sz w:val="24"/>
          <w:lang w:val="en-US"/>
        </w:rPr>
        <w:t xml:space="preserve"> </w:t>
      </w:r>
      <w:r w:rsidR="00F76098">
        <w:rPr>
          <w:sz w:val="24"/>
          <w:lang w:val="en-US"/>
        </w:rPr>
        <w:t xml:space="preserve">offered </w:t>
      </w:r>
      <w:r w:rsidR="000E6137">
        <w:rPr>
          <w:sz w:val="24"/>
          <w:lang w:val="en-US"/>
        </w:rPr>
        <w:t>only two specific examples</w:t>
      </w:r>
      <w:r w:rsidR="00F76098" w:rsidRPr="00F76098">
        <w:rPr>
          <w:sz w:val="24"/>
          <w:lang w:val="en-US"/>
        </w:rPr>
        <w:t xml:space="preserve"> </w:t>
      </w:r>
      <w:r w:rsidR="00F76098">
        <w:rPr>
          <w:sz w:val="24"/>
          <w:lang w:val="en-US"/>
        </w:rPr>
        <w:t>where banks worked</w:t>
      </w:r>
      <w:r w:rsidR="00F76098" w:rsidRPr="00C838A4">
        <w:rPr>
          <w:sz w:val="24"/>
          <w:lang w:val="en-US"/>
        </w:rPr>
        <w:t xml:space="preserve"> together to prevent crisis</w:t>
      </w:r>
      <w:r w:rsidR="00F76098">
        <w:rPr>
          <w:sz w:val="24"/>
          <w:lang w:val="en-US"/>
        </w:rPr>
        <w:t>:</w:t>
      </w:r>
      <w:r w:rsidR="000E6137">
        <w:rPr>
          <w:sz w:val="24"/>
          <w:lang w:val="en-US"/>
        </w:rPr>
        <w:t xml:space="preserve"> the cases of </w:t>
      </w:r>
      <w:r w:rsidRPr="00C838A4">
        <w:rPr>
          <w:sz w:val="24"/>
          <w:lang w:val="en-US"/>
        </w:rPr>
        <w:t>Barings</w:t>
      </w:r>
      <w:r>
        <w:rPr>
          <w:sz w:val="24"/>
          <w:lang w:val="en-US"/>
        </w:rPr>
        <w:t xml:space="preserve"> in 1890 and the</w:t>
      </w:r>
      <w:r w:rsidRPr="00C838A4">
        <w:rPr>
          <w:sz w:val="24"/>
          <w:lang w:val="en-US"/>
        </w:rPr>
        <w:t xml:space="preserve"> Yorkshire Penny Bank</w:t>
      </w:r>
      <w:r>
        <w:rPr>
          <w:sz w:val="24"/>
          <w:lang w:val="en-US"/>
        </w:rPr>
        <w:t>.</w:t>
      </w:r>
      <w:r>
        <w:rPr>
          <w:rStyle w:val="EndnoteReference"/>
          <w:sz w:val="24"/>
          <w:lang w:val="en-US"/>
        </w:rPr>
        <w:endnoteReference w:id="20"/>
      </w:r>
    </w:p>
    <w:p w14:paraId="6D5554E6" w14:textId="77777777" w:rsidR="00CB63D5" w:rsidRDefault="00CB63D5" w:rsidP="00CB63D5">
      <w:pPr>
        <w:spacing w:line="480" w:lineRule="auto"/>
        <w:rPr>
          <w:sz w:val="24"/>
        </w:rPr>
      </w:pPr>
    </w:p>
    <w:p w14:paraId="7DA6F28A" w14:textId="14DDA599" w:rsidR="00CB63D5" w:rsidRDefault="00CB63D5" w:rsidP="00CB63D5">
      <w:pPr>
        <w:spacing w:line="480" w:lineRule="auto"/>
        <w:rPr>
          <w:sz w:val="24"/>
          <w:lang w:val="en-US"/>
        </w:rPr>
      </w:pPr>
      <w:r>
        <w:rPr>
          <w:sz w:val="24"/>
        </w:rPr>
        <w:t xml:space="preserve">The evidence of </w:t>
      </w:r>
      <w:r w:rsidRPr="00280981">
        <w:rPr>
          <w:sz w:val="24"/>
        </w:rPr>
        <w:t>Drummond Fraser</w:t>
      </w:r>
      <w:r>
        <w:rPr>
          <w:sz w:val="24"/>
        </w:rPr>
        <w:t xml:space="preserve">, in his </w:t>
      </w:r>
      <w:r w:rsidRPr="004E727E">
        <w:rPr>
          <w:sz w:val="24"/>
          <w:lang w:val="en-US"/>
        </w:rPr>
        <w:t>‘25</w:t>
      </w:r>
      <w:r w:rsidRPr="004E727E">
        <w:rPr>
          <w:sz w:val="24"/>
          <w:vertAlign w:val="superscript"/>
          <w:lang w:val="en-US"/>
        </w:rPr>
        <w:t>th</w:t>
      </w:r>
      <w:r w:rsidRPr="004E727E">
        <w:rPr>
          <w:sz w:val="24"/>
          <w:lang w:val="en-US"/>
        </w:rPr>
        <w:t xml:space="preserve"> year in Manchester in a managerial capacity’</w:t>
      </w:r>
      <w:r>
        <w:rPr>
          <w:sz w:val="24"/>
          <w:lang w:val="en-US"/>
        </w:rPr>
        <w:t>,</w:t>
      </w:r>
      <w:r w:rsidRPr="00280981">
        <w:rPr>
          <w:sz w:val="24"/>
        </w:rPr>
        <w:t xml:space="preserve"> contrast</w:t>
      </w:r>
      <w:r>
        <w:rPr>
          <w:sz w:val="24"/>
        </w:rPr>
        <w:t>ed, and in some respects contradicted,</w:t>
      </w:r>
      <w:r w:rsidRPr="00280981">
        <w:rPr>
          <w:sz w:val="24"/>
        </w:rPr>
        <w:t xml:space="preserve"> that of </w:t>
      </w:r>
      <w:r>
        <w:rPr>
          <w:sz w:val="24"/>
        </w:rPr>
        <w:t xml:space="preserve">the other bankers. </w:t>
      </w:r>
      <w:r>
        <w:rPr>
          <w:sz w:val="24"/>
          <w:lang w:val="en-US"/>
        </w:rPr>
        <w:t>He</w:t>
      </w:r>
      <w:r w:rsidRPr="00FC629A">
        <w:rPr>
          <w:sz w:val="24"/>
          <w:lang w:val="en-US"/>
        </w:rPr>
        <w:t xml:space="preserve"> claimed never to have been in </w:t>
      </w:r>
      <w:r>
        <w:rPr>
          <w:sz w:val="24"/>
          <w:lang w:val="en-US"/>
        </w:rPr>
        <w:t xml:space="preserve">the </w:t>
      </w:r>
      <w:r w:rsidRPr="00FC629A">
        <w:rPr>
          <w:sz w:val="24"/>
          <w:lang w:val="en-US"/>
        </w:rPr>
        <w:t>position of being unable to accommodate customer</w:t>
      </w:r>
      <w:r>
        <w:rPr>
          <w:sz w:val="24"/>
          <w:lang w:val="en-US"/>
        </w:rPr>
        <w:t>s’</w:t>
      </w:r>
      <w:r w:rsidRPr="00FC629A">
        <w:rPr>
          <w:sz w:val="24"/>
          <w:lang w:val="en-US"/>
        </w:rPr>
        <w:t xml:space="preserve"> requirements </w:t>
      </w:r>
      <w:r>
        <w:rPr>
          <w:sz w:val="24"/>
          <w:lang w:val="en-US"/>
        </w:rPr>
        <w:t xml:space="preserve">for </w:t>
      </w:r>
      <w:r w:rsidRPr="00FC629A">
        <w:rPr>
          <w:sz w:val="24"/>
          <w:lang w:val="en-US"/>
        </w:rPr>
        <w:t>advance</w:t>
      </w:r>
      <w:r>
        <w:rPr>
          <w:sz w:val="24"/>
          <w:lang w:val="en-US"/>
        </w:rPr>
        <w:t xml:space="preserve">s. </w:t>
      </w:r>
      <w:r>
        <w:rPr>
          <w:sz w:val="24"/>
        </w:rPr>
        <w:t xml:space="preserve">He </w:t>
      </w:r>
      <w:r w:rsidRPr="004E727E">
        <w:rPr>
          <w:sz w:val="24"/>
          <w:lang w:val="en-US"/>
        </w:rPr>
        <w:t xml:space="preserve">noted that customer and shareholder objections had defeated </w:t>
      </w:r>
      <w:r>
        <w:rPr>
          <w:sz w:val="24"/>
          <w:lang w:val="en-US"/>
        </w:rPr>
        <w:t xml:space="preserve">two </w:t>
      </w:r>
      <w:r w:rsidRPr="004E727E">
        <w:rPr>
          <w:sz w:val="24"/>
          <w:lang w:val="en-US"/>
        </w:rPr>
        <w:t xml:space="preserve">proposed combinations between </w:t>
      </w:r>
      <w:r>
        <w:rPr>
          <w:sz w:val="24"/>
          <w:lang w:val="en-US"/>
        </w:rPr>
        <w:t xml:space="preserve">Manchester and London banks </w:t>
      </w:r>
      <w:r w:rsidRPr="004E727E">
        <w:rPr>
          <w:sz w:val="24"/>
          <w:lang w:val="en-US"/>
        </w:rPr>
        <w:t xml:space="preserve">and </w:t>
      </w:r>
      <w:r>
        <w:rPr>
          <w:sz w:val="24"/>
          <w:lang w:val="en-US"/>
        </w:rPr>
        <w:t>anticipated similar</w:t>
      </w:r>
      <w:r w:rsidRPr="004E727E">
        <w:rPr>
          <w:sz w:val="24"/>
          <w:lang w:val="en-US"/>
        </w:rPr>
        <w:t xml:space="preserve"> objections </w:t>
      </w:r>
      <w:r w:rsidR="00D93C34">
        <w:rPr>
          <w:sz w:val="24"/>
          <w:lang w:val="en-US"/>
        </w:rPr>
        <w:t xml:space="preserve"> to </w:t>
      </w:r>
      <w:r w:rsidRPr="004E727E">
        <w:rPr>
          <w:sz w:val="24"/>
          <w:lang w:val="en-US"/>
        </w:rPr>
        <w:t xml:space="preserve">other </w:t>
      </w:r>
      <w:r>
        <w:rPr>
          <w:sz w:val="24"/>
          <w:lang w:val="en-US"/>
        </w:rPr>
        <w:t xml:space="preserve">such </w:t>
      </w:r>
      <w:r w:rsidRPr="004E727E">
        <w:rPr>
          <w:sz w:val="24"/>
          <w:lang w:val="en-US"/>
        </w:rPr>
        <w:t>proposal</w:t>
      </w:r>
      <w:r w:rsidR="00D93C34">
        <w:rPr>
          <w:sz w:val="24"/>
          <w:lang w:val="en-US"/>
        </w:rPr>
        <w:t>s</w:t>
      </w:r>
      <w:r w:rsidRPr="004E727E">
        <w:rPr>
          <w:sz w:val="24"/>
          <w:lang w:val="en-US"/>
        </w:rPr>
        <w:t>.</w:t>
      </w:r>
      <w:r w:rsidRPr="004E727E">
        <w:rPr>
          <w:sz w:val="24"/>
          <w:vertAlign w:val="superscript"/>
        </w:rPr>
        <w:endnoteReference w:id="21"/>
      </w:r>
    </w:p>
    <w:p w14:paraId="7907B8A5" w14:textId="77777777" w:rsidR="003658AF" w:rsidRDefault="003658AF" w:rsidP="00CB63D5">
      <w:pPr>
        <w:spacing w:line="480" w:lineRule="auto"/>
        <w:rPr>
          <w:sz w:val="24"/>
          <w:lang w:val="en-US"/>
        </w:rPr>
      </w:pPr>
    </w:p>
    <w:p w14:paraId="69B791B7" w14:textId="7FFEABD7" w:rsidR="00CB63D5" w:rsidRPr="00D2765A" w:rsidRDefault="00CB63D5" w:rsidP="00CB63D5">
      <w:pPr>
        <w:spacing w:line="480" w:lineRule="auto"/>
        <w:rPr>
          <w:b/>
          <w:i/>
          <w:sz w:val="24"/>
          <w:lang w:val="en-US"/>
        </w:rPr>
      </w:pPr>
      <w:r w:rsidRPr="00D2765A">
        <w:rPr>
          <w:b/>
          <w:i/>
          <w:sz w:val="24"/>
          <w:lang w:val="en-US"/>
        </w:rPr>
        <w:t>Lending practice</w:t>
      </w:r>
      <w:r>
        <w:rPr>
          <w:b/>
          <w:i/>
          <w:sz w:val="24"/>
          <w:lang w:val="en-US"/>
        </w:rPr>
        <w:t>, local banks</w:t>
      </w:r>
      <w:r w:rsidRPr="00D2765A">
        <w:rPr>
          <w:b/>
          <w:i/>
          <w:sz w:val="24"/>
          <w:lang w:val="en-US"/>
        </w:rPr>
        <w:t xml:space="preserve"> and </w:t>
      </w:r>
      <w:r>
        <w:rPr>
          <w:b/>
          <w:i/>
          <w:sz w:val="24"/>
          <w:lang w:val="en-US"/>
        </w:rPr>
        <w:t>competition</w:t>
      </w:r>
    </w:p>
    <w:p w14:paraId="425E0D52" w14:textId="77777777" w:rsidR="00CB63D5" w:rsidRPr="005768C6" w:rsidRDefault="00CB63D5" w:rsidP="00CB63D5">
      <w:pPr>
        <w:spacing w:line="480" w:lineRule="auto"/>
        <w:rPr>
          <w:sz w:val="24"/>
          <w:lang w:val="en-US"/>
        </w:rPr>
      </w:pPr>
    </w:p>
    <w:p w14:paraId="2D31D596" w14:textId="1ACC4502" w:rsidR="00CB63D5" w:rsidRPr="00BF7E3F" w:rsidRDefault="00CB63D5" w:rsidP="00CB63D5">
      <w:pPr>
        <w:spacing w:line="480" w:lineRule="auto"/>
        <w:rPr>
          <w:sz w:val="24"/>
          <w:lang w:val="en-US"/>
        </w:rPr>
      </w:pPr>
      <w:r w:rsidRPr="005768C6">
        <w:rPr>
          <w:sz w:val="24"/>
          <w:lang w:val="en-US"/>
        </w:rPr>
        <w:t xml:space="preserve">Addis </w:t>
      </w:r>
      <w:r w:rsidR="001351BA">
        <w:rPr>
          <w:sz w:val="24"/>
          <w:lang w:val="en-US"/>
        </w:rPr>
        <w:t>doubted</w:t>
      </w:r>
      <w:r w:rsidRPr="005768C6">
        <w:rPr>
          <w:sz w:val="24"/>
          <w:lang w:val="en-US"/>
        </w:rPr>
        <w:t xml:space="preserve"> that amalgamations </w:t>
      </w:r>
      <w:r>
        <w:rPr>
          <w:sz w:val="24"/>
          <w:lang w:val="en-US"/>
        </w:rPr>
        <w:t xml:space="preserve">offered </w:t>
      </w:r>
      <w:r w:rsidRPr="005768C6">
        <w:rPr>
          <w:sz w:val="24"/>
          <w:lang w:val="en-US"/>
        </w:rPr>
        <w:t xml:space="preserve">customers greater access to credit and </w:t>
      </w:r>
      <w:r w:rsidR="001351BA">
        <w:rPr>
          <w:sz w:val="24"/>
          <w:lang w:val="en-US"/>
        </w:rPr>
        <w:t xml:space="preserve">thought </w:t>
      </w:r>
      <w:r>
        <w:rPr>
          <w:sz w:val="24"/>
          <w:lang w:val="en-US"/>
        </w:rPr>
        <w:t xml:space="preserve">they </w:t>
      </w:r>
      <w:r w:rsidRPr="005768C6">
        <w:rPr>
          <w:sz w:val="24"/>
          <w:lang w:val="en-US"/>
        </w:rPr>
        <w:t xml:space="preserve">created the potential for reduced competition. </w:t>
      </w:r>
      <w:r>
        <w:rPr>
          <w:sz w:val="24"/>
          <w:lang w:val="en-US"/>
        </w:rPr>
        <w:t>But the b</w:t>
      </w:r>
      <w:r>
        <w:rPr>
          <w:sz w:val="24"/>
        </w:rPr>
        <w:t xml:space="preserve">anking witnesses </w:t>
      </w:r>
      <w:r w:rsidRPr="004E727E">
        <w:rPr>
          <w:sz w:val="24"/>
        </w:rPr>
        <w:lastRenderedPageBreak/>
        <w:t xml:space="preserve">generally maintained that </w:t>
      </w:r>
      <w:r>
        <w:rPr>
          <w:sz w:val="24"/>
        </w:rPr>
        <w:t xml:space="preserve">post-amalgamation </w:t>
      </w:r>
      <w:r w:rsidRPr="004E727E">
        <w:rPr>
          <w:sz w:val="24"/>
        </w:rPr>
        <w:t>practices were unchanged from earlier banking arrangements</w:t>
      </w:r>
      <w:r>
        <w:rPr>
          <w:sz w:val="24"/>
        </w:rPr>
        <w:t xml:space="preserve">. Holden </w:t>
      </w:r>
      <w:r w:rsidRPr="00003019">
        <w:rPr>
          <w:sz w:val="24"/>
          <w:lang w:val="en-US"/>
        </w:rPr>
        <w:t>argue</w:t>
      </w:r>
      <w:r>
        <w:rPr>
          <w:sz w:val="24"/>
          <w:lang w:val="en-US"/>
        </w:rPr>
        <w:t>d</w:t>
      </w:r>
      <w:r w:rsidRPr="00003019">
        <w:rPr>
          <w:sz w:val="24"/>
          <w:lang w:val="en-US"/>
        </w:rPr>
        <w:t xml:space="preserve"> </w:t>
      </w:r>
      <w:r w:rsidR="00F76098">
        <w:rPr>
          <w:sz w:val="24"/>
          <w:lang w:val="en-US"/>
        </w:rPr>
        <w:t xml:space="preserve">that </w:t>
      </w:r>
      <w:r w:rsidRPr="00003019">
        <w:rPr>
          <w:sz w:val="24"/>
          <w:lang w:val="en-US"/>
        </w:rPr>
        <w:t xml:space="preserve">each </w:t>
      </w:r>
      <w:r>
        <w:rPr>
          <w:sz w:val="24"/>
          <w:lang w:val="en-US"/>
        </w:rPr>
        <w:t xml:space="preserve">of </w:t>
      </w:r>
      <w:r w:rsidRPr="00003019">
        <w:rPr>
          <w:sz w:val="24"/>
          <w:lang w:val="en-US"/>
        </w:rPr>
        <w:t>his own bank’s amalgamations had increased lending</w:t>
      </w:r>
      <w:r>
        <w:rPr>
          <w:sz w:val="24"/>
          <w:lang w:val="en-US"/>
        </w:rPr>
        <w:t xml:space="preserve">, </w:t>
      </w:r>
      <w:r w:rsidRPr="00003019">
        <w:rPr>
          <w:sz w:val="24"/>
          <w:lang w:val="en-US"/>
        </w:rPr>
        <w:t>quote</w:t>
      </w:r>
      <w:r>
        <w:rPr>
          <w:sz w:val="24"/>
          <w:lang w:val="en-US"/>
        </w:rPr>
        <w:t>d</w:t>
      </w:r>
      <w:r w:rsidRPr="00003019">
        <w:rPr>
          <w:sz w:val="24"/>
          <w:lang w:val="en-US"/>
        </w:rPr>
        <w:t xml:space="preserve"> statistics on</w:t>
      </w:r>
      <w:r>
        <w:rPr>
          <w:sz w:val="24"/>
          <w:lang w:val="en-US"/>
        </w:rPr>
        <w:t xml:space="preserve"> its lending to the ‘small man’, and maintained that </w:t>
      </w:r>
      <w:r w:rsidRPr="001E2755">
        <w:rPr>
          <w:sz w:val="24"/>
          <w:lang w:val="en-US"/>
        </w:rPr>
        <w:t>‘</w:t>
      </w:r>
      <w:r w:rsidRPr="00DB0B1D">
        <w:rPr>
          <w:sz w:val="24"/>
          <w:lang w:val="en-US"/>
        </w:rPr>
        <w:t>there is no trouble whatever in the small man getting accommodation’</w:t>
      </w:r>
      <w:r>
        <w:rPr>
          <w:sz w:val="24"/>
          <w:lang w:val="en-US"/>
        </w:rPr>
        <w:t>. B</w:t>
      </w:r>
      <w:r w:rsidRPr="00D2765A">
        <w:rPr>
          <w:sz w:val="24"/>
          <w:lang w:val="en-US"/>
        </w:rPr>
        <w:t>ell offered to produce extensive evidence of ‘uncovered’ (i.e. unsecured) lending to small traders and Beaumont Pease provided an extensive commentary on lending practice in private banks versus joint</w:t>
      </w:r>
      <w:r w:rsidR="001F319F">
        <w:rPr>
          <w:sz w:val="24"/>
          <w:lang w:val="en-US"/>
        </w:rPr>
        <w:t>-</w:t>
      </w:r>
      <w:r w:rsidRPr="00D2765A">
        <w:rPr>
          <w:sz w:val="24"/>
          <w:lang w:val="en-US"/>
        </w:rPr>
        <w:t>stock ban</w:t>
      </w:r>
      <w:r>
        <w:rPr>
          <w:sz w:val="24"/>
          <w:lang w:val="en-US"/>
        </w:rPr>
        <w:t xml:space="preserve">ks, claiming the latter </w:t>
      </w:r>
      <w:r w:rsidR="001351BA">
        <w:rPr>
          <w:sz w:val="24"/>
          <w:lang w:val="en-US"/>
        </w:rPr>
        <w:t xml:space="preserve">lent </w:t>
      </w:r>
      <w:r>
        <w:rPr>
          <w:sz w:val="24"/>
          <w:lang w:val="en-US"/>
        </w:rPr>
        <w:t>no less</w:t>
      </w:r>
      <w:r w:rsidRPr="00D2765A">
        <w:rPr>
          <w:sz w:val="24"/>
          <w:lang w:val="en-US"/>
        </w:rPr>
        <w:t>, and sometimes more</w:t>
      </w:r>
      <w:r>
        <w:rPr>
          <w:sz w:val="24"/>
          <w:lang w:val="en-US"/>
        </w:rPr>
        <w:t>,</w:t>
      </w:r>
      <w:r w:rsidRPr="00D2765A">
        <w:rPr>
          <w:sz w:val="24"/>
          <w:lang w:val="en-US"/>
        </w:rPr>
        <w:t xml:space="preserve"> liberal</w:t>
      </w:r>
      <w:r w:rsidR="001351BA">
        <w:rPr>
          <w:sz w:val="24"/>
          <w:lang w:val="en-US"/>
        </w:rPr>
        <w:t>ly</w:t>
      </w:r>
      <w:r w:rsidRPr="00D2765A">
        <w:rPr>
          <w:sz w:val="24"/>
          <w:lang w:val="en-US"/>
        </w:rPr>
        <w:t xml:space="preserve"> at local level.</w:t>
      </w:r>
      <w:r>
        <w:rPr>
          <w:sz w:val="24"/>
          <w:lang w:val="en-US"/>
        </w:rPr>
        <w:t xml:space="preserve"> </w:t>
      </w:r>
      <w:r w:rsidRPr="00F226D3">
        <w:rPr>
          <w:sz w:val="24"/>
          <w:lang w:val="en-US"/>
        </w:rPr>
        <w:t xml:space="preserve">Ford Darling claimed </w:t>
      </w:r>
      <w:r>
        <w:rPr>
          <w:sz w:val="24"/>
          <w:lang w:val="en-US"/>
        </w:rPr>
        <w:t xml:space="preserve">that his own bank’s </w:t>
      </w:r>
      <w:r w:rsidRPr="00F226D3">
        <w:rPr>
          <w:sz w:val="24"/>
          <w:lang w:val="en-US"/>
        </w:rPr>
        <w:t xml:space="preserve">lending to smaller customers would be unaffected by </w:t>
      </w:r>
      <w:r>
        <w:rPr>
          <w:sz w:val="24"/>
          <w:lang w:val="en-US"/>
        </w:rPr>
        <w:t>its</w:t>
      </w:r>
      <w:r w:rsidRPr="00F226D3">
        <w:rPr>
          <w:sz w:val="24"/>
          <w:lang w:val="en-US"/>
        </w:rPr>
        <w:t xml:space="preserve"> proposed amalgamation as ‘… our managers have got their discretionary limits, which they use without reference to Head Office at all, for the smaller advances’.</w:t>
      </w:r>
      <w:r>
        <w:rPr>
          <w:sz w:val="24"/>
          <w:lang w:val="en-US"/>
        </w:rPr>
        <w:t xml:space="preserve"> In contrast, Inchcape thought that </w:t>
      </w:r>
      <w:r w:rsidRPr="00FC40FB">
        <w:rPr>
          <w:sz w:val="24"/>
          <w:lang w:val="en-US"/>
        </w:rPr>
        <w:t>‘</w:t>
      </w:r>
      <w:r>
        <w:rPr>
          <w:sz w:val="24"/>
          <w:lang w:val="en-US"/>
        </w:rPr>
        <w:t xml:space="preserve">… </w:t>
      </w:r>
      <w:r w:rsidRPr="00FC40FB">
        <w:rPr>
          <w:sz w:val="24"/>
          <w:lang w:val="en-US"/>
        </w:rPr>
        <w:t>I do not think the banks compete very much with each other. I will tell</w:t>
      </w:r>
      <w:r>
        <w:rPr>
          <w:sz w:val="24"/>
          <w:lang w:val="en-US"/>
        </w:rPr>
        <w:t xml:space="preserve"> you what they compete in …</w:t>
      </w:r>
      <w:r w:rsidRPr="00FC40FB">
        <w:rPr>
          <w:sz w:val="24"/>
          <w:lang w:val="en-US"/>
        </w:rPr>
        <w:t xml:space="preserve"> is mostly in civility to the</w:t>
      </w:r>
      <w:r>
        <w:rPr>
          <w:sz w:val="24"/>
          <w:lang w:val="en-US"/>
        </w:rPr>
        <w:t>ir customers</w:t>
      </w:r>
      <w:r w:rsidRPr="00FC40FB">
        <w:rPr>
          <w:sz w:val="24"/>
          <w:lang w:val="en-US"/>
        </w:rPr>
        <w:t>’</w:t>
      </w:r>
      <w:r>
        <w:rPr>
          <w:sz w:val="24"/>
          <w:lang w:val="en-US"/>
        </w:rPr>
        <w:t xml:space="preserve">. A non-banking witness, Courtney Johnston, thought that </w:t>
      </w:r>
      <w:r w:rsidRPr="00BF7E3F">
        <w:rPr>
          <w:sz w:val="24"/>
          <w:lang w:val="en-US"/>
        </w:rPr>
        <w:t xml:space="preserve">‘In the old days the private banker knew the local people, and the local industries </w:t>
      </w:r>
      <w:r>
        <w:rPr>
          <w:sz w:val="24"/>
          <w:lang w:val="en-US"/>
        </w:rPr>
        <w:t>and helped them</w:t>
      </w:r>
      <w:r w:rsidRPr="00BF7E3F">
        <w:rPr>
          <w:sz w:val="24"/>
          <w:lang w:val="en-US"/>
        </w:rPr>
        <w:t>’</w:t>
      </w:r>
      <w:r>
        <w:rPr>
          <w:sz w:val="24"/>
          <w:lang w:val="en-US"/>
        </w:rPr>
        <w:t>.</w:t>
      </w:r>
    </w:p>
    <w:p w14:paraId="6BDBAA50" w14:textId="77777777" w:rsidR="00CB63D5" w:rsidRPr="00BF7E3F" w:rsidRDefault="00CB63D5" w:rsidP="00CB63D5">
      <w:pPr>
        <w:spacing w:line="480" w:lineRule="auto"/>
        <w:rPr>
          <w:sz w:val="24"/>
          <w:lang w:val="en-US"/>
        </w:rPr>
      </w:pPr>
    </w:p>
    <w:p w14:paraId="6521C28F" w14:textId="2CE44531" w:rsidR="00CB63D5" w:rsidRDefault="00CB63D5" w:rsidP="00CB63D5">
      <w:pPr>
        <w:spacing w:line="480" w:lineRule="auto"/>
        <w:rPr>
          <w:sz w:val="24"/>
          <w:lang w:val="en-US"/>
        </w:rPr>
      </w:pPr>
      <w:r>
        <w:rPr>
          <w:sz w:val="24"/>
          <w:lang w:val="en-US"/>
        </w:rPr>
        <w:t>Beaumont Pease claimed</w:t>
      </w:r>
      <w:r w:rsidRPr="00D2765A">
        <w:rPr>
          <w:sz w:val="24"/>
          <w:lang w:val="en-US"/>
        </w:rPr>
        <w:t xml:space="preserve"> that where amalgamations reduce</w:t>
      </w:r>
      <w:r>
        <w:rPr>
          <w:sz w:val="24"/>
          <w:lang w:val="en-US"/>
        </w:rPr>
        <w:t xml:space="preserve">d the number of banks in a town or </w:t>
      </w:r>
      <w:r w:rsidRPr="00D2765A">
        <w:rPr>
          <w:sz w:val="24"/>
          <w:lang w:val="en-US"/>
        </w:rPr>
        <w:t>district other banks open</w:t>
      </w:r>
      <w:r>
        <w:rPr>
          <w:sz w:val="24"/>
          <w:lang w:val="en-US"/>
        </w:rPr>
        <w:t>ed</w:t>
      </w:r>
      <w:r w:rsidRPr="00D2765A">
        <w:rPr>
          <w:sz w:val="24"/>
          <w:lang w:val="en-US"/>
        </w:rPr>
        <w:t xml:space="preserve"> new branches</w:t>
      </w:r>
      <w:r>
        <w:rPr>
          <w:sz w:val="24"/>
          <w:lang w:val="en-US"/>
        </w:rPr>
        <w:t xml:space="preserve">. </w:t>
      </w:r>
      <w:r w:rsidRPr="00D2765A">
        <w:rPr>
          <w:sz w:val="24"/>
          <w:lang w:val="en-US"/>
        </w:rPr>
        <w:t xml:space="preserve">Bell </w:t>
      </w:r>
      <w:r w:rsidR="001351BA">
        <w:rPr>
          <w:sz w:val="24"/>
          <w:lang w:val="en-US"/>
        </w:rPr>
        <w:t xml:space="preserve">used the example of </w:t>
      </w:r>
      <w:r w:rsidR="001351BA" w:rsidRPr="00D2765A">
        <w:rPr>
          <w:sz w:val="24"/>
          <w:lang w:val="en-US"/>
        </w:rPr>
        <w:t xml:space="preserve">Liverpool </w:t>
      </w:r>
      <w:r w:rsidR="001351BA">
        <w:rPr>
          <w:sz w:val="24"/>
          <w:lang w:val="en-US"/>
        </w:rPr>
        <w:t xml:space="preserve">to </w:t>
      </w:r>
      <w:r w:rsidR="001351BA" w:rsidRPr="00D2765A">
        <w:rPr>
          <w:sz w:val="24"/>
          <w:lang w:val="en-US"/>
        </w:rPr>
        <w:t>illustrate</w:t>
      </w:r>
      <w:r w:rsidR="001351BA">
        <w:rPr>
          <w:sz w:val="24"/>
          <w:lang w:val="en-US"/>
        </w:rPr>
        <w:t xml:space="preserve"> hi</w:t>
      </w:r>
      <w:r w:rsidR="001351BA" w:rsidRPr="00D2765A">
        <w:rPr>
          <w:sz w:val="24"/>
          <w:lang w:val="en-US"/>
        </w:rPr>
        <w:t xml:space="preserve">s </w:t>
      </w:r>
      <w:r w:rsidR="001351BA">
        <w:rPr>
          <w:sz w:val="24"/>
          <w:lang w:val="en-US"/>
        </w:rPr>
        <w:t>claim</w:t>
      </w:r>
      <w:r w:rsidR="001351BA" w:rsidRPr="00D2765A">
        <w:rPr>
          <w:sz w:val="24"/>
          <w:lang w:val="en-US"/>
        </w:rPr>
        <w:t xml:space="preserve"> </w:t>
      </w:r>
      <w:r w:rsidRPr="00D2765A">
        <w:rPr>
          <w:sz w:val="24"/>
          <w:lang w:val="en-US"/>
        </w:rPr>
        <w:t>that amalgamations increase</w:t>
      </w:r>
      <w:r>
        <w:rPr>
          <w:sz w:val="24"/>
          <w:lang w:val="en-US"/>
        </w:rPr>
        <w:t>d</w:t>
      </w:r>
      <w:r w:rsidRPr="00D2765A">
        <w:rPr>
          <w:sz w:val="24"/>
          <w:lang w:val="en-US"/>
        </w:rPr>
        <w:t xml:space="preserve"> competition even if </w:t>
      </w:r>
      <w:r>
        <w:rPr>
          <w:sz w:val="24"/>
          <w:lang w:val="en-US"/>
        </w:rPr>
        <w:t xml:space="preserve">there were </w:t>
      </w:r>
      <w:r w:rsidRPr="00D2765A">
        <w:rPr>
          <w:sz w:val="24"/>
          <w:lang w:val="en-US"/>
        </w:rPr>
        <w:t>fewer banks – small local banks tend</w:t>
      </w:r>
      <w:r>
        <w:rPr>
          <w:sz w:val="24"/>
          <w:lang w:val="en-US"/>
        </w:rPr>
        <w:t>ed</w:t>
      </w:r>
      <w:r w:rsidRPr="00D2765A">
        <w:rPr>
          <w:sz w:val="24"/>
          <w:lang w:val="en-US"/>
        </w:rPr>
        <w:t xml:space="preserve"> to ‘live together in the gr</w:t>
      </w:r>
      <w:r>
        <w:rPr>
          <w:sz w:val="24"/>
          <w:lang w:val="en-US"/>
        </w:rPr>
        <w:t>eatest amity’ but larger banks we</w:t>
      </w:r>
      <w:r w:rsidRPr="00D2765A">
        <w:rPr>
          <w:sz w:val="24"/>
          <w:lang w:val="en-US"/>
        </w:rPr>
        <w:t>re more competitive</w:t>
      </w:r>
      <w:r>
        <w:rPr>
          <w:sz w:val="24"/>
          <w:lang w:val="en-US"/>
        </w:rPr>
        <w:t xml:space="preserve">.  Ford Darling thought that </w:t>
      </w:r>
      <w:r w:rsidR="00F76098" w:rsidRPr="00F226D3">
        <w:rPr>
          <w:sz w:val="24"/>
          <w:lang w:val="en-US"/>
        </w:rPr>
        <w:t xml:space="preserve">in places such as Newcastle </w:t>
      </w:r>
      <w:r>
        <w:rPr>
          <w:sz w:val="24"/>
          <w:lang w:val="en-US"/>
        </w:rPr>
        <w:t>there were sufficient banks to ensure</w:t>
      </w:r>
      <w:r w:rsidRPr="00F226D3">
        <w:rPr>
          <w:sz w:val="24"/>
          <w:lang w:val="en-US"/>
        </w:rPr>
        <w:t xml:space="preserve"> competition</w:t>
      </w:r>
      <w:r>
        <w:rPr>
          <w:sz w:val="24"/>
          <w:lang w:val="en-US"/>
        </w:rPr>
        <w:t xml:space="preserve"> despite</w:t>
      </w:r>
      <w:r w:rsidRPr="00F226D3">
        <w:rPr>
          <w:sz w:val="24"/>
          <w:lang w:val="en-US"/>
        </w:rPr>
        <w:t xml:space="preserve"> the overlap</w:t>
      </w:r>
      <w:r w:rsidR="001351BA">
        <w:rPr>
          <w:sz w:val="24"/>
          <w:lang w:val="en-US"/>
        </w:rPr>
        <w:t>ping</w:t>
      </w:r>
      <w:r w:rsidRPr="00F226D3">
        <w:rPr>
          <w:sz w:val="24"/>
          <w:lang w:val="en-US"/>
        </w:rPr>
        <w:t xml:space="preserve"> branch networks</w:t>
      </w:r>
      <w:r>
        <w:rPr>
          <w:sz w:val="24"/>
          <w:lang w:val="en-US"/>
        </w:rPr>
        <w:t xml:space="preserve"> of amalgamating banks</w:t>
      </w:r>
      <w:r w:rsidRPr="00F226D3">
        <w:rPr>
          <w:sz w:val="24"/>
          <w:lang w:val="en-US"/>
        </w:rPr>
        <w:t>.</w:t>
      </w:r>
    </w:p>
    <w:p w14:paraId="5B31DFC2" w14:textId="77777777" w:rsidR="00CB63D5" w:rsidRDefault="00CB63D5" w:rsidP="00CB63D5">
      <w:pPr>
        <w:spacing w:line="480" w:lineRule="auto"/>
        <w:rPr>
          <w:sz w:val="24"/>
          <w:lang w:val="en-US"/>
        </w:rPr>
      </w:pPr>
    </w:p>
    <w:p w14:paraId="23620054" w14:textId="3CFE08A9" w:rsidR="00CB63D5" w:rsidRPr="0039797F" w:rsidRDefault="00CB63D5" w:rsidP="00CB63D5">
      <w:pPr>
        <w:spacing w:line="480" w:lineRule="auto"/>
        <w:rPr>
          <w:sz w:val="24"/>
          <w:lang w:val="en-US"/>
        </w:rPr>
      </w:pPr>
      <w:r>
        <w:rPr>
          <w:sz w:val="24"/>
          <w:lang w:val="en-US"/>
        </w:rPr>
        <w:lastRenderedPageBreak/>
        <w:t xml:space="preserve">In Manchester </w:t>
      </w:r>
      <w:r w:rsidRPr="007801C1">
        <w:rPr>
          <w:sz w:val="24"/>
          <w:lang w:val="en-US"/>
        </w:rPr>
        <w:t>Drummond Fraser</w:t>
      </w:r>
      <w:r>
        <w:rPr>
          <w:sz w:val="24"/>
          <w:lang w:val="en-US"/>
        </w:rPr>
        <w:t xml:space="preserve"> felt well able to compete with </w:t>
      </w:r>
      <w:r w:rsidRPr="007801C1">
        <w:rPr>
          <w:sz w:val="24"/>
          <w:lang w:val="en-US"/>
        </w:rPr>
        <w:t xml:space="preserve">London </w:t>
      </w:r>
      <w:r>
        <w:rPr>
          <w:sz w:val="24"/>
          <w:lang w:val="en-US"/>
        </w:rPr>
        <w:t>b</w:t>
      </w:r>
      <w:r w:rsidRPr="007801C1">
        <w:rPr>
          <w:sz w:val="24"/>
          <w:lang w:val="en-US"/>
        </w:rPr>
        <w:t>anks</w:t>
      </w:r>
      <w:r>
        <w:rPr>
          <w:sz w:val="24"/>
          <w:lang w:val="en-US"/>
        </w:rPr>
        <w:t>. His customers wanted ‘</w:t>
      </w:r>
      <w:r w:rsidRPr="007801C1">
        <w:rPr>
          <w:sz w:val="24"/>
          <w:lang w:val="en-US"/>
        </w:rPr>
        <w:t>the real personal, sympathetic touch</w:t>
      </w:r>
      <w:r>
        <w:rPr>
          <w:sz w:val="24"/>
          <w:lang w:val="en-US"/>
        </w:rPr>
        <w:t xml:space="preserve"> … </w:t>
      </w:r>
      <w:r w:rsidRPr="007801C1">
        <w:rPr>
          <w:sz w:val="24"/>
          <w:lang w:val="en-US"/>
        </w:rPr>
        <w:t>the close personal touch</w:t>
      </w:r>
      <w:r>
        <w:rPr>
          <w:sz w:val="24"/>
          <w:lang w:val="en-US"/>
        </w:rPr>
        <w:t xml:space="preserve"> …</w:t>
      </w:r>
      <w:r w:rsidRPr="006B4850">
        <w:rPr>
          <w:sz w:val="24"/>
          <w:lang w:val="en-US"/>
        </w:rPr>
        <w:t xml:space="preserve"> </w:t>
      </w:r>
      <w:r>
        <w:rPr>
          <w:sz w:val="24"/>
          <w:lang w:val="en-US"/>
        </w:rPr>
        <w:t xml:space="preserve">[not] </w:t>
      </w:r>
      <w:r w:rsidRPr="006B4850">
        <w:rPr>
          <w:sz w:val="24"/>
          <w:lang w:val="en-US"/>
        </w:rPr>
        <w:t>based on the inelastic stereotyped rules necessary under a London control</w:t>
      </w:r>
      <w:r>
        <w:rPr>
          <w:sz w:val="24"/>
          <w:lang w:val="en-US"/>
        </w:rPr>
        <w:t>’</w:t>
      </w:r>
      <w:r w:rsidRPr="007801C1">
        <w:rPr>
          <w:sz w:val="24"/>
          <w:lang w:val="en-US"/>
        </w:rPr>
        <w:t xml:space="preserve">. He claimed to have </w:t>
      </w:r>
      <w:r>
        <w:rPr>
          <w:sz w:val="24"/>
          <w:lang w:val="en-US"/>
        </w:rPr>
        <w:t>acquired</w:t>
      </w:r>
      <w:r w:rsidRPr="007801C1">
        <w:rPr>
          <w:sz w:val="24"/>
          <w:lang w:val="en-US"/>
        </w:rPr>
        <w:t xml:space="preserve"> numerous sound business customers offering security for loans but unwilling to offer the personal guarantees sought by London banks. </w:t>
      </w:r>
      <w:r>
        <w:rPr>
          <w:sz w:val="24"/>
          <w:lang w:val="en-US"/>
        </w:rPr>
        <w:t>E</w:t>
      </w:r>
      <w:r w:rsidRPr="007801C1">
        <w:rPr>
          <w:sz w:val="24"/>
          <w:lang w:val="en-US"/>
        </w:rPr>
        <w:t>qually, he was willing to lose business to London banks when only very fine margins were available.</w:t>
      </w:r>
      <w:r>
        <w:rPr>
          <w:sz w:val="24"/>
          <w:lang w:val="en-US"/>
        </w:rPr>
        <w:t xml:space="preserve"> </w:t>
      </w:r>
      <w:r w:rsidRPr="0039797F">
        <w:rPr>
          <w:sz w:val="24"/>
          <w:lang w:val="en-US"/>
        </w:rPr>
        <w:t>Webb was sceptical of the value of the ‘personal touch’ in banking as borrowers formed only a small proportion of customers</w:t>
      </w:r>
      <w:r>
        <w:rPr>
          <w:sz w:val="24"/>
          <w:lang w:val="en-US"/>
        </w:rPr>
        <w:t xml:space="preserve">; the ‘personal touch’ </w:t>
      </w:r>
      <w:r w:rsidR="00F76098">
        <w:rPr>
          <w:sz w:val="24"/>
          <w:lang w:val="en-US"/>
        </w:rPr>
        <w:t>was irrelevant</w:t>
      </w:r>
      <w:r>
        <w:rPr>
          <w:sz w:val="24"/>
          <w:lang w:val="en-US"/>
        </w:rPr>
        <w:t xml:space="preserve"> to the vast majority of depositors</w:t>
      </w:r>
      <w:r w:rsidRPr="0039797F">
        <w:rPr>
          <w:sz w:val="24"/>
          <w:lang w:val="en-US"/>
        </w:rPr>
        <w:t>.</w:t>
      </w:r>
    </w:p>
    <w:p w14:paraId="01B34ABF" w14:textId="77777777" w:rsidR="00CB63D5" w:rsidRDefault="00CB63D5" w:rsidP="00CB63D5">
      <w:pPr>
        <w:spacing w:line="480" w:lineRule="auto"/>
        <w:rPr>
          <w:sz w:val="24"/>
          <w:lang w:val="en-US"/>
        </w:rPr>
      </w:pPr>
    </w:p>
    <w:p w14:paraId="564725A7" w14:textId="0DF4DE8D" w:rsidR="00CB63D5" w:rsidRPr="00FC629A" w:rsidRDefault="005336D5" w:rsidP="00CB63D5">
      <w:pPr>
        <w:spacing w:line="480" w:lineRule="auto"/>
        <w:rPr>
          <w:sz w:val="24"/>
          <w:lang w:val="en-US"/>
        </w:rPr>
      </w:pPr>
      <w:r>
        <w:rPr>
          <w:sz w:val="24"/>
          <w:lang w:val="en-US"/>
        </w:rPr>
        <w:t xml:space="preserve">The claims of these witnesses in relation to the effects of amalgamations on competition can be </w:t>
      </w:r>
      <w:r w:rsidR="00F76098">
        <w:rPr>
          <w:sz w:val="24"/>
          <w:lang w:val="en-US"/>
        </w:rPr>
        <w:t xml:space="preserve">related </w:t>
      </w:r>
      <w:r>
        <w:rPr>
          <w:sz w:val="24"/>
          <w:lang w:val="en-US"/>
        </w:rPr>
        <w:t>to r</w:t>
      </w:r>
      <w:r w:rsidR="00CB63D5">
        <w:rPr>
          <w:sz w:val="24"/>
          <w:lang w:val="en-US"/>
        </w:rPr>
        <w:t>ecent literature. Hannah details intense pre-World War One local competition in financial services in the city of Oxford (</w:t>
      </w:r>
      <w:r w:rsidR="00CB63D5" w:rsidRPr="0012723B">
        <w:rPr>
          <w:sz w:val="24"/>
        </w:rPr>
        <w:t>Hannah, 2017</w:t>
      </w:r>
      <w:r w:rsidR="00242643">
        <w:rPr>
          <w:sz w:val="24"/>
        </w:rPr>
        <w:t>,</w:t>
      </w:r>
      <w:r w:rsidR="00F159BC">
        <w:rPr>
          <w:sz w:val="24"/>
        </w:rPr>
        <w:t xml:space="preserve"> </w:t>
      </w:r>
      <w:r w:rsidR="00CB63D5" w:rsidRPr="0012723B">
        <w:rPr>
          <w:sz w:val="24"/>
        </w:rPr>
        <w:t>79</w:t>
      </w:r>
      <w:r w:rsidR="00242643">
        <w:rPr>
          <w:sz w:val="24"/>
        </w:rPr>
        <w:t>–</w:t>
      </w:r>
      <w:r w:rsidR="00CB63D5" w:rsidRPr="0012723B">
        <w:rPr>
          <w:sz w:val="24"/>
        </w:rPr>
        <w:t>83</w:t>
      </w:r>
      <w:r w:rsidR="00CB63D5">
        <w:rPr>
          <w:sz w:val="24"/>
          <w:lang w:val="en-US"/>
        </w:rPr>
        <w:t xml:space="preserve">). </w:t>
      </w:r>
      <w:r w:rsidR="001351BA" w:rsidRPr="0012723B">
        <w:rPr>
          <w:sz w:val="24"/>
        </w:rPr>
        <w:t xml:space="preserve">Braggion, Dwarkasing and Moore </w:t>
      </w:r>
      <w:r w:rsidR="001351BA">
        <w:rPr>
          <w:sz w:val="24"/>
        </w:rPr>
        <w:t>(</w:t>
      </w:r>
      <w:r w:rsidR="001351BA" w:rsidRPr="0012723B">
        <w:rPr>
          <w:sz w:val="24"/>
        </w:rPr>
        <w:t>2017</w:t>
      </w:r>
      <w:r w:rsidR="001351BA">
        <w:rPr>
          <w:sz w:val="24"/>
        </w:rPr>
        <w:t>)</w:t>
      </w:r>
      <w:r w:rsidR="00CB63D5">
        <w:rPr>
          <w:sz w:val="24"/>
        </w:rPr>
        <w:t>, however,</w:t>
      </w:r>
      <w:r w:rsidR="00CB63D5" w:rsidRPr="00280981">
        <w:rPr>
          <w:sz w:val="24"/>
        </w:rPr>
        <w:t xml:space="preserve"> </w:t>
      </w:r>
      <w:r w:rsidR="00CB63D5">
        <w:rPr>
          <w:sz w:val="24"/>
        </w:rPr>
        <w:t>find</w:t>
      </w:r>
      <w:r w:rsidR="00CB63D5" w:rsidRPr="00280981">
        <w:rPr>
          <w:sz w:val="24"/>
        </w:rPr>
        <w:t xml:space="preserve"> that amalgamations reduced competition</w:t>
      </w:r>
      <w:r w:rsidR="00CB63D5">
        <w:rPr>
          <w:sz w:val="24"/>
        </w:rPr>
        <w:t xml:space="preserve">: </w:t>
      </w:r>
      <w:r w:rsidR="00CB63D5" w:rsidRPr="00280981">
        <w:rPr>
          <w:sz w:val="24"/>
        </w:rPr>
        <w:t xml:space="preserve">borrowers of comparable quality in counties with higher concentration </w:t>
      </w:r>
      <w:r w:rsidR="00CB63D5">
        <w:rPr>
          <w:sz w:val="24"/>
        </w:rPr>
        <w:t xml:space="preserve">in banking </w:t>
      </w:r>
      <w:r w:rsidR="00CB63D5" w:rsidRPr="00280981">
        <w:rPr>
          <w:sz w:val="24"/>
        </w:rPr>
        <w:t xml:space="preserve">received smaller loans and posted more </w:t>
      </w:r>
      <w:r w:rsidR="00CB63D5">
        <w:rPr>
          <w:sz w:val="24"/>
        </w:rPr>
        <w:t xml:space="preserve">or </w:t>
      </w:r>
      <w:r w:rsidR="00CB63D5" w:rsidRPr="00280981">
        <w:rPr>
          <w:sz w:val="24"/>
        </w:rPr>
        <w:t>higher quality collateral.</w:t>
      </w:r>
    </w:p>
    <w:p w14:paraId="027C4E37" w14:textId="77777777" w:rsidR="00CB63D5" w:rsidRDefault="00CB63D5" w:rsidP="00CB63D5">
      <w:pPr>
        <w:spacing w:line="480" w:lineRule="auto"/>
        <w:rPr>
          <w:sz w:val="24"/>
        </w:rPr>
      </w:pPr>
    </w:p>
    <w:p w14:paraId="75D15697" w14:textId="77777777" w:rsidR="00CB63D5" w:rsidRPr="00D2765A" w:rsidRDefault="00CB63D5" w:rsidP="00CB63D5">
      <w:pPr>
        <w:spacing w:line="480" w:lineRule="auto"/>
        <w:rPr>
          <w:b/>
          <w:i/>
          <w:sz w:val="24"/>
        </w:rPr>
      </w:pPr>
      <w:r w:rsidRPr="00D2765A">
        <w:rPr>
          <w:b/>
          <w:i/>
          <w:sz w:val="24"/>
        </w:rPr>
        <w:t>Concentration</w:t>
      </w:r>
      <w:r>
        <w:rPr>
          <w:b/>
          <w:i/>
          <w:sz w:val="24"/>
        </w:rPr>
        <w:t>, competition and state control</w:t>
      </w:r>
    </w:p>
    <w:p w14:paraId="7AF3CB0D" w14:textId="77777777" w:rsidR="00CB63D5" w:rsidRPr="00FC40FB" w:rsidRDefault="00CB63D5" w:rsidP="00CB63D5">
      <w:pPr>
        <w:spacing w:line="480" w:lineRule="auto"/>
        <w:rPr>
          <w:sz w:val="24"/>
          <w:lang w:val="en-US"/>
        </w:rPr>
      </w:pPr>
    </w:p>
    <w:p w14:paraId="75C1ADBA" w14:textId="3DF2CFFD" w:rsidR="00CB63D5" w:rsidRPr="00280981" w:rsidRDefault="00CB63D5" w:rsidP="00CB63D5">
      <w:pPr>
        <w:spacing w:line="480" w:lineRule="auto"/>
        <w:rPr>
          <w:sz w:val="24"/>
        </w:rPr>
      </w:pPr>
      <w:r>
        <w:rPr>
          <w:sz w:val="24"/>
          <w:lang w:val="en-US"/>
        </w:rPr>
        <w:t xml:space="preserve">Simpson argued that </w:t>
      </w:r>
      <w:r w:rsidRPr="00FC40FB">
        <w:rPr>
          <w:sz w:val="24"/>
          <w:lang w:val="en-US"/>
        </w:rPr>
        <w:t>‘</w:t>
      </w:r>
      <w:r>
        <w:rPr>
          <w:sz w:val="24"/>
          <w:lang w:val="en-US"/>
        </w:rPr>
        <w:t>…</w:t>
      </w:r>
      <w:r w:rsidRPr="00FC40FB">
        <w:rPr>
          <w:sz w:val="24"/>
          <w:lang w:val="en-US"/>
        </w:rPr>
        <w:t xml:space="preserve"> the public is, on the whole, better served by banks today than it was when there wa</w:t>
      </w:r>
      <w:r>
        <w:rPr>
          <w:sz w:val="24"/>
          <w:lang w:val="en-US"/>
        </w:rPr>
        <w:t>s a large number of small banks</w:t>
      </w:r>
      <w:r w:rsidRPr="00FC40FB">
        <w:rPr>
          <w:sz w:val="24"/>
          <w:lang w:val="en-US"/>
        </w:rPr>
        <w:t>’</w:t>
      </w:r>
      <w:r>
        <w:rPr>
          <w:sz w:val="24"/>
          <w:lang w:val="en-US"/>
        </w:rPr>
        <w:t xml:space="preserve">. He was supported by other bankers, most robustly by Holden in a lengthy opening statement. </w:t>
      </w:r>
      <w:r w:rsidRPr="00280981">
        <w:rPr>
          <w:sz w:val="24"/>
        </w:rPr>
        <w:t>Opinions on the number of banks necessary to secure effective competition varied: Cowdray suggested five or six; Ford Darling thought ten</w:t>
      </w:r>
      <w:r>
        <w:rPr>
          <w:sz w:val="24"/>
        </w:rPr>
        <w:t xml:space="preserve">; </w:t>
      </w:r>
      <w:r w:rsidRPr="00280981">
        <w:rPr>
          <w:sz w:val="24"/>
          <w:lang w:val="en-US"/>
        </w:rPr>
        <w:t xml:space="preserve">Foxwell thought that ‘You can have just as keen </w:t>
      </w:r>
      <w:r w:rsidRPr="00280981">
        <w:rPr>
          <w:sz w:val="24"/>
          <w:lang w:val="en-US"/>
        </w:rPr>
        <w:lastRenderedPageBreak/>
        <w:t xml:space="preserve">a competition between three separate interests as between 30’. He was relaxed about competition in London given the presence there of foreign banks but </w:t>
      </w:r>
      <w:r>
        <w:rPr>
          <w:sz w:val="24"/>
          <w:lang w:val="en-US"/>
        </w:rPr>
        <w:t>thought it preferable</w:t>
      </w:r>
      <w:r w:rsidRPr="00280981">
        <w:rPr>
          <w:sz w:val="24"/>
          <w:lang w:val="en-US"/>
        </w:rPr>
        <w:t xml:space="preserve"> to avoid amalgamations </w:t>
      </w:r>
      <w:r>
        <w:rPr>
          <w:sz w:val="24"/>
          <w:lang w:val="en-US"/>
        </w:rPr>
        <w:t xml:space="preserve">which </w:t>
      </w:r>
      <w:r w:rsidRPr="00280981">
        <w:rPr>
          <w:sz w:val="24"/>
          <w:lang w:val="en-US"/>
        </w:rPr>
        <w:t>creat</w:t>
      </w:r>
      <w:r>
        <w:rPr>
          <w:sz w:val="24"/>
          <w:lang w:val="en-US"/>
        </w:rPr>
        <w:t>ed</w:t>
      </w:r>
      <w:r w:rsidRPr="00280981">
        <w:rPr>
          <w:sz w:val="24"/>
          <w:lang w:val="en-US"/>
        </w:rPr>
        <w:t xml:space="preserve"> banks with more than £250m in deposits.</w:t>
      </w:r>
      <w:r w:rsidRPr="00D76077">
        <w:rPr>
          <w:sz w:val="24"/>
          <w:lang w:val="en-US"/>
        </w:rPr>
        <w:t xml:space="preserve"> </w:t>
      </w:r>
      <w:r>
        <w:rPr>
          <w:sz w:val="24"/>
          <w:lang w:val="en-US"/>
        </w:rPr>
        <w:t>Holden specified no number, merely stating that there should be a ‘</w:t>
      </w:r>
      <w:r w:rsidRPr="00D76077">
        <w:rPr>
          <w:sz w:val="24"/>
          <w:lang w:val="en-US"/>
        </w:rPr>
        <w:t>sufficient number of powerful Banks to ensure free competition</w:t>
      </w:r>
      <w:r>
        <w:rPr>
          <w:sz w:val="24"/>
          <w:lang w:val="en-US"/>
        </w:rPr>
        <w:t>’.</w:t>
      </w:r>
    </w:p>
    <w:p w14:paraId="2232AA17" w14:textId="77777777" w:rsidR="00CB63D5" w:rsidRDefault="00CB63D5" w:rsidP="00CB63D5">
      <w:pPr>
        <w:spacing w:line="480" w:lineRule="auto"/>
        <w:rPr>
          <w:sz w:val="24"/>
          <w:lang w:val="en-US"/>
        </w:rPr>
      </w:pPr>
    </w:p>
    <w:p w14:paraId="0CB3EF07" w14:textId="060A8F28" w:rsidR="00CB63D5" w:rsidRDefault="00CB63D5" w:rsidP="00CB63D5">
      <w:pPr>
        <w:spacing w:line="480" w:lineRule="auto"/>
        <w:rPr>
          <w:sz w:val="24"/>
        </w:rPr>
      </w:pPr>
      <w:r w:rsidRPr="001F6B74">
        <w:rPr>
          <w:sz w:val="24"/>
          <w:lang w:val="en-US"/>
        </w:rPr>
        <w:t>Goodwin’s Co-operative Wholesale Society’s Bank acted for the Co-operative Movement and did not compete directly for commercial banking business. It did</w:t>
      </w:r>
      <w:r w:rsidR="001351BA">
        <w:rPr>
          <w:sz w:val="24"/>
          <w:lang w:val="en-US"/>
        </w:rPr>
        <w:t>,</w:t>
      </w:r>
      <w:r w:rsidRPr="001F6B74">
        <w:rPr>
          <w:sz w:val="24"/>
          <w:lang w:val="en-US"/>
        </w:rPr>
        <w:t xml:space="preserve"> however</w:t>
      </w:r>
      <w:r w:rsidR="001351BA">
        <w:rPr>
          <w:sz w:val="24"/>
          <w:lang w:val="en-US"/>
        </w:rPr>
        <w:t>,</w:t>
      </w:r>
      <w:r w:rsidRPr="001F6B74">
        <w:rPr>
          <w:sz w:val="24"/>
          <w:lang w:val="en-US"/>
        </w:rPr>
        <w:t xml:space="preserve"> use other banks as agents and he considered further amalgamations could be detrimental to his own bank’s interests.</w:t>
      </w:r>
      <w:r>
        <w:rPr>
          <w:sz w:val="24"/>
          <w:lang w:val="en-US"/>
        </w:rPr>
        <w:t xml:space="preserve"> </w:t>
      </w:r>
      <w:r>
        <w:rPr>
          <w:sz w:val="24"/>
        </w:rPr>
        <w:t>Goodwin articulated a point made by several witnesses of different persuasions</w:t>
      </w:r>
      <w:r>
        <w:rPr>
          <w:sz w:val="24"/>
          <w:lang w:val="en-US"/>
        </w:rPr>
        <w:t>:</w:t>
      </w:r>
      <w:r>
        <w:rPr>
          <w:sz w:val="24"/>
        </w:rPr>
        <w:t xml:space="preserve"> </w:t>
      </w:r>
      <w:r w:rsidRPr="00E50555">
        <w:rPr>
          <w:sz w:val="24"/>
          <w:lang w:val="en-US"/>
        </w:rPr>
        <w:t>‘… the very fact of the banking business of the country getting into a few hands will</w:t>
      </w:r>
      <w:r>
        <w:rPr>
          <w:sz w:val="24"/>
          <w:lang w:val="en-US"/>
        </w:rPr>
        <w:t xml:space="preserve"> …</w:t>
      </w:r>
      <w:r w:rsidRPr="00E50555">
        <w:rPr>
          <w:sz w:val="24"/>
          <w:lang w:val="en-US"/>
        </w:rPr>
        <w:t xml:space="preserve"> make it all the more easy fo</w:t>
      </w:r>
      <w:r>
        <w:rPr>
          <w:sz w:val="24"/>
          <w:lang w:val="en-US"/>
        </w:rPr>
        <w:t xml:space="preserve">r a transfer to State control’. Addis thought that continuing amalgamations </w:t>
      </w:r>
      <w:r w:rsidRPr="001F6B74">
        <w:rPr>
          <w:sz w:val="24"/>
          <w:lang w:val="en-US"/>
        </w:rPr>
        <w:t>encourage</w:t>
      </w:r>
      <w:r>
        <w:rPr>
          <w:sz w:val="24"/>
          <w:lang w:val="en-US"/>
        </w:rPr>
        <w:t xml:space="preserve">d </w:t>
      </w:r>
      <w:r w:rsidRPr="001F6B74">
        <w:rPr>
          <w:sz w:val="24"/>
          <w:lang w:val="en-US"/>
        </w:rPr>
        <w:t xml:space="preserve">socialists to counter </w:t>
      </w:r>
      <w:r>
        <w:rPr>
          <w:sz w:val="24"/>
          <w:lang w:val="en-US"/>
        </w:rPr>
        <w:t xml:space="preserve">the </w:t>
      </w:r>
      <w:r w:rsidRPr="001F6B74">
        <w:rPr>
          <w:sz w:val="24"/>
          <w:lang w:val="en-US"/>
        </w:rPr>
        <w:t>too-big-to-fail</w:t>
      </w:r>
      <w:r>
        <w:rPr>
          <w:sz w:val="24"/>
          <w:lang w:val="en-US"/>
        </w:rPr>
        <w:t xml:space="preserve"> problem</w:t>
      </w:r>
      <w:r w:rsidRPr="001F6B74">
        <w:rPr>
          <w:sz w:val="24"/>
          <w:lang w:val="en-US"/>
        </w:rPr>
        <w:t>: ‘No Government, obviously, could afford, for National reasons, to allow one of those banks to become insolvent. From guarantee to control is only a step, and from control to Socialism</w:t>
      </w:r>
      <w:r>
        <w:rPr>
          <w:sz w:val="24"/>
          <w:lang w:val="en-US"/>
        </w:rPr>
        <w:t xml:space="preserve"> is only one step more removed’.</w:t>
      </w:r>
    </w:p>
    <w:p w14:paraId="6DE59BA2" w14:textId="77777777" w:rsidR="00CB63D5" w:rsidRPr="000C017D" w:rsidRDefault="00CB63D5" w:rsidP="00CB63D5">
      <w:pPr>
        <w:spacing w:line="480" w:lineRule="auto"/>
        <w:rPr>
          <w:sz w:val="24"/>
          <w:lang w:val="en-US"/>
        </w:rPr>
      </w:pPr>
    </w:p>
    <w:p w14:paraId="1C90899E" w14:textId="61863215" w:rsidR="00CB63D5" w:rsidRPr="00B015C9" w:rsidRDefault="00CB63D5" w:rsidP="00CB63D5">
      <w:pPr>
        <w:spacing w:line="480" w:lineRule="auto"/>
        <w:rPr>
          <w:sz w:val="24"/>
          <w:lang w:val="en-US"/>
        </w:rPr>
      </w:pPr>
      <w:r>
        <w:rPr>
          <w:sz w:val="24"/>
        </w:rPr>
        <w:t xml:space="preserve">The only socialist witness, </w:t>
      </w:r>
      <w:r w:rsidRPr="00C009B2">
        <w:rPr>
          <w:sz w:val="24"/>
        </w:rPr>
        <w:t>Webb</w:t>
      </w:r>
      <w:r>
        <w:rPr>
          <w:sz w:val="24"/>
        </w:rPr>
        <w:t>, faced sceptical but respectful questioning.</w:t>
      </w:r>
      <w:r>
        <w:rPr>
          <w:rStyle w:val="EndnoteReference"/>
          <w:sz w:val="24"/>
        </w:rPr>
        <w:endnoteReference w:id="22"/>
      </w:r>
      <w:r>
        <w:rPr>
          <w:sz w:val="24"/>
        </w:rPr>
        <w:t xml:space="preserve"> He viewed </w:t>
      </w:r>
      <w:r w:rsidRPr="00A94008">
        <w:rPr>
          <w:sz w:val="24"/>
        </w:rPr>
        <w:t xml:space="preserve">deposit </w:t>
      </w:r>
      <w:r>
        <w:rPr>
          <w:sz w:val="24"/>
        </w:rPr>
        <w:t>banking as a natural monopoly or oligopoly in that the fewer banks existed, the less inclined depositors would be to ‘run’ on an individual bank.</w:t>
      </w:r>
      <w:r w:rsidRPr="00A94008">
        <w:rPr>
          <w:sz w:val="24"/>
        </w:rPr>
        <w:t xml:space="preserve"> </w:t>
      </w:r>
      <w:r>
        <w:rPr>
          <w:sz w:val="24"/>
        </w:rPr>
        <w:t>He thought that the banks would bring nationalisation upon themselves by pursuing amalgamations</w:t>
      </w:r>
      <w:r w:rsidR="001351BA">
        <w:rPr>
          <w:sz w:val="24"/>
          <w:lang w:val="en-US"/>
        </w:rPr>
        <w:t xml:space="preserve"> which</w:t>
      </w:r>
      <w:r>
        <w:rPr>
          <w:sz w:val="24"/>
        </w:rPr>
        <w:t xml:space="preserve"> would </w:t>
      </w:r>
      <w:r w:rsidR="001351BA">
        <w:rPr>
          <w:sz w:val="24"/>
        </w:rPr>
        <w:t>lead to</w:t>
      </w:r>
      <w:r w:rsidRPr="00FA6AB7">
        <w:rPr>
          <w:sz w:val="24"/>
          <w:lang w:val="en-US"/>
        </w:rPr>
        <w:t xml:space="preserve"> </w:t>
      </w:r>
      <w:r>
        <w:rPr>
          <w:sz w:val="24"/>
          <w:lang w:val="en-US"/>
        </w:rPr>
        <w:t xml:space="preserve">‘… </w:t>
      </w:r>
      <w:r w:rsidRPr="00FA6AB7">
        <w:rPr>
          <w:sz w:val="24"/>
          <w:lang w:val="en-US"/>
        </w:rPr>
        <w:t>too perilous a power to remain in the hands of private persons</w:t>
      </w:r>
      <w:r>
        <w:rPr>
          <w:sz w:val="24"/>
          <w:lang w:val="en-US"/>
        </w:rPr>
        <w:t xml:space="preserve"> for private purposes</w:t>
      </w:r>
      <w:r w:rsidRPr="00FA6AB7">
        <w:rPr>
          <w:sz w:val="24"/>
          <w:lang w:val="en-US"/>
        </w:rPr>
        <w:t>’</w:t>
      </w:r>
      <w:r>
        <w:rPr>
          <w:sz w:val="24"/>
          <w:lang w:val="en-US"/>
        </w:rPr>
        <w:t xml:space="preserve">. </w:t>
      </w:r>
      <w:r>
        <w:rPr>
          <w:sz w:val="24"/>
        </w:rPr>
        <w:t xml:space="preserve">The logical solution was for a single bank </w:t>
      </w:r>
      <w:r>
        <w:rPr>
          <w:sz w:val="24"/>
          <w:lang w:val="en-US"/>
        </w:rPr>
        <w:t>‘</w:t>
      </w:r>
      <w:r w:rsidRPr="00FA6AB7">
        <w:rPr>
          <w:sz w:val="24"/>
          <w:lang w:val="en-US"/>
        </w:rPr>
        <w:t>under public control</w:t>
      </w:r>
      <w:r>
        <w:rPr>
          <w:sz w:val="24"/>
          <w:lang w:val="en-US"/>
        </w:rPr>
        <w:t xml:space="preserve">’. He </w:t>
      </w:r>
      <w:r w:rsidRPr="00FA6AB7">
        <w:rPr>
          <w:sz w:val="24"/>
          <w:lang w:val="en-US"/>
        </w:rPr>
        <w:t xml:space="preserve">declined to specify any particular form of public ownership saying ‘I should put it into the hands of the community’, but defended the Labour </w:t>
      </w:r>
      <w:r w:rsidRPr="00FA6AB7">
        <w:rPr>
          <w:sz w:val="24"/>
          <w:lang w:val="en-US"/>
        </w:rPr>
        <w:lastRenderedPageBreak/>
        <w:t>Party against assertions that it advocated nationali</w:t>
      </w:r>
      <w:r w:rsidR="007819AC">
        <w:rPr>
          <w:sz w:val="24"/>
          <w:lang w:val="en-US"/>
        </w:rPr>
        <w:t>s</w:t>
      </w:r>
      <w:r w:rsidRPr="00FA6AB7">
        <w:rPr>
          <w:sz w:val="24"/>
          <w:lang w:val="en-US"/>
        </w:rPr>
        <w:t>ation without compensation. He confirmed bank shareholders should be bought out on ‘quite equitable terms’ with ‘full and complete compensation’.</w:t>
      </w:r>
      <w:r>
        <w:rPr>
          <w:sz w:val="24"/>
          <w:lang w:val="en-US"/>
        </w:rPr>
        <w:t xml:space="preserve"> In response to </w:t>
      </w:r>
      <w:r w:rsidRPr="00FA6AB7">
        <w:rPr>
          <w:sz w:val="24"/>
          <w:lang w:val="en-US"/>
        </w:rPr>
        <w:t>Keswick</w:t>
      </w:r>
      <w:r>
        <w:rPr>
          <w:sz w:val="24"/>
          <w:lang w:val="en-US"/>
        </w:rPr>
        <w:t>’s question</w:t>
      </w:r>
      <w:r w:rsidRPr="00FA6AB7">
        <w:rPr>
          <w:sz w:val="24"/>
          <w:lang w:val="en-US"/>
        </w:rPr>
        <w:t xml:space="preserve"> ‘… w</w:t>
      </w:r>
      <w:r>
        <w:rPr>
          <w:sz w:val="24"/>
          <w:lang w:val="en-US"/>
        </w:rPr>
        <w:t>here is nationali</w:t>
      </w:r>
      <w:r w:rsidR="007819AC">
        <w:rPr>
          <w:sz w:val="24"/>
          <w:lang w:val="en-US"/>
        </w:rPr>
        <w:t>s</w:t>
      </w:r>
      <w:r>
        <w:rPr>
          <w:sz w:val="24"/>
          <w:lang w:val="en-US"/>
        </w:rPr>
        <w:t>ation to stop</w:t>
      </w:r>
      <w:r w:rsidRPr="00FA6AB7">
        <w:rPr>
          <w:sz w:val="24"/>
          <w:lang w:val="en-US"/>
        </w:rPr>
        <w:t>’</w:t>
      </w:r>
      <w:r>
        <w:rPr>
          <w:sz w:val="24"/>
          <w:lang w:val="en-US"/>
        </w:rPr>
        <w:t xml:space="preserve">, </w:t>
      </w:r>
      <w:r w:rsidRPr="00FA6AB7">
        <w:rPr>
          <w:sz w:val="24"/>
          <w:lang w:val="en-US"/>
        </w:rPr>
        <w:t>Webb</w:t>
      </w:r>
      <w:r>
        <w:rPr>
          <w:sz w:val="24"/>
          <w:lang w:val="en-US"/>
        </w:rPr>
        <w:t xml:space="preserve"> replied</w:t>
      </w:r>
      <w:r w:rsidRPr="00FA6AB7">
        <w:rPr>
          <w:sz w:val="24"/>
          <w:lang w:val="en-US"/>
        </w:rPr>
        <w:t>: ‘I should be sorry to put a limit to it, because we are only at the beginning of eternity. I</w:t>
      </w:r>
      <w:r>
        <w:rPr>
          <w:sz w:val="24"/>
          <w:lang w:val="en-US"/>
        </w:rPr>
        <w:t xml:space="preserve"> cannot say where it would stop</w:t>
      </w:r>
      <w:r w:rsidRPr="00FA6AB7">
        <w:rPr>
          <w:sz w:val="24"/>
          <w:lang w:val="en-US"/>
        </w:rPr>
        <w:t>’</w:t>
      </w:r>
      <w:r>
        <w:rPr>
          <w:sz w:val="24"/>
          <w:lang w:val="en-US"/>
        </w:rPr>
        <w:t>.</w:t>
      </w:r>
      <w:r w:rsidRPr="0094362B">
        <w:rPr>
          <w:sz w:val="24"/>
          <w:vertAlign w:val="superscript"/>
        </w:rPr>
        <w:t xml:space="preserve"> </w:t>
      </w:r>
      <w:r w:rsidRPr="00FA6AB7">
        <w:rPr>
          <w:sz w:val="24"/>
          <w:vertAlign w:val="superscript"/>
        </w:rPr>
        <w:endnoteReference w:id="23"/>
      </w:r>
      <w:r>
        <w:rPr>
          <w:sz w:val="24"/>
          <w:lang w:val="en-US"/>
        </w:rPr>
        <w:t xml:space="preserve"> Other Committee members (</w:t>
      </w:r>
      <w:r w:rsidRPr="00FA6AB7">
        <w:rPr>
          <w:sz w:val="24"/>
          <w:lang w:val="en-US"/>
        </w:rPr>
        <w:t>Manville and Purcell</w:t>
      </w:r>
      <w:r>
        <w:rPr>
          <w:sz w:val="24"/>
          <w:lang w:val="en-US"/>
        </w:rPr>
        <w:t xml:space="preserve">) </w:t>
      </w:r>
      <w:r w:rsidRPr="00FA6AB7">
        <w:rPr>
          <w:sz w:val="24"/>
          <w:lang w:val="en-US"/>
        </w:rPr>
        <w:t>press</w:t>
      </w:r>
      <w:r>
        <w:rPr>
          <w:sz w:val="24"/>
          <w:lang w:val="en-US"/>
        </w:rPr>
        <w:t>ed Webb as to</w:t>
      </w:r>
      <w:r w:rsidRPr="00FA6AB7">
        <w:rPr>
          <w:sz w:val="24"/>
          <w:lang w:val="en-US"/>
        </w:rPr>
        <w:t xml:space="preserve"> why </w:t>
      </w:r>
      <w:r>
        <w:rPr>
          <w:sz w:val="24"/>
          <w:lang w:val="en-US"/>
        </w:rPr>
        <w:t xml:space="preserve">the state </w:t>
      </w:r>
      <w:r w:rsidRPr="00FA6AB7">
        <w:rPr>
          <w:sz w:val="24"/>
          <w:lang w:val="en-US"/>
        </w:rPr>
        <w:t>should take on banking risks</w:t>
      </w:r>
      <w:r>
        <w:rPr>
          <w:sz w:val="24"/>
          <w:lang w:val="en-US"/>
        </w:rPr>
        <w:t xml:space="preserve">. </w:t>
      </w:r>
      <w:r w:rsidR="005458BD">
        <w:rPr>
          <w:sz w:val="24"/>
          <w:lang w:val="en-US"/>
        </w:rPr>
        <w:t xml:space="preserve">In </w:t>
      </w:r>
      <w:r>
        <w:rPr>
          <w:sz w:val="24"/>
          <w:lang w:val="en-US"/>
        </w:rPr>
        <w:t xml:space="preserve">response </w:t>
      </w:r>
      <w:r w:rsidR="005458BD">
        <w:rPr>
          <w:sz w:val="24"/>
          <w:lang w:val="en-US"/>
        </w:rPr>
        <w:t xml:space="preserve">he </w:t>
      </w:r>
      <w:r w:rsidRPr="00FA6AB7">
        <w:rPr>
          <w:sz w:val="24"/>
          <w:lang w:val="en-US"/>
        </w:rPr>
        <w:t>cite</w:t>
      </w:r>
      <w:r w:rsidR="005458BD">
        <w:rPr>
          <w:sz w:val="24"/>
          <w:lang w:val="en-US"/>
        </w:rPr>
        <w:t>d</w:t>
      </w:r>
      <w:r>
        <w:rPr>
          <w:sz w:val="24"/>
          <w:lang w:val="en-US"/>
        </w:rPr>
        <w:t xml:space="preserve"> the</w:t>
      </w:r>
      <w:r w:rsidRPr="00FA6AB7">
        <w:rPr>
          <w:sz w:val="24"/>
          <w:lang w:val="en-US"/>
        </w:rPr>
        <w:t xml:space="preserve"> Commonwealth Bank of Australia as </w:t>
      </w:r>
      <w:r>
        <w:rPr>
          <w:sz w:val="24"/>
          <w:lang w:val="en-US"/>
        </w:rPr>
        <w:t xml:space="preserve">an </w:t>
      </w:r>
      <w:r w:rsidRPr="00FA6AB7">
        <w:rPr>
          <w:sz w:val="24"/>
          <w:lang w:val="en-US"/>
        </w:rPr>
        <w:t>example</w:t>
      </w:r>
      <w:r>
        <w:rPr>
          <w:sz w:val="24"/>
          <w:lang w:val="en-US"/>
        </w:rPr>
        <w:t xml:space="preserve"> of state involvement in banking and </w:t>
      </w:r>
      <w:r w:rsidRPr="00FA6AB7">
        <w:rPr>
          <w:sz w:val="24"/>
          <w:lang w:val="en-US"/>
        </w:rPr>
        <w:t>argue</w:t>
      </w:r>
      <w:r>
        <w:rPr>
          <w:sz w:val="24"/>
          <w:lang w:val="en-US"/>
        </w:rPr>
        <w:t xml:space="preserve">d for separation of the </w:t>
      </w:r>
      <w:r w:rsidRPr="001711EA">
        <w:rPr>
          <w:sz w:val="24"/>
          <w:lang w:val="en-US"/>
        </w:rPr>
        <w:t>deposit-taking and lending functions</w:t>
      </w:r>
      <w:r>
        <w:rPr>
          <w:sz w:val="24"/>
          <w:lang w:val="en-US"/>
        </w:rPr>
        <w:t xml:space="preserve">; the </w:t>
      </w:r>
      <w:r w:rsidRPr="001711EA">
        <w:rPr>
          <w:sz w:val="24"/>
          <w:lang w:val="en-US"/>
        </w:rPr>
        <w:t xml:space="preserve">state </w:t>
      </w:r>
      <w:r>
        <w:rPr>
          <w:sz w:val="24"/>
          <w:lang w:val="en-US"/>
        </w:rPr>
        <w:t>should</w:t>
      </w:r>
      <w:r w:rsidRPr="001711EA">
        <w:rPr>
          <w:sz w:val="24"/>
          <w:lang w:val="en-US"/>
        </w:rPr>
        <w:t xml:space="preserve"> take deposits</w:t>
      </w:r>
      <w:r>
        <w:rPr>
          <w:sz w:val="24"/>
          <w:lang w:val="en-US"/>
        </w:rPr>
        <w:t xml:space="preserve"> and </w:t>
      </w:r>
      <w:r w:rsidRPr="00FA6AB7">
        <w:rPr>
          <w:sz w:val="24"/>
          <w:lang w:val="en-US"/>
        </w:rPr>
        <w:t>lend</w:t>
      </w:r>
      <w:r>
        <w:rPr>
          <w:sz w:val="24"/>
          <w:lang w:val="en-US"/>
        </w:rPr>
        <w:t xml:space="preserve"> or </w:t>
      </w:r>
      <w:r w:rsidRPr="00FA6AB7">
        <w:rPr>
          <w:sz w:val="24"/>
          <w:lang w:val="en-US"/>
        </w:rPr>
        <w:t xml:space="preserve">provide capital to financial corporations to undertake </w:t>
      </w:r>
      <w:r>
        <w:rPr>
          <w:sz w:val="24"/>
          <w:lang w:val="en-US"/>
        </w:rPr>
        <w:t>business lending.</w:t>
      </w:r>
    </w:p>
    <w:p w14:paraId="6FFC3E4C" w14:textId="77777777" w:rsidR="00CB63D5" w:rsidRDefault="00CB63D5" w:rsidP="00CB63D5">
      <w:pPr>
        <w:spacing w:line="480" w:lineRule="auto"/>
        <w:rPr>
          <w:sz w:val="24"/>
        </w:rPr>
      </w:pPr>
    </w:p>
    <w:p w14:paraId="3AEEE9E3" w14:textId="77777777" w:rsidR="00CB63D5" w:rsidRPr="00C10105" w:rsidRDefault="00CB63D5" w:rsidP="00CB63D5">
      <w:pPr>
        <w:spacing w:line="480" w:lineRule="auto"/>
        <w:rPr>
          <w:b/>
          <w:i/>
          <w:sz w:val="24"/>
        </w:rPr>
      </w:pPr>
      <w:r w:rsidRPr="00C10105">
        <w:rPr>
          <w:b/>
          <w:i/>
          <w:sz w:val="24"/>
        </w:rPr>
        <w:t>Attitudes to regulation</w:t>
      </w:r>
    </w:p>
    <w:p w14:paraId="7A8F821A" w14:textId="77777777" w:rsidR="00CB63D5" w:rsidRDefault="00CB63D5" w:rsidP="00CB63D5">
      <w:pPr>
        <w:spacing w:line="480" w:lineRule="auto"/>
        <w:rPr>
          <w:sz w:val="24"/>
        </w:rPr>
      </w:pPr>
    </w:p>
    <w:p w14:paraId="6E7F1B13" w14:textId="4859955A" w:rsidR="00CB63D5" w:rsidRDefault="005458BD" w:rsidP="00CB63D5">
      <w:pPr>
        <w:spacing w:line="480" w:lineRule="auto"/>
        <w:rPr>
          <w:sz w:val="24"/>
          <w:lang w:val="en-US"/>
        </w:rPr>
      </w:pPr>
      <w:r>
        <w:rPr>
          <w:sz w:val="24"/>
          <w:lang w:val="en-US"/>
        </w:rPr>
        <w:t xml:space="preserve">Witnesses’ </w:t>
      </w:r>
      <w:r w:rsidR="00CB63D5">
        <w:rPr>
          <w:sz w:val="24"/>
          <w:lang w:val="en-US"/>
        </w:rPr>
        <w:t>attitudes to regulation varied, with some in favour and others deeply opposed. Cowdray proposed legislation</w:t>
      </w:r>
      <w:r w:rsidR="00CB63D5" w:rsidRPr="00B015C9">
        <w:rPr>
          <w:sz w:val="24"/>
          <w:lang w:val="en-US"/>
        </w:rPr>
        <w:t xml:space="preserve"> to require banks to report to </w:t>
      </w:r>
      <w:r w:rsidR="00CB63D5">
        <w:rPr>
          <w:sz w:val="24"/>
          <w:lang w:val="en-US"/>
        </w:rPr>
        <w:t xml:space="preserve">the </w:t>
      </w:r>
      <w:r w:rsidR="00CB63D5" w:rsidRPr="00B015C9">
        <w:rPr>
          <w:sz w:val="24"/>
          <w:lang w:val="en-US"/>
        </w:rPr>
        <w:t>Board of Trade any actual or contemplated anti-competitive arrangements</w:t>
      </w:r>
      <w:r w:rsidR="00CB63D5">
        <w:rPr>
          <w:sz w:val="24"/>
          <w:lang w:val="en-US"/>
        </w:rPr>
        <w:t xml:space="preserve">. </w:t>
      </w:r>
      <w:r w:rsidR="00CB63D5" w:rsidRPr="00102BD9">
        <w:rPr>
          <w:sz w:val="24"/>
          <w:lang w:val="en-US"/>
        </w:rPr>
        <w:t>Farrer</w:t>
      </w:r>
      <w:r w:rsidR="00CB63D5">
        <w:rPr>
          <w:sz w:val="24"/>
          <w:lang w:val="en-US"/>
        </w:rPr>
        <w:t xml:space="preserve"> thought that</w:t>
      </w:r>
      <w:r w:rsidR="00CB63D5" w:rsidRPr="00102BD9">
        <w:rPr>
          <w:sz w:val="24"/>
          <w:lang w:val="en-US"/>
        </w:rPr>
        <w:t xml:space="preserve"> amalgamations </w:t>
      </w:r>
      <w:r w:rsidR="00CB63D5">
        <w:rPr>
          <w:sz w:val="24"/>
          <w:lang w:val="en-US"/>
        </w:rPr>
        <w:t xml:space="preserve">should have been </w:t>
      </w:r>
      <w:r w:rsidR="00CB63D5" w:rsidRPr="00102BD9">
        <w:rPr>
          <w:sz w:val="24"/>
          <w:lang w:val="en-US"/>
        </w:rPr>
        <w:t xml:space="preserve">deferred during wartime and had tried to persuade </w:t>
      </w:r>
      <w:r w:rsidR="00CB63D5">
        <w:rPr>
          <w:sz w:val="24"/>
          <w:lang w:val="en-US"/>
        </w:rPr>
        <w:t xml:space="preserve">the </w:t>
      </w:r>
      <w:r w:rsidR="00CB63D5" w:rsidRPr="00102BD9">
        <w:rPr>
          <w:sz w:val="24"/>
          <w:lang w:val="en-US"/>
        </w:rPr>
        <w:t>Board of Trade of this</w:t>
      </w:r>
      <w:r w:rsidR="00CB63D5">
        <w:rPr>
          <w:sz w:val="24"/>
          <w:lang w:val="en-US"/>
        </w:rPr>
        <w:t>.</w:t>
      </w:r>
      <w:r w:rsidR="00CB63D5" w:rsidRPr="00BA75E0">
        <w:rPr>
          <w:sz w:val="24"/>
          <w:lang w:val="en-US"/>
        </w:rPr>
        <w:t xml:space="preserve"> </w:t>
      </w:r>
      <w:r w:rsidR="00CB63D5">
        <w:rPr>
          <w:sz w:val="24"/>
          <w:lang w:val="en-US"/>
        </w:rPr>
        <w:t>Stoll advocated</w:t>
      </w:r>
      <w:r w:rsidR="00CB63D5" w:rsidRPr="00BA75E0">
        <w:rPr>
          <w:sz w:val="24"/>
          <w:lang w:val="en-US"/>
        </w:rPr>
        <w:t xml:space="preserve"> safeguards against </w:t>
      </w:r>
      <w:r w:rsidR="00CB63D5">
        <w:rPr>
          <w:sz w:val="24"/>
          <w:lang w:val="en-US"/>
        </w:rPr>
        <w:t xml:space="preserve">the </w:t>
      </w:r>
      <w:r w:rsidR="00CB63D5" w:rsidRPr="00BA75E0">
        <w:rPr>
          <w:sz w:val="24"/>
          <w:lang w:val="en-US"/>
        </w:rPr>
        <w:t>excessive power of banks</w:t>
      </w:r>
      <w:r w:rsidR="00CB63D5">
        <w:rPr>
          <w:sz w:val="24"/>
          <w:lang w:val="en-US"/>
        </w:rPr>
        <w:t>.</w:t>
      </w:r>
      <w:r w:rsidR="00CB63D5" w:rsidRPr="00BF7E3F">
        <w:rPr>
          <w:sz w:val="24"/>
          <w:lang w:val="en-US"/>
        </w:rPr>
        <w:t xml:space="preserve"> Courtney Johnston argued </w:t>
      </w:r>
      <w:r w:rsidR="00CB63D5">
        <w:rPr>
          <w:sz w:val="24"/>
          <w:lang w:val="en-US"/>
        </w:rPr>
        <w:t>for</w:t>
      </w:r>
      <w:r w:rsidR="00CB63D5" w:rsidRPr="00BF7E3F">
        <w:rPr>
          <w:sz w:val="24"/>
          <w:lang w:val="en-US"/>
        </w:rPr>
        <w:t xml:space="preserve"> safeguards around banking to prevent local funds being used to finance ‘foreign competitors’.</w:t>
      </w:r>
      <w:r w:rsidR="00CB63D5" w:rsidRPr="001711EA">
        <w:rPr>
          <w:sz w:val="24"/>
          <w:lang w:val="en-US"/>
        </w:rPr>
        <w:t xml:space="preserve"> Webb</w:t>
      </w:r>
      <w:r w:rsidR="00CB63D5">
        <w:rPr>
          <w:sz w:val="24"/>
          <w:lang w:val="en-US"/>
        </w:rPr>
        <w:t>, however, thought that</w:t>
      </w:r>
      <w:r w:rsidR="00CB63D5" w:rsidRPr="001711EA">
        <w:rPr>
          <w:sz w:val="24"/>
          <w:lang w:val="en-US"/>
        </w:rPr>
        <w:t xml:space="preserve"> legislation to control amalgamations would be ‘sham’</w:t>
      </w:r>
      <w:r w:rsidR="00CB63D5">
        <w:rPr>
          <w:sz w:val="24"/>
          <w:lang w:val="en-US"/>
        </w:rPr>
        <w:t>.</w:t>
      </w:r>
    </w:p>
    <w:p w14:paraId="1D3E9D05" w14:textId="77777777" w:rsidR="00CB63D5" w:rsidRDefault="00CB63D5" w:rsidP="00CB63D5">
      <w:pPr>
        <w:spacing w:line="480" w:lineRule="auto"/>
        <w:rPr>
          <w:sz w:val="24"/>
          <w:lang w:val="en-US"/>
        </w:rPr>
      </w:pPr>
    </w:p>
    <w:p w14:paraId="061A78B3" w14:textId="05541A5C" w:rsidR="00CB63D5" w:rsidRDefault="00CB63D5" w:rsidP="00CB63D5">
      <w:pPr>
        <w:spacing w:line="480" w:lineRule="auto"/>
        <w:rPr>
          <w:sz w:val="24"/>
          <w:lang w:val="en-US"/>
        </w:rPr>
      </w:pPr>
      <w:r w:rsidRPr="00C72608">
        <w:rPr>
          <w:sz w:val="24"/>
          <w:lang w:val="en-US"/>
        </w:rPr>
        <w:t xml:space="preserve">Some witnesses stressed the importance of transparency. Drummond Fraser called for transparency of capital ratios and advocated monthly publication of uniform balance sheets. Flux discussed the nature and regulation of banking in Canada, noting </w:t>
      </w:r>
      <w:r w:rsidRPr="00C72608">
        <w:rPr>
          <w:sz w:val="24"/>
          <w:lang w:val="en-US"/>
        </w:rPr>
        <w:lastRenderedPageBreak/>
        <w:t>transparency through publication of shareholder lists, monthly accounts, and loans to directors and businesses connected to them.</w:t>
      </w:r>
      <w:r>
        <w:rPr>
          <w:sz w:val="24"/>
          <w:lang w:val="en-US"/>
        </w:rPr>
        <w:t xml:space="preserve"> He also </w:t>
      </w:r>
      <w:r w:rsidRPr="00C72608">
        <w:rPr>
          <w:sz w:val="24"/>
          <w:lang w:val="en-US"/>
        </w:rPr>
        <w:t>detail</w:t>
      </w:r>
      <w:r w:rsidR="00F76098">
        <w:rPr>
          <w:sz w:val="24"/>
          <w:lang w:val="en-US"/>
        </w:rPr>
        <w:t>ed</w:t>
      </w:r>
      <w:r w:rsidRPr="00C72608">
        <w:rPr>
          <w:sz w:val="24"/>
          <w:lang w:val="en-US"/>
        </w:rPr>
        <w:t xml:space="preserve"> </w:t>
      </w:r>
      <w:r w:rsidR="005458BD" w:rsidRPr="00C72608">
        <w:rPr>
          <w:sz w:val="24"/>
          <w:lang w:val="en-US"/>
        </w:rPr>
        <w:t>Canad</w:t>
      </w:r>
      <w:r w:rsidR="005458BD">
        <w:rPr>
          <w:sz w:val="24"/>
          <w:lang w:val="en-US"/>
        </w:rPr>
        <w:t>i</w:t>
      </w:r>
      <w:r w:rsidR="005458BD" w:rsidRPr="00C72608">
        <w:rPr>
          <w:sz w:val="24"/>
          <w:lang w:val="en-US"/>
        </w:rPr>
        <w:t>a</w:t>
      </w:r>
      <w:r w:rsidR="005458BD">
        <w:rPr>
          <w:sz w:val="24"/>
          <w:lang w:val="en-US"/>
        </w:rPr>
        <w:t>n</w:t>
      </w:r>
      <w:r w:rsidR="005458BD" w:rsidRPr="00C72608">
        <w:rPr>
          <w:sz w:val="24"/>
          <w:lang w:val="en-US"/>
        </w:rPr>
        <w:t xml:space="preserve"> </w:t>
      </w:r>
      <w:r w:rsidRPr="00C72608">
        <w:rPr>
          <w:sz w:val="24"/>
          <w:lang w:val="en-US"/>
        </w:rPr>
        <w:t xml:space="preserve">regulation of bank amalgamations, noting that the 1913 Banking Act required the authority of the Minister of Finance </w:t>
      </w:r>
      <w:r>
        <w:rPr>
          <w:sz w:val="24"/>
          <w:lang w:val="en-US"/>
        </w:rPr>
        <w:t xml:space="preserve">for an amalgamation </w:t>
      </w:r>
      <w:r w:rsidRPr="00C72608">
        <w:rPr>
          <w:sz w:val="24"/>
          <w:lang w:val="en-US"/>
        </w:rPr>
        <w:t>and gave shareholders the right to appoint an auditor from a panel of 40 nominated by the general managers of all banks</w:t>
      </w:r>
      <w:r>
        <w:rPr>
          <w:sz w:val="24"/>
          <w:lang w:val="en-US"/>
        </w:rPr>
        <w:t>, although e</w:t>
      </w:r>
      <w:r w:rsidRPr="00C72608">
        <w:rPr>
          <w:sz w:val="24"/>
          <w:lang w:val="en-US"/>
        </w:rPr>
        <w:t xml:space="preserve">xternal auditors </w:t>
      </w:r>
      <w:r>
        <w:rPr>
          <w:sz w:val="24"/>
          <w:lang w:val="en-US"/>
        </w:rPr>
        <w:t xml:space="preserve">were </w:t>
      </w:r>
      <w:r w:rsidRPr="00C72608">
        <w:rPr>
          <w:sz w:val="24"/>
          <w:lang w:val="en-US"/>
        </w:rPr>
        <w:t xml:space="preserve">assumed to be less effective </w:t>
      </w:r>
      <w:r w:rsidR="00F76098">
        <w:rPr>
          <w:sz w:val="24"/>
          <w:lang w:val="en-US"/>
        </w:rPr>
        <w:t xml:space="preserve">monitors </w:t>
      </w:r>
      <w:r w:rsidRPr="00C72608">
        <w:rPr>
          <w:sz w:val="24"/>
          <w:lang w:val="en-US"/>
        </w:rPr>
        <w:t xml:space="preserve">than </w:t>
      </w:r>
      <w:r>
        <w:rPr>
          <w:sz w:val="24"/>
          <w:lang w:val="en-US"/>
        </w:rPr>
        <w:t>insiders</w:t>
      </w:r>
      <w:r w:rsidRPr="00C72608">
        <w:rPr>
          <w:sz w:val="24"/>
          <w:lang w:val="en-US"/>
        </w:rPr>
        <w:t xml:space="preserve"> due to </w:t>
      </w:r>
      <w:r>
        <w:rPr>
          <w:sz w:val="24"/>
          <w:lang w:val="en-US"/>
        </w:rPr>
        <w:t>their lack of familiarity with a bank’s affairs.</w:t>
      </w:r>
    </w:p>
    <w:p w14:paraId="40952120" w14:textId="77777777" w:rsidR="00CB63D5" w:rsidRDefault="00CB63D5" w:rsidP="00CB63D5">
      <w:pPr>
        <w:spacing w:line="480" w:lineRule="auto"/>
        <w:rPr>
          <w:sz w:val="24"/>
        </w:rPr>
      </w:pPr>
    </w:p>
    <w:p w14:paraId="3424A802" w14:textId="0EE1F408" w:rsidR="00CB63D5" w:rsidRDefault="00CB63D5" w:rsidP="00CB63D5">
      <w:pPr>
        <w:spacing w:line="480" w:lineRule="auto"/>
        <w:rPr>
          <w:sz w:val="24"/>
          <w:lang w:val="en-US"/>
        </w:rPr>
      </w:pPr>
      <w:r>
        <w:rPr>
          <w:sz w:val="24"/>
        </w:rPr>
        <w:t>Foxwell</w:t>
      </w:r>
      <w:r w:rsidRPr="001621B3">
        <w:rPr>
          <w:sz w:val="24"/>
          <w:lang w:val="en-US"/>
        </w:rPr>
        <w:t xml:space="preserve"> </w:t>
      </w:r>
      <w:r w:rsidR="005458BD">
        <w:rPr>
          <w:sz w:val="24"/>
          <w:lang w:val="en-US"/>
        </w:rPr>
        <w:t xml:space="preserve">thought </w:t>
      </w:r>
      <w:r w:rsidRPr="001621B3">
        <w:rPr>
          <w:sz w:val="24"/>
          <w:lang w:val="en-US"/>
        </w:rPr>
        <w:t>legislation and government con</w:t>
      </w:r>
      <w:r>
        <w:rPr>
          <w:sz w:val="24"/>
          <w:lang w:val="en-US"/>
        </w:rPr>
        <w:t xml:space="preserve">trol over banking would be too rigid. </w:t>
      </w:r>
      <w:r>
        <w:rPr>
          <w:sz w:val="24"/>
        </w:rPr>
        <w:t xml:space="preserve">Other witnesses objected more strongly. </w:t>
      </w:r>
      <w:r w:rsidRPr="00B015C9">
        <w:rPr>
          <w:sz w:val="24"/>
        </w:rPr>
        <w:t xml:space="preserve">Hambling </w:t>
      </w:r>
      <w:r>
        <w:rPr>
          <w:sz w:val="24"/>
        </w:rPr>
        <w:t xml:space="preserve">was </w:t>
      </w:r>
      <w:r w:rsidRPr="00B015C9">
        <w:rPr>
          <w:sz w:val="24"/>
        </w:rPr>
        <w:t>deeply distrustful</w:t>
      </w:r>
      <w:r>
        <w:rPr>
          <w:sz w:val="24"/>
        </w:rPr>
        <w:t>:</w:t>
      </w:r>
      <w:r w:rsidRPr="009755CF">
        <w:rPr>
          <w:sz w:val="24"/>
          <w:lang w:val="en-US"/>
        </w:rPr>
        <w:t xml:space="preserve"> ‘I hate competent Government Authorities. I have the strongest possible objection to Government interference because from my short experience I find they do not exercise them </w:t>
      </w:r>
      <w:r>
        <w:rPr>
          <w:sz w:val="24"/>
          <w:lang w:val="en-US"/>
        </w:rPr>
        <w:t xml:space="preserve">[sic] </w:t>
      </w:r>
      <w:r w:rsidRPr="009755CF">
        <w:rPr>
          <w:sz w:val="24"/>
          <w:lang w:val="en-US"/>
        </w:rPr>
        <w:t>very wisely. I think banks can do their own business better …’</w:t>
      </w:r>
      <w:r>
        <w:rPr>
          <w:sz w:val="24"/>
          <w:lang w:val="en-US"/>
        </w:rPr>
        <w:t>.</w:t>
      </w:r>
      <w:r>
        <w:rPr>
          <w:rStyle w:val="EndnoteReference"/>
          <w:sz w:val="24"/>
          <w:lang w:val="en-US"/>
        </w:rPr>
        <w:endnoteReference w:id="24"/>
      </w:r>
      <w:r>
        <w:rPr>
          <w:sz w:val="24"/>
          <w:lang w:val="en-US"/>
        </w:rPr>
        <w:t xml:space="preserve"> </w:t>
      </w:r>
      <w:r w:rsidRPr="00B015C9">
        <w:rPr>
          <w:sz w:val="24"/>
        </w:rPr>
        <w:t>Inchcape</w:t>
      </w:r>
      <w:r>
        <w:rPr>
          <w:sz w:val="24"/>
        </w:rPr>
        <w:t xml:space="preserve"> expressed similar views:</w:t>
      </w:r>
      <w:r w:rsidRPr="00B015C9">
        <w:rPr>
          <w:sz w:val="24"/>
        </w:rPr>
        <w:t xml:space="preserve"> </w:t>
      </w:r>
      <w:r w:rsidRPr="00B015C9">
        <w:rPr>
          <w:sz w:val="24"/>
          <w:lang w:val="en-US"/>
        </w:rPr>
        <w:t>‘I have a very strong objection to Government Control. I think the less Government interferes with the busin</w:t>
      </w:r>
      <w:r>
        <w:rPr>
          <w:sz w:val="24"/>
          <w:lang w:val="en-US"/>
        </w:rPr>
        <w:t>ess of the country the better’.</w:t>
      </w:r>
    </w:p>
    <w:p w14:paraId="0789E637" w14:textId="77777777" w:rsidR="00AB14BB" w:rsidRDefault="00AB14BB" w:rsidP="00CB63D5">
      <w:pPr>
        <w:spacing w:line="480" w:lineRule="auto"/>
        <w:rPr>
          <w:sz w:val="24"/>
          <w:lang w:val="en-US"/>
        </w:rPr>
      </w:pPr>
    </w:p>
    <w:p w14:paraId="7D4E3754" w14:textId="2FE50507" w:rsidR="00CB63D5" w:rsidRPr="00D2765A" w:rsidRDefault="00CB63D5" w:rsidP="00CB63D5">
      <w:pPr>
        <w:spacing w:line="480" w:lineRule="auto"/>
        <w:rPr>
          <w:b/>
          <w:i/>
          <w:sz w:val="24"/>
        </w:rPr>
      </w:pPr>
      <w:r w:rsidRPr="00D2765A">
        <w:rPr>
          <w:b/>
          <w:i/>
          <w:sz w:val="24"/>
        </w:rPr>
        <w:t>Banks’ capital structures</w:t>
      </w:r>
    </w:p>
    <w:p w14:paraId="3CAD9338" w14:textId="77777777" w:rsidR="00CB63D5" w:rsidRDefault="00CB63D5" w:rsidP="00CB63D5">
      <w:pPr>
        <w:spacing w:line="480" w:lineRule="auto"/>
        <w:rPr>
          <w:sz w:val="24"/>
        </w:rPr>
      </w:pPr>
    </w:p>
    <w:p w14:paraId="0A4D8225" w14:textId="086EFE0C" w:rsidR="00CB63D5" w:rsidRDefault="00CB63D5" w:rsidP="00CB63D5">
      <w:pPr>
        <w:spacing w:line="480" w:lineRule="auto"/>
        <w:rPr>
          <w:sz w:val="24"/>
        </w:rPr>
      </w:pPr>
      <w:r w:rsidRPr="00C85C84">
        <w:rPr>
          <w:sz w:val="24"/>
        </w:rPr>
        <w:t>Discussions around contingent capital or extended liability have revived in recent years as part of the response to twenty-first century financial crisis, with economists arguing for a form of capital which would ‘bail in’ shareholders in the event of distress, and therefore provide disincentives to excessive risk-taking</w:t>
      </w:r>
      <w:r>
        <w:rPr>
          <w:sz w:val="24"/>
        </w:rPr>
        <w:t xml:space="preserve"> (</w:t>
      </w:r>
      <w:r w:rsidRPr="0012723B">
        <w:rPr>
          <w:sz w:val="24"/>
        </w:rPr>
        <w:t>Chennells and Wingfield, 2015; Turner, 2014</w:t>
      </w:r>
      <w:r>
        <w:rPr>
          <w:sz w:val="24"/>
        </w:rPr>
        <w:t>)</w:t>
      </w:r>
      <w:r w:rsidRPr="00C85C84">
        <w:rPr>
          <w:sz w:val="24"/>
        </w:rPr>
        <w:t xml:space="preserve">. In theory such a mechanism still existed </w:t>
      </w:r>
      <w:r w:rsidR="005458BD">
        <w:rPr>
          <w:sz w:val="24"/>
        </w:rPr>
        <w:t>in 1918 and later</w:t>
      </w:r>
      <w:r w:rsidRPr="00C85C84">
        <w:rPr>
          <w:sz w:val="24"/>
        </w:rPr>
        <w:t xml:space="preserve">. Banks with limited liability typically issued at least some shares that were </w:t>
      </w:r>
      <w:r w:rsidRPr="00C85C84">
        <w:rPr>
          <w:sz w:val="24"/>
        </w:rPr>
        <w:lastRenderedPageBreak/>
        <w:t xml:space="preserve">partly- rather than fully-paid up, with the balance callable at </w:t>
      </w:r>
      <w:r w:rsidR="005458BD" w:rsidRPr="00C85C84">
        <w:rPr>
          <w:sz w:val="24"/>
        </w:rPr>
        <w:t>directors</w:t>
      </w:r>
      <w:r w:rsidR="005458BD">
        <w:rPr>
          <w:sz w:val="24"/>
        </w:rPr>
        <w:t>’</w:t>
      </w:r>
      <w:r w:rsidR="005458BD" w:rsidRPr="00C85C84">
        <w:rPr>
          <w:sz w:val="24"/>
        </w:rPr>
        <w:t xml:space="preserve"> </w:t>
      </w:r>
      <w:r w:rsidRPr="00C85C84">
        <w:rPr>
          <w:sz w:val="24"/>
        </w:rPr>
        <w:t>discretion. Banks sometimes also issued shares with reserve liability, callable only in a winding-up, similar to extended liability regimes in US banks</w:t>
      </w:r>
      <w:r>
        <w:rPr>
          <w:sz w:val="24"/>
        </w:rPr>
        <w:t xml:space="preserve"> (</w:t>
      </w:r>
      <w:r w:rsidRPr="0012723B">
        <w:rPr>
          <w:sz w:val="24"/>
        </w:rPr>
        <w:t>Grossman, 2010</w:t>
      </w:r>
      <w:r w:rsidR="00242643">
        <w:rPr>
          <w:sz w:val="24"/>
        </w:rPr>
        <w:t>,</w:t>
      </w:r>
      <w:r w:rsidR="00F159BC">
        <w:rPr>
          <w:sz w:val="24"/>
        </w:rPr>
        <w:t xml:space="preserve"> </w:t>
      </w:r>
      <w:r w:rsidRPr="0012723B">
        <w:rPr>
          <w:sz w:val="24"/>
        </w:rPr>
        <w:t>237</w:t>
      </w:r>
      <w:r w:rsidR="00D93C34" w:rsidRPr="00D93C34">
        <w:rPr>
          <w:sz w:val="24"/>
        </w:rPr>
        <w:t>–</w:t>
      </w:r>
      <w:r w:rsidRPr="0012723B">
        <w:rPr>
          <w:sz w:val="24"/>
        </w:rPr>
        <w:t>240</w:t>
      </w:r>
      <w:r>
        <w:rPr>
          <w:sz w:val="24"/>
        </w:rPr>
        <w:t>)</w:t>
      </w:r>
      <w:r w:rsidRPr="00C85C84">
        <w:rPr>
          <w:sz w:val="24"/>
        </w:rPr>
        <w:t>. These arrangements supposedly protect</w:t>
      </w:r>
      <w:r w:rsidR="00F76098">
        <w:rPr>
          <w:sz w:val="24"/>
        </w:rPr>
        <w:t>ed</w:t>
      </w:r>
      <w:r w:rsidRPr="00C85C84">
        <w:rPr>
          <w:sz w:val="24"/>
        </w:rPr>
        <w:t xml:space="preserve"> depositors by providing resources which could be called up to boost banks’ capital positions. Share classes which were not fully paid and/or carried reserve liability typically carried rights to higher dividends to compensate for the (at least notional) risk that the uncalled elements would be called u</w:t>
      </w:r>
      <w:r w:rsidR="00B518AD">
        <w:rPr>
          <w:sz w:val="24"/>
        </w:rPr>
        <w:t>p.</w:t>
      </w:r>
      <w:r w:rsidR="003E1E28">
        <w:rPr>
          <w:sz w:val="24"/>
        </w:rPr>
        <w:t xml:space="preserve"> </w:t>
      </w:r>
      <w:r w:rsidRPr="00C85C84">
        <w:rPr>
          <w:sz w:val="24"/>
        </w:rPr>
        <w:t>These contingent capital arrangements appear to have reduced risk-taking by British banks before World War One, particularly among banks with higher leverage</w:t>
      </w:r>
      <w:r>
        <w:rPr>
          <w:sz w:val="24"/>
        </w:rPr>
        <w:t xml:space="preserve"> (</w:t>
      </w:r>
      <w:r w:rsidRPr="0012723B">
        <w:rPr>
          <w:sz w:val="24"/>
        </w:rPr>
        <w:t>Grossman and Imai, 2013</w:t>
      </w:r>
      <w:r>
        <w:rPr>
          <w:sz w:val="24"/>
        </w:rPr>
        <w:t>)</w:t>
      </w:r>
      <w:r w:rsidRPr="00C85C84">
        <w:rPr>
          <w:sz w:val="24"/>
        </w:rPr>
        <w:t xml:space="preserve">. </w:t>
      </w:r>
      <w:r w:rsidRPr="004A6711">
        <w:rPr>
          <w:sz w:val="24"/>
        </w:rPr>
        <w:t>The Committee’s report</w:t>
      </w:r>
      <w:r w:rsidR="00B518AD">
        <w:rPr>
          <w:sz w:val="24"/>
        </w:rPr>
        <w:t>, however,</w:t>
      </w:r>
      <w:r w:rsidRPr="004A6711">
        <w:rPr>
          <w:sz w:val="24"/>
        </w:rPr>
        <w:t xml:space="preserve"> noted that amalgamations had weakened capital ratios, and that uncalled capital in particular had been reduced, ‘… with substantial benefits to shareholders … purchased at the expense of some of the security of depositors’</w:t>
      </w:r>
      <w:r>
        <w:rPr>
          <w:sz w:val="24"/>
        </w:rPr>
        <w:t xml:space="preserve"> (</w:t>
      </w:r>
      <w:r w:rsidRPr="00A7749B">
        <w:rPr>
          <w:sz w:val="24"/>
          <w:szCs w:val="24"/>
        </w:rPr>
        <w:t>Treasury Committee on Bank Amalgamations, 1918,</w:t>
      </w:r>
      <w:r w:rsidR="003E1E28">
        <w:rPr>
          <w:sz w:val="24"/>
          <w:szCs w:val="24"/>
        </w:rPr>
        <w:t xml:space="preserve"> </w:t>
      </w:r>
      <w:r w:rsidRPr="00A7749B">
        <w:rPr>
          <w:sz w:val="24"/>
          <w:szCs w:val="24"/>
        </w:rPr>
        <w:t>6</w:t>
      </w:r>
      <w:r>
        <w:rPr>
          <w:sz w:val="24"/>
        </w:rPr>
        <w:t>)</w:t>
      </w:r>
      <w:r w:rsidRPr="004A6711">
        <w:rPr>
          <w:sz w:val="24"/>
        </w:rPr>
        <w:t>.</w:t>
      </w:r>
      <w:r w:rsidR="00B518AD">
        <w:rPr>
          <w:rStyle w:val="EndnoteReference"/>
          <w:sz w:val="24"/>
        </w:rPr>
        <w:endnoteReference w:id="25"/>
      </w:r>
      <w:r w:rsidRPr="00907D23">
        <w:rPr>
          <w:sz w:val="24"/>
        </w:rPr>
        <w:t xml:space="preserve"> </w:t>
      </w:r>
    </w:p>
    <w:p w14:paraId="5A86717F" w14:textId="77777777" w:rsidR="00CB63D5" w:rsidRPr="001739C4" w:rsidRDefault="00CB63D5" w:rsidP="00CB63D5">
      <w:pPr>
        <w:spacing w:line="480" w:lineRule="auto"/>
        <w:rPr>
          <w:sz w:val="24"/>
        </w:rPr>
      </w:pPr>
    </w:p>
    <w:p w14:paraId="72BD0DD8" w14:textId="76CAADF0" w:rsidR="00CB63D5" w:rsidRDefault="00CB63D5" w:rsidP="00CB63D5">
      <w:pPr>
        <w:spacing w:line="480" w:lineRule="auto"/>
        <w:rPr>
          <w:sz w:val="24"/>
        </w:rPr>
      </w:pPr>
      <w:r>
        <w:rPr>
          <w:sz w:val="24"/>
          <w:lang w:val="en-US"/>
        </w:rPr>
        <w:t xml:space="preserve">Many </w:t>
      </w:r>
      <w:r w:rsidRPr="00B54A4D">
        <w:rPr>
          <w:sz w:val="24"/>
          <w:lang w:val="en-US"/>
        </w:rPr>
        <w:t>witnesses spontaneously commented on, or were questioned about</w:t>
      </w:r>
      <w:r>
        <w:rPr>
          <w:sz w:val="24"/>
          <w:lang w:val="en-US"/>
        </w:rPr>
        <w:t>, the</w:t>
      </w:r>
      <w:r w:rsidRPr="00B54A4D">
        <w:rPr>
          <w:sz w:val="24"/>
          <w:lang w:val="en-US"/>
        </w:rPr>
        <w:t xml:space="preserve"> effect o</w:t>
      </w:r>
      <w:r>
        <w:rPr>
          <w:sz w:val="24"/>
          <w:lang w:val="en-US"/>
        </w:rPr>
        <w:t>f amalgamations on bank capital.</w:t>
      </w:r>
      <w:r w:rsidRPr="00003019">
        <w:rPr>
          <w:sz w:val="24"/>
          <w:lang w:val="en-US"/>
        </w:rPr>
        <w:t xml:space="preserve"> </w:t>
      </w:r>
      <w:r>
        <w:rPr>
          <w:sz w:val="24"/>
          <w:lang w:val="en-US"/>
        </w:rPr>
        <w:t xml:space="preserve">Holden actually claimed that </w:t>
      </w:r>
      <w:r w:rsidRPr="00003019">
        <w:rPr>
          <w:sz w:val="24"/>
          <w:lang w:val="en-US"/>
        </w:rPr>
        <w:t>amalgamations increase</w:t>
      </w:r>
      <w:r>
        <w:rPr>
          <w:sz w:val="24"/>
          <w:lang w:val="en-US"/>
        </w:rPr>
        <w:t>d</w:t>
      </w:r>
      <w:r w:rsidRPr="00003019">
        <w:rPr>
          <w:sz w:val="24"/>
          <w:lang w:val="en-US"/>
        </w:rPr>
        <w:t xml:space="preserve"> capital</w:t>
      </w:r>
      <w:r>
        <w:rPr>
          <w:sz w:val="24"/>
          <w:lang w:val="en-US"/>
        </w:rPr>
        <w:t xml:space="preserve">. </w:t>
      </w:r>
      <w:r>
        <w:rPr>
          <w:sz w:val="24"/>
        </w:rPr>
        <w:t xml:space="preserve">Foxwell noted that paid-up capital had fallen in relative terms, with deposits and total liabilities more than doubling in </w:t>
      </w:r>
      <w:r w:rsidRPr="001739C4">
        <w:rPr>
          <w:sz w:val="24"/>
          <w:lang w:val="en-US"/>
        </w:rPr>
        <w:t xml:space="preserve">the </w:t>
      </w:r>
      <w:r>
        <w:rPr>
          <w:sz w:val="24"/>
          <w:lang w:val="en-US"/>
        </w:rPr>
        <w:t>preceding decade, with no increase in capital</w:t>
      </w:r>
      <w:r w:rsidRPr="001739C4">
        <w:rPr>
          <w:sz w:val="24"/>
          <w:lang w:val="en-US"/>
        </w:rPr>
        <w:t>.</w:t>
      </w:r>
      <w:r>
        <w:rPr>
          <w:sz w:val="24"/>
          <w:lang w:val="en-US"/>
        </w:rPr>
        <w:t xml:space="preserve"> </w:t>
      </w:r>
      <w:r w:rsidRPr="0072751F">
        <w:rPr>
          <w:sz w:val="24"/>
          <w:lang w:val="en-US"/>
        </w:rPr>
        <w:t>Addis</w:t>
      </w:r>
      <w:r>
        <w:rPr>
          <w:sz w:val="24"/>
          <w:lang w:val="en-US"/>
        </w:rPr>
        <w:t xml:space="preserve"> also noted that </w:t>
      </w:r>
      <w:r w:rsidR="005458BD">
        <w:rPr>
          <w:sz w:val="24"/>
          <w:lang w:val="en-US"/>
        </w:rPr>
        <w:t xml:space="preserve">amalgamations </w:t>
      </w:r>
      <w:r w:rsidR="005458BD" w:rsidRPr="0072751F">
        <w:rPr>
          <w:sz w:val="24"/>
          <w:lang w:val="en-US"/>
        </w:rPr>
        <w:t>sometimes e</w:t>
      </w:r>
      <w:r w:rsidR="005458BD">
        <w:rPr>
          <w:sz w:val="24"/>
          <w:lang w:val="en-US"/>
        </w:rPr>
        <w:t xml:space="preserve">liminated </w:t>
      </w:r>
      <w:r w:rsidR="005458BD" w:rsidRPr="0072751F">
        <w:rPr>
          <w:sz w:val="24"/>
          <w:lang w:val="en-US"/>
        </w:rPr>
        <w:t>shareholders</w:t>
      </w:r>
      <w:r w:rsidR="005458BD">
        <w:rPr>
          <w:sz w:val="24"/>
          <w:lang w:val="en-US"/>
        </w:rPr>
        <w:t>’</w:t>
      </w:r>
      <w:r w:rsidR="005458BD" w:rsidRPr="0072751F">
        <w:rPr>
          <w:sz w:val="24"/>
          <w:lang w:val="en-US"/>
        </w:rPr>
        <w:t xml:space="preserve"> </w:t>
      </w:r>
      <w:r w:rsidRPr="0072751F">
        <w:rPr>
          <w:sz w:val="24"/>
          <w:lang w:val="en-US"/>
        </w:rPr>
        <w:t>uncalled liability</w:t>
      </w:r>
      <w:r>
        <w:rPr>
          <w:sz w:val="24"/>
          <w:lang w:val="en-US"/>
        </w:rPr>
        <w:t>, which he considered disadvantageous.</w:t>
      </w:r>
      <w:r w:rsidRPr="00767BDE">
        <w:rPr>
          <w:sz w:val="24"/>
        </w:rPr>
        <w:t xml:space="preserve"> </w:t>
      </w:r>
      <w:r>
        <w:rPr>
          <w:sz w:val="24"/>
        </w:rPr>
        <w:t>He also</w:t>
      </w:r>
      <w:r w:rsidRPr="001F6B74">
        <w:rPr>
          <w:sz w:val="24"/>
          <w:lang w:val="en-US"/>
        </w:rPr>
        <w:t xml:space="preserve"> </w:t>
      </w:r>
      <w:r>
        <w:rPr>
          <w:sz w:val="24"/>
          <w:lang w:val="en-US"/>
        </w:rPr>
        <w:t>claimed</w:t>
      </w:r>
      <w:r w:rsidRPr="001F6B74">
        <w:rPr>
          <w:sz w:val="24"/>
          <w:lang w:val="en-US"/>
        </w:rPr>
        <w:t xml:space="preserve"> that</w:t>
      </w:r>
      <w:r>
        <w:rPr>
          <w:sz w:val="24"/>
          <w:lang w:val="en-US"/>
        </w:rPr>
        <w:t>,</w:t>
      </w:r>
      <w:r w:rsidRPr="001F6B74">
        <w:rPr>
          <w:sz w:val="24"/>
          <w:lang w:val="en-US"/>
        </w:rPr>
        <w:t xml:space="preserve"> in contrast to </w:t>
      </w:r>
      <w:r w:rsidR="00433802">
        <w:rPr>
          <w:sz w:val="24"/>
          <w:lang w:val="en-US"/>
        </w:rPr>
        <w:t>British</w:t>
      </w:r>
      <w:r w:rsidR="00433802" w:rsidRPr="001F6B74">
        <w:rPr>
          <w:sz w:val="24"/>
          <w:lang w:val="en-US"/>
        </w:rPr>
        <w:t xml:space="preserve"> </w:t>
      </w:r>
      <w:r w:rsidRPr="001F6B74">
        <w:rPr>
          <w:sz w:val="24"/>
          <w:lang w:val="en-US"/>
        </w:rPr>
        <w:t>amalgamations</w:t>
      </w:r>
      <w:r>
        <w:rPr>
          <w:sz w:val="24"/>
          <w:lang w:val="en-US"/>
        </w:rPr>
        <w:t>,</w:t>
      </w:r>
      <w:r w:rsidRPr="001F6B74">
        <w:rPr>
          <w:sz w:val="24"/>
          <w:lang w:val="en-US"/>
        </w:rPr>
        <w:t xml:space="preserve"> </w:t>
      </w:r>
      <w:r>
        <w:rPr>
          <w:sz w:val="24"/>
          <w:lang w:val="en-US"/>
        </w:rPr>
        <w:t>German bank amalgamations</w:t>
      </w:r>
      <w:r w:rsidRPr="001F6B74">
        <w:rPr>
          <w:sz w:val="24"/>
          <w:lang w:val="en-US"/>
        </w:rPr>
        <w:t xml:space="preserve"> increase</w:t>
      </w:r>
      <w:r>
        <w:rPr>
          <w:sz w:val="24"/>
          <w:lang w:val="en-US"/>
        </w:rPr>
        <w:t xml:space="preserve">d </w:t>
      </w:r>
      <w:r w:rsidRPr="001F6B74">
        <w:rPr>
          <w:sz w:val="24"/>
          <w:lang w:val="en-US"/>
        </w:rPr>
        <w:t>paid-up capital</w:t>
      </w:r>
      <w:r>
        <w:rPr>
          <w:sz w:val="24"/>
          <w:lang w:val="en-US"/>
        </w:rPr>
        <w:t>.</w:t>
      </w:r>
    </w:p>
    <w:p w14:paraId="59C90935" w14:textId="77777777" w:rsidR="00CB63D5" w:rsidRDefault="00CB63D5" w:rsidP="00CB63D5">
      <w:pPr>
        <w:spacing w:line="480" w:lineRule="auto"/>
        <w:rPr>
          <w:sz w:val="24"/>
        </w:rPr>
      </w:pPr>
    </w:p>
    <w:p w14:paraId="10732C45" w14:textId="3E553394" w:rsidR="00CB63D5" w:rsidRDefault="00CB63D5" w:rsidP="00CB63D5">
      <w:pPr>
        <w:spacing w:line="480" w:lineRule="auto"/>
        <w:rPr>
          <w:sz w:val="24"/>
          <w:lang w:val="en-US"/>
        </w:rPr>
      </w:pPr>
      <w:r>
        <w:rPr>
          <w:sz w:val="24"/>
        </w:rPr>
        <w:lastRenderedPageBreak/>
        <w:t xml:space="preserve">Ford Darling regarded uncalled capital as a disincentive to shareholders in banks in general and a constraint on his own bank’s ability to </w:t>
      </w:r>
      <w:r>
        <w:rPr>
          <w:sz w:val="24"/>
          <w:lang w:val="en-US"/>
        </w:rPr>
        <w:t>amalgamate with</w:t>
      </w:r>
      <w:r w:rsidRPr="00EA6E6D">
        <w:rPr>
          <w:sz w:val="24"/>
          <w:lang w:val="en-US"/>
        </w:rPr>
        <w:t xml:space="preserve"> others</w:t>
      </w:r>
      <w:r>
        <w:rPr>
          <w:sz w:val="24"/>
          <w:lang w:val="en-US"/>
        </w:rPr>
        <w:t xml:space="preserve">. His bank’s proposed </w:t>
      </w:r>
      <w:r w:rsidRPr="00EA6E6D">
        <w:rPr>
          <w:sz w:val="24"/>
          <w:lang w:val="en-US"/>
        </w:rPr>
        <w:t xml:space="preserve">amalgamation with </w:t>
      </w:r>
      <w:r>
        <w:rPr>
          <w:sz w:val="24"/>
          <w:lang w:val="en-US"/>
        </w:rPr>
        <w:t xml:space="preserve">the London City and Midland Bank would </w:t>
      </w:r>
      <w:r w:rsidRPr="00EA6E6D">
        <w:rPr>
          <w:sz w:val="24"/>
          <w:lang w:val="en-US"/>
        </w:rPr>
        <w:t>reduc</w:t>
      </w:r>
      <w:r>
        <w:rPr>
          <w:sz w:val="24"/>
          <w:lang w:val="en-US"/>
        </w:rPr>
        <w:t xml:space="preserve">e its </w:t>
      </w:r>
      <w:r w:rsidRPr="00EA6E6D">
        <w:rPr>
          <w:sz w:val="24"/>
          <w:lang w:val="en-US"/>
        </w:rPr>
        <w:t>uncalled liability to £38</w:t>
      </w:r>
      <w:r>
        <w:rPr>
          <w:sz w:val="24"/>
          <w:lang w:val="en-US"/>
        </w:rPr>
        <w:t xml:space="preserve"> per </w:t>
      </w:r>
      <w:r w:rsidRPr="00EA6E6D">
        <w:rPr>
          <w:sz w:val="24"/>
          <w:lang w:val="en-US"/>
        </w:rPr>
        <w:t xml:space="preserve">share </w:t>
      </w:r>
      <w:r>
        <w:rPr>
          <w:sz w:val="24"/>
          <w:lang w:val="en-US"/>
        </w:rPr>
        <w:t xml:space="preserve">from £85 per share which he considered beneficial to his shareholders. </w:t>
      </w:r>
      <w:r>
        <w:rPr>
          <w:sz w:val="24"/>
        </w:rPr>
        <w:t xml:space="preserve">Inchcape told the Committee that in his bank </w:t>
      </w:r>
      <w:r w:rsidRPr="00E55DF7">
        <w:rPr>
          <w:sz w:val="24"/>
          <w:lang w:val="en-US"/>
        </w:rPr>
        <w:t>every share transfer c</w:t>
      </w:r>
      <w:r>
        <w:rPr>
          <w:sz w:val="24"/>
          <w:lang w:val="en-US"/>
        </w:rPr>
        <w:t>ame</w:t>
      </w:r>
      <w:r w:rsidRPr="00E55DF7">
        <w:rPr>
          <w:sz w:val="24"/>
          <w:lang w:val="en-US"/>
        </w:rPr>
        <w:t xml:space="preserve"> before </w:t>
      </w:r>
      <w:r>
        <w:rPr>
          <w:sz w:val="24"/>
          <w:lang w:val="en-US"/>
        </w:rPr>
        <w:t xml:space="preserve">a </w:t>
      </w:r>
      <w:r w:rsidRPr="00E55DF7">
        <w:rPr>
          <w:sz w:val="24"/>
          <w:lang w:val="en-US"/>
        </w:rPr>
        <w:t xml:space="preserve">board committee </w:t>
      </w:r>
      <w:r>
        <w:rPr>
          <w:sz w:val="24"/>
          <w:lang w:val="en-US"/>
        </w:rPr>
        <w:t xml:space="preserve">where ‘… </w:t>
      </w:r>
      <w:r w:rsidRPr="00E55DF7">
        <w:rPr>
          <w:sz w:val="24"/>
          <w:lang w:val="en-US"/>
        </w:rPr>
        <w:t>the standing, employment, and responsibility of the transferee are considered’</w:t>
      </w:r>
      <w:r>
        <w:rPr>
          <w:sz w:val="24"/>
          <w:lang w:val="en-US"/>
        </w:rPr>
        <w:t xml:space="preserve"> to ensure that calls on uncalled capital could be met. He also likened the possible impact of such calls to the </w:t>
      </w:r>
      <w:r w:rsidR="00B518AD">
        <w:rPr>
          <w:sz w:val="24"/>
          <w:lang w:val="en-US"/>
        </w:rPr>
        <w:t xml:space="preserve">1878 </w:t>
      </w:r>
      <w:r>
        <w:rPr>
          <w:sz w:val="24"/>
          <w:lang w:val="en-US"/>
        </w:rPr>
        <w:t xml:space="preserve">collapse of the </w:t>
      </w:r>
      <w:r w:rsidRPr="00A31580">
        <w:rPr>
          <w:sz w:val="24"/>
        </w:rPr>
        <w:t xml:space="preserve">unlimited-liability </w:t>
      </w:r>
      <w:r>
        <w:rPr>
          <w:sz w:val="24"/>
          <w:lang w:val="en-US"/>
        </w:rPr>
        <w:t xml:space="preserve">City of Glasgow Bank </w:t>
      </w:r>
      <w:r>
        <w:rPr>
          <w:sz w:val="24"/>
        </w:rPr>
        <w:t xml:space="preserve">which </w:t>
      </w:r>
      <w:r w:rsidRPr="00A31580">
        <w:rPr>
          <w:sz w:val="24"/>
        </w:rPr>
        <w:t>prompted banks to rush to limited liability status</w:t>
      </w:r>
      <w:r>
        <w:rPr>
          <w:sz w:val="24"/>
        </w:rPr>
        <w:t xml:space="preserve"> (</w:t>
      </w:r>
      <w:r w:rsidRPr="0012723B">
        <w:rPr>
          <w:sz w:val="24"/>
        </w:rPr>
        <w:t>Acheson.and Turner, 2008; Button et al., 2015</w:t>
      </w:r>
      <w:r>
        <w:rPr>
          <w:sz w:val="24"/>
        </w:rPr>
        <w:t>)</w:t>
      </w:r>
      <w:r w:rsidRPr="00A31580">
        <w:rPr>
          <w:sz w:val="24"/>
        </w:rPr>
        <w:t>.</w:t>
      </w:r>
      <w:r>
        <w:rPr>
          <w:sz w:val="24"/>
        </w:rPr>
        <w:t xml:space="preserve"> </w:t>
      </w:r>
      <w:r w:rsidRPr="00907D23">
        <w:rPr>
          <w:sz w:val="24"/>
          <w:lang w:val="en-US"/>
        </w:rPr>
        <w:t>Foxwell</w:t>
      </w:r>
      <w:r>
        <w:rPr>
          <w:sz w:val="24"/>
          <w:lang w:val="en-US"/>
        </w:rPr>
        <w:t xml:space="preserve"> </w:t>
      </w:r>
      <w:r>
        <w:rPr>
          <w:sz w:val="24"/>
        </w:rPr>
        <w:t xml:space="preserve">was sceptical of the </w:t>
      </w:r>
      <w:r w:rsidR="00B518AD">
        <w:rPr>
          <w:sz w:val="24"/>
        </w:rPr>
        <w:t xml:space="preserve">ability </w:t>
      </w:r>
      <w:r>
        <w:rPr>
          <w:sz w:val="24"/>
        </w:rPr>
        <w:t xml:space="preserve">of </w:t>
      </w:r>
      <w:r w:rsidR="00B518AD">
        <w:rPr>
          <w:sz w:val="24"/>
        </w:rPr>
        <w:t xml:space="preserve">banks </w:t>
      </w:r>
      <w:r>
        <w:rPr>
          <w:sz w:val="24"/>
        </w:rPr>
        <w:t>to call up uncalled capital</w:t>
      </w:r>
      <w:r w:rsidR="00B518AD">
        <w:rPr>
          <w:sz w:val="24"/>
        </w:rPr>
        <w:t>.</w:t>
      </w:r>
      <w:r w:rsidR="00B518AD">
        <w:rPr>
          <w:sz w:val="24"/>
          <w:lang w:val="en-US"/>
        </w:rPr>
        <w:t xml:space="preserve"> He also</w:t>
      </w:r>
      <w:r>
        <w:rPr>
          <w:sz w:val="24"/>
          <w:lang w:val="en-US"/>
        </w:rPr>
        <w:t xml:space="preserve"> identified the moral hazard problem </w:t>
      </w:r>
      <w:r w:rsidR="00B518AD">
        <w:rPr>
          <w:sz w:val="24"/>
        </w:rPr>
        <w:t>in a concentrated banking sector,</w:t>
      </w:r>
      <w:r w:rsidR="00B518AD">
        <w:rPr>
          <w:sz w:val="24"/>
          <w:lang w:val="en-US"/>
        </w:rPr>
        <w:t xml:space="preserve"> </w:t>
      </w:r>
      <w:r>
        <w:rPr>
          <w:sz w:val="24"/>
          <w:lang w:val="en-US"/>
        </w:rPr>
        <w:t>linking the too-big-to-fail argument to the decline in capital ratios:</w:t>
      </w:r>
    </w:p>
    <w:p w14:paraId="2D7609C4" w14:textId="77777777" w:rsidR="00CB63D5" w:rsidRDefault="00CB63D5" w:rsidP="00CB63D5">
      <w:pPr>
        <w:spacing w:line="480" w:lineRule="auto"/>
        <w:rPr>
          <w:sz w:val="24"/>
          <w:lang w:val="en-US"/>
        </w:rPr>
      </w:pPr>
    </w:p>
    <w:p w14:paraId="24616E9C" w14:textId="5BB23132" w:rsidR="00CB63D5" w:rsidRDefault="00CB63D5" w:rsidP="00CB63D5">
      <w:pPr>
        <w:spacing w:line="480" w:lineRule="auto"/>
        <w:ind w:left="720"/>
        <w:rPr>
          <w:sz w:val="24"/>
          <w:lang w:val="en-US"/>
        </w:rPr>
      </w:pPr>
      <w:r w:rsidRPr="00907D23">
        <w:rPr>
          <w:sz w:val="24"/>
          <w:lang w:val="en-US"/>
        </w:rPr>
        <w:t>… institutions of a certain size are “too large to let go”. It inspires the customers with confidence when a bank reaches a certain size; they say that whatever the state of things this bank will not be allowed to fall: a crash would carry the market away. I confess I think this rather an unfortunate presumption, though it may be a sound one, because I believe it is partly responsible for the very slender reserves which our banks carry, and the very small proportionate capital.</w:t>
      </w:r>
    </w:p>
    <w:p w14:paraId="722CCDAC" w14:textId="77777777" w:rsidR="00175701" w:rsidRDefault="00175701" w:rsidP="00CB63D5">
      <w:pPr>
        <w:spacing w:line="480" w:lineRule="auto"/>
        <w:ind w:left="720"/>
        <w:rPr>
          <w:sz w:val="24"/>
          <w:lang w:val="en-US"/>
        </w:rPr>
      </w:pPr>
    </w:p>
    <w:p w14:paraId="685286BB" w14:textId="77777777" w:rsidR="00A82EDC" w:rsidRDefault="00A82EDC">
      <w:pPr>
        <w:overflowPunct/>
        <w:autoSpaceDE/>
        <w:autoSpaceDN/>
        <w:adjustRightInd/>
        <w:textAlignment w:val="auto"/>
        <w:rPr>
          <w:sz w:val="24"/>
        </w:rPr>
      </w:pPr>
      <w:r>
        <w:rPr>
          <w:sz w:val="24"/>
        </w:rPr>
        <w:br w:type="page"/>
      </w:r>
    </w:p>
    <w:p w14:paraId="64FA6D08" w14:textId="77777777" w:rsidR="00CB63D5" w:rsidRPr="00280981" w:rsidRDefault="00CB63D5" w:rsidP="00CB63D5">
      <w:pPr>
        <w:spacing w:line="480" w:lineRule="auto"/>
        <w:rPr>
          <w:b/>
          <w:i/>
          <w:sz w:val="24"/>
          <w:szCs w:val="24"/>
        </w:rPr>
      </w:pPr>
      <w:r w:rsidRPr="00280981">
        <w:rPr>
          <w:b/>
          <w:i/>
          <w:sz w:val="24"/>
          <w:szCs w:val="24"/>
        </w:rPr>
        <w:lastRenderedPageBreak/>
        <w:t>International comparisons</w:t>
      </w:r>
      <w:r>
        <w:rPr>
          <w:b/>
          <w:i/>
          <w:sz w:val="24"/>
          <w:szCs w:val="24"/>
        </w:rPr>
        <w:t xml:space="preserve"> and ‘Money Trust’ claims</w:t>
      </w:r>
    </w:p>
    <w:p w14:paraId="7635C00B" w14:textId="77777777" w:rsidR="00CB63D5" w:rsidRPr="009B7EE3" w:rsidRDefault="00CB63D5" w:rsidP="00CB63D5">
      <w:pPr>
        <w:spacing w:line="480" w:lineRule="auto"/>
        <w:rPr>
          <w:sz w:val="24"/>
        </w:rPr>
      </w:pPr>
    </w:p>
    <w:p w14:paraId="071554AB" w14:textId="64B140D5" w:rsidR="00CB63D5" w:rsidRDefault="00CB63D5" w:rsidP="00CB63D5">
      <w:pPr>
        <w:spacing w:line="480" w:lineRule="auto"/>
        <w:rPr>
          <w:sz w:val="24"/>
          <w:lang w:val="en-US"/>
        </w:rPr>
      </w:pPr>
      <w:r>
        <w:rPr>
          <w:sz w:val="24"/>
        </w:rPr>
        <w:t xml:space="preserve">Witnesses made some comparisons to </w:t>
      </w:r>
      <w:r w:rsidR="005458BD">
        <w:rPr>
          <w:sz w:val="24"/>
        </w:rPr>
        <w:t>the</w:t>
      </w:r>
      <w:r>
        <w:rPr>
          <w:sz w:val="24"/>
        </w:rPr>
        <w:t xml:space="preserve"> banking systems</w:t>
      </w:r>
      <w:r w:rsidR="005458BD" w:rsidRPr="005458BD">
        <w:rPr>
          <w:sz w:val="24"/>
        </w:rPr>
        <w:t xml:space="preserve"> </w:t>
      </w:r>
      <w:r w:rsidR="005458BD">
        <w:rPr>
          <w:sz w:val="24"/>
        </w:rPr>
        <w:t>of other countries,</w:t>
      </w:r>
      <w:r>
        <w:rPr>
          <w:sz w:val="24"/>
        </w:rPr>
        <w:t xml:space="preserve"> generally the US, Canada, France, and, most often</w:t>
      </w:r>
      <w:r w:rsidR="005458BD">
        <w:rPr>
          <w:sz w:val="24"/>
        </w:rPr>
        <w:t xml:space="preserve"> and usually favourably</w:t>
      </w:r>
      <w:r>
        <w:rPr>
          <w:sz w:val="24"/>
        </w:rPr>
        <w:t xml:space="preserve">, Germany. </w:t>
      </w:r>
      <w:r w:rsidRPr="00FE6E50">
        <w:rPr>
          <w:sz w:val="24"/>
          <w:lang w:val="en-US"/>
        </w:rPr>
        <w:t>Hambling</w:t>
      </w:r>
      <w:r>
        <w:rPr>
          <w:sz w:val="24"/>
          <w:lang w:val="en-US"/>
        </w:rPr>
        <w:t xml:space="preserve"> </w:t>
      </w:r>
      <w:r w:rsidRPr="00FE6E50">
        <w:rPr>
          <w:sz w:val="24"/>
          <w:lang w:val="en-US"/>
        </w:rPr>
        <w:t xml:space="preserve">praised the German system </w:t>
      </w:r>
      <w:r>
        <w:rPr>
          <w:sz w:val="24"/>
          <w:lang w:val="en-US"/>
        </w:rPr>
        <w:t xml:space="preserve">and claimed </w:t>
      </w:r>
      <w:r w:rsidRPr="00FE6E50">
        <w:rPr>
          <w:sz w:val="24"/>
          <w:lang w:val="en-US"/>
        </w:rPr>
        <w:t>‘</w:t>
      </w:r>
      <w:r>
        <w:rPr>
          <w:sz w:val="24"/>
          <w:lang w:val="en-US"/>
        </w:rPr>
        <w:t>…</w:t>
      </w:r>
      <w:r w:rsidRPr="00FE6E50">
        <w:rPr>
          <w:sz w:val="24"/>
          <w:lang w:val="en-US"/>
        </w:rPr>
        <w:t xml:space="preserve"> it will be necessary after the war to have these big institutions </w:t>
      </w:r>
      <w:r>
        <w:rPr>
          <w:sz w:val="24"/>
          <w:lang w:val="en-US"/>
        </w:rPr>
        <w:t xml:space="preserve">[i.e. banks similar to Germany’s </w:t>
      </w:r>
      <w:r w:rsidRPr="005F4A6D">
        <w:rPr>
          <w:i/>
          <w:sz w:val="24"/>
          <w:lang w:val="en-US"/>
        </w:rPr>
        <w:t>Grossbanken</w:t>
      </w:r>
      <w:r>
        <w:rPr>
          <w:sz w:val="24"/>
          <w:lang w:val="en-US"/>
        </w:rPr>
        <w:t xml:space="preserve">] </w:t>
      </w:r>
      <w:r w:rsidRPr="00FE6E50">
        <w:rPr>
          <w:sz w:val="24"/>
          <w:lang w:val="en-US"/>
        </w:rPr>
        <w:t>to be able to compete with the fierce co</w:t>
      </w:r>
      <w:r>
        <w:rPr>
          <w:sz w:val="24"/>
          <w:lang w:val="en-US"/>
        </w:rPr>
        <w:t xml:space="preserve">mpetition we shall meet with’. </w:t>
      </w:r>
      <w:r w:rsidRPr="00B77046">
        <w:rPr>
          <w:sz w:val="24"/>
          <w:lang w:val="en-US"/>
        </w:rPr>
        <w:t>Foxwell contrasted German universal banks with British banks, suggesting ‘We have carried specialising, I venture to think, rather too far. Everything is specialised here’</w:t>
      </w:r>
      <w:r>
        <w:rPr>
          <w:sz w:val="24"/>
          <w:lang w:val="en-US"/>
        </w:rPr>
        <w:t>, and saw value in amalgamations which would result in less specialised institutions</w:t>
      </w:r>
      <w:r w:rsidRPr="00B77046">
        <w:rPr>
          <w:sz w:val="24"/>
          <w:lang w:val="en-US"/>
        </w:rPr>
        <w:t>.</w:t>
      </w:r>
      <w:r>
        <w:rPr>
          <w:sz w:val="24"/>
          <w:lang w:val="en-US"/>
        </w:rPr>
        <w:t xml:space="preserve"> </w:t>
      </w:r>
      <w:r w:rsidRPr="006921AF">
        <w:rPr>
          <w:sz w:val="24"/>
          <w:lang w:val="en-US"/>
        </w:rPr>
        <w:t xml:space="preserve">Stoll </w:t>
      </w:r>
      <w:r>
        <w:rPr>
          <w:sz w:val="24"/>
          <w:lang w:val="en-US"/>
        </w:rPr>
        <w:t xml:space="preserve">viewed Germany very differently, </w:t>
      </w:r>
      <w:r w:rsidRPr="006921AF">
        <w:rPr>
          <w:sz w:val="24"/>
          <w:lang w:val="en-US"/>
        </w:rPr>
        <w:t>a</w:t>
      </w:r>
      <w:r>
        <w:rPr>
          <w:sz w:val="24"/>
          <w:lang w:val="en-US"/>
        </w:rPr>
        <w:t>rguing</w:t>
      </w:r>
      <w:r w:rsidRPr="006921AF">
        <w:rPr>
          <w:sz w:val="24"/>
          <w:lang w:val="en-US"/>
        </w:rPr>
        <w:t xml:space="preserve"> that ‘four great German banks … in partnership with the German Government … keep that [German] population in shackles more complete than was serfdom in England in the age of Feudalism’ and claimed the Pujo Committee </w:t>
      </w:r>
      <w:r>
        <w:rPr>
          <w:sz w:val="24"/>
          <w:lang w:val="en-US"/>
        </w:rPr>
        <w:t xml:space="preserve">had </w:t>
      </w:r>
      <w:r w:rsidRPr="006921AF">
        <w:rPr>
          <w:sz w:val="24"/>
          <w:lang w:val="en-US"/>
        </w:rPr>
        <w:t>evidenced a similar situation in the US.</w:t>
      </w:r>
      <w:r>
        <w:rPr>
          <w:sz w:val="24"/>
          <w:lang w:val="en-US"/>
        </w:rPr>
        <w:t xml:space="preserve"> Committee members questioned him sceptically and appear to have largely disregarded his evidence, although the Committee Report mentions the possibility that bank amalgamations could create a ‘Money Trust’ in </w:t>
      </w:r>
      <w:r w:rsidR="00433802">
        <w:rPr>
          <w:sz w:val="24"/>
          <w:lang w:val="en-US"/>
        </w:rPr>
        <w:t>Britain</w:t>
      </w:r>
      <w:r>
        <w:rPr>
          <w:sz w:val="24"/>
          <w:lang w:val="en-US"/>
        </w:rPr>
        <w:t>.</w:t>
      </w:r>
    </w:p>
    <w:p w14:paraId="585DE289" w14:textId="77777777" w:rsidR="00CB63D5" w:rsidRDefault="00CB63D5" w:rsidP="00CB63D5">
      <w:pPr>
        <w:spacing w:line="480" w:lineRule="auto"/>
        <w:rPr>
          <w:sz w:val="24"/>
          <w:lang w:val="en-US"/>
        </w:rPr>
      </w:pPr>
    </w:p>
    <w:p w14:paraId="24C88760" w14:textId="26B8E310" w:rsidR="00CB63D5" w:rsidRPr="00273B24" w:rsidRDefault="00CB63D5" w:rsidP="00CB63D5">
      <w:pPr>
        <w:spacing w:line="480" w:lineRule="auto"/>
        <w:rPr>
          <w:bCs/>
          <w:sz w:val="24"/>
        </w:rPr>
      </w:pPr>
      <w:r w:rsidRPr="005F4A6D">
        <w:rPr>
          <w:bCs/>
          <w:sz w:val="24"/>
          <w:lang w:val="en-US"/>
        </w:rPr>
        <w:t>Stoll claimed that the trend to fewer</w:t>
      </w:r>
      <w:r>
        <w:rPr>
          <w:bCs/>
          <w:sz w:val="24"/>
          <w:lang w:val="en-US"/>
        </w:rPr>
        <w:t>,</w:t>
      </w:r>
      <w:r w:rsidRPr="005F4A6D">
        <w:rPr>
          <w:bCs/>
          <w:sz w:val="24"/>
          <w:lang w:val="en-US"/>
        </w:rPr>
        <w:t xml:space="preserve"> larger banks would drive a similar trend in industry, regardless of other factors</w:t>
      </w:r>
      <w:r>
        <w:rPr>
          <w:bCs/>
          <w:sz w:val="24"/>
          <w:lang w:val="en-US"/>
        </w:rPr>
        <w:t xml:space="preserve">. In his view </w:t>
      </w:r>
      <w:r w:rsidRPr="005F4A6D">
        <w:rPr>
          <w:bCs/>
          <w:sz w:val="24"/>
          <w:lang w:val="en-US"/>
        </w:rPr>
        <w:t>‘</w:t>
      </w:r>
      <w:r>
        <w:rPr>
          <w:bCs/>
          <w:sz w:val="24"/>
          <w:lang w:val="en-US"/>
        </w:rPr>
        <w:t>The</w:t>
      </w:r>
      <w:r w:rsidRPr="005F4A6D">
        <w:rPr>
          <w:bCs/>
          <w:sz w:val="24"/>
          <w:lang w:val="en-US"/>
        </w:rPr>
        <w:t xml:space="preserve"> hundred or so directors of five banks are more or less closely bound up with concerns in Banking, Finance, Insurance, Shipping, Railways, Mining, Electricity etc.’ and would tend to favour customers with whom board links existed. </w:t>
      </w:r>
      <w:r>
        <w:rPr>
          <w:sz w:val="24"/>
          <w:lang w:val="en-US"/>
        </w:rPr>
        <w:t xml:space="preserve">The only other witness to address the question of a ‘Money Trust’ directly was Holden, who </w:t>
      </w:r>
      <w:r w:rsidRPr="005F4A6D">
        <w:rPr>
          <w:bCs/>
          <w:sz w:val="24"/>
          <w:lang w:val="en-US"/>
        </w:rPr>
        <w:t xml:space="preserve">rubbished </w:t>
      </w:r>
      <w:r>
        <w:rPr>
          <w:sz w:val="24"/>
        </w:rPr>
        <w:t>Stoll’s</w:t>
      </w:r>
      <w:r w:rsidRPr="005F4A6D">
        <w:rPr>
          <w:bCs/>
          <w:sz w:val="24"/>
          <w:lang w:val="en-US"/>
        </w:rPr>
        <w:t xml:space="preserve"> argument: ‘Inter-locking directors are unknown in our banking world. A director of an English </w:t>
      </w:r>
      <w:r w:rsidRPr="005F4A6D">
        <w:rPr>
          <w:bCs/>
          <w:sz w:val="24"/>
          <w:lang w:val="en-US"/>
        </w:rPr>
        <w:lastRenderedPageBreak/>
        <w:t>Bank is not permitted to sit on the Board of another English Bank, and no individual or Corporation is allowed to acquire a controlling interest in their stock’.</w:t>
      </w:r>
      <w:r>
        <w:rPr>
          <w:bCs/>
          <w:sz w:val="24"/>
          <w:lang w:val="en-US"/>
        </w:rPr>
        <w:t xml:space="preserve"> </w:t>
      </w:r>
      <w:r>
        <w:rPr>
          <w:sz w:val="24"/>
        </w:rPr>
        <w:t>At the time of the Committee b</w:t>
      </w:r>
      <w:r w:rsidRPr="005438E2">
        <w:rPr>
          <w:sz w:val="24"/>
        </w:rPr>
        <w:t xml:space="preserve">ank directors </w:t>
      </w:r>
      <w:r w:rsidR="00983EE1">
        <w:rPr>
          <w:sz w:val="24"/>
        </w:rPr>
        <w:t xml:space="preserve">usually did not hold </w:t>
      </w:r>
      <w:r>
        <w:rPr>
          <w:sz w:val="24"/>
        </w:rPr>
        <w:t>full-time management role</w:t>
      </w:r>
      <w:r w:rsidR="005458BD">
        <w:rPr>
          <w:sz w:val="24"/>
        </w:rPr>
        <w:t>s</w:t>
      </w:r>
      <w:r>
        <w:rPr>
          <w:sz w:val="24"/>
        </w:rPr>
        <w:t xml:space="preserve">. </w:t>
      </w:r>
      <w:r>
        <w:rPr>
          <w:bCs/>
          <w:sz w:val="24"/>
        </w:rPr>
        <w:t>T</w:t>
      </w:r>
      <w:r w:rsidRPr="005438E2">
        <w:rPr>
          <w:bCs/>
          <w:sz w:val="24"/>
        </w:rPr>
        <w:t>he business, educational, social</w:t>
      </w:r>
      <w:r w:rsidRPr="005438E2">
        <w:rPr>
          <w:sz w:val="24"/>
        </w:rPr>
        <w:t>, political, marital</w:t>
      </w:r>
      <w:r w:rsidRPr="005438E2">
        <w:rPr>
          <w:bCs/>
          <w:sz w:val="24"/>
        </w:rPr>
        <w:t xml:space="preserve"> and other family connections of bank directors undoubtedly created a loose elite</w:t>
      </w:r>
      <w:r w:rsidRPr="005438E2">
        <w:rPr>
          <w:sz w:val="24"/>
        </w:rPr>
        <w:t xml:space="preserve"> of gentlemanly capitalists in the Victorian era</w:t>
      </w:r>
      <w:r>
        <w:rPr>
          <w:sz w:val="24"/>
        </w:rPr>
        <w:t xml:space="preserve"> (</w:t>
      </w:r>
      <w:r w:rsidRPr="005A57AE">
        <w:rPr>
          <w:sz w:val="24"/>
        </w:rPr>
        <w:t xml:space="preserve">Braggion and Moore, 2013; </w:t>
      </w:r>
      <w:r w:rsidR="00983EE1">
        <w:rPr>
          <w:sz w:val="24"/>
        </w:rPr>
        <w:t xml:space="preserve">Cain and Hopkins, 2002; </w:t>
      </w:r>
      <w:r w:rsidRPr="005A57AE">
        <w:rPr>
          <w:sz w:val="24"/>
        </w:rPr>
        <w:t>Daunton, 1992</w:t>
      </w:r>
      <w:r>
        <w:rPr>
          <w:sz w:val="24"/>
        </w:rPr>
        <w:t>)</w:t>
      </w:r>
      <w:r w:rsidRPr="005438E2">
        <w:rPr>
          <w:bCs/>
          <w:sz w:val="24"/>
        </w:rPr>
        <w:t>.</w:t>
      </w:r>
      <w:r>
        <w:rPr>
          <w:bCs/>
          <w:sz w:val="24"/>
        </w:rPr>
        <w:t xml:space="preserve"> </w:t>
      </w:r>
      <w:r w:rsidRPr="00C14737">
        <w:rPr>
          <w:bCs/>
          <w:sz w:val="24"/>
        </w:rPr>
        <w:t>Recent research</w:t>
      </w:r>
      <w:r w:rsidR="00273B24">
        <w:rPr>
          <w:bCs/>
          <w:sz w:val="24"/>
        </w:rPr>
        <w:t xml:space="preserve"> </w:t>
      </w:r>
      <w:r w:rsidRPr="00C14737">
        <w:rPr>
          <w:bCs/>
          <w:sz w:val="24"/>
        </w:rPr>
        <w:t>suggests that directors of leading banks were central to corporate networks, but that directors from non-bank financial institutions increas</w:t>
      </w:r>
      <w:r w:rsidR="00B518AD">
        <w:rPr>
          <w:bCs/>
          <w:sz w:val="24"/>
        </w:rPr>
        <w:t>ed their</w:t>
      </w:r>
      <w:r w:rsidRPr="00C14737">
        <w:rPr>
          <w:bCs/>
          <w:sz w:val="24"/>
        </w:rPr>
        <w:t xml:space="preserve"> presence on corporate boards </w:t>
      </w:r>
      <w:r w:rsidR="00B518AD" w:rsidRPr="00C14737">
        <w:rPr>
          <w:bCs/>
          <w:sz w:val="24"/>
        </w:rPr>
        <w:t xml:space="preserve">as the twentieth century progressed </w:t>
      </w:r>
      <w:r w:rsidRPr="00C14737">
        <w:rPr>
          <w:bCs/>
          <w:sz w:val="24"/>
        </w:rPr>
        <w:t>(Wilson, Buchnea and Tilba, 2018).</w:t>
      </w:r>
      <w:r w:rsidR="00273B24">
        <w:rPr>
          <w:bCs/>
          <w:sz w:val="24"/>
        </w:rPr>
        <w:t xml:space="preserve"> So while Holden may have been right about inter-bank interlocks, doubt </w:t>
      </w:r>
      <w:r w:rsidR="005458BD">
        <w:rPr>
          <w:bCs/>
          <w:sz w:val="24"/>
        </w:rPr>
        <w:t xml:space="preserve">remains </w:t>
      </w:r>
      <w:r w:rsidR="00273B24">
        <w:rPr>
          <w:bCs/>
          <w:sz w:val="24"/>
        </w:rPr>
        <w:t xml:space="preserve">about </w:t>
      </w:r>
      <w:r w:rsidR="003E0936">
        <w:rPr>
          <w:bCs/>
          <w:sz w:val="24"/>
        </w:rPr>
        <w:t>finance</w:t>
      </w:r>
      <w:r w:rsidR="00273B24">
        <w:rPr>
          <w:bCs/>
          <w:sz w:val="24"/>
        </w:rPr>
        <w:t>-industry links, or how this affected industrial finance.</w:t>
      </w:r>
    </w:p>
    <w:p w14:paraId="3BFE2D0A" w14:textId="77777777" w:rsidR="00CB63D5" w:rsidRPr="00C14737" w:rsidRDefault="00CB63D5" w:rsidP="00CB63D5">
      <w:pPr>
        <w:spacing w:line="480" w:lineRule="auto"/>
        <w:rPr>
          <w:sz w:val="24"/>
        </w:rPr>
      </w:pPr>
    </w:p>
    <w:p w14:paraId="394CE484" w14:textId="0E302D52" w:rsidR="003E0936" w:rsidRPr="0039797F" w:rsidRDefault="00CB63D5" w:rsidP="002E32E4">
      <w:pPr>
        <w:spacing w:line="480" w:lineRule="auto"/>
        <w:rPr>
          <w:sz w:val="24"/>
          <w:lang w:val="en-US"/>
        </w:rPr>
      </w:pPr>
      <w:r w:rsidRPr="00C14737">
        <w:rPr>
          <w:sz w:val="24"/>
        </w:rPr>
        <w:t>Carnevali (2005) argued that some witnesses misrepresented German banking, ignoring the role of German regional banks and exaggerating the need for large banks to compete.</w:t>
      </w:r>
      <w:r w:rsidRPr="00C14737">
        <w:rPr>
          <w:rStyle w:val="EndnoteReference"/>
          <w:sz w:val="24"/>
        </w:rPr>
        <w:endnoteReference w:id="26"/>
      </w:r>
      <w:r w:rsidRPr="00C14737">
        <w:rPr>
          <w:sz w:val="24"/>
        </w:rPr>
        <w:t xml:space="preserve"> Fohlin (</w:t>
      </w:r>
      <w:r w:rsidRPr="00C14737">
        <w:rPr>
          <w:sz w:val="24"/>
          <w:szCs w:val="24"/>
        </w:rPr>
        <w:t>2002</w:t>
      </w:r>
      <w:r w:rsidR="00242643">
        <w:rPr>
          <w:sz w:val="24"/>
          <w:szCs w:val="24"/>
        </w:rPr>
        <w:t>,</w:t>
      </w:r>
      <w:r w:rsidR="00F159BC">
        <w:rPr>
          <w:sz w:val="24"/>
          <w:szCs w:val="24"/>
        </w:rPr>
        <w:t xml:space="preserve"> </w:t>
      </w:r>
      <w:r w:rsidRPr="00C14737">
        <w:rPr>
          <w:sz w:val="24"/>
          <w:szCs w:val="24"/>
        </w:rPr>
        <w:t>248</w:t>
      </w:r>
      <w:r w:rsidR="00242643">
        <w:rPr>
          <w:sz w:val="24"/>
          <w:szCs w:val="24"/>
        </w:rPr>
        <w:t>–</w:t>
      </w:r>
      <w:r w:rsidRPr="00C14737">
        <w:rPr>
          <w:sz w:val="24"/>
          <w:szCs w:val="24"/>
        </w:rPr>
        <w:t xml:space="preserve">251) </w:t>
      </w:r>
      <w:r w:rsidRPr="00C14737">
        <w:rPr>
          <w:sz w:val="24"/>
        </w:rPr>
        <w:t xml:space="preserve">saw strong similarities between British and German banking: similar levels of concentration from around 1890, with a surge during and after World War One, suggesting that concentration was a natural tendency in banking regardless of the dominance of universal or more specialised banks. Burhop (2006, 57) reinforces this view, arguing that the development of large joint-stock credit banks in Germany had beneficial effects in diversifying risk across regions and industrial sectors. </w:t>
      </w:r>
      <w:r w:rsidR="00C66C48">
        <w:rPr>
          <w:sz w:val="24"/>
        </w:rPr>
        <w:t>As Table 1 indicates, t</w:t>
      </w:r>
      <w:r w:rsidRPr="00C14737">
        <w:rPr>
          <w:sz w:val="24"/>
        </w:rPr>
        <w:t xml:space="preserve">he US was an exception, where regulation constrained branch banking and diversification, </w:t>
      </w:r>
      <w:r w:rsidR="00B518AD">
        <w:rPr>
          <w:sz w:val="24"/>
        </w:rPr>
        <w:t>resulting in</w:t>
      </w:r>
      <w:r w:rsidRPr="00C14737">
        <w:rPr>
          <w:sz w:val="24"/>
        </w:rPr>
        <w:t xml:space="preserve"> a fragmented system with thousands of unit banks, contributing to instability (Calomiris and Haber, 2014). </w:t>
      </w:r>
    </w:p>
    <w:p w14:paraId="0F248222" w14:textId="77777777" w:rsidR="00DA307C" w:rsidRPr="00DA307C" w:rsidRDefault="00DA307C" w:rsidP="00CB63D5">
      <w:pPr>
        <w:spacing w:line="480" w:lineRule="auto"/>
        <w:rPr>
          <w:sz w:val="24"/>
        </w:rPr>
      </w:pPr>
    </w:p>
    <w:p w14:paraId="06A10FCC" w14:textId="77777777" w:rsidR="003D0997" w:rsidRPr="003D0997" w:rsidRDefault="003D0997" w:rsidP="00CB63D5">
      <w:pPr>
        <w:spacing w:line="480" w:lineRule="auto"/>
        <w:rPr>
          <w:sz w:val="24"/>
        </w:rPr>
      </w:pPr>
    </w:p>
    <w:p w14:paraId="6BE7B67C" w14:textId="77777777" w:rsidR="003D0997" w:rsidRPr="00CE54EC" w:rsidRDefault="003D0997" w:rsidP="00CB63D5">
      <w:pPr>
        <w:spacing w:line="480" w:lineRule="auto"/>
        <w:rPr>
          <w:b/>
          <w:sz w:val="28"/>
          <w:szCs w:val="28"/>
        </w:rPr>
      </w:pPr>
      <w:r w:rsidRPr="00CE54EC">
        <w:rPr>
          <w:b/>
          <w:sz w:val="28"/>
          <w:szCs w:val="28"/>
        </w:rPr>
        <w:t>Conclusions</w:t>
      </w:r>
    </w:p>
    <w:p w14:paraId="3350A7C9" w14:textId="77777777" w:rsidR="002E6AA9" w:rsidRPr="00CE54EC" w:rsidRDefault="002E6AA9" w:rsidP="00CB63D5">
      <w:pPr>
        <w:spacing w:line="480" w:lineRule="auto"/>
        <w:rPr>
          <w:sz w:val="24"/>
        </w:rPr>
      </w:pPr>
    </w:p>
    <w:p w14:paraId="157CE2D5" w14:textId="1AEB9ED9" w:rsidR="00B5089F" w:rsidRDefault="00B5089F" w:rsidP="00B5089F">
      <w:pPr>
        <w:spacing w:line="480" w:lineRule="auto"/>
        <w:rPr>
          <w:sz w:val="24"/>
          <w:lang w:val="en-US"/>
        </w:rPr>
      </w:pPr>
      <w:r>
        <w:rPr>
          <w:sz w:val="24"/>
          <w:lang w:val="en-US"/>
        </w:rPr>
        <w:t>The discussion and the findings of the Committee reveal that the banking sector that had emerged by 1918 had reached a level of systematic maturity, with many essential features that endure into the present. The sector was dominated by a small number of large banks formed from amalgamations. As such</w:t>
      </w:r>
      <w:r w:rsidR="00B518AD">
        <w:rPr>
          <w:sz w:val="24"/>
          <w:lang w:val="en-US"/>
        </w:rPr>
        <w:t>,</w:t>
      </w:r>
      <w:r>
        <w:rPr>
          <w:sz w:val="24"/>
          <w:lang w:val="en-US"/>
        </w:rPr>
        <w:t xml:space="preserve"> the development of the system exhibited hysteresis</w:t>
      </w:r>
      <w:r w:rsidR="00C66C48">
        <w:rPr>
          <w:sz w:val="24"/>
          <w:lang w:val="en-US"/>
        </w:rPr>
        <w:t xml:space="preserve"> </w:t>
      </w:r>
      <w:r>
        <w:rPr>
          <w:sz w:val="24"/>
          <w:lang w:val="en-US"/>
        </w:rPr>
        <w:t>–</w:t>
      </w:r>
      <w:r w:rsidR="00C66C48">
        <w:rPr>
          <w:sz w:val="24"/>
          <w:lang w:val="en-US"/>
        </w:rPr>
        <w:t xml:space="preserve"> </w:t>
      </w:r>
      <w:r>
        <w:rPr>
          <w:sz w:val="24"/>
          <w:lang w:val="en-US"/>
        </w:rPr>
        <w:t xml:space="preserve">there could be no return to the system as it had been composed in the </w:t>
      </w:r>
      <w:r w:rsidR="00A5727A">
        <w:rPr>
          <w:sz w:val="24"/>
          <w:lang w:val="en-US"/>
        </w:rPr>
        <w:t>nineteenth</w:t>
      </w:r>
      <w:r>
        <w:rPr>
          <w:sz w:val="24"/>
          <w:lang w:val="en-US"/>
        </w:rPr>
        <w:t xml:space="preserve"> </w:t>
      </w:r>
      <w:r w:rsidR="00A5727A">
        <w:rPr>
          <w:sz w:val="24"/>
          <w:lang w:val="en-US"/>
        </w:rPr>
        <w:t>c</w:t>
      </w:r>
      <w:r>
        <w:rPr>
          <w:sz w:val="24"/>
          <w:lang w:val="en-US"/>
        </w:rPr>
        <w:t>entury. However</w:t>
      </w:r>
      <w:r w:rsidR="00B330A7">
        <w:rPr>
          <w:sz w:val="24"/>
          <w:lang w:val="en-US"/>
        </w:rPr>
        <w:t>,</w:t>
      </w:r>
      <w:r>
        <w:rPr>
          <w:sz w:val="24"/>
          <w:lang w:val="en-US"/>
        </w:rPr>
        <w:t xml:space="preserve"> the secular process that had led to that position in turn </w:t>
      </w:r>
      <w:r w:rsidR="00A5727A">
        <w:rPr>
          <w:sz w:val="24"/>
          <w:lang w:val="en-US"/>
        </w:rPr>
        <w:t>aroused</w:t>
      </w:r>
      <w:r>
        <w:rPr>
          <w:sz w:val="24"/>
          <w:lang w:val="en-US"/>
        </w:rPr>
        <w:t xml:space="preserve"> policy-concerns about the desirability </w:t>
      </w:r>
      <w:r w:rsidR="00A5727A">
        <w:rPr>
          <w:sz w:val="24"/>
          <w:lang w:val="en-US"/>
        </w:rPr>
        <w:t>and</w:t>
      </w:r>
      <w:r>
        <w:rPr>
          <w:sz w:val="24"/>
          <w:lang w:val="en-US"/>
        </w:rPr>
        <w:t xml:space="preserve"> efficacy of a consolidated and concentrated banking system, and it was th</w:t>
      </w:r>
      <w:r w:rsidR="00A5727A">
        <w:rPr>
          <w:sz w:val="24"/>
          <w:lang w:val="en-US"/>
        </w:rPr>
        <w:t>ese</w:t>
      </w:r>
      <w:r>
        <w:rPr>
          <w:sz w:val="24"/>
          <w:lang w:val="en-US"/>
        </w:rPr>
        <w:t xml:space="preserve"> that the Committee sought to address. </w:t>
      </w:r>
    </w:p>
    <w:p w14:paraId="7316B5DB" w14:textId="77777777" w:rsidR="00B5089F" w:rsidRDefault="00B5089F" w:rsidP="00B5089F">
      <w:pPr>
        <w:spacing w:line="480" w:lineRule="auto"/>
        <w:rPr>
          <w:sz w:val="24"/>
          <w:lang w:val="en-US"/>
        </w:rPr>
      </w:pPr>
    </w:p>
    <w:p w14:paraId="116DFA95" w14:textId="6A3780DF" w:rsidR="004C5EB4" w:rsidRDefault="00B5089F" w:rsidP="00B5089F">
      <w:pPr>
        <w:spacing w:line="480" w:lineRule="auto"/>
        <w:rPr>
          <w:sz w:val="24"/>
          <w:lang w:val="en-US"/>
        </w:rPr>
      </w:pPr>
      <w:r>
        <w:rPr>
          <w:sz w:val="24"/>
          <w:lang w:val="en-US"/>
        </w:rPr>
        <w:t>The discourse of the Committee reveals that</w:t>
      </w:r>
      <w:r w:rsidR="00B518AD">
        <w:rPr>
          <w:sz w:val="24"/>
          <w:lang w:val="en-US"/>
        </w:rPr>
        <w:t xml:space="preserve"> the</w:t>
      </w:r>
      <w:r>
        <w:rPr>
          <w:sz w:val="24"/>
          <w:lang w:val="en-US"/>
        </w:rPr>
        <w:t xml:space="preserve"> </w:t>
      </w:r>
      <w:r w:rsidR="00433802">
        <w:rPr>
          <w:sz w:val="24"/>
          <w:lang w:val="en-US"/>
        </w:rPr>
        <w:t xml:space="preserve">British </w:t>
      </w:r>
      <w:r>
        <w:rPr>
          <w:sz w:val="24"/>
          <w:lang w:val="en-US"/>
        </w:rPr>
        <w:t>banking sector had changed. The simultaneous expression of both too</w:t>
      </w:r>
      <w:r w:rsidR="00C66C48">
        <w:rPr>
          <w:sz w:val="24"/>
          <w:lang w:val="en-US"/>
        </w:rPr>
        <w:t>-</w:t>
      </w:r>
      <w:r>
        <w:rPr>
          <w:sz w:val="24"/>
          <w:lang w:val="en-US"/>
        </w:rPr>
        <w:t>big</w:t>
      </w:r>
      <w:r w:rsidR="00C66C48">
        <w:rPr>
          <w:sz w:val="24"/>
          <w:lang w:val="en-US"/>
        </w:rPr>
        <w:t>-</w:t>
      </w:r>
      <w:r>
        <w:rPr>
          <w:sz w:val="24"/>
          <w:lang w:val="en-US"/>
        </w:rPr>
        <w:t>to</w:t>
      </w:r>
      <w:r w:rsidR="00C66C48">
        <w:rPr>
          <w:sz w:val="24"/>
          <w:lang w:val="en-US"/>
        </w:rPr>
        <w:t>-</w:t>
      </w:r>
      <w:r>
        <w:rPr>
          <w:sz w:val="24"/>
          <w:lang w:val="en-US"/>
        </w:rPr>
        <w:t>fail and too</w:t>
      </w:r>
      <w:r w:rsidR="00C66C48">
        <w:rPr>
          <w:sz w:val="24"/>
          <w:lang w:val="en-US"/>
        </w:rPr>
        <w:t>-</w:t>
      </w:r>
      <w:r>
        <w:rPr>
          <w:sz w:val="24"/>
          <w:lang w:val="en-US"/>
        </w:rPr>
        <w:t>small</w:t>
      </w:r>
      <w:r w:rsidR="00C66C48">
        <w:rPr>
          <w:sz w:val="24"/>
          <w:lang w:val="en-US"/>
        </w:rPr>
        <w:t>-</w:t>
      </w:r>
      <w:r>
        <w:rPr>
          <w:sz w:val="24"/>
          <w:lang w:val="en-US"/>
        </w:rPr>
        <w:t>to</w:t>
      </w:r>
      <w:r w:rsidR="00C66C48">
        <w:rPr>
          <w:sz w:val="24"/>
          <w:lang w:val="en-US"/>
        </w:rPr>
        <w:t>-</w:t>
      </w:r>
      <w:r>
        <w:rPr>
          <w:sz w:val="24"/>
          <w:lang w:val="en-US"/>
        </w:rPr>
        <w:t>survive arguments in relation to bank size, concerns about declines in capital ratios, alongside the implicit</w:t>
      </w:r>
      <w:r>
        <w:rPr>
          <w:sz w:val="24"/>
          <w:lang w:val="en-US"/>
        </w:rPr>
        <w:softHyphen/>
        <w:t>–and to some extent explicit</w:t>
      </w:r>
      <w:r w:rsidR="00C66C48">
        <w:rPr>
          <w:sz w:val="24"/>
          <w:lang w:val="en-US"/>
        </w:rPr>
        <w:t xml:space="preserve"> </w:t>
      </w:r>
      <w:r>
        <w:rPr>
          <w:sz w:val="24"/>
          <w:lang w:val="en-US"/>
        </w:rPr>
        <w:t>–</w:t>
      </w:r>
      <w:r w:rsidR="00C66C48">
        <w:rPr>
          <w:sz w:val="24"/>
          <w:lang w:val="en-US"/>
        </w:rPr>
        <w:t xml:space="preserve"> </w:t>
      </w:r>
      <w:r>
        <w:rPr>
          <w:sz w:val="24"/>
          <w:lang w:val="en-US"/>
        </w:rPr>
        <w:t>acknowledgement that the state (government and Bank of England) w</w:t>
      </w:r>
      <w:r w:rsidR="00B518AD">
        <w:rPr>
          <w:sz w:val="24"/>
          <w:lang w:val="en-US"/>
        </w:rPr>
        <w:t>as</w:t>
      </w:r>
      <w:r>
        <w:rPr>
          <w:sz w:val="24"/>
          <w:lang w:val="en-US"/>
        </w:rPr>
        <w:t xml:space="preserve"> the ultimate guarantor of the system were indicative of awareness of that change</w:t>
      </w:r>
      <w:r w:rsidR="00B518AD">
        <w:rPr>
          <w:sz w:val="24"/>
          <w:lang w:val="en-US"/>
        </w:rPr>
        <w:t xml:space="preserve"> </w:t>
      </w:r>
      <w:r w:rsidR="00D540B8">
        <w:rPr>
          <w:sz w:val="24"/>
          <w:lang w:val="en-US"/>
        </w:rPr>
        <w:t>–</w:t>
      </w:r>
      <w:r w:rsidR="00B518AD">
        <w:rPr>
          <w:sz w:val="24"/>
          <w:lang w:val="en-US"/>
        </w:rPr>
        <w:t xml:space="preserve"> </w:t>
      </w:r>
      <w:r w:rsidR="00D540B8">
        <w:rPr>
          <w:sz w:val="24"/>
          <w:lang w:val="en-US"/>
        </w:rPr>
        <w:t xml:space="preserve">and </w:t>
      </w:r>
      <w:r w:rsidR="00B518AD">
        <w:rPr>
          <w:sz w:val="24"/>
          <w:lang w:val="en-US"/>
        </w:rPr>
        <w:t xml:space="preserve">reflected </w:t>
      </w:r>
      <w:r w:rsidR="00D540B8">
        <w:rPr>
          <w:sz w:val="24"/>
          <w:lang w:val="en-US"/>
        </w:rPr>
        <w:t>some concern about its implications</w:t>
      </w:r>
      <w:r>
        <w:rPr>
          <w:sz w:val="24"/>
          <w:lang w:val="en-US"/>
        </w:rPr>
        <w:t xml:space="preserve">. </w:t>
      </w:r>
      <w:r w:rsidR="004C5EB4">
        <w:rPr>
          <w:sz w:val="24"/>
          <w:lang w:val="en-US"/>
        </w:rPr>
        <w:t xml:space="preserve">This reveals an awareness of the moral-hazard concerns that </w:t>
      </w:r>
      <w:r w:rsidR="00A5727A">
        <w:rPr>
          <w:sz w:val="24"/>
          <w:lang w:val="en-US"/>
        </w:rPr>
        <w:t>persist</w:t>
      </w:r>
      <w:r w:rsidR="004C5EB4">
        <w:rPr>
          <w:sz w:val="24"/>
          <w:lang w:val="en-US"/>
        </w:rPr>
        <w:t xml:space="preserve"> into the present in relation to who carries the systemic risks </w:t>
      </w:r>
      <w:r w:rsidR="00A5727A">
        <w:rPr>
          <w:sz w:val="24"/>
          <w:lang w:val="en-US"/>
        </w:rPr>
        <w:t>of a</w:t>
      </w:r>
      <w:r w:rsidR="004C5EB4">
        <w:rPr>
          <w:sz w:val="24"/>
          <w:lang w:val="en-US"/>
        </w:rPr>
        <w:t xml:space="preserve"> banking </w:t>
      </w:r>
      <w:r w:rsidR="00A5727A">
        <w:rPr>
          <w:sz w:val="24"/>
          <w:lang w:val="en-US"/>
        </w:rPr>
        <w:t xml:space="preserve">sector </w:t>
      </w:r>
      <w:r w:rsidR="004C5EB4">
        <w:rPr>
          <w:sz w:val="24"/>
          <w:lang w:val="en-US"/>
        </w:rPr>
        <w:t>dominated by a small number of systemically</w:t>
      </w:r>
      <w:r w:rsidR="00A5727A">
        <w:rPr>
          <w:sz w:val="24"/>
          <w:lang w:val="en-US"/>
        </w:rPr>
        <w:t>-</w:t>
      </w:r>
      <w:r w:rsidR="004C5EB4">
        <w:rPr>
          <w:sz w:val="24"/>
          <w:lang w:val="en-US"/>
        </w:rPr>
        <w:t xml:space="preserve">important large banks. </w:t>
      </w:r>
    </w:p>
    <w:p w14:paraId="10882459" w14:textId="77777777" w:rsidR="004C5EB4" w:rsidRDefault="004C5EB4" w:rsidP="00B5089F">
      <w:pPr>
        <w:spacing w:line="480" w:lineRule="auto"/>
        <w:rPr>
          <w:sz w:val="24"/>
          <w:lang w:val="en-US"/>
        </w:rPr>
      </w:pPr>
    </w:p>
    <w:p w14:paraId="494B8067" w14:textId="6F06C81A" w:rsidR="00B5089F" w:rsidRDefault="00273B24" w:rsidP="00B5089F">
      <w:pPr>
        <w:spacing w:line="480" w:lineRule="auto"/>
        <w:rPr>
          <w:sz w:val="24"/>
          <w:lang w:val="en-US"/>
        </w:rPr>
      </w:pPr>
      <w:r>
        <w:rPr>
          <w:sz w:val="24"/>
          <w:lang w:val="en-US"/>
        </w:rPr>
        <w:t xml:space="preserve">The arguments for big banks were given as scalar benefits, greater managerial depth, enhanced services for industrial clients, enhanced competition, national rather than regional coverage and international </w:t>
      </w:r>
      <w:r w:rsidR="00A5727A">
        <w:rPr>
          <w:sz w:val="24"/>
          <w:lang w:val="en-US"/>
        </w:rPr>
        <w:t>competitiveness</w:t>
      </w:r>
      <w:r>
        <w:rPr>
          <w:sz w:val="24"/>
          <w:lang w:val="en-US"/>
        </w:rPr>
        <w:t>. Th</w:t>
      </w:r>
      <w:r w:rsidR="00B518AD">
        <w:rPr>
          <w:sz w:val="24"/>
          <w:lang w:val="en-US"/>
        </w:rPr>
        <w:t>ese</w:t>
      </w:r>
      <w:r>
        <w:rPr>
          <w:sz w:val="24"/>
          <w:lang w:val="en-US"/>
        </w:rPr>
        <w:t xml:space="preserve"> w</w:t>
      </w:r>
      <w:r w:rsidR="00B518AD">
        <w:rPr>
          <w:sz w:val="24"/>
          <w:lang w:val="en-US"/>
        </w:rPr>
        <w:t>ere</w:t>
      </w:r>
      <w:r>
        <w:rPr>
          <w:sz w:val="24"/>
          <w:lang w:val="en-US"/>
        </w:rPr>
        <w:t xml:space="preserve"> set against the </w:t>
      </w:r>
      <w:r>
        <w:rPr>
          <w:sz w:val="24"/>
          <w:lang w:val="en-US"/>
        </w:rPr>
        <w:lastRenderedPageBreak/>
        <w:t xml:space="preserve">inverse for small banks: they lacked scale, managerial depth, </w:t>
      </w:r>
      <w:r w:rsidR="00C66C48">
        <w:rPr>
          <w:sz w:val="24"/>
          <w:lang w:val="en-US"/>
        </w:rPr>
        <w:t xml:space="preserve">and </w:t>
      </w:r>
      <w:r>
        <w:rPr>
          <w:sz w:val="24"/>
          <w:lang w:val="en-US"/>
        </w:rPr>
        <w:t xml:space="preserve">national coverage (but rather operated cosy regional oligopolies/cartels), </w:t>
      </w:r>
      <w:r w:rsidR="00C66C48">
        <w:rPr>
          <w:sz w:val="24"/>
          <w:lang w:val="en-US"/>
        </w:rPr>
        <w:t xml:space="preserve">could not offer services clients needed, </w:t>
      </w:r>
      <w:r>
        <w:rPr>
          <w:sz w:val="24"/>
          <w:lang w:val="en-US"/>
        </w:rPr>
        <w:t xml:space="preserve">and were not internationally competitive. For </w:t>
      </w:r>
      <w:r w:rsidR="00A5727A">
        <w:rPr>
          <w:sz w:val="24"/>
          <w:lang w:val="en-US"/>
        </w:rPr>
        <w:t>some</w:t>
      </w:r>
      <w:r>
        <w:rPr>
          <w:sz w:val="24"/>
          <w:lang w:val="en-US"/>
        </w:rPr>
        <w:t xml:space="preserve"> witnesses amalgamation was necessary to rescue small banks, and was also the easiest means of expansion for larger banks. Th</w:t>
      </w:r>
      <w:r w:rsidR="00A5727A">
        <w:rPr>
          <w:sz w:val="24"/>
          <w:lang w:val="en-US"/>
        </w:rPr>
        <w:t>e</w:t>
      </w:r>
      <w:r>
        <w:rPr>
          <w:sz w:val="24"/>
          <w:lang w:val="en-US"/>
        </w:rPr>
        <w:t>s</w:t>
      </w:r>
      <w:r w:rsidR="00A5727A">
        <w:rPr>
          <w:sz w:val="24"/>
          <w:lang w:val="en-US"/>
        </w:rPr>
        <w:t>e arguments were</w:t>
      </w:r>
      <w:r>
        <w:rPr>
          <w:sz w:val="24"/>
          <w:lang w:val="en-US"/>
        </w:rPr>
        <w:t>, at one level, entirely self</w:t>
      </w:r>
      <w:r w:rsidR="00B330A7">
        <w:rPr>
          <w:sz w:val="24"/>
          <w:lang w:val="en-US"/>
        </w:rPr>
        <w:t>-</w:t>
      </w:r>
      <w:r>
        <w:rPr>
          <w:sz w:val="24"/>
          <w:lang w:val="en-US"/>
        </w:rPr>
        <w:t>serving</w:t>
      </w:r>
      <w:r w:rsidR="00B330A7">
        <w:rPr>
          <w:sz w:val="24"/>
          <w:lang w:val="en-US"/>
        </w:rPr>
        <w:t xml:space="preserve"> </w:t>
      </w:r>
      <w:r>
        <w:rPr>
          <w:sz w:val="24"/>
          <w:lang w:val="en-US"/>
        </w:rPr>
        <w:t xml:space="preserve">since </w:t>
      </w:r>
      <w:r w:rsidR="00A5727A">
        <w:rPr>
          <w:sz w:val="24"/>
          <w:lang w:val="en-US"/>
        </w:rPr>
        <w:t>they</w:t>
      </w:r>
      <w:r>
        <w:rPr>
          <w:sz w:val="24"/>
          <w:lang w:val="en-US"/>
        </w:rPr>
        <w:t xml:space="preserve"> represented the organi</w:t>
      </w:r>
      <w:r w:rsidR="007819AC">
        <w:rPr>
          <w:sz w:val="24"/>
          <w:lang w:val="en-US"/>
        </w:rPr>
        <w:t>s</w:t>
      </w:r>
      <w:r>
        <w:rPr>
          <w:sz w:val="24"/>
          <w:lang w:val="en-US"/>
        </w:rPr>
        <w:t xml:space="preserve">ational rationale for many of the larger banks. However, </w:t>
      </w:r>
      <w:r w:rsidR="00A5727A">
        <w:rPr>
          <w:sz w:val="24"/>
          <w:lang w:val="en-US"/>
        </w:rPr>
        <w:t>they</w:t>
      </w:r>
      <w:r>
        <w:rPr>
          <w:sz w:val="24"/>
          <w:lang w:val="en-US"/>
        </w:rPr>
        <w:t xml:space="preserve"> also reflected the ways in which the sector </w:t>
      </w:r>
      <w:r w:rsidRPr="00C22D55">
        <w:rPr>
          <w:i/>
          <w:sz w:val="24"/>
          <w:lang w:val="en-US"/>
        </w:rPr>
        <w:t>had</w:t>
      </w:r>
      <w:r>
        <w:rPr>
          <w:sz w:val="24"/>
          <w:lang w:val="en-US"/>
        </w:rPr>
        <w:t xml:space="preserve"> developed. This shows the ways in which historical actors operate within a bounded episteme</w:t>
      </w:r>
      <w:r w:rsidR="00B518AD">
        <w:rPr>
          <w:sz w:val="24"/>
          <w:lang w:val="en-US"/>
        </w:rPr>
        <w:t>:</w:t>
      </w:r>
      <w:r>
        <w:rPr>
          <w:sz w:val="24"/>
          <w:lang w:val="en-US"/>
        </w:rPr>
        <w:t xml:space="preserve"> </w:t>
      </w:r>
      <w:r w:rsidR="00B518AD">
        <w:rPr>
          <w:sz w:val="24"/>
          <w:lang w:val="en-US"/>
        </w:rPr>
        <w:t>t</w:t>
      </w:r>
      <w:r>
        <w:rPr>
          <w:sz w:val="24"/>
          <w:lang w:val="en-US"/>
        </w:rPr>
        <w:t>his was the world as they understood it to be</w:t>
      </w:r>
      <w:r w:rsidR="00C66C48">
        <w:rPr>
          <w:sz w:val="24"/>
          <w:lang w:val="en-US"/>
        </w:rPr>
        <w:t>, but</w:t>
      </w:r>
      <w:r w:rsidR="00C335C9">
        <w:rPr>
          <w:sz w:val="24"/>
          <w:lang w:val="en-US"/>
        </w:rPr>
        <w:t xml:space="preserve"> also revealed that the sector had reached a </w:t>
      </w:r>
      <w:r w:rsidR="002029C6">
        <w:rPr>
          <w:sz w:val="24"/>
          <w:lang w:val="en-US"/>
        </w:rPr>
        <w:t xml:space="preserve">saturated </w:t>
      </w:r>
      <w:r w:rsidR="00C335C9">
        <w:rPr>
          <w:sz w:val="24"/>
          <w:lang w:val="en-US"/>
        </w:rPr>
        <w:t>level of concentration</w:t>
      </w:r>
      <w:r w:rsidR="002029C6">
        <w:rPr>
          <w:sz w:val="24"/>
          <w:lang w:val="en-US"/>
        </w:rPr>
        <w:t>.</w:t>
      </w:r>
    </w:p>
    <w:p w14:paraId="7089D458" w14:textId="77777777" w:rsidR="00B5089F" w:rsidRDefault="00B5089F" w:rsidP="00B5089F">
      <w:pPr>
        <w:spacing w:line="480" w:lineRule="auto"/>
        <w:rPr>
          <w:sz w:val="24"/>
          <w:lang w:val="en-US"/>
        </w:rPr>
      </w:pPr>
    </w:p>
    <w:p w14:paraId="7FD2C514" w14:textId="530E138D" w:rsidR="007D4D48" w:rsidRDefault="00273B24" w:rsidP="00B5089F">
      <w:pPr>
        <w:spacing w:line="480" w:lineRule="auto"/>
        <w:rPr>
          <w:sz w:val="24"/>
          <w:lang w:val="en-US"/>
        </w:rPr>
      </w:pPr>
      <w:r>
        <w:rPr>
          <w:sz w:val="24"/>
          <w:lang w:val="en-US"/>
        </w:rPr>
        <w:t xml:space="preserve">There is </w:t>
      </w:r>
      <w:r w:rsidR="00D540B8">
        <w:rPr>
          <w:sz w:val="24"/>
          <w:lang w:val="en-US"/>
        </w:rPr>
        <w:t>nuance in understanding what the interests of bankers and banks might be, individually and collectively. Even though</w:t>
      </w:r>
      <w:r w:rsidR="00B5089F">
        <w:rPr>
          <w:sz w:val="24"/>
          <w:lang w:val="en-US"/>
        </w:rPr>
        <w:t xml:space="preserve"> further amalgamation</w:t>
      </w:r>
      <w:r w:rsidR="00D540B8">
        <w:rPr>
          <w:sz w:val="24"/>
          <w:lang w:val="en-US"/>
        </w:rPr>
        <w:t xml:space="preserve"> might benefit </w:t>
      </w:r>
      <w:r w:rsidR="004C5EB4">
        <w:rPr>
          <w:sz w:val="24"/>
          <w:lang w:val="en-US"/>
        </w:rPr>
        <w:t>a</w:t>
      </w:r>
      <w:r w:rsidR="00D540B8">
        <w:rPr>
          <w:sz w:val="24"/>
          <w:lang w:val="en-US"/>
        </w:rPr>
        <w:t xml:space="preserve"> bank (or banks) that might become even bigger, it</w:t>
      </w:r>
      <w:r w:rsidR="00B5089F">
        <w:rPr>
          <w:sz w:val="24"/>
          <w:lang w:val="en-US"/>
        </w:rPr>
        <w:t xml:space="preserve"> would potentially lead to a monopoly seen as undesirable</w:t>
      </w:r>
      <w:r w:rsidR="00E75494">
        <w:rPr>
          <w:sz w:val="24"/>
          <w:lang w:val="en-US"/>
        </w:rPr>
        <w:t xml:space="preserve"> from a </w:t>
      </w:r>
      <w:r w:rsidR="00B5089F">
        <w:rPr>
          <w:sz w:val="24"/>
          <w:lang w:val="en-US"/>
        </w:rPr>
        <w:t xml:space="preserve">free-market </w:t>
      </w:r>
      <w:r w:rsidR="00E75494">
        <w:rPr>
          <w:sz w:val="24"/>
          <w:lang w:val="en-US"/>
        </w:rPr>
        <w:t>perspective</w:t>
      </w:r>
      <w:r w:rsidR="008C02FA">
        <w:rPr>
          <w:sz w:val="24"/>
          <w:lang w:val="en-US"/>
        </w:rPr>
        <w:t xml:space="preserve"> and stimulate</w:t>
      </w:r>
      <w:r w:rsidR="00B5089F">
        <w:rPr>
          <w:sz w:val="24"/>
          <w:lang w:val="en-US"/>
        </w:rPr>
        <w:t xml:space="preserve"> call</w:t>
      </w:r>
      <w:r w:rsidR="00D540B8">
        <w:rPr>
          <w:sz w:val="24"/>
          <w:lang w:val="en-US"/>
        </w:rPr>
        <w:t>s</w:t>
      </w:r>
      <w:r w:rsidR="00B5089F">
        <w:rPr>
          <w:sz w:val="24"/>
          <w:lang w:val="en-US"/>
        </w:rPr>
        <w:t xml:space="preserve"> for nationali</w:t>
      </w:r>
      <w:r w:rsidR="007819AC">
        <w:rPr>
          <w:sz w:val="24"/>
          <w:lang w:val="en-US"/>
        </w:rPr>
        <w:t>s</w:t>
      </w:r>
      <w:r w:rsidR="00B5089F">
        <w:rPr>
          <w:sz w:val="24"/>
          <w:lang w:val="en-US"/>
        </w:rPr>
        <w:t>ation by a future socialist Labou</w:t>
      </w:r>
      <w:r w:rsidR="00E75494">
        <w:rPr>
          <w:sz w:val="24"/>
          <w:lang w:val="en-US"/>
        </w:rPr>
        <w:t>r</w:t>
      </w:r>
      <w:r w:rsidR="00B5089F">
        <w:rPr>
          <w:sz w:val="24"/>
          <w:lang w:val="en-US"/>
        </w:rPr>
        <w:t xml:space="preserve"> government–something that the financial elites certainly wish</w:t>
      </w:r>
      <w:r w:rsidR="00D540B8">
        <w:rPr>
          <w:sz w:val="24"/>
          <w:lang w:val="en-US"/>
        </w:rPr>
        <w:t>ed</w:t>
      </w:r>
      <w:r w:rsidR="00B5089F">
        <w:rPr>
          <w:sz w:val="24"/>
          <w:lang w:val="en-US"/>
        </w:rPr>
        <w:t xml:space="preserve"> to forestall. </w:t>
      </w:r>
      <w:r w:rsidR="00D540B8">
        <w:rPr>
          <w:sz w:val="24"/>
          <w:lang w:val="en-US"/>
        </w:rPr>
        <w:t>So the C</w:t>
      </w:r>
      <w:r w:rsidR="00B5089F">
        <w:rPr>
          <w:sz w:val="24"/>
          <w:lang w:val="en-US"/>
        </w:rPr>
        <w:t xml:space="preserve">ommittee did </w:t>
      </w:r>
      <w:r w:rsidR="00520785">
        <w:rPr>
          <w:sz w:val="24"/>
          <w:lang w:val="en-US"/>
        </w:rPr>
        <w:t xml:space="preserve">arrive at </w:t>
      </w:r>
      <w:r w:rsidR="00E75494">
        <w:rPr>
          <w:sz w:val="24"/>
          <w:lang w:val="en-US"/>
        </w:rPr>
        <w:t>conclusions</w:t>
      </w:r>
      <w:r w:rsidR="00B5089F">
        <w:rPr>
          <w:sz w:val="24"/>
          <w:lang w:val="en-US"/>
        </w:rPr>
        <w:t xml:space="preserve"> that were not </w:t>
      </w:r>
      <w:r w:rsidR="00520785">
        <w:rPr>
          <w:sz w:val="24"/>
          <w:lang w:val="en-US"/>
        </w:rPr>
        <w:t xml:space="preserve">unequivocally </w:t>
      </w:r>
      <w:r w:rsidR="00B5089F">
        <w:rPr>
          <w:sz w:val="24"/>
          <w:lang w:val="en-US"/>
        </w:rPr>
        <w:t>in the interests of bankers</w:t>
      </w:r>
      <w:r w:rsidR="00D540B8">
        <w:rPr>
          <w:sz w:val="24"/>
          <w:lang w:val="en-US"/>
        </w:rPr>
        <w:t>.</w:t>
      </w:r>
      <w:r w:rsidR="00B5089F">
        <w:rPr>
          <w:sz w:val="24"/>
          <w:lang w:val="en-US"/>
        </w:rPr>
        <w:t xml:space="preserve"> Any further mergers in the sector were to be approved by the Treasury and the Board of Trade, </w:t>
      </w:r>
      <w:r w:rsidR="00520785">
        <w:rPr>
          <w:sz w:val="24"/>
          <w:lang w:val="en-US"/>
        </w:rPr>
        <w:t xml:space="preserve">thereby </w:t>
      </w:r>
      <w:r w:rsidR="008C02FA">
        <w:rPr>
          <w:sz w:val="24"/>
          <w:lang w:val="en-US"/>
        </w:rPr>
        <w:t>terminating</w:t>
      </w:r>
      <w:r w:rsidR="00520785">
        <w:rPr>
          <w:sz w:val="24"/>
          <w:lang w:val="en-US"/>
        </w:rPr>
        <w:t xml:space="preserve"> </w:t>
      </w:r>
      <w:r w:rsidR="00B5089F">
        <w:rPr>
          <w:sz w:val="24"/>
          <w:lang w:val="en-US"/>
        </w:rPr>
        <w:t xml:space="preserve">the amalgamation movement </w:t>
      </w:r>
      <w:r w:rsidR="00D540B8">
        <w:rPr>
          <w:sz w:val="24"/>
          <w:lang w:val="en-US"/>
        </w:rPr>
        <w:t>as</w:t>
      </w:r>
      <w:r w:rsidR="00B5089F">
        <w:rPr>
          <w:sz w:val="24"/>
          <w:lang w:val="en-US"/>
        </w:rPr>
        <w:t xml:space="preserve"> an organic and unregulated process. Thereafter, </w:t>
      </w:r>
      <w:r w:rsidR="008C02FA">
        <w:rPr>
          <w:sz w:val="24"/>
          <w:lang w:val="en-US"/>
        </w:rPr>
        <w:t>any</w:t>
      </w:r>
      <w:r w:rsidR="00B5089F">
        <w:rPr>
          <w:sz w:val="24"/>
          <w:lang w:val="en-US"/>
        </w:rPr>
        <w:t xml:space="preserve"> amalgamations took place within a governmental and regulated context. This substantial change reflect</w:t>
      </w:r>
      <w:r w:rsidR="008C02FA">
        <w:rPr>
          <w:sz w:val="24"/>
          <w:lang w:val="en-US"/>
        </w:rPr>
        <w:t>ed</w:t>
      </w:r>
      <w:r w:rsidR="00B5089F">
        <w:rPr>
          <w:sz w:val="24"/>
          <w:lang w:val="en-US"/>
        </w:rPr>
        <w:t xml:space="preserve"> a turn away from </w:t>
      </w:r>
      <w:r w:rsidR="00B5089F" w:rsidRPr="008C02FA">
        <w:rPr>
          <w:i/>
          <w:sz w:val="24"/>
          <w:lang w:val="en-US"/>
        </w:rPr>
        <w:t>laissez faire</w:t>
      </w:r>
      <w:r w:rsidR="00B5089F">
        <w:rPr>
          <w:sz w:val="24"/>
          <w:lang w:val="en-US"/>
        </w:rPr>
        <w:t xml:space="preserve"> and towards more interventionist roles for both government and also, in a supervisory context, the Bank of England. </w:t>
      </w:r>
      <w:r w:rsidR="00D540B8">
        <w:rPr>
          <w:sz w:val="24"/>
          <w:lang w:val="en-US"/>
        </w:rPr>
        <w:t>As such</w:t>
      </w:r>
      <w:r w:rsidR="008C02FA">
        <w:rPr>
          <w:sz w:val="24"/>
          <w:lang w:val="en-US"/>
        </w:rPr>
        <w:t>,</w:t>
      </w:r>
      <w:r w:rsidR="00D540B8">
        <w:rPr>
          <w:sz w:val="24"/>
          <w:lang w:val="en-US"/>
        </w:rPr>
        <w:t xml:space="preserve"> the banks </w:t>
      </w:r>
      <w:r w:rsidR="008C02FA">
        <w:rPr>
          <w:sz w:val="24"/>
          <w:lang w:val="en-US"/>
        </w:rPr>
        <w:t xml:space="preserve">now </w:t>
      </w:r>
      <w:r w:rsidR="00D540B8">
        <w:rPr>
          <w:sz w:val="24"/>
          <w:lang w:val="en-US"/>
        </w:rPr>
        <w:t>accepted limits on their actions.</w:t>
      </w:r>
      <w:r w:rsidR="00C14737">
        <w:rPr>
          <w:sz w:val="24"/>
          <w:lang w:val="en-US"/>
        </w:rPr>
        <w:t xml:space="preserve"> </w:t>
      </w:r>
    </w:p>
    <w:p w14:paraId="448AA856" w14:textId="12D5E4AE" w:rsidR="00F41573" w:rsidRDefault="00F41573">
      <w:pPr>
        <w:overflowPunct/>
        <w:autoSpaceDE/>
        <w:autoSpaceDN/>
        <w:adjustRightInd/>
        <w:textAlignment w:val="auto"/>
        <w:rPr>
          <w:sz w:val="24"/>
          <w:lang w:val="en-US"/>
        </w:rPr>
      </w:pPr>
      <w:r>
        <w:rPr>
          <w:sz w:val="24"/>
          <w:lang w:val="en-US"/>
        </w:rPr>
        <w:br w:type="page"/>
      </w:r>
    </w:p>
    <w:p w14:paraId="61FE37AD" w14:textId="77777777" w:rsidR="0058573F" w:rsidRDefault="0058573F" w:rsidP="00CB63D5">
      <w:pPr>
        <w:spacing w:line="480" w:lineRule="auto"/>
        <w:rPr>
          <w:b/>
          <w:sz w:val="28"/>
        </w:rPr>
      </w:pPr>
      <w:bookmarkStart w:id="0" w:name="_GoBack"/>
      <w:bookmarkEnd w:id="0"/>
      <w:r>
        <w:rPr>
          <w:b/>
          <w:sz w:val="28"/>
        </w:rPr>
        <w:lastRenderedPageBreak/>
        <w:t>References</w:t>
      </w:r>
    </w:p>
    <w:p w14:paraId="70AAC8BB" w14:textId="702E9FD3" w:rsidR="005C555D" w:rsidRDefault="005C555D" w:rsidP="00CB63D5">
      <w:pPr>
        <w:spacing w:line="480" w:lineRule="auto"/>
        <w:ind w:left="720" w:hanging="720"/>
        <w:rPr>
          <w:sz w:val="24"/>
          <w:lang w:val="en-US"/>
        </w:rPr>
      </w:pPr>
      <w:r w:rsidRPr="005C555D">
        <w:rPr>
          <w:sz w:val="24"/>
        </w:rPr>
        <w:t>Acheson, G.G. and J.D. Turner</w:t>
      </w:r>
      <w:r w:rsidR="00F159BC">
        <w:rPr>
          <w:sz w:val="24"/>
        </w:rPr>
        <w:t>.</w:t>
      </w:r>
      <w:r w:rsidRPr="005C555D">
        <w:rPr>
          <w:sz w:val="24"/>
        </w:rPr>
        <w:t xml:space="preserve"> </w:t>
      </w:r>
      <w:r w:rsidR="00471DDA">
        <w:rPr>
          <w:sz w:val="24"/>
        </w:rPr>
        <w:t>“</w:t>
      </w:r>
      <w:r w:rsidRPr="005C555D">
        <w:rPr>
          <w:sz w:val="24"/>
        </w:rPr>
        <w:t>The Death Blow to Unlimited Liability in Victorian Britain: The City of Glasgow Failure</w:t>
      </w:r>
      <w:r w:rsidR="00925DD8">
        <w:rPr>
          <w:sz w:val="24"/>
        </w:rPr>
        <w:t>.</w:t>
      </w:r>
      <w:r w:rsidR="00471DDA">
        <w:rPr>
          <w:sz w:val="24"/>
        </w:rPr>
        <w:t>”</w:t>
      </w:r>
      <w:r w:rsidRPr="005C555D">
        <w:rPr>
          <w:sz w:val="24"/>
        </w:rPr>
        <w:t xml:space="preserve"> </w:t>
      </w:r>
      <w:r w:rsidRPr="005C555D">
        <w:rPr>
          <w:i/>
          <w:sz w:val="24"/>
        </w:rPr>
        <w:t>Explorations in Economic History</w:t>
      </w:r>
      <w:r w:rsidR="0028785A">
        <w:rPr>
          <w:sz w:val="24"/>
        </w:rPr>
        <w:t xml:space="preserve"> </w:t>
      </w:r>
      <w:r w:rsidRPr="005C555D">
        <w:rPr>
          <w:sz w:val="24"/>
        </w:rPr>
        <w:t xml:space="preserve">45, </w:t>
      </w:r>
      <w:r w:rsidR="0028785A">
        <w:rPr>
          <w:sz w:val="24"/>
        </w:rPr>
        <w:t xml:space="preserve">no. </w:t>
      </w:r>
      <w:r w:rsidRPr="005C555D">
        <w:rPr>
          <w:sz w:val="24"/>
        </w:rPr>
        <w:t xml:space="preserve">3 </w:t>
      </w:r>
      <w:r w:rsidR="00F159BC">
        <w:rPr>
          <w:sz w:val="24"/>
        </w:rPr>
        <w:t>(2008):</w:t>
      </w:r>
      <w:r w:rsidRPr="005C555D">
        <w:rPr>
          <w:sz w:val="24"/>
        </w:rPr>
        <w:t xml:space="preserve"> 235</w:t>
      </w:r>
      <w:r w:rsidR="00242643">
        <w:rPr>
          <w:sz w:val="24"/>
        </w:rPr>
        <w:t>–</w:t>
      </w:r>
      <w:r w:rsidRPr="005C555D">
        <w:rPr>
          <w:sz w:val="24"/>
        </w:rPr>
        <w:t>253.</w:t>
      </w:r>
    </w:p>
    <w:p w14:paraId="62E390D6" w14:textId="39F78A57" w:rsidR="00897758" w:rsidRDefault="0058573F" w:rsidP="00CB63D5">
      <w:pPr>
        <w:spacing w:line="480" w:lineRule="auto"/>
        <w:ind w:left="720" w:hanging="720"/>
        <w:rPr>
          <w:sz w:val="24"/>
        </w:rPr>
      </w:pPr>
      <w:r>
        <w:rPr>
          <w:sz w:val="24"/>
        </w:rPr>
        <w:t>Ackrill, M. and L. Hannah</w:t>
      </w:r>
      <w:r w:rsidR="00ED69D8">
        <w:rPr>
          <w:sz w:val="24"/>
        </w:rPr>
        <w:t>.</w:t>
      </w:r>
      <w:r>
        <w:rPr>
          <w:sz w:val="24"/>
        </w:rPr>
        <w:t xml:space="preserve"> </w:t>
      </w:r>
      <w:r>
        <w:rPr>
          <w:i/>
          <w:sz w:val="24"/>
        </w:rPr>
        <w:t>Barclays: The Business of Banking 1690-1996</w:t>
      </w:r>
      <w:r w:rsidR="00ED69D8">
        <w:rPr>
          <w:sz w:val="24"/>
        </w:rPr>
        <w:t xml:space="preserve">. </w:t>
      </w:r>
      <w:r>
        <w:rPr>
          <w:sz w:val="24"/>
        </w:rPr>
        <w:t>Cambridge: Cambridge University Press</w:t>
      </w:r>
      <w:r w:rsidR="00ED69D8">
        <w:rPr>
          <w:sz w:val="24"/>
        </w:rPr>
        <w:t>, 2001</w:t>
      </w:r>
      <w:r>
        <w:rPr>
          <w:sz w:val="24"/>
        </w:rPr>
        <w:t>.</w:t>
      </w:r>
    </w:p>
    <w:p w14:paraId="326E8F00" w14:textId="0349F10D" w:rsidR="007C0436" w:rsidRDefault="007C0436" w:rsidP="00CB63D5">
      <w:pPr>
        <w:spacing w:line="480" w:lineRule="auto"/>
        <w:ind w:left="720" w:hanging="720"/>
        <w:rPr>
          <w:sz w:val="24"/>
          <w:lang w:val="en-US"/>
        </w:rPr>
      </w:pPr>
      <w:r>
        <w:rPr>
          <w:sz w:val="24"/>
          <w:lang w:val="en-US"/>
        </w:rPr>
        <w:t>Alhadeff, D.</w:t>
      </w:r>
      <w:r w:rsidRPr="007C0436">
        <w:rPr>
          <w:sz w:val="24"/>
          <w:lang w:val="en-US"/>
        </w:rPr>
        <w:t xml:space="preserve">A. </w:t>
      </w:r>
      <w:r w:rsidRPr="007C0436">
        <w:rPr>
          <w:i/>
          <w:sz w:val="24"/>
          <w:lang w:val="en-US"/>
        </w:rPr>
        <w:t>Competition and Controls in Banking: A Study of the Regulation of Bank Competition in Italy, France and England</w:t>
      </w:r>
      <w:r w:rsidR="00ED69D8">
        <w:rPr>
          <w:sz w:val="24"/>
          <w:lang w:val="en-US"/>
        </w:rPr>
        <w:t>.</w:t>
      </w:r>
      <w:r w:rsidRPr="007C0436">
        <w:rPr>
          <w:sz w:val="24"/>
          <w:lang w:val="en-US"/>
        </w:rPr>
        <w:t xml:space="preserve"> Berkeley, CA: University of California Press</w:t>
      </w:r>
      <w:r w:rsidR="00ED69D8">
        <w:rPr>
          <w:sz w:val="24"/>
          <w:lang w:val="en-US"/>
        </w:rPr>
        <w:t>, 1968</w:t>
      </w:r>
      <w:r w:rsidRPr="007C0436">
        <w:rPr>
          <w:sz w:val="24"/>
          <w:lang w:val="en-US"/>
        </w:rPr>
        <w:t>.</w:t>
      </w:r>
    </w:p>
    <w:p w14:paraId="4F3858F4" w14:textId="156AEFB3" w:rsidR="008D34D2" w:rsidRDefault="00897758" w:rsidP="00CB63D5">
      <w:pPr>
        <w:spacing w:line="480" w:lineRule="auto"/>
        <w:ind w:left="720" w:hanging="720"/>
        <w:rPr>
          <w:sz w:val="24"/>
        </w:rPr>
      </w:pPr>
      <w:r w:rsidRPr="00897758">
        <w:rPr>
          <w:sz w:val="24"/>
        </w:rPr>
        <w:t>Allen, F. and D. Gale</w:t>
      </w:r>
      <w:r w:rsidR="00ED69D8">
        <w:rPr>
          <w:sz w:val="24"/>
        </w:rPr>
        <w:t>.</w:t>
      </w:r>
      <w:r w:rsidRPr="00897758">
        <w:rPr>
          <w:sz w:val="24"/>
        </w:rPr>
        <w:t xml:space="preserve"> </w:t>
      </w:r>
      <w:r w:rsidRPr="00897758">
        <w:rPr>
          <w:i/>
          <w:sz w:val="24"/>
        </w:rPr>
        <w:t>Comparing Financial Systems</w:t>
      </w:r>
      <w:r w:rsidR="00ED69D8">
        <w:rPr>
          <w:sz w:val="24"/>
        </w:rPr>
        <w:t>.</w:t>
      </w:r>
      <w:r w:rsidRPr="00897758">
        <w:rPr>
          <w:sz w:val="24"/>
        </w:rPr>
        <w:t xml:space="preserve"> Cambridge, MA: MIT Press</w:t>
      </w:r>
      <w:r w:rsidR="00ED69D8">
        <w:rPr>
          <w:sz w:val="24"/>
        </w:rPr>
        <w:t>, 2000</w:t>
      </w:r>
      <w:r w:rsidRPr="00897758">
        <w:rPr>
          <w:sz w:val="24"/>
        </w:rPr>
        <w:t>.</w:t>
      </w:r>
    </w:p>
    <w:p w14:paraId="5A580F90" w14:textId="20010348" w:rsidR="00BE6E26" w:rsidRPr="00D93C34" w:rsidRDefault="00BE6E26" w:rsidP="00CB63D5">
      <w:pPr>
        <w:spacing w:line="480" w:lineRule="auto"/>
        <w:ind w:left="720" w:hanging="720"/>
        <w:rPr>
          <w:sz w:val="24"/>
          <w:szCs w:val="24"/>
          <w:lang w:val="en-US"/>
        </w:rPr>
      </w:pPr>
      <w:r w:rsidRPr="00D93C34">
        <w:rPr>
          <w:rFonts w:ascii="Times Roman" w:hAnsi="Times Roman" w:cs="Times Roman"/>
          <w:color w:val="000000"/>
          <w:sz w:val="24"/>
          <w:szCs w:val="24"/>
          <w:lang w:val="en-US"/>
        </w:rPr>
        <w:t xml:space="preserve">Anonymous, </w:t>
      </w:r>
      <w:r w:rsidRPr="00D93C34">
        <w:rPr>
          <w:rFonts w:ascii="Times Roman" w:hAnsi="Times Roman" w:cs="Times Roman"/>
          <w:i/>
          <w:color w:val="000000"/>
          <w:sz w:val="24"/>
          <w:szCs w:val="24"/>
          <w:lang w:val="en-US"/>
        </w:rPr>
        <w:t>Bankers Almanac</w:t>
      </w:r>
      <w:r w:rsidRPr="00D93C34">
        <w:rPr>
          <w:rFonts w:ascii="Times Roman" w:hAnsi="Times Roman" w:cs="Times Roman"/>
          <w:color w:val="000000"/>
          <w:sz w:val="24"/>
          <w:szCs w:val="24"/>
          <w:lang w:val="en-US"/>
        </w:rPr>
        <w:t xml:space="preserve"> Volume 5, no.1: 2009.</w:t>
      </w:r>
    </w:p>
    <w:p w14:paraId="3FB9621B" w14:textId="2ADFE8D7" w:rsidR="008D34D2" w:rsidRPr="008D34D2" w:rsidRDefault="008D34D2" w:rsidP="00CB63D5">
      <w:pPr>
        <w:spacing w:line="480" w:lineRule="auto"/>
        <w:ind w:left="720" w:hanging="720"/>
        <w:rPr>
          <w:sz w:val="24"/>
        </w:rPr>
      </w:pPr>
      <w:r w:rsidRPr="008D34D2">
        <w:rPr>
          <w:bCs/>
          <w:sz w:val="24"/>
        </w:rPr>
        <w:t>Arestis, P., G. Chortareas and G. Magkonis</w:t>
      </w:r>
      <w:r w:rsidR="009679D1">
        <w:rPr>
          <w:bCs/>
          <w:sz w:val="24"/>
        </w:rPr>
        <w:t>.</w:t>
      </w:r>
      <w:r w:rsidRPr="008D34D2">
        <w:rPr>
          <w:bCs/>
          <w:sz w:val="24"/>
        </w:rPr>
        <w:t xml:space="preserve"> </w:t>
      </w:r>
      <w:r w:rsidR="00471DDA">
        <w:rPr>
          <w:bCs/>
          <w:sz w:val="24"/>
        </w:rPr>
        <w:t>“</w:t>
      </w:r>
      <w:r w:rsidRPr="008D34D2">
        <w:rPr>
          <w:bCs/>
          <w:sz w:val="24"/>
        </w:rPr>
        <w:t>The Financial Development and Growth Nexus: A Meta-Analysis</w:t>
      </w:r>
      <w:r w:rsidR="00925DD8">
        <w:rPr>
          <w:bCs/>
          <w:sz w:val="24"/>
        </w:rPr>
        <w:t>.</w:t>
      </w:r>
      <w:r w:rsidR="00471DDA">
        <w:rPr>
          <w:bCs/>
          <w:sz w:val="24"/>
        </w:rPr>
        <w:t>”</w:t>
      </w:r>
      <w:r w:rsidRPr="008D34D2">
        <w:rPr>
          <w:bCs/>
          <w:sz w:val="24"/>
          <w:lang w:val="en-US"/>
        </w:rPr>
        <w:t xml:space="preserve"> </w:t>
      </w:r>
      <w:r w:rsidRPr="008D34D2">
        <w:rPr>
          <w:bCs/>
          <w:i/>
          <w:sz w:val="24"/>
          <w:lang w:val="en-US"/>
        </w:rPr>
        <w:t>Journal of Economic Surveys</w:t>
      </w:r>
      <w:r w:rsidR="0028785A">
        <w:rPr>
          <w:bCs/>
          <w:sz w:val="24"/>
          <w:lang w:val="en-US"/>
        </w:rPr>
        <w:t xml:space="preserve"> </w:t>
      </w:r>
      <w:r w:rsidRPr="008D34D2">
        <w:rPr>
          <w:bCs/>
          <w:sz w:val="24"/>
          <w:lang w:val="en-US"/>
        </w:rPr>
        <w:t xml:space="preserve">29, </w:t>
      </w:r>
      <w:r w:rsidR="0028785A">
        <w:rPr>
          <w:bCs/>
          <w:sz w:val="24"/>
          <w:lang w:val="en-US"/>
        </w:rPr>
        <w:t xml:space="preserve">no. </w:t>
      </w:r>
      <w:r w:rsidRPr="008D34D2">
        <w:rPr>
          <w:bCs/>
          <w:sz w:val="24"/>
          <w:lang w:val="en-US"/>
        </w:rPr>
        <w:t xml:space="preserve">3 </w:t>
      </w:r>
      <w:r w:rsidR="00F159BC">
        <w:rPr>
          <w:bCs/>
          <w:sz w:val="24"/>
          <w:lang w:val="en-US"/>
        </w:rPr>
        <w:t>(2015):</w:t>
      </w:r>
      <w:r w:rsidRPr="008D34D2">
        <w:rPr>
          <w:bCs/>
          <w:sz w:val="24"/>
          <w:lang w:val="en-US"/>
        </w:rPr>
        <w:t xml:space="preserve"> 549</w:t>
      </w:r>
      <w:r w:rsidR="00242643">
        <w:rPr>
          <w:bCs/>
          <w:sz w:val="24"/>
          <w:lang w:val="en-US"/>
        </w:rPr>
        <w:t>–</w:t>
      </w:r>
      <w:r w:rsidRPr="008D34D2">
        <w:rPr>
          <w:bCs/>
          <w:sz w:val="24"/>
          <w:lang w:val="en-US"/>
        </w:rPr>
        <w:t>565</w:t>
      </w:r>
      <w:r>
        <w:rPr>
          <w:bCs/>
          <w:sz w:val="24"/>
        </w:rPr>
        <w:t>.</w:t>
      </w:r>
    </w:p>
    <w:p w14:paraId="757C9CFE" w14:textId="177EB378" w:rsidR="00A523D6" w:rsidRDefault="002A65BF" w:rsidP="00CB63D5">
      <w:pPr>
        <w:spacing w:line="480" w:lineRule="auto"/>
        <w:ind w:left="720" w:hanging="720"/>
        <w:rPr>
          <w:sz w:val="24"/>
        </w:rPr>
      </w:pPr>
      <w:bookmarkStart w:id="1" w:name="_Hlk508408170"/>
      <w:r w:rsidRPr="002A65BF">
        <w:rPr>
          <w:sz w:val="24"/>
        </w:rPr>
        <w:t>Baker, M. and M. Collins</w:t>
      </w:r>
      <w:r w:rsidR="009679D1">
        <w:rPr>
          <w:sz w:val="24"/>
        </w:rPr>
        <w:t>.</w:t>
      </w:r>
      <w:r w:rsidRPr="002A65BF">
        <w:rPr>
          <w:sz w:val="24"/>
        </w:rPr>
        <w:t xml:space="preserve"> </w:t>
      </w:r>
      <w:r w:rsidR="00471DDA">
        <w:rPr>
          <w:sz w:val="24"/>
        </w:rPr>
        <w:t>“</w:t>
      </w:r>
      <w:r w:rsidRPr="002A65BF">
        <w:rPr>
          <w:sz w:val="24"/>
        </w:rPr>
        <w:t>English Commercial Bank Stability, 1860-1914</w:t>
      </w:r>
      <w:r w:rsidR="00925DD8">
        <w:rPr>
          <w:sz w:val="24"/>
        </w:rPr>
        <w:t>.</w:t>
      </w:r>
      <w:r w:rsidR="00471DDA">
        <w:rPr>
          <w:sz w:val="24"/>
        </w:rPr>
        <w:t>”</w:t>
      </w:r>
      <w:r w:rsidRPr="002A65BF">
        <w:rPr>
          <w:sz w:val="24"/>
        </w:rPr>
        <w:t xml:space="preserve"> </w:t>
      </w:r>
      <w:r w:rsidRPr="002A65BF">
        <w:rPr>
          <w:i/>
          <w:sz w:val="24"/>
        </w:rPr>
        <w:t>Journal of European Economic History</w:t>
      </w:r>
      <w:r w:rsidR="0028785A">
        <w:rPr>
          <w:sz w:val="24"/>
        </w:rPr>
        <w:t xml:space="preserve"> </w:t>
      </w:r>
      <w:r w:rsidRPr="002A65BF">
        <w:rPr>
          <w:sz w:val="24"/>
        </w:rPr>
        <w:t xml:space="preserve">31, </w:t>
      </w:r>
      <w:r w:rsidR="0028785A">
        <w:rPr>
          <w:sz w:val="24"/>
        </w:rPr>
        <w:t xml:space="preserve">no. </w:t>
      </w:r>
      <w:r w:rsidRPr="002A65BF">
        <w:rPr>
          <w:sz w:val="24"/>
        </w:rPr>
        <w:t xml:space="preserve">3 </w:t>
      </w:r>
      <w:r w:rsidR="00F159BC">
        <w:rPr>
          <w:sz w:val="24"/>
        </w:rPr>
        <w:t>(2002):</w:t>
      </w:r>
      <w:r w:rsidRPr="002A65BF">
        <w:rPr>
          <w:sz w:val="24"/>
        </w:rPr>
        <w:t xml:space="preserve"> 493</w:t>
      </w:r>
      <w:r w:rsidR="00242643">
        <w:rPr>
          <w:sz w:val="24"/>
        </w:rPr>
        <w:t>–</w:t>
      </w:r>
      <w:r w:rsidRPr="002A65BF">
        <w:rPr>
          <w:sz w:val="24"/>
        </w:rPr>
        <w:t>512.</w:t>
      </w:r>
      <w:bookmarkEnd w:id="1"/>
    </w:p>
    <w:p w14:paraId="489FAEFD" w14:textId="4D54DA67" w:rsidR="00F92221" w:rsidRPr="00905BEB" w:rsidRDefault="00F92221" w:rsidP="00CB63D5">
      <w:pPr>
        <w:spacing w:line="480" w:lineRule="auto"/>
        <w:ind w:left="720" w:hanging="720"/>
        <w:rPr>
          <w:sz w:val="24"/>
        </w:rPr>
      </w:pPr>
      <w:r w:rsidRPr="00905BEB">
        <w:rPr>
          <w:sz w:val="24"/>
        </w:rPr>
        <w:t>Barnes, V. and L. Newton</w:t>
      </w:r>
      <w:r w:rsidR="009679D1">
        <w:rPr>
          <w:sz w:val="24"/>
        </w:rPr>
        <w:t>.</w:t>
      </w:r>
      <w:r w:rsidRPr="00905BEB">
        <w:rPr>
          <w:sz w:val="24"/>
        </w:rPr>
        <w:t xml:space="preserve"> </w:t>
      </w:r>
      <w:r w:rsidR="00471DDA">
        <w:rPr>
          <w:sz w:val="24"/>
        </w:rPr>
        <w:t>“</w:t>
      </w:r>
      <w:r w:rsidRPr="00905BEB">
        <w:rPr>
          <w:sz w:val="24"/>
        </w:rPr>
        <w:t>How Far does the Apple Fall from the Tree? The Size of English Bank Branch Networks in the Nineteenth Century</w:t>
      </w:r>
      <w:r w:rsidR="00925DD8">
        <w:rPr>
          <w:sz w:val="24"/>
        </w:rPr>
        <w:t>.</w:t>
      </w:r>
      <w:r w:rsidR="00471DDA">
        <w:rPr>
          <w:sz w:val="24"/>
        </w:rPr>
        <w:t>”</w:t>
      </w:r>
      <w:r w:rsidRPr="00905BEB">
        <w:rPr>
          <w:sz w:val="24"/>
        </w:rPr>
        <w:t xml:space="preserve"> </w:t>
      </w:r>
      <w:r w:rsidRPr="00905BEB">
        <w:rPr>
          <w:bCs/>
          <w:i/>
          <w:sz w:val="24"/>
          <w:lang w:val="en-US"/>
        </w:rPr>
        <w:t>Business History</w:t>
      </w:r>
      <w:r w:rsidR="0028785A">
        <w:rPr>
          <w:bCs/>
          <w:sz w:val="24"/>
          <w:lang w:val="en-US"/>
        </w:rPr>
        <w:t xml:space="preserve"> </w:t>
      </w:r>
      <w:r w:rsidR="00087DBB">
        <w:rPr>
          <w:bCs/>
          <w:sz w:val="24"/>
          <w:lang w:val="en-US"/>
        </w:rPr>
        <w:t>60</w:t>
      </w:r>
      <w:r w:rsidRPr="00905BEB">
        <w:rPr>
          <w:bCs/>
          <w:sz w:val="24"/>
          <w:lang w:val="en-US"/>
        </w:rPr>
        <w:t xml:space="preserve">, </w:t>
      </w:r>
      <w:r w:rsidR="0028785A">
        <w:rPr>
          <w:bCs/>
          <w:sz w:val="24"/>
          <w:lang w:val="en-US"/>
        </w:rPr>
        <w:t xml:space="preserve">no. </w:t>
      </w:r>
      <w:r w:rsidR="00D3591A">
        <w:rPr>
          <w:bCs/>
          <w:sz w:val="24"/>
          <w:lang w:val="en-US"/>
        </w:rPr>
        <w:t>4</w:t>
      </w:r>
      <w:r w:rsidR="00471DDA">
        <w:rPr>
          <w:bCs/>
          <w:sz w:val="24"/>
          <w:lang w:val="en-US"/>
        </w:rPr>
        <w:t xml:space="preserve"> </w:t>
      </w:r>
      <w:r w:rsidR="00F159BC">
        <w:rPr>
          <w:bCs/>
          <w:sz w:val="24"/>
          <w:lang w:val="en-US"/>
        </w:rPr>
        <w:t>(2018):</w:t>
      </w:r>
      <w:r w:rsidRPr="00905BEB">
        <w:rPr>
          <w:bCs/>
          <w:sz w:val="24"/>
          <w:lang w:val="en-US"/>
        </w:rPr>
        <w:t xml:space="preserve"> </w:t>
      </w:r>
      <w:r w:rsidR="00087DBB">
        <w:rPr>
          <w:bCs/>
          <w:sz w:val="24"/>
          <w:lang w:val="en-US"/>
        </w:rPr>
        <w:t>447</w:t>
      </w:r>
      <w:r w:rsidR="00242643">
        <w:rPr>
          <w:bCs/>
          <w:sz w:val="24"/>
          <w:lang w:val="en-US"/>
        </w:rPr>
        <w:t>–</w:t>
      </w:r>
      <w:r w:rsidR="00087DBB">
        <w:rPr>
          <w:bCs/>
          <w:sz w:val="24"/>
          <w:lang w:val="en-US"/>
        </w:rPr>
        <w:t>473</w:t>
      </w:r>
      <w:r w:rsidRPr="00905BEB">
        <w:rPr>
          <w:bCs/>
          <w:sz w:val="24"/>
          <w:lang w:val="en-US"/>
        </w:rPr>
        <w:t>.</w:t>
      </w:r>
    </w:p>
    <w:p w14:paraId="40EC0637" w14:textId="7AB57D87" w:rsidR="0050333A" w:rsidRDefault="0050333A" w:rsidP="00CB63D5">
      <w:pPr>
        <w:spacing w:line="480" w:lineRule="auto"/>
        <w:ind w:left="720" w:hanging="720"/>
        <w:rPr>
          <w:sz w:val="24"/>
          <w:lang w:val="en-US"/>
        </w:rPr>
      </w:pPr>
      <w:r w:rsidRPr="00334152">
        <w:rPr>
          <w:sz w:val="24"/>
          <w:lang w:val="en-US"/>
        </w:rPr>
        <w:t>Berger, A.N., L.F. Klapper and R. Turk-Ariss</w:t>
      </w:r>
      <w:r w:rsidR="009679D1">
        <w:rPr>
          <w:sz w:val="24"/>
          <w:lang w:val="en-US"/>
        </w:rPr>
        <w:t>.</w:t>
      </w:r>
      <w:r w:rsidRPr="00334152">
        <w:rPr>
          <w:sz w:val="24"/>
          <w:lang w:val="en-US"/>
        </w:rPr>
        <w:t xml:space="preserve"> </w:t>
      </w:r>
      <w:r w:rsidR="00471DDA">
        <w:rPr>
          <w:sz w:val="24"/>
          <w:lang w:val="en-US"/>
        </w:rPr>
        <w:t>“</w:t>
      </w:r>
      <w:r w:rsidRPr="00334152">
        <w:rPr>
          <w:sz w:val="24"/>
          <w:lang w:val="en-US"/>
        </w:rPr>
        <w:t>Bank Competition and Financial Stability</w:t>
      </w:r>
      <w:r w:rsidR="00925DD8">
        <w:rPr>
          <w:sz w:val="24"/>
          <w:lang w:val="en-US"/>
        </w:rPr>
        <w:t>.</w:t>
      </w:r>
      <w:r w:rsidR="00471DDA">
        <w:rPr>
          <w:sz w:val="24"/>
          <w:lang w:val="en-US"/>
        </w:rPr>
        <w:t>”</w:t>
      </w:r>
      <w:r w:rsidRPr="00334152">
        <w:rPr>
          <w:sz w:val="24"/>
          <w:lang w:val="en-US"/>
        </w:rPr>
        <w:t xml:space="preserve"> </w:t>
      </w:r>
      <w:r w:rsidRPr="00334152">
        <w:rPr>
          <w:i/>
          <w:sz w:val="24"/>
          <w:lang w:val="en-US"/>
        </w:rPr>
        <w:t>Journal of Financial Services Research</w:t>
      </w:r>
      <w:r w:rsidR="0028785A">
        <w:rPr>
          <w:sz w:val="24"/>
          <w:lang w:val="en-US"/>
        </w:rPr>
        <w:t xml:space="preserve"> </w:t>
      </w:r>
      <w:r w:rsidRPr="00334152">
        <w:rPr>
          <w:sz w:val="24"/>
          <w:lang w:val="en-US"/>
        </w:rPr>
        <w:t xml:space="preserve">35, </w:t>
      </w:r>
      <w:r w:rsidR="0028785A">
        <w:rPr>
          <w:sz w:val="24"/>
          <w:lang w:val="en-US"/>
        </w:rPr>
        <w:t xml:space="preserve">no. </w:t>
      </w:r>
      <w:r w:rsidRPr="00334152">
        <w:rPr>
          <w:sz w:val="24"/>
          <w:lang w:val="en-US"/>
        </w:rPr>
        <w:t xml:space="preserve">2 </w:t>
      </w:r>
      <w:r w:rsidR="00F159BC">
        <w:rPr>
          <w:sz w:val="24"/>
          <w:lang w:val="en-US"/>
        </w:rPr>
        <w:t>(</w:t>
      </w:r>
      <w:r w:rsidR="00471DDA">
        <w:rPr>
          <w:sz w:val="24"/>
          <w:lang w:val="en-US"/>
        </w:rPr>
        <w:t>2009</w:t>
      </w:r>
      <w:r w:rsidR="00F159BC">
        <w:rPr>
          <w:sz w:val="24"/>
          <w:lang w:val="en-US"/>
        </w:rPr>
        <w:t>):</w:t>
      </w:r>
      <w:r w:rsidRPr="00334152">
        <w:rPr>
          <w:sz w:val="24"/>
          <w:lang w:val="en-US"/>
        </w:rPr>
        <w:t xml:space="preserve"> 99</w:t>
      </w:r>
      <w:r w:rsidR="00242643">
        <w:rPr>
          <w:sz w:val="24"/>
          <w:lang w:val="en-US"/>
        </w:rPr>
        <w:t>–</w:t>
      </w:r>
      <w:r w:rsidRPr="00334152">
        <w:rPr>
          <w:sz w:val="24"/>
          <w:lang w:val="en-US"/>
        </w:rPr>
        <w:t>118.</w:t>
      </w:r>
    </w:p>
    <w:p w14:paraId="39B73F60" w14:textId="5E2F971B" w:rsidR="00936607" w:rsidRPr="00905BEB" w:rsidRDefault="00936607" w:rsidP="00CB63D5">
      <w:pPr>
        <w:spacing w:line="480" w:lineRule="auto"/>
        <w:ind w:left="720" w:hanging="720"/>
        <w:rPr>
          <w:sz w:val="24"/>
        </w:rPr>
      </w:pPr>
      <w:r w:rsidRPr="00905BEB">
        <w:rPr>
          <w:sz w:val="24"/>
        </w:rPr>
        <w:t>Best, M.H. and J. Humphries</w:t>
      </w:r>
      <w:r w:rsidR="004F17B4">
        <w:rPr>
          <w:sz w:val="24"/>
        </w:rPr>
        <w:t>.</w:t>
      </w:r>
      <w:r w:rsidRPr="00905BEB">
        <w:rPr>
          <w:sz w:val="24"/>
        </w:rPr>
        <w:t xml:space="preserve"> </w:t>
      </w:r>
      <w:r w:rsidR="00471DDA">
        <w:rPr>
          <w:sz w:val="24"/>
        </w:rPr>
        <w:t>“</w:t>
      </w:r>
      <w:r w:rsidRPr="00905BEB">
        <w:rPr>
          <w:sz w:val="24"/>
        </w:rPr>
        <w:t>The City and Industrial Decline</w:t>
      </w:r>
      <w:r w:rsidR="004F17B4">
        <w:rPr>
          <w:sz w:val="24"/>
        </w:rPr>
        <w:t>.</w:t>
      </w:r>
      <w:r w:rsidR="00471DDA">
        <w:rPr>
          <w:sz w:val="24"/>
        </w:rPr>
        <w:t>”</w:t>
      </w:r>
      <w:r w:rsidRPr="00905BEB">
        <w:rPr>
          <w:sz w:val="24"/>
        </w:rPr>
        <w:t xml:space="preserve"> </w:t>
      </w:r>
      <w:r w:rsidR="004F17B4">
        <w:rPr>
          <w:sz w:val="24"/>
        </w:rPr>
        <w:t>I</w:t>
      </w:r>
      <w:r w:rsidRPr="00905BEB">
        <w:rPr>
          <w:sz w:val="24"/>
        </w:rPr>
        <w:t xml:space="preserve">n </w:t>
      </w:r>
      <w:r w:rsidR="004F17B4" w:rsidRPr="004F17B4">
        <w:rPr>
          <w:i/>
          <w:sz w:val="24"/>
        </w:rPr>
        <w:t>The Decline of the British Economy</w:t>
      </w:r>
      <w:r w:rsidR="004F17B4" w:rsidRPr="004F17B4">
        <w:rPr>
          <w:sz w:val="24"/>
        </w:rPr>
        <w:t xml:space="preserve">, </w:t>
      </w:r>
      <w:r w:rsidR="004F17B4">
        <w:rPr>
          <w:sz w:val="24"/>
        </w:rPr>
        <w:t xml:space="preserve">edited by </w:t>
      </w:r>
      <w:r w:rsidRPr="00905BEB">
        <w:rPr>
          <w:sz w:val="24"/>
        </w:rPr>
        <w:t>B</w:t>
      </w:r>
      <w:r w:rsidR="003D630F">
        <w:rPr>
          <w:sz w:val="24"/>
        </w:rPr>
        <w:t>. Elbaum and W. Lazonick</w:t>
      </w:r>
      <w:r w:rsidR="004F17B4">
        <w:rPr>
          <w:sz w:val="24"/>
        </w:rPr>
        <w:t xml:space="preserve">, </w:t>
      </w:r>
      <w:r w:rsidR="004F17B4" w:rsidRPr="00905BEB">
        <w:rPr>
          <w:sz w:val="24"/>
        </w:rPr>
        <w:t>223</w:t>
      </w:r>
      <w:r w:rsidR="00242643">
        <w:rPr>
          <w:sz w:val="24"/>
        </w:rPr>
        <w:t>–</w:t>
      </w:r>
      <w:r w:rsidR="004F17B4" w:rsidRPr="00905BEB">
        <w:rPr>
          <w:sz w:val="24"/>
        </w:rPr>
        <w:t>239</w:t>
      </w:r>
      <w:r w:rsidR="004F17B4">
        <w:rPr>
          <w:sz w:val="24"/>
        </w:rPr>
        <w:t>.</w:t>
      </w:r>
      <w:r w:rsidR="003D630F">
        <w:rPr>
          <w:sz w:val="24"/>
        </w:rPr>
        <w:t xml:space="preserve"> </w:t>
      </w:r>
      <w:r w:rsidR="004F17B4">
        <w:rPr>
          <w:sz w:val="24"/>
        </w:rPr>
        <w:t>Oxford: Clarendon Press,</w:t>
      </w:r>
      <w:r w:rsidR="00AD1FF9">
        <w:rPr>
          <w:sz w:val="24"/>
        </w:rPr>
        <w:t xml:space="preserve"> </w:t>
      </w:r>
      <w:r w:rsidR="00087DBB">
        <w:rPr>
          <w:sz w:val="24"/>
        </w:rPr>
        <w:t>1986</w:t>
      </w:r>
      <w:r w:rsidRPr="00905BEB">
        <w:rPr>
          <w:sz w:val="24"/>
        </w:rPr>
        <w:t>.</w:t>
      </w:r>
    </w:p>
    <w:p w14:paraId="7141252F" w14:textId="77777777" w:rsidR="00FD495D" w:rsidRDefault="0058573F" w:rsidP="00CB63D5">
      <w:pPr>
        <w:spacing w:line="480" w:lineRule="auto"/>
        <w:ind w:left="720" w:hanging="720"/>
        <w:rPr>
          <w:sz w:val="24"/>
          <w:szCs w:val="24"/>
          <w:lang w:val="en-US"/>
        </w:rPr>
      </w:pPr>
      <w:r w:rsidRPr="00905BEB">
        <w:rPr>
          <w:sz w:val="24"/>
        </w:rPr>
        <w:lastRenderedPageBreak/>
        <w:t>Billings, M. and F.H. Capie</w:t>
      </w:r>
      <w:r w:rsidR="009679D1">
        <w:rPr>
          <w:sz w:val="24"/>
        </w:rPr>
        <w:t>.</w:t>
      </w:r>
      <w:r w:rsidRPr="00905BEB">
        <w:rPr>
          <w:sz w:val="24"/>
        </w:rPr>
        <w:t xml:space="preserve"> </w:t>
      </w:r>
      <w:r w:rsidR="00471DDA">
        <w:rPr>
          <w:sz w:val="24"/>
        </w:rPr>
        <w:t>“</w:t>
      </w:r>
      <w:r w:rsidRPr="00905BEB">
        <w:rPr>
          <w:sz w:val="24"/>
        </w:rPr>
        <w:t>Financial Crisis, Contagion, and the British Banking System between the World Wars</w:t>
      </w:r>
      <w:r w:rsidR="00925DD8">
        <w:rPr>
          <w:sz w:val="24"/>
        </w:rPr>
        <w:t>.</w:t>
      </w:r>
      <w:r w:rsidR="00471DDA">
        <w:rPr>
          <w:sz w:val="24"/>
        </w:rPr>
        <w:t>”</w:t>
      </w:r>
      <w:r w:rsidRPr="00905BEB">
        <w:rPr>
          <w:sz w:val="24"/>
        </w:rPr>
        <w:t xml:space="preserve"> </w:t>
      </w:r>
      <w:r w:rsidRPr="00905BEB">
        <w:rPr>
          <w:i/>
          <w:sz w:val="24"/>
        </w:rPr>
        <w:t>Business History</w:t>
      </w:r>
      <w:r w:rsidR="0028785A">
        <w:rPr>
          <w:sz w:val="24"/>
        </w:rPr>
        <w:t xml:space="preserve"> </w:t>
      </w:r>
      <w:r w:rsidRPr="00905BEB">
        <w:rPr>
          <w:sz w:val="24"/>
        </w:rPr>
        <w:t xml:space="preserve">53, </w:t>
      </w:r>
      <w:r w:rsidR="0028785A">
        <w:rPr>
          <w:sz w:val="24"/>
        </w:rPr>
        <w:t xml:space="preserve">no. </w:t>
      </w:r>
      <w:r w:rsidRPr="00905BEB">
        <w:rPr>
          <w:sz w:val="24"/>
        </w:rPr>
        <w:t xml:space="preserve">2 </w:t>
      </w:r>
      <w:r w:rsidR="00F159BC">
        <w:rPr>
          <w:sz w:val="24"/>
        </w:rPr>
        <w:t>(2011):</w:t>
      </w:r>
      <w:r w:rsidRPr="00905BEB">
        <w:rPr>
          <w:sz w:val="24"/>
        </w:rPr>
        <w:t xml:space="preserve"> 193</w:t>
      </w:r>
      <w:r w:rsidR="00242643">
        <w:rPr>
          <w:sz w:val="24"/>
        </w:rPr>
        <w:t>–</w:t>
      </w:r>
      <w:r w:rsidRPr="00905BEB">
        <w:rPr>
          <w:sz w:val="24"/>
        </w:rPr>
        <w:t>215.</w:t>
      </w:r>
    </w:p>
    <w:p w14:paraId="46072615" w14:textId="52DC1CC9" w:rsidR="0058573F" w:rsidRPr="00905BEB" w:rsidRDefault="00FD495D" w:rsidP="00CB63D5">
      <w:pPr>
        <w:spacing w:line="480" w:lineRule="auto"/>
        <w:ind w:left="720" w:hanging="720"/>
        <w:rPr>
          <w:sz w:val="24"/>
        </w:rPr>
      </w:pPr>
      <w:r>
        <w:rPr>
          <w:sz w:val="24"/>
          <w:lang w:val="en-US"/>
        </w:rPr>
        <w:t>Bond, I. “</w:t>
      </w:r>
      <w:r w:rsidRPr="00FD495D">
        <w:rPr>
          <w:sz w:val="24"/>
          <w:lang w:val="en-US"/>
        </w:rPr>
        <w:t>The British Banking Population: 1790-1982</w:t>
      </w:r>
      <w:r>
        <w:rPr>
          <w:sz w:val="24"/>
          <w:lang w:val="en-US"/>
        </w:rPr>
        <w:t>.”</w:t>
      </w:r>
      <w:r w:rsidRPr="00FD495D">
        <w:rPr>
          <w:sz w:val="24"/>
          <w:lang w:val="en-US"/>
        </w:rPr>
        <w:t xml:space="preserve"> </w:t>
      </w:r>
      <w:r>
        <w:rPr>
          <w:sz w:val="24"/>
          <w:lang w:val="en-US"/>
        </w:rPr>
        <w:t>I</w:t>
      </w:r>
      <w:r w:rsidRPr="00FD495D">
        <w:rPr>
          <w:sz w:val="24"/>
          <w:lang w:val="en-US"/>
        </w:rPr>
        <w:t xml:space="preserve">n </w:t>
      </w:r>
      <w:r w:rsidRPr="00FD495D">
        <w:rPr>
          <w:i/>
          <w:sz w:val="24"/>
          <w:lang w:val="en-US"/>
        </w:rPr>
        <w:t>Complexity and Crisis in the Financial System: Critical Perspectives on the Evolution of American and British Banking</w:t>
      </w:r>
      <w:r w:rsidRPr="00FD495D">
        <w:rPr>
          <w:sz w:val="24"/>
          <w:lang w:val="en-US"/>
        </w:rPr>
        <w:t xml:space="preserve">, </w:t>
      </w:r>
      <w:r>
        <w:rPr>
          <w:sz w:val="24"/>
          <w:lang w:val="en-US"/>
        </w:rPr>
        <w:t xml:space="preserve">edited by </w:t>
      </w:r>
      <w:r w:rsidRPr="00FD495D">
        <w:rPr>
          <w:sz w:val="24"/>
          <w:lang w:val="en-US"/>
        </w:rPr>
        <w:t>M. Ho</w:t>
      </w:r>
      <w:r>
        <w:rPr>
          <w:sz w:val="24"/>
          <w:lang w:val="en-US"/>
        </w:rPr>
        <w:t>llow, F. Akinbami and R. Michie</w:t>
      </w:r>
      <w:r w:rsidRPr="00FD495D">
        <w:rPr>
          <w:sz w:val="24"/>
          <w:lang w:val="en-US"/>
        </w:rPr>
        <w:t xml:space="preserve">, </w:t>
      </w:r>
      <w:r>
        <w:rPr>
          <w:sz w:val="24"/>
          <w:lang w:val="en-US"/>
        </w:rPr>
        <w:t>85</w:t>
      </w:r>
      <w:r w:rsidRPr="00FD495D">
        <w:rPr>
          <w:sz w:val="24"/>
        </w:rPr>
        <w:t>–</w:t>
      </w:r>
      <w:r>
        <w:rPr>
          <w:sz w:val="24"/>
          <w:lang w:val="en-US"/>
        </w:rPr>
        <w:t xml:space="preserve">117. </w:t>
      </w:r>
      <w:r w:rsidRPr="00FD495D">
        <w:rPr>
          <w:sz w:val="24"/>
          <w:lang w:val="en-US"/>
        </w:rPr>
        <w:t>Cheltenham: Edward Elgar Publishing</w:t>
      </w:r>
      <w:r>
        <w:rPr>
          <w:sz w:val="24"/>
          <w:lang w:val="en-US"/>
        </w:rPr>
        <w:t>, 2016</w:t>
      </w:r>
      <w:r w:rsidRPr="00FD495D">
        <w:rPr>
          <w:sz w:val="24"/>
          <w:lang w:val="en-US"/>
        </w:rPr>
        <w:t>.</w:t>
      </w:r>
    </w:p>
    <w:p w14:paraId="1B4CD62A" w14:textId="6CD5C7AC" w:rsidR="00D45DB0" w:rsidRDefault="003413B6" w:rsidP="00CB63D5">
      <w:pPr>
        <w:spacing w:line="480" w:lineRule="auto"/>
        <w:ind w:left="720" w:hanging="720"/>
        <w:rPr>
          <w:sz w:val="24"/>
        </w:rPr>
      </w:pPr>
      <w:r w:rsidRPr="00905BEB">
        <w:rPr>
          <w:sz w:val="24"/>
        </w:rPr>
        <w:t>Braggion, F., N. Dwarkasing and L. Moore</w:t>
      </w:r>
      <w:r w:rsidR="009679D1">
        <w:rPr>
          <w:sz w:val="24"/>
        </w:rPr>
        <w:t>.</w:t>
      </w:r>
      <w:r w:rsidRPr="00905BEB">
        <w:rPr>
          <w:sz w:val="24"/>
        </w:rPr>
        <w:t xml:space="preserve"> </w:t>
      </w:r>
      <w:r w:rsidR="00471DDA">
        <w:rPr>
          <w:sz w:val="24"/>
        </w:rPr>
        <w:t>“</w:t>
      </w:r>
      <w:r w:rsidRPr="00905BEB">
        <w:rPr>
          <w:sz w:val="24"/>
        </w:rPr>
        <w:t>Nothing Special About Banks: Competition and Bank Lending in Britain, 1885 to 1925</w:t>
      </w:r>
      <w:r w:rsidR="00925DD8">
        <w:rPr>
          <w:sz w:val="24"/>
        </w:rPr>
        <w:t>.</w:t>
      </w:r>
      <w:r w:rsidR="00471DDA">
        <w:rPr>
          <w:sz w:val="24"/>
        </w:rPr>
        <w:t>”</w:t>
      </w:r>
      <w:r w:rsidRPr="00905BEB">
        <w:rPr>
          <w:sz w:val="24"/>
        </w:rPr>
        <w:t xml:space="preserve"> </w:t>
      </w:r>
      <w:r w:rsidRPr="00905BEB">
        <w:rPr>
          <w:i/>
          <w:sz w:val="24"/>
        </w:rPr>
        <w:t>Review of Financial Studies</w:t>
      </w:r>
      <w:r w:rsidR="0028785A">
        <w:rPr>
          <w:sz w:val="24"/>
        </w:rPr>
        <w:t xml:space="preserve"> </w:t>
      </w:r>
      <w:r w:rsidR="002A2F9A" w:rsidRPr="00905BEB">
        <w:rPr>
          <w:sz w:val="24"/>
        </w:rPr>
        <w:t>30</w:t>
      </w:r>
      <w:r w:rsidRPr="00905BEB">
        <w:rPr>
          <w:sz w:val="24"/>
        </w:rPr>
        <w:t xml:space="preserve">, </w:t>
      </w:r>
      <w:r w:rsidR="0028785A">
        <w:rPr>
          <w:sz w:val="24"/>
        </w:rPr>
        <w:t xml:space="preserve">no. </w:t>
      </w:r>
      <w:r w:rsidR="002A2F9A" w:rsidRPr="00905BEB">
        <w:rPr>
          <w:sz w:val="24"/>
        </w:rPr>
        <w:t>10</w:t>
      </w:r>
      <w:r w:rsidRPr="00905BEB">
        <w:rPr>
          <w:sz w:val="24"/>
        </w:rPr>
        <w:t xml:space="preserve"> </w:t>
      </w:r>
      <w:r w:rsidR="00F159BC">
        <w:rPr>
          <w:sz w:val="24"/>
        </w:rPr>
        <w:t>(2017):</w:t>
      </w:r>
      <w:r w:rsidRPr="00905BEB">
        <w:rPr>
          <w:sz w:val="24"/>
        </w:rPr>
        <w:t xml:space="preserve"> </w:t>
      </w:r>
      <w:r w:rsidR="002A2F9A" w:rsidRPr="00905BEB">
        <w:rPr>
          <w:sz w:val="24"/>
        </w:rPr>
        <w:t>3502</w:t>
      </w:r>
      <w:r w:rsidR="00242643">
        <w:rPr>
          <w:sz w:val="24"/>
        </w:rPr>
        <w:t>–</w:t>
      </w:r>
      <w:r w:rsidR="002A2F9A" w:rsidRPr="00905BEB">
        <w:rPr>
          <w:sz w:val="24"/>
        </w:rPr>
        <w:t>3537</w:t>
      </w:r>
      <w:r w:rsidRPr="00905BEB">
        <w:rPr>
          <w:sz w:val="24"/>
        </w:rPr>
        <w:t>.</w:t>
      </w:r>
    </w:p>
    <w:p w14:paraId="6DC0B743" w14:textId="6E4C3AA4" w:rsidR="003413B6" w:rsidRPr="00905BEB" w:rsidRDefault="00D45DB0" w:rsidP="00CB63D5">
      <w:pPr>
        <w:spacing w:line="480" w:lineRule="auto"/>
        <w:ind w:left="720" w:hanging="720"/>
        <w:rPr>
          <w:sz w:val="24"/>
        </w:rPr>
      </w:pPr>
      <w:r w:rsidRPr="00D45DB0">
        <w:rPr>
          <w:sz w:val="24"/>
        </w:rPr>
        <w:t>Braggion, F. and L. Moore</w:t>
      </w:r>
      <w:r w:rsidR="009679D1">
        <w:rPr>
          <w:sz w:val="24"/>
        </w:rPr>
        <w:t>.</w:t>
      </w:r>
      <w:r w:rsidRPr="00D45DB0">
        <w:rPr>
          <w:sz w:val="24"/>
        </w:rPr>
        <w:t xml:space="preserve"> </w:t>
      </w:r>
      <w:r w:rsidR="00471DDA">
        <w:rPr>
          <w:sz w:val="24"/>
        </w:rPr>
        <w:t>“</w:t>
      </w:r>
      <w:r w:rsidRPr="00D45DB0">
        <w:rPr>
          <w:sz w:val="24"/>
        </w:rPr>
        <w:t>The Economic Benefits of Political Connections in Late Victorian Britain</w:t>
      </w:r>
      <w:r w:rsidR="00925DD8">
        <w:rPr>
          <w:sz w:val="24"/>
        </w:rPr>
        <w:t>.</w:t>
      </w:r>
      <w:r w:rsidR="00471DDA">
        <w:rPr>
          <w:sz w:val="24"/>
        </w:rPr>
        <w:t>”</w:t>
      </w:r>
      <w:r w:rsidRPr="00D45DB0">
        <w:rPr>
          <w:sz w:val="24"/>
        </w:rPr>
        <w:t xml:space="preserve"> </w:t>
      </w:r>
      <w:r w:rsidRPr="00D45DB0">
        <w:rPr>
          <w:i/>
          <w:sz w:val="24"/>
          <w:lang w:val="en-US"/>
        </w:rPr>
        <w:t>Journal of Economic History</w:t>
      </w:r>
      <w:r w:rsidR="0028785A">
        <w:rPr>
          <w:sz w:val="24"/>
          <w:lang w:val="en-US"/>
        </w:rPr>
        <w:t xml:space="preserve"> </w:t>
      </w:r>
      <w:r w:rsidRPr="00D45DB0">
        <w:rPr>
          <w:sz w:val="24"/>
          <w:lang w:val="en-US"/>
        </w:rPr>
        <w:t>73,</w:t>
      </w:r>
      <w:r w:rsidR="0028785A">
        <w:rPr>
          <w:sz w:val="24"/>
          <w:lang w:val="en-US"/>
        </w:rPr>
        <w:t xml:space="preserve"> no. </w:t>
      </w:r>
      <w:r w:rsidRPr="00D45DB0">
        <w:rPr>
          <w:sz w:val="24"/>
          <w:lang w:val="en-US"/>
        </w:rPr>
        <w:t xml:space="preserve">1 </w:t>
      </w:r>
      <w:r w:rsidR="00F159BC">
        <w:rPr>
          <w:sz w:val="24"/>
          <w:lang w:val="en-US"/>
        </w:rPr>
        <w:t>(2013):</w:t>
      </w:r>
      <w:r w:rsidRPr="00D45DB0">
        <w:rPr>
          <w:sz w:val="24"/>
          <w:lang w:val="en-US"/>
        </w:rPr>
        <w:t xml:space="preserve"> 142</w:t>
      </w:r>
      <w:r w:rsidR="00242643">
        <w:rPr>
          <w:sz w:val="24"/>
          <w:lang w:val="en-US"/>
        </w:rPr>
        <w:t>–</w:t>
      </w:r>
      <w:r w:rsidRPr="00D45DB0">
        <w:rPr>
          <w:sz w:val="24"/>
          <w:lang w:val="en-US"/>
        </w:rPr>
        <w:t>176.</w:t>
      </w:r>
    </w:p>
    <w:p w14:paraId="1543736A" w14:textId="33BF86CC" w:rsidR="004F1674" w:rsidRDefault="004F1674" w:rsidP="00CB63D5">
      <w:pPr>
        <w:spacing w:line="480" w:lineRule="auto"/>
        <w:ind w:left="720" w:hanging="720"/>
        <w:rPr>
          <w:bCs/>
          <w:sz w:val="24"/>
          <w:lang w:val="en-US"/>
        </w:rPr>
      </w:pPr>
      <w:r w:rsidRPr="004F1674">
        <w:rPr>
          <w:bCs/>
          <w:sz w:val="24"/>
        </w:rPr>
        <w:t xml:space="preserve">Burhop, C. </w:t>
      </w:r>
      <w:r w:rsidR="00471DDA">
        <w:rPr>
          <w:bCs/>
          <w:sz w:val="24"/>
        </w:rPr>
        <w:t>“</w:t>
      </w:r>
      <w:r w:rsidRPr="004F1674">
        <w:rPr>
          <w:bCs/>
          <w:sz w:val="24"/>
        </w:rPr>
        <w:t>Did Banks Cause the German Industrialisation</w:t>
      </w:r>
      <w:r w:rsidR="00925DD8">
        <w:rPr>
          <w:bCs/>
          <w:sz w:val="24"/>
        </w:rPr>
        <w:t>.</w:t>
      </w:r>
      <w:r w:rsidR="00471DDA">
        <w:rPr>
          <w:bCs/>
          <w:sz w:val="24"/>
        </w:rPr>
        <w:t>”</w:t>
      </w:r>
      <w:r w:rsidRPr="004F1674">
        <w:rPr>
          <w:bCs/>
          <w:sz w:val="24"/>
        </w:rPr>
        <w:t xml:space="preserve"> </w:t>
      </w:r>
      <w:r w:rsidRPr="004F1674">
        <w:rPr>
          <w:bCs/>
          <w:i/>
          <w:sz w:val="24"/>
          <w:lang w:val="en-US"/>
        </w:rPr>
        <w:t>Explorations in Economic History</w:t>
      </w:r>
      <w:r w:rsidR="0028785A">
        <w:rPr>
          <w:bCs/>
          <w:sz w:val="24"/>
          <w:lang w:val="en-US"/>
        </w:rPr>
        <w:t xml:space="preserve"> </w:t>
      </w:r>
      <w:r>
        <w:rPr>
          <w:bCs/>
          <w:sz w:val="24"/>
          <w:lang w:val="en-US"/>
        </w:rPr>
        <w:t xml:space="preserve">43, </w:t>
      </w:r>
      <w:r w:rsidR="0028785A">
        <w:rPr>
          <w:bCs/>
          <w:sz w:val="24"/>
          <w:lang w:val="en-US"/>
        </w:rPr>
        <w:t xml:space="preserve">no. </w:t>
      </w:r>
      <w:r>
        <w:rPr>
          <w:bCs/>
          <w:sz w:val="24"/>
          <w:lang w:val="en-US"/>
        </w:rPr>
        <w:t xml:space="preserve">1 </w:t>
      </w:r>
      <w:r w:rsidR="00F159BC">
        <w:rPr>
          <w:bCs/>
          <w:sz w:val="24"/>
          <w:lang w:val="en-US"/>
        </w:rPr>
        <w:t>(2006):</w:t>
      </w:r>
      <w:r>
        <w:rPr>
          <w:bCs/>
          <w:sz w:val="24"/>
          <w:lang w:val="en-US"/>
        </w:rPr>
        <w:t xml:space="preserve"> 39</w:t>
      </w:r>
      <w:r w:rsidR="00242643">
        <w:rPr>
          <w:bCs/>
          <w:sz w:val="24"/>
          <w:lang w:val="en-US"/>
        </w:rPr>
        <w:t>–</w:t>
      </w:r>
      <w:r>
        <w:rPr>
          <w:bCs/>
          <w:sz w:val="24"/>
          <w:lang w:val="en-US"/>
        </w:rPr>
        <w:t>63.</w:t>
      </w:r>
    </w:p>
    <w:p w14:paraId="57AF568A" w14:textId="2FF34131" w:rsidR="002E5B08" w:rsidRPr="00905BEB" w:rsidRDefault="00DC6709" w:rsidP="00CB63D5">
      <w:pPr>
        <w:spacing w:line="480" w:lineRule="auto"/>
        <w:ind w:left="720" w:hanging="720"/>
        <w:rPr>
          <w:sz w:val="24"/>
        </w:rPr>
      </w:pPr>
      <w:r w:rsidRPr="00905BEB">
        <w:rPr>
          <w:sz w:val="24"/>
        </w:rPr>
        <w:t>Button, R., S. Knott, C. Macmanus and M. Willison</w:t>
      </w:r>
      <w:r w:rsidR="009679D1">
        <w:rPr>
          <w:sz w:val="24"/>
        </w:rPr>
        <w:t>.</w:t>
      </w:r>
      <w:r w:rsidRPr="00905BEB">
        <w:rPr>
          <w:sz w:val="24"/>
        </w:rPr>
        <w:t xml:space="preserve"> </w:t>
      </w:r>
      <w:r w:rsidR="00471DDA">
        <w:rPr>
          <w:sz w:val="24"/>
        </w:rPr>
        <w:t>“</w:t>
      </w:r>
      <w:r w:rsidRPr="00905BEB">
        <w:rPr>
          <w:sz w:val="24"/>
        </w:rPr>
        <w:t>Desperate Adventurers and Men of Straw: The Failure of City of Glasgow Bank and its Enduring Impact on the UK Banking System</w:t>
      </w:r>
      <w:r w:rsidR="00925DD8">
        <w:rPr>
          <w:sz w:val="24"/>
        </w:rPr>
        <w:t>.</w:t>
      </w:r>
      <w:r w:rsidR="00471DDA">
        <w:rPr>
          <w:sz w:val="24"/>
        </w:rPr>
        <w:t>”</w:t>
      </w:r>
      <w:r w:rsidRPr="00905BEB">
        <w:rPr>
          <w:sz w:val="24"/>
        </w:rPr>
        <w:t xml:space="preserve"> </w:t>
      </w:r>
      <w:r w:rsidRPr="00905BEB">
        <w:rPr>
          <w:i/>
          <w:sz w:val="24"/>
        </w:rPr>
        <w:t>Bank of England Quarterly Bulletin</w:t>
      </w:r>
      <w:r w:rsidR="0028785A">
        <w:rPr>
          <w:sz w:val="24"/>
        </w:rPr>
        <w:t xml:space="preserve"> </w:t>
      </w:r>
      <w:r w:rsidRPr="00905BEB">
        <w:rPr>
          <w:sz w:val="24"/>
        </w:rPr>
        <w:t>55, Quarter 1</w:t>
      </w:r>
      <w:r w:rsidR="00471DDA">
        <w:rPr>
          <w:sz w:val="24"/>
        </w:rPr>
        <w:t xml:space="preserve"> </w:t>
      </w:r>
      <w:r w:rsidR="00F159BC">
        <w:rPr>
          <w:sz w:val="24"/>
        </w:rPr>
        <w:t>(2015):</w:t>
      </w:r>
      <w:r w:rsidRPr="00905BEB">
        <w:rPr>
          <w:sz w:val="24"/>
        </w:rPr>
        <w:t xml:space="preserve"> 23</w:t>
      </w:r>
      <w:r w:rsidR="00242643">
        <w:rPr>
          <w:sz w:val="24"/>
        </w:rPr>
        <w:t>–</w:t>
      </w:r>
      <w:r w:rsidRPr="00905BEB">
        <w:rPr>
          <w:sz w:val="24"/>
        </w:rPr>
        <w:t>35.</w:t>
      </w:r>
    </w:p>
    <w:p w14:paraId="16810685" w14:textId="6C45BC90" w:rsidR="00983EE1" w:rsidRDefault="00983EE1" w:rsidP="00CB63D5">
      <w:pPr>
        <w:spacing w:line="480" w:lineRule="auto"/>
        <w:ind w:left="720" w:hanging="720"/>
        <w:rPr>
          <w:sz w:val="24"/>
        </w:rPr>
      </w:pPr>
      <w:r w:rsidRPr="00983EE1">
        <w:rPr>
          <w:sz w:val="24"/>
        </w:rPr>
        <w:t>Cai</w:t>
      </w:r>
      <w:r>
        <w:rPr>
          <w:sz w:val="24"/>
        </w:rPr>
        <w:t>n, P.J. and A.G. Hopkins.</w:t>
      </w:r>
      <w:r w:rsidRPr="00983EE1">
        <w:rPr>
          <w:sz w:val="24"/>
        </w:rPr>
        <w:t xml:space="preserve"> </w:t>
      </w:r>
      <w:r w:rsidRPr="00983EE1">
        <w:rPr>
          <w:i/>
          <w:sz w:val="24"/>
        </w:rPr>
        <w:t>British Imperialism 1688-2000</w:t>
      </w:r>
      <w:r>
        <w:rPr>
          <w:sz w:val="24"/>
        </w:rPr>
        <w:t>.</w:t>
      </w:r>
      <w:r w:rsidRPr="00983EE1">
        <w:rPr>
          <w:sz w:val="24"/>
        </w:rPr>
        <w:t xml:space="preserve"> </w:t>
      </w:r>
      <w:r>
        <w:rPr>
          <w:sz w:val="24"/>
        </w:rPr>
        <w:t>London:</w:t>
      </w:r>
      <w:r w:rsidRPr="00983EE1">
        <w:rPr>
          <w:sz w:val="24"/>
        </w:rPr>
        <w:t xml:space="preserve"> </w:t>
      </w:r>
      <w:r>
        <w:rPr>
          <w:sz w:val="24"/>
        </w:rPr>
        <w:t>Pearson Education, 2002</w:t>
      </w:r>
      <w:r w:rsidRPr="00983EE1">
        <w:rPr>
          <w:sz w:val="24"/>
        </w:rPr>
        <w:t>.</w:t>
      </w:r>
    </w:p>
    <w:p w14:paraId="690B4306" w14:textId="3EECC7E3" w:rsidR="000663CC" w:rsidRPr="000663CC" w:rsidRDefault="000663CC" w:rsidP="000663CC">
      <w:pPr>
        <w:spacing w:line="480" w:lineRule="auto"/>
        <w:ind w:left="720" w:hanging="720"/>
        <w:rPr>
          <w:sz w:val="24"/>
        </w:rPr>
      </w:pPr>
      <w:r w:rsidRPr="000663CC">
        <w:rPr>
          <w:sz w:val="24"/>
        </w:rPr>
        <w:t>Calo</w:t>
      </w:r>
      <w:r>
        <w:rPr>
          <w:sz w:val="24"/>
        </w:rPr>
        <w:t>miris, C.W. and S. Haber.</w:t>
      </w:r>
      <w:r w:rsidRPr="000663CC">
        <w:rPr>
          <w:sz w:val="24"/>
        </w:rPr>
        <w:t xml:space="preserve"> </w:t>
      </w:r>
      <w:r w:rsidRPr="000663CC">
        <w:rPr>
          <w:i/>
          <w:sz w:val="24"/>
        </w:rPr>
        <w:t>Fragile by Design: The Political Origins of Banking Crises and Scarce Credit</w:t>
      </w:r>
      <w:r>
        <w:rPr>
          <w:sz w:val="24"/>
        </w:rPr>
        <w:t>.</w:t>
      </w:r>
      <w:r w:rsidRPr="000663CC">
        <w:rPr>
          <w:sz w:val="24"/>
        </w:rPr>
        <w:t xml:space="preserve"> Princeton, NJ: Princeton University Press</w:t>
      </w:r>
      <w:r>
        <w:rPr>
          <w:sz w:val="24"/>
        </w:rPr>
        <w:t>, 2014</w:t>
      </w:r>
      <w:r w:rsidRPr="000663CC">
        <w:rPr>
          <w:sz w:val="24"/>
        </w:rPr>
        <w:t>.</w:t>
      </w:r>
    </w:p>
    <w:p w14:paraId="7C97CC56" w14:textId="6EE3CAEB" w:rsidR="004E405E" w:rsidRDefault="004E405E" w:rsidP="00CB63D5">
      <w:pPr>
        <w:spacing w:line="480" w:lineRule="auto"/>
        <w:ind w:left="720" w:hanging="720"/>
        <w:rPr>
          <w:sz w:val="24"/>
        </w:rPr>
      </w:pPr>
      <w:r w:rsidRPr="004E405E">
        <w:rPr>
          <w:sz w:val="24"/>
        </w:rPr>
        <w:t xml:space="preserve">Capie, F.H. </w:t>
      </w:r>
      <w:r w:rsidR="00471DDA">
        <w:rPr>
          <w:sz w:val="24"/>
        </w:rPr>
        <w:t>“</w:t>
      </w:r>
      <w:r w:rsidRPr="004E405E">
        <w:rPr>
          <w:sz w:val="24"/>
        </w:rPr>
        <w:t>Trust, Financial Regulation, and Growth</w:t>
      </w:r>
      <w:r w:rsidR="00925DD8">
        <w:rPr>
          <w:sz w:val="24"/>
        </w:rPr>
        <w:t>.</w:t>
      </w:r>
      <w:r w:rsidR="00471DDA">
        <w:rPr>
          <w:sz w:val="24"/>
        </w:rPr>
        <w:t>”</w:t>
      </w:r>
      <w:r w:rsidRPr="004E405E">
        <w:rPr>
          <w:sz w:val="24"/>
        </w:rPr>
        <w:t xml:space="preserve"> </w:t>
      </w:r>
      <w:r w:rsidRPr="004E405E">
        <w:rPr>
          <w:i/>
          <w:sz w:val="24"/>
        </w:rPr>
        <w:t>Australian Economic History Review</w:t>
      </w:r>
      <w:r w:rsidR="0028785A">
        <w:rPr>
          <w:sz w:val="24"/>
        </w:rPr>
        <w:t xml:space="preserve"> </w:t>
      </w:r>
      <w:r>
        <w:rPr>
          <w:sz w:val="24"/>
        </w:rPr>
        <w:t xml:space="preserve">56, </w:t>
      </w:r>
      <w:r w:rsidR="0028785A">
        <w:rPr>
          <w:sz w:val="24"/>
        </w:rPr>
        <w:t xml:space="preserve">no. </w:t>
      </w:r>
      <w:r>
        <w:rPr>
          <w:sz w:val="24"/>
        </w:rPr>
        <w:t xml:space="preserve">1 </w:t>
      </w:r>
      <w:r w:rsidR="00F159BC">
        <w:rPr>
          <w:sz w:val="24"/>
        </w:rPr>
        <w:t>(2016):</w:t>
      </w:r>
      <w:r>
        <w:rPr>
          <w:sz w:val="24"/>
        </w:rPr>
        <w:t xml:space="preserve"> 100</w:t>
      </w:r>
      <w:r w:rsidR="00242643">
        <w:rPr>
          <w:sz w:val="24"/>
        </w:rPr>
        <w:t>–</w:t>
      </w:r>
      <w:r>
        <w:rPr>
          <w:sz w:val="24"/>
        </w:rPr>
        <w:t>112.</w:t>
      </w:r>
    </w:p>
    <w:p w14:paraId="66870822" w14:textId="45E25FDD" w:rsidR="00B422AA" w:rsidRPr="00B422AA" w:rsidRDefault="00B422AA" w:rsidP="00CB63D5">
      <w:pPr>
        <w:spacing w:line="480" w:lineRule="auto"/>
        <w:ind w:left="720" w:hanging="720"/>
        <w:rPr>
          <w:sz w:val="24"/>
        </w:rPr>
      </w:pPr>
      <w:r w:rsidRPr="00B422AA">
        <w:rPr>
          <w:sz w:val="24"/>
        </w:rPr>
        <w:lastRenderedPageBreak/>
        <w:t>Capie, F.H. and M. Collins</w:t>
      </w:r>
      <w:r w:rsidR="009679D1">
        <w:rPr>
          <w:sz w:val="24"/>
        </w:rPr>
        <w:t>.</w:t>
      </w:r>
      <w:r w:rsidRPr="00B422AA">
        <w:rPr>
          <w:sz w:val="24"/>
        </w:rPr>
        <w:t xml:space="preserve"> </w:t>
      </w:r>
      <w:r w:rsidR="00471DDA">
        <w:rPr>
          <w:sz w:val="24"/>
        </w:rPr>
        <w:t>“</w:t>
      </w:r>
      <w:r w:rsidRPr="00B422AA">
        <w:rPr>
          <w:sz w:val="24"/>
        </w:rPr>
        <w:t>Banks, Industry and Finance 1860-1914</w:t>
      </w:r>
      <w:r w:rsidR="00925DD8">
        <w:rPr>
          <w:sz w:val="24"/>
        </w:rPr>
        <w:t>.</w:t>
      </w:r>
      <w:r w:rsidR="00471DDA">
        <w:rPr>
          <w:sz w:val="24"/>
        </w:rPr>
        <w:t>”</w:t>
      </w:r>
      <w:r w:rsidRPr="00B422AA">
        <w:rPr>
          <w:sz w:val="24"/>
        </w:rPr>
        <w:t xml:space="preserve"> </w:t>
      </w:r>
      <w:r w:rsidRPr="00B422AA">
        <w:rPr>
          <w:i/>
          <w:sz w:val="24"/>
        </w:rPr>
        <w:t>Business History</w:t>
      </w:r>
      <w:r w:rsidR="0028785A">
        <w:rPr>
          <w:sz w:val="24"/>
        </w:rPr>
        <w:t xml:space="preserve"> </w:t>
      </w:r>
      <w:r w:rsidRPr="00B422AA">
        <w:rPr>
          <w:sz w:val="24"/>
        </w:rPr>
        <w:t xml:space="preserve">41, </w:t>
      </w:r>
      <w:r w:rsidR="0028785A">
        <w:rPr>
          <w:sz w:val="24"/>
        </w:rPr>
        <w:t xml:space="preserve">no. </w:t>
      </w:r>
      <w:r w:rsidRPr="00B422AA">
        <w:rPr>
          <w:sz w:val="24"/>
        </w:rPr>
        <w:t xml:space="preserve">1 </w:t>
      </w:r>
      <w:r w:rsidR="00F159BC">
        <w:rPr>
          <w:sz w:val="24"/>
        </w:rPr>
        <w:t>(1999):</w:t>
      </w:r>
      <w:r w:rsidRPr="00B422AA">
        <w:rPr>
          <w:sz w:val="24"/>
        </w:rPr>
        <w:t xml:space="preserve"> 37</w:t>
      </w:r>
      <w:r w:rsidR="00242643">
        <w:rPr>
          <w:sz w:val="24"/>
        </w:rPr>
        <w:t>–</w:t>
      </w:r>
      <w:r w:rsidRPr="00B422AA">
        <w:rPr>
          <w:sz w:val="24"/>
        </w:rPr>
        <w:t>62.</w:t>
      </w:r>
    </w:p>
    <w:p w14:paraId="654FFB28" w14:textId="73FB43E3" w:rsidR="0050333A" w:rsidRDefault="0050333A" w:rsidP="00CB63D5">
      <w:pPr>
        <w:spacing w:line="480" w:lineRule="auto"/>
        <w:ind w:left="720" w:hanging="720"/>
        <w:rPr>
          <w:sz w:val="24"/>
        </w:rPr>
      </w:pPr>
      <w:r w:rsidRPr="0050333A">
        <w:rPr>
          <w:sz w:val="24"/>
        </w:rPr>
        <w:t>Capie, F.H. and M. Collins</w:t>
      </w:r>
      <w:r w:rsidR="009679D1">
        <w:rPr>
          <w:sz w:val="24"/>
        </w:rPr>
        <w:t>.</w:t>
      </w:r>
      <w:r w:rsidRPr="0050333A">
        <w:rPr>
          <w:sz w:val="24"/>
        </w:rPr>
        <w:t xml:space="preserve"> </w:t>
      </w:r>
      <w:r w:rsidR="00471DDA">
        <w:rPr>
          <w:sz w:val="24"/>
        </w:rPr>
        <w:t>“</w:t>
      </w:r>
      <w:r w:rsidRPr="0050333A">
        <w:rPr>
          <w:sz w:val="24"/>
        </w:rPr>
        <w:t>Organisational Control and English Commercial Bank Lending to Industry in the Decades Before World War One</w:t>
      </w:r>
      <w:r w:rsidR="00925DD8">
        <w:rPr>
          <w:sz w:val="24"/>
        </w:rPr>
        <w:t>.</w:t>
      </w:r>
      <w:r w:rsidR="00471DDA">
        <w:rPr>
          <w:sz w:val="24"/>
        </w:rPr>
        <w:t>”</w:t>
      </w:r>
      <w:r w:rsidRPr="0050333A">
        <w:rPr>
          <w:sz w:val="24"/>
        </w:rPr>
        <w:t xml:space="preserve"> </w:t>
      </w:r>
      <w:r w:rsidRPr="0050333A">
        <w:rPr>
          <w:i/>
          <w:sz w:val="24"/>
          <w:lang w:val="en-US"/>
        </w:rPr>
        <w:t>Revista de Historia Económica</w:t>
      </w:r>
      <w:r w:rsidR="0028785A">
        <w:rPr>
          <w:sz w:val="24"/>
          <w:lang w:val="en-US"/>
        </w:rPr>
        <w:t xml:space="preserve"> </w:t>
      </w:r>
      <w:r w:rsidRPr="0050333A">
        <w:rPr>
          <w:sz w:val="24"/>
        </w:rPr>
        <w:t xml:space="preserve">1 </w:t>
      </w:r>
      <w:r w:rsidR="00F159BC">
        <w:rPr>
          <w:sz w:val="24"/>
        </w:rPr>
        <w:t>(1999):</w:t>
      </w:r>
      <w:r w:rsidRPr="0050333A">
        <w:rPr>
          <w:sz w:val="24"/>
        </w:rPr>
        <w:t xml:space="preserve"> 187</w:t>
      </w:r>
      <w:r w:rsidR="00242643">
        <w:rPr>
          <w:sz w:val="24"/>
        </w:rPr>
        <w:t>–</w:t>
      </w:r>
      <w:r w:rsidRPr="0050333A">
        <w:rPr>
          <w:sz w:val="24"/>
        </w:rPr>
        <w:t>210.</w:t>
      </w:r>
    </w:p>
    <w:p w14:paraId="48632292" w14:textId="5D2BC277" w:rsidR="00B422AA" w:rsidRPr="00B422AA" w:rsidRDefault="00B422AA" w:rsidP="00CB63D5">
      <w:pPr>
        <w:spacing w:line="480" w:lineRule="auto"/>
        <w:ind w:left="720" w:hanging="720"/>
        <w:rPr>
          <w:sz w:val="24"/>
        </w:rPr>
      </w:pPr>
      <w:r w:rsidRPr="00B422AA">
        <w:rPr>
          <w:sz w:val="24"/>
        </w:rPr>
        <w:t>Capie, F.H. and G. Rodrik-Bali</w:t>
      </w:r>
      <w:r w:rsidR="009679D1">
        <w:rPr>
          <w:sz w:val="24"/>
        </w:rPr>
        <w:t>.</w:t>
      </w:r>
      <w:r w:rsidRPr="00B422AA">
        <w:rPr>
          <w:sz w:val="24"/>
        </w:rPr>
        <w:t xml:space="preserve"> </w:t>
      </w:r>
      <w:r w:rsidR="00471DDA">
        <w:rPr>
          <w:sz w:val="24"/>
        </w:rPr>
        <w:t>“</w:t>
      </w:r>
      <w:r w:rsidRPr="00B422AA">
        <w:rPr>
          <w:sz w:val="24"/>
        </w:rPr>
        <w:t>Concentration in British Banking, 1870-1920</w:t>
      </w:r>
      <w:r w:rsidR="00925DD8">
        <w:rPr>
          <w:sz w:val="24"/>
        </w:rPr>
        <w:t>.</w:t>
      </w:r>
      <w:r w:rsidR="00471DDA">
        <w:rPr>
          <w:sz w:val="24"/>
        </w:rPr>
        <w:t>”</w:t>
      </w:r>
      <w:r w:rsidRPr="00B422AA">
        <w:rPr>
          <w:sz w:val="24"/>
        </w:rPr>
        <w:t xml:space="preserve"> </w:t>
      </w:r>
      <w:r w:rsidRPr="00B422AA">
        <w:rPr>
          <w:i/>
          <w:sz w:val="24"/>
        </w:rPr>
        <w:t>Business History</w:t>
      </w:r>
      <w:r w:rsidR="0028785A">
        <w:rPr>
          <w:sz w:val="24"/>
        </w:rPr>
        <w:t xml:space="preserve"> </w:t>
      </w:r>
      <w:r w:rsidRPr="00B422AA">
        <w:rPr>
          <w:sz w:val="24"/>
        </w:rPr>
        <w:t xml:space="preserve">24, </w:t>
      </w:r>
      <w:r w:rsidR="0028785A">
        <w:rPr>
          <w:sz w:val="24"/>
        </w:rPr>
        <w:t xml:space="preserve">no. </w:t>
      </w:r>
      <w:r w:rsidRPr="00B422AA">
        <w:rPr>
          <w:sz w:val="24"/>
        </w:rPr>
        <w:t xml:space="preserve">3 </w:t>
      </w:r>
      <w:r w:rsidR="00F159BC">
        <w:rPr>
          <w:sz w:val="24"/>
        </w:rPr>
        <w:t>(1982):</w:t>
      </w:r>
      <w:r w:rsidRPr="00B422AA">
        <w:rPr>
          <w:sz w:val="24"/>
        </w:rPr>
        <w:t xml:space="preserve"> 280</w:t>
      </w:r>
      <w:r w:rsidR="00242643">
        <w:rPr>
          <w:sz w:val="24"/>
        </w:rPr>
        <w:t>–</w:t>
      </w:r>
      <w:r w:rsidRPr="00B422AA">
        <w:rPr>
          <w:sz w:val="24"/>
        </w:rPr>
        <w:t>292.</w:t>
      </w:r>
    </w:p>
    <w:p w14:paraId="1E320A3E" w14:textId="39F1E49D" w:rsidR="00B422AA" w:rsidRPr="00B422AA" w:rsidRDefault="00B422AA" w:rsidP="00CB63D5">
      <w:pPr>
        <w:spacing w:line="480" w:lineRule="auto"/>
        <w:ind w:left="720" w:hanging="720"/>
        <w:rPr>
          <w:sz w:val="24"/>
        </w:rPr>
      </w:pPr>
      <w:r w:rsidRPr="00B422AA">
        <w:rPr>
          <w:sz w:val="24"/>
        </w:rPr>
        <w:t>Capie, F.H. and A. Webber</w:t>
      </w:r>
      <w:r w:rsidR="009679D1">
        <w:rPr>
          <w:sz w:val="24"/>
        </w:rPr>
        <w:t>.</w:t>
      </w:r>
      <w:r w:rsidRPr="00B422AA">
        <w:rPr>
          <w:sz w:val="24"/>
        </w:rPr>
        <w:t xml:space="preserve"> </w:t>
      </w:r>
      <w:r w:rsidRPr="00B422AA">
        <w:rPr>
          <w:i/>
          <w:sz w:val="24"/>
        </w:rPr>
        <w:t>A Monetary History of the United Kingdom, 1870-1982: Volume 1 Data, Sources, Methods</w:t>
      </w:r>
      <w:r w:rsidR="00ED69D8">
        <w:rPr>
          <w:sz w:val="24"/>
        </w:rPr>
        <w:t>.</w:t>
      </w:r>
      <w:r w:rsidRPr="00B422AA">
        <w:rPr>
          <w:sz w:val="24"/>
        </w:rPr>
        <w:t xml:space="preserve"> London: George Allen &amp; Unwin</w:t>
      </w:r>
      <w:r w:rsidR="00ED69D8">
        <w:rPr>
          <w:sz w:val="24"/>
        </w:rPr>
        <w:t>, 1985</w:t>
      </w:r>
      <w:r w:rsidRPr="00B422AA">
        <w:rPr>
          <w:sz w:val="24"/>
        </w:rPr>
        <w:t>.</w:t>
      </w:r>
    </w:p>
    <w:p w14:paraId="00BF9FC7" w14:textId="0F5B6A38" w:rsidR="004F1674" w:rsidRDefault="004F1674" w:rsidP="00CB63D5">
      <w:pPr>
        <w:spacing w:line="480" w:lineRule="auto"/>
        <w:ind w:left="720" w:hanging="720"/>
        <w:rPr>
          <w:bCs/>
          <w:sz w:val="24"/>
          <w:lang w:val="en-US"/>
        </w:rPr>
      </w:pPr>
      <w:r w:rsidRPr="004F1674">
        <w:rPr>
          <w:bCs/>
          <w:sz w:val="24"/>
        </w:rPr>
        <w:t>Carlin, W. and C. Mayer</w:t>
      </w:r>
      <w:r w:rsidR="009679D1">
        <w:rPr>
          <w:bCs/>
          <w:sz w:val="24"/>
        </w:rPr>
        <w:t>.</w:t>
      </w:r>
      <w:r w:rsidRPr="004F1674">
        <w:rPr>
          <w:bCs/>
          <w:sz w:val="24"/>
        </w:rPr>
        <w:t xml:space="preserve"> </w:t>
      </w:r>
      <w:r w:rsidR="00471DDA">
        <w:rPr>
          <w:bCs/>
          <w:sz w:val="24"/>
        </w:rPr>
        <w:t>“</w:t>
      </w:r>
      <w:r w:rsidRPr="004F1674">
        <w:rPr>
          <w:bCs/>
          <w:sz w:val="24"/>
        </w:rPr>
        <w:t>Finance, Investment, and Growth</w:t>
      </w:r>
      <w:r w:rsidR="00925DD8">
        <w:rPr>
          <w:bCs/>
          <w:sz w:val="24"/>
        </w:rPr>
        <w:t>.</w:t>
      </w:r>
      <w:r w:rsidR="00471DDA">
        <w:rPr>
          <w:bCs/>
          <w:sz w:val="24"/>
        </w:rPr>
        <w:t>”</w:t>
      </w:r>
      <w:r w:rsidRPr="004F1674">
        <w:rPr>
          <w:bCs/>
          <w:sz w:val="24"/>
        </w:rPr>
        <w:t xml:space="preserve"> </w:t>
      </w:r>
      <w:r w:rsidRPr="004F1674">
        <w:rPr>
          <w:bCs/>
          <w:i/>
          <w:sz w:val="24"/>
        </w:rPr>
        <w:t>Journal of Financial Economics</w:t>
      </w:r>
      <w:r w:rsidR="0028785A">
        <w:rPr>
          <w:bCs/>
          <w:sz w:val="24"/>
        </w:rPr>
        <w:t xml:space="preserve"> </w:t>
      </w:r>
      <w:r w:rsidRPr="004F1674">
        <w:rPr>
          <w:bCs/>
          <w:sz w:val="24"/>
        </w:rPr>
        <w:t xml:space="preserve">69, </w:t>
      </w:r>
      <w:r w:rsidR="0028785A">
        <w:rPr>
          <w:bCs/>
          <w:sz w:val="24"/>
        </w:rPr>
        <w:t xml:space="preserve">no. </w:t>
      </w:r>
      <w:r w:rsidRPr="004F1674">
        <w:rPr>
          <w:bCs/>
          <w:sz w:val="24"/>
        </w:rPr>
        <w:t xml:space="preserve">1 </w:t>
      </w:r>
      <w:r w:rsidR="00F159BC">
        <w:rPr>
          <w:bCs/>
          <w:sz w:val="24"/>
        </w:rPr>
        <w:t>(2003):</w:t>
      </w:r>
      <w:r w:rsidRPr="004F1674">
        <w:rPr>
          <w:bCs/>
          <w:sz w:val="24"/>
        </w:rPr>
        <w:t xml:space="preserve"> 191</w:t>
      </w:r>
      <w:r w:rsidR="00242643">
        <w:rPr>
          <w:bCs/>
          <w:sz w:val="24"/>
        </w:rPr>
        <w:t>–</w:t>
      </w:r>
      <w:r w:rsidRPr="004F1674">
        <w:rPr>
          <w:bCs/>
          <w:sz w:val="24"/>
        </w:rPr>
        <w:t>226.</w:t>
      </w:r>
    </w:p>
    <w:p w14:paraId="5261520F" w14:textId="34EBE31A" w:rsidR="000637C1" w:rsidRPr="00905BEB" w:rsidRDefault="000637C1" w:rsidP="00CB63D5">
      <w:pPr>
        <w:spacing w:line="480" w:lineRule="auto"/>
        <w:ind w:left="720" w:hanging="720"/>
        <w:rPr>
          <w:sz w:val="24"/>
        </w:rPr>
      </w:pPr>
      <w:r w:rsidRPr="00905BEB">
        <w:rPr>
          <w:sz w:val="24"/>
        </w:rPr>
        <w:t xml:space="preserve">Carnevali, F. </w:t>
      </w:r>
      <w:r w:rsidRPr="00905BEB">
        <w:rPr>
          <w:i/>
          <w:sz w:val="24"/>
        </w:rPr>
        <w:t>Europe’s Advantage: Banks and Small Firms in Britain, France, Germany and Italy since 1918</w:t>
      </w:r>
      <w:r w:rsidR="004F17B4">
        <w:rPr>
          <w:sz w:val="24"/>
        </w:rPr>
        <w:t>.</w:t>
      </w:r>
      <w:r w:rsidRPr="00905BEB">
        <w:rPr>
          <w:sz w:val="24"/>
        </w:rPr>
        <w:t xml:space="preserve"> Oxford: Oxford University Press</w:t>
      </w:r>
      <w:r w:rsidR="004F17B4">
        <w:rPr>
          <w:sz w:val="24"/>
        </w:rPr>
        <w:t>, 2005</w:t>
      </w:r>
      <w:r w:rsidRPr="00905BEB">
        <w:rPr>
          <w:sz w:val="24"/>
        </w:rPr>
        <w:t>.</w:t>
      </w:r>
    </w:p>
    <w:p w14:paraId="43FB34F4" w14:textId="160BD319" w:rsidR="00DC6709" w:rsidRPr="00905BEB" w:rsidRDefault="007E2C44" w:rsidP="00CB63D5">
      <w:pPr>
        <w:spacing w:line="480" w:lineRule="auto"/>
        <w:ind w:left="720" w:hanging="720"/>
        <w:rPr>
          <w:sz w:val="24"/>
        </w:rPr>
      </w:pPr>
      <w:bookmarkStart w:id="2" w:name="_Hlk507938668"/>
      <w:r w:rsidRPr="00905BEB">
        <w:rPr>
          <w:sz w:val="24"/>
        </w:rPr>
        <w:t xml:space="preserve">Chandler, G. </w:t>
      </w:r>
      <w:r w:rsidRPr="00905BEB">
        <w:rPr>
          <w:i/>
          <w:sz w:val="24"/>
        </w:rPr>
        <w:t>Four Centuries of Banking</w:t>
      </w:r>
      <w:r w:rsidR="004F17B4">
        <w:rPr>
          <w:i/>
          <w:sz w:val="24"/>
        </w:rPr>
        <w:t>.</w:t>
      </w:r>
      <w:r w:rsidRPr="00905BEB">
        <w:rPr>
          <w:i/>
          <w:sz w:val="24"/>
        </w:rPr>
        <w:t xml:space="preserve"> Vol</w:t>
      </w:r>
      <w:r w:rsidR="004F17B4">
        <w:rPr>
          <w:i/>
          <w:sz w:val="24"/>
        </w:rPr>
        <w:t>ume</w:t>
      </w:r>
      <w:r w:rsidRPr="00905BEB">
        <w:rPr>
          <w:i/>
          <w:sz w:val="24"/>
        </w:rPr>
        <w:t xml:space="preserve"> 2: The Northern Constituent Banks</w:t>
      </w:r>
      <w:r w:rsidR="004F17B4">
        <w:rPr>
          <w:sz w:val="24"/>
        </w:rPr>
        <w:t>.</w:t>
      </w:r>
      <w:r w:rsidRPr="00905BEB">
        <w:rPr>
          <w:sz w:val="24"/>
        </w:rPr>
        <w:t xml:space="preserve"> London: B.T. Batsford Ltd</w:t>
      </w:r>
      <w:r w:rsidR="004F17B4">
        <w:rPr>
          <w:sz w:val="24"/>
        </w:rPr>
        <w:t>, 1968</w:t>
      </w:r>
      <w:r w:rsidRPr="00905BEB">
        <w:rPr>
          <w:sz w:val="24"/>
        </w:rPr>
        <w:t>.</w:t>
      </w:r>
    </w:p>
    <w:bookmarkEnd w:id="2"/>
    <w:p w14:paraId="172B554D" w14:textId="4A338F5E" w:rsidR="007E2C44" w:rsidRPr="00905BEB" w:rsidRDefault="00DC6709" w:rsidP="00CB63D5">
      <w:pPr>
        <w:spacing w:line="480" w:lineRule="auto"/>
        <w:ind w:left="720" w:hanging="720"/>
        <w:rPr>
          <w:sz w:val="24"/>
        </w:rPr>
      </w:pPr>
      <w:r w:rsidRPr="00905BEB">
        <w:rPr>
          <w:sz w:val="24"/>
        </w:rPr>
        <w:t>Chennells, L. and V. Wingfield</w:t>
      </w:r>
      <w:r w:rsidR="009679D1">
        <w:rPr>
          <w:sz w:val="24"/>
        </w:rPr>
        <w:t>.</w:t>
      </w:r>
      <w:r w:rsidRPr="00905BEB">
        <w:rPr>
          <w:sz w:val="24"/>
        </w:rPr>
        <w:t xml:space="preserve"> </w:t>
      </w:r>
      <w:r w:rsidR="00471DDA">
        <w:rPr>
          <w:sz w:val="24"/>
        </w:rPr>
        <w:t>“</w:t>
      </w:r>
      <w:r w:rsidRPr="00905BEB">
        <w:rPr>
          <w:sz w:val="24"/>
        </w:rPr>
        <w:t>Bank Failure and Bail-in: An Introduction</w:t>
      </w:r>
      <w:r w:rsidR="00925DD8">
        <w:rPr>
          <w:sz w:val="24"/>
        </w:rPr>
        <w:t>.</w:t>
      </w:r>
      <w:r w:rsidR="00471DDA">
        <w:rPr>
          <w:sz w:val="24"/>
        </w:rPr>
        <w:t>”</w:t>
      </w:r>
      <w:r w:rsidRPr="00905BEB">
        <w:rPr>
          <w:sz w:val="24"/>
        </w:rPr>
        <w:t xml:space="preserve"> </w:t>
      </w:r>
      <w:r w:rsidRPr="00905BEB">
        <w:rPr>
          <w:i/>
          <w:sz w:val="24"/>
        </w:rPr>
        <w:t>Bank of England Quarterly Bulletin</w:t>
      </w:r>
      <w:r w:rsidR="0028785A">
        <w:rPr>
          <w:sz w:val="24"/>
        </w:rPr>
        <w:t xml:space="preserve"> </w:t>
      </w:r>
      <w:r w:rsidRPr="00905BEB">
        <w:rPr>
          <w:sz w:val="24"/>
        </w:rPr>
        <w:t>55, Quarter 3</w:t>
      </w:r>
      <w:r w:rsidR="00471DDA">
        <w:rPr>
          <w:sz w:val="24"/>
        </w:rPr>
        <w:t xml:space="preserve"> </w:t>
      </w:r>
      <w:r w:rsidR="00F159BC">
        <w:rPr>
          <w:sz w:val="24"/>
        </w:rPr>
        <w:t>(2015):</w:t>
      </w:r>
      <w:r w:rsidR="00FD2E7C">
        <w:rPr>
          <w:sz w:val="24"/>
        </w:rPr>
        <w:t xml:space="preserve"> </w:t>
      </w:r>
      <w:r w:rsidRPr="00905BEB">
        <w:rPr>
          <w:sz w:val="24"/>
        </w:rPr>
        <w:t>228</w:t>
      </w:r>
      <w:r w:rsidR="00242643">
        <w:rPr>
          <w:sz w:val="24"/>
        </w:rPr>
        <w:t>–</w:t>
      </w:r>
      <w:r w:rsidRPr="00905BEB">
        <w:rPr>
          <w:sz w:val="24"/>
        </w:rPr>
        <w:t>241.</w:t>
      </w:r>
    </w:p>
    <w:p w14:paraId="74742A95" w14:textId="3583F7F4" w:rsidR="0058573F" w:rsidRPr="00905BEB" w:rsidRDefault="0058573F" w:rsidP="00CB63D5">
      <w:pPr>
        <w:spacing w:line="480" w:lineRule="auto"/>
        <w:ind w:left="720" w:hanging="720"/>
        <w:rPr>
          <w:sz w:val="24"/>
        </w:rPr>
      </w:pPr>
      <w:r w:rsidRPr="00905BEB">
        <w:rPr>
          <w:sz w:val="24"/>
        </w:rPr>
        <w:t xml:space="preserve">Collins, M. </w:t>
      </w:r>
      <w:r w:rsidR="00471DDA">
        <w:rPr>
          <w:sz w:val="24"/>
        </w:rPr>
        <w:t>“</w:t>
      </w:r>
      <w:r w:rsidRPr="00905BEB">
        <w:rPr>
          <w:sz w:val="24"/>
        </w:rPr>
        <w:t>English Bank Development Within a European Context, 1870-1939</w:t>
      </w:r>
      <w:r w:rsidR="00925DD8">
        <w:rPr>
          <w:sz w:val="24"/>
        </w:rPr>
        <w:t>.</w:t>
      </w:r>
      <w:r w:rsidR="00471DDA">
        <w:rPr>
          <w:sz w:val="24"/>
        </w:rPr>
        <w:t>”</w:t>
      </w:r>
      <w:r w:rsidRPr="00905BEB">
        <w:rPr>
          <w:sz w:val="24"/>
        </w:rPr>
        <w:t xml:space="preserve"> </w:t>
      </w:r>
      <w:r w:rsidRPr="00905BEB">
        <w:rPr>
          <w:i/>
          <w:sz w:val="24"/>
        </w:rPr>
        <w:t>Economic History Review</w:t>
      </w:r>
      <w:r w:rsidR="0028785A">
        <w:rPr>
          <w:sz w:val="24"/>
        </w:rPr>
        <w:t xml:space="preserve"> </w:t>
      </w:r>
      <w:r w:rsidRPr="00905BEB">
        <w:rPr>
          <w:sz w:val="24"/>
        </w:rPr>
        <w:t xml:space="preserve">51, </w:t>
      </w:r>
      <w:r w:rsidR="00F159BC">
        <w:rPr>
          <w:sz w:val="24"/>
        </w:rPr>
        <w:t>n</w:t>
      </w:r>
      <w:r w:rsidRPr="00905BEB">
        <w:rPr>
          <w:sz w:val="24"/>
        </w:rPr>
        <w:t>o.</w:t>
      </w:r>
      <w:r w:rsidR="00F159BC">
        <w:rPr>
          <w:sz w:val="24"/>
        </w:rPr>
        <w:t xml:space="preserve"> </w:t>
      </w:r>
      <w:r w:rsidRPr="00905BEB">
        <w:rPr>
          <w:sz w:val="24"/>
        </w:rPr>
        <w:t>1</w:t>
      </w:r>
      <w:r w:rsidR="00471DDA">
        <w:rPr>
          <w:sz w:val="24"/>
        </w:rPr>
        <w:t xml:space="preserve"> </w:t>
      </w:r>
      <w:r w:rsidR="00F159BC">
        <w:rPr>
          <w:sz w:val="24"/>
        </w:rPr>
        <w:t>(1998):</w:t>
      </w:r>
      <w:r w:rsidR="00471DDA">
        <w:rPr>
          <w:sz w:val="24"/>
        </w:rPr>
        <w:t xml:space="preserve"> </w:t>
      </w:r>
      <w:r w:rsidRPr="00905BEB">
        <w:rPr>
          <w:sz w:val="24"/>
        </w:rPr>
        <w:t>1</w:t>
      </w:r>
      <w:r w:rsidR="00242643">
        <w:rPr>
          <w:sz w:val="24"/>
        </w:rPr>
        <w:t>–</w:t>
      </w:r>
      <w:r w:rsidRPr="00905BEB">
        <w:rPr>
          <w:sz w:val="24"/>
        </w:rPr>
        <w:t>24.</w:t>
      </w:r>
    </w:p>
    <w:p w14:paraId="27929E80" w14:textId="66230B86" w:rsidR="00B323C8" w:rsidRPr="00B323C8" w:rsidRDefault="00B323C8" w:rsidP="00CB63D5">
      <w:pPr>
        <w:spacing w:line="480" w:lineRule="auto"/>
        <w:ind w:left="720" w:hanging="720"/>
        <w:rPr>
          <w:sz w:val="24"/>
        </w:rPr>
      </w:pPr>
      <w:r w:rsidRPr="00B323C8">
        <w:rPr>
          <w:sz w:val="24"/>
        </w:rPr>
        <w:t>Collins, M. and M. Baker</w:t>
      </w:r>
      <w:r w:rsidR="009679D1">
        <w:rPr>
          <w:sz w:val="24"/>
        </w:rPr>
        <w:t>.</w:t>
      </w:r>
      <w:r w:rsidRPr="00B323C8">
        <w:rPr>
          <w:sz w:val="24"/>
        </w:rPr>
        <w:t xml:space="preserve"> </w:t>
      </w:r>
      <w:r w:rsidR="00471DDA">
        <w:rPr>
          <w:sz w:val="24"/>
        </w:rPr>
        <w:t>“</w:t>
      </w:r>
      <w:r w:rsidRPr="00B323C8">
        <w:rPr>
          <w:sz w:val="24"/>
        </w:rPr>
        <w:t>English Commercial Bank Liquidity, 1860-1913</w:t>
      </w:r>
      <w:r w:rsidR="00925DD8">
        <w:rPr>
          <w:sz w:val="24"/>
        </w:rPr>
        <w:t>.</w:t>
      </w:r>
      <w:r w:rsidR="00471DDA">
        <w:rPr>
          <w:sz w:val="24"/>
        </w:rPr>
        <w:t>”</w:t>
      </w:r>
      <w:r w:rsidRPr="00B323C8">
        <w:rPr>
          <w:sz w:val="24"/>
        </w:rPr>
        <w:t xml:space="preserve"> </w:t>
      </w:r>
      <w:r w:rsidRPr="00B323C8">
        <w:rPr>
          <w:i/>
          <w:sz w:val="24"/>
        </w:rPr>
        <w:t>Accounting, Business and Financial History</w:t>
      </w:r>
      <w:r w:rsidR="0028785A">
        <w:rPr>
          <w:sz w:val="24"/>
        </w:rPr>
        <w:t xml:space="preserve"> </w:t>
      </w:r>
      <w:r w:rsidRPr="00B323C8">
        <w:rPr>
          <w:sz w:val="24"/>
        </w:rPr>
        <w:t xml:space="preserve">11, </w:t>
      </w:r>
      <w:r w:rsidR="0028785A">
        <w:rPr>
          <w:sz w:val="24"/>
        </w:rPr>
        <w:t xml:space="preserve">no. </w:t>
      </w:r>
      <w:r w:rsidRPr="00B323C8">
        <w:rPr>
          <w:sz w:val="24"/>
        </w:rPr>
        <w:t xml:space="preserve">2 </w:t>
      </w:r>
      <w:r w:rsidR="00F159BC">
        <w:rPr>
          <w:sz w:val="24"/>
        </w:rPr>
        <w:t>(2001):</w:t>
      </w:r>
      <w:r w:rsidRPr="00B323C8">
        <w:rPr>
          <w:sz w:val="24"/>
        </w:rPr>
        <w:t xml:space="preserve"> 171</w:t>
      </w:r>
      <w:r w:rsidR="00242643">
        <w:rPr>
          <w:sz w:val="24"/>
        </w:rPr>
        <w:t>–</w:t>
      </w:r>
      <w:r w:rsidR="00F159BC">
        <w:rPr>
          <w:sz w:val="24"/>
        </w:rPr>
        <w:t>1</w:t>
      </w:r>
      <w:r w:rsidRPr="00B323C8">
        <w:rPr>
          <w:sz w:val="24"/>
        </w:rPr>
        <w:t>91.</w:t>
      </w:r>
    </w:p>
    <w:p w14:paraId="3ED75E74" w14:textId="2CA9E97F" w:rsidR="00545ED7" w:rsidRPr="00905BEB" w:rsidRDefault="00545ED7" w:rsidP="00CB63D5">
      <w:pPr>
        <w:spacing w:line="480" w:lineRule="auto"/>
        <w:ind w:left="720" w:hanging="720"/>
        <w:rPr>
          <w:sz w:val="24"/>
        </w:rPr>
      </w:pPr>
      <w:r w:rsidRPr="00905BEB">
        <w:rPr>
          <w:sz w:val="24"/>
        </w:rPr>
        <w:t>Collins, M. and M. Baker</w:t>
      </w:r>
      <w:r w:rsidR="009679D1">
        <w:rPr>
          <w:sz w:val="24"/>
        </w:rPr>
        <w:t>.</w:t>
      </w:r>
      <w:r w:rsidRPr="00905BEB">
        <w:rPr>
          <w:sz w:val="24"/>
        </w:rPr>
        <w:t xml:space="preserve"> </w:t>
      </w:r>
      <w:r w:rsidR="00471DDA">
        <w:rPr>
          <w:sz w:val="24"/>
        </w:rPr>
        <w:t>“</w:t>
      </w:r>
      <w:r w:rsidRPr="00905BEB">
        <w:rPr>
          <w:sz w:val="24"/>
        </w:rPr>
        <w:t>Sectoral Differences in English Bank Asset Structures and the Impact of Mergers, 1860-1913</w:t>
      </w:r>
      <w:r w:rsidR="00925DD8">
        <w:rPr>
          <w:sz w:val="24"/>
        </w:rPr>
        <w:t>.</w:t>
      </w:r>
      <w:r w:rsidR="00471DDA">
        <w:rPr>
          <w:sz w:val="24"/>
        </w:rPr>
        <w:t>”</w:t>
      </w:r>
      <w:r w:rsidRPr="00905BEB">
        <w:rPr>
          <w:sz w:val="24"/>
        </w:rPr>
        <w:t xml:space="preserve"> </w:t>
      </w:r>
      <w:r w:rsidRPr="00905BEB">
        <w:rPr>
          <w:i/>
          <w:sz w:val="24"/>
        </w:rPr>
        <w:t>Business History</w:t>
      </w:r>
      <w:r w:rsidR="0028785A">
        <w:rPr>
          <w:sz w:val="24"/>
        </w:rPr>
        <w:t xml:space="preserve"> </w:t>
      </w:r>
      <w:r w:rsidRPr="00905BEB">
        <w:rPr>
          <w:sz w:val="24"/>
        </w:rPr>
        <w:t xml:space="preserve">43, </w:t>
      </w:r>
      <w:r w:rsidR="0028785A">
        <w:rPr>
          <w:sz w:val="24"/>
        </w:rPr>
        <w:t xml:space="preserve">no. </w:t>
      </w:r>
      <w:r w:rsidRPr="00905BEB">
        <w:rPr>
          <w:sz w:val="24"/>
        </w:rPr>
        <w:t xml:space="preserve">4 </w:t>
      </w:r>
      <w:r w:rsidR="00F159BC">
        <w:rPr>
          <w:sz w:val="24"/>
        </w:rPr>
        <w:t>(2001):</w:t>
      </w:r>
      <w:r w:rsidRPr="00905BEB">
        <w:rPr>
          <w:sz w:val="24"/>
        </w:rPr>
        <w:t xml:space="preserve"> 1</w:t>
      </w:r>
      <w:r w:rsidR="00242643">
        <w:rPr>
          <w:sz w:val="24"/>
        </w:rPr>
        <w:t>–</w:t>
      </w:r>
      <w:r w:rsidRPr="00905BEB">
        <w:rPr>
          <w:sz w:val="24"/>
        </w:rPr>
        <w:t>28.</w:t>
      </w:r>
    </w:p>
    <w:p w14:paraId="674F6CB1" w14:textId="07F0B525" w:rsidR="0058573F" w:rsidRPr="00905BEB" w:rsidRDefault="0058573F" w:rsidP="00CB63D5">
      <w:pPr>
        <w:spacing w:line="480" w:lineRule="auto"/>
        <w:ind w:left="720" w:hanging="720"/>
        <w:rPr>
          <w:sz w:val="24"/>
        </w:rPr>
      </w:pPr>
      <w:r w:rsidRPr="00905BEB">
        <w:rPr>
          <w:sz w:val="24"/>
        </w:rPr>
        <w:t>Collins, M. and M. Baker</w:t>
      </w:r>
      <w:r w:rsidR="004F17B4">
        <w:rPr>
          <w:sz w:val="24"/>
        </w:rPr>
        <w:t>.</w:t>
      </w:r>
      <w:r w:rsidRPr="00905BEB">
        <w:rPr>
          <w:sz w:val="24"/>
        </w:rPr>
        <w:t xml:space="preserve"> </w:t>
      </w:r>
      <w:r w:rsidRPr="00905BEB">
        <w:rPr>
          <w:i/>
          <w:sz w:val="24"/>
        </w:rPr>
        <w:t>Commercial Banks and Industrial Finance in England and Wales, 1860-1913</w:t>
      </w:r>
      <w:r w:rsidR="004F17B4">
        <w:rPr>
          <w:sz w:val="24"/>
        </w:rPr>
        <w:t>.</w:t>
      </w:r>
      <w:r w:rsidRPr="00905BEB">
        <w:rPr>
          <w:sz w:val="24"/>
        </w:rPr>
        <w:t xml:space="preserve"> Oxford: Oxford University Press</w:t>
      </w:r>
      <w:r w:rsidR="004F17B4">
        <w:rPr>
          <w:sz w:val="24"/>
        </w:rPr>
        <w:t>, 2003</w:t>
      </w:r>
      <w:r w:rsidRPr="00905BEB">
        <w:rPr>
          <w:sz w:val="24"/>
        </w:rPr>
        <w:t>.</w:t>
      </w:r>
    </w:p>
    <w:p w14:paraId="6D09B95C" w14:textId="2535EE6E" w:rsidR="00585E30" w:rsidRDefault="00E476D8" w:rsidP="00CB63D5">
      <w:pPr>
        <w:spacing w:line="480" w:lineRule="auto"/>
        <w:ind w:left="720" w:hanging="720"/>
        <w:rPr>
          <w:sz w:val="24"/>
        </w:rPr>
      </w:pPr>
      <w:r w:rsidRPr="00E476D8">
        <w:rPr>
          <w:sz w:val="24"/>
        </w:rPr>
        <w:lastRenderedPageBreak/>
        <w:t xml:space="preserve">Craig, F.W.S. </w:t>
      </w:r>
      <w:r w:rsidRPr="00E476D8">
        <w:rPr>
          <w:i/>
          <w:sz w:val="24"/>
        </w:rPr>
        <w:t>British General Election Manifestos, 1918-1966</w:t>
      </w:r>
      <w:r w:rsidR="004F17B4">
        <w:rPr>
          <w:sz w:val="24"/>
        </w:rPr>
        <w:t>.</w:t>
      </w:r>
      <w:r w:rsidRPr="00E476D8">
        <w:rPr>
          <w:sz w:val="24"/>
        </w:rPr>
        <w:t xml:space="preserve"> Chichester: Po</w:t>
      </w:r>
      <w:r w:rsidR="00585E30">
        <w:rPr>
          <w:sz w:val="24"/>
        </w:rPr>
        <w:t>litical Reference Publications</w:t>
      </w:r>
      <w:r w:rsidR="004F17B4">
        <w:rPr>
          <w:sz w:val="24"/>
        </w:rPr>
        <w:t>, 1970</w:t>
      </w:r>
      <w:r w:rsidR="00585E30">
        <w:rPr>
          <w:sz w:val="24"/>
        </w:rPr>
        <w:t>.</w:t>
      </w:r>
    </w:p>
    <w:p w14:paraId="2918F051" w14:textId="65FB919F" w:rsidR="007213F9" w:rsidRDefault="007213F9" w:rsidP="00CB63D5">
      <w:pPr>
        <w:spacing w:line="480" w:lineRule="auto"/>
        <w:ind w:left="720" w:hanging="720"/>
        <w:rPr>
          <w:sz w:val="24"/>
        </w:rPr>
      </w:pPr>
      <w:r w:rsidRPr="005D3183">
        <w:rPr>
          <w:sz w:val="24"/>
        </w:rPr>
        <w:t>Crick, W.F. and J.E. Wadsworth</w:t>
      </w:r>
      <w:r w:rsidR="004F17B4">
        <w:rPr>
          <w:sz w:val="24"/>
        </w:rPr>
        <w:t>.</w:t>
      </w:r>
      <w:r w:rsidRPr="005D3183">
        <w:rPr>
          <w:sz w:val="24"/>
        </w:rPr>
        <w:t xml:space="preserve"> </w:t>
      </w:r>
      <w:r w:rsidRPr="005D3183">
        <w:rPr>
          <w:i/>
          <w:sz w:val="24"/>
        </w:rPr>
        <w:t>A Hundred Years of Joint Stock Banking</w:t>
      </w:r>
      <w:r w:rsidR="004F17B4">
        <w:rPr>
          <w:sz w:val="24"/>
        </w:rPr>
        <w:t>.</w:t>
      </w:r>
      <w:r w:rsidRPr="005D3183">
        <w:rPr>
          <w:sz w:val="24"/>
        </w:rPr>
        <w:t xml:space="preserve"> London: Hodder and Stoughton</w:t>
      </w:r>
      <w:r w:rsidR="004F17B4">
        <w:rPr>
          <w:sz w:val="24"/>
        </w:rPr>
        <w:t>, 1936</w:t>
      </w:r>
      <w:r w:rsidRPr="005D3183">
        <w:rPr>
          <w:sz w:val="24"/>
        </w:rPr>
        <w:t>.</w:t>
      </w:r>
    </w:p>
    <w:p w14:paraId="3CC80A80" w14:textId="3F2F0B92" w:rsidR="0039797F" w:rsidRDefault="00585E30" w:rsidP="00CB63D5">
      <w:pPr>
        <w:spacing w:line="480" w:lineRule="auto"/>
        <w:ind w:left="720" w:hanging="720"/>
        <w:rPr>
          <w:sz w:val="24"/>
        </w:rPr>
      </w:pPr>
      <w:r w:rsidRPr="00585E30">
        <w:rPr>
          <w:sz w:val="24"/>
        </w:rPr>
        <w:t xml:space="preserve">Daunton, M. </w:t>
      </w:r>
      <w:r w:rsidR="00471DDA">
        <w:rPr>
          <w:sz w:val="24"/>
        </w:rPr>
        <w:t>“</w:t>
      </w:r>
      <w:r w:rsidRPr="00585E30">
        <w:rPr>
          <w:sz w:val="24"/>
        </w:rPr>
        <w:t>Financial Elites and British Soci</w:t>
      </w:r>
      <w:r w:rsidR="00164806">
        <w:rPr>
          <w:sz w:val="24"/>
        </w:rPr>
        <w:t>ety, 1880-1950</w:t>
      </w:r>
      <w:r w:rsidR="00925DD8">
        <w:rPr>
          <w:sz w:val="24"/>
        </w:rPr>
        <w:t>.</w:t>
      </w:r>
      <w:r w:rsidR="00471DDA">
        <w:rPr>
          <w:sz w:val="24"/>
        </w:rPr>
        <w:t>”</w:t>
      </w:r>
      <w:r w:rsidR="00F159BC">
        <w:rPr>
          <w:sz w:val="24"/>
        </w:rPr>
        <w:t xml:space="preserve"> </w:t>
      </w:r>
      <w:r w:rsidR="004A70DE">
        <w:rPr>
          <w:sz w:val="24"/>
        </w:rPr>
        <w:t>I</w:t>
      </w:r>
      <w:r w:rsidR="00164806">
        <w:rPr>
          <w:sz w:val="24"/>
        </w:rPr>
        <w:t>n</w:t>
      </w:r>
      <w:r w:rsidRPr="00585E30">
        <w:rPr>
          <w:sz w:val="24"/>
        </w:rPr>
        <w:t xml:space="preserve"> </w:t>
      </w:r>
      <w:r w:rsidR="004A70DE" w:rsidRPr="004A70DE">
        <w:rPr>
          <w:i/>
          <w:sz w:val="24"/>
        </w:rPr>
        <w:t>Finance and Financiers in European History, 1880-1960</w:t>
      </w:r>
      <w:r w:rsidR="004A70DE">
        <w:rPr>
          <w:sz w:val="24"/>
        </w:rPr>
        <w:t>, edited by Y. Cassis, 121</w:t>
      </w:r>
      <w:r w:rsidR="00242643">
        <w:rPr>
          <w:sz w:val="24"/>
        </w:rPr>
        <w:t>–</w:t>
      </w:r>
      <w:r w:rsidR="004A70DE">
        <w:rPr>
          <w:sz w:val="24"/>
        </w:rPr>
        <w:t>146.</w:t>
      </w:r>
      <w:r w:rsidR="004A70DE" w:rsidRPr="004A70DE">
        <w:rPr>
          <w:sz w:val="24"/>
        </w:rPr>
        <w:t xml:space="preserve"> Cambridge: Cambridge University Press, 1992.</w:t>
      </w:r>
    </w:p>
    <w:p w14:paraId="61479761" w14:textId="32A7610B" w:rsidR="00D07858" w:rsidRDefault="0039797F" w:rsidP="00CB63D5">
      <w:pPr>
        <w:spacing w:line="480" w:lineRule="auto"/>
        <w:ind w:left="720" w:hanging="720"/>
        <w:rPr>
          <w:sz w:val="24"/>
          <w:lang w:val="en-US"/>
        </w:rPr>
      </w:pPr>
      <w:r w:rsidRPr="0039797F">
        <w:rPr>
          <w:sz w:val="24"/>
        </w:rPr>
        <w:t xml:space="preserve">Davis, J. </w:t>
      </w:r>
      <w:r w:rsidR="00471DDA">
        <w:rPr>
          <w:sz w:val="24"/>
        </w:rPr>
        <w:t>“</w:t>
      </w:r>
      <w:r w:rsidRPr="0039797F">
        <w:rPr>
          <w:sz w:val="24"/>
        </w:rPr>
        <w:t>Webb [née Potter], (Martha) Beatrice (1858-1943) and Sidney James Webb, Baron Passfield (1859-1947)</w:t>
      </w:r>
      <w:r w:rsidR="00AD1FF9">
        <w:rPr>
          <w:sz w:val="24"/>
        </w:rPr>
        <w:t>.</w:t>
      </w:r>
      <w:r w:rsidR="00471DDA">
        <w:rPr>
          <w:sz w:val="24"/>
        </w:rPr>
        <w:t>”</w:t>
      </w:r>
      <w:r w:rsidRPr="0039797F">
        <w:rPr>
          <w:sz w:val="24"/>
        </w:rPr>
        <w:t xml:space="preserve"> </w:t>
      </w:r>
      <w:r w:rsidR="00AD1FF9">
        <w:rPr>
          <w:sz w:val="24"/>
        </w:rPr>
        <w:t>I</w:t>
      </w:r>
      <w:r w:rsidRPr="0039797F">
        <w:rPr>
          <w:sz w:val="24"/>
        </w:rPr>
        <w:t xml:space="preserve">n </w:t>
      </w:r>
      <w:r w:rsidRPr="0039797F">
        <w:rPr>
          <w:i/>
          <w:sz w:val="24"/>
        </w:rPr>
        <w:t>Oxford Dictionary of National Biography</w:t>
      </w:r>
      <w:r w:rsidRPr="0039797F">
        <w:rPr>
          <w:sz w:val="24"/>
        </w:rPr>
        <w:t>, Oxford: Oxford University Press, online edition</w:t>
      </w:r>
      <w:r w:rsidR="00AD1FF9">
        <w:rPr>
          <w:sz w:val="24"/>
        </w:rPr>
        <w:t>, 2004</w:t>
      </w:r>
      <w:r w:rsidRPr="0039797F">
        <w:rPr>
          <w:sz w:val="24"/>
        </w:rPr>
        <w:t xml:space="preserve">, </w:t>
      </w:r>
      <w:hyperlink r:id="rId8" w:history="1">
        <w:r w:rsidRPr="0039797F">
          <w:rPr>
            <w:rStyle w:val="Hyperlink"/>
            <w:sz w:val="24"/>
          </w:rPr>
          <w:t>http://www.oxforddnb.com/view/article/36799</w:t>
        </w:r>
      </w:hyperlink>
      <w:r w:rsidRPr="0039797F">
        <w:rPr>
          <w:sz w:val="24"/>
        </w:rPr>
        <w:t>, accessed 3 May 2017.</w:t>
      </w:r>
    </w:p>
    <w:p w14:paraId="6E2DDFD8" w14:textId="49383295" w:rsidR="00585E30" w:rsidRPr="00D07858" w:rsidRDefault="0055693B" w:rsidP="00CB63D5">
      <w:pPr>
        <w:spacing w:line="480" w:lineRule="auto"/>
        <w:ind w:left="720" w:hanging="720"/>
        <w:rPr>
          <w:sz w:val="24"/>
          <w:lang w:val="en-US"/>
        </w:rPr>
      </w:pPr>
      <w:r w:rsidRPr="0055693B">
        <w:rPr>
          <w:sz w:val="24"/>
        </w:rPr>
        <w:t xml:space="preserve">Dymski, G.A. </w:t>
      </w:r>
      <w:r w:rsidR="00471DDA">
        <w:rPr>
          <w:sz w:val="24"/>
        </w:rPr>
        <w:t>“</w:t>
      </w:r>
      <w:r w:rsidRPr="0055693B">
        <w:rPr>
          <w:sz w:val="24"/>
        </w:rPr>
        <w:t>Financial Mergers and Acquisitions: From Regulation to Strategic Repositioning to Geo-economics</w:t>
      </w:r>
      <w:r w:rsidR="00AD1FF9">
        <w:rPr>
          <w:sz w:val="24"/>
        </w:rPr>
        <w:t>.</w:t>
      </w:r>
      <w:r w:rsidR="00471DDA">
        <w:rPr>
          <w:sz w:val="24"/>
        </w:rPr>
        <w:t>”</w:t>
      </w:r>
      <w:r w:rsidRPr="0055693B">
        <w:rPr>
          <w:sz w:val="24"/>
        </w:rPr>
        <w:t xml:space="preserve"> </w:t>
      </w:r>
      <w:r w:rsidR="00AD1FF9">
        <w:rPr>
          <w:sz w:val="24"/>
        </w:rPr>
        <w:t>I</w:t>
      </w:r>
      <w:r w:rsidRPr="0055693B">
        <w:rPr>
          <w:sz w:val="24"/>
        </w:rPr>
        <w:t>n</w:t>
      </w:r>
      <w:r w:rsidR="00242643">
        <w:rPr>
          <w:sz w:val="24"/>
        </w:rPr>
        <w:t xml:space="preserve"> </w:t>
      </w:r>
      <w:r w:rsidRPr="0055693B">
        <w:rPr>
          <w:i/>
          <w:sz w:val="24"/>
        </w:rPr>
        <w:t>The Oxford Handbook of Mergers and Acquisitions</w:t>
      </w:r>
      <w:r w:rsidRPr="0055693B">
        <w:rPr>
          <w:sz w:val="24"/>
        </w:rPr>
        <w:t xml:space="preserve">, </w:t>
      </w:r>
      <w:r w:rsidR="00AD1FF9">
        <w:rPr>
          <w:sz w:val="24"/>
        </w:rPr>
        <w:t xml:space="preserve">edited by </w:t>
      </w:r>
      <w:r w:rsidR="00AD1FF9" w:rsidRPr="0055693B">
        <w:rPr>
          <w:sz w:val="24"/>
        </w:rPr>
        <w:t>D. Faulkner, S. Teerikangas and R.J. Joseph</w:t>
      </w:r>
      <w:r w:rsidR="00AD1FF9">
        <w:rPr>
          <w:sz w:val="24"/>
        </w:rPr>
        <w:t>, 566</w:t>
      </w:r>
      <w:r w:rsidR="00242643">
        <w:rPr>
          <w:sz w:val="24"/>
        </w:rPr>
        <w:t>–</w:t>
      </w:r>
      <w:r w:rsidR="00AD1FF9">
        <w:rPr>
          <w:sz w:val="24"/>
        </w:rPr>
        <w:t>592.</w:t>
      </w:r>
      <w:r w:rsidR="00AD1FF9" w:rsidRPr="0055693B">
        <w:rPr>
          <w:sz w:val="24"/>
        </w:rPr>
        <w:t xml:space="preserve"> </w:t>
      </w:r>
      <w:r w:rsidRPr="0055693B">
        <w:rPr>
          <w:sz w:val="24"/>
        </w:rPr>
        <w:t>Oxford: Oxford University Press</w:t>
      </w:r>
      <w:r w:rsidR="00AD1FF9">
        <w:rPr>
          <w:sz w:val="24"/>
        </w:rPr>
        <w:t>, 2012</w:t>
      </w:r>
      <w:r w:rsidRPr="0055693B">
        <w:rPr>
          <w:sz w:val="24"/>
        </w:rPr>
        <w:t>.</w:t>
      </w:r>
    </w:p>
    <w:p w14:paraId="72CA8871" w14:textId="7AC6FEE6" w:rsidR="00087DBB" w:rsidRDefault="00B422AA" w:rsidP="00CB63D5">
      <w:pPr>
        <w:spacing w:line="480" w:lineRule="auto"/>
        <w:ind w:left="720" w:hanging="720"/>
        <w:rPr>
          <w:sz w:val="24"/>
          <w:lang w:val="en-US"/>
        </w:rPr>
      </w:pPr>
      <w:r w:rsidRPr="00B422AA">
        <w:rPr>
          <w:sz w:val="24"/>
        </w:rPr>
        <w:t>Elbaum, B. and W. Lazonick</w:t>
      </w:r>
      <w:r w:rsidR="009679D1">
        <w:rPr>
          <w:sz w:val="24"/>
        </w:rPr>
        <w:t>.</w:t>
      </w:r>
      <w:r w:rsidRPr="00B422AA">
        <w:rPr>
          <w:sz w:val="24"/>
        </w:rPr>
        <w:t xml:space="preserve"> </w:t>
      </w:r>
      <w:r w:rsidR="00471DDA">
        <w:rPr>
          <w:sz w:val="24"/>
        </w:rPr>
        <w:t>“</w:t>
      </w:r>
      <w:r w:rsidRPr="00B422AA">
        <w:rPr>
          <w:sz w:val="24"/>
        </w:rPr>
        <w:t>The Decline of the British Economy: An Institutional Perspective</w:t>
      </w:r>
      <w:r w:rsidR="00B75CAE">
        <w:rPr>
          <w:sz w:val="24"/>
        </w:rPr>
        <w:t>.</w:t>
      </w:r>
      <w:r w:rsidR="00471DDA">
        <w:rPr>
          <w:sz w:val="24"/>
        </w:rPr>
        <w:t>”</w:t>
      </w:r>
      <w:r w:rsidRPr="00B422AA">
        <w:rPr>
          <w:sz w:val="24"/>
        </w:rPr>
        <w:t xml:space="preserve"> </w:t>
      </w:r>
      <w:r w:rsidRPr="00B422AA">
        <w:rPr>
          <w:i/>
          <w:sz w:val="24"/>
        </w:rPr>
        <w:t>Journal of Economic History</w:t>
      </w:r>
      <w:r w:rsidR="0028785A">
        <w:rPr>
          <w:sz w:val="24"/>
        </w:rPr>
        <w:t xml:space="preserve"> </w:t>
      </w:r>
      <w:r w:rsidRPr="00B422AA">
        <w:rPr>
          <w:sz w:val="24"/>
        </w:rPr>
        <w:t xml:space="preserve">44, </w:t>
      </w:r>
      <w:r w:rsidR="0028785A">
        <w:rPr>
          <w:sz w:val="24"/>
        </w:rPr>
        <w:t xml:space="preserve">no. </w:t>
      </w:r>
      <w:r w:rsidRPr="00B422AA">
        <w:rPr>
          <w:sz w:val="24"/>
        </w:rPr>
        <w:t>2</w:t>
      </w:r>
      <w:r w:rsidR="00471DDA">
        <w:rPr>
          <w:sz w:val="24"/>
        </w:rPr>
        <w:t xml:space="preserve"> </w:t>
      </w:r>
      <w:r w:rsidR="00F159BC">
        <w:rPr>
          <w:sz w:val="24"/>
        </w:rPr>
        <w:t>(1984):</w:t>
      </w:r>
      <w:r w:rsidRPr="00B422AA">
        <w:rPr>
          <w:sz w:val="24"/>
        </w:rPr>
        <w:t xml:space="preserve"> 567</w:t>
      </w:r>
      <w:r w:rsidR="00242643">
        <w:rPr>
          <w:sz w:val="24"/>
        </w:rPr>
        <w:t>–</w:t>
      </w:r>
      <w:r w:rsidRPr="00B422AA">
        <w:rPr>
          <w:sz w:val="24"/>
        </w:rPr>
        <w:t>583.</w:t>
      </w:r>
    </w:p>
    <w:p w14:paraId="0433BD81" w14:textId="73407555" w:rsidR="00B422AA" w:rsidRPr="00B422AA" w:rsidRDefault="005C3C82" w:rsidP="00CB63D5">
      <w:pPr>
        <w:spacing w:line="480" w:lineRule="auto"/>
        <w:ind w:left="720" w:hanging="720"/>
        <w:rPr>
          <w:sz w:val="24"/>
        </w:rPr>
      </w:pPr>
      <w:r w:rsidRPr="00B422AA">
        <w:rPr>
          <w:sz w:val="24"/>
        </w:rPr>
        <w:t>Elbaum, B. and W. Lazonick</w:t>
      </w:r>
      <w:r w:rsidR="00AD1FF9">
        <w:rPr>
          <w:sz w:val="24"/>
        </w:rPr>
        <w:t>.</w:t>
      </w:r>
      <w:r w:rsidRPr="00B422AA">
        <w:rPr>
          <w:sz w:val="24"/>
        </w:rPr>
        <w:t xml:space="preserve"> </w:t>
      </w:r>
      <w:r w:rsidR="00471DDA">
        <w:rPr>
          <w:sz w:val="24"/>
        </w:rPr>
        <w:t>“</w:t>
      </w:r>
      <w:r w:rsidRPr="00B422AA">
        <w:rPr>
          <w:sz w:val="24"/>
        </w:rPr>
        <w:t>An Institutional Perspective on British Decline</w:t>
      </w:r>
      <w:r w:rsidR="00B75CAE">
        <w:rPr>
          <w:sz w:val="24"/>
        </w:rPr>
        <w:t>.</w:t>
      </w:r>
      <w:r w:rsidR="00471DDA">
        <w:rPr>
          <w:sz w:val="24"/>
        </w:rPr>
        <w:t>”</w:t>
      </w:r>
      <w:r w:rsidR="00AD1FF9">
        <w:rPr>
          <w:sz w:val="24"/>
        </w:rPr>
        <w:t xml:space="preserve"> </w:t>
      </w:r>
      <w:r w:rsidR="00AD1FF9" w:rsidRPr="00AD1FF9">
        <w:rPr>
          <w:sz w:val="24"/>
        </w:rPr>
        <w:t xml:space="preserve">In </w:t>
      </w:r>
      <w:r w:rsidR="00AD1FF9" w:rsidRPr="00AD1FF9">
        <w:rPr>
          <w:i/>
          <w:sz w:val="24"/>
        </w:rPr>
        <w:t>The Decline of the British Economy</w:t>
      </w:r>
      <w:r w:rsidR="00AD1FF9" w:rsidRPr="00AD1FF9">
        <w:rPr>
          <w:sz w:val="24"/>
        </w:rPr>
        <w:t xml:space="preserve">, edited by B. Elbaum and W. Lazonick, </w:t>
      </w:r>
      <w:r w:rsidR="00AD1FF9">
        <w:rPr>
          <w:sz w:val="24"/>
        </w:rPr>
        <w:t>1</w:t>
      </w:r>
      <w:r w:rsidR="00242643">
        <w:rPr>
          <w:sz w:val="24"/>
        </w:rPr>
        <w:t>–</w:t>
      </w:r>
      <w:r w:rsidR="00AD1FF9">
        <w:rPr>
          <w:sz w:val="24"/>
        </w:rPr>
        <w:t>17</w:t>
      </w:r>
      <w:r w:rsidR="00AD1FF9" w:rsidRPr="00AD1FF9">
        <w:rPr>
          <w:sz w:val="24"/>
        </w:rPr>
        <w:t>. Oxford: Clarendon Press,</w:t>
      </w:r>
      <w:r w:rsidR="00AD1FF9">
        <w:rPr>
          <w:sz w:val="24"/>
        </w:rPr>
        <w:t xml:space="preserve"> </w:t>
      </w:r>
      <w:r w:rsidR="00AD1FF9" w:rsidRPr="00AD1FF9">
        <w:rPr>
          <w:sz w:val="24"/>
        </w:rPr>
        <w:t>1986.</w:t>
      </w:r>
    </w:p>
    <w:p w14:paraId="4FF9B3F6" w14:textId="19695077" w:rsidR="006015EA" w:rsidRDefault="00545ED7" w:rsidP="00CB63D5">
      <w:pPr>
        <w:spacing w:line="480" w:lineRule="auto"/>
        <w:ind w:left="720" w:hanging="720"/>
        <w:rPr>
          <w:sz w:val="24"/>
        </w:rPr>
      </w:pPr>
      <w:r w:rsidRPr="00905BEB">
        <w:rPr>
          <w:sz w:val="24"/>
        </w:rPr>
        <w:t xml:space="preserve">Fohlin, C. </w:t>
      </w:r>
      <w:r w:rsidR="00471DDA">
        <w:rPr>
          <w:sz w:val="24"/>
        </w:rPr>
        <w:t>“</w:t>
      </w:r>
      <w:r w:rsidRPr="00905BEB">
        <w:rPr>
          <w:sz w:val="24"/>
        </w:rPr>
        <w:t>The Balancing Act of German Universal Banks and English Deposit Banks, 1880-1913</w:t>
      </w:r>
      <w:r w:rsidR="00925DD8">
        <w:rPr>
          <w:sz w:val="24"/>
        </w:rPr>
        <w:t>.</w:t>
      </w:r>
      <w:r w:rsidR="00471DDA">
        <w:rPr>
          <w:sz w:val="24"/>
        </w:rPr>
        <w:t>”</w:t>
      </w:r>
      <w:r w:rsidRPr="00905BEB">
        <w:rPr>
          <w:i/>
          <w:sz w:val="24"/>
        </w:rPr>
        <w:t xml:space="preserve"> Business History</w:t>
      </w:r>
      <w:r w:rsidR="0028785A">
        <w:rPr>
          <w:sz w:val="24"/>
        </w:rPr>
        <w:t xml:space="preserve"> </w:t>
      </w:r>
      <w:r w:rsidRPr="00905BEB">
        <w:rPr>
          <w:sz w:val="24"/>
        </w:rPr>
        <w:t xml:space="preserve">43, </w:t>
      </w:r>
      <w:r w:rsidR="0028785A">
        <w:rPr>
          <w:sz w:val="24"/>
        </w:rPr>
        <w:t xml:space="preserve">no. </w:t>
      </w:r>
      <w:r w:rsidRPr="00905BEB">
        <w:rPr>
          <w:sz w:val="24"/>
        </w:rPr>
        <w:t xml:space="preserve">1 </w:t>
      </w:r>
      <w:r w:rsidR="00F159BC">
        <w:rPr>
          <w:sz w:val="24"/>
        </w:rPr>
        <w:t>(2001):</w:t>
      </w:r>
      <w:r w:rsidRPr="00905BEB">
        <w:rPr>
          <w:sz w:val="24"/>
        </w:rPr>
        <w:t xml:space="preserve"> 1</w:t>
      </w:r>
      <w:r w:rsidR="00242643">
        <w:rPr>
          <w:sz w:val="24"/>
        </w:rPr>
        <w:t>–</w:t>
      </w:r>
      <w:r w:rsidRPr="00905BEB">
        <w:rPr>
          <w:sz w:val="24"/>
        </w:rPr>
        <w:t>24.</w:t>
      </w:r>
    </w:p>
    <w:p w14:paraId="3979C3C0" w14:textId="51930367" w:rsidR="006015EA" w:rsidRPr="006015EA" w:rsidRDefault="006015EA" w:rsidP="00CB63D5">
      <w:pPr>
        <w:spacing w:line="480" w:lineRule="auto"/>
        <w:ind w:left="720" w:hanging="720"/>
        <w:rPr>
          <w:sz w:val="24"/>
        </w:rPr>
      </w:pPr>
      <w:r w:rsidRPr="006015EA">
        <w:rPr>
          <w:sz w:val="24"/>
        </w:rPr>
        <w:t xml:space="preserve">Fohlin, C. </w:t>
      </w:r>
      <w:r w:rsidR="00471DDA">
        <w:rPr>
          <w:sz w:val="24"/>
        </w:rPr>
        <w:t>“</w:t>
      </w:r>
      <w:r w:rsidRPr="006015EA">
        <w:rPr>
          <w:sz w:val="24"/>
        </w:rPr>
        <w:t>Regulation, Taxation and the Development of the German Universal Banking System, 1884-1913</w:t>
      </w:r>
      <w:r w:rsidR="00925DD8">
        <w:rPr>
          <w:sz w:val="24"/>
        </w:rPr>
        <w:t>.</w:t>
      </w:r>
      <w:r w:rsidR="00471DDA">
        <w:rPr>
          <w:sz w:val="24"/>
        </w:rPr>
        <w:t>”</w:t>
      </w:r>
      <w:r w:rsidRPr="006015EA">
        <w:rPr>
          <w:sz w:val="24"/>
        </w:rPr>
        <w:t xml:space="preserve"> </w:t>
      </w:r>
      <w:r w:rsidRPr="006015EA">
        <w:rPr>
          <w:i/>
          <w:sz w:val="24"/>
        </w:rPr>
        <w:t>European Review of Economic History</w:t>
      </w:r>
      <w:r w:rsidR="0028785A">
        <w:rPr>
          <w:sz w:val="24"/>
        </w:rPr>
        <w:t xml:space="preserve"> </w:t>
      </w:r>
      <w:r w:rsidRPr="006015EA">
        <w:rPr>
          <w:sz w:val="24"/>
        </w:rPr>
        <w:t xml:space="preserve">6, </w:t>
      </w:r>
      <w:r w:rsidR="0028785A">
        <w:rPr>
          <w:sz w:val="24"/>
        </w:rPr>
        <w:t xml:space="preserve">no. </w:t>
      </w:r>
      <w:r w:rsidRPr="006015EA">
        <w:rPr>
          <w:sz w:val="24"/>
        </w:rPr>
        <w:t xml:space="preserve">2, </w:t>
      </w:r>
      <w:r w:rsidR="00F159BC">
        <w:rPr>
          <w:sz w:val="24"/>
        </w:rPr>
        <w:t>(2002):</w:t>
      </w:r>
      <w:r w:rsidRPr="006015EA">
        <w:rPr>
          <w:sz w:val="24"/>
        </w:rPr>
        <w:t xml:space="preserve"> 221</w:t>
      </w:r>
      <w:r w:rsidR="00242643">
        <w:rPr>
          <w:sz w:val="24"/>
        </w:rPr>
        <w:t>–</w:t>
      </w:r>
      <w:r w:rsidRPr="006015EA">
        <w:rPr>
          <w:sz w:val="24"/>
        </w:rPr>
        <w:t>254.</w:t>
      </w:r>
    </w:p>
    <w:p w14:paraId="0F577F5C" w14:textId="797E7B1A" w:rsidR="00050151" w:rsidRDefault="00050151" w:rsidP="00CB63D5">
      <w:pPr>
        <w:spacing w:line="480" w:lineRule="auto"/>
        <w:ind w:left="720" w:hanging="720"/>
        <w:rPr>
          <w:sz w:val="24"/>
          <w:lang w:val="en-US"/>
        </w:rPr>
      </w:pPr>
      <w:r w:rsidRPr="00050151">
        <w:rPr>
          <w:sz w:val="24"/>
          <w:lang w:val="en-US"/>
        </w:rPr>
        <w:lastRenderedPageBreak/>
        <w:t xml:space="preserve">Fohlin, C. </w:t>
      </w:r>
      <w:r w:rsidR="00471DDA">
        <w:rPr>
          <w:sz w:val="24"/>
          <w:lang w:val="en-US"/>
        </w:rPr>
        <w:t>“</w:t>
      </w:r>
      <w:r w:rsidRPr="00050151">
        <w:rPr>
          <w:sz w:val="24"/>
          <w:lang w:val="en-US"/>
        </w:rPr>
        <w:t>Financial Systems</w:t>
      </w:r>
      <w:r w:rsidR="00AD1FF9">
        <w:rPr>
          <w:sz w:val="24"/>
          <w:lang w:val="en-US"/>
        </w:rPr>
        <w:t>.</w:t>
      </w:r>
      <w:r w:rsidR="00471DDA">
        <w:rPr>
          <w:sz w:val="24"/>
          <w:lang w:val="en-US"/>
        </w:rPr>
        <w:t>”</w:t>
      </w:r>
      <w:r w:rsidRPr="00050151">
        <w:rPr>
          <w:sz w:val="24"/>
          <w:lang w:val="en-US"/>
        </w:rPr>
        <w:t xml:space="preserve"> </w:t>
      </w:r>
      <w:r w:rsidR="00AD1FF9">
        <w:rPr>
          <w:sz w:val="24"/>
          <w:lang w:val="en-US"/>
        </w:rPr>
        <w:t>I</w:t>
      </w:r>
      <w:r w:rsidRPr="00050151">
        <w:rPr>
          <w:sz w:val="24"/>
          <w:lang w:val="en-US"/>
        </w:rPr>
        <w:t xml:space="preserve">n </w:t>
      </w:r>
      <w:r w:rsidRPr="00050151">
        <w:rPr>
          <w:i/>
          <w:sz w:val="24"/>
          <w:lang w:val="en-US"/>
        </w:rPr>
        <w:t>Handbook of Cliometrics</w:t>
      </w:r>
      <w:r w:rsidRPr="00050151">
        <w:rPr>
          <w:sz w:val="24"/>
          <w:lang w:val="en-US"/>
        </w:rPr>
        <w:t xml:space="preserve">, </w:t>
      </w:r>
      <w:r w:rsidR="00AD1FF9">
        <w:rPr>
          <w:sz w:val="24"/>
          <w:lang w:val="en-US"/>
        </w:rPr>
        <w:t xml:space="preserve">edited by C. </w:t>
      </w:r>
      <w:r w:rsidR="00AD1FF9" w:rsidRPr="00050151">
        <w:rPr>
          <w:sz w:val="24"/>
          <w:lang w:val="en-US"/>
        </w:rPr>
        <w:t>Diebolt and M. Haupert</w:t>
      </w:r>
      <w:r w:rsidR="00AD1FF9">
        <w:rPr>
          <w:sz w:val="24"/>
          <w:lang w:val="en-US"/>
        </w:rPr>
        <w:t>, 393</w:t>
      </w:r>
      <w:r w:rsidR="00242643">
        <w:rPr>
          <w:sz w:val="24"/>
          <w:lang w:val="en-US"/>
        </w:rPr>
        <w:t>–</w:t>
      </w:r>
      <w:r w:rsidR="00AD1FF9">
        <w:rPr>
          <w:sz w:val="24"/>
          <w:lang w:val="en-US"/>
        </w:rPr>
        <w:t xml:space="preserve">430. </w:t>
      </w:r>
      <w:r w:rsidRPr="00050151">
        <w:rPr>
          <w:sz w:val="24"/>
          <w:lang w:val="en-US"/>
        </w:rPr>
        <w:t>Berlin</w:t>
      </w:r>
      <w:r w:rsidR="00AD1FF9">
        <w:rPr>
          <w:sz w:val="24"/>
          <w:lang w:val="en-US"/>
        </w:rPr>
        <w:t>,</w:t>
      </w:r>
      <w:r w:rsidRPr="00050151">
        <w:rPr>
          <w:sz w:val="24"/>
          <w:lang w:val="en-US"/>
        </w:rPr>
        <w:t xml:space="preserve"> Heidelberg: Springer-Verlag</w:t>
      </w:r>
      <w:r w:rsidR="00AD1FF9">
        <w:rPr>
          <w:sz w:val="24"/>
          <w:lang w:val="en-US"/>
        </w:rPr>
        <w:t>, 2016</w:t>
      </w:r>
      <w:r w:rsidRPr="00050151">
        <w:rPr>
          <w:sz w:val="24"/>
          <w:lang w:val="en-US"/>
        </w:rPr>
        <w:t xml:space="preserve">. </w:t>
      </w:r>
    </w:p>
    <w:p w14:paraId="2ABDA166" w14:textId="745B99D7" w:rsidR="00F02C5A" w:rsidRPr="00721567" w:rsidRDefault="00F02C5A" w:rsidP="00CB63D5">
      <w:pPr>
        <w:spacing w:line="480" w:lineRule="auto"/>
        <w:ind w:left="720" w:hanging="720"/>
        <w:rPr>
          <w:sz w:val="24"/>
          <w:lang w:val="en-US"/>
        </w:rPr>
      </w:pPr>
      <w:r w:rsidRPr="00721567">
        <w:rPr>
          <w:sz w:val="24"/>
          <w:lang w:val="en-US"/>
        </w:rPr>
        <w:t>Garnett, P., S. Mollan and R.A. Bentley</w:t>
      </w:r>
      <w:r w:rsidR="009679D1">
        <w:rPr>
          <w:sz w:val="24"/>
          <w:lang w:val="en-US"/>
        </w:rPr>
        <w:t>.</w:t>
      </w:r>
      <w:r w:rsidRPr="00721567">
        <w:rPr>
          <w:sz w:val="24"/>
          <w:lang w:val="en-US"/>
        </w:rPr>
        <w:t xml:space="preserve"> </w:t>
      </w:r>
      <w:r w:rsidR="00471DDA">
        <w:rPr>
          <w:sz w:val="24"/>
          <w:lang w:val="en-US"/>
        </w:rPr>
        <w:t>“</w:t>
      </w:r>
      <w:r w:rsidRPr="00721567">
        <w:rPr>
          <w:sz w:val="24"/>
          <w:lang w:val="en-US"/>
        </w:rPr>
        <w:t>Complexity in History: Modelling the Organisational Demography of the British Banking Sector</w:t>
      </w:r>
      <w:r w:rsidR="00925DD8">
        <w:rPr>
          <w:sz w:val="24"/>
          <w:lang w:val="en-US"/>
        </w:rPr>
        <w:t>.</w:t>
      </w:r>
      <w:r w:rsidR="00471DDA">
        <w:rPr>
          <w:sz w:val="24"/>
          <w:lang w:val="en-US"/>
        </w:rPr>
        <w:t>”</w:t>
      </w:r>
      <w:r w:rsidRPr="00721567">
        <w:rPr>
          <w:sz w:val="24"/>
          <w:lang w:val="en-US"/>
        </w:rPr>
        <w:t xml:space="preserve"> </w:t>
      </w:r>
      <w:r w:rsidRPr="00721567">
        <w:rPr>
          <w:i/>
          <w:iCs/>
          <w:sz w:val="24"/>
          <w:lang w:val="en-US"/>
        </w:rPr>
        <w:t>Business History</w:t>
      </w:r>
      <w:r w:rsidR="0028785A">
        <w:rPr>
          <w:sz w:val="24"/>
          <w:lang w:val="en-US"/>
        </w:rPr>
        <w:t xml:space="preserve"> </w:t>
      </w:r>
      <w:r w:rsidRPr="00721567">
        <w:rPr>
          <w:sz w:val="24"/>
          <w:lang w:val="en-US"/>
        </w:rPr>
        <w:t xml:space="preserve">57, </w:t>
      </w:r>
      <w:r w:rsidR="0028785A">
        <w:rPr>
          <w:sz w:val="24"/>
          <w:lang w:val="en-US"/>
        </w:rPr>
        <w:t xml:space="preserve">no. </w:t>
      </w:r>
      <w:r w:rsidRPr="00721567">
        <w:rPr>
          <w:sz w:val="24"/>
          <w:lang w:val="en-US"/>
        </w:rPr>
        <w:t>1</w:t>
      </w:r>
      <w:r w:rsidR="00BB5704">
        <w:rPr>
          <w:sz w:val="24"/>
          <w:lang w:val="en-US"/>
        </w:rPr>
        <w:t xml:space="preserve"> </w:t>
      </w:r>
      <w:r w:rsidR="00F159BC">
        <w:rPr>
          <w:sz w:val="24"/>
          <w:lang w:val="en-US"/>
        </w:rPr>
        <w:t>(2015):</w:t>
      </w:r>
      <w:r w:rsidRPr="00721567">
        <w:rPr>
          <w:sz w:val="24"/>
          <w:lang w:val="en-US"/>
        </w:rPr>
        <w:t xml:space="preserve"> 181</w:t>
      </w:r>
      <w:r w:rsidR="00242643">
        <w:rPr>
          <w:sz w:val="24"/>
          <w:lang w:val="en-US"/>
        </w:rPr>
        <w:t>–</w:t>
      </w:r>
      <w:r w:rsidRPr="00721567">
        <w:rPr>
          <w:sz w:val="24"/>
          <w:lang w:val="en-US"/>
        </w:rPr>
        <w:t>201.</w:t>
      </w:r>
    </w:p>
    <w:p w14:paraId="47E589A4" w14:textId="71E32529" w:rsidR="00DB1B26" w:rsidRDefault="00DB1B26" w:rsidP="00CB63D5">
      <w:pPr>
        <w:spacing w:line="480" w:lineRule="auto"/>
        <w:ind w:left="720" w:hanging="720"/>
        <w:rPr>
          <w:bCs/>
          <w:sz w:val="24"/>
        </w:rPr>
      </w:pPr>
      <w:bookmarkStart w:id="3" w:name="_Hlk508409329"/>
      <w:r w:rsidRPr="00DB1B26">
        <w:rPr>
          <w:bCs/>
          <w:sz w:val="24"/>
          <w:lang w:val="en-US"/>
        </w:rPr>
        <w:t>Garnett, P., S. Mollan and R.A. Bentley</w:t>
      </w:r>
      <w:r w:rsidR="009679D1">
        <w:rPr>
          <w:bCs/>
          <w:sz w:val="24"/>
          <w:lang w:val="en-US"/>
        </w:rPr>
        <w:t>.</w:t>
      </w:r>
      <w:r w:rsidRPr="00DB1B26">
        <w:rPr>
          <w:bCs/>
          <w:sz w:val="24"/>
          <w:lang w:val="en-US"/>
        </w:rPr>
        <w:t xml:space="preserve"> </w:t>
      </w:r>
      <w:r w:rsidR="00471DDA">
        <w:rPr>
          <w:bCs/>
          <w:sz w:val="24"/>
          <w:lang w:val="en-US"/>
        </w:rPr>
        <w:t>“</w:t>
      </w:r>
      <w:r w:rsidRPr="00DB1B26">
        <w:rPr>
          <w:bCs/>
          <w:sz w:val="24"/>
          <w:lang w:val="en-US"/>
        </w:rPr>
        <w:t>Banks, Births, and Tipping Points in the Historical Demography of British Banking: A Response to J.J. Bissell</w:t>
      </w:r>
      <w:r w:rsidR="00925DD8">
        <w:rPr>
          <w:bCs/>
          <w:sz w:val="24"/>
          <w:lang w:val="en-US"/>
        </w:rPr>
        <w:t>.</w:t>
      </w:r>
      <w:r w:rsidR="00471DDA">
        <w:rPr>
          <w:bCs/>
          <w:sz w:val="24"/>
          <w:lang w:val="en-US"/>
        </w:rPr>
        <w:t>”</w:t>
      </w:r>
      <w:r w:rsidRPr="00DB1B26">
        <w:rPr>
          <w:bCs/>
          <w:sz w:val="24"/>
          <w:lang w:val="en-US"/>
        </w:rPr>
        <w:t xml:space="preserve"> </w:t>
      </w:r>
      <w:r w:rsidRPr="00DB1B26">
        <w:rPr>
          <w:bCs/>
          <w:i/>
          <w:iCs/>
          <w:sz w:val="24"/>
          <w:lang w:val="en-US"/>
        </w:rPr>
        <w:t>Business History</w:t>
      </w:r>
      <w:r w:rsidR="0028785A">
        <w:rPr>
          <w:bCs/>
          <w:sz w:val="24"/>
          <w:lang w:val="en-US"/>
        </w:rPr>
        <w:t xml:space="preserve"> </w:t>
      </w:r>
      <w:r w:rsidRPr="00DB1B26">
        <w:rPr>
          <w:bCs/>
          <w:sz w:val="24"/>
          <w:lang w:val="en-US"/>
        </w:rPr>
        <w:t xml:space="preserve">59, </w:t>
      </w:r>
      <w:r w:rsidR="0028785A">
        <w:rPr>
          <w:bCs/>
          <w:sz w:val="24"/>
          <w:lang w:val="en-US"/>
        </w:rPr>
        <w:t xml:space="preserve">no. </w:t>
      </w:r>
      <w:r w:rsidRPr="00DB1B26">
        <w:rPr>
          <w:bCs/>
          <w:sz w:val="24"/>
          <w:lang w:val="en-US"/>
        </w:rPr>
        <w:t>5</w:t>
      </w:r>
      <w:r w:rsidR="00BB5704">
        <w:rPr>
          <w:bCs/>
          <w:sz w:val="24"/>
          <w:lang w:val="en-US"/>
        </w:rPr>
        <w:t xml:space="preserve"> </w:t>
      </w:r>
      <w:r w:rsidR="00F159BC">
        <w:rPr>
          <w:bCs/>
          <w:sz w:val="24"/>
          <w:lang w:val="en-US"/>
        </w:rPr>
        <w:t>(2017):</w:t>
      </w:r>
      <w:r w:rsidRPr="00DB1B26">
        <w:rPr>
          <w:bCs/>
          <w:sz w:val="24"/>
          <w:lang w:val="en-US"/>
        </w:rPr>
        <w:t xml:space="preserve"> 814</w:t>
      </w:r>
      <w:r w:rsidR="00242643">
        <w:rPr>
          <w:bCs/>
          <w:sz w:val="24"/>
          <w:lang w:val="en-US"/>
        </w:rPr>
        <w:t>–</w:t>
      </w:r>
      <w:r w:rsidRPr="00DB1B26">
        <w:rPr>
          <w:bCs/>
          <w:sz w:val="24"/>
          <w:lang w:val="en-US"/>
        </w:rPr>
        <w:t>820.</w:t>
      </w:r>
    </w:p>
    <w:p w14:paraId="12B6EBFC" w14:textId="7EC03FEF" w:rsidR="008C02FA" w:rsidRDefault="008C02FA" w:rsidP="00CB63D5">
      <w:pPr>
        <w:spacing w:line="480" w:lineRule="auto"/>
        <w:ind w:left="720" w:hanging="720"/>
        <w:rPr>
          <w:bCs/>
          <w:sz w:val="24"/>
          <w:lang w:val="en-US"/>
        </w:rPr>
      </w:pPr>
      <w:r w:rsidRPr="008C02FA">
        <w:rPr>
          <w:bCs/>
          <w:sz w:val="24"/>
          <w:lang w:val="en-US"/>
        </w:rPr>
        <w:t xml:space="preserve">Gerschenkron, A. </w:t>
      </w:r>
      <w:r w:rsidRPr="008C02FA">
        <w:rPr>
          <w:bCs/>
          <w:i/>
          <w:sz w:val="24"/>
          <w:lang w:val="en-US"/>
        </w:rPr>
        <w:t>Economic Backwardness in Historical Perspective: A Book of Historical Essays</w:t>
      </w:r>
      <w:r>
        <w:rPr>
          <w:bCs/>
          <w:sz w:val="24"/>
          <w:lang w:val="en-US"/>
        </w:rPr>
        <w:t>.</w:t>
      </w:r>
      <w:r w:rsidRPr="008C02FA">
        <w:rPr>
          <w:bCs/>
          <w:sz w:val="24"/>
          <w:lang w:val="en-US"/>
        </w:rPr>
        <w:t xml:space="preserve"> Cambridge, MA: Harvard University Press</w:t>
      </w:r>
      <w:r>
        <w:rPr>
          <w:bCs/>
          <w:sz w:val="24"/>
          <w:lang w:val="en-US"/>
        </w:rPr>
        <w:t>, 1962</w:t>
      </w:r>
      <w:r w:rsidRPr="008C02FA">
        <w:rPr>
          <w:bCs/>
          <w:sz w:val="24"/>
          <w:lang w:val="en-US"/>
        </w:rPr>
        <w:t>.</w:t>
      </w:r>
    </w:p>
    <w:p w14:paraId="4BDE2C46" w14:textId="0E87EAB5" w:rsidR="00334152" w:rsidRPr="00334152" w:rsidRDefault="00334152" w:rsidP="00CB63D5">
      <w:pPr>
        <w:spacing w:line="480" w:lineRule="auto"/>
        <w:ind w:left="720" w:hanging="720"/>
        <w:rPr>
          <w:sz w:val="24"/>
          <w:lang w:val="en-US"/>
        </w:rPr>
      </w:pPr>
      <w:r w:rsidRPr="00334152">
        <w:rPr>
          <w:bCs/>
          <w:sz w:val="24"/>
        </w:rPr>
        <w:t>Goetz, J.C., L. Laeven and R. Levine</w:t>
      </w:r>
      <w:r w:rsidR="009679D1">
        <w:rPr>
          <w:bCs/>
          <w:sz w:val="24"/>
        </w:rPr>
        <w:t>.</w:t>
      </w:r>
      <w:r w:rsidRPr="00334152">
        <w:rPr>
          <w:bCs/>
          <w:sz w:val="24"/>
        </w:rPr>
        <w:t xml:space="preserve"> </w:t>
      </w:r>
      <w:r w:rsidR="00471DDA">
        <w:rPr>
          <w:bCs/>
          <w:sz w:val="24"/>
        </w:rPr>
        <w:t>“</w:t>
      </w:r>
      <w:r w:rsidRPr="00334152">
        <w:rPr>
          <w:bCs/>
          <w:sz w:val="24"/>
        </w:rPr>
        <w:t>Does the Geographic Expansion of Banks Reduce Risk?</w:t>
      </w:r>
      <w:r w:rsidR="00471DDA">
        <w:rPr>
          <w:bCs/>
          <w:sz w:val="24"/>
        </w:rPr>
        <w:t>”</w:t>
      </w:r>
      <w:r w:rsidRPr="00334152">
        <w:rPr>
          <w:bCs/>
          <w:sz w:val="24"/>
        </w:rPr>
        <w:t xml:space="preserve"> </w:t>
      </w:r>
      <w:r w:rsidRPr="00334152">
        <w:rPr>
          <w:bCs/>
          <w:i/>
          <w:sz w:val="24"/>
        </w:rPr>
        <w:t>Journal of Financial Economics</w:t>
      </w:r>
      <w:r w:rsidR="0028785A">
        <w:rPr>
          <w:bCs/>
          <w:sz w:val="24"/>
        </w:rPr>
        <w:t xml:space="preserve"> </w:t>
      </w:r>
      <w:r w:rsidRPr="00334152">
        <w:rPr>
          <w:bCs/>
          <w:sz w:val="24"/>
        </w:rPr>
        <w:t xml:space="preserve">120, </w:t>
      </w:r>
      <w:r w:rsidR="0028785A">
        <w:rPr>
          <w:bCs/>
          <w:sz w:val="24"/>
        </w:rPr>
        <w:t xml:space="preserve">no. </w:t>
      </w:r>
      <w:r w:rsidRPr="00334152">
        <w:rPr>
          <w:bCs/>
          <w:sz w:val="24"/>
        </w:rPr>
        <w:t xml:space="preserve">2 </w:t>
      </w:r>
      <w:r w:rsidR="00F159BC">
        <w:rPr>
          <w:bCs/>
          <w:sz w:val="24"/>
        </w:rPr>
        <w:t>(2016):</w:t>
      </w:r>
      <w:r w:rsidRPr="00334152">
        <w:rPr>
          <w:bCs/>
          <w:sz w:val="24"/>
        </w:rPr>
        <w:t xml:space="preserve"> 346</w:t>
      </w:r>
      <w:r w:rsidR="00242643">
        <w:rPr>
          <w:bCs/>
          <w:sz w:val="24"/>
        </w:rPr>
        <w:t>–</w:t>
      </w:r>
      <w:r w:rsidRPr="00334152">
        <w:rPr>
          <w:bCs/>
          <w:sz w:val="24"/>
        </w:rPr>
        <w:t>362.</w:t>
      </w:r>
    </w:p>
    <w:bookmarkEnd w:id="3"/>
    <w:p w14:paraId="2283578A" w14:textId="0AD7577D" w:rsidR="008C02FA" w:rsidRDefault="008C02FA" w:rsidP="00CB63D5">
      <w:pPr>
        <w:spacing w:line="480" w:lineRule="auto"/>
        <w:ind w:left="720" w:hanging="720"/>
        <w:rPr>
          <w:sz w:val="24"/>
        </w:rPr>
      </w:pPr>
      <w:r>
        <w:rPr>
          <w:sz w:val="24"/>
        </w:rPr>
        <w:t>Goldsmith, R.W.</w:t>
      </w:r>
      <w:r w:rsidRPr="008C02FA">
        <w:rPr>
          <w:sz w:val="24"/>
        </w:rPr>
        <w:t xml:space="preserve"> </w:t>
      </w:r>
      <w:r w:rsidRPr="008C02FA">
        <w:rPr>
          <w:i/>
          <w:sz w:val="24"/>
        </w:rPr>
        <w:t>Financial Structure and Development</w:t>
      </w:r>
      <w:r>
        <w:rPr>
          <w:sz w:val="24"/>
        </w:rPr>
        <w:t>.</w:t>
      </w:r>
      <w:r w:rsidRPr="008C02FA">
        <w:rPr>
          <w:sz w:val="24"/>
        </w:rPr>
        <w:t xml:space="preserve"> New Haven, CT: Yale University Press</w:t>
      </w:r>
      <w:r>
        <w:rPr>
          <w:sz w:val="24"/>
        </w:rPr>
        <w:t>, 1969</w:t>
      </w:r>
      <w:r w:rsidRPr="008C02FA">
        <w:rPr>
          <w:sz w:val="24"/>
        </w:rPr>
        <w:t>.</w:t>
      </w:r>
    </w:p>
    <w:p w14:paraId="25554F26" w14:textId="23C21F01" w:rsidR="00C64529" w:rsidRPr="00905BEB" w:rsidRDefault="00C64529" w:rsidP="00CB63D5">
      <w:pPr>
        <w:spacing w:line="480" w:lineRule="auto"/>
        <w:ind w:left="720" w:hanging="720"/>
        <w:rPr>
          <w:sz w:val="24"/>
        </w:rPr>
      </w:pPr>
      <w:r w:rsidRPr="00905BEB">
        <w:rPr>
          <w:sz w:val="24"/>
        </w:rPr>
        <w:t xml:space="preserve">Gregory, T.E. </w:t>
      </w:r>
      <w:r w:rsidRPr="00905BEB">
        <w:rPr>
          <w:i/>
          <w:sz w:val="24"/>
        </w:rPr>
        <w:t>The Westminster Bank: Through A Century</w:t>
      </w:r>
      <w:r w:rsidR="00C70819" w:rsidRPr="00905BEB">
        <w:rPr>
          <w:i/>
          <w:sz w:val="24"/>
        </w:rPr>
        <w:t>, Volume II</w:t>
      </w:r>
      <w:r w:rsidR="0021382B">
        <w:rPr>
          <w:sz w:val="24"/>
        </w:rPr>
        <w:t>.</w:t>
      </w:r>
      <w:r w:rsidRPr="00905BEB">
        <w:rPr>
          <w:sz w:val="24"/>
        </w:rPr>
        <w:t xml:space="preserve"> London: Westminster Bank Limited</w:t>
      </w:r>
      <w:r w:rsidR="0021382B">
        <w:rPr>
          <w:sz w:val="24"/>
        </w:rPr>
        <w:t>, 1936</w:t>
      </w:r>
      <w:r w:rsidRPr="00905BEB">
        <w:rPr>
          <w:sz w:val="24"/>
        </w:rPr>
        <w:t>.</w:t>
      </w:r>
    </w:p>
    <w:p w14:paraId="54CA36DA" w14:textId="159A98BF" w:rsidR="007B7490" w:rsidRPr="00905BEB" w:rsidRDefault="007B7490" w:rsidP="00CB63D5">
      <w:pPr>
        <w:spacing w:line="480" w:lineRule="auto"/>
        <w:ind w:left="720" w:hanging="720"/>
        <w:rPr>
          <w:sz w:val="24"/>
          <w:lang w:val="en-US"/>
        </w:rPr>
      </w:pPr>
      <w:r w:rsidRPr="00905BEB">
        <w:rPr>
          <w:sz w:val="24"/>
        </w:rPr>
        <w:t xml:space="preserve">Grieves, K. </w:t>
      </w:r>
      <w:r w:rsidR="00471DDA">
        <w:rPr>
          <w:sz w:val="24"/>
        </w:rPr>
        <w:t>“</w:t>
      </w:r>
      <w:r w:rsidRPr="00905BEB">
        <w:rPr>
          <w:sz w:val="24"/>
        </w:rPr>
        <w:t>Mackay, James Lyle, first Lord Inchcape (1852-1932)</w:t>
      </w:r>
      <w:r w:rsidR="00AD1FF9">
        <w:rPr>
          <w:sz w:val="24"/>
        </w:rPr>
        <w:t>.</w:t>
      </w:r>
      <w:r w:rsidR="00471DDA">
        <w:rPr>
          <w:sz w:val="24"/>
        </w:rPr>
        <w:t>”</w:t>
      </w:r>
      <w:r w:rsidRPr="00905BEB">
        <w:rPr>
          <w:sz w:val="24"/>
        </w:rPr>
        <w:t xml:space="preserve"> </w:t>
      </w:r>
      <w:r w:rsidR="00AD1FF9">
        <w:rPr>
          <w:sz w:val="24"/>
        </w:rPr>
        <w:t>I</w:t>
      </w:r>
      <w:r w:rsidRPr="00905BEB">
        <w:rPr>
          <w:sz w:val="24"/>
        </w:rPr>
        <w:t xml:space="preserve">n </w:t>
      </w:r>
      <w:r w:rsidRPr="00905BEB">
        <w:rPr>
          <w:i/>
          <w:sz w:val="24"/>
        </w:rPr>
        <w:t>Oxford Dictionary of National Biography</w:t>
      </w:r>
      <w:r w:rsidRPr="00905BEB">
        <w:rPr>
          <w:sz w:val="24"/>
        </w:rPr>
        <w:t>, Oxford: Oxford University Press, online edition,</w:t>
      </w:r>
      <w:r w:rsidR="00AD1FF9">
        <w:rPr>
          <w:sz w:val="24"/>
        </w:rPr>
        <w:t xml:space="preserve"> 2008.</w:t>
      </w:r>
      <w:r w:rsidRPr="00905BEB">
        <w:rPr>
          <w:sz w:val="24"/>
        </w:rPr>
        <w:t xml:space="preserve"> </w:t>
      </w:r>
      <w:hyperlink r:id="rId9" w:history="1">
        <w:r w:rsidRPr="00905BEB">
          <w:rPr>
            <w:rStyle w:val="Hyperlink"/>
            <w:sz w:val="24"/>
          </w:rPr>
          <w:t>http://www.oxforddnb.com/view/article/34741</w:t>
        </w:r>
      </w:hyperlink>
      <w:r w:rsidRPr="00905BEB">
        <w:rPr>
          <w:sz w:val="24"/>
        </w:rPr>
        <w:t>, accessed 23 December 2016.</w:t>
      </w:r>
    </w:p>
    <w:p w14:paraId="6CA71F10" w14:textId="7FE747BA" w:rsidR="00702A67" w:rsidRPr="00905BEB" w:rsidRDefault="00702A67" w:rsidP="00CB63D5">
      <w:pPr>
        <w:spacing w:line="480" w:lineRule="auto"/>
        <w:ind w:left="720" w:hanging="720"/>
        <w:rPr>
          <w:sz w:val="24"/>
        </w:rPr>
      </w:pPr>
      <w:r w:rsidRPr="00905BEB">
        <w:rPr>
          <w:sz w:val="24"/>
        </w:rPr>
        <w:t xml:space="preserve">Grossman, R.S. </w:t>
      </w:r>
      <w:r w:rsidR="00471DDA">
        <w:rPr>
          <w:sz w:val="24"/>
        </w:rPr>
        <w:t>“</w:t>
      </w:r>
      <w:r w:rsidRPr="00905BEB">
        <w:rPr>
          <w:sz w:val="24"/>
        </w:rPr>
        <w:t>The Shoe That Didn’t Drop: Explaining Banking Stability During the Great Depression</w:t>
      </w:r>
      <w:r w:rsidR="00925DD8">
        <w:rPr>
          <w:sz w:val="24"/>
        </w:rPr>
        <w:t>.</w:t>
      </w:r>
      <w:r w:rsidR="00471DDA">
        <w:rPr>
          <w:sz w:val="24"/>
        </w:rPr>
        <w:t>”</w:t>
      </w:r>
      <w:r w:rsidRPr="00905BEB">
        <w:rPr>
          <w:sz w:val="24"/>
        </w:rPr>
        <w:t xml:space="preserve"> </w:t>
      </w:r>
      <w:r w:rsidRPr="00905BEB">
        <w:rPr>
          <w:i/>
          <w:sz w:val="24"/>
        </w:rPr>
        <w:t>Journal of Economic History</w:t>
      </w:r>
      <w:r w:rsidR="0028785A">
        <w:rPr>
          <w:sz w:val="24"/>
        </w:rPr>
        <w:t xml:space="preserve"> </w:t>
      </w:r>
      <w:r w:rsidRPr="00905BEB">
        <w:rPr>
          <w:sz w:val="24"/>
        </w:rPr>
        <w:t xml:space="preserve">54, </w:t>
      </w:r>
      <w:r w:rsidR="0028785A">
        <w:rPr>
          <w:sz w:val="24"/>
        </w:rPr>
        <w:t xml:space="preserve">no. </w:t>
      </w:r>
      <w:r w:rsidRPr="00905BEB">
        <w:rPr>
          <w:sz w:val="24"/>
        </w:rPr>
        <w:t xml:space="preserve">3 </w:t>
      </w:r>
      <w:r w:rsidR="00F159BC">
        <w:rPr>
          <w:sz w:val="24"/>
        </w:rPr>
        <w:t>(1994):</w:t>
      </w:r>
      <w:r w:rsidRPr="00905BEB">
        <w:rPr>
          <w:sz w:val="24"/>
        </w:rPr>
        <w:t xml:space="preserve"> 654</w:t>
      </w:r>
      <w:r w:rsidR="00242643">
        <w:rPr>
          <w:sz w:val="24"/>
        </w:rPr>
        <w:t>–</w:t>
      </w:r>
      <w:r w:rsidRPr="00905BEB">
        <w:rPr>
          <w:sz w:val="24"/>
        </w:rPr>
        <w:t>682.</w:t>
      </w:r>
    </w:p>
    <w:p w14:paraId="625F88CB" w14:textId="122D896F" w:rsidR="00E4339C" w:rsidRDefault="00E4339C" w:rsidP="00CB63D5">
      <w:pPr>
        <w:spacing w:line="480" w:lineRule="auto"/>
        <w:ind w:left="720" w:hanging="720"/>
        <w:rPr>
          <w:sz w:val="24"/>
        </w:rPr>
      </w:pPr>
      <w:r w:rsidRPr="00E4339C">
        <w:rPr>
          <w:sz w:val="24"/>
        </w:rPr>
        <w:lastRenderedPageBreak/>
        <w:t xml:space="preserve">Grossman, R.S. </w:t>
      </w:r>
      <w:r w:rsidR="00471DDA">
        <w:rPr>
          <w:sz w:val="24"/>
        </w:rPr>
        <w:t>“</w:t>
      </w:r>
      <w:r w:rsidRPr="00E4339C">
        <w:rPr>
          <w:sz w:val="24"/>
        </w:rPr>
        <w:t>Rearranging Deck Chairs on the Titanic: English Banking Concentration and Efficiency, 1870-1914</w:t>
      </w:r>
      <w:r w:rsidR="00925DD8">
        <w:rPr>
          <w:sz w:val="24"/>
        </w:rPr>
        <w:t>.</w:t>
      </w:r>
      <w:r w:rsidR="00471DDA">
        <w:rPr>
          <w:sz w:val="24"/>
        </w:rPr>
        <w:t>”</w:t>
      </w:r>
      <w:r w:rsidRPr="00E4339C">
        <w:rPr>
          <w:sz w:val="24"/>
        </w:rPr>
        <w:t xml:space="preserve"> </w:t>
      </w:r>
      <w:r w:rsidRPr="00E4339C">
        <w:rPr>
          <w:i/>
          <w:sz w:val="24"/>
        </w:rPr>
        <w:t>European Review of Economic History</w:t>
      </w:r>
      <w:r w:rsidR="0028785A">
        <w:rPr>
          <w:sz w:val="24"/>
        </w:rPr>
        <w:t xml:space="preserve"> </w:t>
      </w:r>
      <w:r w:rsidRPr="00E4339C">
        <w:rPr>
          <w:sz w:val="24"/>
        </w:rPr>
        <w:t xml:space="preserve">3, </w:t>
      </w:r>
      <w:r w:rsidR="0028785A">
        <w:rPr>
          <w:sz w:val="24"/>
        </w:rPr>
        <w:t xml:space="preserve">no. </w:t>
      </w:r>
      <w:r w:rsidRPr="00E4339C">
        <w:rPr>
          <w:sz w:val="24"/>
        </w:rPr>
        <w:t xml:space="preserve">3 </w:t>
      </w:r>
      <w:r w:rsidR="00F159BC">
        <w:rPr>
          <w:sz w:val="24"/>
        </w:rPr>
        <w:t>(1999):</w:t>
      </w:r>
      <w:r w:rsidRPr="00E4339C">
        <w:rPr>
          <w:sz w:val="24"/>
        </w:rPr>
        <w:t xml:space="preserve"> 323</w:t>
      </w:r>
      <w:r w:rsidR="00242643">
        <w:rPr>
          <w:sz w:val="24"/>
        </w:rPr>
        <w:t>–</w:t>
      </w:r>
      <w:r w:rsidRPr="00E4339C">
        <w:rPr>
          <w:sz w:val="24"/>
        </w:rPr>
        <w:t>349.</w:t>
      </w:r>
    </w:p>
    <w:p w14:paraId="060FC7D0" w14:textId="6D8197AC" w:rsidR="00702A67" w:rsidRPr="00905BEB" w:rsidRDefault="00702A67" w:rsidP="00CB63D5">
      <w:pPr>
        <w:spacing w:line="480" w:lineRule="auto"/>
        <w:ind w:left="720" w:hanging="720"/>
        <w:rPr>
          <w:sz w:val="24"/>
        </w:rPr>
      </w:pPr>
      <w:r w:rsidRPr="00905BEB">
        <w:rPr>
          <w:sz w:val="24"/>
        </w:rPr>
        <w:t xml:space="preserve">Grossman, R.S. </w:t>
      </w:r>
      <w:r w:rsidRPr="00905BEB">
        <w:rPr>
          <w:i/>
          <w:sz w:val="24"/>
        </w:rPr>
        <w:t>Unsettled Account: The Evolution of Banking in the Industrialized World since 1800</w:t>
      </w:r>
      <w:r w:rsidR="0021382B">
        <w:rPr>
          <w:sz w:val="24"/>
        </w:rPr>
        <w:t>.</w:t>
      </w:r>
      <w:r w:rsidRPr="00905BEB">
        <w:rPr>
          <w:sz w:val="24"/>
        </w:rPr>
        <w:t xml:space="preserve"> Princeton: Princeton University Press</w:t>
      </w:r>
      <w:r w:rsidR="0021382B">
        <w:rPr>
          <w:sz w:val="24"/>
        </w:rPr>
        <w:t>, 2010</w:t>
      </w:r>
      <w:r w:rsidRPr="00905BEB">
        <w:rPr>
          <w:sz w:val="24"/>
        </w:rPr>
        <w:t>.</w:t>
      </w:r>
    </w:p>
    <w:p w14:paraId="267137E7" w14:textId="7B02417E" w:rsidR="00077AFA" w:rsidRPr="00905BEB" w:rsidRDefault="00077AFA" w:rsidP="00CB63D5">
      <w:pPr>
        <w:spacing w:line="480" w:lineRule="auto"/>
        <w:ind w:left="720" w:hanging="720"/>
        <w:rPr>
          <w:sz w:val="24"/>
        </w:rPr>
      </w:pPr>
      <w:r w:rsidRPr="00905BEB">
        <w:rPr>
          <w:sz w:val="24"/>
        </w:rPr>
        <w:t>Grossman, R.S. and M. Imai</w:t>
      </w:r>
      <w:r w:rsidR="009679D1">
        <w:rPr>
          <w:sz w:val="24"/>
        </w:rPr>
        <w:t>.</w:t>
      </w:r>
      <w:r w:rsidRPr="00905BEB">
        <w:rPr>
          <w:sz w:val="24"/>
        </w:rPr>
        <w:t xml:space="preserve"> </w:t>
      </w:r>
      <w:r w:rsidR="00471DDA">
        <w:rPr>
          <w:sz w:val="24"/>
        </w:rPr>
        <w:t>“</w:t>
      </w:r>
      <w:r w:rsidRPr="00905BEB">
        <w:rPr>
          <w:sz w:val="24"/>
        </w:rPr>
        <w:t>Contingent Capital and Bank Risk-Taking among British Banks before the First World War</w:t>
      </w:r>
      <w:r w:rsidR="00925DD8">
        <w:rPr>
          <w:sz w:val="24"/>
        </w:rPr>
        <w:t>.</w:t>
      </w:r>
      <w:r w:rsidR="00471DDA">
        <w:rPr>
          <w:sz w:val="24"/>
        </w:rPr>
        <w:t>”</w:t>
      </w:r>
      <w:r w:rsidRPr="00905BEB">
        <w:rPr>
          <w:sz w:val="24"/>
        </w:rPr>
        <w:t xml:space="preserve"> </w:t>
      </w:r>
      <w:r w:rsidRPr="00905BEB">
        <w:rPr>
          <w:i/>
          <w:sz w:val="24"/>
        </w:rPr>
        <w:t>Economic History Review</w:t>
      </w:r>
      <w:r w:rsidR="0028785A">
        <w:rPr>
          <w:sz w:val="24"/>
        </w:rPr>
        <w:t xml:space="preserve"> </w:t>
      </w:r>
      <w:r w:rsidRPr="00905BEB">
        <w:rPr>
          <w:sz w:val="24"/>
        </w:rPr>
        <w:t xml:space="preserve">66, </w:t>
      </w:r>
      <w:r w:rsidR="0028785A">
        <w:rPr>
          <w:sz w:val="24"/>
        </w:rPr>
        <w:t xml:space="preserve">no. </w:t>
      </w:r>
      <w:r w:rsidRPr="00905BEB">
        <w:rPr>
          <w:sz w:val="24"/>
        </w:rPr>
        <w:t xml:space="preserve">1 </w:t>
      </w:r>
      <w:r w:rsidR="00F159BC">
        <w:rPr>
          <w:sz w:val="24"/>
        </w:rPr>
        <w:t>(2013):</w:t>
      </w:r>
      <w:r w:rsidRPr="00905BEB">
        <w:rPr>
          <w:sz w:val="24"/>
        </w:rPr>
        <w:t xml:space="preserve"> 132</w:t>
      </w:r>
      <w:r w:rsidR="00242643">
        <w:rPr>
          <w:sz w:val="24"/>
        </w:rPr>
        <w:t>–</w:t>
      </w:r>
      <w:r w:rsidRPr="00905BEB">
        <w:rPr>
          <w:sz w:val="24"/>
        </w:rPr>
        <w:t>155.</w:t>
      </w:r>
    </w:p>
    <w:p w14:paraId="5110767F" w14:textId="134A6C61" w:rsidR="00702A67" w:rsidRPr="00905BEB" w:rsidRDefault="00AE78D7" w:rsidP="00CB63D5">
      <w:pPr>
        <w:spacing w:line="480" w:lineRule="auto"/>
        <w:ind w:left="720" w:hanging="720"/>
        <w:rPr>
          <w:sz w:val="24"/>
        </w:rPr>
      </w:pPr>
      <w:r w:rsidRPr="00905BEB">
        <w:rPr>
          <w:sz w:val="24"/>
        </w:rPr>
        <w:t xml:space="preserve">Hannah, L. </w:t>
      </w:r>
      <w:r w:rsidRPr="00905BEB">
        <w:rPr>
          <w:i/>
          <w:sz w:val="24"/>
        </w:rPr>
        <w:t>The Rise of the Corporate Economy</w:t>
      </w:r>
      <w:r w:rsidR="0021382B">
        <w:rPr>
          <w:sz w:val="24"/>
        </w:rPr>
        <w:t>.</w:t>
      </w:r>
      <w:r w:rsidRPr="00905BEB">
        <w:rPr>
          <w:sz w:val="24"/>
        </w:rPr>
        <w:t xml:space="preserve"> </w:t>
      </w:r>
      <w:r w:rsidR="0021382B">
        <w:rPr>
          <w:sz w:val="24"/>
        </w:rPr>
        <w:t>S</w:t>
      </w:r>
      <w:r w:rsidRPr="00905BEB">
        <w:rPr>
          <w:sz w:val="24"/>
        </w:rPr>
        <w:t>econd edition, London: Methuen &amp; Co.</w:t>
      </w:r>
      <w:r w:rsidR="0021382B">
        <w:rPr>
          <w:sz w:val="24"/>
        </w:rPr>
        <w:t>, 1983</w:t>
      </w:r>
      <w:r w:rsidRPr="00905BEB">
        <w:rPr>
          <w:sz w:val="24"/>
        </w:rPr>
        <w:t>.</w:t>
      </w:r>
    </w:p>
    <w:p w14:paraId="7F9ED34E" w14:textId="6A212B62" w:rsidR="00E476D8" w:rsidRDefault="00E476D8" w:rsidP="00CB63D5">
      <w:pPr>
        <w:spacing w:line="480" w:lineRule="auto"/>
        <w:ind w:left="720" w:hanging="720"/>
        <w:rPr>
          <w:sz w:val="24"/>
        </w:rPr>
      </w:pPr>
      <w:r w:rsidRPr="00E476D8">
        <w:rPr>
          <w:sz w:val="24"/>
        </w:rPr>
        <w:t xml:space="preserve">Hannah, L. </w:t>
      </w:r>
      <w:r w:rsidR="00471DDA">
        <w:rPr>
          <w:sz w:val="24"/>
        </w:rPr>
        <w:t>“</w:t>
      </w:r>
      <w:r w:rsidRPr="00E476D8">
        <w:rPr>
          <w:sz w:val="24"/>
        </w:rPr>
        <w:t>Banks and Business Finance before 1914: A Comparative Evaluation</w:t>
      </w:r>
      <w:r w:rsidR="00AD1FF9">
        <w:rPr>
          <w:sz w:val="24"/>
        </w:rPr>
        <w:t>.</w:t>
      </w:r>
      <w:r w:rsidR="00471DDA">
        <w:rPr>
          <w:sz w:val="24"/>
        </w:rPr>
        <w:t>”</w:t>
      </w:r>
      <w:r w:rsidR="00AD1FF9">
        <w:rPr>
          <w:sz w:val="24"/>
        </w:rPr>
        <w:t xml:space="preserve"> I</w:t>
      </w:r>
      <w:r w:rsidRPr="00E476D8">
        <w:rPr>
          <w:sz w:val="24"/>
        </w:rPr>
        <w:t xml:space="preserve">n </w:t>
      </w:r>
      <w:r w:rsidRPr="00E476D8">
        <w:rPr>
          <w:i/>
          <w:sz w:val="24"/>
        </w:rPr>
        <w:t>People, Places and Business Cultures: Essays in Honour of Francesca Carnevali</w:t>
      </w:r>
      <w:r w:rsidRPr="00E476D8">
        <w:rPr>
          <w:sz w:val="24"/>
        </w:rPr>
        <w:t>,</w:t>
      </w:r>
      <w:r>
        <w:rPr>
          <w:sz w:val="24"/>
        </w:rPr>
        <w:t xml:space="preserve"> </w:t>
      </w:r>
      <w:r w:rsidR="00AD1FF9">
        <w:rPr>
          <w:sz w:val="24"/>
        </w:rPr>
        <w:t xml:space="preserve">edited by </w:t>
      </w:r>
      <w:r w:rsidR="006A794B">
        <w:rPr>
          <w:sz w:val="24"/>
        </w:rPr>
        <w:t>P.</w:t>
      </w:r>
      <w:r w:rsidR="003E1E28">
        <w:rPr>
          <w:sz w:val="24"/>
        </w:rPr>
        <w:t xml:space="preserve"> </w:t>
      </w:r>
      <w:r w:rsidR="00AD1FF9" w:rsidRPr="00E476D8">
        <w:rPr>
          <w:sz w:val="24"/>
        </w:rPr>
        <w:t xml:space="preserve">Di Martino, </w:t>
      </w:r>
      <w:r w:rsidR="00AD1FF9">
        <w:rPr>
          <w:sz w:val="24"/>
        </w:rPr>
        <w:t xml:space="preserve">A. </w:t>
      </w:r>
      <w:r w:rsidR="00AD1FF9" w:rsidRPr="00E476D8">
        <w:rPr>
          <w:sz w:val="24"/>
        </w:rPr>
        <w:t xml:space="preserve">Popp and </w:t>
      </w:r>
      <w:r w:rsidR="006A794B">
        <w:rPr>
          <w:sz w:val="24"/>
        </w:rPr>
        <w:t>P.</w:t>
      </w:r>
      <w:r w:rsidR="003E1E28">
        <w:rPr>
          <w:sz w:val="24"/>
        </w:rPr>
        <w:t xml:space="preserve"> </w:t>
      </w:r>
      <w:r w:rsidR="00AD1FF9" w:rsidRPr="00E476D8">
        <w:rPr>
          <w:sz w:val="24"/>
        </w:rPr>
        <w:t>Scott</w:t>
      </w:r>
      <w:r w:rsidR="00AD1FF9">
        <w:rPr>
          <w:sz w:val="24"/>
        </w:rPr>
        <w:t>,</w:t>
      </w:r>
      <w:r w:rsidR="00AD1FF9" w:rsidRPr="00E476D8">
        <w:rPr>
          <w:sz w:val="24"/>
        </w:rPr>
        <w:t xml:space="preserve"> </w:t>
      </w:r>
      <w:r w:rsidR="00AD1FF9">
        <w:rPr>
          <w:sz w:val="24"/>
        </w:rPr>
        <w:t>75</w:t>
      </w:r>
      <w:r w:rsidR="00242643">
        <w:rPr>
          <w:sz w:val="24"/>
        </w:rPr>
        <w:t>–</w:t>
      </w:r>
      <w:r w:rsidR="00AD1FF9">
        <w:rPr>
          <w:sz w:val="24"/>
        </w:rPr>
        <w:t xml:space="preserve">97. </w:t>
      </w:r>
      <w:r>
        <w:rPr>
          <w:sz w:val="24"/>
        </w:rPr>
        <w:t>Woodbridge: The Boydell Press</w:t>
      </w:r>
      <w:r w:rsidR="00AD1FF9">
        <w:rPr>
          <w:sz w:val="24"/>
        </w:rPr>
        <w:t>, 2017</w:t>
      </w:r>
      <w:r>
        <w:rPr>
          <w:sz w:val="24"/>
        </w:rPr>
        <w:t>.</w:t>
      </w:r>
    </w:p>
    <w:p w14:paraId="0B1D4A21" w14:textId="7AD0584A" w:rsidR="00C42679" w:rsidRDefault="00C42679" w:rsidP="00144542">
      <w:pPr>
        <w:spacing w:line="480" w:lineRule="auto"/>
        <w:ind w:left="720" w:hanging="720"/>
        <w:rPr>
          <w:sz w:val="24"/>
        </w:rPr>
      </w:pPr>
      <w:r w:rsidRPr="00C42679">
        <w:rPr>
          <w:sz w:val="24"/>
        </w:rPr>
        <w:t>Hennessy, E. A</w:t>
      </w:r>
      <w:r w:rsidR="0021382B">
        <w:rPr>
          <w:sz w:val="24"/>
        </w:rPr>
        <w:t>.</w:t>
      </w:r>
      <w:r w:rsidRPr="00C42679">
        <w:rPr>
          <w:sz w:val="24"/>
        </w:rPr>
        <w:t xml:space="preserve"> </w:t>
      </w:r>
      <w:r w:rsidRPr="00C42679">
        <w:rPr>
          <w:i/>
          <w:sz w:val="24"/>
        </w:rPr>
        <w:t>A Domestic History of the Bank of England 1930-1960</w:t>
      </w:r>
      <w:r w:rsidR="0021382B">
        <w:rPr>
          <w:sz w:val="24"/>
        </w:rPr>
        <w:t>.</w:t>
      </w:r>
      <w:r w:rsidRPr="00C42679">
        <w:rPr>
          <w:sz w:val="24"/>
        </w:rPr>
        <w:t xml:space="preserve"> Cambrid</w:t>
      </w:r>
      <w:r>
        <w:rPr>
          <w:sz w:val="24"/>
        </w:rPr>
        <w:t>ge: Cambridge University Press</w:t>
      </w:r>
      <w:r w:rsidR="0021382B">
        <w:rPr>
          <w:sz w:val="24"/>
        </w:rPr>
        <w:t>, 1992</w:t>
      </w:r>
      <w:r>
        <w:rPr>
          <w:sz w:val="24"/>
        </w:rPr>
        <w:t>.</w:t>
      </w:r>
    </w:p>
    <w:p w14:paraId="33F7E039" w14:textId="69243AA3" w:rsidR="00144542" w:rsidRDefault="000B468B" w:rsidP="00144542">
      <w:pPr>
        <w:spacing w:line="480" w:lineRule="auto"/>
        <w:ind w:left="720" w:hanging="720"/>
        <w:rPr>
          <w:lang w:eastAsia="en-US"/>
        </w:rPr>
      </w:pPr>
      <w:r w:rsidRPr="00144542">
        <w:rPr>
          <w:sz w:val="24"/>
          <w:szCs w:val="24"/>
        </w:rPr>
        <w:t xml:space="preserve">Ingham, Geoffrey K. </w:t>
      </w:r>
      <w:r w:rsidRPr="00144542">
        <w:rPr>
          <w:i/>
          <w:iCs/>
          <w:sz w:val="24"/>
          <w:szCs w:val="24"/>
        </w:rPr>
        <w:t>Capitalism Divided? The City and Industry in British Social Development</w:t>
      </w:r>
      <w:r w:rsidR="0021382B">
        <w:rPr>
          <w:sz w:val="24"/>
          <w:szCs w:val="24"/>
        </w:rPr>
        <w:t>.</w:t>
      </w:r>
      <w:r w:rsidRPr="003056BF">
        <w:rPr>
          <w:sz w:val="24"/>
          <w:szCs w:val="24"/>
        </w:rPr>
        <w:t xml:space="preserve"> London: Macmillan</w:t>
      </w:r>
      <w:r w:rsidR="0021382B">
        <w:rPr>
          <w:sz w:val="24"/>
          <w:szCs w:val="24"/>
        </w:rPr>
        <w:t>, 1984</w:t>
      </w:r>
      <w:r w:rsidRPr="003056BF">
        <w:rPr>
          <w:sz w:val="24"/>
          <w:szCs w:val="24"/>
        </w:rPr>
        <w:t>.</w:t>
      </w:r>
    </w:p>
    <w:p w14:paraId="7DB191F3" w14:textId="18019F3A" w:rsidR="00373804" w:rsidRPr="00905BEB" w:rsidRDefault="00E12512" w:rsidP="00144542">
      <w:pPr>
        <w:spacing w:line="480" w:lineRule="auto"/>
        <w:ind w:left="720" w:hanging="720"/>
        <w:rPr>
          <w:bCs/>
          <w:sz w:val="24"/>
        </w:rPr>
      </w:pPr>
      <w:r w:rsidRPr="00905BEB">
        <w:rPr>
          <w:sz w:val="24"/>
        </w:rPr>
        <w:t xml:space="preserve">Jones, G. </w:t>
      </w:r>
      <w:r w:rsidRPr="00905BEB">
        <w:rPr>
          <w:i/>
          <w:sz w:val="24"/>
        </w:rPr>
        <w:t>British Multinational Banking 1830-1990</w:t>
      </w:r>
      <w:r w:rsidR="0021382B">
        <w:rPr>
          <w:sz w:val="24"/>
        </w:rPr>
        <w:t>.</w:t>
      </w:r>
      <w:r w:rsidRPr="00905BEB">
        <w:rPr>
          <w:sz w:val="24"/>
        </w:rPr>
        <w:t xml:space="preserve"> Oxford: Oxford University Press</w:t>
      </w:r>
      <w:r w:rsidR="0021382B">
        <w:rPr>
          <w:sz w:val="24"/>
        </w:rPr>
        <w:t>, 1993</w:t>
      </w:r>
      <w:r w:rsidRPr="00905BEB">
        <w:rPr>
          <w:sz w:val="24"/>
        </w:rPr>
        <w:t>.</w:t>
      </w:r>
    </w:p>
    <w:p w14:paraId="20391FCD" w14:textId="4D9E3E0E" w:rsidR="0058573F" w:rsidRPr="00905BEB" w:rsidRDefault="0058573F" w:rsidP="00CB63D5">
      <w:pPr>
        <w:spacing w:line="480" w:lineRule="auto"/>
        <w:ind w:left="720" w:hanging="720"/>
        <w:rPr>
          <w:sz w:val="24"/>
        </w:rPr>
      </w:pPr>
      <w:r w:rsidRPr="00905BEB">
        <w:rPr>
          <w:sz w:val="24"/>
        </w:rPr>
        <w:t xml:space="preserve">Kynaston, D. </w:t>
      </w:r>
      <w:r w:rsidRPr="00905BEB">
        <w:rPr>
          <w:i/>
          <w:sz w:val="24"/>
        </w:rPr>
        <w:t>The City of London: Volume III, Illusions of Gold 1914-1945</w:t>
      </w:r>
      <w:r w:rsidR="0021382B">
        <w:rPr>
          <w:sz w:val="24"/>
        </w:rPr>
        <w:t>.</w:t>
      </w:r>
      <w:r w:rsidRPr="00905BEB">
        <w:rPr>
          <w:sz w:val="24"/>
        </w:rPr>
        <w:t xml:space="preserve"> London: Chatto and Windus</w:t>
      </w:r>
      <w:r w:rsidR="0021382B">
        <w:rPr>
          <w:sz w:val="24"/>
        </w:rPr>
        <w:t>, 1999</w:t>
      </w:r>
      <w:r w:rsidRPr="00905BEB">
        <w:rPr>
          <w:sz w:val="24"/>
        </w:rPr>
        <w:t>.</w:t>
      </w:r>
    </w:p>
    <w:p w14:paraId="4A85AD26" w14:textId="4A195363" w:rsidR="00C838A4" w:rsidRDefault="00C838A4" w:rsidP="00CB63D5">
      <w:pPr>
        <w:spacing w:line="480" w:lineRule="auto"/>
        <w:ind w:left="720" w:hanging="720"/>
        <w:rPr>
          <w:sz w:val="24"/>
        </w:rPr>
      </w:pPr>
      <w:r w:rsidRPr="00C838A4">
        <w:rPr>
          <w:sz w:val="24"/>
        </w:rPr>
        <w:t>Larson, M.J., K. Ward and J.F. Wilson</w:t>
      </w:r>
      <w:r w:rsidR="009679D1">
        <w:rPr>
          <w:sz w:val="24"/>
        </w:rPr>
        <w:t>.</w:t>
      </w:r>
      <w:r w:rsidRPr="00C838A4">
        <w:rPr>
          <w:sz w:val="24"/>
        </w:rPr>
        <w:t xml:space="preserve"> </w:t>
      </w:r>
      <w:r w:rsidR="00471DDA">
        <w:rPr>
          <w:sz w:val="24"/>
        </w:rPr>
        <w:t>“</w:t>
      </w:r>
      <w:r w:rsidRPr="00C838A4">
        <w:rPr>
          <w:sz w:val="24"/>
        </w:rPr>
        <w:t>Banking from Leeds, not London: Regional Strategy and Structure at the Yorkshire Bank, 1859-1952</w:t>
      </w:r>
      <w:r w:rsidR="00925DD8">
        <w:rPr>
          <w:sz w:val="24"/>
        </w:rPr>
        <w:t>.</w:t>
      </w:r>
      <w:r w:rsidR="00471DDA">
        <w:rPr>
          <w:sz w:val="24"/>
        </w:rPr>
        <w:t>”</w:t>
      </w:r>
      <w:r w:rsidRPr="00C838A4">
        <w:rPr>
          <w:sz w:val="24"/>
        </w:rPr>
        <w:t xml:space="preserve"> </w:t>
      </w:r>
      <w:r w:rsidRPr="00C838A4">
        <w:rPr>
          <w:i/>
          <w:sz w:val="24"/>
        </w:rPr>
        <w:t>Accounting, Business and Financial History</w:t>
      </w:r>
      <w:r w:rsidR="0028785A">
        <w:rPr>
          <w:sz w:val="24"/>
        </w:rPr>
        <w:t xml:space="preserve"> </w:t>
      </w:r>
      <w:r>
        <w:rPr>
          <w:sz w:val="24"/>
        </w:rPr>
        <w:t xml:space="preserve">20, </w:t>
      </w:r>
      <w:r w:rsidR="00F159BC">
        <w:rPr>
          <w:sz w:val="24"/>
        </w:rPr>
        <w:t>n</w:t>
      </w:r>
      <w:r>
        <w:rPr>
          <w:sz w:val="24"/>
        </w:rPr>
        <w:t>o.</w:t>
      </w:r>
      <w:r w:rsidR="00F159BC">
        <w:rPr>
          <w:sz w:val="24"/>
        </w:rPr>
        <w:t xml:space="preserve"> </w:t>
      </w:r>
      <w:r>
        <w:rPr>
          <w:sz w:val="24"/>
        </w:rPr>
        <w:t xml:space="preserve">2 </w:t>
      </w:r>
      <w:r w:rsidR="00F159BC">
        <w:rPr>
          <w:sz w:val="24"/>
        </w:rPr>
        <w:t>(</w:t>
      </w:r>
      <w:r w:rsidR="00FD2E7C">
        <w:rPr>
          <w:sz w:val="24"/>
        </w:rPr>
        <w:t>2010</w:t>
      </w:r>
      <w:r w:rsidR="00F159BC">
        <w:rPr>
          <w:sz w:val="24"/>
        </w:rPr>
        <w:t>):</w:t>
      </w:r>
      <w:r>
        <w:rPr>
          <w:sz w:val="24"/>
        </w:rPr>
        <w:t xml:space="preserve"> 117</w:t>
      </w:r>
      <w:r w:rsidR="00242643">
        <w:rPr>
          <w:sz w:val="24"/>
        </w:rPr>
        <w:t>–</w:t>
      </w:r>
      <w:r>
        <w:rPr>
          <w:sz w:val="24"/>
        </w:rPr>
        <w:t>133.</w:t>
      </w:r>
    </w:p>
    <w:p w14:paraId="47EF760A" w14:textId="22849630" w:rsidR="00821413" w:rsidRDefault="00821413" w:rsidP="00CB63D5">
      <w:pPr>
        <w:spacing w:line="480" w:lineRule="auto"/>
        <w:ind w:left="720" w:hanging="720"/>
        <w:rPr>
          <w:sz w:val="24"/>
        </w:rPr>
      </w:pPr>
      <w:r>
        <w:rPr>
          <w:sz w:val="24"/>
          <w:lang w:val="en-US"/>
        </w:rPr>
        <w:lastRenderedPageBreak/>
        <w:t>Lehmann, S.H.</w:t>
      </w:r>
      <w:r w:rsidRPr="00821413">
        <w:rPr>
          <w:sz w:val="24"/>
          <w:lang w:val="en-US"/>
        </w:rPr>
        <w:t xml:space="preserve"> </w:t>
      </w:r>
      <w:r>
        <w:rPr>
          <w:sz w:val="24"/>
          <w:lang w:val="en-US"/>
        </w:rPr>
        <w:t>“</w:t>
      </w:r>
      <w:r w:rsidRPr="00821413">
        <w:rPr>
          <w:sz w:val="24"/>
          <w:lang w:val="en-US"/>
        </w:rPr>
        <w:t>Taking Firms to the Stock Market: IPOs and the Importance of Large Banks in Imperial Germany, 1896-1913</w:t>
      </w:r>
      <w:r>
        <w:rPr>
          <w:sz w:val="24"/>
          <w:lang w:val="en-US"/>
        </w:rPr>
        <w:t>.”</w:t>
      </w:r>
      <w:r w:rsidRPr="00821413">
        <w:rPr>
          <w:i/>
          <w:sz w:val="24"/>
        </w:rPr>
        <w:t xml:space="preserve"> Economic History Review</w:t>
      </w:r>
      <w:r w:rsidRPr="00821413">
        <w:rPr>
          <w:sz w:val="24"/>
        </w:rPr>
        <w:t xml:space="preserve"> 67, </w:t>
      </w:r>
      <w:r>
        <w:rPr>
          <w:sz w:val="24"/>
        </w:rPr>
        <w:t>n</w:t>
      </w:r>
      <w:r w:rsidRPr="00821413">
        <w:rPr>
          <w:sz w:val="24"/>
        </w:rPr>
        <w:t>o. 1</w:t>
      </w:r>
      <w:r>
        <w:rPr>
          <w:sz w:val="24"/>
        </w:rPr>
        <w:t xml:space="preserve"> (2014):</w:t>
      </w:r>
      <w:r w:rsidRPr="00821413">
        <w:rPr>
          <w:sz w:val="24"/>
        </w:rPr>
        <w:t xml:space="preserve"> 92–122.</w:t>
      </w:r>
    </w:p>
    <w:p w14:paraId="0550750F" w14:textId="48903A2B" w:rsidR="004E405E" w:rsidRDefault="004E405E" w:rsidP="00CB63D5">
      <w:pPr>
        <w:spacing w:line="480" w:lineRule="auto"/>
        <w:ind w:left="720" w:hanging="720"/>
        <w:rPr>
          <w:sz w:val="24"/>
          <w:lang w:val="en-US"/>
        </w:rPr>
      </w:pPr>
      <w:r w:rsidRPr="004E405E">
        <w:rPr>
          <w:sz w:val="24"/>
        </w:rPr>
        <w:t xml:space="preserve">Levine, R. </w:t>
      </w:r>
      <w:r w:rsidR="00471DDA">
        <w:rPr>
          <w:sz w:val="24"/>
        </w:rPr>
        <w:t>“</w:t>
      </w:r>
      <w:r w:rsidRPr="004E405E">
        <w:rPr>
          <w:sz w:val="24"/>
        </w:rPr>
        <w:t>Financial Development and Economic Growth: Views and Agenda</w:t>
      </w:r>
      <w:r w:rsidR="00925DD8">
        <w:rPr>
          <w:sz w:val="24"/>
        </w:rPr>
        <w:t>.</w:t>
      </w:r>
      <w:r w:rsidR="00471DDA">
        <w:rPr>
          <w:sz w:val="24"/>
        </w:rPr>
        <w:t>”</w:t>
      </w:r>
      <w:r w:rsidRPr="004E405E">
        <w:rPr>
          <w:sz w:val="24"/>
          <w:lang w:val="en-US"/>
        </w:rPr>
        <w:t xml:space="preserve"> </w:t>
      </w:r>
      <w:r w:rsidRPr="004E405E">
        <w:rPr>
          <w:i/>
          <w:sz w:val="24"/>
          <w:lang w:val="en-US"/>
        </w:rPr>
        <w:t>Journal of Economic Literature</w:t>
      </w:r>
      <w:r w:rsidR="0028785A">
        <w:rPr>
          <w:sz w:val="24"/>
          <w:lang w:val="en-US"/>
        </w:rPr>
        <w:t xml:space="preserve"> </w:t>
      </w:r>
      <w:r w:rsidRPr="004E405E">
        <w:rPr>
          <w:sz w:val="24"/>
        </w:rPr>
        <w:t xml:space="preserve">35, </w:t>
      </w:r>
      <w:r w:rsidR="0028785A">
        <w:rPr>
          <w:sz w:val="24"/>
        </w:rPr>
        <w:t xml:space="preserve">no. </w:t>
      </w:r>
      <w:r w:rsidRPr="004E405E">
        <w:rPr>
          <w:sz w:val="24"/>
        </w:rPr>
        <w:t xml:space="preserve">2 </w:t>
      </w:r>
      <w:r w:rsidR="00F159BC">
        <w:rPr>
          <w:sz w:val="24"/>
        </w:rPr>
        <w:t>(</w:t>
      </w:r>
      <w:r w:rsidR="00FD2E7C">
        <w:rPr>
          <w:sz w:val="24"/>
        </w:rPr>
        <w:t>1997</w:t>
      </w:r>
      <w:r w:rsidR="00F159BC">
        <w:rPr>
          <w:sz w:val="24"/>
        </w:rPr>
        <w:t>):</w:t>
      </w:r>
      <w:r w:rsidRPr="004E405E">
        <w:rPr>
          <w:sz w:val="24"/>
        </w:rPr>
        <w:t xml:space="preserve"> 688</w:t>
      </w:r>
      <w:r w:rsidR="00242643">
        <w:rPr>
          <w:sz w:val="24"/>
        </w:rPr>
        <w:t>–</w:t>
      </w:r>
      <w:r w:rsidRPr="004E405E">
        <w:rPr>
          <w:sz w:val="24"/>
        </w:rPr>
        <w:t>726.</w:t>
      </w:r>
      <w:r w:rsidRPr="004E405E">
        <w:rPr>
          <w:sz w:val="24"/>
          <w:lang w:val="en-US"/>
        </w:rPr>
        <w:t xml:space="preserve"> </w:t>
      </w:r>
    </w:p>
    <w:p w14:paraId="7AA7634A" w14:textId="6DE7C2AB" w:rsidR="00B323C8" w:rsidRDefault="00B323C8" w:rsidP="00CB63D5">
      <w:pPr>
        <w:spacing w:line="480" w:lineRule="auto"/>
        <w:ind w:left="720" w:hanging="720"/>
        <w:rPr>
          <w:sz w:val="24"/>
          <w:lang w:val="en-US"/>
        </w:rPr>
      </w:pPr>
      <w:r w:rsidRPr="00B323C8">
        <w:rPr>
          <w:sz w:val="24"/>
        </w:rPr>
        <w:t xml:space="preserve">Levine, R. </w:t>
      </w:r>
      <w:r w:rsidR="00471DDA">
        <w:rPr>
          <w:sz w:val="24"/>
        </w:rPr>
        <w:t>“</w:t>
      </w:r>
      <w:r w:rsidRPr="00B323C8">
        <w:rPr>
          <w:sz w:val="24"/>
        </w:rPr>
        <w:t>Bank-Based or Market-Based Financial Systems: Which is Better?</w:t>
      </w:r>
      <w:r w:rsidR="00471DDA">
        <w:rPr>
          <w:sz w:val="24"/>
        </w:rPr>
        <w:t>”</w:t>
      </w:r>
      <w:r w:rsidRPr="00B323C8">
        <w:rPr>
          <w:sz w:val="24"/>
        </w:rPr>
        <w:t xml:space="preserve"> </w:t>
      </w:r>
      <w:r w:rsidRPr="00B323C8">
        <w:rPr>
          <w:i/>
          <w:sz w:val="24"/>
        </w:rPr>
        <w:t>Journal of Financial Intermediation</w:t>
      </w:r>
      <w:r w:rsidR="0028785A">
        <w:rPr>
          <w:sz w:val="24"/>
        </w:rPr>
        <w:t xml:space="preserve"> </w:t>
      </w:r>
      <w:r w:rsidRPr="00B323C8">
        <w:rPr>
          <w:sz w:val="24"/>
        </w:rPr>
        <w:t xml:space="preserve">11, </w:t>
      </w:r>
      <w:r w:rsidR="0028785A">
        <w:rPr>
          <w:sz w:val="24"/>
        </w:rPr>
        <w:t xml:space="preserve">no. </w:t>
      </w:r>
      <w:r w:rsidRPr="00B323C8">
        <w:rPr>
          <w:sz w:val="24"/>
        </w:rPr>
        <w:t xml:space="preserve">4 </w:t>
      </w:r>
      <w:r w:rsidR="00F159BC">
        <w:rPr>
          <w:sz w:val="24"/>
        </w:rPr>
        <w:t>(</w:t>
      </w:r>
      <w:r w:rsidR="00FD2E7C">
        <w:rPr>
          <w:sz w:val="24"/>
        </w:rPr>
        <w:t>2002</w:t>
      </w:r>
      <w:r w:rsidR="00F159BC">
        <w:rPr>
          <w:sz w:val="24"/>
        </w:rPr>
        <w:t>):</w:t>
      </w:r>
      <w:r w:rsidRPr="00B323C8">
        <w:rPr>
          <w:sz w:val="24"/>
        </w:rPr>
        <w:t xml:space="preserve"> 398</w:t>
      </w:r>
      <w:r w:rsidR="00242643">
        <w:rPr>
          <w:sz w:val="24"/>
        </w:rPr>
        <w:t>–</w:t>
      </w:r>
      <w:r w:rsidRPr="00B323C8">
        <w:rPr>
          <w:sz w:val="24"/>
        </w:rPr>
        <w:t>428.</w:t>
      </w:r>
    </w:p>
    <w:p w14:paraId="0298F97C" w14:textId="42B715C1" w:rsidR="004E405E" w:rsidRDefault="004E405E" w:rsidP="00CB63D5">
      <w:pPr>
        <w:spacing w:line="480" w:lineRule="auto"/>
        <w:ind w:left="720" w:hanging="720"/>
        <w:rPr>
          <w:sz w:val="24"/>
        </w:rPr>
      </w:pPr>
      <w:r w:rsidRPr="004E405E">
        <w:rPr>
          <w:sz w:val="24"/>
        </w:rPr>
        <w:t>Levine, R. and S. Zervos</w:t>
      </w:r>
      <w:r w:rsidR="009679D1">
        <w:rPr>
          <w:sz w:val="24"/>
        </w:rPr>
        <w:t>.</w:t>
      </w:r>
      <w:r w:rsidRPr="004E405E">
        <w:rPr>
          <w:sz w:val="24"/>
        </w:rPr>
        <w:t xml:space="preserve"> </w:t>
      </w:r>
      <w:r w:rsidR="00471DDA">
        <w:rPr>
          <w:sz w:val="24"/>
        </w:rPr>
        <w:t>“</w:t>
      </w:r>
      <w:r w:rsidRPr="004E405E">
        <w:rPr>
          <w:sz w:val="24"/>
        </w:rPr>
        <w:t>Stock Markets, Banks and Economic Growth</w:t>
      </w:r>
      <w:r w:rsidR="00925DD8">
        <w:rPr>
          <w:sz w:val="24"/>
        </w:rPr>
        <w:t>.</w:t>
      </w:r>
      <w:r w:rsidR="00471DDA">
        <w:rPr>
          <w:sz w:val="24"/>
        </w:rPr>
        <w:t>”</w:t>
      </w:r>
      <w:r w:rsidRPr="004E405E">
        <w:rPr>
          <w:sz w:val="24"/>
        </w:rPr>
        <w:t xml:space="preserve"> </w:t>
      </w:r>
      <w:r w:rsidRPr="004E405E">
        <w:rPr>
          <w:i/>
          <w:sz w:val="24"/>
        </w:rPr>
        <w:t>American Economic Review</w:t>
      </w:r>
      <w:r w:rsidR="0028785A">
        <w:rPr>
          <w:sz w:val="24"/>
        </w:rPr>
        <w:t xml:space="preserve"> </w:t>
      </w:r>
      <w:r w:rsidRPr="004E405E">
        <w:rPr>
          <w:sz w:val="24"/>
        </w:rPr>
        <w:t xml:space="preserve">88, </w:t>
      </w:r>
      <w:r w:rsidR="0028785A">
        <w:rPr>
          <w:sz w:val="24"/>
        </w:rPr>
        <w:t xml:space="preserve">no. </w:t>
      </w:r>
      <w:r w:rsidRPr="004E405E">
        <w:rPr>
          <w:sz w:val="24"/>
        </w:rPr>
        <w:t>3</w:t>
      </w:r>
      <w:r w:rsidR="00BB5704">
        <w:rPr>
          <w:sz w:val="24"/>
        </w:rPr>
        <w:t xml:space="preserve"> </w:t>
      </w:r>
      <w:r w:rsidR="00F159BC">
        <w:rPr>
          <w:sz w:val="24"/>
        </w:rPr>
        <w:t>(</w:t>
      </w:r>
      <w:r w:rsidR="00FD2E7C">
        <w:rPr>
          <w:sz w:val="24"/>
        </w:rPr>
        <w:t>1998</w:t>
      </w:r>
      <w:r w:rsidR="00F159BC">
        <w:rPr>
          <w:sz w:val="24"/>
        </w:rPr>
        <w:t>):</w:t>
      </w:r>
      <w:r w:rsidRPr="004E405E">
        <w:rPr>
          <w:sz w:val="24"/>
        </w:rPr>
        <w:t xml:space="preserve"> 537</w:t>
      </w:r>
      <w:r w:rsidR="00242643">
        <w:rPr>
          <w:sz w:val="24"/>
        </w:rPr>
        <w:t>–</w:t>
      </w:r>
      <w:r w:rsidRPr="004E405E">
        <w:rPr>
          <w:sz w:val="24"/>
        </w:rPr>
        <w:t>558.</w:t>
      </w:r>
    </w:p>
    <w:p w14:paraId="07B0FF4C" w14:textId="06DDF4E8" w:rsidR="00BE6E26" w:rsidRPr="00D93C34" w:rsidRDefault="00BE6E26" w:rsidP="00CB63D5">
      <w:pPr>
        <w:spacing w:line="480" w:lineRule="auto"/>
        <w:ind w:left="720" w:hanging="720"/>
        <w:rPr>
          <w:sz w:val="24"/>
          <w:szCs w:val="24"/>
          <w:lang w:val="en-US"/>
        </w:rPr>
      </w:pPr>
      <w:r w:rsidRPr="00D93C34">
        <w:rPr>
          <w:rFonts w:ascii="Times Roman" w:hAnsi="Times Roman" w:cs="Times Roman"/>
          <w:color w:val="000000"/>
          <w:sz w:val="24"/>
          <w:szCs w:val="24"/>
          <w:lang w:val="en-US"/>
        </w:rPr>
        <w:t>Moore, Christine. “The Bankers</w:t>
      </w:r>
      <w:r w:rsidR="00821413">
        <w:rPr>
          <w:rFonts w:ascii="Times Roman" w:hAnsi="Times Roman" w:cs="Times Roman"/>
          <w:color w:val="000000"/>
          <w:sz w:val="24"/>
          <w:szCs w:val="24"/>
          <w:lang w:val="en-US"/>
        </w:rPr>
        <w:t>’</w:t>
      </w:r>
      <w:r w:rsidRPr="00D93C34">
        <w:rPr>
          <w:rFonts w:ascii="Times Roman" w:hAnsi="Times Roman" w:cs="Times Roman"/>
          <w:color w:val="000000"/>
          <w:sz w:val="24"/>
          <w:szCs w:val="24"/>
          <w:lang w:val="en-US"/>
        </w:rPr>
        <w:t xml:space="preserve"> Almanac Register of Bank Name Changes &amp; Liquidations: Amalgamations, Absorptions, and Liquidations of International Banks since 1750.” The Bankers’ Almanac. </w:t>
      </w:r>
      <w:r w:rsidR="00821413">
        <w:rPr>
          <w:rFonts w:ascii="Times Roman" w:hAnsi="Times Roman" w:cs="Times Roman"/>
          <w:color w:val="000000"/>
          <w:sz w:val="24"/>
          <w:szCs w:val="24"/>
          <w:lang w:val="en-US"/>
        </w:rPr>
        <w:t xml:space="preserve">London: </w:t>
      </w:r>
      <w:r w:rsidRPr="00D93C34">
        <w:rPr>
          <w:rFonts w:ascii="Times Roman" w:hAnsi="Times Roman" w:cs="Times Roman"/>
          <w:color w:val="000000"/>
          <w:sz w:val="24"/>
          <w:szCs w:val="24"/>
          <w:lang w:val="en-US"/>
        </w:rPr>
        <w:t>Reed Information Services, 1992.</w:t>
      </w:r>
    </w:p>
    <w:p w14:paraId="0F53A146" w14:textId="4DBE9A77" w:rsidR="00102464" w:rsidRDefault="00102464" w:rsidP="00CB63D5">
      <w:pPr>
        <w:spacing w:line="480" w:lineRule="auto"/>
        <w:ind w:left="720" w:hanging="720"/>
        <w:rPr>
          <w:bCs/>
          <w:sz w:val="24"/>
        </w:rPr>
      </w:pPr>
      <w:r w:rsidRPr="00102464">
        <w:rPr>
          <w:bCs/>
          <w:sz w:val="24"/>
        </w:rPr>
        <w:t xml:space="preserve">Newton, L.A. </w:t>
      </w:r>
      <w:r w:rsidR="00471DDA">
        <w:rPr>
          <w:bCs/>
          <w:sz w:val="24"/>
        </w:rPr>
        <w:t>“</w:t>
      </w:r>
      <w:r w:rsidRPr="00102464">
        <w:rPr>
          <w:bCs/>
          <w:sz w:val="24"/>
        </w:rPr>
        <w:t>Regional Bank-Industry Relations during the Mid-Nineteenth Century: Links Between Bankers and Manufacturing in Sheffield, c. 1850 to c.1885</w:t>
      </w:r>
      <w:r w:rsidR="00925DD8">
        <w:rPr>
          <w:bCs/>
          <w:sz w:val="24"/>
        </w:rPr>
        <w:t>.</w:t>
      </w:r>
      <w:r w:rsidR="00471DDA">
        <w:rPr>
          <w:bCs/>
          <w:sz w:val="24"/>
        </w:rPr>
        <w:t>”</w:t>
      </w:r>
      <w:r w:rsidRPr="00102464">
        <w:rPr>
          <w:bCs/>
          <w:sz w:val="24"/>
        </w:rPr>
        <w:t xml:space="preserve"> </w:t>
      </w:r>
      <w:r w:rsidRPr="00102464">
        <w:rPr>
          <w:bCs/>
          <w:i/>
          <w:sz w:val="24"/>
        </w:rPr>
        <w:t>Business History</w:t>
      </w:r>
      <w:r w:rsidR="0028785A">
        <w:rPr>
          <w:bCs/>
          <w:sz w:val="24"/>
        </w:rPr>
        <w:t xml:space="preserve"> </w:t>
      </w:r>
      <w:r w:rsidRPr="00102464">
        <w:rPr>
          <w:bCs/>
          <w:sz w:val="24"/>
        </w:rPr>
        <w:t xml:space="preserve">38, </w:t>
      </w:r>
      <w:r w:rsidR="0028785A">
        <w:rPr>
          <w:bCs/>
          <w:sz w:val="24"/>
        </w:rPr>
        <w:t xml:space="preserve">no. </w:t>
      </w:r>
      <w:r w:rsidRPr="00102464">
        <w:rPr>
          <w:bCs/>
          <w:sz w:val="24"/>
        </w:rPr>
        <w:t>3</w:t>
      </w:r>
      <w:r w:rsidR="00BB5704">
        <w:rPr>
          <w:bCs/>
          <w:sz w:val="24"/>
        </w:rPr>
        <w:t xml:space="preserve"> </w:t>
      </w:r>
      <w:r w:rsidR="00F159BC">
        <w:rPr>
          <w:bCs/>
          <w:sz w:val="24"/>
        </w:rPr>
        <w:t>(</w:t>
      </w:r>
      <w:r w:rsidR="00FD2E7C">
        <w:rPr>
          <w:bCs/>
          <w:sz w:val="24"/>
        </w:rPr>
        <w:t>1996</w:t>
      </w:r>
      <w:r w:rsidR="00F159BC">
        <w:rPr>
          <w:bCs/>
          <w:sz w:val="24"/>
        </w:rPr>
        <w:t>):</w:t>
      </w:r>
      <w:r w:rsidRPr="00102464">
        <w:rPr>
          <w:bCs/>
          <w:sz w:val="24"/>
        </w:rPr>
        <w:t xml:space="preserve"> 64</w:t>
      </w:r>
      <w:r w:rsidR="00242643">
        <w:rPr>
          <w:bCs/>
          <w:sz w:val="24"/>
        </w:rPr>
        <w:t>–</w:t>
      </w:r>
      <w:r w:rsidRPr="00102464">
        <w:rPr>
          <w:bCs/>
          <w:sz w:val="24"/>
        </w:rPr>
        <w:t>83.</w:t>
      </w:r>
    </w:p>
    <w:p w14:paraId="165EC67C" w14:textId="43E336C4" w:rsidR="0058573F" w:rsidRPr="00905BEB" w:rsidRDefault="0058573F" w:rsidP="00CB63D5">
      <w:pPr>
        <w:spacing w:line="480" w:lineRule="auto"/>
        <w:ind w:left="720" w:hanging="720"/>
        <w:rPr>
          <w:sz w:val="24"/>
        </w:rPr>
      </w:pPr>
      <w:r w:rsidRPr="00905BEB">
        <w:rPr>
          <w:sz w:val="24"/>
        </w:rPr>
        <w:t>Newton, L.</w:t>
      </w:r>
      <w:r w:rsidR="004A70DE">
        <w:rPr>
          <w:sz w:val="24"/>
        </w:rPr>
        <w:t xml:space="preserve"> </w:t>
      </w:r>
      <w:r w:rsidR="00471DDA">
        <w:rPr>
          <w:sz w:val="24"/>
        </w:rPr>
        <w:t>“</w:t>
      </w:r>
      <w:r w:rsidRPr="00905BEB">
        <w:rPr>
          <w:sz w:val="24"/>
        </w:rPr>
        <w:t>Government, the Banks and Industry in Inter-war Britain</w:t>
      </w:r>
      <w:r w:rsidR="004A70DE">
        <w:rPr>
          <w:sz w:val="24"/>
        </w:rPr>
        <w:t>.</w:t>
      </w:r>
      <w:r w:rsidR="00471DDA">
        <w:rPr>
          <w:sz w:val="24"/>
        </w:rPr>
        <w:t>”</w:t>
      </w:r>
      <w:r w:rsidRPr="00905BEB">
        <w:rPr>
          <w:sz w:val="24"/>
        </w:rPr>
        <w:t xml:space="preserve"> </w:t>
      </w:r>
      <w:r w:rsidR="004A70DE">
        <w:rPr>
          <w:sz w:val="24"/>
        </w:rPr>
        <w:t>I</w:t>
      </w:r>
      <w:r w:rsidRPr="00905BEB">
        <w:rPr>
          <w:sz w:val="24"/>
        </w:rPr>
        <w:t xml:space="preserve">n </w:t>
      </w:r>
      <w:r w:rsidRPr="00905BEB">
        <w:rPr>
          <w:i/>
          <w:sz w:val="24"/>
        </w:rPr>
        <w:t>Business and Politics in Europe, 1900-1970: Essays in Honour of Alice Teichov</w:t>
      </w:r>
      <w:r w:rsidR="004A70DE">
        <w:rPr>
          <w:i/>
          <w:sz w:val="24"/>
        </w:rPr>
        <w:t>á</w:t>
      </w:r>
      <w:r w:rsidRPr="00905BEB">
        <w:rPr>
          <w:sz w:val="24"/>
        </w:rPr>
        <w:t xml:space="preserve">, </w:t>
      </w:r>
      <w:r w:rsidR="004A70DE">
        <w:rPr>
          <w:sz w:val="24"/>
        </w:rPr>
        <w:t xml:space="preserve">edited by </w:t>
      </w:r>
      <w:r w:rsidR="004A70DE" w:rsidRPr="00905BEB">
        <w:rPr>
          <w:sz w:val="24"/>
        </w:rPr>
        <w:t xml:space="preserve">T. </w:t>
      </w:r>
      <w:r w:rsidR="004A70DE">
        <w:rPr>
          <w:sz w:val="24"/>
        </w:rPr>
        <w:t>Gourvish, 145</w:t>
      </w:r>
      <w:r w:rsidR="00242643">
        <w:rPr>
          <w:sz w:val="24"/>
        </w:rPr>
        <w:t>–</w:t>
      </w:r>
      <w:r w:rsidR="004A70DE">
        <w:rPr>
          <w:sz w:val="24"/>
        </w:rPr>
        <w:t>168.</w:t>
      </w:r>
      <w:r w:rsidR="004A70DE" w:rsidRPr="00905BEB">
        <w:rPr>
          <w:sz w:val="24"/>
        </w:rPr>
        <w:t xml:space="preserve"> </w:t>
      </w:r>
      <w:r w:rsidRPr="00905BEB">
        <w:rPr>
          <w:sz w:val="24"/>
        </w:rPr>
        <w:t>Cambridge: Cambridge University Press</w:t>
      </w:r>
      <w:r w:rsidR="004A70DE">
        <w:rPr>
          <w:sz w:val="24"/>
        </w:rPr>
        <w:t>, 2003</w:t>
      </w:r>
      <w:r w:rsidRPr="00905BEB">
        <w:rPr>
          <w:sz w:val="24"/>
        </w:rPr>
        <w:t>.</w:t>
      </w:r>
    </w:p>
    <w:p w14:paraId="4CF14489" w14:textId="6D79957C" w:rsidR="00B422AA" w:rsidRPr="00B422AA" w:rsidRDefault="00B422AA" w:rsidP="00CB63D5">
      <w:pPr>
        <w:spacing w:line="480" w:lineRule="auto"/>
        <w:ind w:left="720" w:hanging="720"/>
        <w:rPr>
          <w:sz w:val="24"/>
        </w:rPr>
      </w:pPr>
      <w:r w:rsidRPr="00B77046">
        <w:rPr>
          <w:sz w:val="24"/>
        </w:rPr>
        <w:t xml:space="preserve">Newton, L. </w:t>
      </w:r>
      <w:r w:rsidR="00471DDA">
        <w:rPr>
          <w:sz w:val="24"/>
        </w:rPr>
        <w:t>“</w:t>
      </w:r>
      <w:r w:rsidRPr="00B77046">
        <w:rPr>
          <w:sz w:val="24"/>
        </w:rPr>
        <w:t>The Birth of Joint Stock Banking: England and New England Compared</w:t>
      </w:r>
      <w:r w:rsidR="00925DD8">
        <w:rPr>
          <w:sz w:val="24"/>
        </w:rPr>
        <w:t>.</w:t>
      </w:r>
      <w:r w:rsidR="00471DDA">
        <w:rPr>
          <w:sz w:val="24"/>
        </w:rPr>
        <w:t>”</w:t>
      </w:r>
      <w:r w:rsidRPr="00B77046">
        <w:rPr>
          <w:sz w:val="24"/>
        </w:rPr>
        <w:t xml:space="preserve"> </w:t>
      </w:r>
      <w:r w:rsidRPr="00B77046">
        <w:rPr>
          <w:i/>
          <w:sz w:val="24"/>
        </w:rPr>
        <w:t>Business History Review</w:t>
      </w:r>
      <w:r w:rsidR="0028785A">
        <w:rPr>
          <w:sz w:val="24"/>
        </w:rPr>
        <w:t xml:space="preserve"> </w:t>
      </w:r>
      <w:r w:rsidRPr="00B77046">
        <w:rPr>
          <w:sz w:val="24"/>
        </w:rPr>
        <w:t xml:space="preserve">84, </w:t>
      </w:r>
      <w:r w:rsidR="0028785A">
        <w:rPr>
          <w:sz w:val="24"/>
        </w:rPr>
        <w:t xml:space="preserve">no. </w:t>
      </w:r>
      <w:r w:rsidRPr="00B77046">
        <w:rPr>
          <w:sz w:val="24"/>
        </w:rPr>
        <w:t xml:space="preserve">1 </w:t>
      </w:r>
      <w:r w:rsidR="00F159BC">
        <w:rPr>
          <w:sz w:val="24"/>
        </w:rPr>
        <w:t>(</w:t>
      </w:r>
      <w:r w:rsidR="00FD2E7C">
        <w:rPr>
          <w:sz w:val="24"/>
        </w:rPr>
        <w:t>2010</w:t>
      </w:r>
      <w:r w:rsidR="00F159BC">
        <w:rPr>
          <w:sz w:val="24"/>
        </w:rPr>
        <w:t>):</w:t>
      </w:r>
      <w:r w:rsidRPr="00B77046">
        <w:rPr>
          <w:sz w:val="24"/>
        </w:rPr>
        <w:t xml:space="preserve"> 27</w:t>
      </w:r>
      <w:r w:rsidR="00242643">
        <w:rPr>
          <w:sz w:val="24"/>
        </w:rPr>
        <w:t>–</w:t>
      </w:r>
      <w:r w:rsidRPr="00B77046">
        <w:rPr>
          <w:sz w:val="24"/>
        </w:rPr>
        <w:t>52.</w:t>
      </w:r>
    </w:p>
    <w:p w14:paraId="4B1CD8AB" w14:textId="0FE7BAB9" w:rsidR="000B468B" w:rsidRPr="00144542" w:rsidRDefault="000B468B" w:rsidP="00144542">
      <w:pPr>
        <w:pStyle w:val="NormalWeb"/>
        <w:spacing w:before="0" w:beforeAutospacing="0" w:after="0" w:afterAutospacing="0" w:line="480" w:lineRule="auto"/>
        <w:ind w:left="480" w:hanging="480"/>
        <w:rPr>
          <w:sz w:val="24"/>
          <w:szCs w:val="24"/>
        </w:rPr>
      </w:pPr>
      <w:r w:rsidRPr="00144542">
        <w:rPr>
          <w:sz w:val="24"/>
          <w:szCs w:val="24"/>
        </w:rPr>
        <w:t>Nicholls, David</w:t>
      </w:r>
      <w:r w:rsidR="009679D1">
        <w:rPr>
          <w:sz w:val="24"/>
          <w:szCs w:val="24"/>
        </w:rPr>
        <w:t>.</w:t>
      </w:r>
      <w:r w:rsidRPr="00144542">
        <w:rPr>
          <w:sz w:val="24"/>
          <w:szCs w:val="24"/>
        </w:rPr>
        <w:t xml:space="preserve"> </w:t>
      </w:r>
      <w:r w:rsidR="00471DDA">
        <w:rPr>
          <w:sz w:val="24"/>
          <w:szCs w:val="24"/>
        </w:rPr>
        <w:t>“</w:t>
      </w:r>
      <w:r w:rsidRPr="00144542">
        <w:rPr>
          <w:sz w:val="24"/>
          <w:szCs w:val="24"/>
        </w:rPr>
        <w:t>Fractions of Capital: The Aristocracy, the City and Industry in the Development of Modern British Capitalism</w:t>
      </w:r>
      <w:r w:rsidR="00925DD8">
        <w:rPr>
          <w:sz w:val="24"/>
          <w:szCs w:val="24"/>
        </w:rPr>
        <w:t>.</w:t>
      </w:r>
      <w:r w:rsidR="00471DDA">
        <w:rPr>
          <w:sz w:val="24"/>
          <w:szCs w:val="24"/>
        </w:rPr>
        <w:t>”</w:t>
      </w:r>
      <w:r w:rsidRPr="00144542">
        <w:rPr>
          <w:sz w:val="24"/>
          <w:szCs w:val="24"/>
        </w:rPr>
        <w:t xml:space="preserve"> </w:t>
      </w:r>
      <w:r w:rsidRPr="00144542">
        <w:rPr>
          <w:i/>
          <w:iCs/>
          <w:sz w:val="24"/>
          <w:szCs w:val="24"/>
        </w:rPr>
        <w:t>Social History</w:t>
      </w:r>
      <w:r w:rsidR="0028785A">
        <w:rPr>
          <w:sz w:val="24"/>
          <w:szCs w:val="24"/>
        </w:rPr>
        <w:t xml:space="preserve"> </w:t>
      </w:r>
      <w:r w:rsidRPr="00144542">
        <w:rPr>
          <w:sz w:val="24"/>
          <w:szCs w:val="24"/>
        </w:rPr>
        <w:t xml:space="preserve">13, </w:t>
      </w:r>
      <w:r w:rsidR="0028785A">
        <w:rPr>
          <w:sz w:val="24"/>
          <w:szCs w:val="24"/>
        </w:rPr>
        <w:t xml:space="preserve">no. </w:t>
      </w:r>
      <w:r w:rsidRPr="00144542">
        <w:rPr>
          <w:sz w:val="24"/>
          <w:szCs w:val="24"/>
        </w:rPr>
        <w:t>1</w:t>
      </w:r>
      <w:r w:rsidR="00BB5704">
        <w:rPr>
          <w:sz w:val="24"/>
          <w:szCs w:val="24"/>
        </w:rPr>
        <w:t xml:space="preserve"> </w:t>
      </w:r>
      <w:r w:rsidR="00F159BC">
        <w:rPr>
          <w:sz w:val="24"/>
          <w:szCs w:val="24"/>
        </w:rPr>
        <w:t>(</w:t>
      </w:r>
      <w:r w:rsidR="00FD2E7C">
        <w:rPr>
          <w:sz w:val="24"/>
          <w:szCs w:val="24"/>
        </w:rPr>
        <w:t>19</w:t>
      </w:r>
      <w:r w:rsidR="00D93C34">
        <w:rPr>
          <w:sz w:val="24"/>
          <w:szCs w:val="24"/>
        </w:rPr>
        <w:t>8</w:t>
      </w:r>
      <w:r w:rsidR="00FD2E7C">
        <w:rPr>
          <w:sz w:val="24"/>
          <w:szCs w:val="24"/>
        </w:rPr>
        <w:t>8</w:t>
      </w:r>
      <w:r w:rsidR="00F159BC">
        <w:rPr>
          <w:sz w:val="24"/>
          <w:szCs w:val="24"/>
        </w:rPr>
        <w:t>):</w:t>
      </w:r>
      <w:r w:rsidRPr="00144542">
        <w:rPr>
          <w:sz w:val="24"/>
          <w:szCs w:val="24"/>
        </w:rPr>
        <w:t xml:space="preserve"> 71–83.</w:t>
      </w:r>
    </w:p>
    <w:p w14:paraId="647B7B4F" w14:textId="02C485D1" w:rsidR="000B468B" w:rsidRPr="00144542" w:rsidRDefault="00E4339C" w:rsidP="00144542">
      <w:pPr>
        <w:spacing w:line="480" w:lineRule="auto"/>
        <w:ind w:left="720" w:hanging="720"/>
        <w:rPr>
          <w:sz w:val="24"/>
          <w:szCs w:val="24"/>
          <w:lang w:val="en-US"/>
        </w:rPr>
      </w:pPr>
      <w:r w:rsidRPr="00E4339C">
        <w:rPr>
          <w:sz w:val="24"/>
        </w:rPr>
        <w:lastRenderedPageBreak/>
        <w:t xml:space="preserve">O’Sullivan, M.A. </w:t>
      </w:r>
      <w:r w:rsidRPr="00E4339C">
        <w:rPr>
          <w:i/>
          <w:sz w:val="24"/>
        </w:rPr>
        <w:t>Dividends of Development: Corporate America: Securities Markets in the History of US Capitalism, 1866-1922</w:t>
      </w:r>
      <w:r w:rsidR="0021382B">
        <w:rPr>
          <w:sz w:val="24"/>
        </w:rPr>
        <w:t>.</w:t>
      </w:r>
      <w:r w:rsidRPr="00E4339C">
        <w:rPr>
          <w:sz w:val="24"/>
        </w:rPr>
        <w:t xml:space="preserve"> </w:t>
      </w:r>
      <w:r w:rsidRPr="00E4339C">
        <w:rPr>
          <w:sz w:val="24"/>
          <w:lang w:val="en-US"/>
        </w:rPr>
        <w:t>O</w:t>
      </w:r>
      <w:r>
        <w:rPr>
          <w:sz w:val="24"/>
          <w:lang w:val="en-US"/>
        </w:rPr>
        <w:t xml:space="preserve">xford: Oxford </w:t>
      </w:r>
      <w:r w:rsidRPr="00144542">
        <w:rPr>
          <w:sz w:val="24"/>
          <w:szCs w:val="24"/>
          <w:lang w:val="en-US"/>
        </w:rPr>
        <w:t>University Press</w:t>
      </w:r>
      <w:r w:rsidR="0021382B">
        <w:rPr>
          <w:sz w:val="24"/>
          <w:szCs w:val="24"/>
          <w:lang w:val="en-US"/>
        </w:rPr>
        <w:t>, 2016</w:t>
      </w:r>
      <w:r w:rsidRPr="00144542">
        <w:rPr>
          <w:sz w:val="24"/>
          <w:szCs w:val="24"/>
          <w:lang w:val="en-US"/>
        </w:rPr>
        <w:t>.</w:t>
      </w:r>
    </w:p>
    <w:p w14:paraId="07A197CB" w14:textId="77777777" w:rsidR="00520785" w:rsidRDefault="00520785" w:rsidP="00520785">
      <w:pPr>
        <w:spacing w:line="480" w:lineRule="auto"/>
        <w:ind w:left="720" w:hanging="720"/>
        <w:rPr>
          <w:sz w:val="24"/>
        </w:rPr>
      </w:pPr>
      <w:r w:rsidRPr="00B422AA">
        <w:rPr>
          <w:sz w:val="24"/>
        </w:rPr>
        <w:t xml:space="preserve">Peden, G.C. </w:t>
      </w:r>
      <w:r w:rsidRPr="00B422AA">
        <w:rPr>
          <w:i/>
          <w:sz w:val="24"/>
        </w:rPr>
        <w:t>The Treasury and British Public Policy, 1906-1959</w:t>
      </w:r>
      <w:r>
        <w:rPr>
          <w:sz w:val="24"/>
        </w:rPr>
        <w:t>.</w:t>
      </w:r>
      <w:r w:rsidRPr="00B422AA">
        <w:rPr>
          <w:sz w:val="24"/>
        </w:rPr>
        <w:t xml:space="preserve"> Oxford: Oxford University Press</w:t>
      </w:r>
      <w:r>
        <w:rPr>
          <w:sz w:val="24"/>
        </w:rPr>
        <w:t>, 2000</w:t>
      </w:r>
      <w:r w:rsidRPr="00B422AA">
        <w:rPr>
          <w:sz w:val="24"/>
        </w:rPr>
        <w:t>.</w:t>
      </w:r>
    </w:p>
    <w:p w14:paraId="70367F9B" w14:textId="28F46C93" w:rsidR="000B468B" w:rsidRPr="00144542" w:rsidRDefault="000B468B" w:rsidP="00144542">
      <w:pPr>
        <w:pStyle w:val="NormalWeb"/>
        <w:spacing w:before="0" w:beforeAutospacing="0" w:after="0" w:afterAutospacing="0" w:line="480" w:lineRule="auto"/>
        <w:ind w:left="480" w:hanging="480"/>
        <w:rPr>
          <w:sz w:val="24"/>
          <w:szCs w:val="24"/>
        </w:rPr>
      </w:pPr>
      <w:r w:rsidRPr="00144542">
        <w:rPr>
          <w:sz w:val="24"/>
          <w:szCs w:val="24"/>
        </w:rPr>
        <w:t>Peters, John</w:t>
      </w:r>
      <w:r w:rsidR="009679D1">
        <w:rPr>
          <w:sz w:val="24"/>
          <w:szCs w:val="24"/>
        </w:rPr>
        <w:t>.</w:t>
      </w:r>
      <w:r w:rsidRPr="00144542">
        <w:rPr>
          <w:sz w:val="24"/>
          <w:szCs w:val="24"/>
        </w:rPr>
        <w:t xml:space="preserve"> </w:t>
      </w:r>
      <w:r w:rsidR="00471DDA">
        <w:rPr>
          <w:sz w:val="24"/>
          <w:szCs w:val="24"/>
        </w:rPr>
        <w:t>“</w:t>
      </w:r>
      <w:r w:rsidRPr="00144542">
        <w:rPr>
          <w:sz w:val="24"/>
          <w:szCs w:val="24"/>
        </w:rPr>
        <w:t>The British Government and the City-Industry Divide</w:t>
      </w:r>
      <w:r w:rsidR="00144542">
        <w:rPr>
          <w:sz w:val="24"/>
          <w:szCs w:val="24"/>
        </w:rPr>
        <w:t>:</w:t>
      </w:r>
      <w:r w:rsidRPr="00144542">
        <w:rPr>
          <w:sz w:val="24"/>
          <w:szCs w:val="24"/>
        </w:rPr>
        <w:t xml:space="preserve"> The Case of the 1914 Financial Crisis</w:t>
      </w:r>
      <w:r w:rsidR="00925DD8">
        <w:rPr>
          <w:sz w:val="24"/>
          <w:szCs w:val="24"/>
        </w:rPr>
        <w:t>.</w:t>
      </w:r>
      <w:r w:rsidR="00471DDA">
        <w:rPr>
          <w:sz w:val="24"/>
          <w:szCs w:val="24"/>
        </w:rPr>
        <w:t>”</w:t>
      </w:r>
      <w:r w:rsidRPr="00144542">
        <w:rPr>
          <w:sz w:val="24"/>
          <w:szCs w:val="24"/>
        </w:rPr>
        <w:t xml:space="preserve"> </w:t>
      </w:r>
      <w:r w:rsidRPr="00144542">
        <w:rPr>
          <w:i/>
          <w:iCs/>
          <w:sz w:val="24"/>
          <w:szCs w:val="24"/>
        </w:rPr>
        <w:t>Twentieth Century British History</w:t>
      </w:r>
      <w:r w:rsidR="0028785A">
        <w:rPr>
          <w:sz w:val="24"/>
          <w:szCs w:val="24"/>
        </w:rPr>
        <w:t xml:space="preserve"> </w:t>
      </w:r>
      <w:r w:rsidRPr="00144542">
        <w:rPr>
          <w:sz w:val="24"/>
          <w:szCs w:val="24"/>
        </w:rPr>
        <w:t xml:space="preserve">4, </w:t>
      </w:r>
      <w:r w:rsidR="0028785A">
        <w:rPr>
          <w:sz w:val="24"/>
          <w:szCs w:val="24"/>
        </w:rPr>
        <w:t xml:space="preserve">no. </w:t>
      </w:r>
      <w:r w:rsidRPr="00144542">
        <w:rPr>
          <w:sz w:val="24"/>
          <w:szCs w:val="24"/>
        </w:rPr>
        <w:t>2</w:t>
      </w:r>
      <w:r w:rsidR="00BB5704">
        <w:rPr>
          <w:sz w:val="24"/>
          <w:szCs w:val="24"/>
        </w:rPr>
        <w:t xml:space="preserve"> </w:t>
      </w:r>
      <w:r w:rsidR="00F159BC">
        <w:rPr>
          <w:sz w:val="24"/>
          <w:szCs w:val="24"/>
        </w:rPr>
        <w:t>(</w:t>
      </w:r>
      <w:r w:rsidR="00FD2E7C">
        <w:rPr>
          <w:sz w:val="24"/>
          <w:szCs w:val="24"/>
        </w:rPr>
        <w:t>1993</w:t>
      </w:r>
      <w:r w:rsidR="00F159BC">
        <w:rPr>
          <w:sz w:val="24"/>
          <w:szCs w:val="24"/>
        </w:rPr>
        <w:t>):</w:t>
      </w:r>
      <w:r w:rsidRPr="00144542">
        <w:rPr>
          <w:sz w:val="24"/>
          <w:szCs w:val="24"/>
        </w:rPr>
        <w:t xml:space="preserve"> 126–</w:t>
      </w:r>
      <w:r w:rsidR="00144542">
        <w:rPr>
          <w:sz w:val="24"/>
          <w:szCs w:val="24"/>
        </w:rPr>
        <w:t>1</w:t>
      </w:r>
      <w:r w:rsidRPr="00144542">
        <w:rPr>
          <w:sz w:val="24"/>
          <w:szCs w:val="24"/>
        </w:rPr>
        <w:t>48.</w:t>
      </w:r>
    </w:p>
    <w:p w14:paraId="796F0E18" w14:textId="4E103E34" w:rsidR="00A838FA" w:rsidRPr="00A838FA" w:rsidRDefault="00A838FA" w:rsidP="00CB63D5">
      <w:pPr>
        <w:spacing w:line="480" w:lineRule="auto"/>
        <w:ind w:left="720" w:hanging="720"/>
        <w:rPr>
          <w:sz w:val="24"/>
          <w:lang w:val="en-US"/>
        </w:rPr>
      </w:pPr>
      <w:r w:rsidRPr="00A838FA">
        <w:rPr>
          <w:sz w:val="24"/>
        </w:rPr>
        <w:t>Rajan, R.G. and L. Zingales</w:t>
      </w:r>
      <w:r w:rsidR="009679D1">
        <w:rPr>
          <w:sz w:val="24"/>
        </w:rPr>
        <w:t>.</w:t>
      </w:r>
      <w:r w:rsidRPr="00A838FA">
        <w:rPr>
          <w:sz w:val="24"/>
          <w:lang w:val="en-US"/>
        </w:rPr>
        <w:t xml:space="preserve"> </w:t>
      </w:r>
      <w:r w:rsidR="00471DDA">
        <w:rPr>
          <w:sz w:val="24"/>
          <w:lang w:val="en-US"/>
        </w:rPr>
        <w:t>“</w:t>
      </w:r>
      <w:r w:rsidRPr="00A838FA">
        <w:rPr>
          <w:sz w:val="24"/>
          <w:lang w:val="en-US"/>
        </w:rPr>
        <w:t>Financial Dependence and Growth</w:t>
      </w:r>
      <w:r w:rsidR="00925DD8">
        <w:rPr>
          <w:sz w:val="24"/>
          <w:lang w:val="en-US"/>
        </w:rPr>
        <w:t>.</w:t>
      </w:r>
      <w:r w:rsidR="00471DDA">
        <w:rPr>
          <w:sz w:val="24"/>
          <w:lang w:val="en-US"/>
        </w:rPr>
        <w:t>”</w:t>
      </w:r>
      <w:r w:rsidRPr="00A838FA">
        <w:rPr>
          <w:sz w:val="24"/>
          <w:lang w:val="en-US"/>
        </w:rPr>
        <w:t xml:space="preserve"> </w:t>
      </w:r>
      <w:r w:rsidRPr="00A838FA">
        <w:rPr>
          <w:i/>
          <w:sz w:val="24"/>
          <w:lang w:val="en-US"/>
        </w:rPr>
        <w:t>American Economic Review</w:t>
      </w:r>
      <w:r w:rsidR="0028785A">
        <w:rPr>
          <w:sz w:val="24"/>
          <w:lang w:val="en-US"/>
        </w:rPr>
        <w:t xml:space="preserve"> </w:t>
      </w:r>
      <w:r w:rsidRPr="00A838FA">
        <w:rPr>
          <w:sz w:val="24"/>
          <w:lang w:val="en-US"/>
        </w:rPr>
        <w:t xml:space="preserve">88, </w:t>
      </w:r>
      <w:r w:rsidR="0028785A">
        <w:rPr>
          <w:sz w:val="24"/>
          <w:lang w:val="en-US"/>
        </w:rPr>
        <w:t xml:space="preserve">no. </w:t>
      </w:r>
      <w:r w:rsidRPr="00A838FA">
        <w:rPr>
          <w:sz w:val="24"/>
          <w:lang w:val="en-US"/>
        </w:rPr>
        <w:t xml:space="preserve">3 </w:t>
      </w:r>
      <w:r w:rsidR="00F159BC">
        <w:rPr>
          <w:sz w:val="24"/>
          <w:lang w:val="en-US"/>
        </w:rPr>
        <w:t>(</w:t>
      </w:r>
      <w:r w:rsidR="00FD2E7C">
        <w:rPr>
          <w:sz w:val="24"/>
          <w:lang w:val="en-US"/>
        </w:rPr>
        <w:t>1998</w:t>
      </w:r>
      <w:r w:rsidR="00F159BC">
        <w:rPr>
          <w:sz w:val="24"/>
          <w:lang w:val="en-US"/>
        </w:rPr>
        <w:t>):</w:t>
      </w:r>
      <w:r w:rsidRPr="00A838FA">
        <w:rPr>
          <w:sz w:val="24"/>
          <w:lang w:val="en-US"/>
        </w:rPr>
        <w:t xml:space="preserve"> 559</w:t>
      </w:r>
      <w:r w:rsidR="00242643">
        <w:rPr>
          <w:sz w:val="24"/>
          <w:lang w:val="en-US"/>
        </w:rPr>
        <w:t>–</w:t>
      </w:r>
      <w:r w:rsidRPr="00A838FA">
        <w:rPr>
          <w:sz w:val="24"/>
          <w:lang w:val="en-US"/>
        </w:rPr>
        <w:t>586.</w:t>
      </w:r>
    </w:p>
    <w:p w14:paraId="347CB691" w14:textId="1A10CD02" w:rsidR="00470016" w:rsidRDefault="00B422AA" w:rsidP="00CB63D5">
      <w:pPr>
        <w:spacing w:line="480" w:lineRule="auto"/>
        <w:ind w:left="720" w:hanging="720"/>
        <w:rPr>
          <w:sz w:val="24"/>
        </w:rPr>
      </w:pPr>
      <w:r w:rsidRPr="00B422AA">
        <w:rPr>
          <w:sz w:val="24"/>
        </w:rPr>
        <w:t xml:space="preserve">Ross, D.M. </w:t>
      </w:r>
      <w:r w:rsidR="00471DDA">
        <w:rPr>
          <w:sz w:val="24"/>
        </w:rPr>
        <w:t>“</w:t>
      </w:r>
      <w:r w:rsidRPr="00B422AA">
        <w:rPr>
          <w:sz w:val="24"/>
        </w:rPr>
        <w:t>The Clearing Banks and Industry – New Perspectives on the Inter-war Years</w:t>
      </w:r>
      <w:r w:rsidR="004A70DE">
        <w:rPr>
          <w:sz w:val="24"/>
        </w:rPr>
        <w:t>.</w:t>
      </w:r>
      <w:r w:rsidR="00471DDA">
        <w:rPr>
          <w:sz w:val="24"/>
        </w:rPr>
        <w:t>”</w:t>
      </w:r>
      <w:r w:rsidRPr="00B422AA">
        <w:rPr>
          <w:sz w:val="24"/>
        </w:rPr>
        <w:t xml:space="preserve"> </w:t>
      </w:r>
      <w:r w:rsidR="004A70DE">
        <w:rPr>
          <w:sz w:val="24"/>
        </w:rPr>
        <w:t>I</w:t>
      </w:r>
      <w:r w:rsidRPr="00B422AA">
        <w:rPr>
          <w:sz w:val="24"/>
        </w:rPr>
        <w:t xml:space="preserve">n </w:t>
      </w:r>
      <w:r w:rsidRPr="00B422AA">
        <w:rPr>
          <w:i/>
          <w:sz w:val="24"/>
        </w:rPr>
        <w:t>Capitalism in a Mature Economy: Financial Institutions, Capital Exports and British Industry, 1870-1939</w:t>
      </w:r>
      <w:r w:rsidRPr="00B422AA">
        <w:rPr>
          <w:sz w:val="24"/>
        </w:rPr>
        <w:t xml:space="preserve">, </w:t>
      </w:r>
      <w:r w:rsidR="004A70DE">
        <w:rPr>
          <w:sz w:val="24"/>
        </w:rPr>
        <w:t xml:space="preserve">edited by </w:t>
      </w:r>
      <w:r w:rsidR="004A70DE" w:rsidRPr="00B422AA">
        <w:rPr>
          <w:sz w:val="24"/>
        </w:rPr>
        <w:t>J.J. van Helten and Y. Cassis</w:t>
      </w:r>
      <w:r w:rsidR="004A70DE">
        <w:rPr>
          <w:sz w:val="24"/>
        </w:rPr>
        <w:t>, 52</w:t>
      </w:r>
      <w:r w:rsidR="00242643">
        <w:rPr>
          <w:sz w:val="24"/>
        </w:rPr>
        <w:t>–</w:t>
      </w:r>
      <w:r w:rsidR="004A70DE">
        <w:rPr>
          <w:sz w:val="24"/>
        </w:rPr>
        <w:t>70.</w:t>
      </w:r>
      <w:r w:rsidR="004A70DE" w:rsidRPr="00B422AA">
        <w:rPr>
          <w:sz w:val="24"/>
        </w:rPr>
        <w:t xml:space="preserve"> </w:t>
      </w:r>
      <w:r w:rsidRPr="00B422AA">
        <w:rPr>
          <w:sz w:val="24"/>
        </w:rPr>
        <w:t>Aldershot: Edward Elgar</w:t>
      </w:r>
      <w:r w:rsidR="004A70DE">
        <w:rPr>
          <w:sz w:val="24"/>
        </w:rPr>
        <w:t>, 1990</w:t>
      </w:r>
      <w:r w:rsidRPr="00B422AA">
        <w:rPr>
          <w:sz w:val="24"/>
        </w:rPr>
        <w:t>.</w:t>
      </w:r>
    </w:p>
    <w:p w14:paraId="2F74984B" w14:textId="3C9D797F" w:rsidR="00B422AA" w:rsidRPr="00B422AA" w:rsidRDefault="00B422AA" w:rsidP="00CB63D5">
      <w:pPr>
        <w:spacing w:line="480" w:lineRule="auto"/>
        <w:ind w:left="720" w:hanging="720"/>
        <w:rPr>
          <w:sz w:val="24"/>
        </w:rPr>
      </w:pPr>
      <w:r w:rsidRPr="00B422AA">
        <w:rPr>
          <w:sz w:val="24"/>
        </w:rPr>
        <w:t xml:space="preserve">Ross, D.M. </w:t>
      </w:r>
      <w:r w:rsidR="00471DDA">
        <w:rPr>
          <w:sz w:val="24"/>
        </w:rPr>
        <w:t>“</w:t>
      </w:r>
      <w:r w:rsidRPr="00B422AA">
        <w:rPr>
          <w:sz w:val="24"/>
        </w:rPr>
        <w:t>Commercial Banking in a Market-oriented Financial System: Britain Between the Wars</w:t>
      </w:r>
      <w:r w:rsidR="00925DD8">
        <w:rPr>
          <w:sz w:val="24"/>
        </w:rPr>
        <w:t>.</w:t>
      </w:r>
      <w:r w:rsidR="00471DDA">
        <w:rPr>
          <w:sz w:val="24"/>
        </w:rPr>
        <w:t>”</w:t>
      </w:r>
      <w:r w:rsidRPr="00B422AA">
        <w:rPr>
          <w:sz w:val="24"/>
        </w:rPr>
        <w:t xml:space="preserve"> </w:t>
      </w:r>
      <w:r w:rsidRPr="00B422AA">
        <w:rPr>
          <w:i/>
          <w:sz w:val="24"/>
        </w:rPr>
        <w:t>Economic History Review</w:t>
      </w:r>
      <w:r w:rsidR="0028785A">
        <w:rPr>
          <w:sz w:val="24"/>
        </w:rPr>
        <w:t xml:space="preserve"> </w:t>
      </w:r>
      <w:r w:rsidRPr="00B422AA">
        <w:rPr>
          <w:sz w:val="24"/>
        </w:rPr>
        <w:t xml:space="preserve">44, </w:t>
      </w:r>
      <w:r w:rsidR="00FD2E7C">
        <w:rPr>
          <w:sz w:val="24"/>
        </w:rPr>
        <w:t>n</w:t>
      </w:r>
      <w:r w:rsidRPr="00B422AA">
        <w:rPr>
          <w:sz w:val="24"/>
        </w:rPr>
        <w:t>o.</w:t>
      </w:r>
      <w:r w:rsidR="00FD2E7C">
        <w:rPr>
          <w:sz w:val="24"/>
        </w:rPr>
        <w:t xml:space="preserve"> </w:t>
      </w:r>
      <w:r w:rsidRPr="00B422AA">
        <w:rPr>
          <w:sz w:val="24"/>
        </w:rPr>
        <w:t>2</w:t>
      </w:r>
      <w:r w:rsidR="00BB5704">
        <w:rPr>
          <w:sz w:val="24"/>
        </w:rPr>
        <w:t xml:space="preserve"> </w:t>
      </w:r>
      <w:r w:rsidR="00F159BC">
        <w:rPr>
          <w:sz w:val="24"/>
        </w:rPr>
        <w:t>(</w:t>
      </w:r>
      <w:r w:rsidR="00FD2E7C">
        <w:rPr>
          <w:sz w:val="24"/>
        </w:rPr>
        <w:t>1996</w:t>
      </w:r>
      <w:r w:rsidR="00F159BC">
        <w:rPr>
          <w:sz w:val="24"/>
        </w:rPr>
        <w:t>):</w:t>
      </w:r>
      <w:r w:rsidRPr="00B422AA">
        <w:rPr>
          <w:sz w:val="24"/>
        </w:rPr>
        <w:t xml:space="preserve"> 314</w:t>
      </w:r>
      <w:r w:rsidR="00242643">
        <w:rPr>
          <w:sz w:val="24"/>
        </w:rPr>
        <w:t>–</w:t>
      </w:r>
      <w:r w:rsidR="00FD2E7C">
        <w:rPr>
          <w:sz w:val="24"/>
        </w:rPr>
        <w:t>3</w:t>
      </w:r>
      <w:r w:rsidRPr="00B422AA">
        <w:rPr>
          <w:sz w:val="24"/>
        </w:rPr>
        <w:t>35.</w:t>
      </w:r>
    </w:p>
    <w:p w14:paraId="270330E4" w14:textId="51CFCA5F" w:rsidR="00165C41" w:rsidRPr="00905BEB" w:rsidRDefault="00165C41" w:rsidP="00CB63D5">
      <w:pPr>
        <w:spacing w:line="480" w:lineRule="auto"/>
        <w:ind w:left="720" w:hanging="720"/>
        <w:rPr>
          <w:sz w:val="24"/>
        </w:rPr>
      </w:pPr>
      <w:bookmarkStart w:id="4" w:name="_Hlk507937929"/>
      <w:r w:rsidRPr="00905BEB">
        <w:rPr>
          <w:sz w:val="24"/>
        </w:rPr>
        <w:t xml:space="preserve">Sayers, R.S. </w:t>
      </w:r>
      <w:r w:rsidRPr="00905BEB">
        <w:rPr>
          <w:i/>
          <w:sz w:val="24"/>
        </w:rPr>
        <w:t>Lloyds Bank in the History of English Banking</w:t>
      </w:r>
      <w:r w:rsidR="0021382B">
        <w:rPr>
          <w:sz w:val="24"/>
        </w:rPr>
        <w:t>.</w:t>
      </w:r>
      <w:r w:rsidRPr="00905BEB">
        <w:rPr>
          <w:sz w:val="24"/>
        </w:rPr>
        <w:t xml:space="preserve"> London: Oxford University Press</w:t>
      </w:r>
      <w:r w:rsidR="0021382B">
        <w:rPr>
          <w:sz w:val="24"/>
        </w:rPr>
        <w:t>, 1957</w:t>
      </w:r>
      <w:r w:rsidRPr="00905BEB">
        <w:rPr>
          <w:sz w:val="24"/>
        </w:rPr>
        <w:t>.</w:t>
      </w:r>
    </w:p>
    <w:bookmarkEnd w:id="4"/>
    <w:p w14:paraId="407764C8" w14:textId="767CC8F5" w:rsidR="0058573F" w:rsidRPr="00905BEB" w:rsidRDefault="0058573F" w:rsidP="00CB63D5">
      <w:pPr>
        <w:spacing w:line="480" w:lineRule="auto"/>
        <w:ind w:left="720" w:hanging="720"/>
        <w:rPr>
          <w:sz w:val="24"/>
        </w:rPr>
      </w:pPr>
      <w:r w:rsidRPr="00905BEB">
        <w:rPr>
          <w:sz w:val="24"/>
        </w:rPr>
        <w:t xml:space="preserve">Sayers, R.S. </w:t>
      </w:r>
      <w:r w:rsidRPr="00905BEB">
        <w:rPr>
          <w:i/>
          <w:sz w:val="24"/>
        </w:rPr>
        <w:t>The Bank of England 1891-1944</w:t>
      </w:r>
      <w:r w:rsidR="0021382B">
        <w:rPr>
          <w:sz w:val="24"/>
        </w:rPr>
        <w:t>.</w:t>
      </w:r>
      <w:r w:rsidRPr="00905BEB">
        <w:rPr>
          <w:sz w:val="24"/>
        </w:rPr>
        <w:t xml:space="preserve"> 3 volumes, Cambridge: Cambridge University Press</w:t>
      </w:r>
      <w:r w:rsidR="0021382B">
        <w:rPr>
          <w:sz w:val="24"/>
        </w:rPr>
        <w:t>, 1976</w:t>
      </w:r>
      <w:r w:rsidRPr="00905BEB">
        <w:rPr>
          <w:sz w:val="24"/>
        </w:rPr>
        <w:t>.</w:t>
      </w:r>
    </w:p>
    <w:p w14:paraId="3F623136" w14:textId="4BF6332A" w:rsidR="00545ED7" w:rsidRPr="00905BEB" w:rsidRDefault="00545ED7" w:rsidP="00CB63D5">
      <w:pPr>
        <w:spacing w:line="480" w:lineRule="auto"/>
        <w:ind w:left="720" w:hanging="720"/>
        <w:rPr>
          <w:sz w:val="24"/>
        </w:rPr>
      </w:pPr>
      <w:r w:rsidRPr="00905BEB">
        <w:rPr>
          <w:sz w:val="24"/>
        </w:rPr>
        <w:t xml:space="preserve">Scott, </w:t>
      </w:r>
      <w:r w:rsidR="006A794B">
        <w:rPr>
          <w:sz w:val="24"/>
        </w:rPr>
        <w:t>P.</w:t>
      </w:r>
      <w:r w:rsidR="003E1E28">
        <w:rPr>
          <w:sz w:val="24"/>
        </w:rPr>
        <w:t xml:space="preserve"> </w:t>
      </w:r>
      <w:r w:rsidRPr="00905BEB">
        <w:rPr>
          <w:sz w:val="24"/>
        </w:rPr>
        <w:t>and L. Newton</w:t>
      </w:r>
      <w:r w:rsidR="009679D1">
        <w:rPr>
          <w:sz w:val="24"/>
        </w:rPr>
        <w:t>.</w:t>
      </w:r>
      <w:r w:rsidRPr="00905BEB">
        <w:rPr>
          <w:sz w:val="24"/>
        </w:rPr>
        <w:t xml:space="preserve"> </w:t>
      </w:r>
      <w:r w:rsidR="00471DDA">
        <w:rPr>
          <w:sz w:val="24"/>
        </w:rPr>
        <w:t>“</w:t>
      </w:r>
      <w:r w:rsidRPr="00905BEB">
        <w:rPr>
          <w:sz w:val="24"/>
        </w:rPr>
        <w:t>Jealous Monopolists? British Banks and Responses to the Macmillan Gap during the 1930s</w:t>
      </w:r>
      <w:r w:rsidR="00925DD8">
        <w:rPr>
          <w:sz w:val="24"/>
        </w:rPr>
        <w:t>.</w:t>
      </w:r>
      <w:r w:rsidR="00471DDA">
        <w:rPr>
          <w:sz w:val="24"/>
        </w:rPr>
        <w:t>”</w:t>
      </w:r>
      <w:r w:rsidRPr="00905BEB">
        <w:rPr>
          <w:sz w:val="24"/>
        </w:rPr>
        <w:t xml:space="preserve"> </w:t>
      </w:r>
      <w:r w:rsidRPr="00905BEB">
        <w:rPr>
          <w:i/>
          <w:sz w:val="24"/>
        </w:rPr>
        <w:t>Enterprise and Society</w:t>
      </w:r>
      <w:r w:rsidR="0028785A">
        <w:rPr>
          <w:sz w:val="24"/>
        </w:rPr>
        <w:t xml:space="preserve"> </w:t>
      </w:r>
      <w:r w:rsidRPr="00905BEB">
        <w:rPr>
          <w:sz w:val="24"/>
        </w:rPr>
        <w:t xml:space="preserve">8, </w:t>
      </w:r>
      <w:r w:rsidR="0028785A">
        <w:rPr>
          <w:sz w:val="24"/>
        </w:rPr>
        <w:t xml:space="preserve">no. </w:t>
      </w:r>
      <w:r w:rsidRPr="00905BEB">
        <w:rPr>
          <w:sz w:val="24"/>
        </w:rPr>
        <w:t xml:space="preserve">4 </w:t>
      </w:r>
      <w:r w:rsidR="00F159BC">
        <w:rPr>
          <w:sz w:val="24"/>
        </w:rPr>
        <w:t>(</w:t>
      </w:r>
      <w:r w:rsidR="00FD2E7C">
        <w:rPr>
          <w:sz w:val="24"/>
        </w:rPr>
        <w:t>2007</w:t>
      </w:r>
      <w:r w:rsidR="00F159BC">
        <w:rPr>
          <w:sz w:val="24"/>
        </w:rPr>
        <w:t>):</w:t>
      </w:r>
      <w:r w:rsidRPr="00905BEB">
        <w:rPr>
          <w:sz w:val="24"/>
        </w:rPr>
        <w:t xml:space="preserve"> 881</w:t>
      </w:r>
      <w:r w:rsidR="00242643">
        <w:rPr>
          <w:sz w:val="24"/>
        </w:rPr>
        <w:t>–</w:t>
      </w:r>
      <w:r w:rsidRPr="00905BEB">
        <w:rPr>
          <w:sz w:val="24"/>
        </w:rPr>
        <w:t>919.</w:t>
      </w:r>
    </w:p>
    <w:p w14:paraId="3506B551" w14:textId="3BB4C10F" w:rsidR="00702A67" w:rsidRPr="00905BEB" w:rsidRDefault="00702A67" w:rsidP="00CB63D5">
      <w:pPr>
        <w:spacing w:line="480" w:lineRule="auto"/>
        <w:ind w:left="720" w:hanging="720"/>
        <w:rPr>
          <w:sz w:val="24"/>
        </w:rPr>
      </w:pPr>
      <w:r w:rsidRPr="00905BEB">
        <w:rPr>
          <w:sz w:val="24"/>
        </w:rPr>
        <w:t xml:space="preserve">Sykes J. </w:t>
      </w:r>
      <w:r w:rsidRPr="00905BEB">
        <w:rPr>
          <w:i/>
          <w:sz w:val="24"/>
        </w:rPr>
        <w:t>The Amalgamation Movement in English Banking, 1825-1924</w:t>
      </w:r>
      <w:r w:rsidR="0021382B">
        <w:rPr>
          <w:sz w:val="24"/>
        </w:rPr>
        <w:t>.</w:t>
      </w:r>
      <w:r w:rsidRPr="00905BEB">
        <w:rPr>
          <w:sz w:val="24"/>
        </w:rPr>
        <w:t xml:space="preserve"> London: P.S. King and Son</w:t>
      </w:r>
      <w:r w:rsidR="0021382B">
        <w:rPr>
          <w:sz w:val="24"/>
        </w:rPr>
        <w:t>, 1926</w:t>
      </w:r>
      <w:r w:rsidRPr="00905BEB">
        <w:rPr>
          <w:sz w:val="24"/>
        </w:rPr>
        <w:t>.</w:t>
      </w:r>
    </w:p>
    <w:p w14:paraId="082B2327" w14:textId="3340CF67" w:rsidR="00077AFA" w:rsidRPr="00905BEB" w:rsidRDefault="00077AFA" w:rsidP="00CB63D5">
      <w:pPr>
        <w:spacing w:line="480" w:lineRule="auto"/>
        <w:ind w:left="720" w:hanging="720"/>
        <w:rPr>
          <w:sz w:val="24"/>
        </w:rPr>
      </w:pPr>
      <w:r w:rsidRPr="00905BEB">
        <w:rPr>
          <w:sz w:val="24"/>
        </w:rPr>
        <w:lastRenderedPageBreak/>
        <w:t xml:space="preserve">Tomlinson, J. </w:t>
      </w:r>
      <w:r w:rsidR="00471DDA">
        <w:rPr>
          <w:sz w:val="24"/>
        </w:rPr>
        <w:t>“</w:t>
      </w:r>
      <w:r w:rsidRPr="00905BEB">
        <w:rPr>
          <w:sz w:val="24"/>
        </w:rPr>
        <w:t>Thrice Denied: “Declinism” as a Recurrent Theme in British History in the Long Twentieth Century</w:t>
      </w:r>
      <w:r w:rsidR="00925DD8">
        <w:rPr>
          <w:sz w:val="24"/>
        </w:rPr>
        <w:t>.</w:t>
      </w:r>
      <w:r w:rsidR="00471DDA">
        <w:rPr>
          <w:sz w:val="24"/>
        </w:rPr>
        <w:t>”</w:t>
      </w:r>
      <w:r w:rsidRPr="00905BEB">
        <w:rPr>
          <w:sz w:val="24"/>
        </w:rPr>
        <w:t xml:space="preserve"> </w:t>
      </w:r>
      <w:r w:rsidRPr="00905BEB">
        <w:rPr>
          <w:i/>
          <w:sz w:val="24"/>
        </w:rPr>
        <w:t>Twentieth Century British History</w:t>
      </w:r>
      <w:r w:rsidR="0028785A">
        <w:rPr>
          <w:sz w:val="24"/>
        </w:rPr>
        <w:t xml:space="preserve"> </w:t>
      </w:r>
      <w:r w:rsidRPr="00905BEB">
        <w:rPr>
          <w:sz w:val="24"/>
        </w:rPr>
        <w:t xml:space="preserve">20, </w:t>
      </w:r>
      <w:r w:rsidR="0028785A">
        <w:rPr>
          <w:sz w:val="24"/>
        </w:rPr>
        <w:t xml:space="preserve">no. </w:t>
      </w:r>
      <w:r w:rsidRPr="00905BEB">
        <w:rPr>
          <w:sz w:val="24"/>
        </w:rPr>
        <w:t xml:space="preserve">2 </w:t>
      </w:r>
      <w:r w:rsidR="00F159BC">
        <w:rPr>
          <w:sz w:val="24"/>
        </w:rPr>
        <w:t>(</w:t>
      </w:r>
      <w:r w:rsidR="00FD2E7C">
        <w:rPr>
          <w:sz w:val="24"/>
        </w:rPr>
        <w:t>2009</w:t>
      </w:r>
      <w:r w:rsidR="00F159BC">
        <w:rPr>
          <w:sz w:val="24"/>
        </w:rPr>
        <w:t>):</w:t>
      </w:r>
      <w:r w:rsidRPr="00905BEB">
        <w:rPr>
          <w:sz w:val="24"/>
        </w:rPr>
        <w:t xml:space="preserve"> 227</w:t>
      </w:r>
      <w:r w:rsidR="00242643">
        <w:rPr>
          <w:sz w:val="24"/>
        </w:rPr>
        <w:t>–</w:t>
      </w:r>
      <w:r w:rsidRPr="00905BEB">
        <w:rPr>
          <w:sz w:val="24"/>
        </w:rPr>
        <w:t>251.</w:t>
      </w:r>
    </w:p>
    <w:p w14:paraId="79F03C32" w14:textId="48511EB6" w:rsidR="00A24EF2" w:rsidRPr="00905BEB" w:rsidRDefault="0028294D" w:rsidP="00CB63D5">
      <w:pPr>
        <w:spacing w:line="480" w:lineRule="auto"/>
        <w:ind w:left="720" w:hanging="720"/>
        <w:rPr>
          <w:sz w:val="24"/>
          <w:lang w:val="en-US"/>
        </w:rPr>
      </w:pPr>
      <w:r w:rsidRPr="00905BEB">
        <w:rPr>
          <w:sz w:val="24"/>
        </w:rPr>
        <w:t>Treasury Committee on Bank Amalgamations</w:t>
      </w:r>
      <w:r w:rsidR="0021382B">
        <w:rPr>
          <w:sz w:val="24"/>
        </w:rPr>
        <w:t>.</w:t>
      </w:r>
      <w:r w:rsidRPr="00905BEB">
        <w:rPr>
          <w:sz w:val="24"/>
        </w:rPr>
        <w:t xml:space="preserve"> </w:t>
      </w:r>
      <w:r w:rsidRPr="00905BEB">
        <w:rPr>
          <w:i/>
          <w:sz w:val="24"/>
        </w:rPr>
        <w:t>Report</w:t>
      </w:r>
      <w:r w:rsidR="0021382B">
        <w:rPr>
          <w:sz w:val="24"/>
        </w:rPr>
        <w:t>.</w:t>
      </w:r>
      <w:r w:rsidRPr="00905BEB">
        <w:rPr>
          <w:sz w:val="24"/>
        </w:rPr>
        <w:t xml:space="preserve"> Cmnd. 9052, Parliamentary Papers, London: His Majesty’s Stationery Office</w:t>
      </w:r>
      <w:r w:rsidR="0021382B">
        <w:rPr>
          <w:sz w:val="24"/>
        </w:rPr>
        <w:t>, 1918</w:t>
      </w:r>
      <w:r w:rsidRPr="00905BEB">
        <w:rPr>
          <w:sz w:val="24"/>
        </w:rPr>
        <w:t>.</w:t>
      </w:r>
    </w:p>
    <w:p w14:paraId="104250BD" w14:textId="1C71B846" w:rsidR="00077AFA" w:rsidRPr="00905BEB" w:rsidRDefault="00077AFA" w:rsidP="00CB63D5">
      <w:pPr>
        <w:spacing w:line="480" w:lineRule="auto"/>
        <w:ind w:left="720" w:hanging="720"/>
        <w:rPr>
          <w:sz w:val="24"/>
          <w:lang w:val="en-US"/>
        </w:rPr>
      </w:pPr>
      <w:r w:rsidRPr="00905BEB">
        <w:rPr>
          <w:sz w:val="24"/>
          <w:lang w:val="en-US"/>
        </w:rPr>
        <w:t xml:space="preserve">Turner, J.D. </w:t>
      </w:r>
      <w:r w:rsidRPr="00905BEB">
        <w:rPr>
          <w:i/>
          <w:sz w:val="24"/>
          <w:lang w:val="en-US"/>
        </w:rPr>
        <w:t>Banking in Crisis: The Rise and Fall of British Banking Stability, 1800 to the Present</w:t>
      </w:r>
      <w:r w:rsidR="0021382B">
        <w:rPr>
          <w:sz w:val="24"/>
          <w:lang w:val="en-US"/>
        </w:rPr>
        <w:t>.</w:t>
      </w:r>
      <w:r w:rsidRPr="00905BEB">
        <w:rPr>
          <w:sz w:val="24"/>
          <w:lang w:val="en-US"/>
        </w:rPr>
        <w:t xml:space="preserve"> Cambridge: Cambridge University Press</w:t>
      </w:r>
      <w:r w:rsidR="0021382B">
        <w:rPr>
          <w:sz w:val="24"/>
          <w:lang w:val="en-US"/>
        </w:rPr>
        <w:t>. 2014</w:t>
      </w:r>
      <w:r w:rsidRPr="00905BEB">
        <w:rPr>
          <w:sz w:val="24"/>
          <w:lang w:val="en-US"/>
        </w:rPr>
        <w:t>.</w:t>
      </w:r>
    </w:p>
    <w:p w14:paraId="5B201ED4" w14:textId="13D1CFFC" w:rsidR="008D34D2" w:rsidRDefault="008D34D2" w:rsidP="00CB63D5">
      <w:pPr>
        <w:spacing w:line="480" w:lineRule="auto"/>
        <w:ind w:left="720" w:hanging="720"/>
        <w:rPr>
          <w:bCs/>
          <w:sz w:val="24"/>
        </w:rPr>
      </w:pPr>
      <w:r w:rsidRPr="008D34D2">
        <w:rPr>
          <w:bCs/>
          <w:sz w:val="24"/>
        </w:rPr>
        <w:t>Valickova, P., T. Havranek and R. Horvath</w:t>
      </w:r>
      <w:r w:rsidR="009679D1">
        <w:rPr>
          <w:bCs/>
          <w:sz w:val="24"/>
        </w:rPr>
        <w:t>.</w:t>
      </w:r>
      <w:r w:rsidRPr="008D34D2">
        <w:rPr>
          <w:bCs/>
          <w:sz w:val="24"/>
        </w:rPr>
        <w:t xml:space="preserve"> </w:t>
      </w:r>
      <w:r w:rsidR="00471DDA">
        <w:rPr>
          <w:bCs/>
          <w:sz w:val="24"/>
        </w:rPr>
        <w:t>“</w:t>
      </w:r>
      <w:r w:rsidRPr="008D34D2">
        <w:rPr>
          <w:bCs/>
          <w:sz w:val="24"/>
        </w:rPr>
        <w:t>Financial Development and Economic Growth: A Meta-Analysis</w:t>
      </w:r>
      <w:r w:rsidR="00925DD8">
        <w:rPr>
          <w:bCs/>
          <w:sz w:val="24"/>
        </w:rPr>
        <w:t>.</w:t>
      </w:r>
      <w:r w:rsidR="00471DDA">
        <w:rPr>
          <w:bCs/>
          <w:sz w:val="24"/>
        </w:rPr>
        <w:t>”</w:t>
      </w:r>
      <w:r w:rsidRPr="008D34D2">
        <w:rPr>
          <w:bCs/>
          <w:sz w:val="24"/>
          <w:lang w:val="en-US"/>
        </w:rPr>
        <w:t xml:space="preserve"> </w:t>
      </w:r>
      <w:r w:rsidRPr="008D34D2">
        <w:rPr>
          <w:bCs/>
          <w:i/>
          <w:sz w:val="24"/>
          <w:lang w:val="en-US"/>
        </w:rPr>
        <w:t>Journal of Economic Surveys</w:t>
      </w:r>
      <w:r w:rsidR="0028785A">
        <w:rPr>
          <w:bCs/>
          <w:sz w:val="24"/>
          <w:lang w:val="en-US"/>
        </w:rPr>
        <w:t xml:space="preserve"> </w:t>
      </w:r>
      <w:r w:rsidRPr="008D34D2">
        <w:rPr>
          <w:bCs/>
          <w:sz w:val="24"/>
          <w:lang w:val="en-US"/>
        </w:rPr>
        <w:t xml:space="preserve">29, </w:t>
      </w:r>
      <w:r w:rsidR="0028785A">
        <w:rPr>
          <w:bCs/>
          <w:sz w:val="24"/>
          <w:lang w:val="en-US"/>
        </w:rPr>
        <w:t xml:space="preserve">no. </w:t>
      </w:r>
      <w:r w:rsidRPr="008D34D2">
        <w:rPr>
          <w:bCs/>
          <w:sz w:val="24"/>
          <w:lang w:val="en-US"/>
        </w:rPr>
        <w:t xml:space="preserve">3 </w:t>
      </w:r>
      <w:r w:rsidR="00F159BC">
        <w:rPr>
          <w:bCs/>
          <w:sz w:val="24"/>
          <w:lang w:val="en-US"/>
        </w:rPr>
        <w:t>(</w:t>
      </w:r>
      <w:r w:rsidR="00FD2E7C">
        <w:rPr>
          <w:bCs/>
          <w:sz w:val="24"/>
          <w:lang w:val="en-US"/>
        </w:rPr>
        <w:t>2015</w:t>
      </w:r>
      <w:r w:rsidR="00F159BC">
        <w:rPr>
          <w:bCs/>
          <w:sz w:val="24"/>
          <w:lang w:val="en-US"/>
        </w:rPr>
        <w:t>):</w:t>
      </w:r>
      <w:r w:rsidRPr="008D34D2">
        <w:rPr>
          <w:bCs/>
          <w:sz w:val="24"/>
          <w:lang w:val="en-US"/>
        </w:rPr>
        <w:t xml:space="preserve"> 506</w:t>
      </w:r>
      <w:r w:rsidR="00242643">
        <w:rPr>
          <w:bCs/>
          <w:sz w:val="24"/>
          <w:lang w:val="en-US"/>
        </w:rPr>
        <w:t>–</w:t>
      </w:r>
      <w:r w:rsidRPr="008D34D2">
        <w:rPr>
          <w:bCs/>
          <w:sz w:val="24"/>
          <w:lang w:val="en-US"/>
        </w:rPr>
        <w:t>526</w:t>
      </w:r>
      <w:r>
        <w:rPr>
          <w:bCs/>
          <w:sz w:val="24"/>
        </w:rPr>
        <w:t>.</w:t>
      </w:r>
    </w:p>
    <w:p w14:paraId="7A4B7F62" w14:textId="1ACBCBB1" w:rsidR="000758AF" w:rsidRPr="000758AF" w:rsidRDefault="008A4DE8" w:rsidP="00CB63D5">
      <w:pPr>
        <w:spacing w:line="480" w:lineRule="auto"/>
        <w:ind w:left="720" w:hanging="720"/>
        <w:rPr>
          <w:sz w:val="24"/>
        </w:rPr>
      </w:pPr>
      <w:r w:rsidRPr="00087DBB">
        <w:rPr>
          <w:sz w:val="24"/>
        </w:rPr>
        <w:t>Wilson, J.F., E. Buchnea and A. Tilba</w:t>
      </w:r>
      <w:r w:rsidR="009679D1">
        <w:rPr>
          <w:sz w:val="24"/>
        </w:rPr>
        <w:t>.</w:t>
      </w:r>
      <w:r w:rsidRPr="00087DBB">
        <w:rPr>
          <w:sz w:val="24"/>
        </w:rPr>
        <w:t xml:space="preserve"> </w:t>
      </w:r>
      <w:r w:rsidR="00471DDA">
        <w:rPr>
          <w:sz w:val="24"/>
        </w:rPr>
        <w:t>“</w:t>
      </w:r>
      <w:r w:rsidRPr="00087DBB">
        <w:rPr>
          <w:sz w:val="24"/>
        </w:rPr>
        <w:t>The British Corporate Network, 1904-1976: Revisiting the Finance-Industry Relationship</w:t>
      </w:r>
      <w:r w:rsidR="00925DD8">
        <w:rPr>
          <w:sz w:val="24"/>
        </w:rPr>
        <w:t>.</w:t>
      </w:r>
      <w:r w:rsidR="00471DDA">
        <w:rPr>
          <w:sz w:val="24"/>
        </w:rPr>
        <w:t>”</w:t>
      </w:r>
      <w:r w:rsidRPr="00087DBB">
        <w:rPr>
          <w:sz w:val="24"/>
        </w:rPr>
        <w:t xml:space="preserve"> </w:t>
      </w:r>
      <w:r w:rsidRPr="00087DBB">
        <w:rPr>
          <w:bCs/>
          <w:i/>
          <w:sz w:val="24"/>
          <w:lang w:val="en-US"/>
        </w:rPr>
        <w:t>Business</w:t>
      </w:r>
      <w:r w:rsidR="00087DBB">
        <w:rPr>
          <w:bCs/>
          <w:i/>
          <w:sz w:val="24"/>
          <w:lang w:val="en-US"/>
        </w:rPr>
        <w:t xml:space="preserve"> History</w:t>
      </w:r>
      <w:r w:rsidR="0028785A">
        <w:rPr>
          <w:bCs/>
          <w:sz w:val="24"/>
          <w:lang w:val="en-US"/>
        </w:rPr>
        <w:t xml:space="preserve"> </w:t>
      </w:r>
      <w:r w:rsidR="00102464">
        <w:rPr>
          <w:bCs/>
          <w:sz w:val="24"/>
          <w:lang w:val="en-US"/>
        </w:rPr>
        <w:t xml:space="preserve">60, </w:t>
      </w:r>
      <w:r w:rsidR="0028785A">
        <w:rPr>
          <w:bCs/>
          <w:sz w:val="24"/>
          <w:lang w:val="en-US"/>
        </w:rPr>
        <w:t xml:space="preserve">no. </w:t>
      </w:r>
      <w:r w:rsidR="00102464">
        <w:rPr>
          <w:bCs/>
          <w:sz w:val="24"/>
          <w:lang w:val="en-US"/>
        </w:rPr>
        <w:t>6</w:t>
      </w:r>
      <w:r w:rsidR="00BB5704">
        <w:rPr>
          <w:bCs/>
          <w:sz w:val="24"/>
          <w:lang w:val="en-US"/>
        </w:rPr>
        <w:t xml:space="preserve"> </w:t>
      </w:r>
      <w:r w:rsidR="00F159BC">
        <w:rPr>
          <w:bCs/>
          <w:sz w:val="24"/>
          <w:lang w:val="en-US"/>
        </w:rPr>
        <w:t>(</w:t>
      </w:r>
      <w:r w:rsidR="00FD2E7C">
        <w:rPr>
          <w:bCs/>
          <w:sz w:val="24"/>
          <w:lang w:val="en-US"/>
        </w:rPr>
        <w:t>2018</w:t>
      </w:r>
      <w:r w:rsidR="00F159BC">
        <w:rPr>
          <w:bCs/>
          <w:sz w:val="24"/>
          <w:lang w:val="en-US"/>
        </w:rPr>
        <w:t>):</w:t>
      </w:r>
      <w:r w:rsidR="00102464">
        <w:rPr>
          <w:bCs/>
          <w:sz w:val="24"/>
          <w:lang w:val="en-US"/>
        </w:rPr>
        <w:t xml:space="preserve"> 779</w:t>
      </w:r>
      <w:r w:rsidR="00242643">
        <w:rPr>
          <w:bCs/>
          <w:sz w:val="24"/>
          <w:lang w:val="en-US"/>
        </w:rPr>
        <w:t>–</w:t>
      </w:r>
      <w:r w:rsidR="00102464">
        <w:rPr>
          <w:bCs/>
          <w:sz w:val="24"/>
          <w:lang w:val="en-US"/>
        </w:rPr>
        <w:t>806.</w:t>
      </w:r>
    </w:p>
    <w:p w14:paraId="3D62C0AC" w14:textId="77777777" w:rsidR="00105454" w:rsidRDefault="00105454" w:rsidP="000758AF">
      <w:pPr>
        <w:spacing w:line="360" w:lineRule="auto"/>
        <w:ind w:left="720" w:hanging="720"/>
        <w:rPr>
          <w:sz w:val="24"/>
        </w:rPr>
      </w:pPr>
    </w:p>
    <w:p w14:paraId="2FC593FE" w14:textId="77777777" w:rsidR="004E6854" w:rsidRDefault="004E6854" w:rsidP="000758AF">
      <w:pPr>
        <w:spacing w:line="360" w:lineRule="auto"/>
        <w:ind w:left="720" w:hanging="720"/>
        <w:rPr>
          <w:sz w:val="24"/>
        </w:rPr>
      </w:pPr>
    </w:p>
    <w:p w14:paraId="49CB4F9D" w14:textId="77777777" w:rsidR="004E6854" w:rsidRDefault="004E6854" w:rsidP="000758AF">
      <w:pPr>
        <w:spacing w:line="360" w:lineRule="auto"/>
        <w:ind w:left="720" w:hanging="720"/>
        <w:rPr>
          <w:sz w:val="24"/>
        </w:rPr>
      </w:pPr>
    </w:p>
    <w:p w14:paraId="7BEC4552" w14:textId="77777777" w:rsidR="004E6854" w:rsidRDefault="004E6854" w:rsidP="000758AF">
      <w:pPr>
        <w:spacing w:line="360" w:lineRule="auto"/>
        <w:ind w:left="720" w:hanging="720"/>
        <w:rPr>
          <w:sz w:val="24"/>
        </w:rPr>
        <w:sectPr w:rsidR="004E6854" w:rsidSect="00ED1DC7">
          <w:footerReference w:type="default" r:id="rId10"/>
          <w:endnotePr>
            <w:numFmt w:val="decimal"/>
          </w:endnotePr>
          <w:pgSz w:w="11907" w:h="16840" w:code="9"/>
          <w:pgMar w:top="1440" w:right="1797" w:bottom="1440" w:left="1797" w:header="720" w:footer="720" w:gutter="0"/>
          <w:cols w:space="720"/>
        </w:sectPr>
      </w:pPr>
    </w:p>
    <w:p w14:paraId="6CF744DD" w14:textId="77777777" w:rsidR="00D96295" w:rsidRPr="00105454" w:rsidRDefault="00D96295" w:rsidP="00D96295">
      <w:pPr>
        <w:spacing w:line="360" w:lineRule="auto"/>
        <w:ind w:left="720" w:hanging="720"/>
        <w:rPr>
          <w:b/>
          <w:sz w:val="24"/>
        </w:rPr>
      </w:pPr>
      <w:r w:rsidRPr="00105454">
        <w:rPr>
          <w:b/>
          <w:sz w:val="24"/>
        </w:rPr>
        <w:lastRenderedPageBreak/>
        <w:t xml:space="preserve">Table </w:t>
      </w:r>
      <w:r>
        <w:rPr>
          <w:b/>
          <w:sz w:val="24"/>
        </w:rPr>
        <w:t>1</w:t>
      </w:r>
      <w:r w:rsidRPr="00105454">
        <w:rPr>
          <w:b/>
          <w:sz w:val="24"/>
        </w:rPr>
        <w:t xml:space="preserve">: </w:t>
      </w:r>
      <w:r>
        <w:rPr>
          <w:b/>
          <w:sz w:val="24"/>
        </w:rPr>
        <w:t>Comparative</w:t>
      </w:r>
      <w:r w:rsidRPr="00105454">
        <w:rPr>
          <w:b/>
          <w:sz w:val="24"/>
        </w:rPr>
        <w:t xml:space="preserve"> financial development, 1913</w:t>
      </w:r>
    </w:p>
    <w:p w14:paraId="6519D1E3" w14:textId="77777777" w:rsidR="00D96295" w:rsidRPr="00105454" w:rsidRDefault="00D96295" w:rsidP="00D96295">
      <w:pPr>
        <w:spacing w:line="360" w:lineRule="auto"/>
        <w:ind w:left="720" w:hanging="720"/>
        <w:rPr>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413"/>
        <w:gridCol w:w="1134"/>
        <w:gridCol w:w="1276"/>
        <w:gridCol w:w="1275"/>
        <w:gridCol w:w="1560"/>
        <w:gridCol w:w="1134"/>
        <w:gridCol w:w="1417"/>
      </w:tblGrid>
      <w:tr w:rsidR="00D96295" w:rsidRPr="00105454" w14:paraId="6D0F681F" w14:textId="77777777" w:rsidTr="00E8062F">
        <w:trPr>
          <w:trHeight w:val="825"/>
        </w:trPr>
        <w:tc>
          <w:tcPr>
            <w:tcW w:w="1413" w:type="dxa"/>
            <w:vMerge w:val="restart"/>
            <w:shd w:val="clear" w:color="auto" w:fill="auto"/>
            <w:vAlign w:val="bottom"/>
            <w:hideMark/>
          </w:tcPr>
          <w:p w14:paraId="2A95D831" w14:textId="77777777" w:rsidR="00D96295" w:rsidRPr="00E65963" w:rsidRDefault="00D96295" w:rsidP="00E8062F">
            <w:pPr>
              <w:spacing w:line="360" w:lineRule="auto"/>
              <w:ind w:left="720" w:hanging="720"/>
              <w:jc w:val="center"/>
              <w:rPr>
                <w:sz w:val="22"/>
                <w:szCs w:val="22"/>
              </w:rPr>
            </w:pPr>
            <w:r w:rsidRPr="00E65963">
              <w:rPr>
                <w:sz w:val="22"/>
                <w:szCs w:val="22"/>
              </w:rPr>
              <w:t>Country</w:t>
            </w:r>
          </w:p>
        </w:tc>
        <w:tc>
          <w:tcPr>
            <w:tcW w:w="1134" w:type="dxa"/>
            <w:vMerge w:val="restart"/>
            <w:shd w:val="clear" w:color="auto" w:fill="auto"/>
            <w:vAlign w:val="bottom"/>
            <w:hideMark/>
          </w:tcPr>
          <w:p w14:paraId="5193AAC3" w14:textId="77777777" w:rsidR="00D96295" w:rsidRPr="00E65963" w:rsidRDefault="00D96295" w:rsidP="00E8062F">
            <w:pPr>
              <w:spacing w:line="360" w:lineRule="auto"/>
              <w:jc w:val="center"/>
              <w:rPr>
                <w:sz w:val="22"/>
                <w:szCs w:val="22"/>
              </w:rPr>
            </w:pPr>
            <w:r w:rsidRPr="00E65963">
              <w:rPr>
                <w:bCs/>
                <w:sz w:val="22"/>
                <w:szCs w:val="22"/>
              </w:rPr>
              <w:t>Lending/</w:t>
            </w:r>
          </w:p>
          <w:p w14:paraId="290AE850" w14:textId="77777777" w:rsidR="00D96295" w:rsidRPr="00E65963" w:rsidRDefault="00D96295" w:rsidP="00E8062F">
            <w:pPr>
              <w:spacing w:line="360" w:lineRule="auto"/>
              <w:jc w:val="center"/>
              <w:rPr>
                <w:sz w:val="22"/>
                <w:szCs w:val="22"/>
              </w:rPr>
            </w:pPr>
            <w:r w:rsidRPr="00E65963">
              <w:rPr>
                <w:bCs/>
                <w:sz w:val="22"/>
                <w:szCs w:val="22"/>
              </w:rPr>
              <w:t>GDP (%)</w:t>
            </w:r>
          </w:p>
        </w:tc>
        <w:tc>
          <w:tcPr>
            <w:tcW w:w="5245" w:type="dxa"/>
            <w:gridSpan w:val="4"/>
            <w:shd w:val="clear" w:color="auto" w:fill="auto"/>
            <w:vAlign w:val="bottom"/>
          </w:tcPr>
          <w:p w14:paraId="227F0700" w14:textId="77777777" w:rsidR="00D96295" w:rsidRPr="00E65963" w:rsidRDefault="00D96295" w:rsidP="00E8062F">
            <w:pPr>
              <w:spacing w:line="360" w:lineRule="auto"/>
              <w:jc w:val="center"/>
              <w:rPr>
                <w:sz w:val="22"/>
                <w:szCs w:val="22"/>
              </w:rPr>
            </w:pPr>
            <w:r w:rsidRPr="00E65963">
              <w:rPr>
                <w:sz w:val="22"/>
                <w:szCs w:val="22"/>
              </w:rPr>
              <w:t>Banking system characteristics</w:t>
            </w:r>
          </w:p>
        </w:tc>
        <w:tc>
          <w:tcPr>
            <w:tcW w:w="1417" w:type="dxa"/>
            <w:vMerge w:val="restart"/>
            <w:shd w:val="clear" w:color="auto" w:fill="auto"/>
            <w:vAlign w:val="bottom"/>
          </w:tcPr>
          <w:p w14:paraId="7E3C5ED7" w14:textId="77777777" w:rsidR="00D96295" w:rsidRPr="00E65963" w:rsidRDefault="00D96295" w:rsidP="00E8062F">
            <w:pPr>
              <w:spacing w:line="360" w:lineRule="auto"/>
              <w:jc w:val="center"/>
              <w:rPr>
                <w:sz w:val="22"/>
                <w:szCs w:val="22"/>
              </w:rPr>
            </w:pPr>
            <w:r w:rsidRPr="00E65963">
              <w:rPr>
                <w:bCs/>
                <w:sz w:val="22"/>
                <w:szCs w:val="22"/>
              </w:rPr>
              <w:t>Equity market development (0-2 subjective scale)</w:t>
            </w:r>
          </w:p>
        </w:tc>
      </w:tr>
      <w:tr w:rsidR="00D96295" w:rsidRPr="00105454" w14:paraId="525EB3E8" w14:textId="77777777" w:rsidTr="00E8062F">
        <w:trPr>
          <w:trHeight w:val="825"/>
        </w:trPr>
        <w:tc>
          <w:tcPr>
            <w:tcW w:w="1413" w:type="dxa"/>
            <w:vMerge/>
            <w:shd w:val="clear" w:color="auto" w:fill="auto"/>
          </w:tcPr>
          <w:p w14:paraId="031A5D95" w14:textId="77777777" w:rsidR="00D96295" w:rsidRPr="0070167D" w:rsidRDefault="00D96295" w:rsidP="00E8062F">
            <w:pPr>
              <w:spacing w:line="360" w:lineRule="auto"/>
              <w:ind w:left="720" w:hanging="720"/>
              <w:rPr>
                <w:b/>
                <w:sz w:val="22"/>
                <w:szCs w:val="22"/>
              </w:rPr>
            </w:pPr>
          </w:p>
        </w:tc>
        <w:tc>
          <w:tcPr>
            <w:tcW w:w="1134" w:type="dxa"/>
            <w:vMerge/>
            <w:shd w:val="clear" w:color="auto" w:fill="auto"/>
          </w:tcPr>
          <w:p w14:paraId="2584DB65" w14:textId="77777777" w:rsidR="00D96295" w:rsidRPr="0070167D" w:rsidRDefault="00D96295" w:rsidP="00E8062F">
            <w:pPr>
              <w:spacing w:line="360" w:lineRule="auto"/>
              <w:jc w:val="center"/>
              <w:rPr>
                <w:b/>
                <w:bCs/>
                <w:sz w:val="22"/>
                <w:szCs w:val="22"/>
              </w:rPr>
            </w:pPr>
          </w:p>
        </w:tc>
        <w:tc>
          <w:tcPr>
            <w:tcW w:w="1276" w:type="dxa"/>
            <w:shd w:val="clear" w:color="auto" w:fill="auto"/>
            <w:vAlign w:val="bottom"/>
          </w:tcPr>
          <w:p w14:paraId="74E1895B" w14:textId="77777777" w:rsidR="00D96295" w:rsidRPr="00E65963" w:rsidRDefault="00D96295" w:rsidP="00E8062F">
            <w:pPr>
              <w:spacing w:line="360" w:lineRule="auto"/>
              <w:jc w:val="center"/>
              <w:rPr>
                <w:sz w:val="22"/>
                <w:szCs w:val="22"/>
              </w:rPr>
            </w:pPr>
            <w:r w:rsidRPr="00E65963">
              <w:rPr>
                <w:sz w:val="22"/>
                <w:szCs w:val="22"/>
              </w:rPr>
              <w:t>Universal? (0-2 subjective scale)</w:t>
            </w:r>
          </w:p>
        </w:tc>
        <w:tc>
          <w:tcPr>
            <w:tcW w:w="1275" w:type="dxa"/>
            <w:shd w:val="clear" w:color="auto" w:fill="auto"/>
            <w:vAlign w:val="bottom"/>
          </w:tcPr>
          <w:p w14:paraId="0B5F6CD6" w14:textId="77777777" w:rsidR="00D96295" w:rsidRPr="00E65963" w:rsidRDefault="00D96295" w:rsidP="00E8062F">
            <w:pPr>
              <w:spacing w:line="360" w:lineRule="auto"/>
              <w:jc w:val="center"/>
              <w:rPr>
                <w:sz w:val="22"/>
                <w:szCs w:val="22"/>
              </w:rPr>
            </w:pPr>
            <w:r w:rsidRPr="00E65963">
              <w:rPr>
                <w:sz w:val="22"/>
                <w:szCs w:val="22"/>
              </w:rPr>
              <w:t>Bank seats on company boards</w:t>
            </w:r>
          </w:p>
        </w:tc>
        <w:tc>
          <w:tcPr>
            <w:tcW w:w="1560" w:type="dxa"/>
            <w:shd w:val="clear" w:color="auto" w:fill="auto"/>
            <w:vAlign w:val="bottom"/>
          </w:tcPr>
          <w:p w14:paraId="66DEFC1F" w14:textId="77777777" w:rsidR="00D96295" w:rsidRPr="00E65963" w:rsidRDefault="00D96295" w:rsidP="00E8062F">
            <w:pPr>
              <w:spacing w:line="360" w:lineRule="auto"/>
              <w:jc w:val="center"/>
              <w:rPr>
                <w:sz w:val="22"/>
                <w:szCs w:val="22"/>
              </w:rPr>
            </w:pPr>
            <w:r w:rsidRPr="00E65963">
              <w:rPr>
                <w:sz w:val="22"/>
                <w:szCs w:val="22"/>
              </w:rPr>
              <w:t>Equity shareholdings by banks</w:t>
            </w:r>
          </w:p>
        </w:tc>
        <w:tc>
          <w:tcPr>
            <w:tcW w:w="1134" w:type="dxa"/>
            <w:shd w:val="clear" w:color="auto" w:fill="auto"/>
            <w:vAlign w:val="bottom"/>
          </w:tcPr>
          <w:p w14:paraId="137B1BD0" w14:textId="77777777" w:rsidR="00D96295" w:rsidRPr="00E65963" w:rsidRDefault="00D96295" w:rsidP="00E8062F">
            <w:pPr>
              <w:spacing w:line="360" w:lineRule="auto"/>
              <w:jc w:val="center"/>
              <w:rPr>
                <w:sz w:val="22"/>
                <w:szCs w:val="22"/>
              </w:rPr>
            </w:pPr>
            <w:r w:rsidRPr="00E65963">
              <w:rPr>
                <w:sz w:val="22"/>
                <w:szCs w:val="22"/>
              </w:rPr>
              <w:t>Extensive branch networks (0/1)</w:t>
            </w:r>
          </w:p>
        </w:tc>
        <w:tc>
          <w:tcPr>
            <w:tcW w:w="1417" w:type="dxa"/>
            <w:vMerge/>
            <w:shd w:val="clear" w:color="auto" w:fill="auto"/>
          </w:tcPr>
          <w:p w14:paraId="74E6B946" w14:textId="77777777" w:rsidR="00D96295" w:rsidRPr="0070167D" w:rsidRDefault="00D96295" w:rsidP="00E8062F">
            <w:pPr>
              <w:spacing w:line="360" w:lineRule="auto"/>
              <w:jc w:val="center"/>
              <w:rPr>
                <w:b/>
                <w:bCs/>
                <w:sz w:val="22"/>
                <w:szCs w:val="22"/>
              </w:rPr>
            </w:pPr>
          </w:p>
        </w:tc>
      </w:tr>
      <w:tr w:rsidR="00D96295" w:rsidRPr="00105454" w14:paraId="78CF0EDE" w14:textId="77777777" w:rsidTr="00E8062F">
        <w:trPr>
          <w:trHeight w:val="564"/>
        </w:trPr>
        <w:tc>
          <w:tcPr>
            <w:tcW w:w="1413" w:type="dxa"/>
            <w:shd w:val="clear" w:color="auto" w:fill="auto"/>
          </w:tcPr>
          <w:p w14:paraId="1628A054" w14:textId="77777777" w:rsidR="00D96295" w:rsidRPr="0070167D" w:rsidRDefault="00D96295" w:rsidP="00E8062F">
            <w:pPr>
              <w:spacing w:line="360" w:lineRule="auto"/>
              <w:ind w:left="720" w:hanging="720"/>
              <w:rPr>
                <w:sz w:val="22"/>
                <w:szCs w:val="22"/>
              </w:rPr>
            </w:pPr>
            <w:r w:rsidRPr="0070167D">
              <w:rPr>
                <w:sz w:val="22"/>
                <w:szCs w:val="22"/>
              </w:rPr>
              <w:t>Canada</w:t>
            </w:r>
          </w:p>
        </w:tc>
        <w:tc>
          <w:tcPr>
            <w:tcW w:w="1134" w:type="dxa"/>
            <w:shd w:val="clear" w:color="auto" w:fill="auto"/>
          </w:tcPr>
          <w:p w14:paraId="2F9B7036" w14:textId="77777777" w:rsidR="00D96295" w:rsidRPr="0070167D" w:rsidRDefault="00D96295" w:rsidP="00E8062F">
            <w:pPr>
              <w:spacing w:line="360" w:lineRule="auto"/>
              <w:ind w:left="720" w:hanging="720"/>
              <w:jc w:val="center"/>
              <w:rPr>
                <w:sz w:val="22"/>
                <w:szCs w:val="22"/>
              </w:rPr>
            </w:pPr>
            <w:r w:rsidRPr="0070167D">
              <w:rPr>
                <w:sz w:val="22"/>
                <w:szCs w:val="22"/>
              </w:rPr>
              <w:t>n/a</w:t>
            </w:r>
          </w:p>
        </w:tc>
        <w:tc>
          <w:tcPr>
            <w:tcW w:w="1276" w:type="dxa"/>
            <w:shd w:val="clear" w:color="auto" w:fill="auto"/>
          </w:tcPr>
          <w:p w14:paraId="792C9C35" w14:textId="77777777" w:rsidR="00D96295" w:rsidRPr="0070167D" w:rsidRDefault="00D96295" w:rsidP="00E8062F">
            <w:pPr>
              <w:spacing w:line="360" w:lineRule="auto"/>
              <w:ind w:left="720" w:hanging="720"/>
              <w:jc w:val="center"/>
              <w:rPr>
                <w:sz w:val="22"/>
                <w:szCs w:val="22"/>
              </w:rPr>
            </w:pPr>
            <w:r w:rsidRPr="0070167D">
              <w:rPr>
                <w:sz w:val="22"/>
                <w:szCs w:val="22"/>
              </w:rPr>
              <w:t>1</w:t>
            </w:r>
          </w:p>
        </w:tc>
        <w:tc>
          <w:tcPr>
            <w:tcW w:w="1275" w:type="dxa"/>
            <w:shd w:val="clear" w:color="auto" w:fill="auto"/>
          </w:tcPr>
          <w:p w14:paraId="3F71A03B" w14:textId="77777777" w:rsidR="00D96295" w:rsidRPr="0070167D" w:rsidRDefault="00D96295" w:rsidP="00E8062F">
            <w:pPr>
              <w:spacing w:line="360" w:lineRule="auto"/>
              <w:ind w:left="720" w:hanging="720"/>
              <w:jc w:val="center"/>
              <w:rPr>
                <w:sz w:val="22"/>
                <w:szCs w:val="22"/>
              </w:rPr>
            </w:pPr>
            <w:r w:rsidRPr="0070167D">
              <w:rPr>
                <w:sz w:val="22"/>
                <w:szCs w:val="22"/>
              </w:rPr>
              <w:t>Some</w:t>
            </w:r>
          </w:p>
        </w:tc>
        <w:tc>
          <w:tcPr>
            <w:tcW w:w="1560" w:type="dxa"/>
            <w:shd w:val="clear" w:color="auto" w:fill="auto"/>
          </w:tcPr>
          <w:p w14:paraId="051CBE65" w14:textId="77777777" w:rsidR="00D96295" w:rsidRPr="0070167D" w:rsidRDefault="00D96295" w:rsidP="00E8062F">
            <w:pPr>
              <w:spacing w:line="360" w:lineRule="auto"/>
              <w:ind w:left="720" w:hanging="720"/>
              <w:jc w:val="center"/>
              <w:rPr>
                <w:sz w:val="22"/>
                <w:szCs w:val="22"/>
              </w:rPr>
            </w:pPr>
            <w:r w:rsidRPr="0070167D">
              <w:rPr>
                <w:sz w:val="22"/>
                <w:szCs w:val="22"/>
              </w:rPr>
              <w:t>Some</w:t>
            </w:r>
          </w:p>
        </w:tc>
        <w:tc>
          <w:tcPr>
            <w:tcW w:w="1134" w:type="dxa"/>
            <w:shd w:val="clear" w:color="auto" w:fill="auto"/>
          </w:tcPr>
          <w:p w14:paraId="3AC0DCB1" w14:textId="77777777" w:rsidR="00D96295" w:rsidRPr="0070167D" w:rsidRDefault="00D96295" w:rsidP="00E8062F">
            <w:pPr>
              <w:spacing w:line="360" w:lineRule="auto"/>
              <w:ind w:left="720" w:hanging="720"/>
              <w:jc w:val="center"/>
              <w:rPr>
                <w:sz w:val="22"/>
                <w:szCs w:val="22"/>
              </w:rPr>
            </w:pPr>
            <w:r w:rsidRPr="0070167D">
              <w:rPr>
                <w:sz w:val="22"/>
                <w:szCs w:val="22"/>
              </w:rPr>
              <w:t>1</w:t>
            </w:r>
          </w:p>
        </w:tc>
        <w:tc>
          <w:tcPr>
            <w:tcW w:w="1417" w:type="dxa"/>
            <w:shd w:val="clear" w:color="auto" w:fill="auto"/>
          </w:tcPr>
          <w:p w14:paraId="13DF4E64" w14:textId="77777777" w:rsidR="00D96295" w:rsidRPr="0070167D" w:rsidRDefault="00D96295" w:rsidP="00E8062F">
            <w:pPr>
              <w:spacing w:line="360" w:lineRule="auto"/>
              <w:ind w:left="720" w:hanging="720"/>
              <w:jc w:val="center"/>
              <w:rPr>
                <w:sz w:val="22"/>
                <w:szCs w:val="22"/>
              </w:rPr>
            </w:pPr>
            <w:r w:rsidRPr="0070167D">
              <w:rPr>
                <w:sz w:val="22"/>
                <w:szCs w:val="22"/>
              </w:rPr>
              <w:t>1</w:t>
            </w:r>
          </w:p>
        </w:tc>
      </w:tr>
      <w:tr w:rsidR="00D96295" w:rsidRPr="00105454" w14:paraId="09F3281A" w14:textId="77777777" w:rsidTr="00E8062F">
        <w:trPr>
          <w:trHeight w:val="564"/>
        </w:trPr>
        <w:tc>
          <w:tcPr>
            <w:tcW w:w="1413" w:type="dxa"/>
            <w:shd w:val="clear" w:color="auto" w:fill="auto"/>
          </w:tcPr>
          <w:p w14:paraId="3A7A51DC" w14:textId="77777777" w:rsidR="00D96295" w:rsidRPr="0070167D" w:rsidRDefault="00D96295" w:rsidP="00E8062F">
            <w:pPr>
              <w:spacing w:line="360" w:lineRule="auto"/>
              <w:ind w:left="720" w:hanging="720"/>
              <w:rPr>
                <w:sz w:val="22"/>
                <w:szCs w:val="22"/>
              </w:rPr>
            </w:pPr>
            <w:r w:rsidRPr="0070167D">
              <w:rPr>
                <w:sz w:val="22"/>
                <w:szCs w:val="22"/>
              </w:rPr>
              <w:t>France</w:t>
            </w:r>
          </w:p>
        </w:tc>
        <w:tc>
          <w:tcPr>
            <w:tcW w:w="1134" w:type="dxa"/>
            <w:shd w:val="clear" w:color="auto" w:fill="auto"/>
          </w:tcPr>
          <w:p w14:paraId="01A33E77" w14:textId="77777777" w:rsidR="00D96295" w:rsidRPr="0070167D" w:rsidRDefault="00D96295" w:rsidP="00E8062F">
            <w:pPr>
              <w:spacing w:line="360" w:lineRule="auto"/>
              <w:ind w:left="720" w:hanging="720"/>
              <w:jc w:val="center"/>
              <w:rPr>
                <w:sz w:val="22"/>
                <w:szCs w:val="22"/>
              </w:rPr>
            </w:pPr>
            <w:r w:rsidRPr="0070167D">
              <w:rPr>
                <w:sz w:val="22"/>
                <w:szCs w:val="22"/>
              </w:rPr>
              <w:t>16/29</w:t>
            </w:r>
          </w:p>
        </w:tc>
        <w:tc>
          <w:tcPr>
            <w:tcW w:w="1276" w:type="dxa"/>
            <w:shd w:val="clear" w:color="auto" w:fill="auto"/>
          </w:tcPr>
          <w:p w14:paraId="6EA01107" w14:textId="77777777" w:rsidR="00D96295" w:rsidRPr="0070167D" w:rsidRDefault="00D96295" w:rsidP="00E8062F">
            <w:pPr>
              <w:spacing w:line="360" w:lineRule="auto"/>
              <w:ind w:left="720" w:hanging="720"/>
              <w:jc w:val="center"/>
              <w:rPr>
                <w:sz w:val="22"/>
                <w:szCs w:val="22"/>
              </w:rPr>
            </w:pPr>
            <w:r w:rsidRPr="0070167D">
              <w:rPr>
                <w:sz w:val="22"/>
                <w:szCs w:val="22"/>
              </w:rPr>
              <w:t>1</w:t>
            </w:r>
          </w:p>
        </w:tc>
        <w:tc>
          <w:tcPr>
            <w:tcW w:w="1275" w:type="dxa"/>
            <w:shd w:val="clear" w:color="auto" w:fill="auto"/>
          </w:tcPr>
          <w:p w14:paraId="0DBA236C" w14:textId="77777777" w:rsidR="00D96295" w:rsidRPr="0070167D" w:rsidRDefault="00D96295" w:rsidP="00E8062F">
            <w:pPr>
              <w:spacing w:line="360" w:lineRule="auto"/>
              <w:ind w:left="720" w:hanging="720"/>
              <w:jc w:val="center"/>
              <w:rPr>
                <w:sz w:val="22"/>
                <w:szCs w:val="22"/>
              </w:rPr>
            </w:pPr>
            <w:r w:rsidRPr="0070167D">
              <w:rPr>
                <w:sz w:val="22"/>
                <w:szCs w:val="22"/>
              </w:rPr>
              <w:t>1</w:t>
            </w:r>
          </w:p>
        </w:tc>
        <w:tc>
          <w:tcPr>
            <w:tcW w:w="1560" w:type="dxa"/>
            <w:shd w:val="clear" w:color="auto" w:fill="auto"/>
          </w:tcPr>
          <w:p w14:paraId="38ED9836" w14:textId="77777777" w:rsidR="00D96295" w:rsidRPr="0070167D" w:rsidRDefault="00D96295" w:rsidP="00E8062F">
            <w:pPr>
              <w:spacing w:line="360" w:lineRule="auto"/>
              <w:ind w:left="720" w:hanging="720"/>
              <w:jc w:val="center"/>
              <w:rPr>
                <w:sz w:val="22"/>
                <w:szCs w:val="22"/>
              </w:rPr>
            </w:pPr>
            <w:r w:rsidRPr="0070167D">
              <w:rPr>
                <w:sz w:val="22"/>
                <w:szCs w:val="22"/>
              </w:rPr>
              <w:t>Some</w:t>
            </w:r>
          </w:p>
        </w:tc>
        <w:tc>
          <w:tcPr>
            <w:tcW w:w="1134" w:type="dxa"/>
            <w:shd w:val="clear" w:color="auto" w:fill="auto"/>
          </w:tcPr>
          <w:p w14:paraId="0DF52F61" w14:textId="77777777" w:rsidR="00D96295" w:rsidRPr="0070167D" w:rsidRDefault="00D96295" w:rsidP="00E8062F">
            <w:pPr>
              <w:spacing w:line="360" w:lineRule="auto"/>
              <w:ind w:left="720" w:hanging="720"/>
              <w:jc w:val="center"/>
              <w:rPr>
                <w:sz w:val="22"/>
                <w:szCs w:val="22"/>
              </w:rPr>
            </w:pPr>
            <w:r w:rsidRPr="0070167D">
              <w:rPr>
                <w:sz w:val="22"/>
                <w:szCs w:val="22"/>
              </w:rPr>
              <w:t>1</w:t>
            </w:r>
          </w:p>
        </w:tc>
        <w:tc>
          <w:tcPr>
            <w:tcW w:w="1417" w:type="dxa"/>
            <w:shd w:val="clear" w:color="auto" w:fill="auto"/>
          </w:tcPr>
          <w:p w14:paraId="122754F6" w14:textId="77777777" w:rsidR="00D96295" w:rsidRPr="0070167D" w:rsidRDefault="00D96295" w:rsidP="00E8062F">
            <w:pPr>
              <w:spacing w:line="360" w:lineRule="auto"/>
              <w:ind w:left="720" w:hanging="720"/>
              <w:jc w:val="center"/>
              <w:rPr>
                <w:sz w:val="22"/>
                <w:szCs w:val="22"/>
              </w:rPr>
            </w:pPr>
            <w:r w:rsidRPr="0070167D">
              <w:rPr>
                <w:sz w:val="22"/>
                <w:szCs w:val="22"/>
              </w:rPr>
              <w:t>2</w:t>
            </w:r>
          </w:p>
        </w:tc>
      </w:tr>
      <w:tr w:rsidR="00D96295" w:rsidRPr="00105454" w14:paraId="14223C34" w14:textId="77777777" w:rsidTr="00E8062F">
        <w:trPr>
          <w:trHeight w:val="564"/>
        </w:trPr>
        <w:tc>
          <w:tcPr>
            <w:tcW w:w="1413" w:type="dxa"/>
            <w:shd w:val="clear" w:color="auto" w:fill="auto"/>
          </w:tcPr>
          <w:p w14:paraId="505632E7" w14:textId="77777777" w:rsidR="00D96295" w:rsidRPr="0070167D" w:rsidRDefault="00D96295" w:rsidP="00E8062F">
            <w:pPr>
              <w:spacing w:line="360" w:lineRule="auto"/>
              <w:ind w:left="720" w:hanging="720"/>
              <w:rPr>
                <w:sz w:val="22"/>
                <w:szCs w:val="22"/>
              </w:rPr>
            </w:pPr>
            <w:r w:rsidRPr="0070167D">
              <w:rPr>
                <w:sz w:val="22"/>
                <w:szCs w:val="22"/>
              </w:rPr>
              <w:t>Germany</w:t>
            </w:r>
          </w:p>
        </w:tc>
        <w:tc>
          <w:tcPr>
            <w:tcW w:w="1134" w:type="dxa"/>
            <w:shd w:val="clear" w:color="auto" w:fill="auto"/>
          </w:tcPr>
          <w:p w14:paraId="15EBB05F" w14:textId="77777777" w:rsidR="00D96295" w:rsidRPr="0070167D" w:rsidRDefault="00D96295" w:rsidP="00E8062F">
            <w:pPr>
              <w:spacing w:line="360" w:lineRule="auto"/>
              <w:ind w:left="720" w:hanging="720"/>
              <w:jc w:val="center"/>
              <w:rPr>
                <w:sz w:val="22"/>
                <w:szCs w:val="22"/>
              </w:rPr>
            </w:pPr>
            <w:r w:rsidRPr="0070167D">
              <w:rPr>
                <w:sz w:val="22"/>
                <w:szCs w:val="22"/>
              </w:rPr>
              <w:t>28</w:t>
            </w:r>
          </w:p>
        </w:tc>
        <w:tc>
          <w:tcPr>
            <w:tcW w:w="1276" w:type="dxa"/>
            <w:shd w:val="clear" w:color="auto" w:fill="auto"/>
          </w:tcPr>
          <w:p w14:paraId="0DD9E7EF" w14:textId="77777777" w:rsidR="00D96295" w:rsidRPr="0070167D" w:rsidRDefault="00D96295" w:rsidP="00E8062F">
            <w:pPr>
              <w:spacing w:line="360" w:lineRule="auto"/>
              <w:ind w:left="720" w:hanging="720"/>
              <w:jc w:val="center"/>
              <w:rPr>
                <w:sz w:val="22"/>
                <w:szCs w:val="22"/>
              </w:rPr>
            </w:pPr>
            <w:r w:rsidRPr="0070167D">
              <w:rPr>
                <w:sz w:val="22"/>
                <w:szCs w:val="22"/>
              </w:rPr>
              <w:t>2</w:t>
            </w:r>
          </w:p>
        </w:tc>
        <w:tc>
          <w:tcPr>
            <w:tcW w:w="1275" w:type="dxa"/>
            <w:shd w:val="clear" w:color="auto" w:fill="auto"/>
          </w:tcPr>
          <w:p w14:paraId="7BA370DF" w14:textId="77777777" w:rsidR="00D96295" w:rsidRPr="0070167D" w:rsidRDefault="00D96295" w:rsidP="00E8062F">
            <w:pPr>
              <w:spacing w:line="360" w:lineRule="auto"/>
              <w:ind w:left="720" w:hanging="720"/>
              <w:jc w:val="center"/>
              <w:rPr>
                <w:sz w:val="22"/>
                <w:szCs w:val="22"/>
              </w:rPr>
            </w:pPr>
            <w:r w:rsidRPr="0070167D">
              <w:rPr>
                <w:sz w:val="22"/>
                <w:szCs w:val="22"/>
              </w:rPr>
              <w:t>1</w:t>
            </w:r>
          </w:p>
        </w:tc>
        <w:tc>
          <w:tcPr>
            <w:tcW w:w="1560" w:type="dxa"/>
            <w:shd w:val="clear" w:color="auto" w:fill="auto"/>
          </w:tcPr>
          <w:p w14:paraId="482E0BEE" w14:textId="77777777" w:rsidR="00D96295" w:rsidRPr="0070167D" w:rsidRDefault="00D96295" w:rsidP="00E8062F">
            <w:pPr>
              <w:spacing w:line="360" w:lineRule="auto"/>
              <w:ind w:left="720" w:hanging="720"/>
              <w:jc w:val="center"/>
              <w:rPr>
                <w:sz w:val="22"/>
                <w:szCs w:val="22"/>
              </w:rPr>
            </w:pPr>
            <w:r w:rsidRPr="0070167D">
              <w:rPr>
                <w:sz w:val="22"/>
                <w:szCs w:val="22"/>
              </w:rPr>
              <w:t>Some</w:t>
            </w:r>
          </w:p>
        </w:tc>
        <w:tc>
          <w:tcPr>
            <w:tcW w:w="1134" w:type="dxa"/>
            <w:shd w:val="clear" w:color="auto" w:fill="auto"/>
          </w:tcPr>
          <w:p w14:paraId="298C791D" w14:textId="77777777" w:rsidR="00D96295" w:rsidRPr="0070167D" w:rsidRDefault="00D96295" w:rsidP="00E8062F">
            <w:pPr>
              <w:spacing w:line="360" w:lineRule="auto"/>
              <w:ind w:left="720" w:hanging="720"/>
              <w:jc w:val="center"/>
              <w:rPr>
                <w:sz w:val="22"/>
                <w:szCs w:val="22"/>
              </w:rPr>
            </w:pPr>
            <w:r w:rsidRPr="0070167D">
              <w:rPr>
                <w:sz w:val="22"/>
                <w:szCs w:val="22"/>
              </w:rPr>
              <w:t>1</w:t>
            </w:r>
          </w:p>
        </w:tc>
        <w:tc>
          <w:tcPr>
            <w:tcW w:w="1417" w:type="dxa"/>
            <w:shd w:val="clear" w:color="auto" w:fill="auto"/>
          </w:tcPr>
          <w:p w14:paraId="0D0F043C" w14:textId="77777777" w:rsidR="00D96295" w:rsidRPr="0070167D" w:rsidRDefault="00D96295" w:rsidP="00E8062F">
            <w:pPr>
              <w:spacing w:line="360" w:lineRule="auto"/>
              <w:ind w:left="720" w:hanging="720"/>
              <w:jc w:val="center"/>
              <w:rPr>
                <w:sz w:val="22"/>
                <w:szCs w:val="22"/>
              </w:rPr>
            </w:pPr>
            <w:r w:rsidRPr="0070167D">
              <w:rPr>
                <w:sz w:val="22"/>
                <w:szCs w:val="22"/>
              </w:rPr>
              <w:t>2</w:t>
            </w:r>
          </w:p>
        </w:tc>
      </w:tr>
      <w:tr w:rsidR="00D96295" w:rsidRPr="00105454" w14:paraId="6B78AB0A" w14:textId="77777777" w:rsidTr="00E8062F">
        <w:trPr>
          <w:trHeight w:val="564"/>
        </w:trPr>
        <w:tc>
          <w:tcPr>
            <w:tcW w:w="1413" w:type="dxa"/>
            <w:shd w:val="clear" w:color="auto" w:fill="auto"/>
          </w:tcPr>
          <w:p w14:paraId="006C5888" w14:textId="77777777" w:rsidR="00D96295" w:rsidRPr="0070167D" w:rsidRDefault="00D96295" w:rsidP="00E8062F">
            <w:pPr>
              <w:spacing w:line="360" w:lineRule="auto"/>
              <w:ind w:left="720" w:hanging="720"/>
              <w:rPr>
                <w:sz w:val="22"/>
                <w:szCs w:val="22"/>
              </w:rPr>
            </w:pPr>
            <w:r w:rsidRPr="0070167D">
              <w:rPr>
                <w:sz w:val="22"/>
                <w:szCs w:val="22"/>
              </w:rPr>
              <w:t>Italy</w:t>
            </w:r>
          </w:p>
        </w:tc>
        <w:tc>
          <w:tcPr>
            <w:tcW w:w="1134" w:type="dxa"/>
            <w:shd w:val="clear" w:color="auto" w:fill="auto"/>
          </w:tcPr>
          <w:p w14:paraId="578D1160" w14:textId="77777777" w:rsidR="00D96295" w:rsidRPr="0070167D" w:rsidRDefault="00D96295" w:rsidP="00E8062F">
            <w:pPr>
              <w:spacing w:line="360" w:lineRule="auto"/>
              <w:ind w:left="720" w:hanging="720"/>
              <w:jc w:val="center"/>
              <w:rPr>
                <w:sz w:val="22"/>
                <w:szCs w:val="22"/>
              </w:rPr>
            </w:pPr>
            <w:r w:rsidRPr="0070167D">
              <w:rPr>
                <w:sz w:val="22"/>
                <w:szCs w:val="22"/>
              </w:rPr>
              <w:t>28</w:t>
            </w:r>
          </w:p>
        </w:tc>
        <w:tc>
          <w:tcPr>
            <w:tcW w:w="1276" w:type="dxa"/>
            <w:shd w:val="clear" w:color="auto" w:fill="auto"/>
          </w:tcPr>
          <w:p w14:paraId="59E08404" w14:textId="77777777" w:rsidR="00D96295" w:rsidRPr="0070167D" w:rsidRDefault="00D96295" w:rsidP="00E8062F">
            <w:pPr>
              <w:spacing w:line="360" w:lineRule="auto"/>
              <w:ind w:left="720" w:hanging="720"/>
              <w:jc w:val="center"/>
              <w:rPr>
                <w:sz w:val="22"/>
                <w:szCs w:val="22"/>
              </w:rPr>
            </w:pPr>
            <w:r w:rsidRPr="0070167D">
              <w:rPr>
                <w:sz w:val="22"/>
                <w:szCs w:val="22"/>
              </w:rPr>
              <w:t>2</w:t>
            </w:r>
          </w:p>
        </w:tc>
        <w:tc>
          <w:tcPr>
            <w:tcW w:w="1275" w:type="dxa"/>
            <w:shd w:val="clear" w:color="auto" w:fill="auto"/>
          </w:tcPr>
          <w:p w14:paraId="1535613A" w14:textId="77777777" w:rsidR="00D96295" w:rsidRPr="0070167D" w:rsidRDefault="00D96295" w:rsidP="00E8062F">
            <w:pPr>
              <w:spacing w:line="360" w:lineRule="auto"/>
              <w:ind w:left="720" w:hanging="720"/>
              <w:jc w:val="center"/>
              <w:rPr>
                <w:sz w:val="22"/>
                <w:szCs w:val="22"/>
              </w:rPr>
            </w:pPr>
            <w:r w:rsidRPr="0070167D">
              <w:rPr>
                <w:sz w:val="22"/>
                <w:szCs w:val="22"/>
              </w:rPr>
              <w:t>Top banks</w:t>
            </w:r>
          </w:p>
        </w:tc>
        <w:tc>
          <w:tcPr>
            <w:tcW w:w="1560" w:type="dxa"/>
            <w:shd w:val="clear" w:color="auto" w:fill="auto"/>
          </w:tcPr>
          <w:p w14:paraId="3BDFA465" w14:textId="77777777" w:rsidR="00D96295" w:rsidRPr="0070167D" w:rsidRDefault="00D96295" w:rsidP="00E8062F">
            <w:pPr>
              <w:spacing w:line="360" w:lineRule="auto"/>
              <w:ind w:left="720" w:hanging="720"/>
              <w:jc w:val="center"/>
              <w:rPr>
                <w:sz w:val="22"/>
                <w:szCs w:val="22"/>
              </w:rPr>
            </w:pPr>
            <w:r w:rsidRPr="0070167D">
              <w:rPr>
                <w:sz w:val="22"/>
                <w:szCs w:val="22"/>
              </w:rPr>
              <w:t>1</w:t>
            </w:r>
          </w:p>
        </w:tc>
        <w:tc>
          <w:tcPr>
            <w:tcW w:w="1134" w:type="dxa"/>
            <w:shd w:val="clear" w:color="auto" w:fill="auto"/>
          </w:tcPr>
          <w:p w14:paraId="0DB2849F" w14:textId="77777777" w:rsidR="00D96295" w:rsidRPr="0070167D" w:rsidRDefault="00D96295" w:rsidP="00E8062F">
            <w:pPr>
              <w:spacing w:line="360" w:lineRule="auto"/>
              <w:ind w:left="720" w:hanging="720"/>
              <w:jc w:val="center"/>
              <w:rPr>
                <w:sz w:val="22"/>
                <w:szCs w:val="22"/>
              </w:rPr>
            </w:pPr>
            <w:r w:rsidRPr="0070167D">
              <w:rPr>
                <w:sz w:val="22"/>
                <w:szCs w:val="22"/>
              </w:rPr>
              <w:t>1</w:t>
            </w:r>
          </w:p>
        </w:tc>
        <w:tc>
          <w:tcPr>
            <w:tcW w:w="1417" w:type="dxa"/>
            <w:shd w:val="clear" w:color="auto" w:fill="auto"/>
          </w:tcPr>
          <w:p w14:paraId="149677A5" w14:textId="77777777" w:rsidR="00D96295" w:rsidRPr="0070167D" w:rsidRDefault="00D96295" w:rsidP="00E8062F">
            <w:pPr>
              <w:spacing w:line="360" w:lineRule="auto"/>
              <w:ind w:left="720" w:hanging="720"/>
              <w:jc w:val="center"/>
              <w:rPr>
                <w:sz w:val="22"/>
                <w:szCs w:val="22"/>
              </w:rPr>
            </w:pPr>
            <w:r w:rsidRPr="0070167D">
              <w:rPr>
                <w:sz w:val="22"/>
                <w:szCs w:val="22"/>
              </w:rPr>
              <w:t>1</w:t>
            </w:r>
          </w:p>
        </w:tc>
      </w:tr>
      <w:tr w:rsidR="00D96295" w:rsidRPr="00105454" w14:paraId="284E7300" w14:textId="77777777" w:rsidTr="00E8062F">
        <w:trPr>
          <w:trHeight w:val="564"/>
        </w:trPr>
        <w:tc>
          <w:tcPr>
            <w:tcW w:w="1413" w:type="dxa"/>
            <w:shd w:val="clear" w:color="auto" w:fill="auto"/>
          </w:tcPr>
          <w:p w14:paraId="0F467E05" w14:textId="77777777" w:rsidR="00D96295" w:rsidRPr="0070167D" w:rsidRDefault="00D96295" w:rsidP="00E8062F">
            <w:pPr>
              <w:spacing w:line="360" w:lineRule="auto"/>
              <w:rPr>
                <w:sz w:val="22"/>
                <w:szCs w:val="22"/>
              </w:rPr>
            </w:pPr>
            <w:r>
              <w:rPr>
                <w:sz w:val="22"/>
                <w:szCs w:val="22"/>
              </w:rPr>
              <w:t>UK</w:t>
            </w:r>
            <w:r w:rsidRPr="0070167D">
              <w:rPr>
                <w:sz w:val="22"/>
                <w:szCs w:val="22"/>
              </w:rPr>
              <w:t>/England</w:t>
            </w:r>
          </w:p>
        </w:tc>
        <w:tc>
          <w:tcPr>
            <w:tcW w:w="1134" w:type="dxa"/>
            <w:shd w:val="clear" w:color="auto" w:fill="auto"/>
          </w:tcPr>
          <w:p w14:paraId="1E5D4223" w14:textId="77777777" w:rsidR="00D96295" w:rsidRPr="0070167D" w:rsidRDefault="00D96295" w:rsidP="00E8062F">
            <w:pPr>
              <w:spacing w:line="360" w:lineRule="auto"/>
              <w:ind w:left="720" w:hanging="720"/>
              <w:jc w:val="center"/>
              <w:rPr>
                <w:sz w:val="22"/>
                <w:szCs w:val="22"/>
              </w:rPr>
            </w:pPr>
            <w:r w:rsidRPr="0070167D">
              <w:rPr>
                <w:sz w:val="22"/>
                <w:szCs w:val="22"/>
              </w:rPr>
              <w:t>33</w:t>
            </w:r>
          </w:p>
        </w:tc>
        <w:tc>
          <w:tcPr>
            <w:tcW w:w="1276" w:type="dxa"/>
            <w:shd w:val="clear" w:color="auto" w:fill="auto"/>
          </w:tcPr>
          <w:p w14:paraId="7ABEF4A7" w14:textId="77777777" w:rsidR="00D96295" w:rsidRPr="0070167D" w:rsidRDefault="00D96295" w:rsidP="00E8062F">
            <w:pPr>
              <w:spacing w:line="360" w:lineRule="auto"/>
              <w:ind w:left="720" w:hanging="720"/>
              <w:jc w:val="center"/>
              <w:rPr>
                <w:sz w:val="22"/>
                <w:szCs w:val="22"/>
              </w:rPr>
            </w:pPr>
            <w:r w:rsidRPr="0070167D">
              <w:rPr>
                <w:sz w:val="22"/>
                <w:szCs w:val="22"/>
              </w:rPr>
              <w:t>0</w:t>
            </w:r>
          </w:p>
        </w:tc>
        <w:tc>
          <w:tcPr>
            <w:tcW w:w="1275" w:type="dxa"/>
            <w:shd w:val="clear" w:color="auto" w:fill="auto"/>
          </w:tcPr>
          <w:p w14:paraId="0ABCB6DD" w14:textId="77777777" w:rsidR="00D96295" w:rsidRPr="0070167D" w:rsidRDefault="00D96295" w:rsidP="00E8062F">
            <w:pPr>
              <w:spacing w:line="360" w:lineRule="auto"/>
              <w:ind w:left="720" w:hanging="720"/>
              <w:jc w:val="center"/>
              <w:rPr>
                <w:sz w:val="22"/>
                <w:szCs w:val="22"/>
              </w:rPr>
            </w:pPr>
            <w:r w:rsidRPr="0070167D">
              <w:rPr>
                <w:sz w:val="22"/>
                <w:szCs w:val="22"/>
              </w:rPr>
              <w:t>Few</w:t>
            </w:r>
          </w:p>
        </w:tc>
        <w:tc>
          <w:tcPr>
            <w:tcW w:w="1560" w:type="dxa"/>
            <w:shd w:val="clear" w:color="auto" w:fill="auto"/>
          </w:tcPr>
          <w:p w14:paraId="04BFEA12" w14:textId="77777777" w:rsidR="00D96295" w:rsidRPr="0070167D" w:rsidRDefault="00D96295" w:rsidP="00E8062F">
            <w:pPr>
              <w:spacing w:line="360" w:lineRule="auto"/>
              <w:ind w:left="720" w:hanging="720"/>
              <w:jc w:val="center"/>
              <w:rPr>
                <w:sz w:val="22"/>
                <w:szCs w:val="22"/>
              </w:rPr>
            </w:pPr>
            <w:r w:rsidRPr="0070167D">
              <w:rPr>
                <w:sz w:val="22"/>
                <w:szCs w:val="22"/>
              </w:rPr>
              <w:t>Few</w:t>
            </w:r>
          </w:p>
        </w:tc>
        <w:tc>
          <w:tcPr>
            <w:tcW w:w="1134" w:type="dxa"/>
            <w:shd w:val="clear" w:color="auto" w:fill="auto"/>
          </w:tcPr>
          <w:p w14:paraId="51836757" w14:textId="77777777" w:rsidR="00D96295" w:rsidRPr="0070167D" w:rsidRDefault="00D96295" w:rsidP="00E8062F">
            <w:pPr>
              <w:spacing w:line="360" w:lineRule="auto"/>
              <w:ind w:left="720" w:hanging="720"/>
              <w:jc w:val="center"/>
              <w:rPr>
                <w:sz w:val="22"/>
                <w:szCs w:val="22"/>
              </w:rPr>
            </w:pPr>
            <w:r w:rsidRPr="0070167D">
              <w:rPr>
                <w:sz w:val="22"/>
                <w:szCs w:val="22"/>
              </w:rPr>
              <w:t>1</w:t>
            </w:r>
          </w:p>
        </w:tc>
        <w:tc>
          <w:tcPr>
            <w:tcW w:w="1417" w:type="dxa"/>
            <w:shd w:val="clear" w:color="auto" w:fill="auto"/>
          </w:tcPr>
          <w:p w14:paraId="3920544A" w14:textId="77777777" w:rsidR="00D96295" w:rsidRPr="0070167D" w:rsidRDefault="00D96295" w:rsidP="00E8062F">
            <w:pPr>
              <w:spacing w:line="360" w:lineRule="auto"/>
              <w:ind w:left="720" w:hanging="720"/>
              <w:jc w:val="center"/>
              <w:rPr>
                <w:sz w:val="22"/>
                <w:szCs w:val="22"/>
              </w:rPr>
            </w:pPr>
            <w:r w:rsidRPr="0070167D">
              <w:rPr>
                <w:sz w:val="22"/>
                <w:szCs w:val="22"/>
              </w:rPr>
              <w:t>2</w:t>
            </w:r>
          </w:p>
        </w:tc>
      </w:tr>
      <w:tr w:rsidR="00D96295" w:rsidRPr="00105454" w14:paraId="44D69F6C" w14:textId="77777777" w:rsidTr="00E8062F">
        <w:trPr>
          <w:trHeight w:val="564"/>
        </w:trPr>
        <w:tc>
          <w:tcPr>
            <w:tcW w:w="1413" w:type="dxa"/>
            <w:shd w:val="clear" w:color="auto" w:fill="auto"/>
          </w:tcPr>
          <w:p w14:paraId="649E91DA" w14:textId="77777777" w:rsidR="00D96295" w:rsidRPr="0070167D" w:rsidRDefault="00D96295" w:rsidP="00E8062F">
            <w:pPr>
              <w:spacing w:line="360" w:lineRule="auto"/>
              <w:ind w:left="720" w:hanging="720"/>
              <w:rPr>
                <w:sz w:val="22"/>
                <w:szCs w:val="22"/>
              </w:rPr>
            </w:pPr>
            <w:r w:rsidRPr="0070167D">
              <w:rPr>
                <w:sz w:val="22"/>
                <w:szCs w:val="22"/>
              </w:rPr>
              <w:t>United States</w:t>
            </w:r>
          </w:p>
        </w:tc>
        <w:tc>
          <w:tcPr>
            <w:tcW w:w="1134" w:type="dxa"/>
            <w:shd w:val="clear" w:color="auto" w:fill="auto"/>
          </w:tcPr>
          <w:p w14:paraId="324E43A5" w14:textId="77777777" w:rsidR="00D96295" w:rsidRPr="0070167D" w:rsidRDefault="00D96295" w:rsidP="00E8062F">
            <w:pPr>
              <w:spacing w:line="360" w:lineRule="auto"/>
              <w:ind w:left="720" w:hanging="720"/>
              <w:jc w:val="center"/>
              <w:rPr>
                <w:sz w:val="22"/>
                <w:szCs w:val="22"/>
              </w:rPr>
            </w:pPr>
            <w:r w:rsidRPr="0070167D">
              <w:rPr>
                <w:sz w:val="22"/>
                <w:szCs w:val="22"/>
              </w:rPr>
              <w:t>30</w:t>
            </w:r>
          </w:p>
        </w:tc>
        <w:tc>
          <w:tcPr>
            <w:tcW w:w="1276" w:type="dxa"/>
            <w:shd w:val="clear" w:color="auto" w:fill="auto"/>
          </w:tcPr>
          <w:p w14:paraId="7F85D68C" w14:textId="77777777" w:rsidR="00D96295" w:rsidRPr="0070167D" w:rsidRDefault="00D96295" w:rsidP="00E8062F">
            <w:pPr>
              <w:spacing w:line="360" w:lineRule="auto"/>
              <w:ind w:left="720" w:hanging="720"/>
              <w:jc w:val="center"/>
              <w:rPr>
                <w:sz w:val="22"/>
                <w:szCs w:val="22"/>
              </w:rPr>
            </w:pPr>
            <w:r w:rsidRPr="0070167D">
              <w:rPr>
                <w:sz w:val="22"/>
                <w:szCs w:val="22"/>
              </w:rPr>
              <w:t>1</w:t>
            </w:r>
          </w:p>
        </w:tc>
        <w:tc>
          <w:tcPr>
            <w:tcW w:w="1275" w:type="dxa"/>
            <w:shd w:val="clear" w:color="auto" w:fill="auto"/>
          </w:tcPr>
          <w:p w14:paraId="4C84AF3F" w14:textId="77777777" w:rsidR="00D96295" w:rsidRPr="0070167D" w:rsidRDefault="00D96295" w:rsidP="00E8062F">
            <w:pPr>
              <w:spacing w:line="360" w:lineRule="auto"/>
              <w:ind w:left="720" w:hanging="720"/>
              <w:jc w:val="center"/>
              <w:rPr>
                <w:sz w:val="22"/>
                <w:szCs w:val="22"/>
              </w:rPr>
            </w:pPr>
            <w:r w:rsidRPr="0070167D">
              <w:rPr>
                <w:sz w:val="22"/>
                <w:szCs w:val="22"/>
              </w:rPr>
              <w:t>1</w:t>
            </w:r>
          </w:p>
        </w:tc>
        <w:tc>
          <w:tcPr>
            <w:tcW w:w="1560" w:type="dxa"/>
            <w:shd w:val="clear" w:color="auto" w:fill="auto"/>
          </w:tcPr>
          <w:p w14:paraId="1943DD6E" w14:textId="77777777" w:rsidR="00D96295" w:rsidRPr="0070167D" w:rsidRDefault="00D96295" w:rsidP="00E8062F">
            <w:pPr>
              <w:spacing w:line="360" w:lineRule="auto"/>
              <w:ind w:left="720" w:hanging="720"/>
              <w:jc w:val="center"/>
              <w:rPr>
                <w:sz w:val="22"/>
                <w:szCs w:val="22"/>
              </w:rPr>
            </w:pPr>
            <w:r w:rsidRPr="0070167D">
              <w:rPr>
                <w:sz w:val="22"/>
                <w:szCs w:val="22"/>
              </w:rPr>
              <w:t>1</w:t>
            </w:r>
          </w:p>
        </w:tc>
        <w:tc>
          <w:tcPr>
            <w:tcW w:w="1134" w:type="dxa"/>
            <w:shd w:val="clear" w:color="auto" w:fill="auto"/>
          </w:tcPr>
          <w:p w14:paraId="5B927AC2" w14:textId="77777777" w:rsidR="00D96295" w:rsidRPr="0070167D" w:rsidRDefault="00D96295" w:rsidP="00E8062F">
            <w:pPr>
              <w:spacing w:line="360" w:lineRule="auto"/>
              <w:ind w:left="720" w:hanging="720"/>
              <w:jc w:val="center"/>
              <w:rPr>
                <w:sz w:val="22"/>
                <w:szCs w:val="22"/>
              </w:rPr>
            </w:pPr>
            <w:r w:rsidRPr="0070167D">
              <w:rPr>
                <w:sz w:val="22"/>
                <w:szCs w:val="22"/>
              </w:rPr>
              <w:t>0</w:t>
            </w:r>
          </w:p>
        </w:tc>
        <w:tc>
          <w:tcPr>
            <w:tcW w:w="1417" w:type="dxa"/>
            <w:shd w:val="clear" w:color="auto" w:fill="auto"/>
          </w:tcPr>
          <w:p w14:paraId="1D7C4E5A" w14:textId="77777777" w:rsidR="00D96295" w:rsidRPr="0070167D" w:rsidRDefault="00D96295" w:rsidP="00E8062F">
            <w:pPr>
              <w:spacing w:line="360" w:lineRule="auto"/>
              <w:ind w:left="720" w:hanging="720"/>
              <w:jc w:val="center"/>
              <w:rPr>
                <w:sz w:val="22"/>
                <w:szCs w:val="22"/>
              </w:rPr>
            </w:pPr>
            <w:r w:rsidRPr="0070167D">
              <w:rPr>
                <w:sz w:val="22"/>
                <w:szCs w:val="22"/>
              </w:rPr>
              <w:t>2</w:t>
            </w:r>
          </w:p>
        </w:tc>
      </w:tr>
    </w:tbl>
    <w:p w14:paraId="78AECC12" w14:textId="77777777" w:rsidR="00D96295" w:rsidRPr="00105454" w:rsidRDefault="00D96295" w:rsidP="00D96295">
      <w:pPr>
        <w:spacing w:line="360" w:lineRule="auto"/>
        <w:ind w:left="720" w:hanging="720"/>
        <w:rPr>
          <w:sz w:val="24"/>
        </w:rPr>
      </w:pPr>
    </w:p>
    <w:p w14:paraId="64D7C693" w14:textId="77777777" w:rsidR="00D96295" w:rsidRPr="00105454" w:rsidRDefault="00D96295" w:rsidP="00D96295">
      <w:pPr>
        <w:spacing w:line="360" w:lineRule="auto"/>
        <w:rPr>
          <w:sz w:val="24"/>
        </w:rPr>
      </w:pPr>
      <w:r w:rsidRPr="00105454">
        <w:rPr>
          <w:sz w:val="24"/>
        </w:rPr>
        <w:t xml:space="preserve">Source: </w:t>
      </w:r>
      <w:r>
        <w:rPr>
          <w:sz w:val="24"/>
        </w:rPr>
        <w:t>Lending/GDP: Hannah, 2017, 85; all other data: Fohlin, 2016, 402</w:t>
      </w:r>
      <w:r w:rsidRPr="00AC10FE">
        <w:rPr>
          <w:bCs/>
          <w:sz w:val="24"/>
        </w:rPr>
        <w:t>–</w:t>
      </w:r>
      <w:r>
        <w:rPr>
          <w:sz w:val="24"/>
        </w:rPr>
        <w:t>405, 415</w:t>
      </w:r>
      <w:r w:rsidRPr="00AC10FE">
        <w:rPr>
          <w:bCs/>
          <w:sz w:val="24"/>
        </w:rPr>
        <w:t>–</w:t>
      </w:r>
      <w:r>
        <w:rPr>
          <w:sz w:val="24"/>
        </w:rPr>
        <w:t>416</w:t>
      </w:r>
    </w:p>
    <w:p w14:paraId="44E9CEF1" w14:textId="77777777" w:rsidR="00D96295" w:rsidRPr="00105454" w:rsidRDefault="00D96295" w:rsidP="00D96295">
      <w:pPr>
        <w:spacing w:line="360" w:lineRule="auto"/>
        <w:ind w:left="720" w:hanging="720"/>
        <w:rPr>
          <w:sz w:val="24"/>
        </w:rPr>
      </w:pPr>
    </w:p>
    <w:p w14:paraId="58B4CFB6" w14:textId="77777777" w:rsidR="00D96295" w:rsidRDefault="00D96295" w:rsidP="00D96295">
      <w:pPr>
        <w:ind w:left="720" w:hanging="720"/>
        <w:rPr>
          <w:sz w:val="24"/>
        </w:rPr>
        <w:sectPr w:rsidR="00D96295" w:rsidSect="00AC10FE">
          <w:footerReference w:type="even" r:id="rId11"/>
          <w:footerReference w:type="default" r:id="rId12"/>
          <w:endnotePr>
            <w:numFmt w:val="decimal"/>
          </w:endnotePr>
          <w:pgSz w:w="11907" w:h="16840" w:code="9"/>
          <w:pgMar w:top="1440" w:right="1797" w:bottom="1440" w:left="1797" w:header="720" w:footer="720" w:gutter="0"/>
          <w:cols w:space="720"/>
          <w:docGrid w:linePitch="272"/>
        </w:sectPr>
      </w:pPr>
    </w:p>
    <w:p w14:paraId="2B9162FE" w14:textId="77777777" w:rsidR="00D96295" w:rsidRPr="00C251B4" w:rsidRDefault="00D96295" w:rsidP="00D96295">
      <w:pPr>
        <w:spacing w:line="480" w:lineRule="auto"/>
        <w:rPr>
          <w:b/>
          <w:sz w:val="24"/>
          <w:szCs w:val="24"/>
        </w:rPr>
      </w:pPr>
      <w:r w:rsidRPr="00C251B4">
        <w:rPr>
          <w:b/>
          <w:sz w:val="24"/>
          <w:szCs w:val="24"/>
        </w:rPr>
        <w:lastRenderedPageBreak/>
        <w:t xml:space="preserve">Table </w:t>
      </w:r>
      <w:r>
        <w:rPr>
          <w:b/>
          <w:sz w:val="24"/>
          <w:szCs w:val="24"/>
        </w:rPr>
        <w:t>2</w:t>
      </w:r>
      <w:r w:rsidRPr="00C251B4">
        <w:rPr>
          <w:b/>
          <w:sz w:val="24"/>
          <w:szCs w:val="24"/>
        </w:rPr>
        <w:t>: UK Banking in outline, 1900-1921</w:t>
      </w:r>
    </w:p>
    <w:p w14:paraId="038F7701" w14:textId="77777777" w:rsidR="00D96295" w:rsidRPr="00C251B4" w:rsidRDefault="00D96295" w:rsidP="00D96295">
      <w:pPr>
        <w:spacing w:line="480" w:lineRule="auto"/>
        <w:rPr>
          <w:sz w:val="24"/>
          <w:szCs w:val="24"/>
        </w:rPr>
      </w:pP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51"/>
        <w:gridCol w:w="1879"/>
        <w:gridCol w:w="1739"/>
        <w:gridCol w:w="1809"/>
        <w:gridCol w:w="1810"/>
      </w:tblGrid>
      <w:tr w:rsidR="00D96295" w:rsidRPr="00C251B4" w14:paraId="08D39BCE" w14:textId="77777777" w:rsidTr="00E8062F">
        <w:trPr>
          <w:trHeight w:val="426"/>
        </w:trPr>
        <w:tc>
          <w:tcPr>
            <w:tcW w:w="951" w:type="dxa"/>
            <w:vMerge w:val="restart"/>
            <w:shd w:val="clear" w:color="auto" w:fill="auto"/>
            <w:vAlign w:val="bottom"/>
            <w:hideMark/>
          </w:tcPr>
          <w:p w14:paraId="31D514D7" w14:textId="77777777" w:rsidR="00D96295" w:rsidRPr="00C251B4" w:rsidRDefault="00D96295" w:rsidP="00E8062F">
            <w:pPr>
              <w:spacing w:line="480" w:lineRule="auto"/>
              <w:rPr>
                <w:sz w:val="24"/>
                <w:szCs w:val="24"/>
              </w:rPr>
            </w:pPr>
            <w:r w:rsidRPr="00C251B4">
              <w:rPr>
                <w:bCs/>
                <w:sz w:val="24"/>
                <w:szCs w:val="24"/>
              </w:rPr>
              <w:t>Year</w:t>
            </w:r>
          </w:p>
        </w:tc>
        <w:tc>
          <w:tcPr>
            <w:tcW w:w="3618" w:type="dxa"/>
            <w:gridSpan w:val="2"/>
            <w:shd w:val="clear" w:color="auto" w:fill="auto"/>
            <w:hideMark/>
          </w:tcPr>
          <w:p w14:paraId="568D4DC7" w14:textId="77777777" w:rsidR="00D96295" w:rsidRPr="00C251B4" w:rsidRDefault="00D96295" w:rsidP="00E8062F">
            <w:pPr>
              <w:spacing w:line="480" w:lineRule="auto"/>
              <w:jc w:val="center"/>
              <w:rPr>
                <w:sz w:val="24"/>
                <w:szCs w:val="24"/>
              </w:rPr>
            </w:pPr>
            <w:r w:rsidRPr="00C251B4">
              <w:rPr>
                <w:bCs/>
                <w:sz w:val="24"/>
                <w:szCs w:val="24"/>
              </w:rPr>
              <w:t>total number of</w:t>
            </w:r>
            <w:r>
              <w:rPr>
                <w:bCs/>
                <w:sz w:val="24"/>
                <w:szCs w:val="24"/>
              </w:rPr>
              <w:t xml:space="preserve"> UK</w:t>
            </w:r>
          </w:p>
        </w:tc>
        <w:tc>
          <w:tcPr>
            <w:tcW w:w="3619" w:type="dxa"/>
            <w:gridSpan w:val="2"/>
            <w:shd w:val="clear" w:color="auto" w:fill="auto"/>
            <w:hideMark/>
          </w:tcPr>
          <w:p w14:paraId="05EDA4B0" w14:textId="77777777" w:rsidR="00D96295" w:rsidRPr="00C251B4" w:rsidRDefault="00D96295" w:rsidP="00E8062F">
            <w:pPr>
              <w:spacing w:line="480" w:lineRule="auto"/>
              <w:jc w:val="center"/>
              <w:rPr>
                <w:sz w:val="24"/>
                <w:szCs w:val="24"/>
              </w:rPr>
            </w:pPr>
            <w:r>
              <w:rPr>
                <w:bCs/>
                <w:sz w:val="24"/>
                <w:szCs w:val="24"/>
              </w:rPr>
              <w:t>five</w:t>
            </w:r>
            <w:r w:rsidRPr="00C251B4">
              <w:rPr>
                <w:bCs/>
                <w:sz w:val="24"/>
                <w:szCs w:val="24"/>
              </w:rPr>
              <w:t xml:space="preserve"> largest </w:t>
            </w:r>
            <w:r>
              <w:rPr>
                <w:bCs/>
                <w:sz w:val="24"/>
                <w:szCs w:val="24"/>
              </w:rPr>
              <w:t xml:space="preserve">UK </w:t>
            </w:r>
            <w:r w:rsidRPr="00C251B4">
              <w:rPr>
                <w:bCs/>
                <w:sz w:val="24"/>
                <w:szCs w:val="24"/>
              </w:rPr>
              <w:t>banks</w:t>
            </w:r>
            <w:r>
              <w:rPr>
                <w:bCs/>
                <w:sz w:val="24"/>
                <w:szCs w:val="24"/>
              </w:rPr>
              <w:t>’ percentage share of total bank</w:t>
            </w:r>
          </w:p>
        </w:tc>
      </w:tr>
      <w:tr w:rsidR="00D96295" w:rsidRPr="00C251B4" w14:paraId="6D0629A7" w14:textId="77777777" w:rsidTr="00E8062F">
        <w:trPr>
          <w:trHeight w:val="686"/>
        </w:trPr>
        <w:tc>
          <w:tcPr>
            <w:tcW w:w="951" w:type="dxa"/>
            <w:vMerge/>
            <w:shd w:val="clear" w:color="auto" w:fill="auto"/>
            <w:hideMark/>
          </w:tcPr>
          <w:p w14:paraId="390CD33A" w14:textId="77777777" w:rsidR="00D96295" w:rsidRPr="00C251B4" w:rsidRDefault="00D96295" w:rsidP="00E8062F">
            <w:pPr>
              <w:spacing w:line="480" w:lineRule="auto"/>
              <w:rPr>
                <w:sz w:val="24"/>
                <w:szCs w:val="24"/>
              </w:rPr>
            </w:pPr>
          </w:p>
        </w:tc>
        <w:tc>
          <w:tcPr>
            <w:tcW w:w="1879" w:type="dxa"/>
            <w:shd w:val="clear" w:color="auto" w:fill="auto"/>
            <w:hideMark/>
          </w:tcPr>
          <w:p w14:paraId="3C10240C" w14:textId="77777777" w:rsidR="00D96295" w:rsidRPr="00C251B4" w:rsidRDefault="00D96295" w:rsidP="00E8062F">
            <w:pPr>
              <w:spacing w:line="480" w:lineRule="auto"/>
              <w:jc w:val="center"/>
              <w:rPr>
                <w:sz w:val="24"/>
                <w:szCs w:val="24"/>
              </w:rPr>
            </w:pPr>
            <w:r w:rsidRPr="00C251B4">
              <w:rPr>
                <w:sz w:val="24"/>
                <w:szCs w:val="24"/>
              </w:rPr>
              <w:t>joint-stock banks</w:t>
            </w:r>
          </w:p>
        </w:tc>
        <w:tc>
          <w:tcPr>
            <w:tcW w:w="1739" w:type="dxa"/>
            <w:shd w:val="clear" w:color="auto" w:fill="auto"/>
            <w:hideMark/>
          </w:tcPr>
          <w:p w14:paraId="5243C13E" w14:textId="77777777" w:rsidR="00D96295" w:rsidRPr="00C251B4" w:rsidRDefault="00D96295" w:rsidP="00E8062F">
            <w:pPr>
              <w:spacing w:line="480" w:lineRule="auto"/>
              <w:jc w:val="center"/>
              <w:rPr>
                <w:sz w:val="24"/>
                <w:szCs w:val="24"/>
              </w:rPr>
            </w:pPr>
            <w:r w:rsidRPr="00C251B4">
              <w:rPr>
                <w:sz w:val="24"/>
                <w:szCs w:val="24"/>
              </w:rPr>
              <w:t>bank branches</w:t>
            </w:r>
          </w:p>
        </w:tc>
        <w:tc>
          <w:tcPr>
            <w:tcW w:w="1809" w:type="dxa"/>
            <w:shd w:val="clear" w:color="auto" w:fill="auto"/>
            <w:hideMark/>
          </w:tcPr>
          <w:p w14:paraId="0C593C0C" w14:textId="77777777" w:rsidR="00D96295" w:rsidRPr="00C251B4" w:rsidRDefault="00D96295" w:rsidP="00E8062F">
            <w:pPr>
              <w:spacing w:line="480" w:lineRule="auto"/>
              <w:jc w:val="center"/>
              <w:rPr>
                <w:sz w:val="24"/>
                <w:szCs w:val="24"/>
              </w:rPr>
            </w:pPr>
            <w:r w:rsidRPr="00C251B4">
              <w:rPr>
                <w:sz w:val="24"/>
                <w:szCs w:val="24"/>
              </w:rPr>
              <w:t xml:space="preserve">deposits </w:t>
            </w:r>
          </w:p>
        </w:tc>
        <w:tc>
          <w:tcPr>
            <w:tcW w:w="1810" w:type="dxa"/>
            <w:shd w:val="clear" w:color="auto" w:fill="auto"/>
            <w:hideMark/>
          </w:tcPr>
          <w:p w14:paraId="566147A3" w14:textId="77777777" w:rsidR="00D96295" w:rsidRPr="00C251B4" w:rsidRDefault="00D96295" w:rsidP="00E8062F">
            <w:pPr>
              <w:spacing w:line="480" w:lineRule="auto"/>
              <w:jc w:val="center"/>
              <w:rPr>
                <w:sz w:val="24"/>
                <w:szCs w:val="24"/>
              </w:rPr>
            </w:pPr>
            <w:r w:rsidRPr="00C251B4">
              <w:rPr>
                <w:sz w:val="24"/>
                <w:szCs w:val="24"/>
              </w:rPr>
              <w:t>branches</w:t>
            </w:r>
          </w:p>
        </w:tc>
      </w:tr>
      <w:tr w:rsidR="00D96295" w:rsidRPr="00C251B4" w14:paraId="428573A3" w14:textId="77777777" w:rsidTr="00E8062F">
        <w:trPr>
          <w:trHeight w:val="319"/>
        </w:trPr>
        <w:tc>
          <w:tcPr>
            <w:tcW w:w="951" w:type="dxa"/>
            <w:shd w:val="clear" w:color="auto" w:fill="auto"/>
            <w:hideMark/>
          </w:tcPr>
          <w:p w14:paraId="2078EC06" w14:textId="77777777" w:rsidR="00D96295" w:rsidRPr="00C251B4" w:rsidRDefault="00D96295" w:rsidP="00E8062F">
            <w:pPr>
              <w:spacing w:line="480" w:lineRule="auto"/>
              <w:rPr>
                <w:sz w:val="24"/>
                <w:szCs w:val="24"/>
              </w:rPr>
            </w:pPr>
            <w:r w:rsidRPr="00C251B4">
              <w:rPr>
                <w:sz w:val="24"/>
                <w:szCs w:val="24"/>
              </w:rPr>
              <w:t>1900</w:t>
            </w:r>
          </w:p>
        </w:tc>
        <w:tc>
          <w:tcPr>
            <w:tcW w:w="1879" w:type="dxa"/>
            <w:shd w:val="clear" w:color="auto" w:fill="auto"/>
            <w:hideMark/>
          </w:tcPr>
          <w:p w14:paraId="5A035B80" w14:textId="77777777" w:rsidR="00D96295" w:rsidRPr="00C251B4" w:rsidRDefault="00D96295" w:rsidP="00E8062F">
            <w:pPr>
              <w:spacing w:line="480" w:lineRule="auto"/>
              <w:jc w:val="center"/>
              <w:rPr>
                <w:sz w:val="24"/>
                <w:szCs w:val="24"/>
              </w:rPr>
            </w:pPr>
            <w:r w:rsidRPr="00C251B4">
              <w:rPr>
                <w:sz w:val="24"/>
                <w:szCs w:val="24"/>
              </w:rPr>
              <w:t>188</w:t>
            </w:r>
          </w:p>
        </w:tc>
        <w:tc>
          <w:tcPr>
            <w:tcW w:w="1739" w:type="dxa"/>
            <w:shd w:val="clear" w:color="auto" w:fill="auto"/>
            <w:hideMark/>
          </w:tcPr>
          <w:p w14:paraId="4DDA159D" w14:textId="77777777" w:rsidR="00D96295" w:rsidRPr="00C251B4" w:rsidRDefault="00D96295" w:rsidP="00E8062F">
            <w:pPr>
              <w:spacing w:line="480" w:lineRule="auto"/>
              <w:jc w:val="center"/>
              <w:rPr>
                <w:sz w:val="24"/>
                <w:szCs w:val="24"/>
              </w:rPr>
            </w:pPr>
            <w:r w:rsidRPr="00C251B4">
              <w:rPr>
                <w:sz w:val="24"/>
                <w:szCs w:val="24"/>
              </w:rPr>
              <w:t>5</w:t>
            </w:r>
            <w:r>
              <w:rPr>
                <w:sz w:val="24"/>
                <w:szCs w:val="24"/>
              </w:rPr>
              <w:t>,</w:t>
            </w:r>
            <w:r w:rsidRPr="00C251B4">
              <w:rPr>
                <w:sz w:val="24"/>
                <w:szCs w:val="24"/>
              </w:rPr>
              <w:t>922</w:t>
            </w:r>
          </w:p>
        </w:tc>
        <w:tc>
          <w:tcPr>
            <w:tcW w:w="1809" w:type="dxa"/>
            <w:shd w:val="clear" w:color="auto" w:fill="auto"/>
            <w:hideMark/>
          </w:tcPr>
          <w:p w14:paraId="427C1941" w14:textId="77777777" w:rsidR="00D96295" w:rsidRPr="00C251B4" w:rsidRDefault="00D96295" w:rsidP="00E8062F">
            <w:pPr>
              <w:spacing w:line="480" w:lineRule="auto"/>
              <w:jc w:val="center"/>
              <w:rPr>
                <w:sz w:val="24"/>
                <w:szCs w:val="24"/>
              </w:rPr>
            </w:pPr>
            <w:r w:rsidRPr="00C251B4">
              <w:rPr>
                <w:sz w:val="24"/>
                <w:szCs w:val="24"/>
              </w:rPr>
              <w:t>24.7</w:t>
            </w:r>
          </w:p>
        </w:tc>
        <w:tc>
          <w:tcPr>
            <w:tcW w:w="1810" w:type="dxa"/>
            <w:shd w:val="clear" w:color="auto" w:fill="auto"/>
            <w:hideMark/>
          </w:tcPr>
          <w:p w14:paraId="2DE197B3" w14:textId="77777777" w:rsidR="00D96295" w:rsidRPr="00C251B4" w:rsidRDefault="00D96295" w:rsidP="00E8062F">
            <w:pPr>
              <w:spacing w:line="480" w:lineRule="auto"/>
              <w:jc w:val="center"/>
              <w:rPr>
                <w:sz w:val="24"/>
                <w:szCs w:val="24"/>
              </w:rPr>
            </w:pPr>
            <w:r w:rsidRPr="00C251B4">
              <w:rPr>
                <w:sz w:val="24"/>
                <w:szCs w:val="24"/>
              </w:rPr>
              <w:t>21.9</w:t>
            </w:r>
          </w:p>
        </w:tc>
      </w:tr>
      <w:tr w:rsidR="00D96295" w:rsidRPr="00C251B4" w14:paraId="57B50339" w14:textId="77777777" w:rsidTr="00E8062F">
        <w:trPr>
          <w:trHeight w:val="319"/>
        </w:trPr>
        <w:tc>
          <w:tcPr>
            <w:tcW w:w="951" w:type="dxa"/>
            <w:shd w:val="clear" w:color="auto" w:fill="auto"/>
            <w:hideMark/>
          </w:tcPr>
          <w:p w14:paraId="14B2043E" w14:textId="77777777" w:rsidR="00D96295" w:rsidRPr="00C251B4" w:rsidRDefault="00D96295" w:rsidP="00E8062F">
            <w:pPr>
              <w:spacing w:line="480" w:lineRule="auto"/>
              <w:rPr>
                <w:sz w:val="24"/>
                <w:szCs w:val="24"/>
              </w:rPr>
            </w:pPr>
            <w:r w:rsidRPr="00C251B4">
              <w:rPr>
                <w:sz w:val="24"/>
                <w:szCs w:val="24"/>
              </w:rPr>
              <w:t>1905</w:t>
            </w:r>
          </w:p>
        </w:tc>
        <w:tc>
          <w:tcPr>
            <w:tcW w:w="1879" w:type="dxa"/>
            <w:shd w:val="clear" w:color="auto" w:fill="auto"/>
            <w:hideMark/>
          </w:tcPr>
          <w:p w14:paraId="0C5971B4" w14:textId="77777777" w:rsidR="00D96295" w:rsidRPr="00C251B4" w:rsidRDefault="00D96295" w:rsidP="00E8062F">
            <w:pPr>
              <w:spacing w:line="480" w:lineRule="auto"/>
              <w:jc w:val="center"/>
              <w:rPr>
                <w:sz w:val="24"/>
                <w:szCs w:val="24"/>
              </w:rPr>
            </w:pPr>
            <w:r w:rsidRPr="00C251B4">
              <w:rPr>
                <w:sz w:val="24"/>
                <w:szCs w:val="24"/>
              </w:rPr>
              <w:t>137</w:t>
            </w:r>
          </w:p>
        </w:tc>
        <w:tc>
          <w:tcPr>
            <w:tcW w:w="1739" w:type="dxa"/>
            <w:shd w:val="clear" w:color="auto" w:fill="auto"/>
            <w:hideMark/>
          </w:tcPr>
          <w:p w14:paraId="5E6BBC30" w14:textId="77777777" w:rsidR="00D96295" w:rsidRPr="00C251B4" w:rsidRDefault="00D96295" w:rsidP="00E8062F">
            <w:pPr>
              <w:spacing w:line="480" w:lineRule="auto"/>
              <w:jc w:val="center"/>
              <w:rPr>
                <w:sz w:val="24"/>
                <w:szCs w:val="24"/>
              </w:rPr>
            </w:pPr>
            <w:r w:rsidRPr="00C251B4">
              <w:rPr>
                <w:sz w:val="24"/>
                <w:szCs w:val="24"/>
              </w:rPr>
              <w:t>6</w:t>
            </w:r>
            <w:r>
              <w:rPr>
                <w:sz w:val="24"/>
                <w:szCs w:val="24"/>
              </w:rPr>
              <w:t>,</w:t>
            </w:r>
            <w:r w:rsidRPr="00C251B4">
              <w:rPr>
                <w:sz w:val="24"/>
                <w:szCs w:val="24"/>
              </w:rPr>
              <w:t>759</w:t>
            </w:r>
          </w:p>
        </w:tc>
        <w:tc>
          <w:tcPr>
            <w:tcW w:w="1809" w:type="dxa"/>
            <w:shd w:val="clear" w:color="auto" w:fill="auto"/>
            <w:hideMark/>
          </w:tcPr>
          <w:p w14:paraId="661F674F" w14:textId="77777777" w:rsidR="00D96295" w:rsidRPr="00C251B4" w:rsidRDefault="00D96295" w:rsidP="00E8062F">
            <w:pPr>
              <w:spacing w:line="480" w:lineRule="auto"/>
              <w:jc w:val="center"/>
              <w:rPr>
                <w:sz w:val="24"/>
                <w:szCs w:val="24"/>
              </w:rPr>
            </w:pPr>
            <w:r w:rsidRPr="00C251B4">
              <w:rPr>
                <w:sz w:val="24"/>
                <w:szCs w:val="24"/>
              </w:rPr>
              <w:t>28.7</w:t>
            </w:r>
          </w:p>
        </w:tc>
        <w:tc>
          <w:tcPr>
            <w:tcW w:w="1810" w:type="dxa"/>
            <w:shd w:val="clear" w:color="auto" w:fill="auto"/>
            <w:hideMark/>
          </w:tcPr>
          <w:p w14:paraId="5DCB34CA" w14:textId="77777777" w:rsidR="00D96295" w:rsidRPr="00C251B4" w:rsidRDefault="00D96295" w:rsidP="00E8062F">
            <w:pPr>
              <w:spacing w:line="480" w:lineRule="auto"/>
              <w:jc w:val="center"/>
              <w:rPr>
                <w:sz w:val="24"/>
                <w:szCs w:val="24"/>
              </w:rPr>
            </w:pPr>
            <w:r w:rsidRPr="00C251B4">
              <w:rPr>
                <w:sz w:val="24"/>
                <w:szCs w:val="24"/>
              </w:rPr>
              <w:t>19.8</w:t>
            </w:r>
          </w:p>
        </w:tc>
      </w:tr>
      <w:tr w:rsidR="00D96295" w:rsidRPr="00C251B4" w14:paraId="67BBA8F6" w14:textId="77777777" w:rsidTr="00E8062F">
        <w:trPr>
          <w:trHeight w:val="319"/>
        </w:trPr>
        <w:tc>
          <w:tcPr>
            <w:tcW w:w="951" w:type="dxa"/>
            <w:shd w:val="clear" w:color="auto" w:fill="auto"/>
            <w:hideMark/>
          </w:tcPr>
          <w:p w14:paraId="56497361" w14:textId="77777777" w:rsidR="00D96295" w:rsidRPr="00C251B4" w:rsidRDefault="00D96295" w:rsidP="00E8062F">
            <w:pPr>
              <w:spacing w:line="480" w:lineRule="auto"/>
              <w:rPr>
                <w:sz w:val="24"/>
                <w:szCs w:val="24"/>
              </w:rPr>
            </w:pPr>
            <w:r w:rsidRPr="00C251B4">
              <w:rPr>
                <w:sz w:val="24"/>
                <w:szCs w:val="24"/>
              </w:rPr>
              <w:t>1910</w:t>
            </w:r>
          </w:p>
        </w:tc>
        <w:tc>
          <w:tcPr>
            <w:tcW w:w="1879" w:type="dxa"/>
            <w:shd w:val="clear" w:color="auto" w:fill="auto"/>
            <w:hideMark/>
          </w:tcPr>
          <w:p w14:paraId="5ADC29A0" w14:textId="77777777" w:rsidR="00D96295" w:rsidRPr="00C251B4" w:rsidRDefault="00D96295" w:rsidP="00E8062F">
            <w:pPr>
              <w:spacing w:line="480" w:lineRule="auto"/>
              <w:jc w:val="center"/>
              <w:rPr>
                <w:sz w:val="24"/>
                <w:szCs w:val="24"/>
              </w:rPr>
            </w:pPr>
            <w:r w:rsidRPr="00C251B4">
              <w:rPr>
                <w:sz w:val="24"/>
                <w:szCs w:val="24"/>
              </w:rPr>
              <w:t>112</w:t>
            </w:r>
          </w:p>
        </w:tc>
        <w:tc>
          <w:tcPr>
            <w:tcW w:w="1739" w:type="dxa"/>
            <w:shd w:val="clear" w:color="auto" w:fill="auto"/>
            <w:hideMark/>
          </w:tcPr>
          <w:p w14:paraId="4B35D3B7" w14:textId="77777777" w:rsidR="00D96295" w:rsidRPr="00C251B4" w:rsidRDefault="00D96295" w:rsidP="00E8062F">
            <w:pPr>
              <w:spacing w:line="480" w:lineRule="auto"/>
              <w:jc w:val="center"/>
              <w:rPr>
                <w:sz w:val="24"/>
                <w:szCs w:val="24"/>
              </w:rPr>
            </w:pPr>
            <w:r w:rsidRPr="00C251B4">
              <w:rPr>
                <w:sz w:val="24"/>
                <w:szCs w:val="24"/>
              </w:rPr>
              <w:t>7</w:t>
            </w:r>
            <w:r>
              <w:rPr>
                <w:sz w:val="24"/>
                <w:szCs w:val="24"/>
              </w:rPr>
              <w:t>,</w:t>
            </w:r>
            <w:r w:rsidRPr="00C251B4">
              <w:rPr>
                <w:sz w:val="24"/>
                <w:szCs w:val="24"/>
              </w:rPr>
              <w:t>564</w:t>
            </w:r>
          </w:p>
        </w:tc>
        <w:tc>
          <w:tcPr>
            <w:tcW w:w="1809" w:type="dxa"/>
            <w:shd w:val="clear" w:color="auto" w:fill="auto"/>
            <w:hideMark/>
          </w:tcPr>
          <w:p w14:paraId="6B07DF3B" w14:textId="77777777" w:rsidR="00D96295" w:rsidRPr="00C251B4" w:rsidRDefault="00D96295" w:rsidP="00E8062F">
            <w:pPr>
              <w:spacing w:line="480" w:lineRule="auto"/>
              <w:jc w:val="center"/>
              <w:rPr>
                <w:sz w:val="24"/>
                <w:szCs w:val="24"/>
              </w:rPr>
            </w:pPr>
            <w:r w:rsidRPr="00C251B4">
              <w:rPr>
                <w:sz w:val="24"/>
                <w:szCs w:val="24"/>
              </w:rPr>
              <w:t>36.7</w:t>
            </w:r>
          </w:p>
        </w:tc>
        <w:tc>
          <w:tcPr>
            <w:tcW w:w="1810" w:type="dxa"/>
            <w:shd w:val="clear" w:color="auto" w:fill="auto"/>
            <w:hideMark/>
          </w:tcPr>
          <w:p w14:paraId="280BCCC7" w14:textId="77777777" w:rsidR="00D96295" w:rsidRPr="00C251B4" w:rsidRDefault="00D96295" w:rsidP="00E8062F">
            <w:pPr>
              <w:spacing w:line="480" w:lineRule="auto"/>
              <w:jc w:val="center"/>
              <w:rPr>
                <w:sz w:val="24"/>
                <w:szCs w:val="24"/>
              </w:rPr>
            </w:pPr>
            <w:r w:rsidRPr="00C251B4">
              <w:rPr>
                <w:sz w:val="24"/>
                <w:szCs w:val="24"/>
              </w:rPr>
              <w:t>32.5</w:t>
            </w:r>
          </w:p>
        </w:tc>
      </w:tr>
      <w:tr w:rsidR="00D96295" w:rsidRPr="00C251B4" w14:paraId="6FB6F34F" w14:textId="77777777" w:rsidTr="00E8062F">
        <w:trPr>
          <w:trHeight w:val="319"/>
        </w:trPr>
        <w:tc>
          <w:tcPr>
            <w:tcW w:w="951" w:type="dxa"/>
            <w:shd w:val="clear" w:color="auto" w:fill="auto"/>
            <w:hideMark/>
          </w:tcPr>
          <w:p w14:paraId="254DC7D3" w14:textId="77777777" w:rsidR="00D96295" w:rsidRPr="00C251B4" w:rsidRDefault="00D96295" w:rsidP="00E8062F">
            <w:pPr>
              <w:spacing w:line="480" w:lineRule="auto"/>
              <w:rPr>
                <w:sz w:val="24"/>
                <w:szCs w:val="24"/>
              </w:rPr>
            </w:pPr>
            <w:r w:rsidRPr="00C251B4">
              <w:rPr>
                <w:sz w:val="24"/>
                <w:szCs w:val="24"/>
              </w:rPr>
              <w:t>1915</w:t>
            </w:r>
          </w:p>
        </w:tc>
        <w:tc>
          <w:tcPr>
            <w:tcW w:w="1879" w:type="dxa"/>
            <w:shd w:val="clear" w:color="auto" w:fill="auto"/>
            <w:hideMark/>
          </w:tcPr>
          <w:p w14:paraId="33F7B70E" w14:textId="77777777" w:rsidR="00D96295" w:rsidRPr="00C251B4" w:rsidRDefault="00D96295" w:rsidP="00E8062F">
            <w:pPr>
              <w:spacing w:line="480" w:lineRule="auto"/>
              <w:jc w:val="center"/>
              <w:rPr>
                <w:sz w:val="24"/>
                <w:szCs w:val="24"/>
              </w:rPr>
            </w:pPr>
            <w:r w:rsidRPr="00C251B4">
              <w:rPr>
                <w:sz w:val="24"/>
                <w:szCs w:val="24"/>
              </w:rPr>
              <w:t>96</w:t>
            </w:r>
          </w:p>
        </w:tc>
        <w:tc>
          <w:tcPr>
            <w:tcW w:w="1739" w:type="dxa"/>
            <w:shd w:val="clear" w:color="auto" w:fill="auto"/>
            <w:hideMark/>
          </w:tcPr>
          <w:p w14:paraId="41365FEA" w14:textId="77777777" w:rsidR="00D96295" w:rsidRPr="00C251B4" w:rsidRDefault="00D96295" w:rsidP="00E8062F">
            <w:pPr>
              <w:spacing w:line="480" w:lineRule="auto"/>
              <w:jc w:val="center"/>
              <w:rPr>
                <w:sz w:val="24"/>
                <w:szCs w:val="24"/>
              </w:rPr>
            </w:pPr>
            <w:r w:rsidRPr="00C251B4">
              <w:rPr>
                <w:sz w:val="24"/>
                <w:szCs w:val="24"/>
              </w:rPr>
              <w:t>8</w:t>
            </w:r>
            <w:r>
              <w:rPr>
                <w:sz w:val="24"/>
                <w:szCs w:val="24"/>
              </w:rPr>
              <w:t>,</w:t>
            </w:r>
            <w:r w:rsidRPr="00C251B4">
              <w:rPr>
                <w:sz w:val="24"/>
                <w:szCs w:val="24"/>
              </w:rPr>
              <w:t>494</w:t>
            </w:r>
          </w:p>
        </w:tc>
        <w:tc>
          <w:tcPr>
            <w:tcW w:w="1809" w:type="dxa"/>
            <w:shd w:val="clear" w:color="auto" w:fill="auto"/>
            <w:hideMark/>
          </w:tcPr>
          <w:p w14:paraId="5E0A66F4" w14:textId="77777777" w:rsidR="00D96295" w:rsidRPr="00C251B4" w:rsidRDefault="00D96295" w:rsidP="00E8062F">
            <w:pPr>
              <w:spacing w:line="480" w:lineRule="auto"/>
              <w:jc w:val="center"/>
              <w:rPr>
                <w:sz w:val="24"/>
                <w:szCs w:val="24"/>
              </w:rPr>
            </w:pPr>
            <w:r w:rsidRPr="00C251B4">
              <w:rPr>
                <w:sz w:val="24"/>
                <w:szCs w:val="24"/>
              </w:rPr>
              <w:t>39.8</w:t>
            </w:r>
          </w:p>
        </w:tc>
        <w:tc>
          <w:tcPr>
            <w:tcW w:w="1810" w:type="dxa"/>
            <w:shd w:val="clear" w:color="auto" w:fill="auto"/>
            <w:hideMark/>
          </w:tcPr>
          <w:p w14:paraId="501C7B67" w14:textId="77777777" w:rsidR="00D96295" w:rsidRPr="00C251B4" w:rsidRDefault="00D96295" w:rsidP="00E8062F">
            <w:pPr>
              <w:spacing w:line="480" w:lineRule="auto"/>
              <w:jc w:val="center"/>
              <w:rPr>
                <w:sz w:val="24"/>
                <w:szCs w:val="24"/>
              </w:rPr>
            </w:pPr>
            <w:r w:rsidRPr="00C251B4">
              <w:rPr>
                <w:sz w:val="24"/>
                <w:szCs w:val="24"/>
              </w:rPr>
              <w:t>39.9</w:t>
            </w:r>
          </w:p>
        </w:tc>
      </w:tr>
      <w:tr w:rsidR="00D96295" w:rsidRPr="00C251B4" w14:paraId="15575C80" w14:textId="77777777" w:rsidTr="00E8062F">
        <w:trPr>
          <w:trHeight w:val="320"/>
        </w:trPr>
        <w:tc>
          <w:tcPr>
            <w:tcW w:w="951" w:type="dxa"/>
            <w:shd w:val="clear" w:color="auto" w:fill="auto"/>
            <w:hideMark/>
          </w:tcPr>
          <w:p w14:paraId="58A1162F" w14:textId="77777777" w:rsidR="00D96295" w:rsidRPr="00C251B4" w:rsidRDefault="00D96295" w:rsidP="00E8062F">
            <w:pPr>
              <w:spacing w:line="480" w:lineRule="auto"/>
              <w:rPr>
                <w:sz w:val="24"/>
                <w:szCs w:val="24"/>
              </w:rPr>
            </w:pPr>
            <w:r w:rsidRPr="00C251B4">
              <w:rPr>
                <w:sz w:val="24"/>
                <w:szCs w:val="24"/>
              </w:rPr>
              <w:t>1921</w:t>
            </w:r>
          </w:p>
        </w:tc>
        <w:tc>
          <w:tcPr>
            <w:tcW w:w="1879" w:type="dxa"/>
            <w:shd w:val="clear" w:color="auto" w:fill="auto"/>
            <w:hideMark/>
          </w:tcPr>
          <w:p w14:paraId="36DCE5E9" w14:textId="77777777" w:rsidR="00D96295" w:rsidRPr="00C251B4" w:rsidRDefault="00D96295" w:rsidP="00E8062F">
            <w:pPr>
              <w:spacing w:line="480" w:lineRule="auto"/>
              <w:jc w:val="center"/>
              <w:rPr>
                <w:sz w:val="24"/>
                <w:szCs w:val="24"/>
              </w:rPr>
            </w:pPr>
            <w:r w:rsidRPr="00C251B4">
              <w:rPr>
                <w:sz w:val="24"/>
                <w:szCs w:val="24"/>
              </w:rPr>
              <w:t>70</w:t>
            </w:r>
          </w:p>
        </w:tc>
        <w:tc>
          <w:tcPr>
            <w:tcW w:w="1739" w:type="dxa"/>
            <w:shd w:val="clear" w:color="auto" w:fill="auto"/>
            <w:hideMark/>
          </w:tcPr>
          <w:p w14:paraId="536CF781" w14:textId="77777777" w:rsidR="00D96295" w:rsidRPr="00C251B4" w:rsidRDefault="00D96295" w:rsidP="00E8062F">
            <w:pPr>
              <w:spacing w:line="480" w:lineRule="auto"/>
              <w:jc w:val="center"/>
              <w:rPr>
                <w:sz w:val="24"/>
                <w:szCs w:val="24"/>
              </w:rPr>
            </w:pPr>
            <w:r w:rsidRPr="00C251B4">
              <w:rPr>
                <w:sz w:val="24"/>
                <w:szCs w:val="24"/>
              </w:rPr>
              <w:t>9</w:t>
            </w:r>
            <w:r>
              <w:rPr>
                <w:sz w:val="24"/>
                <w:szCs w:val="24"/>
              </w:rPr>
              <w:t>,</w:t>
            </w:r>
            <w:r w:rsidRPr="00C251B4">
              <w:rPr>
                <w:sz w:val="24"/>
                <w:szCs w:val="24"/>
              </w:rPr>
              <w:t>998</w:t>
            </w:r>
          </w:p>
        </w:tc>
        <w:tc>
          <w:tcPr>
            <w:tcW w:w="1809" w:type="dxa"/>
            <w:shd w:val="clear" w:color="auto" w:fill="auto"/>
            <w:hideMark/>
          </w:tcPr>
          <w:p w14:paraId="1660043B" w14:textId="77777777" w:rsidR="00D96295" w:rsidRPr="00C251B4" w:rsidRDefault="00D96295" w:rsidP="00E8062F">
            <w:pPr>
              <w:spacing w:line="480" w:lineRule="auto"/>
              <w:jc w:val="center"/>
              <w:rPr>
                <w:sz w:val="24"/>
                <w:szCs w:val="24"/>
              </w:rPr>
            </w:pPr>
            <w:r w:rsidRPr="00C251B4">
              <w:rPr>
                <w:sz w:val="24"/>
                <w:szCs w:val="24"/>
              </w:rPr>
              <w:t>79.4</w:t>
            </w:r>
          </w:p>
        </w:tc>
        <w:tc>
          <w:tcPr>
            <w:tcW w:w="1810" w:type="dxa"/>
            <w:shd w:val="clear" w:color="auto" w:fill="auto"/>
            <w:hideMark/>
          </w:tcPr>
          <w:p w14:paraId="7C8F0247" w14:textId="77777777" w:rsidR="00D96295" w:rsidRPr="00C251B4" w:rsidRDefault="00D96295" w:rsidP="00E8062F">
            <w:pPr>
              <w:spacing w:line="480" w:lineRule="auto"/>
              <w:jc w:val="center"/>
              <w:rPr>
                <w:sz w:val="24"/>
                <w:szCs w:val="24"/>
              </w:rPr>
            </w:pPr>
            <w:r w:rsidRPr="00C251B4">
              <w:rPr>
                <w:sz w:val="24"/>
                <w:szCs w:val="24"/>
              </w:rPr>
              <w:t>78.5</w:t>
            </w:r>
          </w:p>
        </w:tc>
      </w:tr>
    </w:tbl>
    <w:p w14:paraId="538453F8" w14:textId="77777777" w:rsidR="00D96295" w:rsidRPr="00C251B4" w:rsidRDefault="00D96295" w:rsidP="00D96295">
      <w:pPr>
        <w:spacing w:line="480" w:lineRule="auto"/>
        <w:rPr>
          <w:sz w:val="24"/>
          <w:szCs w:val="24"/>
        </w:rPr>
      </w:pPr>
    </w:p>
    <w:p w14:paraId="16963726" w14:textId="77777777" w:rsidR="00D96295" w:rsidRDefault="00D96295" w:rsidP="00D96295">
      <w:pPr>
        <w:spacing w:line="480" w:lineRule="auto"/>
        <w:rPr>
          <w:bCs/>
          <w:sz w:val="24"/>
          <w:szCs w:val="24"/>
        </w:rPr>
      </w:pPr>
      <w:r w:rsidRPr="00C251B4">
        <w:rPr>
          <w:sz w:val="24"/>
          <w:szCs w:val="24"/>
        </w:rPr>
        <w:t xml:space="preserve">Sources: total numbers of banks and branches: </w:t>
      </w:r>
      <w:r w:rsidRPr="00C251B4">
        <w:rPr>
          <w:bCs/>
          <w:sz w:val="24"/>
          <w:szCs w:val="24"/>
        </w:rPr>
        <w:t xml:space="preserve">Capie </w:t>
      </w:r>
      <w:r>
        <w:rPr>
          <w:bCs/>
          <w:sz w:val="24"/>
          <w:szCs w:val="24"/>
        </w:rPr>
        <w:t xml:space="preserve">and Webber, 1986, </w:t>
      </w:r>
      <w:r w:rsidRPr="00C251B4">
        <w:rPr>
          <w:bCs/>
          <w:sz w:val="24"/>
          <w:szCs w:val="24"/>
        </w:rPr>
        <w:t>577</w:t>
      </w:r>
      <w:r w:rsidRPr="00AC10FE">
        <w:rPr>
          <w:bCs/>
          <w:sz w:val="24"/>
          <w:szCs w:val="24"/>
        </w:rPr>
        <w:t>–</w:t>
      </w:r>
      <w:r w:rsidRPr="00C251B4">
        <w:rPr>
          <w:bCs/>
          <w:sz w:val="24"/>
          <w:szCs w:val="24"/>
        </w:rPr>
        <w:t xml:space="preserve">578; five </w:t>
      </w:r>
      <w:r>
        <w:rPr>
          <w:bCs/>
          <w:sz w:val="24"/>
          <w:szCs w:val="24"/>
        </w:rPr>
        <w:t xml:space="preserve">largest banks: Turner, 2014, </w:t>
      </w:r>
      <w:r w:rsidRPr="00C251B4">
        <w:rPr>
          <w:bCs/>
          <w:sz w:val="24"/>
          <w:szCs w:val="24"/>
        </w:rPr>
        <w:t>45.</w:t>
      </w:r>
      <w:r w:rsidRPr="00C251B4">
        <w:rPr>
          <w:sz w:val="24"/>
          <w:szCs w:val="24"/>
        </w:rPr>
        <w:t xml:space="preserve"> </w:t>
      </w:r>
      <w:r w:rsidRPr="00C251B4">
        <w:rPr>
          <w:bCs/>
          <w:sz w:val="24"/>
          <w:szCs w:val="24"/>
        </w:rPr>
        <w:t>Turner’s data include those banks which were wholly owned by the Big Five but remained separate entities.</w:t>
      </w:r>
    </w:p>
    <w:p w14:paraId="1BCE6F6B" w14:textId="77777777" w:rsidR="00D96295" w:rsidRPr="00C251B4" w:rsidRDefault="00D96295" w:rsidP="00D96295">
      <w:pPr>
        <w:spacing w:line="480" w:lineRule="auto"/>
        <w:rPr>
          <w:sz w:val="24"/>
          <w:szCs w:val="24"/>
        </w:rPr>
      </w:pPr>
    </w:p>
    <w:p w14:paraId="599521B4" w14:textId="77777777" w:rsidR="00D96295" w:rsidRDefault="00D96295" w:rsidP="00D96295">
      <w:pPr>
        <w:overflowPunct/>
        <w:autoSpaceDE/>
        <w:autoSpaceDN/>
        <w:adjustRightInd/>
        <w:textAlignment w:val="auto"/>
        <w:rPr>
          <w:b/>
          <w:sz w:val="24"/>
        </w:rPr>
      </w:pPr>
      <w:r>
        <w:rPr>
          <w:b/>
          <w:sz w:val="24"/>
        </w:rPr>
        <w:br w:type="page"/>
      </w:r>
    </w:p>
    <w:p w14:paraId="493ADB52" w14:textId="77777777" w:rsidR="00D96295" w:rsidRDefault="00D96295" w:rsidP="00D96295">
      <w:pPr>
        <w:rPr>
          <w:b/>
          <w:sz w:val="24"/>
        </w:rPr>
      </w:pPr>
      <w:r>
        <w:rPr>
          <w:b/>
          <w:sz w:val="24"/>
        </w:rPr>
        <w:lastRenderedPageBreak/>
        <w:t>Table 3: The Committee members</w:t>
      </w:r>
    </w:p>
    <w:p w14:paraId="71FCA5F6" w14:textId="77777777" w:rsidR="00D96295" w:rsidRDefault="00D96295" w:rsidP="00D96295">
      <w:pPr>
        <w:rPr>
          <w:b/>
          <w:sz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124"/>
      </w:tblGrid>
      <w:tr w:rsidR="00D96295" w:rsidRPr="003C19C5" w14:paraId="14FF6E5A" w14:textId="77777777" w:rsidTr="00E8062F">
        <w:trPr>
          <w:trHeight w:val="300"/>
        </w:trPr>
        <w:tc>
          <w:tcPr>
            <w:tcW w:w="3085" w:type="dxa"/>
            <w:shd w:val="clear" w:color="auto" w:fill="auto"/>
            <w:noWrap/>
            <w:hideMark/>
          </w:tcPr>
          <w:p w14:paraId="0477D205" w14:textId="77777777" w:rsidR="00D96295" w:rsidRPr="00E65963" w:rsidRDefault="00D96295" w:rsidP="00E8062F">
            <w:pPr>
              <w:rPr>
                <w:sz w:val="24"/>
              </w:rPr>
            </w:pPr>
            <w:r w:rsidRPr="00E65963">
              <w:rPr>
                <w:sz w:val="24"/>
              </w:rPr>
              <w:t xml:space="preserve">Name </w:t>
            </w:r>
          </w:p>
        </w:tc>
        <w:tc>
          <w:tcPr>
            <w:tcW w:w="6124" w:type="dxa"/>
            <w:shd w:val="clear" w:color="auto" w:fill="auto"/>
          </w:tcPr>
          <w:p w14:paraId="03C0C2D7" w14:textId="77777777" w:rsidR="00D96295" w:rsidRPr="00E65963" w:rsidRDefault="00D96295" w:rsidP="00E8062F">
            <w:pPr>
              <w:rPr>
                <w:sz w:val="24"/>
              </w:rPr>
            </w:pPr>
            <w:r w:rsidRPr="00E65963">
              <w:rPr>
                <w:sz w:val="24"/>
              </w:rPr>
              <w:t>Background</w:t>
            </w:r>
          </w:p>
        </w:tc>
      </w:tr>
      <w:tr w:rsidR="00D96295" w:rsidRPr="003C19C5" w14:paraId="7E36473B" w14:textId="77777777" w:rsidTr="00E8062F">
        <w:trPr>
          <w:trHeight w:val="300"/>
        </w:trPr>
        <w:tc>
          <w:tcPr>
            <w:tcW w:w="3085" w:type="dxa"/>
            <w:shd w:val="clear" w:color="auto" w:fill="auto"/>
            <w:noWrap/>
            <w:hideMark/>
          </w:tcPr>
          <w:p w14:paraId="263927AC" w14:textId="77777777" w:rsidR="00D96295" w:rsidRPr="001B47A4" w:rsidRDefault="00D96295" w:rsidP="00E8062F">
            <w:pPr>
              <w:rPr>
                <w:sz w:val="24"/>
              </w:rPr>
            </w:pPr>
            <w:r w:rsidRPr="001B47A4">
              <w:rPr>
                <w:sz w:val="24"/>
              </w:rPr>
              <w:t>Lord Colwyn</w:t>
            </w:r>
            <w:r>
              <w:rPr>
                <w:sz w:val="24"/>
              </w:rPr>
              <w:t xml:space="preserve"> (Chairman)</w:t>
            </w:r>
          </w:p>
        </w:tc>
        <w:tc>
          <w:tcPr>
            <w:tcW w:w="6124" w:type="dxa"/>
            <w:shd w:val="clear" w:color="auto" w:fill="auto"/>
          </w:tcPr>
          <w:p w14:paraId="79B3B511" w14:textId="77777777" w:rsidR="00D96295" w:rsidRPr="001B47A4" w:rsidRDefault="00D96295" w:rsidP="00E8062F">
            <w:pPr>
              <w:rPr>
                <w:sz w:val="24"/>
              </w:rPr>
            </w:pPr>
            <w:r>
              <w:rPr>
                <w:sz w:val="24"/>
              </w:rPr>
              <w:t>See note 9</w:t>
            </w:r>
          </w:p>
        </w:tc>
      </w:tr>
      <w:tr w:rsidR="00D96295" w:rsidRPr="003C19C5" w14:paraId="6C7B1FA0" w14:textId="77777777" w:rsidTr="00E8062F">
        <w:trPr>
          <w:trHeight w:val="300"/>
        </w:trPr>
        <w:tc>
          <w:tcPr>
            <w:tcW w:w="3085" w:type="dxa"/>
            <w:shd w:val="clear" w:color="auto" w:fill="auto"/>
            <w:noWrap/>
            <w:hideMark/>
          </w:tcPr>
          <w:p w14:paraId="03579E98" w14:textId="77777777" w:rsidR="00D96295" w:rsidRPr="001B47A4" w:rsidRDefault="00D96295" w:rsidP="00E8062F">
            <w:pPr>
              <w:rPr>
                <w:sz w:val="24"/>
              </w:rPr>
            </w:pPr>
            <w:r w:rsidRPr="001B47A4">
              <w:rPr>
                <w:sz w:val="24"/>
              </w:rPr>
              <w:t>Lord [Walter] Cunliffe</w:t>
            </w:r>
          </w:p>
        </w:tc>
        <w:tc>
          <w:tcPr>
            <w:tcW w:w="6124" w:type="dxa"/>
            <w:shd w:val="clear" w:color="auto" w:fill="auto"/>
          </w:tcPr>
          <w:p w14:paraId="536BDFF2" w14:textId="77777777" w:rsidR="00D96295" w:rsidRPr="001B47A4" w:rsidRDefault="00D96295" w:rsidP="00E8062F">
            <w:pPr>
              <w:rPr>
                <w:sz w:val="24"/>
              </w:rPr>
            </w:pPr>
            <w:r w:rsidRPr="001B47A4">
              <w:rPr>
                <w:sz w:val="24"/>
              </w:rPr>
              <w:t>Governor, Bank of Engla</w:t>
            </w:r>
            <w:r>
              <w:rPr>
                <w:sz w:val="24"/>
              </w:rPr>
              <w:t>nd, 1913-1918</w:t>
            </w:r>
          </w:p>
        </w:tc>
      </w:tr>
      <w:tr w:rsidR="00D96295" w:rsidRPr="003C19C5" w14:paraId="7FC8D432" w14:textId="77777777" w:rsidTr="00E8062F">
        <w:trPr>
          <w:trHeight w:val="300"/>
        </w:trPr>
        <w:tc>
          <w:tcPr>
            <w:tcW w:w="3085" w:type="dxa"/>
            <w:shd w:val="clear" w:color="auto" w:fill="auto"/>
            <w:noWrap/>
            <w:hideMark/>
          </w:tcPr>
          <w:p w14:paraId="4A793FBA" w14:textId="77777777" w:rsidR="00D96295" w:rsidRPr="001B47A4" w:rsidRDefault="00D96295" w:rsidP="00E8062F">
            <w:pPr>
              <w:rPr>
                <w:sz w:val="24"/>
              </w:rPr>
            </w:pPr>
            <w:r w:rsidRPr="001B47A4">
              <w:rPr>
                <w:sz w:val="24"/>
              </w:rPr>
              <w:t>Hon. Rupert Beckett</w:t>
            </w:r>
          </w:p>
        </w:tc>
        <w:tc>
          <w:tcPr>
            <w:tcW w:w="6124" w:type="dxa"/>
            <w:shd w:val="clear" w:color="auto" w:fill="auto"/>
          </w:tcPr>
          <w:p w14:paraId="288E8D20" w14:textId="77777777" w:rsidR="00D96295" w:rsidRPr="001B47A4" w:rsidRDefault="00D96295" w:rsidP="00E8062F">
            <w:pPr>
              <w:rPr>
                <w:sz w:val="24"/>
              </w:rPr>
            </w:pPr>
            <w:r>
              <w:rPr>
                <w:sz w:val="24"/>
              </w:rPr>
              <w:t xml:space="preserve">Partner, Beckett &amp; Co., private bankers, c.1890-1921; </w:t>
            </w:r>
            <w:r w:rsidRPr="001B47A4">
              <w:rPr>
                <w:sz w:val="24"/>
              </w:rPr>
              <w:t>Director, London County West</w:t>
            </w:r>
            <w:r>
              <w:rPr>
                <w:sz w:val="24"/>
              </w:rPr>
              <w:t>minster and Parr's</w:t>
            </w:r>
            <w:r w:rsidRPr="001B47A4">
              <w:rPr>
                <w:sz w:val="24"/>
              </w:rPr>
              <w:t xml:space="preserve"> </w:t>
            </w:r>
            <w:r>
              <w:rPr>
                <w:sz w:val="24"/>
              </w:rPr>
              <w:t xml:space="preserve">[Westminster] Bank </w:t>
            </w:r>
            <w:r w:rsidRPr="001B47A4">
              <w:rPr>
                <w:sz w:val="24"/>
              </w:rPr>
              <w:t>1921-</w:t>
            </w:r>
            <w:r>
              <w:rPr>
                <w:sz w:val="24"/>
              </w:rPr>
              <w:t>50</w:t>
            </w:r>
            <w:r w:rsidRPr="001B47A4">
              <w:rPr>
                <w:sz w:val="24"/>
              </w:rPr>
              <w:t>, Deputy C</w:t>
            </w:r>
            <w:r>
              <w:rPr>
                <w:sz w:val="24"/>
              </w:rPr>
              <w:t>hairman 1927-30, Chairman 1930-50</w:t>
            </w:r>
          </w:p>
        </w:tc>
      </w:tr>
      <w:tr w:rsidR="00D96295" w:rsidRPr="003C19C5" w14:paraId="6F278003" w14:textId="77777777" w:rsidTr="00E8062F">
        <w:trPr>
          <w:trHeight w:val="300"/>
        </w:trPr>
        <w:tc>
          <w:tcPr>
            <w:tcW w:w="3085" w:type="dxa"/>
            <w:shd w:val="clear" w:color="auto" w:fill="auto"/>
            <w:noWrap/>
            <w:hideMark/>
          </w:tcPr>
          <w:p w14:paraId="56817E9E" w14:textId="77777777" w:rsidR="00D96295" w:rsidRPr="001B47A4" w:rsidRDefault="00D96295" w:rsidP="00E8062F">
            <w:pPr>
              <w:rPr>
                <w:sz w:val="24"/>
              </w:rPr>
            </w:pPr>
            <w:r w:rsidRPr="001B47A4">
              <w:rPr>
                <w:sz w:val="24"/>
              </w:rPr>
              <w:t>Hon. Herbert Gibbs</w:t>
            </w:r>
          </w:p>
        </w:tc>
        <w:tc>
          <w:tcPr>
            <w:tcW w:w="6124" w:type="dxa"/>
            <w:shd w:val="clear" w:color="auto" w:fill="auto"/>
          </w:tcPr>
          <w:p w14:paraId="40E3685D" w14:textId="77777777" w:rsidR="00D96295" w:rsidRPr="001B47A4" w:rsidRDefault="00D96295" w:rsidP="00E8062F">
            <w:pPr>
              <w:rPr>
                <w:sz w:val="24"/>
              </w:rPr>
            </w:pPr>
            <w:r w:rsidRPr="001B47A4">
              <w:rPr>
                <w:sz w:val="24"/>
              </w:rPr>
              <w:t xml:space="preserve">partner, Antony Gibbs and Sons; sometime member and chairman </w:t>
            </w:r>
            <w:r>
              <w:rPr>
                <w:sz w:val="24"/>
              </w:rPr>
              <w:t xml:space="preserve">of </w:t>
            </w:r>
            <w:r w:rsidRPr="001B47A4">
              <w:rPr>
                <w:sz w:val="24"/>
              </w:rPr>
              <w:t>Public Works Loan B</w:t>
            </w:r>
            <w:r>
              <w:rPr>
                <w:sz w:val="24"/>
              </w:rPr>
              <w:t>oard</w:t>
            </w:r>
          </w:p>
        </w:tc>
      </w:tr>
      <w:tr w:rsidR="00D96295" w:rsidRPr="003C19C5" w14:paraId="6B8D53F2" w14:textId="77777777" w:rsidTr="00E8062F">
        <w:trPr>
          <w:trHeight w:val="300"/>
        </w:trPr>
        <w:tc>
          <w:tcPr>
            <w:tcW w:w="3085" w:type="dxa"/>
            <w:shd w:val="clear" w:color="auto" w:fill="auto"/>
            <w:noWrap/>
            <w:hideMark/>
          </w:tcPr>
          <w:p w14:paraId="5966F730" w14:textId="77777777" w:rsidR="00D96295" w:rsidRPr="001B47A4" w:rsidRDefault="00D96295" w:rsidP="00E8062F">
            <w:pPr>
              <w:rPr>
                <w:sz w:val="24"/>
              </w:rPr>
            </w:pPr>
            <w:r w:rsidRPr="001B47A4">
              <w:rPr>
                <w:sz w:val="24"/>
              </w:rPr>
              <w:t>Sir Arthur Haworth Bt.</w:t>
            </w:r>
          </w:p>
        </w:tc>
        <w:tc>
          <w:tcPr>
            <w:tcW w:w="6124" w:type="dxa"/>
            <w:shd w:val="clear" w:color="auto" w:fill="auto"/>
          </w:tcPr>
          <w:p w14:paraId="5E25CF44" w14:textId="77777777" w:rsidR="00D96295" w:rsidRPr="001B47A4" w:rsidRDefault="00D96295" w:rsidP="00E8062F">
            <w:pPr>
              <w:rPr>
                <w:sz w:val="24"/>
              </w:rPr>
            </w:pPr>
            <w:r w:rsidRPr="001B47A4">
              <w:rPr>
                <w:sz w:val="24"/>
              </w:rPr>
              <w:t>President, Manchester Liberal Federation; Liberal MP Manchester South, 1906-1912, cotton yarn agent; President, Manchester Royal Exchange</w:t>
            </w:r>
          </w:p>
        </w:tc>
      </w:tr>
      <w:tr w:rsidR="00D96295" w:rsidRPr="003C19C5" w14:paraId="5FB993D0" w14:textId="77777777" w:rsidTr="00E8062F">
        <w:trPr>
          <w:trHeight w:val="300"/>
        </w:trPr>
        <w:tc>
          <w:tcPr>
            <w:tcW w:w="3085" w:type="dxa"/>
            <w:shd w:val="clear" w:color="auto" w:fill="auto"/>
            <w:noWrap/>
            <w:hideMark/>
          </w:tcPr>
          <w:p w14:paraId="27DA4880" w14:textId="77777777" w:rsidR="00D96295" w:rsidRPr="001B47A4" w:rsidRDefault="00D96295" w:rsidP="00E8062F">
            <w:pPr>
              <w:rPr>
                <w:sz w:val="24"/>
              </w:rPr>
            </w:pPr>
            <w:r w:rsidRPr="001B47A4">
              <w:rPr>
                <w:sz w:val="24"/>
              </w:rPr>
              <w:t>Sir Richard Vassar-Smith Bt.</w:t>
            </w:r>
          </w:p>
        </w:tc>
        <w:tc>
          <w:tcPr>
            <w:tcW w:w="6124" w:type="dxa"/>
            <w:shd w:val="clear" w:color="auto" w:fill="auto"/>
          </w:tcPr>
          <w:p w14:paraId="7C1C2B64" w14:textId="77777777" w:rsidR="00D96295" w:rsidRPr="001B47A4" w:rsidRDefault="00D96295" w:rsidP="00E8062F">
            <w:pPr>
              <w:rPr>
                <w:sz w:val="24"/>
              </w:rPr>
            </w:pPr>
            <w:r w:rsidRPr="001B47A4">
              <w:rPr>
                <w:sz w:val="24"/>
              </w:rPr>
              <w:t>Chairman, Lloyds Bank, 1909-1922</w:t>
            </w:r>
          </w:p>
        </w:tc>
      </w:tr>
      <w:tr w:rsidR="00D96295" w:rsidRPr="003C19C5" w14:paraId="73B34085" w14:textId="77777777" w:rsidTr="00E8062F">
        <w:trPr>
          <w:trHeight w:val="300"/>
        </w:trPr>
        <w:tc>
          <w:tcPr>
            <w:tcW w:w="3085" w:type="dxa"/>
            <w:shd w:val="clear" w:color="auto" w:fill="auto"/>
            <w:noWrap/>
            <w:hideMark/>
          </w:tcPr>
          <w:p w14:paraId="6D686F65" w14:textId="77777777" w:rsidR="00D96295" w:rsidRPr="001B47A4" w:rsidRDefault="00D96295" w:rsidP="00E8062F">
            <w:pPr>
              <w:rPr>
                <w:sz w:val="24"/>
              </w:rPr>
            </w:pPr>
            <w:r w:rsidRPr="001B47A4">
              <w:rPr>
                <w:sz w:val="24"/>
              </w:rPr>
              <w:t>Sir John Purcell KCB</w:t>
            </w:r>
          </w:p>
        </w:tc>
        <w:tc>
          <w:tcPr>
            <w:tcW w:w="6124" w:type="dxa"/>
            <w:shd w:val="clear" w:color="auto" w:fill="auto"/>
          </w:tcPr>
          <w:p w14:paraId="5A8677EA" w14:textId="77777777" w:rsidR="00D96295" w:rsidRPr="001B47A4" w:rsidRDefault="00D96295" w:rsidP="00E8062F">
            <w:pPr>
              <w:rPr>
                <w:sz w:val="24"/>
              </w:rPr>
            </w:pPr>
            <w:r w:rsidRPr="001B47A4">
              <w:rPr>
                <w:sz w:val="24"/>
              </w:rPr>
              <w:t>Chairman, National Bank</w:t>
            </w:r>
          </w:p>
        </w:tc>
      </w:tr>
      <w:tr w:rsidR="00D96295" w:rsidRPr="003C19C5" w14:paraId="023EC8C5" w14:textId="77777777" w:rsidTr="00E8062F">
        <w:trPr>
          <w:trHeight w:val="300"/>
        </w:trPr>
        <w:tc>
          <w:tcPr>
            <w:tcW w:w="3085" w:type="dxa"/>
            <w:shd w:val="clear" w:color="auto" w:fill="auto"/>
            <w:noWrap/>
            <w:hideMark/>
          </w:tcPr>
          <w:p w14:paraId="3EBF1977" w14:textId="77777777" w:rsidR="00D96295" w:rsidRPr="001B47A4" w:rsidRDefault="00D96295" w:rsidP="00E8062F">
            <w:pPr>
              <w:rPr>
                <w:sz w:val="24"/>
              </w:rPr>
            </w:pPr>
            <w:r w:rsidRPr="001B47A4">
              <w:rPr>
                <w:sz w:val="24"/>
              </w:rPr>
              <w:t>Captain H. [Henry] Keswick</w:t>
            </w:r>
          </w:p>
        </w:tc>
        <w:tc>
          <w:tcPr>
            <w:tcW w:w="6124" w:type="dxa"/>
            <w:shd w:val="clear" w:color="auto" w:fill="auto"/>
          </w:tcPr>
          <w:p w14:paraId="4440BA7B" w14:textId="77777777" w:rsidR="00D96295" w:rsidRPr="001B47A4" w:rsidRDefault="00D96295" w:rsidP="00E8062F">
            <w:pPr>
              <w:rPr>
                <w:sz w:val="24"/>
              </w:rPr>
            </w:pPr>
            <w:r w:rsidRPr="001B47A4">
              <w:rPr>
                <w:sz w:val="24"/>
              </w:rPr>
              <w:t>Chairman, Hong Kong and Shanghai Banking Corporation</w:t>
            </w:r>
          </w:p>
        </w:tc>
      </w:tr>
      <w:tr w:rsidR="00D96295" w:rsidRPr="003C19C5" w14:paraId="52EC072A" w14:textId="77777777" w:rsidTr="00E8062F">
        <w:trPr>
          <w:trHeight w:val="643"/>
        </w:trPr>
        <w:tc>
          <w:tcPr>
            <w:tcW w:w="3085" w:type="dxa"/>
            <w:shd w:val="clear" w:color="auto" w:fill="auto"/>
            <w:noWrap/>
            <w:hideMark/>
          </w:tcPr>
          <w:p w14:paraId="3DA8D701" w14:textId="77777777" w:rsidR="00D96295" w:rsidRPr="001B47A4" w:rsidRDefault="00D96295" w:rsidP="00E8062F">
            <w:pPr>
              <w:rPr>
                <w:sz w:val="24"/>
              </w:rPr>
            </w:pPr>
            <w:r w:rsidRPr="001B47A4">
              <w:rPr>
                <w:sz w:val="24"/>
              </w:rPr>
              <w:t>Mr. E. [Edward] Manville</w:t>
            </w:r>
          </w:p>
        </w:tc>
        <w:tc>
          <w:tcPr>
            <w:tcW w:w="6124" w:type="dxa"/>
            <w:shd w:val="clear" w:color="auto" w:fill="auto"/>
          </w:tcPr>
          <w:p w14:paraId="114D0601" w14:textId="77777777" w:rsidR="00D96295" w:rsidRPr="001B47A4" w:rsidRDefault="00D96295" w:rsidP="00E8062F">
            <w:pPr>
              <w:rPr>
                <w:sz w:val="24"/>
              </w:rPr>
            </w:pPr>
            <w:r w:rsidRPr="001B47A4">
              <w:rPr>
                <w:sz w:val="24"/>
              </w:rPr>
              <w:t>electrical engineer and motor manufacturer</w:t>
            </w:r>
            <w:r>
              <w:rPr>
                <w:sz w:val="24"/>
              </w:rPr>
              <w:t xml:space="preserve"> with</w:t>
            </w:r>
            <w:r w:rsidRPr="001B47A4">
              <w:rPr>
                <w:sz w:val="24"/>
              </w:rPr>
              <w:t xml:space="preserve"> numerous business interests; member Excess Profits Duty Board of Referees; Unionist MP 1918–23 and member of various government committees</w:t>
            </w:r>
          </w:p>
        </w:tc>
      </w:tr>
      <w:tr w:rsidR="00D96295" w:rsidRPr="003C19C5" w14:paraId="476F88F9" w14:textId="77777777" w:rsidTr="00E8062F">
        <w:trPr>
          <w:trHeight w:val="300"/>
        </w:trPr>
        <w:tc>
          <w:tcPr>
            <w:tcW w:w="3085" w:type="dxa"/>
            <w:shd w:val="clear" w:color="auto" w:fill="auto"/>
            <w:noWrap/>
            <w:hideMark/>
          </w:tcPr>
          <w:p w14:paraId="43DBB5F1" w14:textId="77777777" w:rsidR="00D96295" w:rsidRPr="001B47A4" w:rsidRDefault="00D96295" w:rsidP="00E8062F">
            <w:pPr>
              <w:rPr>
                <w:sz w:val="24"/>
              </w:rPr>
            </w:pPr>
            <w:r w:rsidRPr="001B47A4">
              <w:rPr>
                <w:sz w:val="24"/>
              </w:rPr>
              <w:t>Mr. H. [Harry] McGowan</w:t>
            </w:r>
          </w:p>
        </w:tc>
        <w:tc>
          <w:tcPr>
            <w:tcW w:w="6124" w:type="dxa"/>
            <w:shd w:val="clear" w:color="auto" w:fill="auto"/>
          </w:tcPr>
          <w:p w14:paraId="5EDFB6AA" w14:textId="77777777" w:rsidR="00D96295" w:rsidRPr="001B47A4" w:rsidRDefault="00D96295" w:rsidP="00E8062F">
            <w:pPr>
              <w:rPr>
                <w:sz w:val="24"/>
              </w:rPr>
            </w:pPr>
            <w:r>
              <w:rPr>
                <w:sz w:val="24"/>
              </w:rPr>
              <w:t xml:space="preserve">Chairman and managing director, Explosives Trades Limited; </w:t>
            </w:r>
            <w:r w:rsidRPr="001B47A4">
              <w:rPr>
                <w:sz w:val="24"/>
              </w:rPr>
              <w:t>explosives industrialist</w:t>
            </w:r>
          </w:p>
        </w:tc>
      </w:tr>
      <w:tr w:rsidR="00D96295" w:rsidRPr="003C19C5" w14:paraId="1E36BADB" w14:textId="77777777" w:rsidTr="00E8062F">
        <w:trPr>
          <w:trHeight w:val="300"/>
        </w:trPr>
        <w:tc>
          <w:tcPr>
            <w:tcW w:w="3085" w:type="dxa"/>
            <w:shd w:val="clear" w:color="auto" w:fill="auto"/>
            <w:noWrap/>
            <w:hideMark/>
          </w:tcPr>
          <w:p w14:paraId="1CE6A3E8" w14:textId="77777777" w:rsidR="00D96295" w:rsidRPr="001B47A4" w:rsidRDefault="00D96295" w:rsidP="00E8062F">
            <w:pPr>
              <w:rPr>
                <w:sz w:val="24"/>
              </w:rPr>
            </w:pPr>
            <w:r w:rsidRPr="001B47A4">
              <w:rPr>
                <w:sz w:val="24"/>
              </w:rPr>
              <w:t>Mr</w:t>
            </w:r>
            <w:r>
              <w:rPr>
                <w:sz w:val="24"/>
              </w:rPr>
              <w:t>.</w:t>
            </w:r>
            <w:r w:rsidRPr="001B47A4">
              <w:rPr>
                <w:sz w:val="24"/>
              </w:rPr>
              <w:t xml:space="preserve"> John Rae</w:t>
            </w:r>
          </w:p>
        </w:tc>
        <w:tc>
          <w:tcPr>
            <w:tcW w:w="6124" w:type="dxa"/>
            <w:shd w:val="clear" w:color="auto" w:fill="auto"/>
          </w:tcPr>
          <w:p w14:paraId="572AC0E3" w14:textId="77777777" w:rsidR="00D96295" w:rsidRPr="001B47A4" w:rsidRDefault="00D96295" w:rsidP="00E8062F">
            <w:pPr>
              <w:rPr>
                <w:sz w:val="24"/>
              </w:rPr>
            </w:pPr>
            <w:r w:rsidRPr="001B47A4">
              <w:rPr>
                <w:sz w:val="24"/>
              </w:rPr>
              <w:t>Treasurer, Bank of Scotland; Director, Westminster</w:t>
            </w:r>
            <w:r>
              <w:rPr>
                <w:sz w:val="24"/>
              </w:rPr>
              <w:t xml:space="preserve"> Bank</w:t>
            </w:r>
            <w:r w:rsidRPr="001B47A4">
              <w:rPr>
                <w:sz w:val="24"/>
              </w:rPr>
              <w:t xml:space="preserve"> 1926-1932 </w:t>
            </w:r>
          </w:p>
        </w:tc>
      </w:tr>
      <w:tr w:rsidR="00D96295" w:rsidRPr="003C19C5" w14:paraId="23C8A061" w14:textId="77777777" w:rsidTr="00E8062F">
        <w:trPr>
          <w:trHeight w:val="300"/>
        </w:trPr>
        <w:tc>
          <w:tcPr>
            <w:tcW w:w="3085" w:type="dxa"/>
            <w:shd w:val="clear" w:color="auto" w:fill="auto"/>
            <w:noWrap/>
            <w:hideMark/>
          </w:tcPr>
          <w:p w14:paraId="34AB16BC" w14:textId="77777777" w:rsidR="00D96295" w:rsidRPr="001B47A4" w:rsidRDefault="00D96295" w:rsidP="00E8062F">
            <w:pPr>
              <w:rPr>
                <w:sz w:val="24"/>
              </w:rPr>
            </w:pPr>
            <w:r w:rsidRPr="001B47A4">
              <w:rPr>
                <w:sz w:val="24"/>
              </w:rPr>
              <w:t>Mr</w:t>
            </w:r>
            <w:r>
              <w:rPr>
                <w:sz w:val="24"/>
              </w:rPr>
              <w:t>.</w:t>
            </w:r>
            <w:r w:rsidRPr="001B47A4">
              <w:rPr>
                <w:sz w:val="24"/>
              </w:rPr>
              <w:t xml:space="preserve"> Douglas Vickers</w:t>
            </w:r>
          </w:p>
        </w:tc>
        <w:tc>
          <w:tcPr>
            <w:tcW w:w="6124" w:type="dxa"/>
            <w:shd w:val="clear" w:color="auto" w:fill="auto"/>
          </w:tcPr>
          <w:p w14:paraId="22940676" w14:textId="77777777" w:rsidR="00D96295" w:rsidRPr="001B47A4" w:rsidRDefault="00D96295" w:rsidP="00E8062F">
            <w:pPr>
              <w:rPr>
                <w:sz w:val="24"/>
              </w:rPr>
            </w:pPr>
            <w:r w:rsidRPr="001B47A4">
              <w:rPr>
                <w:sz w:val="24"/>
              </w:rPr>
              <w:t>Director, Vickers L</w:t>
            </w:r>
            <w:r>
              <w:rPr>
                <w:sz w:val="24"/>
              </w:rPr>
              <w:t>imi</w:t>
            </w:r>
            <w:r w:rsidRPr="001B47A4">
              <w:rPr>
                <w:sz w:val="24"/>
              </w:rPr>
              <w:t>t</w:t>
            </w:r>
            <w:r>
              <w:rPr>
                <w:sz w:val="24"/>
              </w:rPr>
              <w:t>e</w:t>
            </w:r>
            <w:r w:rsidRPr="001B47A4">
              <w:rPr>
                <w:sz w:val="24"/>
              </w:rPr>
              <w:t>d.; armaments industrialist</w:t>
            </w:r>
          </w:p>
        </w:tc>
      </w:tr>
    </w:tbl>
    <w:p w14:paraId="62BD75F7" w14:textId="77777777" w:rsidR="00D96295" w:rsidRDefault="00D96295" w:rsidP="00D96295">
      <w:pPr>
        <w:rPr>
          <w:sz w:val="24"/>
        </w:rPr>
      </w:pPr>
    </w:p>
    <w:p w14:paraId="19635E92" w14:textId="77777777" w:rsidR="00D96295" w:rsidRDefault="00D96295" w:rsidP="00D96295">
      <w:pPr>
        <w:rPr>
          <w:sz w:val="24"/>
          <w:lang w:val="en-US"/>
        </w:rPr>
      </w:pPr>
      <w:r>
        <w:rPr>
          <w:sz w:val="24"/>
          <w:lang w:val="en-US"/>
        </w:rPr>
        <w:t xml:space="preserve">Source: names as shown </w:t>
      </w:r>
      <w:r w:rsidRPr="00721567">
        <w:rPr>
          <w:sz w:val="24"/>
          <w:lang w:val="en-US"/>
        </w:rPr>
        <w:t xml:space="preserve">in </w:t>
      </w:r>
      <w:r w:rsidRPr="00E65963">
        <w:rPr>
          <w:sz w:val="24"/>
        </w:rPr>
        <w:t>Treasury Committee on Bank Amalgamations</w:t>
      </w:r>
      <w:r>
        <w:rPr>
          <w:sz w:val="24"/>
        </w:rPr>
        <w:t xml:space="preserve"> (1918)</w:t>
      </w:r>
      <w:r>
        <w:rPr>
          <w:sz w:val="24"/>
          <w:lang w:val="en-US"/>
        </w:rPr>
        <w:t>.</w:t>
      </w:r>
    </w:p>
    <w:p w14:paraId="468DD5D4" w14:textId="4A510B18" w:rsidR="00D96295" w:rsidRDefault="00D96295" w:rsidP="00D96295">
      <w:pPr>
        <w:rPr>
          <w:sz w:val="24"/>
          <w:lang w:val="en-US"/>
        </w:rPr>
        <w:sectPr w:rsidR="00D96295" w:rsidSect="00AC10FE">
          <w:endnotePr>
            <w:numFmt w:val="decimal"/>
          </w:endnotePr>
          <w:pgSz w:w="11907" w:h="16840" w:code="9"/>
          <w:pgMar w:top="1440" w:right="1797" w:bottom="1440" w:left="1797" w:header="720" w:footer="720" w:gutter="0"/>
          <w:cols w:space="720"/>
          <w:docGrid w:linePitch="272"/>
        </w:sectPr>
      </w:pPr>
    </w:p>
    <w:p w14:paraId="0A999783" w14:textId="77777777" w:rsidR="00D96295" w:rsidRDefault="00D96295" w:rsidP="00D96295">
      <w:pPr>
        <w:rPr>
          <w:b/>
          <w:sz w:val="24"/>
        </w:rPr>
      </w:pPr>
      <w:r>
        <w:rPr>
          <w:b/>
          <w:sz w:val="24"/>
        </w:rPr>
        <w:lastRenderedPageBreak/>
        <w:t>Table 4</w:t>
      </w:r>
      <w:r w:rsidRPr="005C3C82">
        <w:rPr>
          <w:b/>
          <w:sz w:val="24"/>
        </w:rPr>
        <w:t xml:space="preserve">: The </w:t>
      </w:r>
      <w:r>
        <w:rPr>
          <w:b/>
          <w:sz w:val="24"/>
        </w:rPr>
        <w:t>witnesses to the Committee</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7343"/>
        <w:gridCol w:w="2268"/>
      </w:tblGrid>
      <w:tr w:rsidR="00D96295" w:rsidRPr="00C84C3E" w14:paraId="5D37E480" w14:textId="77777777" w:rsidTr="00E8062F">
        <w:trPr>
          <w:trHeight w:val="557"/>
        </w:trPr>
        <w:tc>
          <w:tcPr>
            <w:tcW w:w="4531" w:type="dxa"/>
            <w:shd w:val="clear" w:color="auto" w:fill="auto"/>
            <w:noWrap/>
            <w:hideMark/>
          </w:tcPr>
          <w:p w14:paraId="41562474" w14:textId="77777777" w:rsidR="00D96295" w:rsidRPr="00E65963" w:rsidRDefault="00D96295" w:rsidP="00E8062F">
            <w:pPr>
              <w:rPr>
                <w:sz w:val="24"/>
              </w:rPr>
            </w:pPr>
            <w:bookmarkStart w:id="5" w:name="_Hlk508406112"/>
            <w:r w:rsidRPr="00E65963">
              <w:rPr>
                <w:sz w:val="24"/>
              </w:rPr>
              <w:t>Name</w:t>
            </w:r>
          </w:p>
        </w:tc>
        <w:tc>
          <w:tcPr>
            <w:tcW w:w="7343" w:type="dxa"/>
            <w:shd w:val="clear" w:color="auto" w:fill="auto"/>
          </w:tcPr>
          <w:p w14:paraId="20C141E5" w14:textId="77777777" w:rsidR="00D96295" w:rsidRPr="00E65963" w:rsidRDefault="00D96295" w:rsidP="00E8062F">
            <w:pPr>
              <w:rPr>
                <w:sz w:val="24"/>
              </w:rPr>
            </w:pPr>
            <w:r w:rsidRPr="00E65963">
              <w:rPr>
                <w:sz w:val="24"/>
              </w:rPr>
              <w:t>Background</w:t>
            </w:r>
          </w:p>
        </w:tc>
        <w:tc>
          <w:tcPr>
            <w:tcW w:w="2268" w:type="dxa"/>
            <w:shd w:val="clear" w:color="auto" w:fill="auto"/>
          </w:tcPr>
          <w:p w14:paraId="3109BA2C" w14:textId="77777777" w:rsidR="00D96295" w:rsidRPr="00E65963" w:rsidRDefault="00D96295" w:rsidP="00E8062F">
            <w:pPr>
              <w:rPr>
                <w:sz w:val="24"/>
              </w:rPr>
            </w:pPr>
            <w:r w:rsidRPr="00E65963">
              <w:rPr>
                <w:sz w:val="24"/>
              </w:rPr>
              <w:t>Number of pages of written evidence</w:t>
            </w:r>
          </w:p>
        </w:tc>
      </w:tr>
      <w:tr w:rsidR="00D96295" w:rsidRPr="00C84C3E" w14:paraId="1DD9AAB9" w14:textId="77777777" w:rsidTr="00E8062F">
        <w:trPr>
          <w:trHeight w:val="300"/>
        </w:trPr>
        <w:tc>
          <w:tcPr>
            <w:tcW w:w="4531" w:type="dxa"/>
            <w:shd w:val="clear" w:color="auto" w:fill="auto"/>
            <w:noWrap/>
            <w:hideMark/>
          </w:tcPr>
          <w:p w14:paraId="4445FD62" w14:textId="77777777" w:rsidR="00D96295" w:rsidRPr="001B47A4" w:rsidRDefault="00D96295" w:rsidP="00E8062F">
            <w:pPr>
              <w:rPr>
                <w:sz w:val="24"/>
              </w:rPr>
            </w:pPr>
            <w:r w:rsidRPr="001B47A4">
              <w:rPr>
                <w:sz w:val="24"/>
              </w:rPr>
              <w:t>Oswald Stoll</w:t>
            </w:r>
          </w:p>
        </w:tc>
        <w:tc>
          <w:tcPr>
            <w:tcW w:w="7343" w:type="dxa"/>
            <w:shd w:val="clear" w:color="auto" w:fill="auto"/>
          </w:tcPr>
          <w:p w14:paraId="4C166E3F" w14:textId="77777777" w:rsidR="00D96295" w:rsidRPr="001B47A4" w:rsidRDefault="00D96295" w:rsidP="00E8062F">
            <w:pPr>
              <w:rPr>
                <w:sz w:val="24"/>
              </w:rPr>
            </w:pPr>
            <w:r w:rsidRPr="001B47A4">
              <w:rPr>
                <w:sz w:val="24"/>
              </w:rPr>
              <w:t>[theatre promoter]</w:t>
            </w:r>
          </w:p>
        </w:tc>
        <w:tc>
          <w:tcPr>
            <w:tcW w:w="2268" w:type="dxa"/>
            <w:shd w:val="clear" w:color="auto" w:fill="auto"/>
          </w:tcPr>
          <w:p w14:paraId="139031F8" w14:textId="77777777" w:rsidR="00D96295" w:rsidRPr="001B47A4" w:rsidRDefault="00D96295" w:rsidP="00E8062F">
            <w:pPr>
              <w:rPr>
                <w:sz w:val="24"/>
              </w:rPr>
            </w:pPr>
            <w:r w:rsidRPr="001B47A4">
              <w:rPr>
                <w:sz w:val="24"/>
              </w:rPr>
              <w:t>15</w:t>
            </w:r>
          </w:p>
        </w:tc>
      </w:tr>
      <w:tr w:rsidR="00D96295" w:rsidRPr="00C84C3E" w14:paraId="6B2AFCC7" w14:textId="77777777" w:rsidTr="00E8062F">
        <w:trPr>
          <w:trHeight w:val="300"/>
        </w:trPr>
        <w:tc>
          <w:tcPr>
            <w:tcW w:w="4531" w:type="dxa"/>
            <w:shd w:val="clear" w:color="auto" w:fill="auto"/>
            <w:noWrap/>
            <w:hideMark/>
          </w:tcPr>
          <w:p w14:paraId="42773474" w14:textId="77777777" w:rsidR="00D96295" w:rsidRPr="001B47A4" w:rsidRDefault="00D96295" w:rsidP="00E8062F">
            <w:pPr>
              <w:rPr>
                <w:sz w:val="24"/>
              </w:rPr>
            </w:pPr>
            <w:r w:rsidRPr="001B47A4">
              <w:rPr>
                <w:sz w:val="24"/>
              </w:rPr>
              <w:t>Thomas Goodwin</w:t>
            </w:r>
          </w:p>
        </w:tc>
        <w:tc>
          <w:tcPr>
            <w:tcW w:w="7343" w:type="dxa"/>
            <w:shd w:val="clear" w:color="auto" w:fill="auto"/>
          </w:tcPr>
          <w:p w14:paraId="72241749" w14:textId="77777777" w:rsidR="00D96295" w:rsidRPr="001B47A4" w:rsidRDefault="00D96295" w:rsidP="00E8062F">
            <w:pPr>
              <w:rPr>
                <w:sz w:val="24"/>
              </w:rPr>
            </w:pPr>
            <w:r w:rsidRPr="001B47A4">
              <w:rPr>
                <w:sz w:val="24"/>
              </w:rPr>
              <w:t>Manager, Co-operative Wholesale Society's Bank</w:t>
            </w:r>
          </w:p>
        </w:tc>
        <w:tc>
          <w:tcPr>
            <w:tcW w:w="2268" w:type="dxa"/>
            <w:shd w:val="clear" w:color="auto" w:fill="auto"/>
          </w:tcPr>
          <w:p w14:paraId="6D9E40DB" w14:textId="77777777" w:rsidR="00D96295" w:rsidRPr="001B47A4" w:rsidRDefault="00D96295" w:rsidP="00E8062F">
            <w:pPr>
              <w:rPr>
                <w:sz w:val="24"/>
              </w:rPr>
            </w:pPr>
            <w:r w:rsidRPr="001B47A4">
              <w:rPr>
                <w:sz w:val="24"/>
              </w:rPr>
              <w:t>10</w:t>
            </w:r>
          </w:p>
        </w:tc>
      </w:tr>
      <w:tr w:rsidR="00D96295" w:rsidRPr="00C84C3E" w14:paraId="062D4E8C" w14:textId="77777777" w:rsidTr="00E8062F">
        <w:trPr>
          <w:trHeight w:val="300"/>
        </w:trPr>
        <w:tc>
          <w:tcPr>
            <w:tcW w:w="4531" w:type="dxa"/>
            <w:shd w:val="clear" w:color="auto" w:fill="auto"/>
            <w:noWrap/>
            <w:hideMark/>
          </w:tcPr>
          <w:p w14:paraId="6B305BCC" w14:textId="77777777" w:rsidR="00D96295" w:rsidRPr="001B47A4" w:rsidRDefault="00D96295" w:rsidP="00E8062F">
            <w:pPr>
              <w:rPr>
                <w:sz w:val="24"/>
              </w:rPr>
            </w:pPr>
            <w:r w:rsidRPr="001B47A4">
              <w:rPr>
                <w:sz w:val="24"/>
              </w:rPr>
              <w:t>Sir Charles Stewart Addis</w:t>
            </w:r>
          </w:p>
        </w:tc>
        <w:tc>
          <w:tcPr>
            <w:tcW w:w="7343" w:type="dxa"/>
            <w:shd w:val="clear" w:color="auto" w:fill="auto"/>
          </w:tcPr>
          <w:p w14:paraId="393E848A" w14:textId="77777777" w:rsidR="00D96295" w:rsidRPr="001B47A4" w:rsidRDefault="00D96295" w:rsidP="00E8062F">
            <w:pPr>
              <w:rPr>
                <w:sz w:val="24"/>
              </w:rPr>
            </w:pPr>
            <w:r w:rsidRPr="001B47A4">
              <w:rPr>
                <w:sz w:val="24"/>
              </w:rPr>
              <w:t>Hong Kong and Shanghai Banking Corporation, Ltd. [</w:t>
            </w:r>
            <w:r>
              <w:rPr>
                <w:sz w:val="24"/>
              </w:rPr>
              <w:t xml:space="preserve">member, </w:t>
            </w:r>
            <w:r w:rsidRPr="001B47A4">
              <w:rPr>
                <w:sz w:val="24"/>
              </w:rPr>
              <w:t>Bank of England Court from May 1</w:t>
            </w:r>
            <w:r>
              <w:rPr>
                <w:sz w:val="24"/>
              </w:rPr>
              <w:t>918]</w:t>
            </w:r>
          </w:p>
        </w:tc>
        <w:tc>
          <w:tcPr>
            <w:tcW w:w="2268" w:type="dxa"/>
            <w:shd w:val="clear" w:color="auto" w:fill="auto"/>
          </w:tcPr>
          <w:p w14:paraId="2E6F7D79" w14:textId="77777777" w:rsidR="00D96295" w:rsidRPr="001B47A4" w:rsidRDefault="00D96295" w:rsidP="00E8062F">
            <w:pPr>
              <w:rPr>
                <w:sz w:val="24"/>
              </w:rPr>
            </w:pPr>
            <w:r w:rsidRPr="001B47A4">
              <w:rPr>
                <w:sz w:val="24"/>
              </w:rPr>
              <w:t>10</w:t>
            </w:r>
          </w:p>
        </w:tc>
      </w:tr>
      <w:tr w:rsidR="00D96295" w:rsidRPr="00C84C3E" w14:paraId="5DD7D0BA" w14:textId="77777777" w:rsidTr="00E8062F">
        <w:trPr>
          <w:trHeight w:val="300"/>
        </w:trPr>
        <w:tc>
          <w:tcPr>
            <w:tcW w:w="4531" w:type="dxa"/>
            <w:shd w:val="clear" w:color="auto" w:fill="auto"/>
            <w:noWrap/>
            <w:hideMark/>
          </w:tcPr>
          <w:p w14:paraId="132AFE32" w14:textId="77777777" w:rsidR="00D96295" w:rsidRPr="001B47A4" w:rsidRDefault="00D96295" w:rsidP="00E8062F">
            <w:pPr>
              <w:rPr>
                <w:sz w:val="24"/>
              </w:rPr>
            </w:pPr>
            <w:r w:rsidRPr="001B47A4">
              <w:rPr>
                <w:sz w:val="24"/>
              </w:rPr>
              <w:t>Gordon Selfridge</w:t>
            </w:r>
          </w:p>
        </w:tc>
        <w:tc>
          <w:tcPr>
            <w:tcW w:w="7343" w:type="dxa"/>
            <w:shd w:val="clear" w:color="auto" w:fill="auto"/>
          </w:tcPr>
          <w:p w14:paraId="73667384" w14:textId="77777777" w:rsidR="00D96295" w:rsidRPr="001B47A4" w:rsidRDefault="00D96295" w:rsidP="00E8062F">
            <w:pPr>
              <w:rPr>
                <w:sz w:val="24"/>
              </w:rPr>
            </w:pPr>
            <w:r w:rsidRPr="001B47A4">
              <w:rPr>
                <w:sz w:val="24"/>
              </w:rPr>
              <w:t>[department store owner]</w:t>
            </w:r>
          </w:p>
        </w:tc>
        <w:tc>
          <w:tcPr>
            <w:tcW w:w="2268" w:type="dxa"/>
            <w:shd w:val="clear" w:color="auto" w:fill="auto"/>
          </w:tcPr>
          <w:p w14:paraId="3C6A875D" w14:textId="77777777" w:rsidR="00D96295" w:rsidRPr="001B47A4" w:rsidRDefault="00D96295" w:rsidP="00E8062F">
            <w:pPr>
              <w:rPr>
                <w:sz w:val="24"/>
              </w:rPr>
            </w:pPr>
            <w:r w:rsidRPr="001B47A4">
              <w:rPr>
                <w:sz w:val="24"/>
              </w:rPr>
              <w:t>6</w:t>
            </w:r>
          </w:p>
        </w:tc>
      </w:tr>
      <w:tr w:rsidR="00D96295" w:rsidRPr="00C84C3E" w14:paraId="1F698623" w14:textId="77777777" w:rsidTr="00E8062F">
        <w:trPr>
          <w:trHeight w:val="300"/>
        </w:trPr>
        <w:tc>
          <w:tcPr>
            <w:tcW w:w="4531" w:type="dxa"/>
            <w:shd w:val="clear" w:color="auto" w:fill="auto"/>
            <w:noWrap/>
            <w:hideMark/>
          </w:tcPr>
          <w:p w14:paraId="3B6F5686" w14:textId="77777777" w:rsidR="00D96295" w:rsidRPr="001B47A4" w:rsidRDefault="00D96295" w:rsidP="00E8062F">
            <w:pPr>
              <w:rPr>
                <w:sz w:val="24"/>
              </w:rPr>
            </w:pPr>
            <w:r w:rsidRPr="001B47A4">
              <w:rPr>
                <w:sz w:val="24"/>
              </w:rPr>
              <w:t>Viscount Cowdray</w:t>
            </w:r>
          </w:p>
        </w:tc>
        <w:tc>
          <w:tcPr>
            <w:tcW w:w="7343" w:type="dxa"/>
            <w:shd w:val="clear" w:color="auto" w:fill="auto"/>
          </w:tcPr>
          <w:p w14:paraId="39571C2F" w14:textId="77777777" w:rsidR="00D96295" w:rsidRPr="001B47A4" w:rsidRDefault="00D96295" w:rsidP="00E8062F">
            <w:pPr>
              <w:rPr>
                <w:sz w:val="24"/>
              </w:rPr>
            </w:pPr>
            <w:r w:rsidRPr="001B47A4">
              <w:rPr>
                <w:sz w:val="24"/>
              </w:rPr>
              <w:t xml:space="preserve">[partner </w:t>
            </w:r>
            <w:r>
              <w:rPr>
                <w:sz w:val="24"/>
              </w:rPr>
              <w:t xml:space="preserve">in S. </w:t>
            </w:r>
            <w:r w:rsidRPr="001B47A4">
              <w:rPr>
                <w:sz w:val="24"/>
              </w:rPr>
              <w:t xml:space="preserve">Pearson </w:t>
            </w:r>
            <w:r>
              <w:rPr>
                <w:sz w:val="24"/>
              </w:rPr>
              <w:t xml:space="preserve">&amp; Son, </w:t>
            </w:r>
            <w:r w:rsidRPr="001B47A4">
              <w:rPr>
                <w:sz w:val="24"/>
              </w:rPr>
              <w:t>contractors]</w:t>
            </w:r>
          </w:p>
        </w:tc>
        <w:tc>
          <w:tcPr>
            <w:tcW w:w="2268" w:type="dxa"/>
            <w:shd w:val="clear" w:color="auto" w:fill="auto"/>
          </w:tcPr>
          <w:p w14:paraId="5DE1182E" w14:textId="77777777" w:rsidR="00D96295" w:rsidRPr="001B47A4" w:rsidRDefault="00D96295" w:rsidP="00E8062F">
            <w:pPr>
              <w:rPr>
                <w:sz w:val="24"/>
              </w:rPr>
            </w:pPr>
            <w:r w:rsidRPr="001B47A4">
              <w:rPr>
                <w:sz w:val="24"/>
              </w:rPr>
              <w:t>9</w:t>
            </w:r>
          </w:p>
        </w:tc>
      </w:tr>
      <w:tr w:rsidR="00D96295" w:rsidRPr="00C84C3E" w14:paraId="66EFCF8F" w14:textId="77777777" w:rsidTr="00E8062F">
        <w:trPr>
          <w:trHeight w:val="300"/>
        </w:trPr>
        <w:tc>
          <w:tcPr>
            <w:tcW w:w="4531" w:type="dxa"/>
            <w:shd w:val="clear" w:color="auto" w:fill="auto"/>
            <w:noWrap/>
            <w:hideMark/>
          </w:tcPr>
          <w:p w14:paraId="2E4BB5FF" w14:textId="77777777" w:rsidR="00D96295" w:rsidRPr="001B47A4" w:rsidRDefault="00D96295" w:rsidP="00E8062F">
            <w:pPr>
              <w:rPr>
                <w:sz w:val="24"/>
              </w:rPr>
            </w:pPr>
            <w:r w:rsidRPr="001B47A4">
              <w:rPr>
                <w:sz w:val="24"/>
              </w:rPr>
              <w:t>D. Drummond Fraser</w:t>
            </w:r>
          </w:p>
        </w:tc>
        <w:tc>
          <w:tcPr>
            <w:tcW w:w="7343" w:type="dxa"/>
            <w:shd w:val="clear" w:color="auto" w:fill="auto"/>
          </w:tcPr>
          <w:p w14:paraId="2991C3D7" w14:textId="77777777" w:rsidR="00D96295" w:rsidRPr="001B47A4" w:rsidRDefault="00D96295" w:rsidP="00E8062F">
            <w:pPr>
              <w:rPr>
                <w:sz w:val="24"/>
              </w:rPr>
            </w:pPr>
            <w:r w:rsidRPr="001B47A4">
              <w:rPr>
                <w:sz w:val="24"/>
              </w:rPr>
              <w:t>Joint Managing Director, Manchester and Live</w:t>
            </w:r>
            <w:r>
              <w:rPr>
                <w:sz w:val="24"/>
              </w:rPr>
              <w:t>rpool District Banking Co.</w:t>
            </w:r>
          </w:p>
        </w:tc>
        <w:tc>
          <w:tcPr>
            <w:tcW w:w="2268" w:type="dxa"/>
            <w:shd w:val="clear" w:color="auto" w:fill="auto"/>
          </w:tcPr>
          <w:p w14:paraId="5812DE87" w14:textId="77777777" w:rsidR="00D96295" w:rsidRPr="001B47A4" w:rsidRDefault="00D96295" w:rsidP="00E8062F">
            <w:pPr>
              <w:rPr>
                <w:sz w:val="24"/>
              </w:rPr>
            </w:pPr>
            <w:r w:rsidRPr="001B47A4">
              <w:rPr>
                <w:sz w:val="24"/>
              </w:rPr>
              <w:t>13</w:t>
            </w:r>
          </w:p>
        </w:tc>
      </w:tr>
      <w:tr w:rsidR="00D96295" w:rsidRPr="00C84C3E" w14:paraId="40E5010C" w14:textId="77777777" w:rsidTr="00E8062F">
        <w:trPr>
          <w:trHeight w:val="300"/>
        </w:trPr>
        <w:tc>
          <w:tcPr>
            <w:tcW w:w="4531" w:type="dxa"/>
            <w:shd w:val="clear" w:color="auto" w:fill="auto"/>
            <w:noWrap/>
            <w:hideMark/>
          </w:tcPr>
          <w:p w14:paraId="18FA9E15" w14:textId="77777777" w:rsidR="00D96295" w:rsidRPr="001B47A4" w:rsidRDefault="00D96295" w:rsidP="00E8062F">
            <w:pPr>
              <w:rPr>
                <w:sz w:val="24"/>
              </w:rPr>
            </w:pPr>
            <w:r w:rsidRPr="001B47A4">
              <w:rPr>
                <w:sz w:val="24"/>
              </w:rPr>
              <w:t>Sidney Webb</w:t>
            </w:r>
          </w:p>
        </w:tc>
        <w:tc>
          <w:tcPr>
            <w:tcW w:w="7343" w:type="dxa"/>
            <w:shd w:val="clear" w:color="auto" w:fill="auto"/>
          </w:tcPr>
          <w:p w14:paraId="618F4C24" w14:textId="77777777" w:rsidR="00D96295" w:rsidRPr="001B47A4" w:rsidRDefault="00D96295" w:rsidP="00E8062F">
            <w:pPr>
              <w:rPr>
                <w:sz w:val="24"/>
              </w:rPr>
            </w:pPr>
            <w:r w:rsidRPr="001B47A4">
              <w:rPr>
                <w:sz w:val="24"/>
              </w:rPr>
              <w:t>[Fabian socialist]</w:t>
            </w:r>
          </w:p>
        </w:tc>
        <w:tc>
          <w:tcPr>
            <w:tcW w:w="2268" w:type="dxa"/>
            <w:shd w:val="clear" w:color="auto" w:fill="auto"/>
          </w:tcPr>
          <w:p w14:paraId="5168E9FA" w14:textId="77777777" w:rsidR="00D96295" w:rsidRPr="001B47A4" w:rsidRDefault="00D96295" w:rsidP="00E8062F">
            <w:pPr>
              <w:rPr>
                <w:sz w:val="24"/>
              </w:rPr>
            </w:pPr>
            <w:r w:rsidRPr="001B47A4">
              <w:rPr>
                <w:sz w:val="24"/>
              </w:rPr>
              <w:t>17</w:t>
            </w:r>
          </w:p>
        </w:tc>
      </w:tr>
      <w:tr w:rsidR="00D96295" w:rsidRPr="00C84C3E" w14:paraId="0B37BCC3" w14:textId="77777777" w:rsidTr="00E8062F">
        <w:trPr>
          <w:trHeight w:val="300"/>
        </w:trPr>
        <w:tc>
          <w:tcPr>
            <w:tcW w:w="4531" w:type="dxa"/>
            <w:shd w:val="clear" w:color="auto" w:fill="auto"/>
            <w:noWrap/>
            <w:hideMark/>
          </w:tcPr>
          <w:p w14:paraId="2C661269" w14:textId="77777777" w:rsidR="00D96295" w:rsidRPr="001B47A4" w:rsidRDefault="00D96295" w:rsidP="00E8062F">
            <w:pPr>
              <w:rPr>
                <w:sz w:val="24"/>
              </w:rPr>
            </w:pPr>
            <w:r w:rsidRPr="001B47A4">
              <w:rPr>
                <w:sz w:val="24"/>
              </w:rPr>
              <w:t>A.W. [</w:t>
            </w:r>
            <w:r>
              <w:rPr>
                <w:sz w:val="24"/>
              </w:rPr>
              <w:t>Sir Alfred William</w:t>
            </w:r>
            <w:r w:rsidRPr="001B47A4">
              <w:rPr>
                <w:sz w:val="24"/>
              </w:rPr>
              <w:t xml:space="preserve">] Flux </w:t>
            </w:r>
          </w:p>
        </w:tc>
        <w:tc>
          <w:tcPr>
            <w:tcW w:w="7343" w:type="dxa"/>
            <w:shd w:val="clear" w:color="auto" w:fill="auto"/>
          </w:tcPr>
          <w:p w14:paraId="62DD12F2" w14:textId="77777777" w:rsidR="00D96295" w:rsidRPr="001B47A4" w:rsidRDefault="00D96295" w:rsidP="00E8062F">
            <w:pPr>
              <w:rPr>
                <w:sz w:val="24"/>
              </w:rPr>
            </w:pPr>
            <w:r w:rsidRPr="001B47A4">
              <w:rPr>
                <w:sz w:val="24"/>
              </w:rPr>
              <w:t>[Statistical Department,] Board of Trade</w:t>
            </w:r>
          </w:p>
        </w:tc>
        <w:tc>
          <w:tcPr>
            <w:tcW w:w="2268" w:type="dxa"/>
            <w:shd w:val="clear" w:color="auto" w:fill="auto"/>
          </w:tcPr>
          <w:p w14:paraId="562CAEB8" w14:textId="77777777" w:rsidR="00D96295" w:rsidRPr="001B47A4" w:rsidRDefault="00D96295" w:rsidP="00E8062F">
            <w:pPr>
              <w:rPr>
                <w:sz w:val="24"/>
              </w:rPr>
            </w:pPr>
            <w:r w:rsidRPr="001B47A4">
              <w:rPr>
                <w:sz w:val="24"/>
              </w:rPr>
              <w:t>11</w:t>
            </w:r>
          </w:p>
        </w:tc>
      </w:tr>
      <w:tr w:rsidR="00D96295" w:rsidRPr="00C84C3E" w14:paraId="433C2CED" w14:textId="77777777" w:rsidTr="00E8062F">
        <w:trPr>
          <w:trHeight w:val="300"/>
        </w:trPr>
        <w:tc>
          <w:tcPr>
            <w:tcW w:w="4531" w:type="dxa"/>
            <w:shd w:val="clear" w:color="auto" w:fill="auto"/>
            <w:noWrap/>
            <w:hideMark/>
          </w:tcPr>
          <w:p w14:paraId="7451383D" w14:textId="77777777" w:rsidR="00D96295" w:rsidRPr="001B47A4" w:rsidRDefault="00D96295" w:rsidP="00E8062F">
            <w:pPr>
              <w:rPr>
                <w:sz w:val="24"/>
              </w:rPr>
            </w:pPr>
            <w:r w:rsidRPr="001B47A4">
              <w:rPr>
                <w:sz w:val="24"/>
              </w:rPr>
              <w:t>Thomas Courtney Johnston</w:t>
            </w:r>
          </w:p>
        </w:tc>
        <w:tc>
          <w:tcPr>
            <w:tcW w:w="7343" w:type="dxa"/>
            <w:shd w:val="clear" w:color="auto" w:fill="auto"/>
          </w:tcPr>
          <w:p w14:paraId="6AE76D3A" w14:textId="77777777" w:rsidR="00D96295" w:rsidRPr="001B47A4" w:rsidRDefault="00D96295" w:rsidP="00E8062F">
            <w:pPr>
              <w:rPr>
                <w:sz w:val="24"/>
              </w:rPr>
            </w:pPr>
            <w:r w:rsidRPr="001B47A4">
              <w:rPr>
                <w:sz w:val="24"/>
              </w:rPr>
              <w:t>Pountney &amp; Co. Ltd, Bristol</w:t>
            </w:r>
          </w:p>
        </w:tc>
        <w:tc>
          <w:tcPr>
            <w:tcW w:w="2268" w:type="dxa"/>
            <w:shd w:val="clear" w:color="auto" w:fill="auto"/>
          </w:tcPr>
          <w:p w14:paraId="4B5627A8" w14:textId="77777777" w:rsidR="00D96295" w:rsidRPr="001B47A4" w:rsidRDefault="00D96295" w:rsidP="00E8062F">
            <w:pPr>
              <w:rPr>
                <w:sz w:val="24"/>
              </w:rPr>
            </w:pPr>
            <w:r w:rsidRPr="001B47A4">
              <w:rPr>
                <w:sz w:val="24"/>
              </w:rPr>
              <w:t>8</w:t>
            </w:r>
          </w:p>
        </w:tc>
      </w:tr>
      <w:tr w:rsidR="00D96295" w:rsidRPr="00C84C3E" w14:paraId="1A751847" w14:textId="77777777" w:rsidTr="00E8062F">
        <w:trPr>
          <w:trHeight w:val="300"/>
        </w:trPr>
        <w:tc>
          <w:tcPr>
            <w:tcW w:w="4531" w:type="dxa"/>
            <w:shd w:val="clear" w:color="auto" w:fill="auto"/>
            <w:noWrap/>
            <w:hideMark/>
          </w:tcPr>
          <w:p w14:paraId="76945237" w14:textId="77777777" w:rsidR="00D96295" w:rsidRPr="001B47A4" w:rsidRDefault="00D96295" w:rsidP="00E8062F">
            <w:pPr>
              <w:rPr>
                <w:sz w:val="24"/>
              </w:rPr>
            </w:pPr>
            <w:r w:rsidRPr="001B47A4">
              <w:rPr>
                <w:sz w:val="24"/>
              </w:rPr>
              <w:t>Christopher Nugent</w:t>
            </w:r>
          </w:p>
        </w:tc>
        <w:tc>
          <w:tcPr>
            <w:tcW w:w="7343" w:type="dxa"/>
            <w:shd w:val="clear" w:color="auto" w:fill="auto"/>
          </w:tcPr>
          <w:p w14:paraId="33230B2E" w14:textId="77777777" w:rsidR="00D96295" w:rsidRPr="001B47A4" w:rsidRDefault="00D96295" w:rsidP="00E8062F">
            <w:pPr>
              <w:rPr>
                <w:sz w:val="24"/>
              </w:rPr>
            </w:pPr>
            <w:r w:rsidRPr="001B47A4">
              <w:rPr>
                <w:sz w:val="24"/>
              </w:rPr>
              <w:t>Union Discount Company of London, Ltd.</w:t>
            </w:r>
          </w:p>
        </w:tc>
        <w:tc>
          <w:tcPr>
            <w:tcW w:w="2268" w:type="dxa"/>
            <w:shd w:val="clear" w:color="auto" w:fill="auto"/>
          </w:tcPr>
          <w:p w14:paraId="6270BFA5" w14:textId="77777777" w:rsidR="00D96295" w:rsidRPr="001B47A4" w:rsidRDefault="00D96295" w:rsidP="00E8062F">
            <w:pPr>
              <w:rPr>
                <w:sz w:val="24"/>
              </w:rPr>
            </w:pPr>
            <w:r w:rsidRPr="001B47A4">
              <w:rPr>
                <w:sz w:val="24"/>
              </w:rPr>
              <w:t>10</w:t>
            </w:r>
          </w:p>
        </w:tc>
      </w:tr>
      <w:tr w:rsidR="00D96295" w:rsidRPr="00C84C3E" w14:paraId="58F44DEB" w14:textId="77777777" w:rsidTr="00E8062F">
        <w:trPr>
          <w:trHeight w:val="300"/>
        </w:trPr>
        <w:tc>
          <w:tcPr>
            <w:tcW w:w="4531" w:type="dxa"/>
            <w:shd w:val="clear" w:color="auto" w:fill="auto"/>
            <w:noWrap/>
            <w:hideMark/>
          </w:tcPr>
          <w:p w14:paraId="19310E86" w14:textId="77777777" w:rsidR="00D96295" w:rsidRPr="001B47A4" w:rsidRDefault="00D96295" w:rsidP="00E8062F">
            <w:pPr>
              <w:rPr>
                <w:sz w:val="24"/>
              </w:rPr>
            </w:pPr>
            <w:r w:rsidRPr="001B47A4">
              <w:rPr>
                <w:sz w:val="24"/>
              </w:rPr>
              <w:t>Sir Herbert Hambling</w:t>
            </w:r>
          </w:p>
        </w:tc>
        <w:tc>
          <w:tcPr>
            <w:tcW w:w="7343" w:type="dxa"/>
            <w:shd w:val="clear" w:color="auto" w:fill="auto"/>
          </w:tcPr>
          <w:p w14:paraId="0A06DD09" w14:textId="77777777" w:rsidR="00D96295" w:rsidRPr="001B47A4" w:rsidRDefault="00D96295" w:rsidP="00E8062F">
            <w:pPr>
              <w:rPr>
                <w:sz w:val="24"/>
              </w:rPr>
            </w:pPr>
            <w:r w:rsidRPr="001B47A4">
              <w:rPr>
                <w:sz w:val="24"/>
              </w:rPr>
              <w:t>Chairman, London and South-Western Bank Limited</w:t>
            </w:r>
          </w:p>
        </w:tc>
        <w:tc>
          <w:tcPr>
            <w:tcW w:w="2268" w:type="dxa"/>
            <w:shd w:val="clear" w:color="auto" w:fill="auto"/>
          </w:tcPr>
          <w:p w14:paraId="445A5825" w14:textId="77777777" w:rsidR="00D96295" w:rsidRPr="001B47A4" w:rsidRDefault="00D96295" w:rsidP="00E8062F">
            <w:pPr>
              <w:rPr>
                <w:sz w:val="24"/>
              </w:rPr>
            </w:pPr>
            <w:r w:rsidRPr="001B47A4">
              <w:rPr>
                <w:sz w:val="24"/>
              </w:rPr>
              <w:t>10</w:t>
            </w:r>
          </w:p>
        </w:tc>
      </w:tr>
      <w:tr w:rsidR="00D96295" w:rsidRPr="00C84C3E" w14:paraId="4F8FF7D6" w14:textId="77777777" w:rsidTr="00E8062F">
        <w:trPr>
          <w:trHeight w:val="300"/>
        </w:trPr>
        <w:tc>
          <w:tcPr>
            <w:tcW w:w="4531" w:type="dxa"/>
            <w:shd w:val="clear" w:color="auto" w:fill="auto"/>
            <w:noWrap/>
            <w:hideMark/>
          </w:tcPr>
          <w:p w14:paraId="2F5E1F57" w14:textId="77777777" w:rsidR="00D96295" w:rsidRPr="001B47A4" w:rsidRDefault="00D96295" w:rsidP="00E8062F">
            <w:pPr>
              <w:rPr>
                <w:sz w:val="24"/>
              </w:rPr>
            </w:pPr>
            <w:r w:rsidRPr="001B47A4">
              <w:rPr>
                <w:sz w:val="24"/>
              </w:rPr>
              <w:t>John Ford Darling</w:t>
            </w:r>
          </w:p>
        </w:tc>
        <w:tc>
          <w:tcPr>
            <w:tcW w:w="7343" w:type="dxa"/>
            <w:shd w:val="clear" w:color="auto" w:fill="auto"/>
          </w:tcPr>
          <w:p w14:paraId="48E526D2" w14:textId="77777777" w:rsidR="00D96295" w:rsidRPr="001B47A4" w:rsidRDefault="00D96295" w:rsidP="00E8062F">
            <w:pPr>
              <w:rPr>
                <w:sz w:val="24"/>
              </w:rPr>
            </w:pPr>
            <w:r w:rsidRPr="001B47A4">
              <w:rPr>
                <w:sz w:val="24"/>
              </w:rPr>
              <w:t>General Manager, London Joint Stock Bank Limited</w:t>
            </w:r>
          </w:p>
        </w:tc>
        <w:tc>
          <w:tcPr>
            <w:tcW w:w="2268" w:type="dxa"/>
            <w:shd w:val="clear" w:color="auto" w:fill="auto"/>
          </w:tcPr>
          <w:p w14:paraId="1A0F1471" w14:textId="77777777" w:rsidR="00D96295" w:rsidRPr="001B47A4" w:rsidRDefault="00D96295" w:rsidP="00E8062F">
            <w:pPr>
              <w:rPr>
                <w:sz w:val="24"/>
              </w:rPr>
            </w:pPr>
            <w:r w:rsidRPr="001B47A4">
              <w:rPr>
                <w:sz w:val="24"/>
              </w:rPr>
              <w:t>14</w:t>
            </w:r>
          </w:p>
        </w:tc>
      </w:tr>
      <w:tr w:rsidR="00D96295" w:rsidRPr="00C84C3E" w14:paraId="32122A27" w14:textId="77777777" w:rsidTr="00E8062F">
        <w:trPr>
          <w:trHeight w:val="300"/>
        </w:trPr>
        <w:tc>
          <w:tcPr>
            <w:tcW w:w="4531" w:type="dxa"/>
            <w:shd w:val="clear" w:color="auto" w:fill="auto"/>
            <w:noWrap/>
            <w:hideMark/>
          </w:tcPr>
          <w:p w14:paraId="61239CD7" w14:textId="77777777" w:rsidR="00D96295" w:rsidRPr="001B47A4" w:rsidRDefault="00D96295" w:rsidP="00E8062F">
            <w:pPr>
              <w:rPr>
                <w:sz w:val="24"/>
              </w:rPr>
            </w:pPr>
            <w:r w:rsidRPr="001B47A4">
              <w:rPr>
                <w:sz w:val="24"/>
              </w:rPr>
              <w:t xml:space="preserve">Sir Edward Holden </w:t>
            </w:r>
          </w:p>
        </w:tc>
        <w:tc>
          <w:tcPr>
            <w:tcW w:w="7343" w:type="dxa"/>
            <w:shd w:val="clear" w:color="auto" w:fill="auto"/>
          </w:tcPr>
          <w:p w14:paraId="2E44C49D" w14:textId="77777777" w:rsidR="00D96295" w:rsidRPr="001B47A4" w:rsidRDefault="00D96295" w:rsidP="00E8062F">
            <w:pPr>
              <w:rPr>
                <w:sz w:val="24"/>
              </w:rPr>
            </w:pPr>
            <w:r w:rsidRPr="001B47A4">
              <w:rPr>
                <w:sz w:val="24"/>
              </w:rPr>
              <w:t>Chairman and Managing Director, London, City and Midland Bank</w:t>
            </w:r>
          </w:p>
        </w:tc>
        <w:tc>
          <w:tcPr>
            <w:tcW w:w="2268" w:type="dxa"/>
            <w:shd w:val="clear" w:color="auto" w:fill="auto"/>
          </w:tcPr>
          <w:p w14:paraId="1F379314" w14:textId="77777777" w:rsidR="00D96295" w:rsidRPr="001B47A4" w:rsidRDefault="00D96295" w:rsidP="00E8062F">
            <w:pPr>
              <w:rPr>
                <w:sz w:val="24"/>
              </w:rPr>
            </w:pPr>
            <w:r w:rsidRPr="001B47A4">
              <w:rPr>
                <w:sz w:val="24"/>
              </w:rPr>
              <w:t>34</w:t>
            </w:r>
          </w:p>
        </w:tc>
      </w:tr>
      <w:tr w:rsidR="00D96295" w:rsidRPr="00C84C3E" w14:paraId="5BCF02A0" w14:textId="77777777" w:rsidTr="00E8062F">
        <w:trPr>
          <w:trHeight w:val="300"/>
        </w:trPr>
        <w:tc>
          <w:tcPr>
            <w:tcW w:w="4531" w:type="dxa"/>
            <w:shd w:val="clear" w:color="auto" w:fill="auto"/>
            <w:noWrap/>
            <w:hideMark/>
          </w:tcPr>
          <w:p w14:paraId="7DE7E35F" w14:textId="77777777" w:rsidR="00D96295" w:rsidRPr="001B47A4" w:rsidRDefault="00D96295" w:rsidP="00E8062F">
            <w:pPr>
              <w:rPr>
                <w:sz w:val="24"/>
              </w:rPr>
            </w:pPr>
            <w:r w:rsidRPr="001B47A4">
              <w:rPr>
                <w:sz w:val="24"/>
              </w:rPr>
              <w:t xml:space="preserve">Professor H.S. [ </w:t>
            </w:r>
            <w:r>
              <w:rPr>
                <w:sz w:val="24"/>
              </w:rPr>
              <w:t>Herbert Somerton</w:t>
            </w:r>
            <w:r w:rsidRPr="001B47A4">
              <w:rPr>
                <w:sz w:val="24"/>
              </w:rPr>
              <w:t xml:space="preserve">] Foxwell </w:t>
            </w:r>
          </w:p>
        </w:tc>
        <w:tc>
          <w:tcPr>
            <w:tcW w:w="7343" w:type="dxa"/>
            <w:shd w:val="clear" w:color="auto" w:fill="auto"/>
          </w:tcPr>
          <w:p w14:paraId="440A9F1C" w14:textId="77777777" w:rsidR="00D96295" w:rsidRPr="001B47A4" w:rsidRDefault="00D96295" w:rsidP="00E8062F">
            <w:pPr>
              <w:rPr>
                <w:sz w:val="24"/>
              </w:rPr>
            </w:pPr>
            <w:r w:rsidRPr="001B47A4">
              <w:rPr>
                <w:sz w:val="24"/>
              </w:rPr>
              <w:t xml:space="preserve">Professor of Political </w:t>
            </w:r>
            <w:r>
              <w:rPr>
                <w:sz w:val="24"/>
              </w:rPr>
              <w:t>Economy, University of London</w:t>
            </w:r>
          </w:p>
        </w:tc>
        <w:tc>
          <w:tcPr>
            <w:tcW w:w="2268" w:type="dxa"/>
            <w:shd w:val="clear" w:color="auto" w:fill="auto"/>
          </w:tcPr>
          <w:p w14:paraId="6686C8B7" w14:textId="77777777" w:rsidR="00D96295" w:rsidRPr="001B47A4" w:rsidRDefault="00D96295" w:rsidP="00E8062F">
            <w:pPr>
              <w:rPr>
                <w:sz w:val="24"/>
              </w:rPr>
            </w:pPr>
            <w:r w:rsidRPr="001B47A4">
              <w:rPr>
                <w:sz w:val="24"/>
              </w:rPr>
              <w:t>21</w:t>
            </w:r>
          </w:p>
        </w:tc>
      </w:tr>
      <w:tr w:rsidR="00D96295" w:rsidRPr="00C84C3E" w14:paraId="7DABDAA3" w14:textId="77777777" w:rsidTr="00E8062F">
        <w:trPr>
          <w:trHeight w:val="300"/>
        </w:trPr>
        <w:tc>
          <w:tcPr>
            <w:tcW w:w="4531" w:type="dxa"/>
            <w:shd w:val="clear" w:color="auto" w:fill="auto"/>
            <w:noWrap/>
            <w:hideMark/>
          </w:tcPr>
          <w:p w14:paraId="2FA48E6A" w14:textId="77777777" w:rsidR="00D96295" w:rsidRPr="001B47A4" w:rsidRDefault="00D96295" w:rsidP="00E8062F">
            <w:pPr>
              <w:rPr>
                <w:sz w:val="24"/>
              </w:rPr>
            </w:pPr>
            <w:r w:rsidRPr="001B47A4">
              <w:rPr>
                <w:sz w:val="24"/>
              </w:rPr>
              <w:t>Owen Charles Quekett</w:t>
            </w:r>
          </w:p>
        </w:tc>
        <w:tc>
          <w:tcPr>
            <w:tcW w:w="7343" w:type="dxa"/>
            <w:shd w:val="clear" w:color="auto" w:fill="auto"/>
          </w:tcPr>
          <w:p w14:paraId="56F84DA0" w14:textId="77777777" w:rsidR="00D96295" w:rsidRPr="001B47A4" w:rsidRDefault="00D96295" w:rsidP="00E8062F">
            <w:pPr>
              <w:rPr>
                <w:sz w:val="24"/>
              </w:rPr>
            </w:pPr>
            <w:r w:rsidRPr="001B47A4">
              <w:rPr>
                <w:sz w:val="24"/>
              </w:rPr>
              <w:t>Chairman of the Stock Exchange Committee</w:t>
            </w:r>
          </w:p>
        </w:tc>
        <w:tc>
          <w:tcPr>
            <w:tcW w:w="2268" w:type="dxa"/>
            <w:shd w:val="clear" w:color="auto" w:fill="auto"/>
          </w:tcPr>
          <w:p w14:paraId="0EC6DA28" w14:textId="77777777" w:rsidR="00D96295" w:rsidRPr="001B47A4" w:rsidRDefault="00D96295" w:rsidP="00E8062F">
            <w:pPr>
              <w:rPr>
                <w:sz w:val="24"/>
              </w:rPr>
            </w:pPr>
            <w:r w:rsidRPr="001B47A4">
              <w:rPr>
                <w:sz w:val="24"/>
              </w:rPr>
              <w:t>2</w:t>
            </w:r>
          </w:p>
        </w:tc>
      </w:tr>
      <w:tr w:rsidR="00D96295" w:rsidRPr="00C84C3E" w14:paraId="45638319" w14:textId="77777777" w:rsidTr="00E8062F">
        <w:trPr>
          <w:trHeight w:val="300"/>
        </w:trPr>
        <w:tc>
          <w:tcPr>
            <w:tcW w:w="4531" w:type="dxa"/>
            <w:shd w:val="clear" w:color="auto" w:fill="auto"/>
            <w:noWrap/>
            <w:hideMark/>
          </w:tcPr>
          <w:p w14:paraId="44EFA290" w14:textId="77777777" w:rsidR="00D96295" w:rsidRPr="001B47A4" w:rsidRDefault="00D96295" w:rsidP="00E8062F">
            <w:pPr>
              <w:rPr>
                <w:sz w:val="24"/>
              </w:rPr>
            </w:pPr>
            <w:r w:rsidRPr="001B47A4">
              <w:rPr>
                <w:sz w:val="24"/>
              </w:rPr>
              <w:t>Gaspard Farrer</w:t>
            </w:r>
          </w:p>
        </w:tc>
        <w:tc>
          <w:tcPr>
            <w:tcW w:w="7343" w:type="dxa"/>
            <w:shd w:val="clear" w:color="auto" w:fill="auto"/>
          </w:tcPr>
          <w:p w14:paraId="383C5830" w14:textId="77777777" w:rsidR="00D96295" w:rsidRPr="001B47A4" w:rsidRDefault="00D96295" w:rsidP="00E8062F">
            <w:pPr>
              <w:rPr>
                <w:sz w:val="24"/>
              </w:rPr>
            </w:pPr>
            <w:r w:rsidRPr="001B47A4">
              <w:rPr>
                <w:sz w:val="24"/>
              </w:rPr>
              <w:t>Baring Brothers and Co. L</w:t>
            </w:r>
            <w:r>
              <w:rPr>
                <w:sz w:val="24"/>
              </w:rPr>
              <w:t>td.</w:t>
            </w:r>
          </w:p>
        </w:tc>
        <w:tc>
          <w:tcPr>
            <w:tcW w:w="2268" w:type="dxa"/>
            <w:shd w:val="clear" w:color="auto" w:fill="auto"/>
          </w:tcPr>
          <w:p w14:paraId="7E0FF629" w14:textId="77777777" w:rsidR="00D96295" w:rsidRPr="001B47A4" w:rsidRDefault="00D96295" w:rsidP="00E8062F">
            <w:pPr>
              <w:rPr>
                <w:sz w:val="24"/>
              </w:rPr>
            </w:pPr>
            <w:r w:rsidRPr="001B47A4">
              <w:rPr>
                <w:sz w:val="24"/>
              </w:rPr>
              <w:t>8</w:t>
            </w:r>
          </w:p>
        </w:tc>
      </w:tr>
      <w:tr w:rsidR="00D96295" w:rsidRPr="00C84C3E" w14:paraId="1B3DB550" w14:textId="77777777" w:rsidTr="00E8062F">
        <w:trPr>
          <w:trHeight w:val="300"/>
        </w:trPr>
        <w:tc>
          <w:tcPr>
            <w:tcW w:w="4531" w:type="dxa"/>
            <w:shd w:val="clear" w:color="auto" w:fill="auto"/>
            <w:noWrap/>
            <w:hideMark/>
          </w:tcPr>
          <w:p w14:paraId="15A927D5" w14:textId="77777777" w:rsidR="00D96295" w:rsidRPr="001B47A4" w:rsidRDefault="00D96295" w:rsidP="00E8062F">
            <w:pPr>
              <w:rPr>
                <w:sz w:val="24"/>
              </w:rPr>
            </w:pPr>
            <w:r w:rsidRPr="001B47A4">
              <w:rPr>
                <w:sz w:val="24"/>
              </w:rPr>
              <w:t>Harold Edward Snagge</w:t>
            </w:r>
          </w:p>
        </w:tc>
        <w:tc>
          <w:tcPr>
            <w:tcW w:w="7343" w:type="dxa"/>
            <w:shd w:val="clear" w:color="auto" w:fill="auto"/>
          </w:tcPr>
          <w:p w14:paraId="1569D060" w14:textId="77777777" w:rsidR="00D96295" w:rsidRPr="001B47A4" w:rsidRDefault="00D96295" w:rsidP="00E8062F">
            <w:pPr>
              <w:rPr>
                <w:sz w:val="24"/>
              </w:rPr>
            </w:pPr>
            <w:r w:rsidRPr="001B47A4">
              <w:rPr>
                <w:sz w:val="24"/>
              </w:rPr>
              <w:t>Edward Boustead &amp; Co., East India merchants</w:t>
            </w:r>
          </w:p>
        </w:tc>
        <w:tc>
          <w:tcPr>
            <w:tcW w:w="2268" w:type="dxa"/>
            <w:shd w:val="clear" w:color="auto" w:fill="auto"/>
          </w:tcPr>
          <w:p w14:paraId="176BBCFB" w14:textId="77777777" w:rsidR="00D96295" w:rsidRPr="001B47A4" w:rsidRDefault="00D96295" w:rsidP="00E8062F">
            <w:pPr>
              <w:rPr>
                <w:sz w:val="24"/>
              </w:rPr>
            </w:pPr>
            <w:r w:rsidRPr="001B47A4">
              <w:rPr>
                <w:sz w:val="24"/>
              </w:rPr>
              <w:t>5</w:t>
            </w:r>
          </w:p>
        </w:tc>
      </w:tr>
      <w:tr w:rsidR="00D96295" w:rsidRPr="00C84C3E" w14:paraId="6DFDFC11" w14:textId="77777777" w:rsidTr="00E8062F">
        <w:trPr>
          <w:trHeight w:val="300"/>
        </w:trPr>
        <w:tc>
          <w:tcPr>
            <w:tcW w:w="4531" w:type="dxa"/>
            <w:shd w:val="clear" w:color="auto" w:fill="auto"/>
            <w:noWrap/>
            <w:hideMark/>
          </w:tcPr>
          <w:p w14:paraId="29618685" w14:textId="77777777" w:rsidR="00D96295" w:rsidRPr="001B47A4" w:rsidRDefault="00D96295" w:rsidP="00E8062F">
            <w:pPr>
              <w:rPr>
                <w:sz w:val="24"/>
              </w:rPr>
            </w:pPr>
            <w:r w:rsidRPr="001B47A4">
              <w:rPr>
                <w:sz w:val="24"/>
              </w:rPr>
              <w:t>Henry Bell</w:t>
            </w:r>
          </w:p>
        </w:tc>
        <w:tc>
          <w:tcPr>
            <w:tcW w:w="7343" w:type="dxa"/>
            <w:shd w:val="clear" w:color="auto" w:fill="auto"/>
          </w:tcPr>
          <w:p w14:paraId="1D726899" w14:textId="77777777" w:rsidR="00D96295" w:rsidRPr="001B47A4" w:rsidRDefault="00D96295" w:rsidP="00E8062F">
            <w:pPr>
              <w:rPr>
                <w:sz w:val="24"/>
              </w:rPr>
            </w:pPr>
            <w:r w:rsidRPr="001B47A4">
              <w:rPr>
                <w:sz w:val="24"/>
              </w:rPr>
              <w:t>Director and General Manager, Lloyds Bank</w:t>
            </w:r>
          </w:p>
        </w:tc>
        <w:tc>
          <w:tcPr>
            <w:tcW w:w="2268" w:type="dxa"/>
            <w:shd w:val="clear" w:color="auto" w:fill="auto"/>
          </w:tcPr>
          <w:p w14:paraId="4923659C" w14:textId="77777777" w:rsidR="00D96295" w:rsidRPr="001B47A4" w:rsidRDefault="00D96295" w:rsidP="00E8062F">
            <w:pPr>
              <w:rPr>
                <w:sz w:val="24"/>
              </w:rPr>
            </w:pPr>
            <w:r w:rsidRPr="001B47A4">
              <w:rPr>
                <w:sz w:val="24"/>
              </w:rPr>
              <w:t>20</w:t>
            </w:r>
          </w:p>
        </w:tc>
      </w:tr>
      <w:tr w:rsidR="00D96295" w:rsidRPr="00C84C3E" w14:paraId="3763A016" w14:textId="77777777" w:rsidTr="00E8062F">
        <w:trPr>
          <w:trHeight w:val="300"/>
        </w:trPr>
        <w:tc>
          <w:tcPr>
            <w:tcW w:w="4531" w:type="dxa"/>
            <w:shd w:val="clear" w:color="auto" w:fill="auto"/>
            <w:noWrap/>
            <w:hideMark/>
          </w:tcPr>
          <w:p w14:paraId="43BC15AE" w14:textId="77777777" w:rsidR="00D96295" w:rsidRPr="001B47A4" w:rsidRDefault="00D96295" w:rsidP="00E8062F">
            <w:pPr>
              <w:rPr>
                <w:sz w:val="24"/>
              </w:rPr>
            </w:pPr>
            <w:r w:rsidRPr="001B47A4">
              <w:rPr>
                <w:sz w:val="24"/>
              </w:rPr>
              <w:t xml:space="preserve">Mr. [John William] Beaumont Pease </w:t>
            </w:r>
          </w:p>
        </w:tc>
        <w:tc>
          <w:tcPr>
            <w:tcW w:w="7343" w:type="dxa"/>
            <w:shd w:val="clear" w:color="auto" w:fill="auto"/>
          </w:tcPr>
          <w:p w14:paraId="219897A5" w14:textId="77777777" w:rsidR="00D96295" w:rsidRPr="001B47A4" w:rsidRDefault="00D96295" w:rsidP="00E8062F">
            <w:pPr>
              <w:rPr>
                <w:sz w:val="24"/>
              </w:rPr>
            </w:pPr>
            <w:r w:rsidRPr="001B47A4">
              <w:rPr>
                <w:sz w:val="24"/>
              </w:rPr>
              <w:t>Deputy Chairman [Chairman, 1922-1945], Lloyds Bank</w:t>
            </w:r>
          </w:p>
        </w:tc>
        <w:tc>
          <w:tcPr>
            <w:tcW w:w="2268" w:type="dxa"/>
            <w:shd w:val="clear" w:color="auto" w:fill="auto"/>
          </w:tcPr>
          <w:p w14:paraId="75FE49D6" w14:textId="77777777" w:rsidR="00D96295" w:rsidRPr="001B47A4" w:rsidRDefault="00D96295" w:rsidP="00E8062F">
            <w:pPr>
              <w:rPr>
                <w:sz w:val="24"/>
              </w:rPr>
            </w:pPr>
            <w:r w:rsidRPr="001B47A4">
              <w:rPr>
                <w:sz w:val="24"/>
              </w:rPr>
              <w:t>23</w:t>
            </w:r>
          </w:p>
        </w:tc>
      </w:tr>
      <w:tr w:rsidR="00D96295" w:rsidRPr="00C84C3E" w14:paraId="1D90DB7E" w14:textId="77777777" w:rsidTr="00E8062F">
        <w:trPr>
          <w:trHeight w:val="300"/>
        </w:trPr>
        <w:tc>
          <w:tcPr>
            <w:tcW w:w="4531" w:type="dxa"/>
            <w:shd w:val="clear" w:color="auto" w:fill="auto"/>
            <w:noWrap/>
            <w:hideMark/>
          </w:tcPr>
          <w:p w14:paraId="040143E3" w14:textId="77777777" w:rsidR="00D96295" w:rsidRPr="001B47A4" w:rsidRDefault="00D96295" w:rsidP="00E8062F">
            <w:pPr>
              <w:rPr>
                <w:sz w:val="24"/>
              </w:rPr>
            </w:pPr>
            <w:r w:rsidRPr="001B47A4">
              <w:rPr>
                <w:sz w:val="24"/>
              </w:rPr>
              <w:t>Sir James Hope Simpson</w:t>
            </w:r>
          </w:p>
        </w:tc>
        <w:tc>
          <w:tcPr>
            <w:tcW w:w="7343" w:type="dxa"/>
            <w:shd w:val="clear" w:color="auto" w:fill="auto"/>
          </w:tcPr>
          <w:p w14:paraId="3F96116A" w14:textId="77777777" w:rsidR="00D96295" w:rsidRPr="001B47A4" w:rsidRDefault="00D96295" w:rsidP="00E8062F">
            <w:pPr>
              <w:rPr>
                <w:sz w:val="24"/>
              </w:rPr>
            </w:pPr>
            <w:r w:rsidRPr="001B47A4">
              <w:rPr>
                <w:sz w:val="24"/>
              </w:rPr>
              <w:t>General Manager, Bank of Liverpool Ltd.</w:t>
            </w:r>
          </w:p>
        </w:tc>
        <w:tc>
          <w:tcPr>
            <w:tcW w:w="2268" w:type="dxa"/>
            <w:shd w:val="clear" w:color="auto" w:fill="auto"/>
          </w:tcPr>
          <w:p w14:paraId="7B26E0F4" w14:textId="77777777" w:rsidR="00D96295" w:rsidRPr="001B47A4" w:rsidRDefault="00D96295" w:rsidP="00E8062F">
            <w:pPr>
              <w:rPr>
                <w:sz w:val="24"/>
              </w:rPr>
            </w:pPr>
            <w:r w:rsidRPr="001B47A4">
              <w:rPr>
                <w:sz w:val="24"/>
              </w:rPr>
              <w:t>12</w:t>
            </w:r>
          </w:p>
        </w:tc>
      </w:tr>
      <w:tr w:rsidR="00D96295" w:rsidRPr="00C84C3E" w14:paraId="0118B34A" w14:textId="77777777" w:rsidTr="00E8062F">
        <w:trPr>
          <w:trHeight w:val="300"/>
        </w:trPr>
        <w:tc>
          <w:tcPr>
            <w:tcW w:w="4531" w:type="dxa"/>
            <w:shd w:val="clear" w:color="auto" w:fill="auto"/>
            <w:noWrap/>
            <w:hideMark/>
          </w:tcPr>
          <w:p w14:paraId="59412526" w14:textId="77777777" w:rsidR="00D96295" w:rsidRPr="001B47A4" w:rsidRDefault="00D96295" w:rsidP="00E8062F">
            <w:pPr>
              <w:rPr>
                <w:sz w:val="24"/>
              </w:rPr>
            </w:pPr>
            <w:r w:rsidRPr="001B47A4">
              <w:rPr>
                <w:sz w:val="24"/>
              </w:rPr>
              <w:t>Lord Inchcape</w:t>
            </w:r>
          </w:p>
        </w:tc>
        <w:tc>
          <w:tcPr>
            <w:tcW w:w="7343" w:type="dxa"/>
            <w:shd w:val="clear" w:color="auto" w:fill="auto"/>
          </w:tcPr>
          <w:p w14:paraId="333AFB5F" w14:textId="77777777" w:rsidR="00D96295" w:rsidRPr="001B47A4" w:rsidRDefault="00D96295" w:rsidP="00E8062F">
            <w:pPr>
              <w:rPr>
                <w:sz w:val="24"/>
              </w:rPr>
            </w:pPr>
            <w:r w:rsidRPr="001B47A4">
              <w:rPr>
                <w:sz w:val="24"/>
              </w:rPr>
              <w:t xml:space="preserve">Director, National Provincial </w:t>
            </w:r>
            <w:r>
              <w:rPr>
                <w:sz w:val="24"/>
              </w:rPr>
              <w:t>and Union Bank of England, Ltd. [; shipping magnate]</w:t>
            </w:r>
          </w:p>
        </w:tc>
        <w:tc>
          <w:tcPr>
            <w:tcW w:w="2268" w:type="dxa"/>
            <w:shd w:val="clear" w:color="auto" w:fill="auto"/>
          </w:tcPr>
          <w:p w14:paraId="78CA39CF" w14:textId="77777777" w:rsidR="00D96295" w:rsidRPr="001B47A4" w:rsidRDefault="00D96295" w:rsidP="00E8062F">
            <w:pPr>
              <w:rPr>
                <w:sz w:val="24"/>
              </w:rPr>
            </w:pPr>
            <w:r w:rsidRPr="001B47A4">
              <w:rPr>
                <w:sz w:val="24"/>
              </w:rPr>
              <w:t>13</w:t>
            </w:r>
          </w:p>
        </w:tc>
      </w:tr>
      <w:tr w:rsidR="00D96295" w:rsidRPr="00C84C3E" w14:paraId="2CED3DE2" w14:textId="77777777" w:rsidTr="00E8062F">
        <w:trPr>
          <w:trHeight w:val="300"/>
        </w:trPr>
        <w:tc>
          <w:tcPr>
            <w:tcW w:w="4531" w:type="dxa"/>
            <w:shd w:val="clear" w:color="auto" w:fill="auto"/>
            <w:noWrap/>
            <w:hideMark/>
          </w:tcPr>
          <w:p w14:paraId="2BA2BF61" w14:textId="77777777" w:rsidR="00D96295" w:rsidRPr="001B47A4" w:rsidRDefault="00D96295" w:rsidP="00E8062F">
            <w:pPr>
              <w:rPr>
                <w:sz w:val="24"/>
              </w:rPr>
            </w:pPr>
            <w:r w:rsidRPr="001B47A4">
              <w:rPr>
                <w:sz w:val="24"/>
              </w:rPr>
              <w:t xml:space="preserve">Walter Leaf </w:t>
            </w:r>
          </w:p>
        </w:tc>
        <w:tc>
          <w:tcPr>
            <w:tcW w:w="7343" w:type="dxa"/>
            <w:shd w:val="clear" w:color="auto" w:fill="auto"/>
          </w:tcPr>
          <w:p w14:paraId="1D94A723" w14:textId="77777777" w:rsidR="00D96295" w:rsidRPr="001B47A4" w:rsidRDefault="00D96295" w:rsidP="00E8062F">
            <w:pPr>
              <w:rPr>
                <w:sz w:val="24"/>
              </w:rPr>
            </w:pPr>
            <w:r w:rsidRPr="001B47A4">
              <w:rPr>
                <w:sz w:val="24"/>
              </w:rPr>
              <w:t>Chairman, London County, Westminster and Parr's Bank, Ltd.</w:t>
            </w:r>
          </w:p>
        </w:tc>
        <w:tc>
          <w:tcPr>
            <w:tcW w:w="2268" w:type="dxa"/>
            <w:shd w:val="clear" w:color="auto" w:fill="auto"/>
          </w:tcPr>
          <w:p w14:paraId="6ADC9FD9" w14:textId="77777777" w:rsidR="00D96295" w:rsidRPr="001B47A4" w:rsidRDefault="00D96295" w:rsidP="00E8062F">
            <w:pPr>
              <w:rPr>
                <w:sz w:val="24"/>
              </w:rPr>
            </w:pPr>
            <w:r w:rsidRPr="001B47A4">
              <w:rPr>
                <w:sz w:val="24"/>
              </w:rPr>
              <w:t>9</w:t>
            </w:r>
          </w:p>
        </w:tc>
      </w:tr>
      <w:bookmarkEnd w:id="5"/>
    </w:tbl>
    <w:p w14:paraId="246BD481" w14:textId="77777777" w:rsidR="00D96295" w:rsidRDefault="00D96295" w:rsidP="00D96295">
      <w:pPr>
        <w:rPr>
          <w:sz w:val="24"/>
          <w:lang w:val="en-US"/>
        </w:rPr>
      </w:pPr>
    </w:p>
    <w:p w14:paraId="57C424B1" w14:textId="77777777" w:rsidR="00D96295" w:rsidRPr="00BF163C" w:rsidRDefault="00D96295" w:rsidP="00D96295">
      <w:pPr>
        <w:spacing w:line="480" w:lineRule="auto"/>
        <w:rPr>
          <w:sz w:val="24"/>
          <w:lang w:val="en-US"/>
        </w:rPr>
      </w:pPr>
      <w:r>
        <w:rPr>
          <w:sz w:val="24"/>
          <w:lang w:val="en-US"/>
        </w:rPr>
        <w:t xml:space="preserve">Source: </w:t>
      </w:r>
      <w:r w:rsidRPr="009737BD">
        <w:rPr>
          <w:sz w:val="24"/>
          <w:lang w:val="en-US"/>
        </w:rPr>
        <w:t>TNA, T1/12267/50326</w:t>
      </w:r>
      <w:r>
        <w:rPr>
          <w:sz w:val="24"/>
          <w:lang w:val="en-US"/>
        </w:rPr>
        <w:t xml:space="preserve">, file 1 of 2; the witnesses are listed in the order in which their evidence appears on file, </w:t>
      </w:r>
      <w:r w:rsidRPr="00C009B2">
        <w:rPr>
          <w:sz w:val="24"/>
          <w:lang w:val="en-US"/>
        </w:rPr>
        <w:t xml:space="preserve">cross-checked against </w:t>
      </w:r>
      <w:r>
        <w:rPr>
          <w:sz w:val="24"/>
          <w:lang w:val="en-US"/>
        </w:rPr>
        <w:t xml:space="preserve">the </w:t>
      </w:r>
      <w:r w:rsidRPr="00C009B2">
        <w:rPr>
          <w:sz w:val="24"/>
          <w:lang w:val="en-US"/>
        </w:rPr>
        <w:t xml:space="preserve">list of witnesses in </w:t>
      </w:r>
      <w:r w:rsidRPr="00E65963">
        <w:rPr>
          <w:sz w:val="24"/>
          <w:szCs w:val="24"/>
        </w:rPr>
        <w:t>Treasury Committee on Bank Amalgamations (1918)</w:t>
      </w:r>
      <w:r>
        <w:rPr>
          <w:sz w:val="24"/>
          <w:szCs w:val="24"/>
          <w:lang w:val="en-US"/>
        </w:rPr>
        <w:t>, with additional background information in parentheses.</w:t>
      </w:r>
      <w:r>
        <w:rPr>
          <w:sz w:val="24"/>
          <w:lang w:val="en-US"/>
        </w:rPr>
        <w:t xml:space="preserve"> </w:t>
      </w:r>
    </w:p>
    <w:p w14:paraId="17BA19CC" w14:textId="350780FD" w:rsidR="004E6854" w:rsidRDefault="004E6854" w:rsidP="000758AF">
      <w:pPr>
        <w:spacing w:line="360" w:lineRule="auto"/>
        <w:ind w:left="720" w:hanging="720"/>
        <w:rPr>
          <w:sz w:val="24"/>
        </w:rPr>
      </w:pPr>
    </w:p>
    <w:p w14:paraId="322C4BB5" w14:textId="77777777" w:rsidR="004E6854" w:rsidRDefault="004E6854" w:rsidP="000758AF">
      <w:pPr>
        <w:spacing w:line="360" w:lineRule="auto"/>
        <w:ind w:left="720" w:hanging="720"/>
        <w:rPr>
          <w:sz w:val="24"/>
        </w:rPr>
      </w:pPr>
    </w:p>
    <w:p w14:paraId="68612E67" w14:textId="77777777" w:rsidR="004E6854" w:rsidRDefault="004E6854" w:rsidP="000758AF">
      <w:pPr>
        <w:spacing w:line="360" w:lineRule="auto"/>
        <w:ind w:left="720" w:hanging="720"/>
        <w:rPr>
          <w:sz w:val="24"/>
        </w:rPr>
      </w:pPr>
    </w:p>
    <w:p w14:paraId="59077B11" w14:textId="77777777" w:rsidR="004E6854" w:rsidRDefault="004E6854" w:rsidP="000758AF">
      <w:pPr>
        <w:spacing w:line="360" w:lineRule="auto"/>
        <w:ind w:left="720" w:hanging="720"/>
        <w:rPr>
          <w:sz w:val="24"/>
        </w:rPr>
        <w:sectPr w:rsidR="004E6854" w:rsidSect="00D96295">
          <w:endnotePr>
            <w:numFmt w:val="decimal"/>
          </w:endnotePr>
          <w:pgSz w:w="16840" w:h="11907" w:orient="landscape" w:code="9"/>
          <w:pgMar w:top="1797" w:right="1440" w:bottom="1797" w:left="1440" w:header="720" w:footer="720" w:gutter="0"/>
          <w:cols w:space="720"/>
          <w:docGrid w:linePitch="272"/>
        </w:sectPr>
      </w:pPr>
    </w:p>
    <w:p w14:paraId="52831AE3" w14:textId="77777777" w:rsidR="008C6D38" w:rsidRPr="008C6D38" w:rsidRDefault="008C6D38" w:rsidP="008C6D38">
      <w:pPr>
        <w:spacing w:line="360" w:lineRule="auto"/>
        <w:ind w:left="720" w:hanging="720"/>
        <w:rPr>
          <w:b/>
          <w:sz w:val="24"/>
        </w:rPr>
      </w:pPr>
      <w:r w:rsidRPr="008C6D38">
        <w:rPr>
          <w:b/>
          <w:sz w:val="24"/>
        </w:rPr>
        <w:lastRenderedPageBreak/>
        <w:t>Figure 1: Mergers in the population of British banks, 1810-2008</w:t>
      </w:r>
    </w:p>
    <w:p w14:paraId="0AAB4FDC" w14:textId="77777777" w:rsidR="008C6D38" w:rsidRPr="008C6D38" w:rsidRDefault="008C6D38" w:rsidP="008C6D38">
      <w:pPr>
        <w:spacing w:line="360" w:lineRule="auto"/>
        <w:ind w:left="720" w:hanging="720"/>
        <w:rPr>
          <w:sz w:val="24"/>
        </w:rPr>
      </w:pPr>
    </w:p>
    <w:p w14:paraId="692352C8" w14:textId="77777777" w:rsidR="008C6D38" w:rsidRPr="008C6D38" w:rsidRDefault="008C6D38" w:rsidP="008C6D38">
      <w:pPr>
        <w:spacing w:line="360" w:lineRule="auto"/>
        <w:ind w:left="720" w:hanging="720"/>
        <w:rPr>
          <w:sz w:val="24"/>
        </w:rPr>
      </w:pPr>
    </w:p>
    <w:p w14:paraId="0B2BB4C7" w14:textId="77777777" w:rsidR="008C6D38" w:rsidRPr="008C6D38" w:rsidRDefault="008C6D38" w:rsidP="008C6D38">
      <w:pPr>
        <w:spacing w:line="360" w:lineRule="auto"/>
        <w:ind w:left="720" w:hanging="720"/>
        <w:rPr>
          <w:sz w:val="24"/>
        </w:rPr>
      </w:pPr>
      <w:r w:rsidRPr="008C6D38">
        <w:rPr>
          <w:sz w:val="24"/>
        </w:rPr>
        <w:drawing>
          <wp:inline distT="0" distB="0" distL="0" distR="0" wp14:anchorId="32166EF4" wp14:editId="21AB4D60">
            <wp:extent cx="5295900" cy="3111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5900" cy="3111500"/>
                    </a:xfrm>
                    <a:prstGeom prst="rect">
                      <a:avLst/>
                    </a:prstGeom>
                    <a:noFill/>
                    <a:ln>
                      <a:noFill/>
                    </a:ln>
                  </pic:spPr>
                </pic:pic>
              </a:graphicData>
            </a:graphic>
          </wp:inline>
        </w:drawing>
      </w:r>
    </w:p>
    <w:p w14:paraId="26C2DBE9" w14:textId="77777777" w:rsidR="008C6D38" w:rsidRPr="008C6D38" w:rsidRDefault="008C6D38" w:rsidP="008C6D38">
      <w:pPr>
        <w:spacing w:line="360" w:lineRule="auto"/>
        <w:ind w:left="720" w:hanging="720"/>
        <w:rPr>
          <w:sz w:val="24"/>
        </w:rPr>
      </w:pPr>
    </w:p>
    <w:p w14:paraId="3D8D03C7" w14:textId="77777777" w:rsidR="008C6D38" w:rsidRPr="008C6D38" w:rsidRDefault="008C6D38" w:rsidP="008C6D38">
      <w:pPr>
        <w:spacing w:line="360" w:lineRule="auto"/>
        <w:ind w:left="720" w:hanging="720"/>
        <w:rPr>
          <w:sz w:val="24"/>
        </w:rPr>
      </w:pPr>
    </w:p>
    <w:p w14:paraId="65D6BEEF" w14:textId="77777777" w:rsidR="008C6D38" w:rsidRPr="008C6D38" w:rsidRDefault="008C6D38" w:rsidP="008C6D38">
      <w:pPr>
        <w:spacing w:line="360" w:lineRule="auto"/>
        <w:ind w:left="720" w:hanging="720"/>
        <w:rPr>
          <w:b/>
          <w:sz w:val="24"/>
        </w:rPr>
      </w:pPr>
      <w:r w:rsidRPr="008C6D38">
        <w:rPr>
          <w:b/>
          <w:sz w:val="24"/>
        </w:rPr>
        <w:t>Figure 2: The population of British banks, 1924-2008 (left axis: percentage change year to year; right axis: absolute number of total banks)</w:t>
      </w:r>
    </w:p>
    <w:p w14:paraId="7A67C843" w14:textId="77777777" w:rsidR="008C6D38" w:rsidRPr="008C6D38" w:rsidRDefault="008C6D38" w:rsidP="008C6D38">
      <w:pPr>
        <w:spacing w:line="360" w:lineRule="auto"/>
        <w:ind w:left="720" w:hanging="720"/>
        <w:rPr>
          <w:sz w:val="24"/>
        </w:rPr>
      </w:pPr>
    </w:p>
    <w:p w14:paraId="7A7AB2B0" w14:textId="77777777" w:rsidR="008C6D38" w:rsidRPr="008C6D38" w:rsidRDefault="008C6D38" w:rsidP="008C6D38">
      <w:pPr>
        <w:spacing w:line="360" w:lineRule="auto"/>
        <w:ind w:left="720" w:hanging="720"/>
        <w:rPr>
          <w:sz w:val="24"/>
        </w:rPr>
      </w:pPr>
      <w:r w:rsidRPr="008C6D38">
        <w:rPr>
          <w:sz w:val="24"/>
        </w:rPr>
        <w:drawing>
          <wp:inline distT="0" distB="0" distL="0" distR="0" wp14:anchorId="43C42155" wp14:editId="563FA254">
            <wp:extent cx="5267960" cy="3289935"/>
            <wp:effectExtent l="0" t="0" r="15240" b="3746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0A6803" w14:textId="77777777" w:rsidR="008C6D38" w:rsidRPr="008C6D38" w:rsidRDefault="008C6D38" w:rsidP="008C6D38">
      <w:pPr>
        <w:spacing w:line="360" w:lineRule="auto"/>
        <w:ind w:left="720" w:hanging="720"/>
        <w:rPr>
          <w:b/>
          <w:sz w:val="24"/>
        </w:rPr>
      </w:pPr>
      <w:r w:rsidRPr="008C6D38">
        <w:rPr>
          <w:b/>
          <w:sz w:val="24"/>
        </w:rPr>
        <w:br w:type="page"/>
      </w:r>
      <w:r w:rsidRPr="008C6D38">
        <w:rPr>
          <w:b/>
          <w:sz w:val="24"/>
        </w:rPr>
        <w:lastRenderedPageBreak/>
        <w:t>Figure 3: Mergers, creations and failures of British banks, 1880-1939 (absolute numbers)</w:t>
      </w:r>
    </w:p>
    <w:p w14:paraId="1C450113" w14:textId="77777777" w:rsidR="008C6D38" w:rsidRPr="008C6D38" w:rsidRDefault="008C6D38" w:rsidP="008C6D38">
      <w:pPr>
        <w:spacing w:line="360" w:lineRule="auto"/>
        <w:ind w:left="720" w:hanging="720"/>
        <w:rPr>
          <w:sz w:val="24"/>
        </w:rPr>
      </w:pPr>
    </w:p>
    <w:p w14:paraId="1E470268" w14:textId="77777777" w:rsidR="008C6D38" w:rsidRPr="008C6D38" w:rsidRDefault="008C6D38" w:rsidP="008C6D38">
      <w:pPr>
        <w:spacing w:line="360" w:lineRule="auto"/>
        <w:ind w:left="720" w:hanging="720"/>
        <w:rPr>
          <w:sz w:val="24"/>
        </w:rPr>
      </w:pPr>
      <w:r w:rsidRPr="008C6D38">
        <w:rPr>
          <w:sz w:val="24"/>
        </w:rPr>
        <w:drawing>
          <wp:inline distT="0" distB="0" distL="0" distR="0" wp14:anchorId="6243524C" wp14:editId="4BB90906">
            <wp:extent cx="5293995" cy="3236595"/>
            <wp:effectExtent l="0" t="0" r="14605" b="14605"/>
            <wp:docPr id="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3414B8" w14:textId="77777777" w:rsidR="008C6D38" w:rsidRPr="008C6D38" w:rsidRDefault="008C6D38" w:rsidP="008C6D38">
      <w:pPr>
        <w:spacing w:line="360" w:lineRule="auto"/>
        <w:ind w:left="720" w:hanging="720"/>
        <w:rPr>
          <w:sz w:val="24"/>
        </w:rPr>
      </w:pPr>
    </w:p>
    <w:p w14:paraId="7A97DB21" w14:textId="77777777" w:rsidR="008C6D38" w:rsidRPr="008C6D38" w:rsidRDefault="008C6D38" w:rsidP="008C6D38">
      <w:pPr>
        <w:spacing w:line="360" w:lineRule="auto"/>
        <w:ind w:left="720" w:hanging="720"/>
        <w:rPr>
          <w:sz w:val="24"/>
        </w:rPr>
      </w:pPr>
    </w:p>
    <w:p w14:paraId="2EBE8A8F" w14:textId="77777777" w:rsidR="008C6D38" w:rsidRPr="008C6D38" w:rsidRDefault="008C6D38" w:rsidP="008C6D38">
      <w:pPr>
        <w:spacing w:line="360" w:lineRule="auto"/>
        <w:ind w:left="720" w:hanging="720"/>
        <w:rPr>
          <w:b/>
          <w:sz w:val="24"/>
        </w:rPr>
      </w:pPr>
      <w:r w:rsidRPr="008C6D38">
        <w:rPr>
          <w:b/>
          <w:sz w:val="24"/>
        </w:rPr>
        <w:t>Figure 4: Mergers, creations and failures of British banks, 1880-1939 (normalised)</w:t>
      </w:r>
    </w:p>
    <w:p w14:paraId="5ED6564E" w14:textId="77777777" w:rsidR="008C6D38" w:rsidRPr="008C6D38" w:rsidRDefault="008C6D38" w:rsidP="008C6D38">
      <w:pPr>
        <w:spacing w:line="360" w:lineRule="auto"/>
        <w:ind w:left="720" w:hanging="720"/>
        <w:rPr>
          <w:sz w:val="24"/>
        </w:rPr>
      </w:pPr>
    </w:p>
    <w:p w14:paraId="5FB9DDAE" w14:textId="77777777" w:rsidR="008C6D38" w:rsidRPr="008C6D38" w:rsidRDefault="008C6D38" w:rsidP="008C6D38">
      <w:pPr>
        <w:spacing w:line="360" w:lineRule="auto"/>
        <w:ind w:left="720" w:hanging="720"/>
        <w:rPr>
          <w:sz w:val="24"/>
        </w:rPr>
      </w:pPr>
      <w:r w:rsidRPr="008C6D38">
        <w:rPr>
          <w:sz w:val="24"/>
        </w:rPr>
        <w:drawing>
          <wp:inline distT="0" distB="0" distL="0" distR="0" wp14:anchorId="149BF5BC" wp14:editId="3E2EFCDF">
            <wp:extent cx="5395595" cy="3274695"/>
            <wp:effectExtent l="0" t="0" r="14605" b="27305"/>
            <wp:docPr id="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D636AD" w14:textId="77777777" w:rsidR="008C6D38" w:rsidRPr="008C6D38" w:rsidRDefault="008C6D38" w:rsidP="008C6D38">
      <w:pPr>
        <w:spacing w:line="360" w:lineRule="auto"/>
        <w:ind w:left="720" w:hanging="720"/>
        <w:rPr>
          <w:b/>
          <w:sz w:val="24"/>
        </w:rPr>
      </w:pPr>
      <w:r w:rsidRPr="008C6D38">
        <w:rPr>
          <w:sz w:val="24"/>
        </w:rPr>
        <w:br w:type="page"/>
      </w:r>
      <w:r w:rsidRPr="008C6D38">
        <w:rPr>
          <w:b/>
          <w:sz w:val="24"/>
        </w:rPr>
        <w:lastRenderedPageBreak/>
        <w:t>Figure 5: The population of British banks, 1810-2008</w:t>
      </w:r>
    </w:p>
    <w:p w14:paraId="48FC4957" w14:textId="77777777" w:rsidR="008C6D38" w:rsidRPr="008C6D38" w:rsidRDefault="008C6D38" w:rsidP="008C6D38">
      <w:pPr>
        <w:spacing w:line="360" w:lineRule="auto"/>
        <w:ind w:left="720" w:hanging="720"/>
        <w:rPr>
          <w:sz w:val="24"/>
        </w:rPr>
      </w:pPr>
    </w:p>
    <w:p w14:paraId="11966BD2" w14:textId="77777777" w:rsidR="008C6D38" w:rsidRPr="008C6D38" w:rsidRDefault="008C6D38" w:rsidP="008C6D38">
      <w:pPr>
        <w:spacing w:line="360" w:lineRule="auto"/>
        <w:ind w:left="720" w:hanging="720"/>
        <w:rPr>
          <w:sz w:val="24"/>
        </w:rPr>
      </w:pPr>
      <w:r w:rsidRPr="008C6D38">
        <w:rPr>
          <w:sz w:val="24"/>
        </w:rPr>
        <w:drawing>
          <wp:inline distT="0" distB="0" distL="0" distR="0" wp14:anchorId="2BA7CD1B" wp14:editId="5F745355">
            <wp:extent cx="5765800" cy="5118100"/>
            <wp:effectExtent l="0" t="0" r="0" b="12700"/>
            <wp:docPr id="7" name="Picture 7" descr="Amalgamations_LinearLin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algamations_LinearLine (002)"/>
                    <pic:cNvPicPr>
                      <a:picLocks noChangeAspect="1" noChangeArrowheads="1"/>
                    </pic:cNvPicPr>
                  </pic:nvPicPr>
                  <pic:blipFill>
                    <a:blip r:embed="rId17">
                      <a:extLst>
                        <a:ext uri="{28A0092B-C50C-407E-A947-70E740481C1C}">
                          <a14:useLocalDpi xmlns:a14="http://schemas.microsoft.com/office/drawing/2010/main" val="0"/>
                        </a:ext>
                      </a:extLst>
                    </a:blip>
                    <a:srcRect t="6598"/>
                    <a:stretch>
                      <a:fillRect/>
                    </a:stretch>
                  </pic:blipFill>
                  <pic:spPr bwMode="auto">
                    <a:xfrm>
                      <a:off x="0" y="0"/>
                      <a:ext cx="5765800" cy="5118100"/>
                    </a:xfrm>
                    <a:prstGeom prst="rect">
                      <a:avLst/>
                    </a:prstGeom>
                    <a:noFill/>
                    <a:ln>
                      <a:noFill/>
                    </a:ln>
                  </pic:spPr>
                </pic:pic>
              </a:graphicData>
            </a:graphic>
          </wp:inline>
        </w:drawing>
      </w:r>
    </w:p>
    <w:p w14:paraId="52B30944" w14:textId="77777777" w:rsidR="008C6D38" w:rsidRPr="008C6D38" w:rsidRDefault="008C6D38" w:rsidP="008C6D38">
      <w:pPr>
        <w:spacing w:line="360" w:lineRule="auto"/>
        <w:ind w:left="720" w:hanging="720"/>
        <w:rPr>
          <w:sz w:val="24"/>
        </w:rPr>
      </w:pPr>
    </w:p>
    <w:p w14:paraId="39775576" w14:textId="77777777" w:rsidR="008C6D38" w:rsidRPr="008C6D38" w:rsidRDefault="008C6D38" w:rsidP="008C6D38">
      <w:pPr>
        <w:spacing w:line="360" w:lineRule="auto"/>
        <w:ind w:left="720" w:hanging="720"/>
        <w:rPr>
          <w:sz w:val="24"/>
        </w:rPr>
      </w:pPr>
    </w:p>
    <w:p w14:paraId="733E027A" w14:textId="2CF1F317" w:rsidR="004E6854" w:rsidRDefault="004E6854" w:rsidP="000758AF">
      <w:pPr>
        <w:spacing w:line="360" w:lineRule="auto"/>
        <w:ind w:left="720" w:hanging="720"/>
        <w:rPr>
          <w:sz w:val="24"/>
        </w:rPr>
      </w:pPr>
    </w:p>
    <w:p w14:paraId="597C5FD4" w14:textId="77777777" w:rsidR="004E6854" w:rsidRDefault="004E6854" w:rsidP="000758AF">
      <w:pPr>
        <w:spacing w:line="360" w:lineRule="auto"/>
        <w:ind w:left="720" w:hanging="720"/>
        <w:rPr>
          <w:sz w:val="24"/>
        </w:rPr>
      </w:pPr>
    </w:p>
    <w:p w14:paraId="1375351D" w14:textId="77777777" w:rsidR="004E6854" w:rsidRDefault="004E6854" w:rsidP="000758AF">
      <w:pPr>
        <w:spacing w:line="360" w:lineRule="auto"/>
        <w:ind w:left="720" w:hanging="720"/>
        <w:rPr>
          <w:sz w:val="24"/>
        </w:rPr>
      </w:pPr>
    </w:p>
    <w:p w14:paraId="6C2FD856" w14:textId="77777777" w:rsidR="004E6854" w:rsidRDefault="004E6854" w:rsidP="000758AF">
      <w:pPr>
        <w:spacing w:line="360" w:lineRule="auto"/>
        <w:ind w:left="720" w:hanging="720"/>
        <w:rPr>
          <w:sz w:val="24"/>
        </w:rPr>
        <w:sectPr w:rsidR="004E6854" w:rsidSect="00ED1DC7">
          <w:endnotePr>
            <w:numFmt w:val="decimal"/>
          </w:endnotePr>
          <w:pgSz w:w="11907" w:h="16840" w:code="9"/>
          <w:pgMar w:top="1440" w:right="1797" w:bottom="1440" w:left="1797" w:header="720" w:footer="720" w:gutter="0"/>
          <w:cols w:space="720"/>
        </w:sectPr>
      </w:pPr>
    </w:p>
    <w:p w14:paraId="12835EFF" w14:textId="0F09207B" w:rsidR="004E6854" w:rsidRDefault="004E6854" w:rsidP="004E6854">
      <w:pPr>
        <w:spacing w:line="360" w:lineRule="auto"/>
        <w:ind w:left="720" w:hanging="720"/>
        <w:rPr>
          <w:sz w:val="24"/>
        </w:rPr>
      </w:pPr>
    </w:p>
    <w:sectPr w:rsidR="004E6854" w:rsidSect="00ED1DC7">
      <w:endnotePr>
        <w:numFmt w:val="decimal"/>
      </w:endnotePr>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9F9F9" w14:textId="77777777" w:rsidR="001351BA" w:rsidRDefault="001351BA">
      <w:r>
        <w:separator/>
      </w:r>
    </w:p>
  </w:endnote>
  <w:endnote w:type="continuationSeparator" w:id="0">
    <w:p w14:paraId="714C1A9C" w14:textId="77777777" w:rsidR="001351BA" w:rsidRDefault="001351BA">
      <w:r>
        <w:continuationSeparator/>
      </w:r>
    </w:p>
  </w:endnote>
  <w:endnote w:id="1">
    <w:p w14:paraId="32B7F181" w14:textId="3357EC71" w:rsidR="001351BA" w:rsidRPr="00A7749B" w:rsidRDefault="001351BA" w:rsidP="00CB63D5">
      <w:pPr>
        <w:pStyle w:val="EndnoteText"/>
        <w:spacing w:line="480" w:lineRule="auto"/>
        <w:rPr>
          <w:sz w:val="24"/>
          <w:szCs w:val="24"/>
        </w:rPr>
      </w:pPr>
      <w:r w:rsidRPr="00A7749B">
        <w:rPr>
          <w:rStyle w:val="EndnoteReference"/>
          <w:sz w:val="24"/>
          <w:szCs w:val="24"/>
        </w:rPr>
        <w:endnoteRef/>
      </w:r>
      <w:r w:rsidRPr="00A7749B">
        <w:rPr>
          <w:sz w:val="24"/>
          <w:szCs w:val="24"/>
        </w:rPr>
        <w:t xml:space="preserve"> See, for example, the recent meta-analyses of post-World War Two studies by </w:t>
      </w:r>
      <w:r w:rsidRPr="00A7749B">
        <w:rPr>
          <w:bCs/>
          <w:sz w:val="24"/>
          <w:szCs w:val="24"/>
        </w:rPr>
        <w:t>Arestis, Chortareas and Magkonis</w:t>
      </w:r>
      <w:r>
        <w:rPr>
          <w:bCs/>
          <w:sz w:val="24"/>
          <w:szCs w:val="24"/>
        </w:rPr>
        <w:t xml:space="preserve"> (</w:t>
      </w:r>
      <w:r w:rsidRPr="00A7749B">
        <w:rPr>
          <w:bCs/>
          <w:sz w:val="24"/>
          <w:szCs w:val="24"/>
        </w:rPr>
        <w:t>2015</w:t>
      </w:r>
      <w:r>
        <w:rPr>
          <w:bCs/>
          <w:sz w:val="24"/>
          <w:szCs w:val="24"/>
        </w:rPr>
        <w:t>)</w:t>
      </w:r>
      <w:r w:rsidRPr="00A7749B">
        <w:rPr>
          <w:bCs/>
          <w:sz w:val="24"/>
          <w:szCs w:val="24"/>
        </w:rPr>
        <w:t>, and Valickova, Havranek and Horvath</w:t>
      </w:r>
      <w:r>
        <w:rPr>
          <w:bCs/>
          <w:sz w:val="24"/>
          <w:szCs w:val="24"/>
        </w:rPr>
        <w:t xml:space="preserve"> (</w:t>
      </w:r>
      <w:r w:rsidRPr="00A7749B">
        <w:rPr>
          <w:bCs/>
          <w:sz w:val="24"/>
          <w:szCs w:val="24"/>
        </w:rPr>
        <w:t>2015</w:t>
      </w:r>
      <w:r>
        <w:rPr>
          <w:bCs/>
          <w:sz w:val="24"/>
          <w:szCs w:val="24"/>
        </w:rPr>
        <w:t>)</w:t>
      </w:r>
      <w:r w:rsidRPr="00A7749B">
        <w:rPr>
          <w:bCs/>
          <w:sz w:val="24"/>
          <w:szCs w:val="24"/>
        </w:rPr>
        <w:t>. See also Fohlin</w:t>
      </w:r>
      <w:r>
        <w:rPr>
          <w:bCs/>
          <w:sz w:val="24"/>
          <w:szCs w:val="24"/>
        </w:rPr>
        <w:t xml:space="preserve"> (</w:t>
      </w:r>
      <w:r w:rsidRPr="00A7749B">
        <w:rPr>
          <w:bCs/>
          <w:sz w:val="24"/>
          <w:szCs w:val="24"/>
        </w:rPr>
        <w:t>2016</w:t>
      </w:r>
      <w:r>
        <w:rPr>
          <w:bCs/>
          <w:sz w:val="24"/>
          <w:szCs w:val="24"/>
        </w:rPr>
        <w:t xml:space="preserve">), </w:t>
      </w:r>
      <w:r w:rsidRPr="00A7749B">
        <w:rPr>
          <w:bCs/>
          <w:sz w:val="24"/>
          <w:szCs w:val="24"/>
        </w:rPr>
        <w:t>423</w:t>
      </w:r>
      <w:r>
        <w:rPr>
          <w:bCs/>
          <w:sz w:val="24"/>
          <w:szCs w:val="24"/>
        </w:rPr>
        <w:t>–</w:t>
      </w:r>
      <w:r w:rsidRPr="00A7749B">
        <w:rPr>
          <w:bCs/>
          <w:sz w:val="24"/>
          <w:szCs w:val="24"/>
        </w:rPr>
        <w:t>425 and Levine</w:t>
      </w:r>
      <w:r>
        <w:rPr>
          <w:bCs/>
          <w:sz w:val="24"/>
          <w:szCs w:val="24"/>
        </w:rPr>
        <w:t xml:space="preserve"> (</w:t>
      </w:r>
      <w:r w:rsidRPr="00A7749B">
        <w:rPr>
          <w:bCs/>
          <w:sz w:val="24"/>
          <w:szCs w:val="24"/>
        </w:rPr>
        <w:t>1997</w:t>
      </w:r>
      <w:r>
        <w:rPr>
          <w:bCs/>
          <w:sz w:val="24"/>
          <w:szCs w:val="24"/>
        </w:rPr>
        <w:t>)</w:t>
      </w:r>
      <w:r w:rsidRPr="00A7749B">
        <w:rPr>
          <w:bCs/>
          <w:sz w:val="24"/>
          <w:szCs w:val="24"/>
        </w:rPr>
        <w:t>.</w:t>
      </w:r>
    </w:p>
  </w:endnote>
  <w:endnote w:id="2">
    <w:p w14:paraId="55B8BDCD" w14:textId="77777777" w:rsidR="001351BA" w:rsidRPr="00A7749B" w:rsidRDefault="001351BA" w:rsidP="00CB63D5">
      <w:pPr>
        <w:pStyle w:val="EndnoteText"/>
        <w:spacing w:line="480" w:lineRule="auto"/>
        <w:rPr>
          <w:sz w:val="24"/>
          <w:szCs w:val="24"/>
        </w:rPr>
      </w:pPr>
      <w:r w:rsidRPr="00A7749B">
        <w:rPr>
          <w:rStyle w:val="EndnoteReference"/>
          <w:sz w:val="24"/>
          <w:szCs w:val="24"/>
        </w:rPr>
        <w:endnoteRef/>
      </w:r>
      <w:r w:rsidRPr="00A7749B">
        <w:rPr>
          <w:sz w:val="24"/>
          <w:szCs w:val="24"/>
        </w:rPr>
        <w:t xml:space="preserve"> Levine</w:t>
      </w:r>
      <w:r>
        <w:rPr>
          <w:sz w:val="24"/>
          <w:szCs w:val="24"/>
        </w:rPr>
        <w:t xml:space="preserve"> (</w:t>
      </w:r>
      <w:r w:rsidRPr="00A7749B">
        <w:rPr>
          <w:sz w:val="24"/>
          <w:szCs w:val="24"/>
        </w:rPr>
        <w:t>2002</w:t>
      </w:r>
      <w:r>
        <w:rPr>
          <w:sz w:val="24"/>
          <w:szCs w:val="24"/>
        </w:rPr>
        <w:t>)</w:t>
      </w:r>
      <w:r w:rsidRPr="00A7749B">
        <w:rPr>
          <w:sz w:val="24"/>
          <w:szCs w:val="24"/>
        </w:rPr>
        <w:t xml:space="preserve"> reached a broadly similar conclusion in a study based on data from 48 countries covering the period 1980-1995.</w:t>
      </w:r>
    </w:p>
  </w:endnote>
  <w:endnote w:id="3">
    <w:p w14:paraId="2B563671" w14:textId="77777777" w:rsidR="001351BA" w:rsidRPr="00A7749B" w:rsidRDefault="001351BA" w:rsidP="00CB63D5">
      <w:pPr>
        <w:pStyle w:val="EndnoteText"/>
        <w:spacing w:line="480" w:lineRule="auto"/>
        <w:rPr>
          <w:sz w:val="24"/>
          <w:szCs w:val="24"/>
        </w:rPr>
      </w:pPr>
      <w:r w:rsidRPr="00A7749B">
        <w:rPr>
          <w:rStyle w:val="EndnoteReference"/>
          <w:sz w:val="24"/>
          <w:szCs w:val="24"/>
        </w:rPr>
        <w:endnoteRef/>
      </w:r>
      <w:r w:rsidRPr="00A7749B">
        <w:rPr>
          <w:sz w:val="24"/>
          <w:szCs w:val="24"/>
        </w:rPr>
        <w:t xml:space="preserve"> T</w:t>
      </w:r>
      <w:r w:rsidRPr="00A7749B">
        <w:rPr>
          <w:bCs/>
          <w:sz w:val="24"/>
          <w:szCs w:val="24"/>
        </w:rPr>
        <w:t xml:space="preserve">he </w:t>
      </w:r>
      <w:r>
        <w:rPr>
          <w:bCs/>
          <w:sz w:val="24"/>
          <w:szCs w:val="24"/>
        </w:rPr>
        <w:t xml:space="preserve">banking </w:t>
      </w:r>
      <w:r w:rsidRPr="00A7749B">
        <w:rPr>
          <w:bCs/>
          <w:sz w:val="24"/>
          <w:szCs w:val="24"/>
        </w:rPr>
        <w:t>sector was exceptional</w:t>
      </w:r>
      <w:r>
        <w:rPr>
          <w:bCs/>
          <w:sz w:val="24"/>
          <w:szCs w:val="24"/>
        </w:rPr>
        <w:t xml:space="preserve"> in that</w:t>
      </w:r>
      <w:r w:rsidRPr="00A7749B">
        <w:rPr>
          <w:bCs/>
          <w:sz w:val="24"/>
          <w:szCs w:val="24"/>
        </w:rPr>
        <w:t xml:space="preserve"> a</w:t>
      </w:r>
      <w:r w:rsidRPr="00A7749B">
        <w:rPr>
          <w:sz w:val="24"/>
          <w:szCs w:val="24"/>
        </w:rPr>
        <w:t>malgamations proceeded earlier and more rapidly than in other sectors of the British economy. See Hannah</w:t>
      </w:r>
      <w:r>
        <w:rPr>
          <w:sz w:val="24"/>
          <w:szCs w:val="24"/>
        </w:rPr>
        <w:t xml:space="preserve"> (</w:t>
      </w:r>
      <w:r w:rsidRPr="00A7749B">
        <w:rPr>
          <w:sz w:val="24"/>
          <w:szCs w:val="24"/>
        </w:rPr>
        <w:t>1983</w:t>
      </w:r>
      <w:r>
        <w:rPr>
          <w:sz w:val="24"/>
          <w:szCs w:val="24"/>
        </w:rPr>
        <w:t>)</w:t>
      </w:r>
      <w:r w:rsidRPr="00A7749B">
        <w:rPr>
          <w:sz w:val="24"/>
          <w:szCs w:val="24"/>
        </w:rPr>
        <w:t>.</w:t>
      </w:r>
    </w:p>
  </w:endnote>
  <w:endnote w:id="4">
    <w:p w14:paraId="34C9A490" w14:textId="15C9C8B0" w:rsidR="001351BA" w:rsidRPr="00D4556B" w:rsidRDefault="001351BA" w:rsidP="00D4556B">
      <w:pPr>
        <w:pStyle w:val="EndnoteText"/>
        <w:spacing w:line="480" w:lineRule="auto"/>
        <w:rPr>
          <w:sz w:val="24"/>
          <w:szCs w:val="24"/>
        </w:rPr>
      </w:pPr>
      <w:r w:rsidRPr="00D4556B">
        <w:rPr>
          <w:rStyle w:val="EndnoteReference"/>
          <w:sz w:val="24"/>
          <w:szCs w:val="24"/>
        </w:rPr>
        <w:endnoteRef/>
      </w:r>
      <w:r w:rsidRPr="00D4556B">
        <w:rPr>
          <w:sz w:val="24"/>
          <w:szCs w:val="24"/>
        </w:rPr>
        <w:t xml:space="preserve"> </w:t>
      </w:r>
      <w:r>
        <w:rPr>
          <w:sz w:val="24"/>
          <w:szCs w:val="24"/>
        </w:rPr>
        <w:t>T</w:t>
      </w:r>
      <w:r w:rsidRPr="00E04DF8">
        <w:rPr>
          <w:sz w:val="24"/>
          <w:szCs w:val="24"/>
        </w:rPr>
        <w:t xml:space="preserve">he database/dataset </w:t>
      </w:r>
      <w:r>
        <w:rPr>
          <w:sz w:val="24"/>
          <w:szCs w:val="24"/>
        </w:rPr>
        <w:t>used to construct the figures which appear in this paper</w:t>
      </w:r>
      <w:r w:rsidRPr="00E04DF8">
        <w:rPr>
          <w:sz w:val="24"/>
          <w:szCs w:val="24"/>
        </w:rPr>
        <w:t xml:space="preserve"> is that</w:t>
      </w:r>
      <w:r>
        <w:rPr>
          <w:sz w:val="24"/>
          <w:szCs w:val="24"/>
        </w:rPr>
        <w:t xml:space="preserve"> which</w:t>
      </w:r>
      <w:r w:rsidRPr="00E04DF8">
        <w:rPr>
          <w:sz w:val="24"/>
          <w:szCs w:val="24"/>
        </w:rPr>
        <w:t xml:space="preserve"> two of the co-authors </w:t>
      </w:r>
      <w:r>
        <w:rPr>
          <w:sz w:val="24"/>
          <w:szCs w:val="24"/>
        </w:rPr>
        <w:t xml:space="preserve">of this paper </w:t>
      </w:r>
      <w:r w:rsidRPr="00E04DF8">
        <w:rPr>
          <w:sz w:val="24"/>
          <w:szCs w:val="24"/>
        </w:rPr>
        <w:t xml:space="preserve">have drawn on </w:t>
      </w:r>
      <w:r>
        <w:rPr>
          <w:sz w:val="24"/>
          <w:szCs w:val="24"/>
        </w:rPr>
        <w:t>in</w:t>
      </w:r>
      <w:r w:rsidRPr="00E04DF8">
        <w:rPr>
          <w:sz w:val="24"/>
          <w:szCs w:val="24"/>
        </w:rPr>
        <w:t xml:space="preserve"> two </w:t>
      </w:r>
      <w:r>
        <w:rPr>
          <w:sz w:val="24"/>
          <w:szCs w:val="24"/>
        </w:rPr>
        <w:t>previous articles</w:t>
      </w:r>
      <w:r w:rsidRPr="00E04DF8">
        <w:rPr>
          <w:sz w:val="24"/>
          <w:szCs w:val="24"/>
        </w:rPr>
        <w:t xml:space="preserve"> in this journal </w:t>
      </w:r>
      <w:r>
        <w:rPr>
          <w:sz w:val="24"/>
          <w:szCs w:val="24"/>
        </w:rPr>
        <w:t xml:space="preserve">which describe </w:t>
      </w:r>
      <w:r w:rsidRPr="00E04DF8">
        <w:rPr>
          <w:sz w:val="24"/>
          <w:szCs w:val="24"/>
        </w:rPr>
        <w:t>the sources and methodology (Garnett, Mollan, and Bentley, 2015; 2017)</w:t>
      </w:r>
      <w:r>
        <w:rPr>
          <w:bCs/>
          <w:sz w:val="24"/>
          <w:szCs w:val="24"/>
        </w:rPr>
        <w:t xml:space="preserve">. </w:t>
      </w:r>
      <w:r w:rsidRPr="00983EE1">
        <w:rPr>
          <w:rFonts w:ascii="Times Roman" w:hAnsi="Times Roman" w:cs="Times Roman"/>
          <w:color w:val="000000"/>
          <w:sz w:val="24"/>
          <w:szCs w:val="24"/>
          <w:lang w:val="en-US"/>
        </w:rPr>
        <w:t>Th</w:t>
      </w:r>
      <w:r>
        <w:rPr>
          <w:rFonts w:ascii="Times Roman" w:hAnsi="Times Roman" w:cs="Times Roman"/>
          <w:color w:val="000000"/>
          <w:sz w:val="24"/>
          <w:szCs w:val="24"/>
          <w:lang w:val="en-US"/>
        </w:rPr>
        <w:t>ese</w:t>
      </w:r>
      <w:r w:rsidRPr="00983EE1">
        <w:rPr>
          <w:rFonts w:ascii="Times Roman" w:hAnsi="Times Roman" w:cs="Times Roman"/>
          <w:color w:val="000000"/>
          <w:sz w:val="24"/>
          <w:szCs w:val="24"/>
          <w:lang w:val="en-US"/>
        </w:rPr>
        <w:t xml:space="preserve"> data w</w:t>
      </w:r>
      <w:r>
        <w:rPr>
          <w:rFonts w:ascii="Times Roman" w:hAnsi="Times Roman" w:cs="Times Roman"/>
          <w:color w:val="000000"/>
          <w:sz w:val="24"/>
          <w:szCs w:val="24"/>
          <w:lang w:val="en-US"/>
        </w:rPr>
        <w:t>ere</w:t>
      </w:r>
      <w:r w:rsidRPr="00983EE1">
        <w:rPr>
          <w:rFonts w:ascii="Times Roman" w:hAnsi="Times Roman" w:cs="Times Roman"/>
          <w:color w:val="000000"/>
          <w:sz w:val="24"/>
          <w:szCs w:val="24"/>
          <w:lang w:val="en-US"/>
        </w:rPr>
        <w:t xml:space="preserve"> collected as part of the Tipping Points project at Durham University funded by the Leverhulme Trust, grant number F/00128/BF. </w:t>
      </w:r>
      <w:r>
        <w:rPr>
          <w:rFonts w:ascii="Times Roman" w:hAnsi="Times Roman" w:cs="Times Roman"/>
          <w:color w:val="000000"/>
          <w:sz w:val="24"/>
          <w:szCs w:val="24"/>
          <w:lang w:val="en-US"/>
        </w:rPr>
        <w:t>The d</w:t>
      </w:r>
      <w:r w:rsidRPr="00983EE1">
        <w:rPr>
          <w:rFonts w:ascii="Times Roman" w:hAnsi="Times Roman" w:cs="Times Roman"/>
          <w:color w:val="000000"/>
          <w:sz w:val="24"/>
          <w:szCs w:val="24"/>
          <w:lang w:val="en-US"/>
        </w:rPr>
        <w:t>ata sources</w:t>
      </w:r>
      <w:r>
        <w:rPr>
          <w:rFonts w:ascii="Times Roman" w:hAnsi="Times Roman" w:cs="Times Roman"/>
          <w:color w:val="000000"/>
          <w:sz w:val="24"/>
          <w:szCs w:val="24"/>
          <w:lang w:val="en-US"/>
        </w:rPr>
        <w:t xml:space="preserve"> are </w:t>
      </w:r>
      <w:r w:rsidRPr="00983EE1">
        <w:rPr>
          <w:rFonts w:ascii="Times Roman" w:hAnsi="Times Roman" w:cs="Times Roman"/>
          <w:color w:val="000000"/>
          <w:sz w:val="24"/>
          <w:szCs w:val="24"/>
          <w:lang w:val="en-US"/>
        </w:rPr>
        <w:t>Moore</w:t>
      </w:r>
      <w:r>
        <w:rPr>
          <w:rFonts w:ascii="Times Roman" w:hAnsi="Times Roman" w:cs="Times Roman"/>
          <w:color w:val="000000"/>
          <w:sz w:val="24"/>
          <w:szCs w:val="24"/>
          <w:lang w:val="en-US"/>
        </w:rPr>
        <w:t xml:space="preserve"> (1992)</w:t>
      </w:r>
      <w:r w:rsidRPr="00983EE1">
        <w:rPr>
          <w:rFonts w:ascii="Times Roman" w:hAnsi="Times Roman" w:cs="Times Roman"/>
          <w:color w:val="000000"/>
          <w:sz w:val="24"/>
          <w:szCs w:val="24"/>
          <w:lang w:val="en-US"/>
        </w:rPr>
        <w:t>, and Bankers</w:t>
      </w:r>
      <w:r>
        <w:rPr>
          <w:rFonts w:ascii="Times Roman" w:hAnsi="Times Roman" w:cs="Times Roman"/>
          <w:color w:val="000000"/>
          <w:sz w:val="24"/>
          <w:szCs w:val="24"/>
          <w:lang w:val="en-US"/>
        </w:rPr>
        <w:t>’</w:t>
      </w:r>
      <w:r w:rsidRPr="00983EE1">
        <w:rPr>
          <w:rFonts w:ascii="Times Roman" w:hAnsi="Times Roman" w:cs="Times Roman"/>
          <w:color w:val="000000"/>
          <w:sz w:val="24"/>
          <w:szCs w:val="24"/>
          <w:lang w:val="en-US"/>
        </w:rPr>
        <w:t xml:space="preserve"> Almanac </w:t>
      </w:r>
      <w:r>
        <w:rPr>
          <w:rFonts w:ascii="Times Roman" w:hAnsi="Times Roman" w:cs="Times Roman"/>
          <w:color w:val="000000"/>
          <w:sz w:val="24"/>
          <w:szCs w:val="24"/>
          <w:lang w:val="en-US"/>
        </w:rPr>
        <w:t>(</w:t>
      </w:r>
      <w:r w:rsidRPr="00983EE1">
        <w:rPr>
          <w:rFonts w:ascii="Times Roman" w:hAnsi="Times Roman" w:cs="Times Roman"/>
          <w:color w:val="000000"/>
          <w:sz w:val="24"/>
          <w:szCs w:val="24"/>
          <w:lang w:val="en-US"/>
        </w:rPr>
        <w:t>2009</w:t>
      </w:r>
      <w:r>
        <w:rPr>
          <w:rFonts w:ascii="Times Roman" w:hAnsi="Times Roman" w:cs="Times Roman"/>
          <w:color w:val="000000"/>
          <w:sz w:val="24"/>
          <w:szCs w:val="24"/>
          <w:lang w:val="en-US"/>
        </w:rPr>
        <w:t>)</w:t>
      </w:r>
      <w:r w:rsidRPr="00983EE1">
        <w:rPr>
          <w:rFonts w:ascii="Times Roman" w:hAnsi="Times Roman" w:cs="Times Roman"/>
          <w:color w:val="000000"/>
          <w:sz w:val="24"/>
          <w:szCs w:val="24"/>
          <w:lang w:val="en-US"/>
        </w:rPr>
        <w:t>.</w:t>
      </w:r>
      <w:r>
        <w:rPr>
          <w:rFonts w:ascii="Times Roman" w:hAnsi="Times Roman" w:cs="Times Roman"/>
          <w:color w:val="000000"/>
          <w:sz w:val="29"/>
          <w:szCs w:val="29"/>
          <w:lang w:val="en-US"/>
        </w:rPr>
        <w:t xml:space="preserve">  </w:t>
      </w:r>
      <w:r>
        <w:rPr>
          <w:bCs/>
          <w:sz w:val="24"/>
          <w:szCs w:val="24"/>
        </w:rPr>
        <w:t xml:space="preserve">Bond (2016) presents similar data for </w:t>
      </w:r>
      <w:r w:rsidRPr="008C30AB">
        <w:rPr>
          <w:bCs/>
          <w:sz w:val="24"/>
          <w:szCs w:val="24"/>
        </w:rPr>
        <w:t xml:space="preserve">the period 1790-1982 </w:t>
      </w:r>
      <w:r>
        <w:rPr>
          <w:bCs/>
          <w:sz w:val="24"/>
          <w:szCs w:val="24"/>
        </w:rPr>
        <w:t>rather than</w:t>
      </w:r>
      <w:r w:rsidRPr="008C30AB">
        <w:rPr>
          <w:bCs/>
          <w:sz w:val="24"/>
          <w:szCs w:val="24"/>
        </w:rPr>
        <w:t xml:space="preserve"> 1810-2008</w:t>
      </w:r>
      <w:r>
        <w:rPr>
          <w:bCs/>
          <w:sz w:val="24"/>
          <w:szCs w:val="24"/>
        </w:rPr>
        <w:t>.  He uses similar sources but a different methodology to determine which banks to include in his data.</w:t>
      </w:r>
    </w:p>
  </w:endnote>
  <w:endnote w:id="5">
    <w:p w14:paraId="25736624" w14:textId="5DC8DD1C" w:rsidR="001351BA" w:rsidRPr="00A7749B" w:rsidRDefault="001351BA" w:rsidP="00CB63D5">
      <w:pPr>
        <w:pStyle w:val="EndnoteText"/>
        <w:spacing w:line="480" w:lineRule="auto"/>
        <w:rPr>
          <w:sz w:val="24"/>
          <w:szCs w:val="24"/>
        </w:rPr>
      </w:pPr>
      <w:r w:rsidRPr="00A7749B">
        <w:rPr>
          <w:rStyle w:val="EndnoteReference"/>
          <w:sz w:val="24"/>
          <w:szCs w:val="24"/>
        </w:rPr>
        <w:endnoteRef/>
      </w:r>
      <w:r w:rsidRPr="00A7749B">
        <w:rPr>
          <w:sz w:val="24"/>
          <w:szCs w:val="24"/>
        </w:rPr>
        <w:t xml:space="preserve"> For example, the head office of Lloyds was in Birmingham until 1902, with joint head offices in Birmingham and London from 1902 to 1912, and then London only from 1912 (Sayers, 1957</w:t>
      </w:r>
      <w:r>
        <w:rPr>
          <w:sz w:val="24"/>
          <w:szCs w:val="24"/>
        </w:rPr>
        <w:t xml:space="preserve">, </w:t>
      </w:r>
      <w:r w:rsidRPr="00A7749B">
        <w:rPr>
          <w:sz w:val="24"/>
          <w:szCs w:val="24"/>
        </w:rPr>
        <w:t>261</w:t>
      </w:r>
      <w:r>
        <w:rPr>
          <w:sz w:val="24"/>
          <w:szCs w:val="24"/>
        </w:rPr>
        <w:t>–</w:t>
      </w:r>
      <w:r w:rsidRPr="00A7749B">
        <w:rPr>
          <w:sz w:val="24"/>
          <w:szCs w:val="24"/>
        </w:rPr>
        <w:t>263, 289).</w:t>
      </w:r>
    </w:p>
  </w:endnote>
  <w:endnote w:id="6">
    <w:p w14:paraId="16C13C07" w14:textId="7924CCF1" w:rsidR="001351BA" w:rsidRPr="00A7749B" w:rsidRDefault="001351BA" w:rsidP="00CB63D5">
      <w:pPr>
        <w:pStyle w:val="EndnoteText"/>
        <w:tabs>
          <w:tab w:val="left" w:pos="7035"/>
        </w:tabs>
        <w:spacing w:line="480" w:lineRule="auto"/>
        <w:rPr>
          <w:sz w:val="24"/>
          <w:szCs w:val="24"/>
        </w:rPr>
      </w:pPr>
      <w:r w:rsidRPr="00A7749B">
        <w:rPr>
          <w:rStyle w:val="EndnoteReference"/>
          <w:sz w:val="24"/>
          <w:szCs w:val="24"/>
        </w:rPr>
        <w:endnoteRef/>
      </w:r>
      <w:r w:rsidRPr="00A7749B">
        <w:rPr>
          <w:sz w:val="24"/>
          <w:szCs w:val="24"/>
        </w:rPr>
        <w:t xml:space="preserve"> </w:t>
      </w:r>
      <w:r w:rsidRPr="008F641D">
        <w:rPr>
          <w:sz w:val="24"/>
          <w:szCs w:val="24"/>
        </w:rPr>
        <w:t>Carnevali (2005) and Scott and Newton (2007), for example, argue that banks were uncompetitive in their lending and deposit rates, were excessively conservative, failed to provide long-term capital to industry, demanded unreasonable security from borrowers, and generally exploited their ‘cartel’ to enjoy a quiet and comfortable life.</w:t>
      </w:r>
      <w:r>
        <w:rPr>
          <w:sz w:val="24"/>
          <w:szCs w:val="24"/>
        </w:rPr>
        <w:t xml:space="preserve"> Bur </w:t>
      </w:r>
      <w:r w:rsidRPr="00DD7B38">
        <w:rPr>
          <w:sz w:val="24"/>
          <w:szCs w:val="24"/>
        </w:rPr>
        <w:t xml:space="preserve">British banking </w:t>
      </w:r>
      <w:r>
        <w:rPr>
          <w:sz w:val="24"/>
          <w:szCs w:val="24"/>
        </w:rPr>
        <w:t xml:space="preserve">enjoyed </w:t>
      </w:r>
      <w:r w:rsidRPr="00DD7B38">
        <w:rPr>
          <w:sz w:val="24"/>
          <w:szCs w:val="24"/>
        </w:rPr>
        <w:t>relative interwar stability when many other countries experienced severe problems</w:t>
      </w:r>
      <w:r>
        <w:rPr>
          <w:sz w:val="24"/>
          <w:szCs w:val="24"/>
        </w:rPr>
        <w:t>:</w:t>
      </w:r>
      <w:r w:rsidRPr="00DD7B38">
        <w:rPr>
          <w:sz w:val="24"/>
          <w:szCs w:val="24"/>
        </w:rPr>
        <w:t xml:space="preserve"> </w:t>
      </w:r>
      <w:r w:rsidRPr="00A7749B">
        <w:rPr>
          <w:sz w:val="24"/>
          <w:szCs w:val="24"/>
        </w:rPr>
        <w:t>Billings a</w:t>
      </w:r>
      <w:r>
        <w:rPr>
          <w:sz w:val="24"/>
          <w:szCs w:val="24"/>
        </w:rPr>
        <w:t>nd Capie (2011); Grossman (1994).</w:t>
      </w:r>
    </w:p>
  </w:endnote>
  <w:endnote w:id="7">
    <w:p w14:paraId="3AB70915" w14:textId="13D744EC" w:rsidR="001351BA" w:rsidRPr="00A7749B" w:rsidRDefault="001351BA" w:rsidP="002A2A05">
      <w:pPr>
        <w:pStyle w:val="EndnoteText"/>
        <w:spacing w:line="480" w:lineRule="auto"/>
        <w:rPr>
          <w:sz w:val="24"/>
          <w:szCs w:val="24"/>
        </w:rPr>
      </w:pPr>
      <w:r w:rsidRPr="00A7749B">
        <w:rPr>
          <w:rStyle w:val="EndnoteReference"/>
          <w:sz w:val="24"/>
          <w:szCs w:val="24"/>
        </w:rPr>
        <w:endnoteRef/>
      </w:r>
      <w:r w:rsidRPr="00A7749B">
        <w:rPr>
          <w:sz w:val="24"/>
          <w:szCs w:val="24"/>
        </w:rPr>
        <w:t xml:space="preserve"> </w:t>
      </w:r>
      <w:r w:rsidRPr="00A7749B">
        <w:rPr>
          <w:bCs/>
          <w:sz w:val="24"/>
          <w:szCs w:val="24"/>
        </w:rPr>
        <w:t>O’Sullivan</w:t>
      </w:r>
      <w:r>
        <w:rPr>
          <w:bCs/>
          <w:sz w:val="24"/>
          <w:szCs w:val="24"/>
        </w:rPr>
        <w:t xml:space="preserve"> (</w:t>
      </w:r>
      <w:r w:rsidRPr="00A7749B">
        <w:rPr>
          <w:bCs/>
          <w:sz w:val="24"/>
          <w:szCs w:val="24"/>
        </w:rPr>
        <w:t>2016</w:t>
      </w:r>
      <w:r>
        <w:rPr>
          <w:bCs/>
          <w:sz w:val="24"/>
          <w:szCs w:val="24"/>
        </w:rPr>
        <w:t xml:space="preserve">) has recently </w:t>
      </w:r>
      <w:r w:rsidRPr="00A7749B">
        <w:rPr>
          <w:bCs/>
          <w:sz w:val="24"/>
          <w:szCs w:val="24"/>
        </w:rPr>
        <w:t>argue</w:t>
      </w:r>
      <w:r>
        <w:rPr>
          <w:bCs/>
          <w:sz w:val="24"/>
          <w:szCs w:val="24"/>
        </w:rPr>
        <w:t>d</w:t>
      </w:r>
      <w:r w:rsidRPr="00A7749B">
        <w:rPr>
          <w:bCs/>
          <w:sz w:val="24"/>
          <w:szCs w:val="24"/>
        </w:rPr>
        <w:t xml:space="preserve"> that </w:t>
      </w:r>
      <w:r>
        <w:rPr>
          <w:bCs/>
          <w:sz w:val="24"/>
          <w:szCs w:val="24"/>
        </w:rPr>
        <w:t>evidence of a money trust in the</w:t>
      </w:r>
      <w:r w:rsidRPr="00A7749B">
        <w:rPr>
          <w:bCs/>
          <w:sz w:val="24"/>
          <w:szCs w:val="24"/>
        </w:rPr>
        <w:t xml:space="preserve"> US was exaggerated.</w:t>
      </w:r>
    </w:p>
  </w:endnote>
  <w:endnote w:id="8">
    <w:p w14:paraId="7E9FEDE1" w14:textId="77777777" w:rsidR="001351BA" w:rsidRPr="00A7749B" w:rsidRDefault="001351BA" w:rsidP="007655D6">
      <w:pPr>
        <w:pStyle w:val="EndnoteText"/>
        <w:spacing w:line="480" w:lineRule="auto"/>
        <w:rPr>
          <w:sz w:val="24"/>
          <w:szCs w:val="24"/>
        </w:rPr>
      </w:pPr>
      <w:r w:rsidRPr="00A7749B">
        <w:rPr>
          <w:rStyle w:val="EndnoteReference"/>
          <w:sz w:val="24"/>
          <w:szCs w:val="24"/>
        </w:rPr>
        <w:endnoteRef/>
      </w:r>
      <w:r w:rsidRPr="00A7749B">
        <w:rPr>
          <w:sz w:val="24"/>
          <w:szCs w:val="24"/>
        </w:rPr>
        <w:t xml:space="preserve"> Colwyn’s business interests were mainly in rubber and cotton. He was a director of the Lancashire and Yorkshire Bank from 1912 and its chairman from June 1919. He was a member of various other official committees: the Treasury Committee on [wartime munitions] Contracts set up in 1918; chair of standing committees on contracts and stores established in response to that Committee’s report; chair of the Royal Commission on Income Tax, 1919-20; chair of the Committee on National Debt and Taxation, set up in 1924 which reported in 1927; and chair of the 1924-5 Committee on Navy, Army, and Air Force Expenditure (Chandler, 1968</w:t>
      </w:r>
      <w:r>
        <w:rPr>
          <w:sz w:val="24"/>
          <w:szCs w:val="24"/>
        </w:rPr>
        <w:t xml:space="preserve">, </w:t>
      </w:r>
      <w:r w:rsidRPr="00A7749B">
        <w:rPr>
          <w:sz w:val="24"/>
          <w:szCs w:val="24"/>
        </w:rPr>
        <w:t>574</w:t>
      </w:r>
      <w:r>
        <w:rPr>
          <w:sz w:val="24"/>
          <w:szCs w:val="24"/>
        </w:rPr>
        <w:t>–</w:t>
      </w:r>
      <w:r w:rsidRPr="00A7749B">
        <w:rPr>
          <w:sz w:val="24"/>
          <w:szCs w:val="24"/>
        </w:rPr>
        <w:t>575; Peden, 2000, 117; Sayers, 1976, 237).</w:t>
      </w:r>
    </w:p>
  </w:endnote>
  <w:endnote w:id="9">
    <w:p w14:paraId="5875CF84" w14:textId="77777777" w:rsidR="001351BA" w:rsidRPr="00A7749B" w:rsidRDefault="001351BA" w:rsidP="007655D6">
      <w:pPr>
        <w:pStyle w:val="EndnoteText"/>
        <w:spacing w:line="480" w:lineRule="auto"/>
        <w:rPr>
          <w:sz w:val="24"/>
          <w:szCs w:val="24"/>
        </w:rPr>
      </w:pPr>
      <w:r w:rsidRPr="00A7749B">
        <w:rPr>
          <w:rStyle w:val="EndnoteReference"/>
          <w:sz w:val="24"/>
          <w:szCs w:val="24"/>
        </w:rPr>
        <w:endnoteRef/>
      </w:r>
      <w:r w:rsidRPr="00A7749B">
        <w:rPr>
          <w:sz w:val="24"/>
          <w:szCs w:val="24"/>
        </w:rPr>
        <w:t xml:space="preserve"> </w:t>
      </w:r>
      <w:r w:rsidRPr="00A7749B">
        <w:rPr>
          <w:sz w:val="24"/>
          <w:szCs w:val="24"/>
          <w:lang w:val="en-US"/>
        </w:rPr>
        <w:t xml:space="preserve">Webb, for example, stated </w:t>
      </w:r>
      <w:r>
        <w:rPr>
          <w:sz w:val="24"/>
          <w:szCs w:val="24"/>
          <w:lang w:val="en-US"/>
        </w:rPr>
        <w:t xml:space="preserve">in his evidence </w:t>
      </w:r>
      <w:r w:rsidRPr="00A7749B">
        <w:rPr>
          <w:sz w:val="24"/>
          <w:szCs w:val="24"/>
          <w:lang w:val="en-US"/>
        </w:rPr>
        <w:t>that he ‘did not proffer myself as a witness’.</w:t>
      </w:r>
    </w:p>
  </w:endnote>
  <w:endnote w:id="10">
    <w:p w14:paraId="3AA6E1AE" w14:textId="77777777" w:rsidR="001351BA" w:rsidRPr="00A7749B" w:rsidRDefault="001351BA" w:rsidP="007655D6">
      <w:pPr>
        <w:pStyle w:val="EndnoteText"/>
        <w:spacing w:line="480" w:lineRule="auto"/>
        <w:rPr>
          <w:sz w:val="24"/>
          <w:szCs w:val="24"/>
        </w:rPr>
      </w:pPr>
      <w:r w:rsidRPr="00A7749B">
        <w:rPr>
          <w:rStyle w:val="EndnoteReference"/>
          <w:sz w:val="24"/>
          <w:szCs w:val="24"/>
        </w:rPr>
        <w:endnoteRef/>
      </w:r>
      <w:r w:rsidRPr="00A7749B">
        <w:rPr>
          <w:sz w:val="24"/>
          <w:szCs w:val="24"/>
        </w:rPr>
        <w:t xml:space="preserve"> The purpose of this committee was to consider issues relating to post-World War One monetary and exchange rate arrangements.</w:t>
      </w:r>
    </w:p>
  </w:endnote>
  <w:endnote w:id="11">
    <w:p w14:paraId="3088DF5E" w14:textId="4164A710" w:rsidR="001351BA" w:rsidRPr="008F5FD3" w:rsidRDefault="001351BA" w:rsidP="00F41573">
      <w:pPr>
        <w:spacing w:line="480" w:lineRule="auto"/>
        <w:rPr>
          <w:lang w:val="en-US"/>
        </w:rPr>
      </w:pPr>
      <w:r>
        <w:rPr>
          <w:rStyle w:val="EndnoteReference"/>
        </w:rPr>
        <w:endnoteRef/>
      </w:r>
      <w:r>
        <w:t xml:space="preserve"> </w:t>
      </w:r>
      <w:r w:rsidRPr="00C009B2">
        <w:rPr>
          <w:sz w:val="24"/>
          <w:szCs w:val="24"/>
        </w:rPr>
        <w:t xml:space="preserve">The typed transcripts of </w:t>
      </w:r>
      <w:r>
        <w:rPr>
          <w:sz w:val="24"/>
          <w:szCs w:val="24"/>
        </w:rPr>
        <w:t xml:space="preserve">the witnesses’ oral </w:t>
      </w:r>
      <w:r w:rsidRPr="00C009B2">
        <w:rPr>
          <w:sz w:val="24"/>
          <w:szCs w:val="24"/>
        </w:rPr>
        <w:t>evidence total 280 pages</w:t>
      </w:r>
      <w:r w:rsidRPr="00C25C50">
        <w:rPr>
          <w:bCs/>
          <w:sz w:val="24"/>
        </w:rPr>
        <w:t xml:space="preserve"> </w:t>
      </w:r>
      <w:r>
        <w:rPr>
          <w:bCs/>
          <w:sz w:val="24"/>
          <w:szCs w:val="24"/>
        </w:rPr>
        <w:t>and are</w:t>
      </w:r>
      <w:r w:rsidRPr="00C25C50">
        <w:rPr>
          <w:bCs/>
          <w:sz w:val="24"/>
          <w:szCs w:val="24"/>
        </w:rPr>
        <w:t xml:space="preserve"> available in the UK’s National </w:t>
      </w:r>
      <w:r>
        <w:rPr>
          <w:bCs/>
          <w:sz w:val="24"/>
          <w:szCs w:val="24"/>
        </w:rPr>
        <w:t>Archives</w:t>
      </w:r>
      <w:r w:rsidRPr="00C009B2">
        <w:rPr>
          <w:sz w:val="24"/>
          <w:szCs w:val="24"/>
        </w:rPr>
        <w:t xml:space="preserve">. </w:t>
      </w:r>
      <w:r w:rsidRPr="00A7749B">
        <w:rPr>
          <w:sz w:val="24"/>
          <w:szCs w:val="24"/>
        </w:rPr>
        <w:t xml:space="preserve">The original source of all the evidence given to the Committee is </w:t>
      </w:r>
      <w:r w:rsidRPr="00A7749B">
        <w:rPr>
          <w:sz w:val="24"/>
          <w:szCs w:val="24"/>
          <w:lang w:val="en-US"/>
        </w:rPr>
        <w:t xml:space="preserve">The National Archives, Kew, London </w:t>
      </w:r>
      <w:r w:rsidRPr="00A7749B">
        <w:rPr>
          <w:sz w:val="24"/>
          <w:szCs w:val="24"/>
        </w:rPr>
        <w:t>(hereafter ‘TNA’)</w:t>
      </w:r>
      <w:r w:rsidRPr="00A7749B">
        <w:rPr>
          <w:sz w:val="24"/>
          <w:szCs w:val="24"/>
          <w:lang w:val="en-US"/>
        </w:rPr>
        <w:t>, file T1/12267/50326.</w:t>
      </w:r>
      <w:r>
        <w:rPr>
          <w:sz w:val="24"/>
          <w:szCs w:val="24"/>
          <w:lang w:val="en-US"/>
        </w:rPr>
        <w:t xml:space="preserve"> </w:t>
      </w:r>
      <w:r>
        <w:rPr>
          <w:sz w:val="24"/>
          <w:szCs w:val="24"/>
        </w:rPr>
        <w:t xml:space="preserve">The </w:t>
      </w:r>
      <w:r w:rsidRPr="00CE54EC">
        <w:rPr>
          <w:sz w:val="24"/>
          <w:szCs w:val="24"/>
          <w:lang w:val="en-US"/>
        </w:rPr>
        <w:t xml:space="preserve">evidence </w:t>
      </w:r>
      <w:r>
        <w:rPr>
          <w:sz w:val="24"/>
          <w:szCs w:val="24"/>
          <w:lang w:val="en-US"/>
        </w:rPr>
        <w:t>of</w:t>
      </w:r>
      <w:r w:rsidRPr="00CE54EC">
        <w:rPr>
          <w:sz w:val="24"/>
          <w:szCs w:val="24"/>
          <w:lang w:val="en-US"/>
        </w:rPr>
        <w:t xml:space="preserve"> </w:t>
      </w:r>
      <w:r>
        <w:rPr>
          <w:sz w:val="24"/>
          <w:szCs w:val="24"/>
          <w:lang w:val="en-US"/>
        </w:rPr>
        <w:t>individual</w:t>
      </w:r>
      <w:r w:rsidRPr="00CE54EC">
        <w:rPr>
          <w:sz w:val="24"/>
          <w:szCs w:val="24"/>
          <w:lang w:val="en-US"/>
        </w:rPr>
        <w:t xml:space="preserve"> witness</w:t>
      </w:r>
      <w:r>
        <w:rPr>
          <w:sz w:val="24"/>
          <w:szCs w:val="24"/>
          <w:lang w:val="en-US"/>
        </w:rPr>
        <w:t>es</w:t>
      </w:r>
      <w:r w:rsidRPr="00CE54EC">
        <w:rPr>
          <w:sz w:val="24"/>
          <w:szCs w:val="24"/>
          <w:lang w:val="en-US"/>
        </w:rPr>
        <w:t xml:space="preserve"> varie</w:t>
      </w:r>
      <w:r>
        <w:rPr>
          <w:sz w:val="24"/>
          <w:szCs w:val="24"/>
          <w:lang w:val="en-US"/>
        </w:rPr>
        <w:t>d</w:t>
      </w:r>
      <w:r w:rsidRPr="00CE54EC">
        <w:rPr>
          <w:sz w:val="24"/>
          <w:szCs w:val="24"/>
          <w:lang w:val="en-US"/>
        </w:rPr>
        <w:t xml:space="preserve"> </w:t>
      </w:r>
      <w:r>
        <w:rPr>
          <w:sz w:val="24"/>
          <w:szCs w:val="24"/>
          <w:lang w:val="en-US"/>
        </w:rPr>
        <w:t xml:space="preserve">considerably </w:t>
      </w:r>
      <w:r w:rsidRPr="00CE54EC">
        <w:rPr>
          <w:sz w:val="24"/>
          <w:szCs w:val="24"/>
          <w:lang w:val="en-US"/>
        </w:rPr>
        <w:t>in length</w:t>
      </w:r>
      <w:r>
        <w:rPr>
          <w:sz w:val="24"/>
          <w:szCs w:val="24"/>
          <w:lang w:val="en-US"/>
        </w:rPr>
        <w:t>: t</w:t>
      </w:r>
      <w:r w:rsidRPr="00C009B2">
        <w:rPr>
          <w:sz w:val="24"/>
          <w:szCs w:val="24"/>
        </w:rPr>
        <w:t xml:space="preserve">he mean </w:t>
      </w:r>
      <w:r>
        <w:rPr>
          <w:sz w:val="24"/>
          <w:szCs w:val="24"/>
        </w:rPr>
        <w:t xml:space="preserve">page </w:t>
      </w:r>
      <w:r w:rsidRPr="00C009B2">
        <w:rPr>
          <w:sz w:val="24"/>
          <w:szCs w:val="24"/>
        </w:rPr>
        <w:t xml:space="preserve">length </w:t>
      </w:r>
      <w:r>
        <w:rPr>
          <w:sz w:val="24"/>
          <w:szCs w:val="24"/>
        </w:rPr>
        <w:t xml:space="preserve">per witness </w:t>
      </w:r>
      <w:r w:rsidRPr="00C009B2">
        <w:rPr>
          <w:sz w:val="24"/>
          <w:szCs w:val="24"/>
        </w:rPr>
        <w:t xml:space="preserve">is 13 pages and the median 11. The shortest evidence, only two pages, came from the London Stock Exchange chairman, whereas </w:t>
      </w:r>
      <w:r>
        <w:rPr>
          <w:sz w:val="24"/>
          <w:szCs w:val="24"/>
        </w:rPr>
        <w:t>that</w:t>
      </w:r>
      <w:r w:rsidRPr="00C009B2">
        <w:rPr>
          <w:sz w:val="24"/>
          <w:szCs w:val="24"/>
        </w:rPr>
        <w:t xml:space="preserve"> of Sir Edward Holden runs to 34 pages.</w:t>
      </w:r>
      <w:r>
        <w:rPr>
          <w:sz w:val="24"/>
          <w:szCs w:val="24"/>
          <w:lang w:val="en-US"/>
        </w:rPr>
        <w:t xml:space="preserve"> S</w:t>
      </w:r>
      <w:r w:rsidRPr="00CE54EC">
        <w:rPr>
          <w:sz w:val="24"/>
          <w:szCs w:val="24"/>
          <w:lang w:val="en-US"/>
        </w:rPr>
        <w:t xml:space="preserve">ome </w:t>
      </w:r>
      <w:r>
        <w:rPr>
          <w:sz w:val="24"/>
          <w:szCs w:val="24"/>
          <w:lang w:val="en-US"/>
        </w:rPr>
        <w:t xml:space="preserve">witnesses </w:t>
      </w:r>
      <w:r w:rsidRPr="00CE54EC">
        <w:rPr>
          <w:sz w:val="24"/>
          <w:szCs w:val="24"/>
          <w:lang w:val="en-US"/>
        </w:rPr>
        <w:t>read a prepared statement before questioning</w:t>
      </w:r>
      <w:r>
        <w:rPr>
          <w:sz w:val="24"/>
          <w:szCs w:val="24"/>
          <w:lang w:val="en-US"/>
        </w:rPr>
        <w:t xml:space="preserve">, others simply responded to </w:t>
      </w:r>
      <w:r w:rsidRPr="00CE54EC">
        <w:rPr>
          <w:sz w:val="24"/>
          <w:szCs w:val="24"/>
          <w:lang w:val="en-US"/>
        </w:rPr>
        <w:t>Committee members</w:t>
      </w:r>
      <w:r>
        <w:rPr>
          <w:sz w:val="24"/>
          <w:szCs w:val="24"/>
          <w:lang w:val="en-US"/>
        </w:rPr>
        <w:t xml:space="preserve">’ questions. </w:t>
      </w:r>
      <w:r>
        <w:rPr>
          <w:sz w:val="24"/>
          <w:szCs w:val="24"/>
        </w:rPr>
        <w:t>S</w:t>
      </w:r>
      <w:r w:rsidRPr="00C009B2">
        <w:rPr>
          <w:sz w:val="24"/>
          <w:szCs w:val="24"/>
        </w:rPr>
        <w:t xml:space="preserve">everal </w:t>
      </w:r>
      <w:r w:rsidRPr="00CE54EC">
        <w:rPr>
          <w:sz w:val="24"/>
          <w:szCs w:val="24"/>
          <w:lang w:val="en-US"/>
        </w:rPr>
        <w:t>(including Bell and Beaumont Pease) comment</w:t>
      </w:r>
      <w:r>
        <w:rPr>
          <w:sz w:val="24"/>
          <w:szCs w:val="24"/>
          <w:lang w:val="en-US"/>
        </w:rPr>
        <w:t>ed</w:t>
      </w:r>
      <w:r w:rsidRPr="00CE54EC">
        <w:rPr>
          <w:sz w:val="24"/>
          <w:szCs w:val="24"/>
          <w:lang w:val="en-US"/>
        </w:rPr>
        <w:t xml:space="preserve"> </w:t>
      </w:r>
      <w:r>
        <w:rPr>
          <w:sz w:val="24"/>
          <w:szCs w:val="24"/>
          <w:lang w:val="en-US"/>
        </w:rPr>
        <w:t>on</w:t>
      </w:r>
      <w:r w:rsidRPr="00C009B2">
        <w:rPr>
          <w:sz w:val="24"/>
          <w:szCs w:val="24"/>
        </w:rPr>
        <w:t xml:space="preserve"> having been called to testify at short notice</w:t>
      </w:r>
      <w:r w:rsidRPr="00CE54EC">
        <w:rPr>
          <w:sz w:val="24"/>
          <w:szCs w:val="24"/>
          <w:lang w:val="en-US"/>
        </w:rPr>
        <w:t>,</w:t>
      </w:r>
      <w:r>
        <w:rPr>
          <w:sz w:val="24"/>
          <w:szCs w:val="24"/>
          <w:lang w:val="en-US"/>
        </w:rPr>
        <w:t xml:space="preserve"> some even the</w:t>
      </w:r>
      <w:r w:rsidRPr="00CE54EC">
        <w:rPr>
          <w:sz w:val="24"/>
          <w:szCs w:val="24"/>
          <w:lang w:val="en-US"/>
        </w:rPr>
        <w:t xml:space="preserve"> same day</w:t>
      </w:r>
      <w:r>
        <w:rPr>
          <w:sz w:val="24"/>
          <w:szCs w:val="24"/>
          <w:lang w:val="en-US"/>
        </w:rPr>
        <w:t xml:space="preserve">. For most witnesses only </w:t>
      </w:r>
      <w:r w:rsidRPr="00CE54EC">
        <w:rPr>
          <w:sz w:val="24"/>
          <w:szCs w:val="24"/>
          <w:lang w:val="en-US"/>
        </w:rPr>
        <w:t xml:space="preserve">one version of </w:t>
      </w:r>
      <w:r>
        <w:rPr>
          <w:sz w:val="24"/>
          <w:szCs w:val="24"/>
          <w:lang w:val="en-US"/>
        </w:rPr>
        <w:t xml:space="preserve">their </w:t>
      </w:r>
      <w:r w:rsidRPr="00CE54EC">
        <w:rPr>
          <w:sz w:val="24"/>
          <w:szCs w:val="24"/>
          <w:lang w:val="en-US"/>
        </w:rPr>
        <w:t xml:space="preserve">evidence </w:t>
      </w:r>
      <w:r>
        <w:rPr>
          <w:sz w:val="24"/>
          <w:szCs w:val="24"/>
          <w:lang w:val="en-US"/>
        </w:rPr>
        <w:t xml:space="preserve">is </w:t>
      </w:r>
      <w:r w:rsidRPr="00CE54EC">
        <w:rPr>
          <w:sz w:val="24"/>
          <w:szCs w:val="24"/>
          <w:lang w:val="en-US"/>
        </w:rPr>
        <w:t>on file</w:t>
      </w:r>
      <w:r>
        <w:rPr>
          <w:sz w:val="24"/>
          <w:szCs w:val="24"/>
          <w:lang w:val="en-US"/>
        </w:rPr>
        <w:t>. O</w:t>
      </w:r>
      <w:r w:rsidRPr="00CE54EC">
        <w:rPr>
          <w:sz w:val="24"/>
          <w:szCs w:val="24"/>
          <w:lang w:val="en-US"/>
        </w:rPr>
        <w:t xml:space="preserve">ccasionally a second with </w:t>
      </w:r>
      <w:r>
        <w:rPr>
          <w:sz w:val="24"/>
          <w:szCs w:val="24"/>
          <w:lang w:val="en-US"/>
        </w:rPr>
        <w:t>minor</w:t>
      </w:r>
      <w:r w:rsidRPr="00CE54EC">
        <w:rPr>
          <w:sz w:val="24"/>
          <w:szCs w:val="24"/>
          <w:lang w:val="en-US"/>
        </w:rPr>
        <w:t xml:space="preserve"> handwritten amendments</w:t>
      </w:r>
      <w:r>
        <w:rPr>
          <w:sz w:val="24"/>
          <w:szCs w:val="24"/>
          <w:lang w:val="en-US"/>
        </w:rPr>
        <w:t xml:space="preserve"> can be found. There are also </w:t>
      </w:r>
      <w:r w:rsidRPr="00CE54EC">
        <w:rPr>
          <w:sz w:val="24"/>
          <w:szCs w:val="24"/>
          <w:lang w:val="en-US"/>
        </w:rPr>
        <w:t>occasional references to unm</w:t>
      </w:r>
      <w:r>
        <w:rPr>
          <w:sz w:val="24"/>
          <w:szCs w:val="24"/>
          <w:lang w:val="en-US"/>
        </w:rPr>
        <w:t xml:space="preserve">inuted confidential statements and Webb referred to having submitted a </w:t>
      </w:r>
      <w:r w:rsidRPr="006957D2">
        <w:rPr>
          <w:sz w:val="24"/>
          <w:szCs w:val="24"/>
          <w:lang w:val="en-US"/>
        </w:rPr>
        <w:t xml:space="preserve">memorandum but none </w:t>
      </w:r>
      <w:r>
        <w:rPr>
          <w:sz w:val="24"/>
          <w:szCs w:val="24"/>
          <w:lang w:val="en-US"/>
        </w:rPr>
        <w:t xml:space="preserve">is </w:t>
      </w:r>
      <w:r w:rsidRPr="006957D2">
        <w:rPr>
          <w:sz w:val="24"/>
          <w:szCs w:val="24"/>
          <w:lang w:val="en-US"/>
        </w:rPr>
        <w:t>on file</w:t>
      </w:r>
      <w:r>
        <w:rPr>
          <w:sz w:val="24"/>
          <w:szCs w:val="24"/>
          <w:lang w:val="en-US"/>
        </w:rPr>
        <w:t>.</w:t>
      </w:r>
      <w:r w:rsidRPr="00B20C8B">
        <w:rPr>
          <w:sz w:val="24"/>
          <w:szCs w:val="24"/>
          <w:lang w:val="en-US"/>
        </w:rPr>
        <w:t xml:space="preserve"> </w:t>
      </w:r>
      <w:r>
        <w:rPr>
          <w:sz w:val="24"/>
          <w:szCs w:val="24"/>
          <w:lang w:val="en-US"/>
        </w:rPr>
        <w:t>It is unclear why the evidence remained unpublished; the file contains</w:t>
      </w:r>
      <w:r w:rsidRPr="000270A8">
        <w:rPr>
          <w:sz w:val="24"/>
          <w:szCs w:val="24"/>
          <w:lang w:val="en-US"/>
        </w:rPr>
        <w:t xml:space="preserve"> correspondence with various witnesses asking them to confirm </w:t>
      </w:r>
      <w:r>
        <w:rPr>
          <w:sz w:val="24"/>
          <w:szCs w:val="24"/>
          <w:lang w:val="en-US"/>
        </w:rPr>
        <w:t xml:space="preserve">the </w:t>
      </w:r>
      <w:r w:rsidRPr="000270A8">
        <w:rPr>
          <w:sz w:val="24"/>
          <w:szCs w:val="24"/>
          <w:lang w:val="en-US"/>
        </w:rPr>
        <w:t xml:space="preserve">transcripts of their evidence and whether they would object to </w:t>
      </w:r>
      <w:r>
        <w:rPr>
          <w:sz w:val="24"/>
          <w:szCs w:val="24"/>
          <w:lang w:val="en-US"/>
        </w:rPr>
        <w:t>publication. Their</w:t>
      </w:r>
      <w:r w:rsidRPr="000270A8">
        <w:rPr>
          <w:sz w:val="24"/>
          <w:szCs w:val="24"/>
          <w:lang w:val="en-US"/>
        </w:rPr>
        <w:t xml:space="preserve"> usual answer</w:t>
      </w:r>
      <w:r>
        <w:rPr>
          <w:sz w:val="24"/>
          <w:szCs w:val="24"/>
          <w:lang w:val="en-US"/>
        </w:rPr>
        <w:t xml:space="preserve"> was that they did not.</w:t>
      </w:r>
    </w:p>
  </w:endnote>
  <w:endnote w:id="12">
    <w:p w14:paraId="4811DFFC" w14:textId="256C552A" w:rsidR="001351BA" w:rsidRPr="00A7749B" w:rsidRDefault="001351BA" w:rsidP="00CB63D5">
      <w:pPr>
        <w:pStyle w:val="EndnoteText"/>
        <w:spacing w:line="480" w:lineRule="auto"/>
        <w:rPr>
          <w:sz w:val="24"/>
          <w:szCs w:val="24"/>
          <w:lang w:val="en-US"/>
        </w:rPr>
      </w:pPr>
      <w:r w:rsidRPr="00A7749B">
        <w:rPr>
          <w:rStyle w:val="EndnoteReference"/>
          <w:sz w:val="24"/>
          <w:szCs w:val="24"/>
        </w:rPr>
        <w:endnoteRef/>
      </w:r>
      <w:r w:rsidRPr="00A7749B">
        <w:rPr>
          <w:sz w:val="24"/>
          <w:szCs w:val="24"/>
        </w:rPr>
        <w:t xml:space="preserve"> TNA, T1/12313/17061</w:t>
      </w:r>
      <w:r>
        <w:rPr>
          <w:sz w:val="24"/>
          <w:szCs w:val="24"/>
        </w:rPr>
        <w:t xml:space="preserve"> and</w:t>
      </w:r>
      <w:r w:rsidRPr="00A7749B">
        <w:rPr>
          <w:sz w:val="24"/>
          <w:szCs w:val="24"/>
        </w:rPr>
        <w:t xml:space="preserve"> </w:t>
      </w:r>
      <w:r w:rsidRPr="00A7749B">
        <w:rPr>
          <w:sz w:val="24"/>
          <w:szCs w:val="24"/>
          <w:lang w:val="en-US"/>
        </w:rPr>
        <w:t>T1/12313/17061/40169</w:t>
      </w:r>
      <w:r w:rsidRPr="00A7749B">
        <w:rPr>
          <w:sz w:val="24"/>
          <w:szCs w:val="24"/>
        </w:rPr>
        <w:t>; also see discussion in Sayers, 1976</w:t>
      </w:r>
      <w:r>
        <w:rPr>
          <w:sz w:val="24"/>
          <w:szCs w:val="24"/>
        </w:rPr>
        <w:t xml:space="preserve">, </w:t>
      </w:r>
      <w:r w:rsidRPr="00A7749B">
        <w:rPr>
          <w:sz w:val="24"/>
          <w:szCs w:val="24"/>
        </w:rPr>
        <w:t>237</w:t>
      </w:r>
      <w:r>
        <w:rPr>
          <w:sz w:val="24"/>
          <w:szCs w:val="24"/>
        </w:rPr>
        <w:t>–</w:t>
      </w:r>
      <w:r w:rsidRPr="00A7749B">
        <w:rPr>
          <w:sz w:val="24"/>
          <w:szCs w:val="24"/>
        </w:rPr>
        <w:t>241.</w:t>
      </w:r>
    </w:p>
  </w:endnote>
  <w:endnote w:id="13">
    <w:p w14:paraId="70CAB4FD" w14:textId="480BFB28" w:rsidR="001351BA" w:rsidRPr="00A7749B" w:rsidRDefault="001351BA" w:rsidP="00CB63D5">
      <w:pPr>
        <w:pStyle w:val="EndnoteText"/>
        <w:spacing w:line="480" w:lineRule="auto"/>
        <w:rPr>
          <w:sz w:val="24"/>
          <w:szCs w:val="24"/>
          <w:lang w:val="en-US"/>
        </w:rPr>
      </w:pPr>
      <w:r w:rsidRPr="00A7749B">
        <w:rPr>
          <w:rStyle w:val="EndnoteReference"/>
          <w:sz w:val="24"/>
          <w:szCs w:val="24"/>
        </w:rPr>
        <w:endnoteRef/>
      </w:r>
      <w:r w:rsidRPr="00A7749B">
        <w:rPr>
          <w:sz w:val="24"/>
          <w:szCs w:val="24"/>
        </w:rPr>
        <w:t xml:space="preserve"> TNA, T1/12325/20697/18509; Grieves</w:t>
      </w:r>
      <w:r>
        <w:rPr>
          <w:sz w:val="24"/>
          <w:szCs w:val="24"/>
        </w:rPr>
        <w:t xml:space="preserve"> (</w:t>
      </w:r>
      <w:r w:rsidRPr="00A7749B">
        <w:rPr>
          <w:sz w:val="24"/>
          <w:szCs w:val="24"/>
        </w:rPr>
        <w:t>2008</w:t>
      </w:r>
      <w:r>
        <w:rPr>
          <w:sz w:val="24"/>
          <w:szCs w:val="24"/>
        </w:rPr>
        <w:t>)</w:t>
      </w:r>
      <w:r w:rsidRPr="00A7749B">
        <w:rPr>
          <w:sz w:val="24"/>
          <w:szCs w:val="24"/>
        </w:rPr>
        <w:t>.</w:t>
      </w:r>
      <w:r w:rsidRPr="00A7749B">
        <w:rPr>
          <w:sz w:val="24"/>
          <w:szCs w:val="24"/>
          <w:lang w:val="en-US"/>
        </w:rPr>
        <w:t xml:space="preserve"> Gaspard Farrer of Barings, another Committee witness, served as an alternate to Lord Inchcape when the latter was in ill-health (TNA, T1/12325/20697/23401).</w:t>
      </w:r>
    </w:p>
  </w:endnote>
  <w:endnote w:id="14">
    <w:p w14:paraId="2B8E4413" w14:textId="77777777" w:rsidR="001351BA" w:rsidRPr="00A7749B" w:rsidRDefault="001351BA" w:rsidP="00CB63D5">
      <w:pPr>
        <w:pStyle w:val="EndnoteText"/>
        <w:spacing w:line="480" w:lineRule="auto"/>
        <w:rPr>
          <w:sz w:val="24"/>
          <w:szCs w:val="24"/>
        </w:rPr>
      </w:pPr>
      <w:r w:rsidRPr="00A7749B">
        <w:rPr>
          <w:rStyle w:val="EndnoteReference"/>
          <w:sz w:val="24"/>
          <w:szCs w:val="24"/>
        </w:rPr>
        <w:endnoteRef/>
      </w:r>
      <w:r w:rsidRPr="00A7749B">
        <w:rPr>
          <w:sz w:val="24"/>
          <w:szCs w:val="24"/>
        </w:rPr>
        <w:t xml:space="preserve"> Bank of England Archive, London (hereafter ‘BoE’), G1/9</w:t>
      </w:r>
      <w:r w:rsidRPr="00A7749B">
        <w:rPr>
          <w:sz w:val="24"/>
          <w:szCs w:val="24"/>
          <w:lang w:val="en-US"/>
        </w:rPr>
        <w:t>.</w:t>
      </w:r>
    </w:p>
  </w:endnote>
  <w:endnote w:id="15">
    <w:p w14:paraId="0BD6519D" w14:textId="3BAB0DCA" w:rsidR="001351BA" w:rsidRPr="00A7749B" w:rsidRDefault="001351BA" w:rsidP="00CB63D5">
      <w:pPr>
        <w:pStyle w:val="EndnoteText"/>
        <w:spacing w:line="480" w:lineRule="auto"/>
        <w:rPr>
          <w:sz w:val="24"/>
          <w:szCs w:val="24"/>
          <w:lang w:val="en-US"/>
        </w:rPr>
      </w:pPr>
      <w:r w:rsidRPr="00A7749B">
        <w:rPr>
          <w:rStyle w:val="EndnoteReference"/>
          <w:sz w:val="24"/>
          <w:szCs w:val="24"/>
        </w:rPr>
        <w:endnoteRef/>
      </w:r>
      <w:r w:rsidRPr="00A7749B">
        <w:rPr>
          <w:sz w:val="24"/>
          <w:szCs w:val="24"/>
        </w:rPr>
        <w:t xml:space="preserve"> Ackrill and Hannah</w:t>
      </w:r>
      <w:r w:rsidR="008C02FA">
        <w:rPr>
          <w:sz w:val="24"/>
          <w:szCs w:val="24"/>
        </w:rPr>
        <w:t>,</w:t>
      </w:r>
      <w:r>
        <w:rPr>
          <w:sz w:val="24"/>
          <w:szCs w:val="24"/>
        </w:rPr>
        <w:t xml:space="preserve"> </w:t>
      </w:r>
      <w:r w:rsidRPr="00A7749B">
        <w:rPr>
          <w:sz w:val="24"/>
          <w:szCs w:val="24"/>
        </w:rPr>
        <w:t>2001</w:t>
      </w:r>
      <w:r>
        <w:rPr>
          <w:sz w:val="24"/>
          <w:szCs w:val="24"/>
        </w:rPr>
        <w:t xml:space="preserve">, </w:t>
      </w:r>
      <w:r w:rsidRPr="00A7749B">
        <w:rPr>
          <w:sz w:val="24"/>
          <w:szCs w:val="24"/>
        </w:rPr>
        <w:t>81</w:t>
      </w:r>
      <w:r>
        <w:rPr>
          <w:sz w:val="24"/>
          <w:szCs w:val="24"/>
        </w:rPr>
        <w:t>–</w:t>
      </w:r>
      <w:r w:rsidRPr="00A7749B">
        <w:rPr>
          <w:sz w:val="24"/>
          <w:szCs w:val="24"/>
        </w:rPr>
        <w:t>85; Jones</w:t>
      </w:r>
      <w:r w:rsidR="008C02FA">
        <w:rPr>
          <w:sz w:val="24"/>
          <w:szCs w:val="24"/>
        </w:rPr>
        <w:t>,</w:t>
      </w:r>
      <w:r>
        <w:rPr>
          <w:sz w:val="24"/>
          <w:szCs w:val="24"/>
        </w:rPr>
        <w:t xml:space="preserve"> </w:t>
      </w:r>
      <w:r w:rsidRPr="00A7749B">
        <w:rPr>
          <w:sz w:val="24"/>
          <w:szCs w:val="24"/>
        </w:rPr>
        <w:t>1993</w:t>
      </w:r>
      <w:r>
        <w:rPr>
          <w:sz w:val="24"/>
          <w:szCs w:val="24"/>
        </w:rPr>
        <w:t xml:space="preserve">, </w:t>
      </w:r>
      <w:r w:rsidRPr="00A7749B">
        <w:rPr>
          <w:sz w:val="24"/>
          <w:szCs w:val="24"/>
        </w:rPr>
        <w:t>141</w:t>
      </w:r>
      <w:r>
        <w:rPr>
          <w:sz w:val="24"/>
          <w:szCs w:val="24"/>
        </w:rPr>
        <w:t>–</w:t>
      </w:r>
      <w:r w:rsidRPr="00A7749B">
        <w:rPr>
          <w:sz w:val="24"/>
          <w:szCs w:val="24"/>
        </w:rPr>
        <w:t>142; Sayers</w:t>
      </w:r>
      <w:r w:rsidR="008C02FA">
        <w:rPr>
          <w:sz w:val="24"/>
          <w:szCs w:val="24"/>
        </w:rPr>
        <w:t>,</w:t>
      </w:r>
      <w:r>
        <w:rPr>
          <w:sz w:val="24"/>
          <w:szCs w:val="24"/>
        </w:rPr>
        <w:t xml:space="preserve"> </w:t>
      </w:r>
      <w:r w:rsidRPr="00A7749B">
        <w:rPr>
          <w:sz w:val="24"/>
          <w:szCs w:val="24"/>
        </w:rPr>
        <w:t>1976</w:t>
      </w:r>
      <w:r>
        <w:rPr>
          <w:sz w:val="24"/>
          <w:szCs w:val="24"/>
        </w:rPr>
        <w:t xml:space="preserve">, </w:t>
      </w:r>
      <w:r w:rsidRPr="00A7749B">
        <w:rPr>
          <w:sz w:val="24"/>
          <w:szCs w:val="24"/>
        </w:rPr>
        <w:t>244</w:t>
      </w:r>
      <w:r>
        <w:rPr>
          <w:sz w:val="24"/>
          <w:szCs w:val="24"/>
        </w:rPr>
        <w:t>–</w:t>
      </w:r>
      <w:r w:rsidRPr="00A7749B">
        <w:rPr>
          <w:sz w:val="24"/>
          <w:szCs w:val="24"/>
        </w:rPr>
        <w:t xml:space="preserve">245; BoE, G1/9, and G1/10; </w:t>
      </w:r>
      <w:r w:rsidRPr="00A7749B">
        <w:rPr>
          <w:sz w:val="24"/>
          <w:szCs w:val="24"/>
          <w:lang w:val="en-US"/>
        </w:rPr>
        <w:t>TNA, T160/711/F6070 and T160/805/F11588</w:t>
      </w:r>
      <w:r w:rsidRPr="00A7749B">
        <w:rPr>
          <w:sz w:val="24"/>
          <w:szCs w:val="24"/>
        </w:rPr>
        <w:t>.</w:t>
      </w:r>
    </w:p>
  </w:endnote>
  <w:endnote w:id="16">
    <w:p w14:paraId="3805BD2A" w14:textId="2C3CCFFB" w:rsidR="001351BA" w:rsidRPr="00A7749B" w:rsidRDefault="001351BA" w:rsidP="00CB63D5">
      <w:pPr>
        <w:pStyle w:val="EndnoteText"/>
        <w:spacing w:line="480" w:lineRule="auto"/>
        <w:rPr>
          <w:sz w:val="24"/>
          <w:szCs w:val="24"/>
        </w:rPr>
      </w:pPr>
      <w:r w:rsidRPr="00A7749B">
        <w:rPr>
          <w:rStyle w:val="EndnoteReference"/>
          <w:sz w:val="24"/>
          <w:szCs w:val="24"/>
        </w:rPr>
        <w:endnoteRef/>
      </w:r>
      <w:r w:rsidRPr="00A7749B">
        <w:rPr>
          <w:sz w:val="24"/>
          <w:szCs w:val="24"/>
        </w:rPr>
        <w:t xml:space="preserve"> See, for example, </w:t>
      </w:r>
      <w:r w:rsidRPr="00A7749B">
        <w:rPr>
          <w:sz w:val="24"/>
          <w:szCs w:val="24"/>
          <w:lang w:val="en-US"/>
        </w:rPr>
        <w:t>Berger, Klapper and Turk-Ariss</w:t>
      </w:r>
      <w:r>
        <w:rPr>
          <w:sz w:val="24"/>
          <w:szCs w:val="24"/>
          <w:lang w:val="en-US"/>
        </w:rPr>
        <w:t xml:space="preserve"> (</w:t>
      </w:r>
      <w:r w:rsidRPr="00A7749B">
        <w:rPr>
          <w:sz w:val="24"/>
          <w:szCs w:val="24"/>
          <w:lang w:val="en-US"/>
        </w:rPr>
        <w:t>2009</w:t>
      </w:r>
      <w:r>
        <w:rPr>
          <w:sz w:val="24"/>
          <w:szCs w:val="24"/>
          <w:lang w:val="en-US"/>
        </w:rPr>
        <w:t>)</w:t>
      </w:r>
      <w:r w:rsidRPr="00A7749B">
        <w:rPr>
          <w:sz w:val="24"/>
          <w:szCs w:val="24"/>
          <w:lang w:val="en-US"/>
        </w:rPr>
        <w:t xml:space="preserve">; </w:t>
      </w:r>
      <w:r w:rsidRPr="00A7749B">
        <w:rPr>
          <w:sz w:val="24"/>
          <w:szCs w:val="24"/>
        </w:rPr>
        <w:t>Goetz, Laeven and Levin</w:t>
      </w:r>
      <w:r>
        <w:rPr>
          <w:sz w:val="24"/>
          <w:szCs w:val="24"/>
        </w:rPr>
        <w:t>e (</w:t>
      </w:r>
      <w:r w:rsidRPr="00A7749B">
        <w:rPr>
          <w:sz w:val="24"/>
          <w:szCs w:val="24"/>
        </w:rPr>
        <w:t>2016</w:t>
      </w:r>
      <w:r>
        <w:rPr>
          <w:sz w:val="24"/>
          <w:szCs w:val="24"/>
        </w:rPr>
        <w:t>)</w:t>
      </w:r>
      <w:r w:rsidRPr="00A7749B">
        <w:rPr>
          <w:sz w:val="24"/>
          <w:szCs w:val="24"/>
        </w:rPr>
        <w:t>.</w:t>
      </w:r>
    </w:p>
  </w:endnote>
  <w:endnote w:id="17">
    <w:p w14:paraId="4F36D8E3" w14:textId="2D90F0BB" w:rsidR="001351BA" w:rsidRPr="00A17440" w:rsidRDefault="001351BA" w:rsidP="00CB63D5">
      <w:pPr>
        <w:pStyle w:val="EndnoteText"/>
        <w:spacing w:line="480" w:lineRule="auto"/>
        <w:rPr>
          <w:sz w:val="24"/>
          <w:szCs w:val="24"/>
        </w:rPr>
      </w:pPr>
      <w:r w:rsidRPr="00A17440">
        <w:rPr>
          <w:rStyle w:val="EndnoteReference"/>
          <w:sz w:val="24"/>
          <w:szCs w:val="24"/>
        </w:rPr>
        <w:endnoteRef/>
      </w:r>
      <w:r w:rsidRPr="00A17440">
        <w:rPr>
          <w:sz w:val="24"/>
          <w:szCs w:val="24"/>
        </w:rPr>
        <w:t xml:space="preserve"> Carnevali</w:t>
      </w:r>
      <w:r>
        <w:rPr>
          <w:sz w:val="24"/>
          <w:szCs w:val="24"/>
        </w:rPr>
        <w:t xml:space="preserve"> (</w:t>
      </w:r>
      <w:r w:rsidRPr="00A17440">
        <w:rPr>
          <w:sz w:val="24"/>
          <w:szCs w:val="24"/>
        </w:rPr>
        <w:t>2005</w:t>
      </w:r>
      <w:r>
        <w:rPr>
          <w:sz w:val="24"/>
          <w:szCs w:val="24"/>
        </w:rPr>
        <w:t>)</w:t>
      </w:r>
      <w:r w:rsidRPr="00A17440">
        <w:rPr>
          <w:sz w:val="24"/>
          <w:szCs w:val="24"/>
        </w:rPr>
        <w:t xml:space="preserve"> regarded this argument</w:t>
      </w:r>
      <w:r w:rsidRPr="00841536">
        <w:rPr>
          <w:sz w:val="24"/>
          <w:szCs w:val="24"/>
        </w:rPr>
        <w:t xml:space="preserve"> </w:t>
      </w:r>
      <w:r w:rsidRPr="00A17440">
        <w:rPr>
          <w:sz w:val="24"/>
          <w:szCs w:val="24"/>
        </w:rPr>
        <w:t xml:space="preserve">as spurious on the grounds that, as noted in footnote </w:t>
      </w:r>
      <w:r>
        <w:rPr>
          <w:sz w:val="24"/>
          <w:szCs w:val="24"/>
        </w:rPr>
        <w:t>3</w:t>
      </w:r>
      <w:r w:rsidRPr="00A17440">
        <w:rPr>
          <w:sz w:val="24"/>
          <w:szCs w:val="24"/>
        </w:rPr>
        <w:t>, bank amalgamations preceded those in other sectors of the economy.</w:t>
      </w:r>
    </w:p>
  </w:endnote>
  <w:endnote w:id="18">
    <w:p w14:paraId="062B5423" w14:textId="347A8669" w:rsidR="001351BA" w:rsidRPr="00F848B9" w:rsidRDefault="001351BA" w:rsidP="00CB63D5">
      <w:pPr>
        <w:pStyle w:val="EndnoteText"/>
        <w:spacing w:line="480" w:lineRule="auto"/>
        <w:rPr>
          <w:sz w:val="24"/>
          <w:szCs w:val="24"/>
        </w:rPr>
      </w:pPr>
      <w:r w:rsidRPr="00F848B9">
        <w:rPr>
          <w:rStyle w:val="EndnoteReference"/>
          <w:sz w:val="24"/>
          <w:szCs w:val="24"/>
        </w:rPr>
        <w:endnoteRef/>
      </w:r>
      <w:r w:rsidRPr="00F848B9">
        <w:rPr>
          <w:sz w:val="24"/>
          <w:szCs w:val="24"/>
        </w:rPr>
        <w:t xml:space="preserve"> Newton (1996, 74) discusses a similar example</w:t>
      </w:r>
      <w:r w:rsidRPr="00520785">
        <w:rPr>
          <w:sz w:val="24"/>
          <w:szCs w:val="24"/>
        </w:rPr>
        <w:t xml:space="preserve"> </w:t>
      </w:r>
      <w:r w:rsidRPr="00F848B9">
        <w:rPr>
          <w:sz w:val="24"/>
          <w:szCs w:val="24"/>
        </w:rPr>
        <w:t>and its conse</w:t>
      </w:r>
      <w:r>
        <w:rPr>
          <w:sz w:val="24"/>
          <w:szCs w:val="24"/>
        </w:rPr>
        <w:t>q</w:t>
      </w:r>
      <w:r w:rsidRPr="00F848B9">
        <w:rPr>
          <w:sz w:val="24"/>
          <w:szCs w:val="24"/>
        </w:rPr>
        <w:t>uences: the heavy exposure of the Sheffield Union Bank to Naylor, Vickers &amp; Co.</w:t>
      </w:r>
    </w:p>
  </w:endnote>
  <w:endnote w:id="19">
    <w:p w14:paraId="474763C2" w14:textId="77777777" w:rsidR="001351BA" w:rsidRPr="00A7749B" w:rsidRDefault="001351BA" w:rsidP="00CB63D5">
      <w:pPr>
        <w:pStyle w:val="EndnoteText"/>
        <w:spacing w:line="480" w:lineRule="auto"/>
        <w:rPr>
          <w:sz w:val="24"/>
          <w:szCs w:val="24"/>
        </w:rPr>
      </w:pPr>
      <w:r w:rsidRPr="00A7749B">
        <w:rPr>
          <w:rStyle w:val="EndnoteReference"/>
          <w:sz w:val="24"/>
          <w:szCs w:val="24"/>
        </w:rPr>
        <w:endnoteRef/>
      </w:r>
      <w:r w:rsidRPr="00A7749B">
        <w:rPr>
          <w:sz w:val="24"/>
          <w:szCs w:val="24"/>
        </w:rPr>
        <w:t xml:space="preserve"> </w:t>
      </w:r>
      <w:r>
        <w:rPr>
          <w:sz w:val="24"/>
          <w:szCs w:val="24"/>
        </w:rPr>
        <w:t>H</w:t>
      </w:r>
      <w:r w:rsidRPr="00A7749B">
        <w:rPr>
          <w:sz w:val="24"/>
          <w:szCs w:val="24"/>
        </w:rPr>
        <w:t xml:space="preserve">is own bank amalgamated with </w:t>
      </w:r>
      <w:r>
        <w:rPr>
          <w:sz w:val="24"/>
          <w:szCs w:val="24"/>
        </w:rPr>
        <w:t>a member of the</w:t>
      </w:r>
      <w:r w:rsidRPr="00A7749B">
        <w:rPr>
          <w:sz w:val="24"/>
          <w:szCs w:val="24"/>
        </w:rPr>
        <w:t xml:space="preserve"> London </w:t>
      </w:r>
      <w:r>
        <w:rPr>
          <w:sz w:val="24"/>
          <w:szCs w:val="24"/>
        </w:rPr>
        <w:t>C</w:t>
      </w:r>
      <w:r w:rsidRPr="00A7749B">
        <w:rPr>
          <w:sz w:val="24"/>
          <w:szCs w:val="24"/>
        </w:rPr>
        <w:t xml:space="preserve">learing </w:t>
      </w:r>
      <w:r>
        <w:rPr>
          <w:sz w:val="24"/>
          <w:szCs w:val="24"/>
        </w:rPr>
        <w:t>House,</w:t>
      </w:r>
      <w:r w:rsidRPr="00A7749B">
        <w:rPr>
          <w:sz w:val="24"/>
          <w:szCs w:val="24"/>
        </w:rPr>
        <w:t xml:space="preserve"> Martins</w:t>
      </w:r>
      <w:r>
        <w:rPr>
          <w:sz w:val="24"/>
          <w:szCs w:val="24"/>
        </w:rPr>
        <w:t>,</w:t>
      </w:r>
      <w:r w:rsidRPr="00B1753C">
        <w:rPr>
          <w:sz w:val="24"/>
          <w:szCs w:val="24"/>
        </w:rPr>
        <w:t xml:space="preserve"> </w:t>
      </w:r>
      <w:r>
        <w:rPr>
          <w:sz w:val="24"/>
          <w:szCs w:val="24"/>
        </w:rPr>
        <w:t>i</w:t>
      </w:r>
      <w:r w:rsidRPr="00A7749B">
        <w:rPr>
          <w:sz w:val="24"/>
          <w:szCs w:val="24"/>
        </w:rPr>
        <w:t>n 1919.</w:t>
      </w:r>
    </w:p>
  </w:endnote>
  <w:endnote w:id="20">
    <w:p w14:paraId="18CAE74A" w14:textId="77777777" w:rsidR="001351BA" w:rsidRPr="00A7749B" w:rsidRDefault="001351BA" w:rsidP="00CB63D5">
      <w:pPr>
        <w:pStyle w:val="EndnoteText"/>
        <w:spacing w:line="480" w:lineRule="auto"/>
        <w:rPr>
          <w:sz w:val="24"/>
          <w:szCs w:val="24"/>
        </w:rPr>
      </w:pPr>
      <w:r w:rsidRPr="00A7749B">
        <w:rPr>
          <w:rStyle w:val="EndnoteReference"/>
          <w:sz w:val="24"/>
          <w:szCs w:val="24"/>
        </w:rPr>
        <w:endnoteRef/>
      </w:r>
      <w:r w:rsidRPr="00A7749B">
        <w:rPr>
          <w:sz w:val="24"/>
          <w:szCs w:val="24"/>
        </w:rPr>
        <w:t xml:space="preserve"> See Larson, Ward and Wilson</w:t>
      </w:r>
      <w:r>
        <w:rPr>
          <w:sz w:val="24"/>
          <w:szCs w:val="24"/>
        </w:rPr>
        <w:t xml:space="preserve"> (</w:t>
      </w:r>
      <w:r w:rsidRPr="00A7749B">
        <w:rPr>
          <w:sz w:val="24"/>
          <w:szCs w:val="24"/>
        </w:rPr>
        <w:t>2010</w:t>
      </w:r>
      <w:r>
        <w:rPr>
          <w:sz w:val="24"/>
          <w:szCs w:val="24"/>
        </w:rPr>
        <w:t>)</w:t>
      </w:r>
      <w:r w:rsidRPr="00A7749B">
        <w:rPr>
          <w:sz w:val="24"/>
          <w:szCs w:val="24"/>
        </w:rPr>
        <w:t xml:space="preserve"> on the latter.</w:t>
      </w:r>
    </w:p>
  </w:endnote>
  <w:endnote w:id="21">
    <w:p w14:paraId="3B17C53E" w14:textId="044D1A0B" w:rsidR="001351BA" w:rsidRPr="00A7749B" w:rsidRDefault="001351BA" w:rsidP="00CB63D5">
      <w:pPr>
        <w:pStyle w:val="EndnoteText"/>
        <w:spacing w:line="480" w:lineRule="auto"/>
        <w:rPr>
          <w:sz w:val="24"/>
          <w:szCs w:val="24"/>
        </w:rPr>
      </w:pPr>
      <w:r w:rsidRPr="00A7749B">
        <w:rPr>
          <w:rStyle w:val="EndnoteReference"/>
          <w:sz w:val="24"/>
          <w:szCs w:val="24"/>
        </w:rPr>
        <w:endnoteRef/>
      </w:r>
      <w:r w:rsidRPr="00A7749B">
        <w:rPr>
          <w:sz w:val="24"/>
          <w:szCs w:val="24"/>
        </w:rPr>
        <w:t xml:space="preserve"> See Gregory</w:t>
      </w:r>
      <w:r>
        <w:rPr>
          <w:sz w:val="24"/>
          <w:szCs w:val="24"/>
        </w:rPr>
        <w:t xml:space="preserve"> (</w:t>
      </w:r>
      <w:r w:rsidRPr="00A7749B">
        <w:rPr>
          <w:sz w:val="24"/>
          <w:szCs w:val="24"/>
        </w:rPr>
        <w:t>1936</w:t>
      </w:r>
      <w:r>
        <w:rPr>
          <w:sz w:val="24"/>
          <w:szCs w:val="24"/>
        </w:rPr>
        <w:t xml:space="preserve">, </w:t>
      </w:r>
      <w:r w:rsidRPr="00A7749B">
        <w:rPr>
          <w:sz w:val="24"/>
          <w:szCs w:val="24"/>
        </w:rPr>
        <w:t xml:space="preserve">32, 34, </w:t>
      </w:r>
      <w:r>
        <w:rPr>
          <w:sz w:val="24"/>
          <w:szCs w:val="24"/>
        </w:rPr>
        <w:t xml:space="preserve">and </w:t>
      </w:r>
      <w:r w:rsidRPr="00A7749B">
        <w:rPr>
          <w:sz w:val="24"/>
          <w:szCs w:val="24"/>
        </w:rPr>
        <w:t>122</w:t>
      </w:r>
      <w:r>
        <w:rPr>
          <w:sz w:val="24"/>
          <w:szCs w:val="24"/>
        </w:rPr>
        <w:t>)</w:t>
      </w:r>
      <w:r w:rsidRPr="00A7749B">
        <w:rPr>
          <w:sz w:val="24"/>
          <w:szCs w:val="24"/>
        </w:rPr>
        <w:t xml:space="preserve"> on the failed amalgamations</w:t>
      </w:r>
      <w:r w:rsidRPr="00A7749B">
        <w:rPr>
          <w:sz w:val="24"/>
          <w:szCs w:val="24"/>
          <w:lang w:val="en-US"/>
        </w:rPr>
        <w:t xml:space="preserve"> of the </w:t>
      </w:r>
      <w:r w:rsidRPr="00A7749B">
        <w:rPr>
          <w:sz w:val="24"/>
          <w:szCs w:val="24"/>
        </w:rPr>
        <w:t xml:space="preserve">Manchester and Liverpool District </w:t>
      </w:r>
      <w:r w:rsidRPr="00A7749B">
        <w:rPr>
          <w:sz w:val="24"/>
          <w:szCs w:val="24"/>
          <w:lang w:val="en-US"/>
        </w:rPr>
        <w:t>and Lloyds and the Lancashire and Yorkshire and Parr’s in 1903 and 1910 respectively</w:t>
      </w:r>
      <w:r w:rsidRPr="00A7749B">
        <w:rPr>
          <w:sz w:val="24"/>
          <w:szCs w:val="24"/>
        </w:rPr>
        <w:t>.</w:t>
      </w:r>
    </w:p>
  </w:endnote>
  <w:endnote w:id="22">
    <w:p w14:paraId="19F6C0AE" w14:textId="77777777" w:rsidR="001351BA" w:rsidRPr="00A7749B" w:rsidRDefault="001351BA" w:rsidP="00CB63D5">
      <w:pPr>
        <w:pStyle w:val="EndnoteText"/>
        <w:spacing w:line="480" w:lineRule="auto"/>
        <w:rPr>
          <w:sz w:val="24"/>
          <w:szCs w:val="24"/>
        </w:rPr>
      </w:pPr>
      <w:r w:rsidRPr="00A7749B">
        <w:rPr>
          <w:rStyle w:val="EndnoteReference"/>
          <w:sz w:val="24"/>
          <w:szCs w:val="24"/>
        </w:rPr>
        <w:endnoteRef/>
      </w:r>
      <w:r w:rsidRPr="00A7749B">
        <w:rPr>
          <w:sz w:val="24"/>
          <w:szCs w:val="24"/>
        </w:rPr>
        <w:t xml:space="preserve"> Webb was involved in drafting the Labour party’s constitution in 1917 and wrote the party’s object (Clause IV) seeking ‘the common ownership of the means of production, distribution and exchange and control of each industry or service’ (Davis, 2004).</w:t>
      </w:r>
    </w:p>
  </w:endnote>
  <w:endnote w:id="23">
    <w:p w14:paraId="2A4A8EEE" w14:textId="0A3FA3E2" w:rsidR="001351BA" w:rsidRPr="00A7749B" w:rsidRDefault="001351BA" w:rsidP="00CB63D5">
      <w:pPr>
        <w:spacing w:line="480" w:lineRule="auto"/>
        <w:rPr>
          <w:sz w:val="24"/>
          <w:szCs w:val="24"/>
        </w:rPr>
      </w:pPr>
      <w:r w:rsidRPr="00A7749B">
        <w:rPr>
          <w:rStyle w:val="EndnoteReference"/>
          <w:sz w:val="24"/>
          <w:szCs w:val="24"/>
        </w:rPr>
        <w:endnoteRef/>
      </w:r>
      <w:r w:rsidRPr="00A7749B">
        <w:rPr>
          <w:sz w:val="24"/>
          <w:szCs w:val="24"/>
        </w:rPr>
        <w:t xml:space="preserve"> Webb drafted the 1918 Labour manifesto which called for land nationalisation, a capital levy and ‘the immediate nationalisation and democratic control of vital public services, such as mines, railways, shipping, armaments and electric power’ (Craig, 1970, 56). </w:t>
      </w:r>
      <w:r>
        <w:rPr>
          <w:sz w:val="24"/>
          <w:szCs w:val="24"/>
        </w:rPr>
        <w:t>T</w:t>
      </w:r>
      <w:r w:rsidRPr="00A7749B">
        <w:rPr>
          <w:sz w:val="24"/>
          <w:szCs w:val="24"/>
        </w:rPr>
        <w:t xml:space="preserve">he party </w:t>
      </w:r>
      <w:r>
        <w:rPr>
          <w:sz w:val="24"/>
          <w:szCs w:val="24"/>
        </w:rPr>
        <w:t xml:space="preserve">did not </w:t>
      </w:r>
      <w:r w:rsidRPr="00A7749B">
        <w:rPr>
          <w:sz w:val="24"/>
          <w:szCs w:val="24"/>
        </w:rPr>
        <w:t>commit itself to the nationalisation of banks</w:t>
      </w:r>
      <w:r w:rsidRPr="009A78CC">
        <w:rPr>
          <w:sz w:val="24"/>
          <w:szCs w:val="24"/>
        </w:rPr>
        <w:t xml:space="preserve"> </w:t>
      </w:r>
      <w:r w:rsidRPr="00A7749B">
        <w:rPr>
          <w:sz w:val="24"/>
          <w:szCs w:val="24"/>
        </w:rPr>
        <w:t>until the 1931 manifesto: ‘The Labour Party is convinced, in the light particularly of experience since 1925, that the banking and credit system of the country can no longer be left in private hands. It must be brought directly under central ownership and control’ (ibid.</w:t>
      </w:r>
      <w:r>
        <w:rPr>
          <w:sz w:val="24"/>
          <w:szCs w:val="24"/>
        </w:rPr>
        <w:t>,</w:t>
      </w:r>
      <w:r w:rsidRPr="00A7749B">
        <w:rPr>
          <w:sz w:val="24"/>
          <w:szCs w:val="24"/>
        </w:rPr>
        <w:t xml:space="preserve"> 69</w:t>
      </w:r>
      <w:r>
        <w:rPr>
          <w:sz w:val="24"/>
          <w:szCs w:val="24"/>
        </w:rPr>
        <w:t>–</w:t>
      </w:r>
      <w:r w:rsidRPr="00A7749B">
        <w:rPr>
          <w:sz w:val="24"/>
          <w:szCs w:val="24"/>
        </w:rPr>
        <w:t>70). In 1926 a private member’s bill for nationalisation of the Bank of England failed (Hennessy, 1992, 206).</w:t>
      </w:r>
    </w:p>
  </w:endnote>
  <w:endnote w:id="24">
    <w:p w14:paraId="095A1163" w14:textId="77777777" w:rsidR="001351BA" w:rsidRPr="00A7749B" w:rsidRDefault="001351BA" w:rsidP="00CB63D5">
      <w:pPr>
        <w:pStyle w:val="EndnoteText"/>
        <w:spacing w:line="480" w:lineRule="auto"/>
        <w:rPr>
          <w:sz w:val="24"/>
          <w:szCs w:val="24"/>
        </w:rPr>
      </w:pPr>
      <w:r w:rsidRPr="00A7749B">
        <w:rPr>
          <w:rStyle w:val="EndnoteReference"/>
          <w:sz w:val="24"/>
          <w:szCs w:val="24"/>
        </w:rPr>
        <w:endnoteRef/>
      </w:r>
      <w:r w:rsidRPr="00A7749B">
        <w:rPr>
          <w:sz w:val="24"/>
          <w:szCs w:val="24"/>
        </w:rPr>
        <w:t xml:space="preserve"> </w:t>
      </w:r>
      <w:r w:rsidRPr="00A7749B">
        <w:rPr>
          <w:sz w:val="24"/>
          <w:szCs w:val="24"/>
          <w:lang w:val="en-US"/>
        </w:rPr>
        <w:t xml:space="preserve">Hambling was a member of the Financial Advisory Committee appointed to advise the </w:t>
      </w:r>
      <w:r>
        <w:rPr>
          <w:sz w:val="24"/>
          <w:szCs w:val="24"/>
          <w:lang w:val="en-US"/>
        </w:rPr>
        <w:t xml:space="preserve">wartime </w:t>
      </w:r>
      <w:r w:rsidRPr="00A7749B">
        <w:rPr>
          <w:sz w:val="24"/>
          <w:szCs w:val="24"/>
          <w:lang w:val="en-US"/>
        </w:rPr>
        <w:t>Ministry of Munitions</w:t>
      </w:r>
      <w:r w:rsidRPr="00C85C84">
        <w:rPr>
          <w:sz w:val="24"/>
          <w:szCs w:val="24"/>
          <w:lang w:val="en-US"/>
        </w:rPr>
        <w:t xml:space="preserve"> </w:t>
      </w:r>
      <w:r>
        <w:rPr>
          <w:sz w:val="24"/>
          <w:szCs w:val="24"/>
          <w:lang w:val="en-US"/>
        </w:rPr>
        <w:t>(</w:t>
      </w:r>
      <w:r w:rsidRPr="00A7749B">
        <w:rPr>
          <w:sz w:val="24"/>
          <w:szCs w:val="24"/>
          <w:lang w:val="en-US"/>
        </w:rPr>
        <w:t>TNA, IR74/229</w:t>
      </w:r>
      <w:r>
        <w:rPr>
          <w:sz w:val="24"/>
          <w:szCs w:val="24"/>
          <w:lang w:val="en-US"/>
        </w:rPr>
        <w:t>)</w:t>
      </w:r>
      <w:r w:rsidRPr="00A7749B">
        <w:rPr>
          <w:sz w:val="24"/>
          <w:szCs w:val="24"/>
          <w:lang w:val="en-US"/>
        </w:rPr>
        <w:t>.</w:t>
      </w:r>
    </w:p>
  </w:endnote>
  <w:endnote w:id="25">
    <w:p w14:paraId="55AF8AC0" w14:textId="66C0E88B" w:rsidR="001351BA" w:rsidRPr="00B518AD" w:rsidRDefault="001351BA" w:rsidP="00B518AD">
      <w:pPr>
        <w:pStyle w:val="EndnoteText"/>
        <w:spacing w:line="480" w:lineRule="auto"/>
        <w:rPr>
          <w:sz w:val="24"/>
          <w:szCs w:val="24"/>
        </w:rPr>
      </w:pPr>
      <w:r w:rsidRPr="00B518AD">
        <w:rPr>
          <w:rStyle w:val="EndnoteReference"/>
          <w:sz w:val="24"/>
          <w:szCs w:val="24"/>
        </w:rPr>
        <w:endnoteRef/>
      </w:r>
      <w:r w:rsidRPr="00B518AD">
        <w:rPr>
          <w:sz w:val="24"/>
          <w:szCs w:val="24"/>
        </w:rPr>
        <w:t xml:space="preserve"> Turner has recently evidenced th</w:t>
      </w:r>
      <w:r>
        <w:rPr>
          <w:sz w:val="24"/>
          <w:szCs w:val="24"/>
        </w:rPr>
        <w:t>e</w:t>
      </w:r>
      <w:r w:rsidRPr="00B518AD">
        <w:rPr>
          <w:sz w:val="24"/>
          <w:szCs w:val="24"/>
        </w:rPr>
        <w:t xml:space="preserve"> reduction in capital as the amalgamation movement progressed (Turner, 2014, 129, Table 5.10 and 133, Figure 5.2).</w:t>
      </w:r>
    </w:p>
  </w:endnote>
  <w:endnote w:id="26">
    <w:p w14:paraId="5F59BD08" w14:textId="4A8AD621" w:rsidR="001351BA" w:rsidRPr="00A7749B" w:rsidRDefault="001351BA" w:rsidP="00CB63D5">
      <w:pPr>
        <w:pStyle w:val="EndnoteText"/>
        <w:spacing w:line="480" w:lineRule="auto"/>
        <w:rPr>
          <w:sz w:val="24"/>
          <w:szCs w:val="24"/>
        </w:rPr>
      </w:pPr>
      <w:r w:rsidRPr="00A7749B">
        <w:rPr>
          <w:rStyle w:val="EndnoteReference"/>
          <w:sz w:val="24"/>
          <w:szCs w:val="24"/>
        </w:rPr>
        <w:endnoteRef/>
      </w:r>
      <w:r w:rsidRPr="00A7749B">
        <w:rPr>
          <w:sz w:val="24"/>
          <w:szCs w:val="24"/>
        </w:rPr>
        <w:t xml:space="preserve"> </w:t>
      </w:r>
      <w:r w:rsidRPr="00753B96">
        <w:rPr>
          <w:sz w:val="24"/>
          <w:szCs w:val="24"/>
        </w:rPr>
        <w:t xml:space="preserve">See also </w:t>
      </w:r>
      <w:r>
        <w:rPr>
          <w:sz w:val="24"/>
          <w:szCs w:val="24"/>
        </w:rPr>
        <w:t>Lehmann (2014)</w:t>
      </w:r>
      <w:r w:rsidRPr="00753B96">
        <w:rPr>
          <w:sz w:val="24"/>
          <w:szCs w:val="24"/>
        </w:rPr>
        <w:t xml:space="preserve"> on the relationship between universal banks and regional joint-stock banks</w:t>
      </w:r>
      <w:r>
        <w:rPr>
          <w:sz w:val="24"/>
          <w:szCs w:val="24"/>
        </w:rPr>
        <w:t xml:space="preserve"> in stock market IPOs</w:t>
      </w:r>
      <w:r w:rsidRPr="00A7749B">
        <w:rPr>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Roman">
    <w:altName w:val="Times New Roman"/>
    <w:charset w:val="00"/>
    <w:family w:val="auto"/>
    <w:pitch w:val="variable"/>
    <w:sig w:usb0="E00002FF" w:usb1="5000205A" w:usb2="00000000" w:usb3="00000000" w:csb0="0000019F" w:csb1="00000000"/>
  </w:font>
  <w:font w:name="Yu Gothic Light">
    <w:altName w:val="MS PMincho"/>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MS PMincho"/>
    <w:panose1 w:val="00000000000000000000"/>
    <w:charset w:val="8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4108E" w14:textId="77777777" w:rsidR="001351BA" w:rsidRDefault="001351BA">
    <w:pPr>
      <w:pStyle w:val="Footer"/>
      <w:jc w:val="center"/>
    </w:pPr>
    <w:r>
      <w:fldChar w:fldCharType="begin"/>
    </w:r>
    <w:r>
      <w:instrText xml:space="preserve"> PAGE   \* MERGEFORMAT </w:instrText>
    </w:r>
    <w:r>
      <w:fldChar w:fldCharType="separate"/>
    </w:r>
    <w:r w:rsidR="000120A6">
      <w:rPr>
        <w:noProof/>
      </w:rPr>
      <w:t>1</w:t>
    </w:r>
    <w:r>
      <w:rPr>
        <w:noProof/>
      </w:rPr>
      <w:fldChar w:fldCharType="end"/>
    </w:r>
  </w:p>
  <w:p w14:paraId="397C0894" w14:textId="77777777" w:rsidR="001351BA" w:rsidRDefault="001351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06D40" w14:textId="77777777" w:rsidR="00D96295" w:rsidRDefault="00D962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2BE6A5" w14:textId="77777777" w:rsidR="00D96295" w:rsidRDefault="00D9629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ACDA5" w14:textId="77777777" w:rsidR="00D96295" w:rsidRDefault="00D96295" w:rsidP="00C101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20A6">
      <w:rPr>
        <w:rStyle w:val="PageNumber"/>
        <w:noProof/>
      </w:rPr>
      <w:t>37</w:t>
    </w:r>
    <w:r>
      <w:rPr>
        <w:rStyle w:val="PageNumber"/>
      </w:rPr>
      <w:fldChar w:fldCharType="end"/>
    </w:r>
  </w:p>
  <w:p w14:paraId="7AE03623" w14:textId="77777777" w:rsidR="00D96295" w:rsidRDefault="00D9629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403C8" w14:textId="77777777" w:rsidR="001351BA" w:rsidRDefault="001351BA">
      <w:r>
        <w:separator/>
      </w:r>
    </w:p>
  </w:footnote>
  <w:footnote w:type="continuationSeparator" w:id="0">
    <w:p w14:paraId="11955BA3" w14:textId="77777777" w:rsidR="001351BA" w:rsidRDefault="00135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AE9"/>
    <w:multiLevelType w:val="hybridMultilevel"/>
    <w:tmpl w:val="1DB86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F60492"/>
    <w:multiLevelType w:val="singleLevel"/>
    <w:tmpl w:val="02326FB0"/>
    <w:lvl w:ilvl="0">
      <w:start w:val="1"/>
      <w:numFmt w:val="decimal"/>
      <w:lvlText w:val="%1."/>
      <w:legacy w:legacy="1" w:legacySpace="0" w:legacyIndent="283"/>
      <w:lvlJc w:val="left"/>
      <w:pPr>
        <w:ind w:left="283" w:hanging="283"/>
      </w:pPr>
    </w:lvl>
  </w:abstractNum>
  <w:abstractNum w:abstractNumId="2" w15:restartNumberingAfterBreak="0">
    <w:nsid w:val="074E5D6C"/>
    <w:multiLevelType w:val="hybridMultilevel"/>
    <w:tmpl w:val="970A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A32D84"/>
    <w:multiLevelType w:val="hybridMultilevel"/>
    <w:tmpl w:val="9F8C6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71DEE"/>
    <w:multiLevelType w:val="hybridMultilevel"/>
    <w:tmpl w:val="FA00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F5085"/>
    <w:multiLevelType w:val="hybridMultilevel"/>
    <w:tmpl w:val="15C47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9407C2"/>
    <w:multiLevelType w:val="hybridMultilevel"/>
    <w:tmpl w:val="7882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F63DC"/>
    <w:multiLevelType w:val="hybridMultilevel"/>
    <w:tmpl w:val="CBD438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7A1050"/>
    <w:multiLevelType w:val="hybridMultilevel"/>
    <w:tmpl w:val="15D84C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D82FF4"/>
    <w:multiLevelType w:val="hybridMultilevel"/>
    <w:tmpl w:val="D8DE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E12B2"/>
    <w:multiLevelType w:val="hybridMultilevel"/>
    <w:tmpl w:val="BCE67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D610C"/>
    <w:multiLevelType w:val="hybridMultilevel"/>
    <w:tmpl w:val="C128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ED2501"/>
    <w:multiLevelType w:val="hybridMultilevel"/>
    <w:tmpl w:val="A0A6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1125F"/>
    <w:multiLevelType w:val="hybridMultilevel"/>
    <w:tmpl w:val="D5C8E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777E63"/>
    <w:multiLevelType w:val="hybridMultilevel"/>
    <w:tmpl w:val="F18C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053E5A"/>
    <w:multiLevelType w:val="hybridMultilevel"/>
    <w:tmpl w:val="8EAAB3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2D0727"/>
    <w:multiLevelType w:val="hybridMultilevel"/>
    <w:tmpl w:val="301C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B6AB3"/>
    <w:multiLevelType w:val="hybridMultilevel"/>
    <w:tmpl w:val="4806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F65A03"/>
    <w:multiLevelType w:val="hybridMultilevel"/>
    <w:tmpl w:val="E41C97F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C709E5"/>
    <w:multiLevelType w:val="hybridMultilevel"/>
    <w:tmpl w:val="8C5AD2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E8574C"/>
    <w:multiLevelType w:val="hybridMultilevel"/>
    <w:tmpl w:val="B3F8C90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724184C"/>
    <w:multiLevelType w:val="hybridMultilevel"/>
    <w:tmpl w:val="A3B86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A575FC"/>
    <w:multiLevelType w:val="hybridMultilevel"/>
    <w:tmpl w:val="4378CF7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6673E9"/>
    <w:multiLevelType w:val="hybridMultilevel"/>
    <w:tmpl w:val="F81606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8C2AC0"/>
    <w:multiLevelType w:val="hybridMultilevel"/>
    <w:tmpl w:val="A1B2CC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AB403E"/>
    <w:multiLevelType w:val="hybridMultilevel"/>
    <w:tmpl w:val="75AC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CB310B"/>
    <w:multiLevelType w:val="hybridMultilevel"/>
    <w:tmpl w:val="4AA63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6E7133"/>
    <w:multiLevelType w:val="hybridMultilevel"/>
    <w:tmpl w:val="F4A4D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C0630C"/>
    <w:multiLevelType w:val="hybridMultilevel"/>
    <w:tmpl w:val="F92A54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7"/>
  </w:num>
  <w:num w:numId="3">
    <w:abstractNumId w:val="0"/>
  </w:num>
  <w:num w:numId="4">
    <w:abstractNumId w:val="23"/>
  </w:num>
  <w:num w:numId="5">
    <w:abstractNumId w:val="22"/>
  </w:num>
  <w:num w:numId="6">
    <w:abstractNumId w:val="15"/>
  </w:num>
  <w:num w:numId="7">
    <w:abstractNumId w:val="28"/>
  </w:num>
  <w:num w:numId="8">
    <w:abstractNumId w:val="18"/>
  </w:num>
  <w:num w:numId="9">
    <w:abstractNumId w:val="8"/>
  </w:num>
  <w:num w:numId="10">
    <w:abstractNumId w:val="16"/>
  </w:num>
  <w:num w:numId="11">
    <w:abstractNumId w:val="13"/>
  </w:num>
  <w:num w:numId="12">
    <w:abstractNumId w:val="25"/>
  </w:num>
  <w:num w:numId="13">
    <w:abstractNumId w:val="3"/>
  </w:num>
  <w:num w:numId="14">
    <w:abstractNumId w:val="26"/>
  </w:num>
  <w:num w:numId="15">
    <w:abstractNumId w:val="2"/>
  </w:num>
  <w:num w:numId="16">
    <w:abstractNumId w:val="9"/>
  </w:num>
  <w:num w:numId="17">
    <w:abstractNumId w:val="14"/>
  </w:num>
  <w:num w:numId="18">
    <w:abstractNumId w:val="21"/>
  </w:num>
  <w:num w:numId="19">
    <w:abstractNumId w:val="4"/>
  </w:num>
  <w:num w:numId="20">
    <w:abstractNumId w:val="10"/>
  </w:num>
  <w:num w:numId="21">
    <w:abstractNumId w:val="17"/>
  </w:num>
  <w:num w:numId="22">
    <w:abstractNumId w:val="6"/>
  </w:num>
  <w:num w:numId="23">
    <w:abstractNumId w:val="11"/>
  </w:num>
  <w:num w:numId="24">
    <w:abstractNumId w:val="19"/>
  </w:num>
  <w:num w:numId="25">
    <w:abstractNumId w:val="12"/>
  </w:num>
  <w:num w:numId="26">
    <w:abstractNumId w:val="7"/>
  </w:num>
  <w:num w:numId="27">
    <w:abstractNumId w:val="5"/>
  </w:num>
  <w:num w:numId="28">
    <w:abstractNumId w:val="24"/>
  </w:num>
  <w:num w:numId="2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3A"/>
    <w:rsid w:val="000010D4"/>
    <w:rsid w:val="00003019"/>
    <w:rsid w:val="00005C45"/>
    <w:rsid w:val="00007530"/>
    <w:rsid w:val="0001098B"/>
    <w:rsid w:val="0001139E"/>
    <w:rsid w:val="00011DA9"/>
    <w:rsid w:val="000120A6"/>
    <w:rsid w:val="000129C7"/>
    <w:rsid w:val="00013579"/>
    <w:rsid w:val="000158FB"/>
    <w:rsid w:val="00015E21"/>
    <w:rsid w:val="0001650D"/>
    <w:rsid w:val="00016FE8"/>
    <w:rsid w:val="000171DF"/>
    <w:rsid w:val="00017D1C"/>
    <w:rsid w:val="0002274D"/>
    <w:rsid w:val="0002274F"/>
    <w:rsid w:val="0002282A"/>
    <w:rsid w:val="000256D0"/>
    <w:rsid w:val="00025DFC"/>
    <w:rsid w:val="000268E0"/>
    <w:rsid w:val="000270A8"/>
    <w:rsid w:val="000326EA"/>
    <w:rsid w:val="00033300"/>
    <w:rsid w:val="000353EC"/>
    <w:rsid w:val="000358F5"/>
    <w:rsid w:val="000361CD"/>
    <w:rsid w:val="00036833"/>
    <w:rsid w:val="00036EAB"/>
    <w:rsid w:val="000408BE"/>
    <w:rsid w:val="00043370"/>
    <w:rsid w:val="00043F41"/>
    <w:rsid w:val="00044457"/>
    <w:rsid w:val="00044A61"/>
    <w:rsid w:val="00044B0D"/>
    <w:rsid w:val="00045E8E"/>
    <w:rsid w:val="000464EA"/>
    <w:rsid w:val="00047AF6"/>
    <w:rsid w:val="00050151"/>
    <w:rsid w:val="000502E7"/>
    <w:rsid w:val="00051041"/>
    <w:rsid w:val="00051C8D"/>
    <w:rsid w:val="00053EC3"/>
    <w:rsid w:val="00055100"/>
    <w:rsid w:val="00060A64"/>
    <w:rsid w:val="00060D31"/>
    <w:rsid w:val="000637C1"/>
    <w:rsid w:val="000641B1"/>
    <w:rsid w:val="000663CC"/>
    <w:rsid w:val="000663E4"/>
    <w:rsid w:val="0006655A"/>
    <w:rsid w:val="00066F35"/>
    <w:rsid w:val="00071C68"/>
    <w:rsid w:val="00072C3B"/>
    <w:rsid w:val="00073BD5"/>
    <w:rsid w:val="00074596"/>
    <w:rsid w:val="000758AF"/>
    <w:rsid w:val="00075A9A"/>
    <w:rsid w:val="000764B4"/>
    <w:rsid w:val="00076DC7"/>
    <w:rsid w:val="00076E3F"/>
    <w:rsid w:val="0007725F"/>
    <w:rsid w:val="00077ACA"/>
    <w:rsid w:val="00077AFA"/>
    <w:rsid w:val="00082699"/>
    <w:rsid w:val="00084CF8"/>
    <w:rsid w:val="00086A86"/>
    <w:rsid w:val="00087650"/>
    <w:rsid w:val="0008785E"/>
    <w:rsid w:val="000878E3"/>
    <w:rsid w:val="00087DBB"/>
    <w:rsid w:val="00091F3C"/>
    <w:rsid w:val="00092ABA"/>
    <w:rsid w:val="00093D22"/>
    <w:rsid w:val="00093E6A"/>
    <w:rsid w:val="00093F88"/>
    <w:rsid w:val="00095347"/>
    <w:rsid w:val="000953E5"/>
    <w:rsid w:val="00095629"/>
    <w:rsid w:val="000968DA"/>
    <w:rsid w:val="000A0BCA"/>
    <w:rsid w:val="000A1CEF"/>
    <w:rsid w:val="000A1E4F"/>
    <w:rsid w:val="000A261B"/>
    <w:rsid w:val="000A2C12"/>
    <w:rsid w:val="000A4AA9"/>
    <w:rsid w:val="000A5798"/>
    <w:rsid w:val="000A5889"/>
    <w:rsid w:val="000A5D3C"/>
    <w:rsid w:val="000A62DD"/>
    <w:rsid w:val="000A726A"/>
    <w:rsid w:val="000A73AE"/>
    <w:rsid w:val="000A7F41"/>
    <w:rsid w:val="000B2545"/>
    <w:rsid w:val="000B3E17"/>
    <w:rsid w:val="000B468B"/>
    <w:rsid w:val="000B590B"/>
    <w:rsid w:val="000B7411"/>
    <w:rsid w:val="000C017D"/>
    <w:rsid w:val="000C1416"/>
    <w:rsid w:val="000C1A71"/>
    <w:rsid w:val="000C1F6E"/>
    <w:rsid w:val="000C2D84"/>
    <w:rsid w:val="000D02B0"/>
    <w:rsid w:val="000D2BB9"/>
    <w:rsid w:val="000D6818"/>
    <w:rsid w:val="000D6ACC"/>
    <w:rsid w:val="000D72BD"/>
    <w:rsid w:val="000D736D"/>
    <w:rsid w:val="000E0670"/>
    <w:rsid w:val="000E1740"/>
    <w:rsid w:val="000E1B56"/>
    <w:rsid w:val="000E26DF"/>
    <w:rsid w:val="000E470C"/>
    <w:rsid w:val="000E566A"/>
    <w:rsid w:val="000E6137"/>
    <w:rsid w:val="000F0D60"/>
    <w:rsid w:val="000F399B"/>
    <w:rsid w:val="000F3E08"/>
    <w:rsid w:val="000F5BD0"/>
    <w:rsid w:val="000F70A3"/>
    <w:rsid w:val="000F737E"/>
    <w:rsid w:val="000F73A1"/>
    <w:rsid w:val="000F77EE"/>
    <w:rsid w:val="000F7839"/>
    <w:rsid w:val="001022D7"/>
    <w:rsid w:val="001023C7"/>
    <w:rsid w:val="00102464"/>
    <w:rsid w:val="00102BD9"/>
    <w:rsid w:val="00103117"/>
    <w:rsid w:val="0010439F"/>
    <w:rsid w:val="00105454"/>
    <w:rsid w:val="00105C6C"/>
    <w:rsid w:val="00106A71"/>
    <w:rsid w:val="00107096"/>
    <w:rsid w:val="00112B02"/>
    <w:rsid w:val="00115058"/>
    <w:rsid w:val="00116310"/>
    <w:rsid w:val="00120FCA"/>
    <w:rsid w:val="00121D6A"/>
    <w:rsid w:val="0012319E"/>
    <w:rsid w:val="00123E82"/>
    <w:rsid w:val="0012416D"/>
    <w:rsid w:val="00126CDF"/>
    <w:rsid w:val="0012723B"/>
    <w:rsid w:val="00127EA7"/>
    <w:rsid w:val="00130123"/>
    <w:rsid w:val="00130E25"/>
    <w:rsid w:val="00132E8C"/>
    <w:rsid w:val="0013461D"/>
    <w:rsid w:val="00134CD1"/>
    <w:rsid w:val="001351BA"/>
    <w:rsid w:val="001416B9"/>
    <w:rsid w:val="0014283F"/>
    <w:rsid w:val="00144542"/>
    <w:rsid w:val="00144749"/>
    <w:rsid w:val="001453A9"/>
    <w:rsid w:val="00146EF7"/>
    <w:rsid w:val="00151042"/>
    <w:rsid w:val="00151B7A"/>
    <w:rsid w:val="00153769"/>
    <w:rsid w:val="001548A0"/>
    <w:rsid w:val="0015793B"/>
    <w:rsid w:val="0015795C"/>
    <w:rsid w:val="001579E4"/>
    <w:rsid w:val="0016051C"/>
    <w:rsid w:val="00160533"/>
    <w:rsid w:val="001617D0"/>
    <w:rsid w:val="001621B3"/>
    <w:rsid w:val="0016238C"/>
    <w:rsid w:val="00164806"/>
    <w:rsid w:val="0016530C"/>
    <w:rsid w:val="0016535A"/>
    <w:rsid w:val="00165C41"/>
    <w:rsid w:val="00167E69"/>
    <w:rsid w:val="001711EA"/>
    <w:rsid w:val="0017125E"/>
    <w:rsid w:val="001712C7"/>
    <w:rsid w:val="001734C2"/>
    <w:rsid w:val="001739C4"/>
    <w:rsid w:val="00173FA9"/>
    <w:rsid w:val="00175701"/>
    <w:rsid w:val="001772EF"/>
    <w:rsid w:val="00184713"/>
    <w:rsid w:val="0018490D"/>
    <w:rsid w:val="00186001"/>
    <w:rsid w:val="0018645F"/>
    <w:rsid w:val="00186CE6"/>
    <w:rsid w:val="00186FCC"/>
    <w:rsid w:val="00187F38"/>
    <w:rsid w:val="00194FC4"/>
    <w:rsid w:val="00196329"/>
    <w:rsid w:val="001A11C0"/>
    <w:rsid w:val="001A21FA"/>
    <w:rsid w:val="001A3E8D"/>
    <w:rsid w:val="001A42AB"/>
    <w:rsid w:val="001A4544"/>
    <w:rsid w:val="001A4737"/>
    <w:rsid w:val="001A608D"/>
    <w:rsid w:val="001A6FCD"/>
    <w:rsid w:val="001B0184"/>
    <w:rsid w:val="001B0206"/>
    <w:rsid w:val="001B0BEB"/>
    <w:rsid w:val="001B1212"/>
    <w:rsid w:val="001B40AC"/>
    <w:rsid w:val="001B47A4"/>
    <w:rsid w:val="001B6B3E"/>
    <w:rsid w:val="001B754D"/>
    <w:rsid w:val="001B7968"/>
    <w:rsid w:val="001B7FBC"/>
    <w:rsid w:val="001C2CBF"/>
    <w:rsid w:val="001C4114"/>
    <w:rsid w:val="001C43F9"/>
    <w:rsid w:val="001C4E0B"/>
    <w:rsid w:val="001C5B93"/>
    <w:rsid w:val="001C6F5F"/>
    <w:rsid w:val="001D0385"/>
    <w:rsid w:val="001D1824"/>
    <w:rsid w:val="001D1C1B"/>
    <w:rsid w:val="001D1EDC"/>
    <w:rsid w:val="001D2237"/>
    <w:rsid w:val="001D2F14"/>
    <w:rsid w:val="001D41E6"/>
    <w:rsid w:val="001D4368"/>
    <w:rsid w:val="001D7C07"/>
    <w:rsid w:val="001E08B6"/>
    <w:rsid w:val="001E2425"/>
    <w:rsid w:val="001E2755"/>
    <w:rsid w:val="001E28E6"/>
    <w:rsid w:val="001E641F"/>
    <w:rsid w:val="001E795F"/>
    <w:rsid w:val="001E7E68"/>
    <w:rsid w:val="001F2465"/>
    <w:rsid w:val="001F319F"/>
    <w:rsid w:val="001F3D33"/>
    <w:rsid w:val="001F3DC2"/>
    <w:rsid w:val="001F5915"/>
    <w:rsid w:val="001F6B74"/>
    <w:rsid w:val="001F764E"/>
    <w:rsid w:val="001F7F5E"/>
    <w:rsid w:val="002014C4"/>
    <w:rsid w:val="00201C65"/>
    <w:rsid w:val="0020259B"/>
    <w:rsid w:val="002029C6"/>
    <w:rsid w:val="002046AD"/>
    <w:rsid w:val="00204771"/>
    <w:rsid w:val="00206AD8"/>
    <w:rsid w:val="00210756"/>
    <w:rsid w:val="00210D2A"/>
    <w:rsid w:val="00212E46"/>
    <w:rsid w:val="0021382B"/>
    <w:rsid w:val="00213AA9"/>
    <w:rsid w:val="00214E68"/>
    <w:rsid w:val="00220760"/>
    <w:rsid w:val="00221387"/>
    <w:rsid w:val="00221786"/>
    <w:rsid w:val="00224A9B"/>
    <w:rsid w:val="00226454"/>
    <w:rsid w:val="00226AE5"/>
    <w:rsid w:val="00230ABF"/>
    <w:rsid w:val="002310E8"/>
    <w:rsid w:val="0023167B"/>
    <w:rsid w:val="00231D33"/>
    <w:rsid w:val="00232007"/>
    <w:rsid w:val="00233604"/>
    <w:rsid w:val="00233A42"/>
    <w:rsid w:val="00234CA4"/>
    <w:rsid w:val="002365E4"/>
    <w:rsid w:val="00237919"/>
    <w:rsid w:val="00240DE4"/>
    <w:rsid w:val="00242643"/>
    <w:rsid w:val="00245911"/>
    <w:rsid w:val="0024610E"/>
    <w:rsid w:val="002462EB"/>
    <w:rsid w:val="00247FEA"/>
    <w:rsid w:val="0025230D"/>
    <w:rsid w:val="002529B8"/>
    <w:rsid w:val="00254097"/>
    <w:rsid w:val="00260C1F"/>
    <w:rsid w:val="002632C9"/>
    <w:rsid w:val="00264957"/>
    <w:rsid w:val="00266328"/>
    <w:rsid w:val="00273B24"/>
    <w:rsid w:val="00273D00"/>
    <w:rsid w:val="0027449D"/>
    <w:rsid w:val="0027488E"/>
    <w:rsid w:val="00275DD3"/>
    <w:rsid w:val="00276763"/>
    <w:rsid w:val="00280981"/>
    <w:rsid w:val="0028294D"/>
    <w:rsid w:val="00284D12"/>
    <w:rsid w:val="00286C1C"/>
    <w:rsid w:val="0028728A"/>
    <w:rsid w:val="0028785A"/>
    <w:rsid w:val="00287B3B"/>
    <w:rsid w:val="00287CA5"/>
    <w:rsid w:val="00290514"/>
    <w:rsid w:val="00290740"/>
    <w:rsid w:val="00294C70"/>
    <w:rsid w:val="002A0885"/>
    <w:rsid w:val="002A1A53"/>
    <w:rsid w:val="002A2A05"/>
    <w:rsid w:val="002A2F9A"/>
    <w:rsid w:val="002A628A"/>
    <w:rsid w:val="002A65BF"/>
    <w:rsid w:val="002A6F63"/>
    <w:rsid w:val="002A70A6"/>
    <w:rsid w:val="002A7DCB"/>
    <w:rsid w:val="002B0AD6"/>
    <w:rsid w:val="002B0B88"/>
    <w:rsid w:val="002B1D31"/>
    <w:rsid w:val="002B32AA"/>
    <w:rsid w:val="002B3788"/>
    <w:rsid w:val="002B79C5"/>
    <w:rsid w:val="002C0C81"/>
    <w:rsid w:val="002C2DA1"/>
    <w:rsid w:val="002C7555"/>
    <w:rsid w:val="002D2432"/>
    <w:rsid w:val="002D3B2E"/>
    <w:rsid w:val="002D47AF"/>
    <w:rsid w:val="002D47E5"/>
    <w:rsid w:val="002D596A"/>
    <w:rsid w:val="002D5A69"/>
    <w:rsid w:val="002D5D1D"/>
    <w:rsid w:val="002D7231"/>
    <w:rsid w:val="002E03C3"/>
    <w:rsid w:val="002E08E8"/>
    <w:rsid w:val="002E2E2C"/>
    <w:rsid w:val="002E32D6"/>
    <w:rsid w:val="002E32E4"/>
    <w:rsid w:val="002E52C4"/>
    <w:rsid w:val="002E5B08"/>
    <w:rsid w:val="002E5B49"/>
    <w:rsid w:val="002E6AA9"/>
    <w:rsid w:val="002E7A8E"/>
    <w:rsid w:val="002F2B90"/>
    <w:rsid w:val="002F6848"/>
    <w:rsid w:val="002F74C9"/>
    <w:rsid w:val="00300316"/>
    <w:rsid w:val="00301EC3"/>
    <w:rsid w:val="00302C56"/>
    <w:rsid w:val="00302DDF"/>
    <w:rsid w:val="003033CB"/>
    <w:rsid w:val="00304038"/>
    <w:rsid w:val="00304996"/>
    <w:rsid w:val="00304A63"/>
    <w:rsid w:val="00304FC5"/>
    <w:rsid w:val="003056BF"/>
    <w:rsid w:val="0030626A"/>
    <w:rsid w:val="00306560"/>
    <w:rsid w:val="00310868"/>
    <w:rsid w:val="00312895"/>
    <w:rsid w:val="003140BA"/>
    <w:rsid w:val="003159C1"/>
    <w:rsid w:val="00315D03"/>
    <w:rsid w:val="003160DA"/>
    <w:rsid w:val="00320258"/>
    <w:rsid w:val="003218E1"/>
    <w:rsid w:val="003233D6"/>
    <w:rsid w:val="0032369A"/>
    <w:rsid w:val="003239C8"/>
    <w:rsid w:val="00325A1F"/>
    <w:rsid w:val="00326022"/>
    <w:rsid w:val="0032615F"/>
    <w:rsid w:val="0032757A"/>
    <w:rsid w:val="00331022"/>
    <w:rsid w:val="0033130F"/>
    <w:rsid w:val="0033213F"/>
    <w:rsid w:val="0033268D"/>
    <w:rsid w:val="00333AA2"/>
    <w:rsid w:val="00334152"/>
    <w:rsid w:val="00336B91"/>
    <w:rsid w:val="00337100"/>
    <w:rsid w:val="003413B6"/>
    <w:rsid w:val="003418E0"/>
    <w:rsid w:val="003423F3"/>
    <w:rsid w:val="00342772"/>
    <w:rsid w:val="00343A55"/>
    <w:rsid w:val="003442AA"/>
    <w:rsid w:val="0034448B"/>
    <w:rsid w:val="0034494F"/>
    <w:rsid w:val="0034699E"/>
    <w:rsid w:val="00350AA5"/>
    <w:rsid w:val="0035363A"/>
    <w:rsid w:val="00353ED8"/>
    <w:rsid w:val="003556A5"/>
    <w:rsid w:val="0035681A"/>
    <w:rsid w:val="00356D71"/>
    <w:rsid w:val="003579ED"/>
    <w:rsid w:val="00361AA0"/>
    <w:rsid w:val="00362F29"/>
    <w:rsid w:val="00363E7A"/>
    <w:rsid w:val="003653B6"/>
    <w:rsid w:val="003658AF"/>
    <w:rsid w:val="00366C79"/>
    <w:rsid w:val="00372435"/>
    <w:rsid w:val="003725AB"/>
    <w:rsid w:val="0037361C"/>
    <w:rsid w:val="00373804"/>
    <w:rsid w:val="003748B5"/>
    <w:rsid w:val="00375285"/>
    <w:rsid w:val="00375B40"/>
    <w:rsid w:val="00376838"/>
    <w:rsid w:val="00377220"/>
    <w:rsid w:val="0037751C"/>
    <w:rsid w:val="00377750"/>
    <w:rsid w:val="003825E6"/>
    <w:rsid w:val="00383063"/>
    <w:rsid w:val="003845EA"/>
    <w:rsid w:val="00384768"/>
    <w:rsid w:val="00386FFF"/>
    <w:rsid w:val="00387A7B"/>
    <w:rsid w:val="00387C16"/>
    <w:rsid w:val="00387C1B"/>
    <w:rsid w:val="003902E5"/>
    <w:rsid w:val="0039297E"/>
    <w:rsid w:val="00394A4C"/>
    <w:rsid w:val="00397968"/>
    <w:rsid w:val="0039797F"/>
    <w:rsid w:val="003A01D2"/>
    <w:rsid w:val="003A1545"/>
    <w:rsid w:val="003A1A9D"/>
    <w:rsid w:val="003A33EB"/>
    <w:rsid w:val="003A51CE"/>
    <w:rsid w:val="003B1C65"/>
    <w:rsid w:val="003B26DB"/>
    <w:rsid w:val="003B35D7"/>
    <w:rsid w:val="003B4DBF"/>
    <w:rsid w:val="003B5C98"/>
    <w:rsid w:val="003B7008"/>
    <w:rsid w:val="003B7983"/>
    <w:rsid w:val="003B79CF"/>
    <w:rsid w:val="003B7E36"/>
    <w:rsid w:val="003B7FDC"/>
    <w:rsid w:val="003C19C5"/>
    <w:rsid w:val="003C316D"/>
    <w:rsid w:val="003C4547"/>
    <w:rsid w:val="003C491F"/>
    <w:rsid w:val="003C4F27"/>
    <w:rsid w:val="003D0997"/>
    <w:rsid w:val="003D1352"/>
    <w:rsid w:val="003D16EC"/>
    <w:rsid w:val="003D2A84"/>
    <w:rsid w:val="003D2CC8"/>
    <w:rsid w:val="003D3229"/>
    <w:rsid w:val="003D37B3"/>
    <w:rsid w:val="003D49C4"/>
    <w:rsid w:val="003D5494"/>
    <w:rsid w:val="003D630F"/>
    <w:rsid w:val="003D7FC4"/>
    <w:rsid w:val="003E086A"/>
    <w:rsid w:val="003E0936"/>
    <w:rsid w:val="003E1CC8"/>
    <w:rsid w:val="003E1E28"/>
    <w:rsid w:val="003E3CA6"/>
    <w:rsid w:val="003E4D7E"/>
    <w:rsid w:val="003E5429"/>
    <w:rsid w:val="003E75B2"/>
    <w:rsid w:val="003F0E0A"/>
    <w:rsid w:val="003F1579"/>
    <w:rsid w:val="003F331A"/>
    <w:rsid w:val="003F3B9E"/>
    <w:rsid w:val="003F49DF"/>
    <w:rsid w:val="003F5757"/>
    <w:rsid w:val="003F5ED9"/>
    <w:rsid w:val="003F6449"/>
    <w:rsid w:val="003F6FED"/>
    <w:rsid w:val="00400B14"/>
    <w:rsid w:val="0040246A"/>
    <w:rsid w:val="0040339E"/>
    <w:rsid w:val="00403A0A"/>
    <w:rsid w:val="0040447D"/>
    <w:rsid w:val="00404B4F"/>
    <w:rsid w:val="00404CC9"/>
    <w:rsid w:val="0040546C"/>
    <w:rsid w:val="00405583"/>
    <w:rsid w:val="004061AD"/>
    <w:rsid w:val="00406740"/>
    <w:rsid w:val="00407D58"/>
    <w:rsid w:val="00410E45"/>
    <w:rsid w:val="00411DA7"/>
    <w:rsid w:val="0041380E"/>
    <w:rsid w:val="00413A14"/>
    <w:rsid w:val="00415D99"/>
    <w:rsid w:val="00417E1F"/>
    <w:rsid w:val="00421EAD"/>
    <w:rsid w:val="0042252B"/>
    <w:rsid w:val="00422A0C"/>
    <w:rsid w:val="0042617E"/>
    <w:rsid w:val="004268D1"/>
    <w:rsid w:val="00426D19"/>
    <w:rsid w:val="004300B8"/>
    <w:rsid w:val="00431048"/>
    <w:rsid w:val="004320CC"/>
    <w:rsid w:val="004321A4"/>
    <w:rsid w:val="00432F17"/>
    <w:rsid w:val="00433802"/>
    <w:rsid w:val="00434AC7"/>
    <w:rsid w:val="004355B0"/>
    <w:rsid w:val="00435C26"/>
    <w:rsid w:val="004420F9"/>
    <w:rsid w:val="004436FF"/>
    <w:rsid w:val="00444778"/>
    <w:rsid w:val="00445DBA"/>
    <w:rsid w:val="0044667D"/>
    <w:rsid w:val="00447EFB"/>
    <w:rsid w:val="00451722"/>
    <w:rsid w:val="0045193B"/>
    <w:rsid w:val="00452670"/>
    <w:rsid w:val="0045472C"/>
    <w:rsid w:val="00456480"/>
    <w:rsid w:val="00461066"/>
    <w:rsid w:val="004647F3"/>
    <w:rsid w:val="00465031"/>
    <w:rsid w:val="004662F3"/>
    <w:rsid w:val="004666CD"/>
    <w:rsid w:val="00470016"/>
    <w:rsid w:val="00470F39"/>
    <w:rsid w:val="0047170C"/>
    <w:rsid w:val="00471DDA"/>
    <w:rsid w:val="00474751"/>
    <w:rsid w:val="00475261"/>
    <w:rsid w:val="00476FB1"/>
    <w:rsid w:val="0048005A"/>
    <w:rsid w:val="00480487"/>
    <w:rsid w:val="004819B2"/>
    <w:rsid w:val="0048205A"/>
    <w:rsid w:val="00482D31"/>
    <w:rsid w:val="00483008"/>
    <w:rsid w:val="004850E6"/>
    <w:rsid w:val="00485167"/>
    <w:rsid w:val="00485C00"/>
    <w:rsid w:val="00486441"/>
    <w:rsid w:val="00486A5B"/>
    <w:rsid w:val="00487B7F"/>
    <w:rsid w:val="00491047"/>
    <w:rsid w:val="00491D33"/>
    <w:rsid w:val="004920CA"/>
    <w:rsid w:val="0049368E"/>
    <w:rsid w:val="00495F67"/>
    <w:rsid w:val="00496971"/>
    <w:rsid w:val="004A0687"/>
    <w:rsid w:val="004A0A54"/>
    <w:rsid w:val="004A0E60"/>
    <w:rsid w:val="004A1347"/>
    <w:rsid w:val="004A2511"/>
    <w:rsid w:val="004A2EC9"/>
    <w:rsid w:val="004A2F92"/>
    <w:rsid w:val="004A2FFE"/>
    <w:rsid w:val="004A3340"/>
    <w:rsid w:val="004A3D73"/>
    <w:rsid w:val="004A55F2"/>
    <w:rsid w:val="004A6711"/>
    <w:rsid w:val="004A70DE"/>
    <w:rsid w:val="004A7425"/>
    <w:rsid w:val="004B0902"/>
    <w:rsid w:val="004B1D95"/>
    <w:rsid w:val="004B2E45"/>
    <w:rsid w:val="004B38EB"/>
    <w:rsid w:val="004B3E3E"/>
    <w:rsid w:val="004B3F96"/>
    <w:rsid w:val="004B4FA3"/>
    <w:rsid w:val="004B594A"/>
    <w:rsid w:val="004B671F"/>
    <w:rsid w:val="004B68DA"/>
    <w:rsid w:val="004C14C1"/>
    <w:rsid w:val="004C15A9"/>
    <w:rsid w:val="004C2AB8"/>
    <w:rsid w:val="004C3E93"/>
    <w:rsid w:val="004C5EB4"/>
    <w:rsid w:val="004C62BF"/>
    <w:rsid w:val="004C647A"/>
    <w:rsid w:val="004D099B"/>
    <w:rsid w:val="004D0A4C"/>
    <w:rsid w:val="004D465B"/>
    <w:rsid w:val="004D480D"/>
    <w:rsid w:val="004D692A"/>
    <w:rsid w:val="004E2407"/>
    <w:rsid w:val="004E405E"/>
    <w:rsid w:val="004E5308"/>
    <w:rsid w:val="004E6854"/>
    <w:rsid w:val="004E727E"/>
    <w:rsid w:val="004F1674"/>
    <w:rsid w:val="004F17B4"/>
    <w:rsid w:val="004F2603"/>
    <w:rsid w:val="004F3537"/>
    <w:rsid w:val="004F46E0"/>
    <w:rsid w:val="004F5C7D"/>
    <w:rsid w:val="004F5F92"/>
    <w:rsid w:val="0050100A"/>
    <w:rsid w:val="005012CA"/>
    <w:rsid w:val="0050333A"/>
    <w:rsid w:val="00504521"/>
    <w:rsid w:val="00506C63"/>
    <w:rsid w:val="0050749B"/>
    <w:rsid w:val="00510191"/>
    <w:rsid w:val="00510330"/>
    <w:rsid w:val="005104E2"/>
    <w:rsid w:val="00512223"/>
    <w:rsid w:val="0051245E"/>
    <w:rsid w:val="00520785"/>
    <w:rsid w:val="00520873"/>
    <w:rsid w:val="0052165C"/>
    <w:rsid w:val="00523D8D"/>
    <w:rsid w:val="0052420A"/>
    <w:rsid w:val="00525E3E"/>
    <w:rsid w:val="00527479"/>
    <w:rsid w:val="0052774A"/>
    <w:rsid w:val="00530791"/>
    <w:rsid w:val="00530937"/>
    <w:rsid w:val="005336D5"/>
    <w:rsid w:val="005339D4"/>
    <w:rsid w:val="00533A09"/>
    <w:rsid w:val="00533FD5"/>
    <w:rsid w:val="0053488D"/>
    <w:rsid w:val="005360CC"/>
    <w:rsid w:val="00536964"/>
    <w:rsid w:val="0053700B"/>
    <w:rsid w:val="00543481"/>
    <w:rsid w:val="005437C1"/>
    <w:rsid w:val="005438E2"/>
    <w:rsid w:val="005458BD"/>
    <w:rsid w:val="00545A04"/>
    <w:rsid w:val="00545ED7"/>
    <w:rsid w:val="00546DA7"/>
    <w:rsid w:val="00547E6C"/>
    <w:rsid w:val="0055038E"/>
    <w:rsid w:val="005503AD"/>
    <w:rsid w:val="0055147C"/>
    <w:rsid w:val="005518D2"/>
    <w:rsid w:val="00553174"/>
    <w:rsid w:val="00555384"/>
    <w:rsid w:val="0055693B"/>
    <w:rsid w:val="00562FBD"/>
    <w:rsid w:val="00564412"/>
    <w:rsid w:val="00564A02"/>
    <w:rsid w:val="00565CC7"/>
    <w:rsid w:val="00565D27"/>
    <w:rsid w:val="00565FC9"/>
    <w:rsid w:val="0056667D"/>
    <w:rsid w:val="00567FD5"/>
    <w:rsid w:val="00570224"/>
    <w:rsid w:val="00570B21"/>
    <w:rsid w:val="0057154F"/>
    <w:rsid w:val="00571551"/>
    <w:rsid w:val="00571EE1"/>
    <w:rsid w:val="005721B0"/>
    <w:rsid w:val="00572D73"/>
    <w:rsid w:val="00573018"/>
    <w:rsid w:val="005742A4"/>
    <w:rsid w:val="005745F3"/>
    <w:rsid w:val="00574ED8"/>
    <w:rsid w:val="00575233"/>
    <w:rsid w:val="00575798"/>
    <w:rsid w:val="005768C6"/>
    <w:rsid w:val="00577315"/>
    <w:rsid w:val="00580A39"/>
    <w:rsid w:val="00580F32"/>
    <w:rsid w:val="005841F8"/>
    <w:rsid w:val="00585339"/>
    <w:rsid w:val="0058573F"/>
    <w:rsid w:val="00585C87"/>
    <w:rsid w:val="00585E30"/>
    <w:rsid w:val="0058656D"/>
    <w:rsid w:val="00586DE5"/>
    <w:rsid w:val="005903C7"/>
    <w:rsid w:val="005918A5"/>
    <w:rsid w:val="00591B49"/>
    <w:rsid w:val="0059208A"/>
    <w:rsid w:val="00592DC9"/>
    <w:rsid w:val="00593EF5"/>
    <w:rsid w:val="00596E8E"/>
    <w:rsid w:val="005A1E24"/>
    <w:rsid w:val="005A2F8D"/>
    <w:rsid w:val="005A3FC6"/>
    <w:rsid w:val="005A4760"/>
    <w:rsid w:val="005A52C1"/>
    <w:rsid w:val="005A57AE"/>
    <w:rsid w:val="005B2149"/>
    <w:rsid w:val="005B3A98"/>
    <w:rsid w:val="005B4608"/>
    <w:rsid w:val="005C0A00"/>
    <w:rsid w:val="005C321B"/>
    <w:rsid w:val="005C3C82"/>
    <w:rsid w:val="005C40C0"/>
    <w:rsid w:val="005C555D"/>
    <w:rsid w:val="005C6061"/>
    <w:rsid w:val="005C627B"/>
    <w:rsid w:val="005C6A35"/>
    <w:rsid w:val="005C75F3"/>
    <w:rsid w:val="005D04C5"/>
    <w:rsid w:val="005D1E7C"/>
    <w:rsid w:val="005D2E39"/>
    <w:rsid w:val="005D3183"/>
    <w:rsid w:val="005D4748"/>
    <w:rsid w:val="005D6C77"/>
    <w:rsid w:val="005D74CF"/>
    <w:rsid w:val="005E0A84"/>
    <w:rsid w:val="005E0E1D"/>
    <w:rsid w:val="005E0E93"/>
    <w:rsid w:val="005E1D4C"/>
    <w:rsid w:val="005E2026"/>
    <w:rsid w:val="005E28B0"/>
    <w:rsid w:val="005E2F32"/>
    <w:rsid w:val="005E4157"/>
    <w:rsid w:val="005E4870"/>
    <w:rsid w:val="005E4CF1"/>
    <w:rsid w:val="005E5817"/>
    <w:rsid w:val="005E5C28"/>
    <w:rsid w:val="005E607D"/>
    <w:rsid w:val="005E677C"/>
    <w:rsid w:val="005E78A8"/>
    <w:rsid w:val="005E78D0"/>
    <w:rsid w:val="005F056E"/>
    <w:rsid w:val="005F0AFA"/>
    <w:rsid w:val="005F103D"/>
    <w:rsid w:val="005F10AF"/>
    <w:rsid w:val="005F1BD3"/>
    <w:rsid w:val="005F2057"/>
    <w:rsid w:val="005F23A6"/>
    <w:rsid w:val="005F2DDA"/>
    <w:rsid w:val="005F2DED"/>
    <w:rsid w:val="005F4884"/>
    <w:rsid w:val="005F48A4"/>
    <w:rsid w:val="005F4A6D"/>
    <w:rsid w:val="005F7F68"/>
    <w:rsid w:val="006015EA"/>
    <w:rsid w:val="006025A3"/>
    <w:rsid w:val="006030C6"/>
    <w:rsid w:val="006034FC"/>
    <w:rsid w:val="00604D55"/>
    <w:rsid w:val="00605CB5"/>
    <w:rsid w:val="006072D7"/>
    <w:rsid w:val="0060776D"/>
    <w:rsid w:val="006079DA"/>
    <w:rsid w:val="00611D97"/>
    <w:rsid w:val="0061459F"/>
    <w:rsid w:val="00615F5F"/>
    <w:rsid w:val="00616038"/>
    <w:rsid w:val="00621628"/>
    <w:rsid w:val="006234C0"/>
    <w:rsid w:val="00623F62"/>
    <w:rsid w:val="00626AD9"/>
    <w:rsid w:val="00631473"/>
    <w:rsid w:val="006319DC"/>
    <w:rsid w:val="00631DDB"/>
    <w:rsid w:val="00632053"/>
    <w:rsid w:val="00632252"/>
    <w:rsid w:val="006344B6"/>
    <w:rsid w:val="00635C4B"/>
    <w:rsid w:val="0064033A"/>
    <w:rsid w:val="00642F53"/>
    <w:rsid w:val="0064489E"/>
    <w:rsid w:val="00645F09"/>
    <w:rsid w:val="00646298"/>
    <w:rsid w:val="00646383"/>
    <w:rsid w:val="00646D9A"/>
    <w:rsid w:val="00647ADD"/>
    <w:rsid w:val="006528B6"/>
    <w:rsid w:val="00653845"/>
    <w:rsid w:val="00653BB4"/>
    <w:rsid w:val="00654DC6"/>
    <w:rsid w:val="00656258"/>
    <w:rsid w:val="0065722B"/>
    <w:rsid w:val="0066155C"/>
    <w:rsid w:val="00661D94"/>
    <w:rsid w:val="00666DA2"/>
    <w:rsid w:val="00671C4B"/>
    <w:rsid w:val="00673E7D"/>
    <w:rsid w:val="0067786F"/>
    <w:rsid w:val="00682DE0"/>
    <w:rsid w:val="006843E2"/>
    <w:rsid w:val="006846CD"/>
    <w:rsid w:val="00685BA3"/>
    <w:rsid w:val="00687F96"/>
    <w:rsid w:val="00690D8B"/>
    <w:rsid w:val="00691C03"/>
    <w:rsid w:val="006921AF"/>
    <w:rsid w:val="00692AA3"/>
    <w:rsid w:val="00694677"/>
    <w:rsid w:val="0069475C"/>
    <w:rsid w:val="006957D2"/>
    <w:rsid w:val="00695FC8"/>
    <w:rsid w:val="006A17B7"/>
    <w:rsid w:val="006A3BF8"/>
    <w:rsid w:val="006A4EA2"/>
    <w:rsid w:val="006A6530"/>
    <w:rsid w:val="006A7356"/>
    <w:rsid w:val="006A74A0"/>
    <w:rsid w:val="006A794B"/>
    <w:rsid w:val="006B13E1"/>
    <w:rsid w:val="006B4850"/>
    <w:rsid w:val="006B4D70"/>
    <w:rsid w:val="006B53D3"/>
    <w:rsid w:val="006B5E39"/>
    <w:rsid w:val="006B63A6"/>
    <w:rsid w:val="006B7679"/>
    <w:rsid w:val="006C3114"/>
    <w:rsid w:val="006C376F"/>
    <w:rsid w:val="006C3837"/>
    <w:rsid w:val="006C4B12"/>
    <w:rsid w:val="006C7F78"/>
    <w:rsid w:val="006D3617"/>
    <w:rsid w:val="006D485F"/>
    <w:rsid w:val="006D775D"/>
    <w:rsid w:val="006E00D8"/>
    <w:rsid w:val="006E21CE"/>
    <w:rsid w:val="006E22C0"/>
    <w:rsid w:val="006E26FC"/>
    <w:rsid w:val="006E46AD"/>
    <w:rsid w:val="006E50DD"/>
    <w:rsid w:val="006E5288"/>
    <w:rsid w:val="006E6324"/>
    <w:rsid w:val="006E674A"/>
    <w:rsid w:val="006F01AA"/>
    <w:rsid w:val="006F09FA"/>
    <w:rsid w:val="006F12D4"/>
    <w:rsid w:val="006F1450"/>
    <w:rsid w:val="006F15D8"/>
    <w:rsid w:val="006F204B"/>
    <w:rsid w:val="006F323A"/>
    <w:rsid w:val="006F75B0"/>
    <w:rsid w:val="00700028"/>
    <w:rsid w:val="00700697"/>
    <w:rsid w:val="00702A67"/>
    <w:rsid w:val="0070305F"/>
    <w:rsid w:val="0070312C"/>
    <w:rsid w:val="007033CC"/>
    <w:rsid w:val="0070567E"/>
    <w:rsid w:val="00710B4B"/>
    <w:rsid w:val="007131D5"/>
    <w:rsid w:val="007137BA"/>
    <w:rsid w:val="00713CC8"/>
    <w:rsid w:val="0071580F"/>
    <w:rsid w:val="007172B0"/>
    <w:rsid w:val="0071754D"/>
    <w:rsid w:val="00717DCA"/>
    <w:rsid w:val="007200F5"/>
    <w:rsid w:val="007205B1"/>
    <w:rsid w:val="007213F9"/>
    <w:rsid w:val="00721567"/>
    <w:rsid w:val="00722C45"/>
    <w:rsid w:val="00722DAB"/>
    <w:rsid w:val="00723138"/>
    <w:rsid w:val="00723B96"/>
    <w:rsid w:val="00723EB5"/>
    <w:rsid w:val="00726F59"/>
    <w:rsid w:val="0072751F"/>
    <w:rsid w:val="00727536"/>
    <w:rsid w:val="0072767F"/>
    <w:rsid w:val="00730771"/>
    <w:rsid w:val="00732A02"/>
    <w:rsid w:val="00732EA7"/>
    <w:rsid w:val="00733902"/>
    <w:rsid w:val="00733ED9"/>
    <w:rsid w:val="007341E7"/>
    <w:rsid w:val="00735D9F"/>
    <w:rsid w:val="00740D7E"/>
    <w:rsid w:val="0074135E"/>
    <w:rsid w:val="00742AF8"/>
    <w:rsid w:val="007443C4"/>
    <w:rsid w:val="00744A5B"/>
    <w:rsid w:val="00746C78"/>
    <w:rsid w:val="00750560"/>
    <w:rsid w:val="007520B7"/>
    <w:rsid w:val="00753117"/>
    <w:rsid w:val="00753B96"/>
    <w:rsid w:val="00754A52"/>
    <w:rsid w:val="00756CDD"/>
    <w:rsid w:val="007604A7"/>
    <w:rsid w:val="00762DBC"/>
    <w:rsid w:val="0076319E"/>
    <w:rsid w:val="00763775"/>
    <w:rsid w:val="00764DFB"/>
    <w:rsid w:val="007655D6"/>
    <w:rsid w:val="007659FD"/>
    <w:rsid w:val="0076602E"/>
    <w:rsid w:val="0076619F"/>
    <w:rsid w:val="007677FC"/>
    <w:rsid w:val="00767BDE"/>
    <w:rsid w:val="00767DE9"/>
    <w:rsid w:val="00770228"/>
    <w:rsid w:val="0077060C"/>
    <w:rsid w:val="0077093E"/>
    <w:rsid w:val="00770F70"/>
    <w:rsid w:val="0077718F"/>
    <w:rsid w:val="00777927"/>
    <w:rsid w:val="00777AD3"/>
    <w:rsid w:val="00777F75"/>
    <w:rsid w:val="007801C1"/>
    <w:rsid w:val="007808AD"/>
    <w:rsid w:val="007819AC"/>
    <w:rsid w:val="00781AD0"/>
    <w:rsid w:val="00781B57"/>
    <w:rsid w:val="007842FA"/>
    <w:rsid w:val="00784C9E"/>
    <w:rsid w:val="007850E9"/>
    <w:rsid w:val="00786195"/>
    <w:rsid w:val="00786BFF"/>
    <w:rsid w:val="00790094"/>
    <w:rsid w:val="007902F4"/>
    <w:rsid w:val="007907D9"/>
    <w:rsid w:val="00793DCB"/>
    <w:rsid w:val="00794BF3"/>
    <w:rsid w:val="00794CAE"/>
    <w:rsid w:val="007964EC"/>
    <w:rsid w:val="00796F78"/>
    <w:rsid w:val="00797938"/>
    <w:rsid w:val="00797DBE"/>
    <w:rsid w:val="007A26E5"/>
    <w:rsid w:val="007A5CD1"/>
    <w:rsid w:val="007B042E"/>
    <w:rsid w:val="007B07B0"/>
    <w:rsid w:val="007B3A84"/>
    <w:rsid w:val="007B5955"/>
    <w:rsid w:val="007B5FAE"/>
    <w:rsid w:val="007B6B89"/>
    <w:rsid w:val="007B7490"/>
    <w:rsid w:val="007C0436"/>
    <w:rsid w:val="007C1D78"/>
    <w:rsid w:val="007C2FE9"/>
    <w:rsid w:val="007C3400"/>
    <w:rsid w:val="007C3ACA"/>
    <w:rsid w:val="007C3B7D"/>
    <w:rsid w:val="007C42F6"/>
    <w:rsid w:val="007C49F4"/>
    <w:rsid w:val="007C5508"/>
    <w:rsid w:val="007C551D"/>
    <w:rsid w:val="007C7E5A"/>
    <w:rsid w:val="007D0EE9"/>
    <w:rsid w:val="007D1221"/>
    <w:rsid w:val="007D2C58"/>
    <w:rsid w:val="007D2F1D"/>
    <w:rsid w:val="007D4B61"/>
    <w:rsid w:val="007D4D48"/>
    <w:rsid w:val="007D4E1E"/>
    <w:rsid w:val="007D68B4"/>
    <w:rsid w:val="007E0889"/>
    <w:rsid w:val="007E22E5"/>
    <w:rsid w:val="007E2C44"/>
    <w:rsid w:val="007E49AA"/>
    <w:rsid w:val="007E5F68"/>
    <w:rsid w:val="007E71BB"/>
    <w:rsid w:val="007F0183"/>
    <w:rsid w:val="007F03CA"/>
    <w:rsid w:val="007F10E6"/>
    <w:rsid w:val="007F22AC"/>
    <w:rsid w:val="007F2788"/>
    <w:rsid w:val="007F2D91"/>
    <w:rsid w:val="007F2E4D"/>
    <w:rsid w:val="007F3E6E"/>
    <w:rsid w:val="007F4A7A"/>
    <w:rsid w:val="007F4B7B"/>
    <w:rsid w:val="007F507C"/>
    <w:rsid w:val="00800435"/>
    <w:rsid w:val="008027D5"/>
    <w:rsid w:val="00804164"/>
    <w:rsid w:val="0080655E"/>
    <w:rsid w:val="00807C87"/>
    <w:rsid w:val="008116D7"/>
    <w:rsid w:val="00812159"/>
    <w:rsid w:val="008126B7"/>
    <w:rsid w:val="00813293"/>
    <w:rsid w:val="00813B7A"/>
    <w:rsid w:val="00814C6B"/>
    <w:rsid w:val="00815822"/>
    <w:rsid w:val="00815A41"/>
    <w:rsid w:val="00816B37"/>
    <w:rsid w:val="008201D4"/>
    <w:rsid w:val="008202F5"/>
    <w:rsid w:val="00821413"/>
    <w:rsid w:val="00826651"/>
    <w:rsid w:val="0082685B"/>
    <w:rsid w:val="00826FD2"/>
    <w:rsid w:val="00834B9D"/>
    <w:rsid w:val="00840D5A"/>
    <w:rsid w:val="00841536"/>
    <w:rsid w:val="008419E8"/>
    <w:rsid w:val="00843EF4"/>
    <w:rsid w:val="0084584C"/>
    <w:rsid w:val="008460AD"/>
    <w:rsid w:val="00850DDF"/>
    <w:rsid w:val="008532FA"/>
    <w:rsid w:val="00853331"/>
    <w:rsid w:val="008548DA"/>
    <w:rsid w:val="00855600"/>
    <w:rsid w:val="00855962"/>
    <w:rsid w:val="0085617A"/>
    <w:rsid w:val="00860580"/>
    <w:rsid w:val="00862D62"/>
    <w:rsid w:val="008655B4"/>
    <w:rsid w:val="00866155"/>
    <w:rsid w:val="008662F4"/>
    <w:rsid w:val="008667E0"/>
    <w:rsid w:val="00871D4B"/>
    <w:rsid w:val="00872D15"/>
    <w:rsid w:val="00873FAB"/>
    <w:rsid w:val="00875873"/>
    <w:rsid w:val="00875960"/>
    <w:rsid w:val="008764B9"/>
    <w:rsid w:val="008773D6"/>
    <w:rsid w:val="00882D11"/>
    <w:rsid w:val="008837B5"/>
    <w:rsid w:val="0088412C"/>
    <w:rsid w:val="00884E45"/>
    <w:rsid w:val="0088507A"/>
    <w:rsid w:val="008853A3"/>
    <w:rsid w:val="00886BC4"/>
    <w:rsid w:val="0088713D"/>
    <w:rsid w:val="00890E7A"/>
    <w:rsid w:val="00891B00"/>
    <w:rsid w:val="008932BE"/>
    <w:rsid w:val="00893AE3"/>
    <w:rsid w:val="00893CB1"/>
    <w:rsid w:val="008949DC"/>
    <w:rsid w:val="008972C0"/>
    <w:rsid w:val="00897758"/>
    <w:rsid w:val="008A05E3"/>
    <w:rsid w:val="008A07D8"/>
    <w:rsid w:val="008A1433"/>
    <w:rsid w:val="008A230D"/>
    <w:rsid w:val="008A2405"/>
    <w:rsid w:val="008A2A1D"/>
    <w:rsid w:val="008A48D1"/>
    <w:rsid w:val="008A4DE8"/>
    <w:rsid w:val="008A4E91"/>
    <w:rsid w:val="008A4FF4"/>
    <w:rsid w:val="008A742E"/>
    <w:rsid w:val="008B01E0"/>
    <w:rsid w:val="008B09A2"/>
    <w:rsid w:val="008B20CC"/>
    <w:rsid w:val="008B36E3"/>
    <w:rsid w:val="008B3F18"/>
    <w:rsid w:val="008B4B4B"/>
    <w:rsid w:val="008B5394"/>
    <w:rsid w:val="008B6237"/>
    <w:rsid w:val="008B6AFE"/>
    <w:rsid w:val="008B6F8E"/>
    <w:rsid w:val="008C0056"/>
    <w:rsid w:val="008C02FA"/>
    <w:rsid w:val="008C24C3"/>
    <w:rsid w:val="008C30AB"/>
    <w:rsid w:val="008C31BE"/>
    <w:rsid w:val="008C5124"/>
    <w:rsid w:val="008C5CB3"/>
    <w:rsid w:val="008C6D38"/>
    <w:rsid w:val="008C7D0E"/>
    <w:rsid w:val="008D0A72"/>
    <w:rsid w:val="008D0F7F"/>
    <w:rsid w:val="008D1992"/>
    <w:rsid w:val="008D2567"/>
    <w:rsid w:val="008D2D97"/>
    <w:rsid w:val="008D34D2"/>
    <w:rsid w:val="008D366E"/>
    <w:rsid w:val="008D3702"/>
    <w:rsid w:val="008D39AD"/>
    <w:rsid w:val="008D4F32"/>
    <w:rsid w:val="008E0DE6"/>
    <w:rsid w:val="008E1328"/>
    <w:rsid w:val="008E3425"/>
    <w:rsid w:val="008E3B54"/>
    <w:rsid w:val="008E3C63"/>
    <w:rsid w:val="008E4D48"/>
    <w:rsid w:val="008F0689"/>
    <w:rsid w:val="008F07BD"/>
    <w:rsid w:val="008F29B1"/>
    <w:rsid w:val="008F5FD3"/>
    <w:rsid w:val="008F61CD"/>
    <w:rsid w:val="008F61E4"/>
    <w:rsid w:val="008F641D"/>
    <w:rsid w:val="008F6C2E"/>
    <w:rsid w:val="008F74DA"/>
    <w:rsid w:val="00900A8E"/>
    <w:rsid w:val="00902D95"/>
    <w:rsid w:val="00903BE3"/>
    <w:rsid w:val="00905919"/>
    <w:rsid w:val="00905BEB"/>
    <w:rsid w:val="00905F76"/>
    <w:rsid w:val="00907D23"/>
    <w:rsid w:val="00911FB5"/>
    <w:rsid w:val="00913577"/>
    <w:rsid w:val="00915FB8"/>
    <w:rsid w:val="00917F4A"/>
    <w:rsid w:val="0092129F"/>
    <w:rsid w:val="00921F29"/>
    <w:rsid w:val="0092254F"/>
    <w:rsid w:val="00922704"/>
    <w:rsid w:val="00923222"/>
    <w:rsid w:val="00924337"/>
    <w:rsid w:val="009250EF"/>
    <w:rsid w:val="009257B9"/>
    <w:rsid w:val="00925DD8"/>
    <w:rsid w:val="00926548"/>
    <w:rsid w:val="00926A3C"/>
    <w:rsid w:val="00926ABC"/>
    <w:rsid w:val="0093060B"/>
    <w:rsid w:val="00931482"/>
    <w:rsid w:val="0093163A"/>
    <w:rsid w:val="00931ABD"/>
    <w:rsid w:val="009331FF"/>
    <w:rsid w:val="00933B70"/>
    <w:rsid w:val="0093438C"/>
    <w:rsid w:val="00934409"/>
    <w:rsid w:val="00935A70"/>
    <w:rsid w:val="00936607"/>
    <w:rsid w:val="00936FF7"/>
    <w:rsid w:val="009372BF"/>
    <w:rsid w:val="00937423"/>
    <w:rsid w:val="00937E3B"/>
    <w:rsid w:val="0094170A"/>
    <w:rsid w:val="00941795"/>
    <w:rsid w:val="00942EBF"/>
    <w:rsid w:val="0094362B"/>
    <w:rsid w:val="009446CB"/>
    <w:rsid w:val="00945F32"/>
    <w:rsid w:val="009517C5"/>
    <w:rsid w:val="00951CA9"/>
    <w:rsid w:val="00953CF4"/>
    <w:rsid w:val="0095423A"/>
    <w:rsid w:val="009559BD"/>
    <w:rsid w:val="00960578"/>
    <w:rsid w:val="009615EE"/>
    <w:rsid w:val="00961EA6"/>
    <w:rsid w:val="00963F42"/>
    <w:rsid w:val="0096608C"/>
    <w:rsid w:val="009665D0"/>
    <w:rsid w:val="009669A7"/>
    <w:rsid w:val="009679D1"/>
    <w:rsid w:val="00970808"/>
    <w:rsid w:val="0097112E"/>
    <w:rsid w:val="00971501"/>
    <w:rsid w:val="0097254C"/>
    <w:rsid w:val="009725BB"/>
    <w:rsid w:val="00972C32"/>
    <w:rsid w:val="009737BD"/>
    <w:rsid w:val="009755CF"/>
    <w:rsid w:val="00975BB9"/>
    <w:rsid w:val="009760B8"/>
    <w:rsid w:val="009765F4"/>
    <w:rsid w:val="00976A15"/>
    <w:rsid w:val="00977049"/>
    <w:rsid w:val="009812F7"/>
    <w:rsid w:val="00982341"/>
    <w:rsid w:val="00982A88"/>
    <w:rsid w:val="009830D5"/>
    <w:rsid w:val="00983EE1"/>
    <w:rsid w:val="00984A73"/>
    <w:rsid w:val="009862D9"/>
    <w:rsid w:val="00986D90"/>
    <w:rsid w:val="00991A32"/>
    <w:rsid w:val="009920BD"/>
    <w:rsid w:val="00992644"/>
    <w:rsid w:val="00993B51"/>
    <w:rsid w:val="00993CC3"/>
    <w:rsid w:val="009952C1"/>
    <w:rsid w:val="00995E1D"/>
    <w:rsid w:val="009972F1"/>
    <w:rsid w:val="00997E05"/>
    <w:rsid w:val="009A2C20"/>
    <w:rsid w:val="009A3B4C"/>
    <w:rsid w:val="009A42EE"/>
    <w:rsid w:val="009A472F"/>
    <w:rsid w:val="009A5785"/>
    <w:rsid w:val="009A594A"/>
    <w:rsid w:val="009A5B57"/>
    <w:rsid w:val="009A5D36"/>
    <w:rsid w:val="009A6AED"/>
    <w:rsid w:val="009A78CC"/>
    <w:rsid w:val="009A7B89"/>
    <w:rsid w:val="009B0FF7"/>
    <w:rsid w:val="009B168D"/>
    <w:rsid w:val="009B2841"/>
    <w:rsid w:val="009B2D05"/>
    <w:rsid w:val="009B455C"/>
    <w:rsid w:val="009B5A7E"/>
    <w:rsid w:val="009B5AD9"/>
    <w:rsid w:val="009B6A5A"/>
    <w:rsid w:val="009B6B94"/>
    <w:rsid w:val="009B7EAC"/>
    <w:rsid w:val="009B7EE3"/>
    <w:rsid w:val="009C00F6"/>
    <w:rsid w:val="009C410B"/>
    <w:rsid w:val="009C4A74"/>
    <w:rsid w:val="009C6F1C"/>
    <w:rsid w:val="009C792F"/>
    <w:rsid w:val="009D0B94"/>
    <w:rsid w:val="009D180A"/>
    <w:rsid w:val="009D3905"/>
    <w:rsid w:val="009D3B21"/>
    <w:rsid w:val="009D4AAC"/>
    <w:rsid w:val="009D5E2E"/>
    <w:rsid w:val="009D616A"/>
    <w:rsid w:val="009D6B3C"/>
    <w:rsid w:val="009E0FA8"/>
    <w:rsid w:val="009E15EB"/>
    <w:rsid w:val="009E1A8A"/>
    <w:rsid w:val="009E6BC0"/>
    <w:rsid w:val="009F0CFB"/>
    <w:rsid w:val="009F100C"/>
    <w:rsid w:val="009F1A60"/>
    <w:rsid w:val="009F2A1D"/>
    <w:rsid w:val="009F2DCA"/>
    <w:rsid w:val="009F302D"/>
    <w:rsid w:val="009F509F"/>
    <w:rsid w:val="009F5640"/>
    <w:rsid w:val="009F59F8"/>
    <w:rsid w:val="009F77F0"/>
    <w:rsid w:val="009F7FB4"/>
    <w:rsid w:val="00A019C4"/>
    <w:rsid w:val="00A01FE5"/>
    <w:rsid w:val="00A061D5"/>
    <w:rsid w:val="00A06326"/>
    <w:rsid w:val="00A07AC1"/>
    <w:rsid w:val="00A1176D"/>
    <w:rsid w:val="00A11816"/>
    <w:rsid w:val="00A149BF"/>
    <w:rsid w:val="00A1502B"/>
    <w:rsid w:val="00A160D6"/>
    <w:rsid w:val="00A160D8"/>
    <w:rsid w:val="00A17440"/>
    <w:rsid w:val="00A17A47"/>
    <w:rsid w:val="00A218E6"/>
    <w:rsid w:val="00A22E98"/>
    <w:rsid w:val="00A23336"/>
    <w:rsid w:val="00A24CE5"/>
    <w:rsid w:val="00A24EF2"/>
    <w:rsid w:val="00A267EC"/>
    <w:rsid w:val="00A26FDE"/>
    <w:rsid w:val="00A3065D"/>
    <w:rsid w:val="00A31580"/>
    <w:rsid w:val="00A31903"/>
    <w:rsid w:val="00A32193"/>
    <w:rsid w:val="00A326E1"/>
    <w:rsid w:val="00A3302F"/>
    <w:rsid w:val="00A33D56"/>
    <w:rsid w:val="00A34793"/>
    <w:rsid w:val="00A34CCC"/>
    <w:rsid w:val="00A359F7"/>
    <w:rsid w:val="00A37C2E"/>
    <w:rsid w:val="00A37D11"/>
    <w:rsid w:val="00A408E9"/>
    <w:rsid w:val="00A434F8"/>
    <w:rsid w:val="00A43674"/>
    <w:rsid w:val="00A43793"/>
    <w:rsid w:val="00A43BC7"/>
    <w:rsid w:val="00A449D3"/>
    <w:rsid w:val="00A45098"/>
    <w:rsid w:val="00A452EF"/>
    <w:rsid w:val="00A46363"/>
    <w:rsid w:val="00A471CF"/>
    <w:rsid w:val="00A50561"/>
    <w:rsid w:val="00A50E45"/>
    <w:rsid w:val="00A5103A"/>
    <w:rsid w:val="00A51328"/>
    <w:rsid w:val="00A51A8F"/>
    <w:rsid w:val="00A5210A"/>
    <w:rsid w:val="00A523D6"/>
    <w:rsid w:val="00A5271B"/>
    <w:rsid w:val="00A571B5"/>
    <w:rsid w:val="00A5727A"/>
    <w:rsid w:val="00A60CC4"/>
    <w:rsid w:val="00A60EAC"/>
    <w:rsid w:val="00A633A5"/>
    <w:rsid w:val="00A649AF"/>
    <w:rsid w:val="00A64B5C"/>
    <w:rsid w:val="00A65323"/>
    <w:rsid w:val="00A665BC"/>
    <w:rsid w:val="00A67A22"/>
    <w:rsid w:val="00A67C78"/>
    <w:rsid w:val="00A72521"/>
    <w:rsid w:val="00A7316E"/>
    <w:rsid w:val="00A731A0"/>
    <w:rsid w:val="00A7356A"/>
    <w:rsid w:val="00A74890"/>
    <w:rsid w:val="00A75214"/>
    <w:rsid w:val="00A76A87"/>
    <w:rsid w:val="00A7749B"/>
    <w:rsid w:val="00A806A6"/>
    <w:rsid w:val="00A80A47"/>
    <w:rsid w:val="00A80E6A"/>
    <w:rsid w:val="00A81268"/>
    <w:rsid w:val="00A816F2"/>
    <w:rsid w:val="00A8276C"/>
    <w:rsid w:val="00A82EDC"/>
    <w:rsid w:val="00A82FC4"/>
    <w:rsid w:val="00A83084"/>
    <w:rsid w:val="00A838FA"/>
    <w:rsid w:val="00A90AF2"/>
    <w:rsid w:val="00A939B9"/>
    <w:rsid w:val="00A94008"/>
    <w:rsid w:val="00A94CA0"/>
    <w:rsid w:val="00A96D1D"/>
    <w:rsid w:val="00A96DC6"/>
    <w:rsid w:val="00A96EF8"/>
    <w:rsid w:val="00A97B7E"/>
    <w:rsid w:val="00AA07CB"/>
    <w:rsid w:val="00AA31E1"/>
    <w:rsid w:val="00AA52B3"/>
    <w:rsid w:val="00AA566D"/>
    <w:rsid w:val="00AB05AC"/>
    <w:rsid w:val="00AB0A0C"/>
    <w:rsid w:val="00AB14BB"/>
    <w:rsid w:val="00AB3706"/>
    <w:rsid w:val="00AB388E"/>
    <w:rsid w:val="00AB4374"/>
    <w:rsid w:val="00AB6691"/>
    <w:rsid w:val="00AB6E42"/>
    <w:rsid w:val="00AC0E8A"/>
    <w:rsid w:val="00AC1C20"/>
    <w:rsid w:val="00AC4E30"/>
    <w:rsid w:val="00AC6700"/>
    <w:rsid w:val="00AC770C"/>
    <w:rsid w:val="00AD1FF9"/>
    <w:rsid w:val="00AD3399"/>
    <w:rsid w:val="00AD4364"/>
    <w:rsid w:val="00AD481D"/>
    <w:rsid w:val="00AD5B0C"/>
    <w:rsid w:val="00AD61B7"/>
    <w:rsid w:val="00AD630D"/>
    <w:rsid w:val="00AD67E7"/>
    <w:rsid w:val="00AD74DD"/>
    <w:rsid w:val="00AE227E"/>
    <w:rsid w:val="00AE4DF5"/>
    <w:rsid w:val="00AE4F36"/>
    <w:rsid w:val="00AE5F36"/>
    <w:rsid w:val="00AE6425"/>
    <w:rsid w:val="00AE78D7"/>
    <w:rsid w:val="00AE7A5B"/>
    <w:rsid w:val="00AE7CDB"/>
    <w:rsid w:val="00AF2AA2"/>
    <w:rsid w:val="00AF3530"/>
    <w:rsid w:val="00AF3C55"/>
    <w:rsid w:val="00AF3DB9"/>
    <w:rsid w:val="00AF4581"/>
    <w:rsid w:val="00AF7D78"/>
    <w:rsid w:val="00B0084B"/>
    <w:rsid w:val="00B00D3F"/>
    <w:rsid w:val="00B015C9"/>
    <w:rsid w:val="00B02364"/>
    <w:rsid w:val="00B0258B"/>
    <w:rsid w:val="00B029BB"/>
    <w:rsid w:val="00B03B98"/>
    <w:rsid w:val="00B0427D"/>
    <w:rsid w:val="00B05F5E"/>
    <w:rsid w:val="00B06FD1"/>
    <w:rsid w:val="00B11026"/>
    <w:rsid w:val="00B1136C"/>
    <w:rsid w:val="00B11F08"/>
    <w:rsid w:val="00B124E8"/>
    <w:rsid w:val="00B126D1"/>
    <w:rsid w:val="00B136C4"/>
    <w:rsid w:val="00B13907"/>
    <w:rsid w:val="00B14405"/>
    <w:rsid w:val="00B148DC"/>
    <w:rsid w:val="00B14DAD"/>
    <w:rsid w:val="00B15256"/>
    <w:rsid w:val="00B1753C"/>
    <w:rsid w:val="00B20021"/>
    <w:rsid w:val="00B2065D"/>
    <w:rsid w:val="00B208EF"/>
    <w:rsid w:val="00B20BD2"/>
    <w:rsid w:val="00B20C8B"/>
    <w:rsid w:val="00B20E0C"/>
    <w:rsid w:val="00B21263"/>
    <w:rsid w:val="00B21A2E"/>
    <w:rsid w:val="00B21AE3"/>
    <w:rsid w:val="00B222EB"/>
    <w:rsid w:val="00B23DCF"/>
    <w:rsid w:val="00B26793"/>
    <w:rsid w:val="00B26BB4"/>
    <w:rsid w:val="00B27027"/>
    <w:rsid w:val="00B323C8"/>
    <w:rsid w:val="00B328BB"/>
    <w:rsid w:val="00B32CB0"/>
    <w:rsid w:val="00B330A7"/>
    <w:rsid w:val="00B34DEE"/>
    <w:rsid w:val="00B355AB"/>
    <w:rsid w:val="00B35D68"/>
    <w:rsid w:val="00B36468"/>
    <w:rsid w:val="00B36CE6"/>
    <w:rsid w:val="00B40770"/>
    <w:rsid w:val="00B422AA"/>
    <w:rsid w:val="00B424AC"/>
    <w:rsid w:val="00B443E8"/>
    <w:rsid w:val="00B47908"/>
    <w:rsid w:val="00B505AC"/>
    <w:rsid w:val="00B5089F"/>
    <w:rsid w:val="00B518AD"/>
    <w:rsid w:val="00B54A4D"/>
    <w:rsid w:val="00B560B9"/>
    <w:rsid w:val="00B56546"/>
    <w:rsid w:val="00B60BD4"/>
    <w:rsid w:val="00B658F8"/>
    <w:rsid w:val="00B66877"/>
    <w:rsid w:val="00B67A9C"/>
    <w:rsid w:val="00B7047B"/>
    <w:rsid w:val="00B70D6C"/>
    <w:rsid w:val="00B724EB"/>
    <w:rsid w:val="00B73C6E"/>
    <w:rsid w:val="00B74DA3"/>
    <w:rsid w:val="00B75A6B"/>
    <w:rsid w:val="00B75CAE"/>
    <w:rsid w:val="00B77046"/>
    <w:rsid w:val="00B77E6A"/>
    <w:rsid w:val="00B81351"/>
    <w:rsid w:val="00B81896"/>
    <w:rsid w:val="00B81DA5"/>
    <w:rsid w:val="00B83800"/>
    <w:rsid w:val="00B85001"/>
    <w:rsid w:val="00B87E73"/>
    <w:rsid w:val="00B902B6"/>
    <w:rsid w:val="00B92577"/>
    <w:rsid w:val="00B95766"/>
    <w:rsid w:val="00B95D2A"/>
    <w:rsid w:val="00B969FA"/>
    <w:rsid w:val="00BA110B"/>
    <w:rsid w:val="00BA16FD"/>
    <w:rsid w:val="00BA2154"/>
    <w:rsid w:val="00BA2D36"/>
    <w:rsid w:val="00BA566F"/>
    <w:rsid w:val="00BA5FCD"/>
    <w:rsid w:val="00BA6CFA"/>
    <w:rsid w:val="00BA6DE9"/>
    <w:rsid w:val="00BA75E0"/>
    <w:rsid w:val="00BB051D"/>
    <w:rsid w:val="00BB1839"/>
    <w:rsid w:val="00BB3176"/>
    <w:rsid w:val="00BB5498"/>
    <w:rsid w:val="00BB5704"/>
    <w:rsid w:val="00BB58CC"/>
    <w:rsid w:val="00BB680B"/>
    <w:rsid w:val="00BB6CC7"/>
    <w:rsid w:val="00BB7946"/>
    <w:rsid w:val="00BC0E57"/>
    <w:rsid w:val="00BC194E"/>
    <w:rsid w:val="00BC1A2B"/>
    <w:rsid w:val="00BC347C"/>
    <w:rsid w:val="00BC61AF"/>
    <w:rsid w:val="00BC6E02"/>
    <w:rsid w:val="00BD0DC6"/>
    <w:rsid w:val="00BD3278"/>
    <w:rsid w:val="00BD4843"/>
    <w:rsid w:val="00BD5203"/>
    <w:rsid w:val="00BD6972"/>
    <w:rsid w:val="00BD73F5"/>
    <w:rsid w:val="00BD7E67"/>
    <w:rsid w:val="00BE2070"/>
    <w:rsid w:val="00BE33A6"/>
    <w:rsid w:val="00BE33DD"/>
    <w:rsid w:val="00BE6E26"/>
    <w:rsid w:val="00BE754C"/>
    <w:rsid w:val="00BF0166"/>
    <w:rsid w:val="00BF0FFD"/>
    <w:rsid w:val="00BF1094"/>
    <w:rsid w:val="00BF163C"/>
    <w:rsid w:val="00BF182B"/>
    <w:rsid w:val="00BF34B1"/>
    <w:rsid w:val="00BF6152"/>
    <w:rsid w:val="00BF77C4"/>
    <w:rsid w:val="00BF7E3F"/>
    <w:rsid w:val="00BF7FDE"/>
    <w:rsid w:val="00C00199"/>
    <w:rsid w:val="00C009B2"/>
    <w:rsid w:val="00C05102"/>
    <w:rsid w:val="00C052E5"/>
    <w:rsid w:val="00C10105"/>
    <w:rsid w:val="00C10FCE"/>
    <w:rsid w:val="00C112B8"/>
    <w:rsid w:val="00C11B0B"/>
    <w:rsid w:val="00C11D4E"/>
    <w:rsid w:val="00C1200E"/>
    <w:rsid w:val="00C12434"/>
    <w:rsid w:val="00C12E85"/>
    <w:rsid w:val="00C12F76"/>
    <w:rsid w:val="00C13913"/>
    <w:rsid w:val="00C13CF1"/>
    <w:rsid w:val="00C1459E"/>
    <w:rsid w:val="00C14737"/>
    <w:rsid w:val="00C154FB"/>
    <w:rsid w:val="00C159BF"/>
    <w:rsid w:val="00C15DEE"/>
    <w:rsid w:val="00C16A3A"/>
    <w:rsid w:val="00C20A80"/>
    <w:rsid w:val="00C23422"/>
    <w:rsid w:val="00C251B4"/>
    <w:rsid w:val="00C25691"/>
    <w:rsid w:val="00C25C50"/>
    <w:rsid w:val="00C26934"/>
    <w:rsid w:val="00C32C8F"/>
    <w:rsid w:val="00C335C9"/>
    <w:rsid w:val="00C3519C"/>
    <w:rsid w:val="00C369E4"/>
    <w:rsid w:val="00C40611"/>
    <w:rsid w:val="00C4097B"/>
    <w:rsid w:val="00C42679"/>
    <w:rsid w:val="00C44941"/>
    <w:rsid w:val="00C458C3"/>
    <w:rsid w:val="00C50AC1"/>
    <w:rsid w:val="00C51B59"/>
    <w:rsid w:val="00C51E6B"/>
    <w:rsid w:val="00C53354"/>
    <w:rsid w:val="00C5347B"/>
    <w:rsid w:val="00C55AFD"/>
    <w:rsid w:val="00C56A43"/>
    <w:rsid w:val="00C56E30"/>
    <w:rsid w:val="00C6155A"/>
    <w:rsid w:val="00C6221D"/>
    <w:rsid w:val="00C62ABA"/>
    <w:rsid w:val="00C62CC2"/>
    <w:rsid w:val="00C62F4A"/>
    <w:rsid w:val="00C64529"/>
    <w:rsid w:val="00C659F2"/>
    <w:rsid w:val="00C65E9B"/>
    <w:rsid w:val="00C662BC"/>
    <w:rsid w:val="00C66C48"/>
    <w:rsid w:val="00C67247"/>
    <w:rsid w:val="00C70819"/>
    <w:rsid w:val="00C70913"/>
    <w:rsid w:val="00C72608"/>
    <w:rsid w:val="00C72875"/>
    <w:rsid w:val="00C73192"/>
    <w:rsid w:val="00C74A28"/>
    <w:rsid w:val="00C77FE1"/>
    <w:rsid w:val="00C82246"/>
    <w:rsid w:val="00C838A4"/>
    <w:rsid w:val="00C84C3E"/>
    <w:rsid w:val="00C85C84"/>
    <w:rsid w:val="00C86900"/>
    <w:rsid w:val="00C90D18"/>
    <w:rsid w:val="00C95963"/>
    <w:rsid w:val="00C95CBE"/>
    <w:rsid w:val="00CA0E19"/>
    <w:rsid w:val="00CA1350"/>
    <w:rsid w:val="00CA5DA1"/>
    <w:rsid w:val="00CA5DAB"/>
    <w:rsid w:val="00CA7FA6"/>
    <w:rsid w:val="00CB096E"/>
    <w:rsid w:val="00CB182C"/>
    <w:rsid w:val="00CB5621"/>
    <w:rsid w:val="00CB5834"/>
    <w:rsid w:val="00CB5E10"/>
    <w:rsid w:val="00CB638F"/>
    <w:rsid w:val="00CB63D5"/>
    <w:rsid w:val="00CB6812"/>
    <w:rsid w:val="00CB7455"/>
    <w:rsid w:val="00CC08E7"/>
    <w:rsid w:val="00CC1B8C"/>
    <w:rsid w:val="00CC2110"/>
    <w:rsid w:val="00CC304F"/>
    <w:rsid w:val="00CC4C7D"/>
    <w:rsid w:val="00CC561D"/>
    <w:rsid w:val="00CC5622"/>
    <w:rsid w:val="00CC79B8"/>
    <w:rsid w:val="00CC7B9F"/>
    <w:rsid w:val="00CC7EBC"/>
    <w:rsid w:val="00CD1432"/>
    <w:rsid w:val="00CD368E"/>
    <w:rsid w:val="00CD38AA"/>
    <w:rsid w:val="00CD492B"/>
    <w:rsid w:val="00CD5702"/>
    <w:rsid w:val="00CD6BA3"/>
    <w:rsid w:val="00CE1140"/>
    <w:rsid w:val="00CE27DE"/>
    <w:rsid w:val="00CE2FB8"/>
    <w:rsid w:val="00CE3A85"/>
    <w:rsid w:val="00CE4261"/>
    <w:rsid w:val="00CE457F"/>
    <w:rsid w:val="00CE4625"/>
    <w:rsid w:val="00CE4AC9"/>
    <w:rsid w:val="00CE4B38"/>
    <w:rsid w:val="00CE54EC"/>
    <w:rsid w:val="00CE5DB6"/>
    <w:rsid w:val="00CE78E7"/>
    <w:rsid w:val="00CF15CE"/>
    <w:rsid w:val="00CF331D"/>
    <w:rsid w:val="00CF38E4"/>
    <w:rsid w:val="00CF46DA"/>
    <w:rsid w:val="00CF472D"/>
    <w:rsid w:val="00CF72A1"/>
    <w:rsid w:val="00CF730C"/>
    <w:rsid w:val="00D03956"/>
    <w:rsid w:val="00D05DE7"/>
    <w:rsid w:val="00D07858"/>
    <w:rsid w:val="00D10E1B"/>
    <w:rsid w:val="00D13362"/>
    <w:rsid w:val="00D15860"/>
    <w:rsid w:val="00D1588E"/>
    <w:rsid w:val="00D16F0E"/>
    <w:rsid w:val="00D174A0"/>
    <w:rsid w:val="00D20ECC"/>
    <w:rsid w:val="00D228A6"/>
    <w:rsid w:val="00D26144"/>
    <w:rsid w:val="00D2765A"/>
    <w:rsid w:val="00D30CEC"/>
    <w:rsid w:val="00D31048"/>
    <w:rsid w:val="00D334C7"/>
    <w:rsid w:val="00D33E5F"/>
    <w:rsid w:val="00D3448B"/>
    <w:rsid w:val="00D3460A"/>
    <w:rsid w:val="00D347FD"/>
    <w:rsid w:val="00D34BD8"/>
    <w:rsid w:val="00D3591A"/>
    <w:rsid w:val="00D364FA"/>
    <w:rsid w:val="00D421EE"/>
    <w:rsid w:val="00D422AE"/>
    <w:rsid w:val="00D43DEB"/>
    <w:rsid w:val="00D4449B"/>
    <w:rsid w:val="00D44D2F"/>
    <w:rsid w:val="00D4556B"/>
    <w:rsid w:val="00D458C3"/>
    <w:rsid w:val="00D45950"/>
    <w:rsid w:val="00D45DB0"/>
    <w:rsid w:val="00D47209"/>
    <w:rsid w:val="00D513BA"/>
    <w:rsid w:val="00D51DD3"/>
    <w:rsid w:val="00D53560"/>
    <w:rsid w:val="00D540B8"/>
    <w:rsid w:val="00D549CF"/>
    <w:rsid w:val="00D5595D"/>
    <w:rsid w:val="00D55B50"/>
    <w:rsid w:val="00D55C76"/>
    <w:rsid w:val="00D60868"/>
    <w:rsid w:val="00D62888"/>
    <w:rsid w:val="00D64781"/>
    <w:rsid w:val="00D64DAD"/>
    <w:rsid w:val="00D64F49"/>
    <w:rsid w:val="00D65D67"/>
    <w:rsid w:val="00D666A1"/>
    <w:rsid w:val="00D673AE"/>
    <w:rsid w:val="00D70604"/>
    <w:rsid w:val="00D71455"/>
    <w:rsid w:val="00D72C2B"/>
    <w:rsid w:val="00D73261"/>
    <w:rsid w:val="00D74C02"/>
    <w:rsid w:val="00D75453"/>
    <w:rsid w:val="00D76077"/>
    <w:rsid w:val="00D76255"/>
    <w:rsid w:val="00D812CC"/>
    <w:rsid w:val="00D82DE9"/>
    <w:rsid w:val="00D8353E"/>
    <w:rsid w:val="00D859E8"/>
    <w:rsid w:val="00D90A8E"/>
    <w:rsid w:val="00D91D57"/>
    <w:rsid w:val="00D9220C"/>
    <w:rsid w:val="00D93C34"/>
    <w:rsid w:val="00D93DAE"/>
    <w:rsid w:val="00D9405B"/>
    <w:rsid w:val="00D94221"/>
    <w:rsid w:val="00D94997"/>
    <w:rsid w:val="00D95700"/>
    <w:rsid w:val="00D959B3"/>
    <w:rsid w:val="00D96295"/>
    <w:rsid w:val="00D96BA3"/>
    <w:rsid w:val="00D971ED"/>
    <w:rsid w:val="00DA0397"/>
    <w:rsid w:val="00DA25EC"/>
    <w:rsid w:val="00DA2AF3"/>
    <w:rsid w:val="00DA2F29"/>
    <w:rsid w:val="00DA307C"/>
    <w:rsid w:val="00DA3A7A"/>
    <w:rsid w:val="00DA3D14"/>
    <w:rsid w:val="00DA4EA9"/>
    <w:rsid w:val="00DA5557"/>
    <w:rsid w:val="00DA5CFE"/>
    <w:rsid w:val="00DA5E0C"/>
    <w:rsid w:val="00DA6345"/>
    <w:rsid w:val="00DA716A"/>
    <w:rsid w:val="00DB0940"/>
    <w:rsid w:val="00DB0B1D"/>
    <w:rsid w:val="00DB1B26"/>
    <w:rsid w:val="00DB2A75"/>
    <w:rsid w:val="00DB3AAB"/>
    <w:rsid w:val="00DB3B2B"/>
    <w:rsid w:val="00DB5ADE"/>
    <w:rsid w:val="00DB65B3"/>
    <w:rsid w:val="00DB7371"/>
    <w:rsid w:val="00DB7675"/>
    <w:rsid w:val="00DB7869"/>
    <w:rsid w:val="00DB786B"/>
    <w:rsid w:val="00DC2102"/>
    <w:rsid w:val="00DC50F8"/>
    <w:rsid w:val="00DC669C"/>
    <w:rsid w:val="00DC6709"/>
    <w:rsid w:val="00DC7B1E"/>
    <w:rsid w:val="00DC7F88"/>
    <w:rsid w:val="00DC7F90"/>
    <w:rsid w:val="00DD2B73"/>
    <w:rsid w:val="00DD3FE6"/>
    <w:rsid w:val="00DD4135"/>
    <w:rsid w:val="00DD5F8F"/>
    <w:rsid w:val="00DD6CDD"/>
    <w:rsid w:val="00DD767B"/>
    <w:rsid w:val="00DD7B38"/>
    <w:rsid w:val="00DE0B36"/>
    <w:rsid w:val="00DE2333"/>
    <w:rsid w:val="00DE2E09"/>
    <w:rsid w:val="00DE3286"/>
    <w:rsid w:val="00DE32E8"/>
    <w:rsid w:val="00DE44ED"/>
    <w:rsid w:val="00DE5F20"/>
    <w:rsid w:val="00DE6AB8"/>
    <w:rsid w:val="00DE71CB"/>
    <w:rsid w:val="00DF007A"/>
    <w:rsid w:val="00DF0A0C"/>
    <w:rsid w:val="00DF1E00"/>
    <w:rsid w:val="00DF2345"/>
    <w:rsid w:val="00DF3382"/>
    <w:rsid w:val="00DF3C3B"/>
    <w:rsid w:val="00DF483C"/>
    <w:rsid w:val="00DF5388"/>
    <w:rsid w:val="00DF71E0"/>
    <w:rsid w:val="00DF76F2"/>
    <w:rsid w:val="00E00D9A"/>
    <w:rsid w:val="00E04619"/>
    <w:rsid w:val="00E04DF8"/>
    <w:rsid w:val="00E05347"/>
    <w:rsid w:val="00E05C88"/>
    <w:rsid w:val="00E10EEB"/>
    <w:rsid w:val="00E11280"/>
    <w:rsid w:val="00E12512"/>
    <w:rsid w:val="00E127E5"/>
    <w:rsid w:val="00E12D9D"/>
    <w:rsid w:val="00E2007B"/>
    <w:rsid w:val="00E216A5"/>
    <w:rsid w:val="00E23CD8"/>
    <w:rsid w:val="00E24C68"/>
    <w:rsid w:val="00E2518B"/>
    <w:rsid w:val="00E27E69"/>
    <w:rsid w:val="00E343F2"/>
    <w:rsid w:val="00E35874"/>
    <w:rsid w:val="00E36D5B"/>
    <w:rsid w:val="00E36F12"/>
    <w:rsid w:val="00E37B14"/>
    <w:rsid w:val="00E4339C"/>
    <w:rsid w:val="00E447CD"/>
    <w:rsid w:val="00E45827"/>
    <w:rsid w:val="00E46421"/>
    <w:rsid w:val="00E476D8"/>
    <w:rsid w:val="00E501FF"/>
    <w:rsid w:val="00E50555"/>
    <w:rsid w:val="00E5092C"/>
    <w:rsid w:val="00E50F30"/>
    <w:rsid w:val="00E549BA"/>
    <w:rsid w:val="00E54DEA"/>
    <w:rsid w:val="00E55DF7"/>
    <w:rsid w:val="00E57453"/>
    <w:rsid w:val="00E57B1F"/>
    <w:rsid w:val="00E60221"/>
    <w:rsid w:val="00E61159"/>
    <w:rsid w:val="00E6370D"/>
    <w:rsid w:val="00E63D1F"/>
    <w:rsid w:val="00E63E6E"/>
    <w:rsid w:val="00E67178"/>
    <w:rsid w:val="00E67625"/>
    <w:rsid w:val="00E70DA8"/>
    <w:rsid w:val="00E74A51"/>
    <w:rsid w:val="00E75494"/>
    <w:rsid w:val="00E80576"/>
    <w:rsid w:val="00E80859"/>
    <w:rsid w:val="00E82506"/>
    <w:rsid w:val="00E85E5D"/>
    <w:rsid w:val="00E8623E"/>
    <w:rsid w:val="00E87416"/>
    <w:rsid w:val="00E900DE"/>
    <w:rsid w:val="00E902D7"/>
    <w:rsid w:val="00E91653"/>
    <w:rsid w:val="00E9297A"/>
    <w:rsid w:val="00E9297B"/>
    <w:rsid w:val="00E94E28"/>
    <w:rsid w:val="00E96244"/>
    <w:rsid w:val="00EA0830"/>
    <w:rsid w:val="00EA0CFF"/>
    <w:rsid w:val="00EA23E0"/>
    <w:rsid w:val="00EA2BEB"/>
    <w:rsid w:val="00EA3B8E"/>
    <w:rsid w:val="00EA65AB"/>
    <w:rsid w:val="00EA696D"/>
    <w:rsid w:val="00EA6C7C"/>
    <w:rsid w:val="00EA6D05"/>
    <w:rsid w:val="00EA6E6D"/>
    <w:rsid w:val="00EB3A9F"/>
    <w:rsid w:val="00EB4547"/>
    <w:rsid w:val="00EB471A"/>
    <w:rsid w:val="00EB6E8B"/>
    <w:rsid w:val="00EC11F4"/>
    <w:rsid w:val="00EC22A9"/>
    <w:rsid w:val="00EC2512"/>
    <w:rsid w:val="00EC32D7"/>
    <w:rsid w:val="00EC4D07"/>
    <w:rsid w:val="00EC59CA"/>
    <w:rsid w:val="00EC75D4"/>
    <w:rsid w:val="00ED1846"/>
    <w:rsid w:val="00ED1BD2"/>
    <w:rsid w:val="00ED1DC7"/>
    <w:rsid w:val="00ED2464"/>
    <w:rsid w:val="00ED2DD5"/>
    <w:rsid w:val="00ED2E40"/>
    <w:rsid w:val="00ED302C"/>
    <w:rsid w:val="00ED3179"/>
    <w:rsid w:val="00ED3D07"/>
    <w:rsid w:val="00ED5A8E"/>
    <w:rsid w:val="00ED5D3D"/>
    <w:rsid w:val="00ED60BC"/>
    <w:rsid w:val="00ED69D8"/>
    <w:rsid w:val="00ED6B81"/>
    <w:rsid w:val="00ED7043"/>
    <w:rsid w:val="00EE26A7"/>
    <w:rsid w:val="00EE49D7"/>
    <w:rsid w:val="00EE4D3E"/>
    <w:rsid w:val="00EE542B"/>
    <w:rsid w:val="00EE61B1"/>
    <w:rsid w:val="00EF06E6"/>
    <w:rsid w:val="00EF142E"/>
    <w:rsid w:val="00EF1691"/>
    <w:rsid w:val="00EF1C04"/>
    <w:rsid w:val="00EF33B8"/>
    <w:rsid w:val="00EF3D76"/>
    <w:rsid w:val="00EF4A4E"/>
    <w:rsid w:val="00F005ED"/>
    <w:rsid w:val="00F007B0"/>
    <w:rsid w:val="00F00F15"/>
    <w:rsid w:val="00F02C5A"/>
    <w:rsid w:val="00F0512B"/>
    <w:rsid w:val="00F05A9D"/>
    <w:rsid w:val="00F05C2A"/>
    <w:rsid w:val="00F06EE5"/>
    <w:rsid w:val="00F0780D"/>
    <w:rsid w:val="00F07B02"/>
    <w:rsid w:val="00F10025"/>
    <w:rsid w:val="00F10F99"/>
    <w:rsid w:val="00F11A0A"/>
    <w:rsid w:val="00F12C51"/>
    <w:rsid w:val="00F12E01"/>
    <w:rsid w:val="00F146F9"/>
    <w:rsid w:val="00F1536B"/>
    <w:rsid w:val="00F159BC"/>
    <w:rsid w:val="00F15FF0"/>
    <w:rsid w:val="00F1637B"/>
    <w:rsid w:val="00F170D3"/>
    <w:rsid w:val="00F174B0"/>
    <w:rsid w:val="00F21D8B"/>
    <w:rsid w:val="00F226D3"/>
    <w:rsid w:val="00F22CD8"/>
    <w:rsid w:val="00F231AF"/>
    <w:rsid w:val="00F2351B"/>
    <w:rsid w:val="00F2393D"/>
    <w:rsid w:val="00F249D8"/>
    <w:rsid w:val="00F2630E"/>
    <w:rsid w:val="00F265A0"/>
    <w:rsid w:val="00F314D4"/>
    <w:rsid w:val="00F333F0"/>
    <w:rsid w:val="00F33A6C"/>
    <w:rsid w:val="00F34830"/>
    <w:rsid w:val="00F34CF4"/>
    <w:rsid w:val="00F3549C"/>
    <w:rsid w:val="00F356C9"/>
    <w:rsid w:val="00F365E3"/>
    <w:rsid w:val="00F40185"/>
    <w:rsid w:val="00F40D52"/>
    <w:rsid w:val="00F41573"/>
    <w:rsid w:val="00F42D67"/>
    <w:rsid w:val="00F452AA"/>
    <w:rsid w:val="00F45C5D"/>
    <w:rsid w:val="00F45CD6"/>
    <w:rsid w:val="00F467A0"/>
    <w:rsid w:val="00F47E87"/>
    <w:rsid w:val="00F5110E"/>
    <w:rsid w:val="00F53191"/>
    <w:rsid w:val="00F533F6"/>
    <w:rsid w:val="00F553C2"/>
    <w:rsid w:val="00F55606"/>
    <w:rsid w:val="00F5685E"/>
    <w:rsid w:val="00F57C25"/>
    <w:rsid w:val="00F57DD4"/>
    <w:rsid w:val="00F61E65"/>
    <w:rsid w:val="00F62468"/>
    <w:rsid w:val="00F629F8"/>
    <w:rsid w:val="00F65CFB"/>
    <w:rsid w:val="00F66C7F"/>
    <w:rsid w:val="00F71744"/>
    <w:rsid w:val="00F74DDD"/>
    <w:rsid w:val="00F7545C"/>
    <w:rsid w:val="00F76098"/>
    <w:rsid w:val="00F7702C"/>
    <w:rsid w:val="00F80B07"/>
    <w:rsid w:val="00F816E4"/>
    <w:rsid w:val="00F8175B"/>
    <w:rsid w:val="00F82C6E"/>
    <w:rsid w:val="00F83326"/>
    <w:rsid w:val="00F838F1"/>
    <w:rsid w:val="00F840FB"/>
    <w:rsid w:val="00F843C5"/>
    <w:rsid w:val="00F847D0"/>
    <w:rsid w:val="00F848B9"/>
    <w:rsid w:val="00F851A5"/>
    <w:rsid w:val="00F875C3"/>
    <w:rsid w:val="00F91940"/>
    <w:rsid w:val="00F92221"/>
    <w:rsid w:val="00F963A4"/>
    <w:rsid w:val="00F96700"/>
    <w:rsid w:val="00F974C3"/>
    <w:rsid w:val="00FA048C"/>
    <w:rsid w:val="00FA29ED"/>
    <w:rsid w:val="00FA5741"/>
    <w:rsid w:val="00FA5D1E"/>
    <w:rsid w:val="00FA6AB7"/>
    <w:rsid w:val="00FA7532"/>
    <w:rsid w:val="00FB050F"/>
    <w:rsid w:val="00FB3794"/>
    <w:rsid w:val="00FC0750"/>
    <w:rsid w:val="00FC121A"/>
    <w:rsid w:val="00FC2D2B"/>
    <w:rsid w:val="00FC40FB"/>
    <w:rsid w:val="00FC445A"/>
    <w:rsid w:val="00FC4D8C"/>
    <w:rsid w:val="00FC629A"/>
    <w:rsid w:val="00FC6FD8"/>
    <w:rsid w:val="00FC7680"/>
    <w:rsid w:val="00FD0DD2"/>
    <w:rsid w:val="00FD0F0C"/>
    <w:rsid w:val="00FD15F7"/>
    <w:rsid w:val="00FD1E28"/>
    <w:rsid w:val="00FD1E5E"/>
    <w:rsid w:val="00FD2316"/>
    <w:rsid w:val="00FD2E7C"/>
    <w:rsid w:val="00FD3F70"/>
    <w:rsid w:val="00FD40DB"/>
    <w:rsid w:val="00FD41CB"/>
    <w:rsid w:val="00FD495D"/>
    <w:rsid w:val="00FD6507"/>
    <w:rsid w:val="00FE0131"/>
    <w:rsid w:val="00FE0FAA"/>
    <w:rsid w:val="00FE2549"/>
    <w:rsid w:val="00FE32B5"/>
    <w:rsid w:val="00FE3634"/>
    <w:rsid w:val="00FE44D1"/>
    <w:rsid w:val="00FE4EA5"/>
    <w:rsid w:val="00FE5037"/>
    <w:rsid w:val="00FE6E50"/>
    <w:rsid w:val="00FE70F5"/>
    <w:rsid w:val="00FF067D"/>
    <w:rsid w:val="00FF1198"/>
    <w:rsid w:val="00FF2037"/>
    <w:rsid w:val="00FF29DA"/>
    <w:rsid w:val="00FF2B40"/>
    <w:rsid w:val="00FF443C"/>
    <w:rsid w:val="00FF685C"/>
    <w:rsid w:val="00FF77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E3C06C"/>
  <w15:docId w15:val="{D3ABC745-2DF4-4841-9105-31D8E073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2">
    <w:name w:val="heading 2"/>
    <w:basedOn w:val="Normal"/>
    <w:next w:val="Normal"/>
    <w:link w:val="Heading2Char"/>
    <w:uiPriority w:val="9"/>
    <w:unhideWhenUsed/>
    <w:qFormat/>
    <w:rsid w:val="00A408E9"/>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FootnoteText">
    <w:name w:val="footnote text"/>
    <w:basedOn w:val="Normal"/>
    <w:semiHidden/>
  </w:style>
  <w:style w:type="character" w:styleId="FootnoteReference">
    <w:name w:val="footnote reference"/>
    <w:semiHidden/>
    <w:rPr>
      <w:vertAlign w:val="superscript"/>
    </w:rPr>
  </w:style>
  <w:style w:type="table" w:styleId="TableGrid">
    <w:name w:val="Table Grid"/>
    <w:basedOn w:val="TableNormal"/>
    <w:uiPriority w:val="59"/>
    <w:rsid w:val="00017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33102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2Char">
    <w:name w:val="Heading 2 Char"/>
    <w:link w:val="Heading2"/>
    <w:uiPriority w:val="9"/>
    <w:rsid w:val="00A408E9"/>
    <w:rPr>
      <w:rFonts w:ascii="Cambria" w:eastAsia="Times New Roman" w:hAnsi="Cambria" w:cs="Times New Roman"/>
      <w:b/>
      <w:bCs/>
      <w:i/>
      <w:iCs/>
      <w:sz w:val="28"/>
      <w:szCs w:val="28"/>
    </w:rPr>
  </w:style>
  <w:style w:type="character" w:styleId="Hyperlink">
    <w:name w:val="Hyperlink"/>
    <w:uiPriority w:val="99"/>
    <w:unhideWhenUsed/>
    <w:rsid w:val="0050749B"/>
    <w:rPr>
      <w:color w:val="0000FF"/>
      <w:u w:val="single"/>
    </w:rPr>
  </w:style>
  <w:style w:type="paragraph" w:styleId="BalloonText">
    <w:name w:val="Balloon Text"/>
    <w:basedOn w:val="Normal"/>
    <w:link w:val="BalloonTextChar"/>
    <w:uiPriority w:val="99"/>
    <w:semiHidden/>
    <w:unhideWhenUsed/>
    <w:rsid w:val="00210D2A"/>
    <w:rPr>
      <w:rFonts w:ascii="Arial" w:hAnsi="Arial" w:cs="Arial"/>
      <w:sz w:val="16"/>
      <w:szCs w:val="16"/>
      <w:lang w:val="en-US"/>
    </w:rPr>
  </w:style>
  <w:style w:type="character" w:customStyle="1" w:styleId="BalloonTextChar">
    <w:name w:val="Balloon Text Char"/>
    <w:link w:val="BalloonText"/>
    <w:uiPriority w:val="99"/>
    <w:semiHidden/>
    <w:rsid w:val="00210D2A"/>
    <w:rPr>
      <w:rFonts w:ascii="Arial" w:hAnsi="Arial" w:cs="Arial"/>
      <w:sz w:val="16"/>
      <w:szCs w:val="16"/>
      <w:lang w:val="en-US"/>
    </w:rPr>
  </w:style>
  <w:style w:type="character" w:styleId="CommentReference">
    <w:name w:val="annotation reference"/>
    <w:uiPriority w:val="99"/>
    <w:semiHidden/>
    <w:unhideWhenUsed/>
    <w:rsid w:val="00523D8D"/>
    <w:rPr>
      <w:sz w:val="16"/>
      <w:szCs w:val="16"/>
    </w:rPr>
  </w:style>
  <w:style w:type="paragraph" w:styleId="CommentText">
    <w:name w:val="annotation text"/>
    <w:basedOn w:val="Normal"/>
    <w:link w:val="CommentTextChar"/>
    <w:uiPriority w:val="99"/>
    <w:semiHidden/>
    <w:unhideWhenUsed/>
    <w:rsid w:val="00523D8D"/>
  </w:style>
  <w:style w:type="character" w:customStyle="1" w:styleId="CommentTextChar">
    <w:name w:val="Comment Text Char"/>
    <w:basedOn w:val="DefaultParagraphFont"/>
    <w:link w:val="CommentText"/>
    <w:uiPriority w:val="99"/>
    <w:semiHidden/>
    <w:rsid w:val="00523D8D"/>
  </w:style>
  <w:style w:type="paragraph" w:styleId="CommentSubject">
    <w:name w:val="annotation subject"/>
    <w:basedOn w:val="CommentText"/>
    <w:next w:val="CommentText"/>
    <w:link w:val="CommentSubjectChar"/>
    <w:uiPriority w:val="99"/>
    <w:semiHidden/>
    <w:unhideWhenUsed/>
    <w:rsid w:val="00523D8D"/>
    <w:rPr>
      <w:b/>
      <w:bCs/>
    </w:rPr>
  </w:style>
  <w:style w:type="character" w:customStyle="1" w:styleId="CommentSubjectChar">
    <w:name w:val="Comment Subject Char"/>
    <w:link w:val="CommentSubject"/>
    <w:uiPriority w:val="99"/>
    <w:semiHidden/>
    <w:rsid w:val="00523D8D"/>
    <w:rPr>
      <w:b/>
      <w:bCs/>
    </w:rPr>
  </w:style>
  <w:style w:type="character" w:customStyle="1" w:styleId="UnresolvedMention1">
    <w:name w:val="Unresolved Mention1"/>
    <w:uiPriority w:val="99"/>
    <w:semiHidden/>
    <w:unhideWhenUsed/>
    <w:rsid w:val="00953CF4"/>
    <w:rPr>
      <w:color w:val="808080"/>
      <w:shd w:val="clear" w:color="auto" w:fill="E6E6E6"/>
    </w:rPr>
  </w:style>
  <w:style w:type="table" w:customStyle="1" w:styleId="TableGridLight1">
    <w:name w:val="Table Grid Light1"/>
    <w:basedOn w:val="TableNormal"/>
    <w:uiPriority w:val="40"/>
    <w:rsid w:val="009830D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EndnoteText">
    <w:name w:val="endnote text"/>
    <w:basedOn w:val="Normal"/>
    <w:link w:val="EndnoteTextChar"/>
    <w:uiPriority w:val="99"/>
    <w:unhideWhenUsed/>
    <w:rsid w:val="00CB63D5"/>
  </w:style>
  <w:style w:type="character" w:customStyle="1" w:styleId="EndnoteTextChar">
    <w:name w:val="Endnote Text Char"/>
    <w:basedOn w:val="DefaultParagraphFont"/>
    <w:link w:val="EndnoteText"/>
    <w:uiPriority w:val="99"/>
    <w:rsid w:val="00CB63D5"/>
  </w:style>
  <w:style w:type="character" w:styleId="EndnoteReference">
    <w:name w:val="endnote reference"/>
    <w:uiPriority w:val="99"/>
    <w:semiHidden/>
    <w:unhideWhenUsed/>
    <w:rsid w:val="00CB63D5"/>
    <w:rPr>
      <w:vertAlign w:val="superscript"/>
    </w:rPr>
  </w:style>
  <w:style w:type="character" w:customStyle="1" w:styleId="FooterChar">
    <w:name w:val="Footer Char"/>
    <w:link w:val="Footer"/>
    <w:uiPriority w:val="99"/>
    <w:rsid w:val="00FC4D8C"/>
  </w:style>
  <w:style w:type="paragraph" w:styleId="NormalWeb">
    <w:name w:val="Normal (Web)"/>
    <w:basedOn w:val="Normal"/>
    <w:uiPriority w:val="99"/>
    <w:unhideWhenUsed/>
    <w:rsid w:val="000B468B"/>
    <w:pPr>
      <w:overflowPunct/>
      <w:autoSpaceDE/>
      <w:autoSpaceDN/>
      <w:adjustRightInd/>
      <w:spacing w:before="100" w:beforeAutospacing="1" w:after="100" w:afterAutospacing="1"/>
      <w:textAlignment w:val="auto"/>
    </w:pPr>
    <w:rPr>
      <w:lang w:eastAsia="en-US"/>
    </w:rPr>
  </w:style>
  <w:style w:type="paragraph" w:styleId="Revision">
    <w:name w:val="Revision"/>
    <w:hidden/>
    <w:uiPriority w:val="99"/>
    <w:semiHidden/>
    <w:rsid w:val="000B7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79094">
      <w:bodyDiv w:val="1"/>
      <w:marLeft w:val="0"/>
      <w:marRight w:val="0"/>
      <w:marTop w:val="0"/>
      <w:marBottom w:val="0"/>
      <w:divBdr>
        <w:top w:val="none" w:sz="0" w:space="0" w:color="auto"/>
        <w:left w:val="none" w:sz="0" w:space="0" w:color="auto"/>
        <w:bottom w:val="none" w:sz="0" w:space="0" w:color="auto"/>
        <w:right w:val="none" w:sz="0" w:space="0" w:color="auto"/>
      </w:divBdr>
    </w:div>
    <w:div w:id="192310740">
      <w:bodyDiv w:val="1"/>
      <w:marLeft w:val="0"/>
      <w:marRight w:val="0"/>
      <w:marTop w:val="0"/>
      <w:marBottom w:val="0"/>
      <w:divBdr>
        <w:top w:val="none" w:sz="0" w:space="0" w:color="auto"/>
        <w:left w:val="none" w:sz="0" w:space="0" w:color="auto"/>
        <w:bottom w:val="none" w:sz="0" w:space="0" w:color="auto"/>
        <w:right w:val="none" w:sz="0" w:space="0" w:color="auto"/>
      </w:divBdr>
    </w:div>
    <w:div w:id="250285390">
      <w:bodyDiv w:val="1"/>
      <w:marLeft w:val="0"/>
      <w:marRight w:val="0"/>
      <w:marTop w:val="0"/>
      <w:marBottom w:val="0"/>
      <w:divBdr>
        <w:top w:val="none" w:sz="0" w:space="0" w:color="auto"/>
        <w:left w:val="none" w:sz="0" w:space="0" w:color="auto"/>
        <w:bottom w:val="none" w:sz="0" w:space="0" w:color="auto"/>
        <w:right w:val="none" w:sz="0" w:space="0" w:color="auto"/>
      </w:divBdr>
    </w:div>
    <w:div w:id="262543105">
      <w:bodyDiv w:val="1"/>
      <w:marLeft w:val="0"/>
      <w:marRight w:val="0"/>
      <w:marTop w:val="0"/>
      <w:marBottom w:val="0"/>
      <w:divBdr>
        <w:top w:val="none" w:sz="0" w:space="0" w:color="auto"/>
        <w:left w:val="none" w:sz="0" w:space="0" w:color="auto"/>
        <w:bottom w:val="none" w:sz="0" w:space="0" w:color="auto"/>
        <w:right w:val="none" w:sz="0" w:space="0" w:color="auto"/>
      </w:divBdr>
    </w:div>
    <w:div w:id="289480973">
      <w:bodyDiv w:val="1"/>
      <w:marLeft w:val="0"/>
      <w:marRight w:val="0"/>
      <w:marTop w:val="0"/>
      <w:marBottom w:val="0"/>
      <w:divBdr>
        <w:top w:val="none" w:sz="0" w:space="0" w:color="auto"/>
        <w:left w:val="none" w:sz="0" w:space="0" w:color="auto"/>
        <w:bottom w:val="none" w:sz="0" w:space="0" w:color="auto"/>
        <w:right w:val="none" w:sz="0" w:space="0" w:color="auto"/>
      </w:divBdr>
    </w:div>
    <w:div w:id="356347370">
      <w:bodyDiv w:val="1"/>
      <w:marLeft w:val="0"/>
      <w:marRight w:val="0"/>
      <w:marTop w:val="0"/>
      <w:marBottom w:val="0"/>
      <w:divBdr>
        <w:top w:val="none" w:sz="0" w:space="0" w:color="auto"/>
        <w:left w:val="none" w:sz="0" w:space="0" w:color="auto"/>
        <w:bottom w:val="none" w:sz="0" w:space="0" w:color="auto"/>
        <w:right w:val="none" w:sz="0" w:space="0" w:color="auto"/>
      </w:divBdr>
    </w:div>
    <w:div w:id="361170254">
      <w:bodyDiv w:val="1"/>
      <w:marLeft w:val="0"/>
      <w:marRight w:val="0"/>
      <w:marTop w:val="0"/>
      <w:marBottom w:val="0"/>
      <w:divBdr>
        <w:top w:val="none" w:sz="0" w:space="0" w:color="auto"/>
        <w:left w:val="none" w:sz="0" w:space="0" w:color="auto"/>
        <w:bottom w:val="none" w:sz="0" w:space="0" w:color="auto"/>
        <w:right w:val="none" w:sz="0" w:space="0" w:color="auto"/>
      </w:divBdr>
    </w:div>
    <w:div w:id="434524877">
      <w:bodyDiv w:val="1"/>
      <w:marLeft w:val="0"/>
      <w:marRight w:val="0"/>
      <w:marTop w:val="0"/>
      <w:marBottom w:val="0"/>
      <w:divBdr>
        <w:top w:val="none" w:sz="0" w:space="0" w:color="auto"/>
        <w:left w:val="none" w:sz="0" w:space="0" w:color="auto"/>
        <w:bottom w:val="none" w:sz="0" w:space="0" w:color="auto"/>
        <w:right w:val="none" w:sz="0" w:space="0" w:color="auto"/>
      </w:divBdr>
    </w:div>
    <w:div w:id="609048472">
      <w:bodyDiv w:val="1"/>
      <w:marLeft w:val="0"/>
      <w:marRight w:val="0"/>
      <w:marTop w:val="0"/>
      <w:marBottom w:val="0"/>
      <w:divBdr>
        <w:top w:val="none" w:sz="0" w:space="0" w:color="auto"/>
        <w:left w:val="none" w:sz="0" w:space="0" w:color="auto"/>
        <w:bottom w:val="none" w:sz="0" w:space="0" w:color="auto"/>
        <w:right w:val="none" w:sz="0" w:space="0" w:color="auto"/>
      </w:divBdr>
    </w:div>
    <w:div w:id="812911372">
      <w:bodyDiv w:val="1"/>
      <w:marLeft w:val="0"/>
      <w:marRight w:val="0"/>
      <w:marTop w:val="0"/>
      <w:marBottom w:val="0"/>
      <w:divBdr>
        <w:top w:val="none" w:sz="0" w:space="0" w:color="auto"/>
        <w:left w:val="none" w:sz="0" w:space="0" w:color="auto"/>
        <w:bottom w:val="none" w:sz="0" w:space="0" w:color="auto"/>
        <w:right w:val="none" w:sz="0" w:space="0" w:color="auto"/>
      </w:divBdr>
    </w:div>
    <w:div w:id="828256207">
      <w:bodyDiv w:val="1"/>
      <w:marLeft w:val="0"/>
      <w:marRight w:val="0"/>
      <w:marTop w:val="0"/>
      <w:marBottom w:val="0"/>
      <w:divBdr>
        <w:top w:val="none" w:sz="0" w:space="0" w:color="auto"/>
        <w:left w:val="none" w:sz="0" w:space="0" w:color="auto"/>
        <w:bottom w:val="none" w:sz="0" w:space="0" w:color="auto"/>
        <w:right w:val="none" w:sz="0" w:space="0" w:color="auto"/>
      </w:divBdr>
    </w:div>
    <w:div w:id="830294154">
      <w:bodyDiv w:val="1"/>
      <w:marLeft w:val="0"/>
      <w:marRight w:val="0"/>
      <w:marTop w:val="0"/>
      <w:marBottom w:val="0"/>
      <w:divBdr>
        <w:top w:val="none" w:sz="0" w:space="0" w:color="auto"/>
        <w:left w:val="none" w:sz="0" w:space="0" w:color="auto"/>
        <w:bottom w:val="none" w:sz="0" w:space="0" w:color="auto"/>
        <w:right w:val="none" w:sz="0" w:space="0" w:color="auto"/>
      </w:divBdr>
    </w:div>
    <w:div w:id="1010447585">
      <w:bodyDiv w:val="1"/>
      <w:marLeft w:val="0"/>
      <w:marRight w:val="0"/>
      <w:marTop w:val="0"/>
      <w:marBottom w:val="0"/>
      <w:divBdr>
        <w:top w:val="none" w:sz="0" w:space="0" w:color="auto"/>
        <w:left w:val="none" w:sz="0" w:space="0" w:color="auto"/>
        <w:bottom w:val="none" w:sz="0" w:space="0" w:color="auto"/>
        <w:right w:val="none" w:sz="0" w:space="0" w:color="auto"/>
      </w:divBdr>
    </w:div>
    <w:div w:id="1475414731">
      <w:bodyDiv w:val="1"/>
      <w:marLeft w:val="0"/>
      <w:marRight w:val="0"/>
      <w:marTop w:val="0"/>
      <w:marBottom w:val="0"/>
      <w:divBdr>
        <w:top w:val="none" w:sz="0" w:space="0" w:color="auto"/>
        <w:left w:val="none" w:sz="0" w:space="0" w:color="auto"/>
        <w:bottom w:val="none" w:sz="0" w:space="0" w:color="auto"/>
        <w:right w:val="none" w:sz="0" w:space="0" w:color="auto"/>
      </w:divBdr>
    </w:div>
    <w:div w:id="1517117457">
      <w:bodyDiv w:val="1"/>
      <w:marLeft w:val="0"/>
      <w:marRight w:val="0"/>
      <w:marTop w:val="0"/>
      <w:marBottom w:val="0"/>
      <w:divBdr>
        <w:top w:val="none" w:sz="0" w:space="0" w:color="auto"/>
        <w:left w:val="none" w:sz="0" w:space="0" w:color="auto"/>
        <w:bottom w:val="none" w:sz="0" w:space="0" w:color="auto"/>
        <w:right w:val="none" w:sz="0" w:space="0" w:color="auto"/>
      </w:divBdr>
    </w:div>
    <w:div w:id="1663003309">
      <w:bodyDiv w:val="1"/>
      <w:marLeft w:val="0"/>
      <w:marRight w:val="0"/>
      <w:marTop w:val="0"/>
      <w:marBottom w:val="0"/>
      <w:divBdr>
        <w:top w:val="none" w:sz="0" w:space="0" w:color="auto"/>
        <w:left w:val="none" w:sz="0" w:space="0" w:color="auto"/>
        <w:bottom w:val="none" w:sz="0" w:space="0" w:color="auto"/>
        <w:right w:val="none" w:sz="0" w:space="0" w:color="auto"/>
      </w:divBdr>
    </w:div>
    <w:div w:id="1720547291">
      <w:bodyDiv w:val="1"/>
      <w:marLeft w:val="0"/>
      <w:marRight w:val="0"/>
      <w:marTop w:val="0"/>
      <w:marBottom w:val="0"/>
      <w:divBdr>
        <w:top w:val="none" w:sz="0" w:space="0" w:color="auto"/>
        <w:left w:val="none" w:sz="0" w:space="0" w:color="auto"/>
        <w:bottom w:val="none" w:sz="0" w:space="0" w:color="auto"/>
        <w:right w:val="none" w:sz="0" w:space="0" w:color="auto"/>
      </w:divBdr>
    </w:div>
    <w:div w:id="1820803955">
      <w:bodyDiv w:val="1"/>
      <w:marLeft w:val="0"/>
      <w:marRight w:val="0"/>
      <w:marTop w:val="0"/>
      <w:marBottom w:val="0"/>
      <w:divBdr>
        <w:top w:val="none" w:sz="0" w:space="0" w:color="auto"/>
        <w:left w:val="none" w:sz="0" w:space="0" w:color="auto"/>
        <w:bottom w:val="none" w:sz="0" w:space="0" w:color="auto"/>
        <w:right w:val="none" w:sz="0" w:space="0" w:color="auto"/>
      </w:divBdr>
    </w:div>
    <w:div w:id="1953366396">
      <w:bodyDiv w:val="1"/>
      <w:marLeft w:val="0"/>
      <w:marRight w:val="0"/>
      <w:marTop w:val="0"/>
      <w:marBottom w:val="0"/>
      <w:divBdr>
        <w:top w:val="none" w:sz="0" w:space="0" w:color="auto"/>
        <w:left w:val="none" w:sz="0" w:space="0" w:color="auto"/>
        <w:bottom w:val="none" w:sz="0" w:space="0" w:color="auto"/>
        <w:right w:val="none" w:sz="0" w:space="0" w:color="auto"/>
      </w:divBdr>
    </w:div>
    <w:div w:id="212002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xforddnb.com/view/article/36799"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xforddnb.com/view/article/34741"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2"/>
          <c:order val="1"/>
          <c:tx>
            <c:strRef>
              <c:f>Sheet2!$D$1</c:f>
              <c:strCache>
                <c:ptCount val="1"/>
                <c:pt idx="0">
                  <c:v>%change</c:v>
                </c:pt>
              </c:strCache>
            </c:strRef>
          </c:tx>
          <c:marker>
            <c:symbol val="none"/>
          </c:marker>
          <c:cat>
            <c:numRef>
              <c:f>Sheet2!$A$116:$A$200</c:f>
              <c:numCache>
                <c:formatCode>General</c:formatCode>
                <c:ptCount val="85"/>
                <c:pt idx="0">
                  <c:v>1924</c:v>
                </c:pt>
                <c:pt idx="1">
                  <c:v>1925</c:v>
                </c:pt>
                <c:pt idx="2">
                  <c:v>1926</c:v>
                </c:pt>
                <c:pt idx="3">
                  <c:v>1927</c:v>
                </c:pt>
                <c:pt idx="4">
                  <c:v>1928</c:v>
                </c:pt>
                <c:pt idx="5">
                  <c:v>1929</c:v>
                </c:pt>
                <c:pt idx="6">
                  <c:v>1930</c:v>
                </c:pt>
                <c:pt idx="7">
                  <c:v>1931</c:v>
                </c:pt>
                <c:pt idx="8">
                  <c:v>1932</c:v>
                </c:pt>
                <c:pt idx="9">
                  <c:v>1933</c:v>
                </c:pt>
                <c:pt idx="10">
                  <c:v>1934</c:v>
                </c:pt>
                <c:pt idx="11">
                  <c:v>1935</c:v>
                </c:pt>
                <c:pt idx="12">
                  <c:v>1936</c:v>
                </c:pt>
                <c:pt idx="13">
                  <c:v>1937</c:v>
                </c:pt>
                <c:pt idx="14">
                  <c:v>1938</c:v>
                </c:pt>
                <c:pt idx="15">
                  <c:v>1939</c:v>
                </c:pt>
                <c:pt idx="16">
                  <c:v>1940</c:v>
                </c:pt>
                <c:pt idx="17">
                  <c:v>1941</c:v>
                </c:pt>
                <c:pt idx="18">
                  <c:v>1942</c:v>
                </c:pt>
                <c:pt idx="19">
                  <c:v>1943</c:v>
                </c:pt>
                <c:pt idx="20">
                  <c:v>1944</c:v>
                </c:pt>
                <c:pt idx="21">
                  <c:v>1945</c:v>
                </c:pt>
                <c:pt idx="22">
                  <c:v>1946</c:v>
                </c:pt>
                <c:pt idx="23">
                  <c:v>1947</c:v>
                </c:pt>
                <c:pt idx="24">
                  <c:v>1948</c:v>
                </c:pt>
                <c:pt idx="25">
                  <c:v>1949</c:v>
                </c:pt>
                <c:pt idx="26">
                  <c:v>1950</c:v>
                </c:pt>
                <c:pt idx="27">
                  <c:v>1951</c:v>
                </c:pt>
                <c:pt idx="28">
                  <c:v>1952</c:v>
                </c:pt>
                <c:pt idx="29">
                  <c:v>1953</c:v>
                </c:pt>
                <c:pt idx="30">
                  <c:v>1954</c:v>
                </c:pt>
                <c:pt idx="31">
                  <c:v>1955</c:v>
                </c:pt>
                <c:pt idx="32">
                  <c:v>1956</c:v>
                </c:pt>
                <c:pt idx="33">
                  <c:v>1957</c:v>
                </c:pt>
                <c:pt idx="34">
                  <c:v>1958</c:v>
                </c:pt>
                <c:pt idx="35">
                  <c:v>1959</c:v>
                </c:pt>
                <c:pt idx="36">
                  <c:v>1960</c:v>
                </c:pt>
                <c:pt idx="37">
                  <c:v>1961</c:v>
                </c:pt>
                <c:pt idx="38">
                  <c:v>1962</c:v>
                </c:pt>
                <c:pt idx="39">
                  <c:v>1963</c:v>
                </c:pt>
                <c:pt idx="40">
                  <c:v>1964</c:v>
                </c:pt>
                <c:pt idx="41">
                  <c:v>1965</c:v>
                </c:pt>
                <c:pt idx="42">
                  <c:v>1966</c:v>
                </c:pt>
                <c:pt idx="43">
                  <c:v>1967</c:v>
                </c:pt>
                <c:pt idx="44">
                  <c:v>1968</c:v>
                </c:pt>
                <c:pt idx="45">
                  <c:v>1969</c:v>
                </c:pt>
                <c:pt idx="46">
                  <c:v>1970</c:v>
                </c:pt>
                <c:pt idx="47">
                  <c:v>1971</c:v>
                </c:pt>
                <c:pt idx="48">
                  <c:v>1972</c:v>
                </c:pt>
                <c:pt idx="49">
                  <c:v>1973</c:v>
                </c:pt>
                <c:pt idx="50">
                  <c:v>1974</c:v>
                </c:pt>
                <c:pt idx="51">
                  <c:v>1975</c:v>
                </c:pt>
                <c:pt idx="52">
                  <c:v>1976</c:v>
                </c:pt>
                <c:pt idx="53">
                  <c:v>1977</c:v>
                </c:pt>
                <c:pt idx="54">
                  <c:v>1978</c:v>
                </c:pt>
                <c:pt idx="55">
                  <c:v>1979</c:v>
                </c:pt>
                <c:pt idx="56">
                  <c:v>1980</c:v>
                </c:pt>
                <c:pt idx="57">
                  <c:v>1981</c:v>
                </c:pt>
                <c:pt idx="58">
                  <c:v>1982</c:v>
                </c:pt>
                <c:pt idx="59">
                  <c:v>1983</c:v>
                </c:pt>
                <c:pt idx="60">
                  <c:v>1984</c:v>
                </c:pt>
                <c:pt idx="61">
                  <c:v>1985</c:v>
                </c:pt>
                <c:pt idx="62">
                  <c:v>1986</c:v>
                </c:pt>
                <c:pt idx="63">
                  <c:v>1987</c:v>
                </c:pt>
                <c:pt idx="64">
                  <c:v>1988</c:v>
                </c:pt>
                <c:pt idx="65">
                  <c:v>1989</c:v>
                </c:pt>
                <c:pt idx="66">
                  <c:v>1990</c:v>
                </c:pt>
                <c:pt idx="67">
                  <c:v>1991</c:v>
                </c:pt>
                <c:pt idx="68">
                  <c:v>1992</c:v>
                </c:pt>
                <c:pt idx="69">
                  <c:v>1993</c:v>
                </c:pt>
                <c:pt idx="70">
                  <c:v>1994</c:v>
                </c:pt>
                <c:pt idx="71">
                  <c:v>1995</c:v>
                </c:pt>
                <c:pt idx="72">
                  <c:v>1996</c:v>
                </c:pt>
                <c:pt idx="73">
                  <c:v>1997</c:v>
                </c:pt>
                <c:pt idx="74">
                  <c:v>1998</c:v>
                </c:pt>
                <c:pt idx="75">
                  <c:v>1999</c:v>
                </c:pt>
                <c:pt idx="76">
                  <c:v>2000</c:v>
                </c:pt>
                <c:pt idx="77">
                  <c:v>2001</c:v>
                </c:pt>
                <c:pt idx="78">
                  <c:v>2002</c:v>
                </c:pt>
                <c:pt idx="79">
                  <c:v>2003</c:v>
                </c:pt>
                <c:pt idx="80">
                  <c:v>2004</c:v>
                </c:pt>
                <c:pt idx="81">
                  <c:v>2005</c:v>
                </c:pt>
                <c:pt idx="82">
                  <c:v>2006</c:v>
                </c:pt>
                <c:pt idx="83">
                  <c:v>2007</c:v>
                </c:pt>
                <c:pt idx="84">
                  <c:v>2008</c:v>
                </c:pt>
              </c:numCache>
            </c:numRef>
          </c:cat>
          <c:val>
            <c:numRef>
              <c:f>Sheet2!$D$116:$D$200</c:f>
              <c:numCache>
                <c:formatCode>General</c:formatCode>
                <c:ptCount val="85"/>
                <c:pt idx="0">
                  <c:v>-5.2863436123347998E-2</c:v>
                </c:pt>
                <c:pt idx="1">
                  <c:v>-2.2522522522522501E-2</c:v>
                </c:pt>
                <c:pt idx="2">
                  <c:v>-1.8348623853211E-2</c:v>
                </c:pt>
                <c:pt idx="3">
                  <c:v>0</c:v>
                </c:pt>
                <c:pt idx="4">
                  <c:v>9.0909090909090905E-3</c:v>
                </c:pt>
                <c:pt idx="5">
                  <c:v>-1.3824884792626699E-2</c:v>
                </c:pt>
                <c:pt idx="6">
                  <c:v>-3.82775119617225E-2</c:v>
                </c:pt>
                <c:pt idx="7">
                  <c:v>-5.0251256281407003E-2</c:v>
                </c:pt>
                <c:pt idx="8">
                  <c:v>0</c:v>
                </c:pt>
                <c:pt idx="9">
                  <c:v>-1.53061224489796E-2</c:v>
                </c:pt>
                <c:pt idx="10">
                  <c:v>5.0761421319796898E-3</c:v>
                </c:pt>
                <c:pt idx="11">
                  <c:v>0</c:v>
                </c:pt>
                <c:pt idx="12">
                  <c:v>0</c:v>
                </c:pt>
                <c:pt idx="13">
                  <c:v>-3.6842105263157898E-2</c:v>
                </c:pt>
                <c:pt idx="14">
                  <c:v>5.2356020942408397E-3</c:v>
                </c:pt>
                <c:pt idx="15">
                  <c:v>-1.0582010582010601E-2</c:v>
                </c:pt>
                <c:pt idx="16">
                  <c:v>-3.2786885245901599E-2</c:v>
                </c:pt>
                <c:pt idx="17">
                  <c:v>-1.6666666666666701E-2</c:v>
                </c:pt>
                <c:pt idx="18">
                  <c:v>-2.8571428571428598E-2</c:v>
                </c:pt>
                <c:pt idx="19">
                  <c:v>1.12994350282486E-2</c:v>
                </c:pt>
                <c:pt idx="20">
                  <c:v>-2.3121387283237E-2</c:v>
                </c:pt>
                <c:pt idx="21">
                  <c:v>-5.8139534883720903E-3</c:v>
                </c:pt>
                <c:pt idx="22">
                  <c:v>5.78034682080925E-3</c:v>
                </c:pt>
                <c:pt idx="23">
                  <c:v>1.7045454545454499E-2</c:v>
                </c:pt>
                <c:pt idx="24">
                  <c:v>-5.7142857142857099E-3</c:v>
                </c:pt>
                <c:pt idx="25">
                  <c:v>-2.3391812865497099E-2</c:v>
                </c:pt>
                <c:pt idx="26">
                  <c:v>-5.8823529411764696E-3</c:v>
                </c:pt>
                <c:pt idx="27">
                  <c:v>-1.79640718562874E-2</c:v>
                </c:pt>
                <c:pt idx="28">
                  <c:v>-3.0864197530864199E-2</c:v>
                </c:pt>
                <c:pt idx="29">
                  <c:v>-1.88679245283019E-2</c:v>
                </c:pt>
                <c:pt idx="30">
                  <c:v>6.2500000000000003E-3</c:v>
                </c:pt>
                <c:pt idx="31">
                  <c:v>2.4390243902439001E-2</c:v>
                </c:pt>
                <c:pt idx="32">
                  <c:v>-3.7974683544303799E-2</c:v>
                </c:pt>
                <c:pt idx="33">
                  <c:v>1.2500000000000001E-2</c:v>
                </c:pt>
                <c:pt idx="34">
                  <c:v>-6.2893081761006301E-3</c:v>
                </c:pt>
                <c:pt idx="35">
                  <c:v>-6.3291139240506302E-3</c:v>
                </c:pt>
                <c:pt idx="36">
                  <c:v>-1.2820512820512799E-2</c:v>
                </c:pt>
                <c:pt idx="37">
                  <c:v>-1.2987012987013E-2</c:v>
                </c:pt>
                <c:pt idx="38">
                  <c:v>2.53164556962025E-2</c:v>
                </c:pt>
                <c:pt idx="39">
                  <c:v>-3.94736842105263E-2</c:v>
                </c:pt>
                <c:pt idx="40">
                  <c:v>3.7974683544303799E-2</c:v>
                </c:pt>
                <c:pt idx="41">
                  <c:v>1.2500000000000001E-2</c:v>
                </c:pt>
                <c:pt idx="42">
                  <c:v>1.84049079754601E-2</c:v>
                </c:pt>
                <c:pt idx="43">
                  <c:v>-2.51572327044025E-2</c:v>
                </c:pt>
                <c:pt idx="44">
                  <c:v>5.3571428571428603E-2</c:v>
                </c:pt>
                <c:pt idx="45">
                  <c:v>2.32558139534884E-2</c:v>
                </c:pt>
                <c:pt idx="46">
                  <c:v>-8.17610062893082E-2</c:v>
                </c:pt>
                <c:pt idx="47">
                  <c:v>-6.3291139240506302E-3</c:v>
                </c:pt>
                <c:pt idx="48">
                  <c:v>2.4691358024691398E-2</c:v>
                </c:pt>
                <c:pt idx="49">
                  <c:v>6.8965517241379296E-2</c:v>
                </c:pt>
                <c:pt idx="50">
                  <c:v>5.7142857142857099E-3</c:v>
                </c:pt>
                <c:pt idx="51">
                  <c:v>-2.94117647058823E-2</c:v>
                </c:pt>
                <c:pt idx="52">
                  <c:v>-2.40963855421687E-2</c:v>
                </c:pt>
                <c:pt idx="53">
                  <c:v>3.4883720930232599E-2</c:v>
                </c:pt>
                <c:pt idx="54">
                  <c:v>-2.3809523809523801E-2</c:v>
                </c:pt>
                <c:pt idx="55">
                  <c:v>-1.20481927710843E-2</c:v>
                </c:pt>
                <c:pt idx="56">
                  <c:v>0.14871794871794899</c:v>
                </c:pt>
                <c:pt idx="57">
                  <c:v>-4.8387096774193498E-2</c:v>
                </c:pt>
                <c:pt idx="58">
                  <c:v>0</c:v>
                </c:pt>
                <c:pt idx="59">
                  <c:v>0</c:v>
                </c:pt>
                <c:pt idx="60">
                  <c:v>-3.91061452513966E-2</c:v>
                </c:pt>
                <c:pt idx="61">
                  <c:v>2.7173913043478298E-2</c:v>
                </c:pt>
                <c:pt idx="62">
                  <c:v>2.1276595744680799E-2</c:v>
                </c:pt>
                <c:pt idx="63">
                  <c:v>2.0833333333333301E-2</c:v>
                </c:pt>
                <c:pt idx="64">
                  <c:v>-1.05263157894737E-2</c:v>
                </c:pt>
                <c:pt idx="65">
                  <c:v>-0.13095238095238099</c:v>
                </c:pt>
                <c:pt idx="66">
                  <c:v>-3.0674846625766899E-2</c:v>
                </c:pt>
                <c:pt idx="67">
                  <c:v>-6.5359477124182996E-2</c:v>
                </c:pt>
                <c:pt idx="68">
                  <c:v>-1.3245033112582801E-2</c:v>
                </c:pt>
                <c:pt idx="69">
                  <c:v>-2.7210884353741499E-2</c:v>
                </c:pt>
                <c:pt idx="70">
                  <c:v>-0.13953488372093001</c:v>
                </c:pt>
                <c:pt idx="71">
                  <c:v>0</c:v>
                </c:pt>
                <c:pt idx="72">
                  <c:v>-1.5748031496062999E-2</c:v>
                </c:pt>
                <c:pt idx="73">
                  <c:v>2.3076923076923099E-2</c:v>
                </c:pt>
                <c:pt idx="74">
                  <c:v>-5.6910569105690999E-2</c:v>
                </c:pt>
                <c:pt idx="75">
                  <c:v>-1.6528925619834701E-2</c:v>
                </c:pt>
                <c:pt idx="76">
                  <c:v>-7.0796460176991094E-2</c:v>
                </c:pt>
                <c:pt idx="77">
                  <c:v>8.7719298245613996E-3</c:v>
                </c:pt>
                <c:pt idx="78">
                  <c:v>-1.7857142857142901E-2</c:v>
                </c:pt>
                <c:pt idx="79">
                  <c:v>-1.8181818181818198E-2</c:v>
                </c:pt>
                <c:pt idx="80">
                  <c:v>-3.77358490566038E-2</c:v>
                </c:pt>
                <c:pt idx="81">
                  <c:v>0</c:v>
                </c:pt>
                <c:pt idx="82">
                  <c:v>-2.9126213592233E-2</c:v>
                </c:pt>
                <c:pt idx="83">
                  <c:v>-9.8039215686274508E-3</c:v>
                </c:pt>
                <c:pt idx="84">
                  <c:v>-4.08163265306122E-2</c:v>
                </c:pt>
              </c:numCache>
            </c:numRef>
          </c:val>
          <c:smooth val="0"/>
          <c:extLst xmlns:c16r2="http://schemas.microsoft.com/office/drawing/2015/06/chart">
            <c:ext xmlns:c16="http://schemas.microsoft.com/office/drawing/2014/chart" uri="{C3380CC4-5D6E-409C-BE32-E72D297353CC}">
              <c16:uniqueId val="{00000000-AD1D-46B5-A267-22CB6CD34D20}"/>
            </c:ext>
          </c:extLst>
        </c:ser>
        <c:dLbls>
          <c:showLegendKey val="0"/>
          <c:showVal val="0"/>
          <c:showCatName val="0"/>
          <c:showSerName val="0"/>
          <c:showPercent val="0"/>
          <c:showBubbleSize val="0"/>
        </c:dLbls>
        <c:marker val="1"/>
        <c:smooth val="0"/>
        <c:axId val="281517568"/>
        <c:axId val="284834664"/>
      </c:lineChart>
      <c:lineChart>
        <c:grouping val="standard"/>
        <c:varyColors val="0"/>
        <c:ser>
          <c:idx val="0"/>
          <c:order val="0"/>
          <c:tx>
            <c:strRef>
              <c:f>Sheet2!$B$1</c:f>
              <c:strCache>
                <c:ptCount val="1"/>
                <c:pt idx="0">
                  <c:v>Total Banks</c:v>
                </c:pt>
              </c:strCache>
            </c:strRef>
          </c:tx>
          <c:marker>
            <c:symbol val="none"/>
          </c:marker>
          <c:cat>
            <c:numRef>
              <c:f>Sheet2!$A$116:$A$200</c:f>
              <c:numCache>
                <c:formatCode>General</c:formatCode>
                <c:ptCount val="85"/>
                <c:pt idx="0">
                  <c:v>1924</c:v>
                </c:pt>
                <c:pt idx="1">
                  <c:v>1925</c:v>
                </c:pt>
                <c:pt idx="2">
                  <c:v>1926</c:v>
                </c:pt>
                <c:pt idx="3">
                  <c:v>1927</c:v>
                </c:pt>
                <c:pt idx="4">
                  <c:v>1928</c:v>
                </c:pt>
                <c:pt idx="5">
                  <c:v>1929</c:v>
                </c:pt>
                <c:pt idx="6">
                  <c:v>1930</c:v>
                </c:pt>
                <c:pt idx="7">
                  <c:v>1931</c:v>
                </c:pt>
                <c:pt idx="8">
                  <c:v>1932</c:v>
                </c:pt>
                <c:pt idx="9">
                  <c:v>1933</c:v>
                </c:pt>
                <c:pt idx="10">
                  <c:v>1934</c:v>
                </c:pt>
                <c:pt idx="11">
                  <c:v>1935</c:v>
                </c:pt>
                <c:pt idx="12">
                  <c:v>1936</c:v>
                </c:pt>
                <c:pt idx="13">
                  <c:v>1937</c:v>
                </c:pt>
                <c:pt idx="14">
                  <c:v>1938</c:v>
                </c:pt>
                <c:pt idx="15">
                  <c:v>1939</c:v>
                </c:pt>
                <c:pt idx="16">
                  <c:v>1940</c:v>
                </c:pt>
                <c:pt idx="17">
                  <c:v>1941</c:v>
                </c:pt>
                <c:pt idx="18">
                  <c:v>1942</c:v>
                </c:pt>
                <c:pt idx="19">
                  <c:v>1943</c:v>
                </c:pt>
                <c:pt idx="20">
                  <c:v>1944</c:v>
                </c:pt>
                <c:pt idx="21">
                  <c:v>1945</c:v>
                </c:pt>
                <c:pt idx="22">
                  <c:v>1946</c:v>
                </c:pt>
                <c:pt idx="23">
                  <c:v>1947</c:v>
                </c:pt>
                <c:pt idx="24">
                  <c:v>1948</c:v>
                </c:pt>
                <c:pt idx="25">
                  <c:v>1949</c:v>
                </c:pt>
                <c:pt idx="26">
                  <c:v>1950</c:v>
                </c:pt>
                <c:pt idx="27">
                  <c:v>1951</c:v>
                </c:pt>
                <c:pt idx="28">
                  <c:v>1952</c:v>
                </c:pt>
                <c:pt idx="29">
                  <c:v>1953</c:v>
                </c:pt>
                <c:pt idx="30">
                  <c:v>1954</c:v>
                </c:pt>
                <c:pt idx="31">
                  <c:v>1955</c:v>
                </c:pt>
                <c:pt idx="32">
                  <c:v>1956</c:v>
                </c:pt>
                <c:pt idx="33">
                  <c:v>1957</c:v>
                </c:pt>
                <c:pt idx="34">
                  <c:v>1958</c:v>
                </c:pt>
                <c:pt idx="35">
                  <c:v>1959</c:v>
                </c:pt>
                <c:pt idx="36">
                  <c:v>1960</c:v>
                </c:pt>
                <c:pt idx="37">
                  <c:v>1961</c:v>
                </c:pt>
                <c:pt idx="38">
                  <c:v>1962</c:v>
                </c:pt>
                <c:pt idx="39">
                  <c:v>1963</c:v>
                </c:pt>
                <c:pt idx="40">
                  <c:v>1964</c:v>
                </c:pt>
                <c:pt idx="41">
                  <c:v>1965</c:v>
                </c:pt>
                <c:pt idx="42">
                  <c:v>1966</c:v>
                </c:pt>
                <c:pt idx="43">
                  <c:v>1967</c:v>
                </c:pt>
                <c:pt idx="44">
                  <c:v>1968</c:v>
                </c:pt>
                <c:pt idx="45">
                  <c:v>1969</c:v>
                </c:pt>
                <c:pt idx="46">
                  <c:v>1970</c:v>
                </c:pt>
                <c:pt idx="47">
                  <c:v>1971</c:v>
                </c:pt>
                <c:pt idx="48">
                  <c:v>1972</c:v>
                </c:pt>
                <c:pt idx="49">
                  <c:v>1973</c:v>
                </c:pt>
                <c:pt idx="50">
                  <c:v>1974</c:v>
                </c:pt>
                <c:pt idx="51">
                  <c:v>1975</c:v>
                </c:pt>
                <c:pt idx="52">
                  <c:v>1976</c:v>
                </c:pt>
                <c:pt idx="53">
                  <c:v>1977</c:v>
                </c:pt>
                <c:pt idx="54">
                  <c:v>1978</c:v>
                </c:pt>
                <c:pt idx="55">
                  <c:v>1979</c:v>
                </c:pt>
                <c:pt idx="56">
                  <c:v>1980</c:v>
                </c:pt>
                <c:pt idx="57">
                  <c:v>1981</c:v>
                </c:pt>
                <c:pt idx="58">
                  <c:v>1982</c:v>
                </c:pt>
                <c:pt idx="59">
                  <c:v>1983</c:v>
                </c:pt>
                <c:pt idx="60">
                  <c:v>1984</c:v>
                </c:pt>
                <c:pt idx="61">
                  <c:v>1985</c:v>
                </c:pt>
                <c:pt idx="62">
                  <c:v>1986</c:v>
                </c:pt>
                <c:pt idx="63">
                  <c:v>1987</c:v>
                </c:pt>
                <c:pt idx="64">
                  <c:v>1988</c:v>
                </c:pt>
                <c:pt idx="65">
                  <c:v>1989</c:v>
                </c:pt>
                <c:pt idx="66">
                  <c:v>1990</c:v>
                </c:pt>
                <c:pt idx="67">
                  <c:v>1991</c:v>
                </c:pt>
                <c:pt idx="68">
                  <c:v>1992</c:v>
                </c:pt>
                <c:pt idx="69">
                  <c:v>1993</c:v>
                </c:pt>
                <c:pt idx="70">
                  <c:v>1994</c:v>
                </c:pt>
                <c:pt idx="71">
                  <c:v>1995</c:v>
                </c:pt>
                <c:pt idx="72">
                  <c:v>1996</c:v>
                </c:pt>
                <c:pt idx="73">
                  <c:v>1997</c:v>
                </c:pt>
                <c:pt idx="74">
                  <c:v>1998</c:v>
                </c:pt>
                <c:pt idx="75">
                  <c:v>1999</c:v>
                </c:pt>
                <c:pt idx="76">
                  <c:v>2000</c:v>
                </c:pt>
                <c:pt idx="77">
                  <c:v>2001</c:v>
                </c:pt>
                <c:pt idx="78">
                  <c:v>2002</c:v>
                </c:pt>
                <c:pt idx="79">
                  <c:v>2003</c:v>
                </c:pt>
                <c:pt idx="80">
                  <c:v>2004</c:v>
                </c:pt>
                <c:pt idx="81">
                  <c:v>2005</c:v>
                </c:pt>
                <c:pt idx="82">
                  <c:v>2006</c:v>
                </c:pt>
                <c:pt idx="83">
                  <c:v>2007</c:v>
                </c:pt>
                <c:pt idx="84">
                  <c:v>2008</c:v>
                </c:pt>
              </c:numCache>
            </c:numRef>
          </c:cat>
          <c:val>
            <c:numRef>
              <c:f>Sheet2!$B$116:$B$200</c:f>
              <c:numCache>
                <c:formatCode>General</c:formatCode>
                <c:ptCount val="85"/>
                <c:pt idx="0">
                  <c:v>227</c:v>
                </c:pt>
                <c:pt idx="1">
                  <c:v>222</c:v>
                </c:pt>
                <c:pt idx="2">
                  <c:v>218</c:v>
                </c:pt>
                <c:pt idx="3">
                  <c:v>218</c:v>
                </c:pt>
                <c:pt idx="4">
                  <c:v>220</c:v>
                </c:pt>
                <c:pt idx="5">
                  <c:v>217</c:v>
                </c:pt>
                <c:pt idx="6">
                  <c:v>209</c:v>
                </c:pt>
                <c:pt idx="7">
                  <c:v>199</c:v>
                </c:pt>
                <c:pt idx="8">
                  <c:v>199</c:v>
                </c:pt>
                <c:pt idx="9">
                  <c:v>196</c:v>
                </c:pt>
                <c:pt idx="10">
                  <c:v>197</c:v>
                </c:pt>
                <c:pt idx="11">
                  <c:v>197</c:v>
                </c:pt>
                <c:pt idx="12">
                  <c:v>197</c:v>
                </c:pt>
                <c:pt idx="13">
                  <c:v>190</c:v>
                </c:pt>
                <c:pt idx="14">
                  <c:v>191</c:v>
                </c:pt>
                <c:pt idx="15">
                  <c:v>189</c:v>
                </c:pt>
                <c:pt idx="16">
                  <c:v>183</c:v>
                </c:pt>
                <c:pt idx="17">
                  <c:v>180</c:v>
                </c:pt>
                <c:pt idx="18">
                  <c:v>175</c:v>
                </c:pt>
                <c:pt idx="19">
                  <c:v>177</c:v>
                </c:pt>
                <c:pt idx="20">
                  <c:v>173</c:v>
                </c:pt>
                <c:pt idx="21">
                  <c:v>172</c:v>
                </c:pt>
                <c:pt idx="22">
                  <c:v>173</c:v>
                </c:pt>
                <c:pt idx="23">
                  <c:v>176</c:v>
                </c:pt>
                <c:pt idx="24">
                  <c:v>175</c:v>
                </c:pt>
                <c:pt idx="25">
                  <c:v>171</c:v>
                </c:pt>
                <c:pt idx="26">
                  <c:v>170</c:v>
                </c:pt>
                <c:pt idx="27">
                  <c:v>167</c:v>
                </c:pt>
                <c:pt idx="28">
                  <c:v>162</c:v>
                </c:pt>
                <c:pt idx="29">
                  <c:v>159</c:v>
                </c:pt>
                <c:pt idx="30">
                  <c:v>160</c:v>
                </c:pt>
                <c:pt idx="31">
                  <c:v>164</c:v>
                </c:pt>
                <c:pt idx="32">
                  <c:v>158</c:v>
                </c:pt>
                <c:pt idx="33">
                  <c:v>160</c:v>
                </c:pt>
                <c:pt idx="34">
                  <c:v>159</c:v>
                </c:pt>
                <c:pt idx="35">
                  <c:v>158</c:v>
                </c:pt>
                <c:pt idx="36">
                  <c:v>156</c:v>
                </c:pt>
                <c:pt idx="37">
                  <c:v>154</c:v>
                </c:pt>
                <c:pt idx="38">
                  <c:v>158</c:v>
                </c:pt>
                <c:pt idx="39">
                  <c:v>152</c:v>
                </c:pt>
                <c:pt idx="40">
                  <c:v>158</c:v>
                </c:pt>
                <c:pt idx="41">
                  <c:v>160</c:v>
                </c:pt>
                <c:pt idx="42">
                  <c:v>163</c:v>
                </c:pt>
                <c:pt idx="43">
                  <c:v>159</c:v>
                </c:pt>
                <c:pt idx="44">
                  <c:v>168</c:v>
                </c:pt>
                <c:pt idx="45">
                  <c:v>172</c:v>
                </c:pt>
                <c:pt idx="46">
                  <c:v>159</c:v>
                </c:pt>
                <c:pt idx="47">
                  <c:v>158</c:v>
                </c:pt>
                <c:pt idx="48">
                  <c:v>162</c:v>
                </c:pt>
                <c:pt idx="49">
                  <c:v>174</c:v>
                </c:pt>
                <c:pt idx="50">
                  <c:v>175</c:v>
                </c:pt>
                <c:pt idx="51">
                  <c:v>170</c:v>
                </c:pt>
                <c:pt idx="52">
                  <c:v>166</c:v>
                </c:pt>
                <c:pt idx="53">
                  <c:v>172</c:v>
                </c:pt>
                <c:pt idx="54">
                  <c:v>168</c:v>
                </c:pt>
                <c:pt idx="55">
                  <c:v>166</c:v>
                </c:pt>
                <c:pt idx="56">
                  <c:v>195</c:v>
                </c:pt>
                <c:pt idx="57">
                  <c:v>186</c:v>
                </c:pt>
                <c:pt idx="58">
                  <c:v>186</c:v>
                </c:pt>
                <c:pt idx="59">
                  <c:v>186</c:v>
                </c:pt>
                <c:pt idx="60">
                  <c:v>179</c:v>
                </c:pt>
                <c:pt idx="61">
                  <c:v>184</c:v>
                </c:pt>
                <c:pt idx="62">
                  <c:v>188</c:v>
                </c:pt>
                <c:pt idx="63">
                  <c:v>192</c:v>
                </c:pt>
                <c:pt idx="64">
                  <c:v>190</c:v>
                </c:pt>
                <c:pt idx="65">
                  <c:v>168</c:v>
                </c:pt>
                <c:pt idx="66">
                  <c:v>163</c:v>
                </c:pt>
                <c:pt idx="67">
                  <c:v>153</c:v>
                </c:pt>
                <c:pt idx="68">
                  <c:v>151</c:v>
                </c:pt>
                <c:pt idx="69">
                  <c:v>147</c:v>
                </c:pt>
                <c:pt idx="70">
                  <c:v>129</c:v>
                </c:pt>
                <c:pt idx="71">
                  <c:v>129</c:v>
                </c:pt>
                <c:pt idx="72">
                  <c:v>127</c:v>
                </c:pt>
                <c:pt idx="73">
                  <c:v>130</c:v>
                </c:pt>
                <c:pt idx="74">
                  <c:v>123</c:v>
                </c:pt>
                <c:pt idx="75">
                  <c:v>121</c:v>
                </c:pt>
                <c:pt idx="76">
                  <c:v>113</c:v>
                </c:pt>
                <c:pt idx="77">
                  <c:v>114</c:v>
                </c:pt>
                <c:pt idx="78">
                  <c:v>112</c:v>
                </c:pt>
                <c:pt idx="79">
                  <c:v>110</c:v>
                </c:pt>
                <c:pt idx="80">
                  <c:v>106</c:v>
                </c:pt>
                <c:pt idx="81">
                  <c:v>106</c:v>
                </c:pt>
                <c:pt idx="82">
                  <c:v>103</c:v>
                </c:pt>
                <c:pt idx="83">
                  <c:v>102</c:v>
                </c:pt>
                <c:pt idx="84">
                  <c:v>98</c:v>
                </c:pt>
              </c:numCache>
            </c:numRef>
          </c:val>
          <c:smooth val="0"/>
          <c:extLst xmlns:c16r2="http://schemas.microsoft.com/office/drawing/2015/06/chart">
            <c:ext xmlns:c16="http://schemas.microsoft.com/office/drawing/2014/chart" uri="{C3380CC4-5D6E-409C-BE32-E72D297353CC}">
              <c16:uniqueId val="{00000001-AD1D-46B5-A267-22CB6CD34D20}"/>
            </c:ext>
          </c:extLst>
        </c:ser>
        <c:dLbls>
          <c:showLegendKey val="0"/>
          <c:showVal val="0"/>
          <c:showCatName val="0"/>
          <c:showSerName val="0"/>
          <c:showPercent val="0"/>
          <c:showBubbleSize val="0"/>
        </c:dLbls>
        <c:marker val="1"/>
        <c:smooth val="0"/>
        <c:axId val="284835448"/>
        <c:axId val="284835056"/>
      </c:lineChart>
      <c:catAx>
        <c:axId val="281517568"/>
        <c:scaling>
          <c:orientation val="minMax"/>
        </c:scaling>
        <c:delete val="0"/>
        <c:axPos val="b"/>
        <c:numFmt formatCode="General" sourceLinked="1"/>
        <c:majorTickMark val="out"/>
        <c:minorTickMark val="none"/>
        <c:tickLblPos val="nextTo"/>
        <c:crossAx val="284834664"/>
        <c:crosses val="autoZero"/>
        <c:auto val="1"/>
        <c:lblAlgn val="ctr"/>
        <c:lblOffset val="100"/>
        <c:noMultiLvlLbl val="0"/>
      </c:catAx>
      <c:valAx>
        <c:axId val="284834664"/>
        <c:scaling>
          <c:orientation val="minMax"/>
        </c:scaling>
        <c:delete val="0"/>
        <c:axPos val="l"/>
        <c:majorGridlines/>
        <c:numFmt formatCode="General" sourceLinked="1"/>
        <c:majorTickMark val="out"/>
        <c:minorTickMark val="none"/>
        <c:tickLblPos val="nextTo"/>
        <c:crossAx val="281517568"/>
        <c:crosses val="autoZero"/>
        <c:crossBetween val="between"/>
      </c:valAx>
      <c:valAx>
        <c:axId val="284835056"/>
        <c:scaling>
          <c:orientation val="minMax"/>
        </c:scaling>
        <c:delete val="0"/>
        <c:axPos val="r"/>
        <c:numFmt formatCode="General" sourceLinked="1"/>
        <c:majorTickMark val="out"/>
        <c:minorTickMark val="none"/>
        <c:tickLblPos val="nextTo"/>
        <c:crossAx val="284835448"/>
        <c:crosses val="max"/>
        <c:crossBetween val="between"/>
      </c:valAx>
      <c:catAx>
        <c:axId val="284835448"/>
        <c:scaling>
          <c:orientation val="minMax"/>
        </c:scaling>
        <c:delete val="1"/>
        <c:axPos val="b"/>
        <c:numFmt formatCode="General" sourceLinked="1"/>
        <c:majorTickMark val="out"/>
        <c:minorTickMark val="none"/>
        <c:tickLblPos val="nextTo"/>
        <c:crossAx val="284835056"/>
        <c:crosses val="autoZero"/>
        <c:auto val="1"/>
        <c:lblAlgn val="ctr"/>
        <c:lblOffset val="100"/>
        <c:noMultiLvlLbl val="0"/>
      </c:cat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Sheet5!$B$1</c:f>
              <c:strCache>
                <c:ptCount val="1"/>
                <c:pt idx="0">
                  <c:v>Mergers</c:v>
                </c:pt>
              </c:strCache>
            </c:strRef>
          </c:tx>
          <c:marker>
            <c:symbol val="none"/>
          </c:marker>
          <c:cat>
            <c:numRef>
              <c:f>Sheet5!$A$2:$A$61</c:f>
              <c:numCache>
                <c:formatCode>General</c:formatCode>
                <c:ptCount val="60"/>
                <c:pt idx="0">
                  <c:v>1880</c:v>
                </c:pt>
                <c:pt idx="1">
                  <c:v>1881</c:v>
                </c:pt>
                <c:pt idx="2">
                  <c:v>1882</c:v>
                </c:pt>
                <c:pt idx="3">
                  <c:v>1883</c:v>
                </c:pt>
                <c:pt idx="4">
                  <c:v>1884</c:v>
                </c:pt>
                <c:pt idx="5">
                  <c:v>1885</c:v>
                </c:pt>
                <c:pt idx="6">
                  <c:v>1886</c:v>
                </c:pt>
                <c:pt idx="7">
                  <c:v>1887</c:v>
                </c:pt>
                <c:pt idx="8">
                  <c:v>1888</c:v>
                </c:pt>
                <c:pt idx="9">
                  <c:v>1889</c:v>
                </c:pt>
                <c:pt idx="10">
                  <c:v>1890</c:v>
                </c:pt>
                <c:pt idx="11">
                  <c:v>1891</c:v>
                </c:pt>
                <c:pt idx="12">
                  <c:v>1892</c:v>
                </c:pt>
                <c:pt idx="13">
                  <c:v>1893</c:v>
                </c:pt>
                <c:pt idx="14">
                  <c:v>1894</c:v>
                </c:pt>
                <c:pt idx="15">
                  <c:v>1895</c:v>
                </c:pt>
                <c:pt idx="16">
                  <c:v>1896</c:v>
                </c:pt>
                <c:pt idx="17">
                  <c:v>1897</c:v>
                </c:pt>
                <c:pt idx="18">
                  <c:v>1898</c:v>
                </c:pt>
                <c:pt idx="19">
                  <c:v>1899</c:v>
                </c:pt>
                <c:pt idx="20">
                  <c:v>1900</c:v>
                </c:pt>
                <c:pt idx="21">
                  <c:v>1901</c:v>
                </c:pt>
                <c:pt idx="22">
                  <c:v>1902</c:v>
                </c:pt>
                <c:pt idx="23">
                  <c:v>1903</c:v>
                </c:pt>
                <c:pt idx="24">
                  <c:v>1904</c:v>
                </c:pt>
                <c:pt idx="25">
                  <c:v>1905</c:v>
                </c:pt>
                <c:pt idx="26">
                  <c:v>1906</c:v>
                </c:pt>
                <c:pt idx="27">
                  <c:v>1907</c:v>
                </c:pt>
                <c:pt idx="28">
                  <c:v>1908</c:v>
                </c:pt>
                <c:pt idx="29">
                  <c:v>1909</c:v>
                </c:pt>
                <c:pt idx="30">
                  <c:v>1910</c:v>
                </c:pt>
                <c:pt idx="31">
                  <c:v>1911</c:v>
                </c:pt>
                <c:pt idx="32">
                  <c:v>1912</c:v>
                </c:pt>
                <c:pt idx="33">
                  <c:v>1913</c:v>
                </c:pt>
                <c:pt idx="34">
                  <c:v>1914</c:v>
                </c:pt>
                <c:pt idx="35">
                  <c:v>1915</c:v>
                </c:pt>
                <c:pt idx="36">
                  <c:v>1916</c:v>
                </c:pt>
                <c:pt idx="37">
                  <c:v>1917</c:v>
                </c:pt>
                <c:pt idx="38">
                  <c:v>1918</c:v>
                </c:pt>
                <c:pt idx="39">
                  <c:v>1919</c:v>
                </c:pt>
                <c:pt idx="40">
                  <c:v>1920</c:v>
                </c:pt>
                <c:pt idx="41">
                  <c:v>1921</c:v>
                </c:pt>
                <c:pt idx="42">
                  <c:v>1922</c:v>
                </c:pt>
                <c:pt idx="43">
                  <c:v>1923</c:v>
                </c:pt>
                <c:pt idx="44">
                  <c:v>1924</c:v>
                </c:pt>
                <c:pt idx="45">
                  <c:v>1925</c:v>
                </c:pt>
                <c:pt idx="46">
                  <c:v>1926</c:v>
                </c:pt>
                <c:pt idx="47">
                  <c:v>1927</c:v>
                </c:pt>
                <c:pt idx="48">
                  <c:v>1928</c:v>
                </c:pt>
                <c:pt idx="49">
                  <c:v>1929</c:v>
                </c:pt>
                <c:pt idx="50">
                  <c:v>1930</c:v>
                </c:pt>
                <c:pt idx="51">
                  <c:v>1931</c:v>
                </c:pt>
                <c:pt idx="52">
                  <c:v>1932</c:v>
                </c:pt>
                <c:pt idx="53">
                  <c:v>1933</c:v>
                </c:pt>
                <c:pt idx="54">
                  <c:v>1934</c:v>
                </c:pt>
                <c:pt idx="55">
                  <c:v>1935</c:v>
                </c:pt>
                <c:pt idx="56">
                  <c:v>1936</c:v>
                </c:pt>
                <c:pt idx="57">
                  <c:v>1937</c:v>
                </c:pt>
                <c:pt idx="58">
                  <c:v>1938</c:v>
                </c:pt>
                <c:pt idx="59">
                  <c:v>1939</c:v>
                </c:pt>
              </c:numCache>
            </c:numRef>
          </c:cat>
          <c:val>
            <c:numRef>
              <c:f>Sheet5!$B$2:$B$61</c:f>
              <c:numCache>
                <c:formatCode>General</c:formatCode>
                <c:ptCount val="60"/>
                <c:pt idx="0">
                  <c:v>7</c:v>
                </c:pt>
                <c:pt idx="1">
                  <c:v>4</c:v>
                </c:pt>
                <c:pt idx="2">
                  <c:v>3</c:v>
                </c:pt>
                <c:pt idx="3">
                  <c:v>10</c:v>
                </c:pt>
                <c:pt idx="4">
                  <c:v>10</c:v>
                </c:pt>
                <c:pt idx="5">
                  <c:v>2</c:v>
                </c:pt>
                <c:pt idx="6">
                  <c:v>5</c:v>
                </c:pt>
                <c:pt idx="7">
                  <c:v>4</c:v>
                </c:pt>
                <c:pt idx="8">
                  <c:v>11</c:v>
                </c:pt>
                <c:pt idx="9">
                  <c:v>15</c:v>
                </c:pt>
                <c:pt idx="10">
                  <c:v>18</c:v>
                </c:pt>
                <c:pt idx="11">
                  <c:v>29</c:v>
                </c:pt>
                <c:pt idx="12">
                  <c:v>15</c:v>
                </c:pt>
                <c:pt idx="13">
                  <c:v>15</c:v>
                </c:pt>
                <c:pt idx="14">
                  <c:v>11</c:v>
                </c:pt>
                <c:pt idx="15">
                  <c:v>5</c:v>
                </c:pt>
                <c:pt idx="16">
                  <c:v>34</c:v>
                </c:pt>
                <c:pt idx="17">
                  <c:v>13</c:v>
                </c:pt>
                <c:pt idx="18">
                  <c:v>9</c:v>
                </c:pt>
                <c:pt idx="19">
                  <c:v>8</c:v>
                </c:pt>
                <c:pt idx="20">
                  <c:v>24</c:v>
                </c:pt>
                <c:pt idx="21">
                  <c:v>11</c:v>
                </c:pt>
                <c:pt idx="22">
                  <c:v>18</c:v>
                </c:pt>
                <c:pt idx="23">
                  <c:v>7</c:v>
                </c:pt>
                <c:pt idx="24">
                  <c:v>9</c:v>
                </c:pt>
                <c:pt idx="25">
                  <c:v>8</c:v>
                </c:pt>
                <c:pt idx="26">
                  <c:v>9</c:v>
                </c:pt>
                <c:pt idx="27">
                  <c:v>8</c:v>
                </c:pt>
                <c:pt idx="28">
                  <c:v>5</c:v>
                </c:pt>
                <c:pt idx="29">
                  <c:v>8</c:v>
                </c:pt>
                <c:pt idx="30">
                  <c:v>4</c:v>
                </c:pt>
                <c:pt idx="31">
                  <c:v>4</c:v>
                </c:pt>
                <c:pt idx="32">
                  <c:v>5</c:v>
                </c:pt>
                <c:pt idx="33">
                  <c:v>5</c:v>
                </c:pt>
                <c:pt idx="34">
                  <c:v>8</c:v>
                </c:pt>
                <c:pt idx="35">
                  <c:v>1</c:v>
                </c:pt>
                <c:pt idx="36">
                  <c:v>3</c:v>
                </c:pt>
                <c:pt idx="37">
                  <c:v>4</c:v>
                </c:pt>
                <c:pt idx="38">
                  <c:v>13</c:v>
                </c:pt>
                <c:pt idx="39">
                  <c:v>12</c:v>
                </c:pt>
                <c:pt idx="40">
                  <c:v>12</c:v>
                </c:pt>
                <c:pt idx="41">
                  <c:v>6</c:v>
                </c:pt>
                <c:pt idx="42">
                  <c:v>6</c:v>
                </c:pt>
                <c:pt idx="43">
                  <c:v>9</c:v>
                </c:pt>
                <c:pt idx="44">
                  <c:v>3</c:v>
                </c:pt>
                <c:pt idx="45">
                  <c:v>3</c:v>
                </c:pt>
                <c:pt idx="46">
                  <c:v>2</c:v>
                </c:pt>
                <c:pt idx="47">
                  <c:v>2</c:v>
                </c:pt>
                <c:pt idx="48">
                  <c:v>0</c:v>
                </c:pt>
                <c:pt idx="49">
                  <c:v>1</c:v>
                </c:pt>
                <c:pt idx="50">
                  <c:v>1</c:v>
                </c:pt>
                <c:pt idx="51">
                  <c:v>2</c:v>
                </c:pt>
                <c:pt idx="52">
                  <c:v>2</c:v>
                </c:pt>
                <c:pt idx="53">
                  <c:v>3</c:v>
                </c:pt>
                <c:pt idx="54">
                  <c:v>3</c:v>
                </c:pt>
                <c:pt idx="55">
                  <c:v>2</c:v>
                </c:pt>
                <c:pt idx="56">
                  <c:v>2</c:v>
                </c:pt>
                <c:pt idx="57">
                  <c:v>0</c:v>
                </c:pt>
                <c:pt idx="58">
                  <c:v>1</c:v>
                </c:pt>
                <c:pt idx="59">
                  <c:v>3</c:v>
                </c:pt>
              </c:numCache>
            </c:numRef>
          </c:val>
          <c:smooth val="0"/>
          <c:extLst xmlns:c16r2="http://schemas.microsoft.com/office/drawing/2015/06/chart">
            <c:ext xmlns:c16="http://schemas.microsoft.com/office/drawing/2014/chart" uri="{C3380CC4-5D6E-409C-BE32-E72D297353CC}">
              <c16:uniqueId val="{00000000-6D59-4B7B-8E41-E75AFE900F69}"/>
            </c:ext>
          </c:extLst>
        </c:ser>
        <c:ser>
          <c:idx val="1"/>
          <c:order val="1"/>
          <c:tx>
            <c:strRef>
              <c:f>Sheet5!$C$1</c:f>
              <c:strCache>
                <c:ptCount val="1"/>
                <c:pt idx="0">
                  <c:v>Creations</c:v>
                </c:pt>
              </c:strCache>
            </c:strRef>
          </c:tx>
          <c:marker>
            <c:symbol val="none"/>
          </c:marker>
          <c:cat>
            <c:numRef>
              <c:f>Sheet5!$A$2:$A$61</c:f>
              <c:numCache>
                <c:formatCode>General</c:formatCode>
                <c:ptCount val="60"/>
                <c:pt idx="0">
                  <c:v>1880</c:v>
                </c:pt>
                <c:pt idx="1">
                  <c:v>1881</c:v>
                </c:pt>
                <c:pt idx="2">
                  <c:v>1882</c:v>
                </c:pt>
                <c:pt idx="3">
                  <c:v>1883</c:v>
                </c:pt>
                <c:pt idx="4">
                  <c:v>1884</c:v>
                </c:pt>
                <c:pt idx="5">
                  <c:v>1885</c:v>
                </c:pt>
                <c:pt idx="6">
                  <c:v>1886</c:v>
                </c:pt>
                <c:pt idx="7">
                  <c:v>1887</c:v>
                </c:pt>
                <c:pt idx="8">
                  <c:v>1888</c:v>
                </c:pt>
                <c:pt idx="9">
                  <c:v>1889</c:v>
                </c:pt>
                <c:pt idx="10">
                  <c:v>1890</c:v>
                </c:pt>
                <c:pt idx="11">
                  <c:v>1891</c:v>
                </c:pt>
                <c:pt idx="12">
                  <c:v>1892</c:v>
                </c:pt>
                <c:pt idx="13">
                  <c:v>1893</c:v>
                </c:pt>
                <c:pt idx="14">
                  <c:v>1894</c:v>
                </c:pt>
                <c:pt idx="15">
                  <c:v>1895</c:v>
                </c:pt>
                <c:pt idx="16">
                  <c:v>1896</c:v>
                </c:pt>
                <c:pt idx="17">
                  <c:v>1897</c:v>
                </c:pt>
                <c:pt idx="18">
                  <c:v>1898</c:v>
                </c:pt>
                <c:pt idx="19">
                  <c:v>1899</c:v>
                </c:pt>
                <c:pt idx="20">
                  <c:v>1900</c:v>
                </c:pt>
                <c:pt idx="21">
                  <c:v>1901</c:v>
                </c:pt>
                <c:pt idx="22">
                  <c:v>1902</c:v>
                </c:pt>
                <c:pt idx="23">
                  <c:v>1903</c:v>
                </c:pt>
                <c:pt idx="24">
                  <c:v>1904</c:v>
                </c:pt>
                <c:pt idx="25">
                  <c:v>1905</c:v>
                </c:pt>
                <c:pt idx="26">
                  <c:v>1906</c:v>
                </c:pt>
                <c:pt idx="27">
                  <c:v>1907</c:v>
                </c:pt>
                <c:pt idx="28">
                  <c:v>1908</c:v>
                </c:pt>
                <c:pt idx="29">
                  <c:v>1909</c:v>
                </c:pt>
                <c:pt idx="30">
                  <c:v>1910</c:v>
                </c:pt>
                <c:pt idx="31">
                  <c:v>1911</c:v>
                </c:pt>
                <c:pt idx="32">
                  <c:v>1912</c:v>
                </c:pt>
                <c:pt idx="33">
                  <c:v>1913</c:v>
                </c:pt>
                <c:pt idx="34">
                  <c:v>1914</c:v>
                </c:pt>
                <c:pt idx="35">
                  <c:v>1915</c:v>
                </c:pt>
                <c:pt idx="36">
                  <c:v>1916</c:v>
                </c:pt>
                <c:pt idx="37">
                  <c:v>1917</c:v>
                </c:pt>
                <c:pt idx="38">
                  <c:v>1918</c:v>
                </c:pt>
                <c:pt idx="39">
                  <c:v>1919</c:v>
                </c:pt>
                <c:pt idx="40">
                  <c:v>1920</c:v>
                </c:pt>
                <c:pt idx="41">
                  <c:v>1921</c:v>
                </c:pt>
                <c:pt idx="42">
                  <c:v>1922</c:v>
                </c:pt>
                <c:pt idx="43">
                  <c:v>1923</c:v>
                </c:pt>
                <c:pt idx="44">
                  <c:v>1924</c:v>
                </c:pt>
                <c:pt idx="45">
                  <c:v>1925</c:v>
                </c:pt>
                <c:pt idx="46">
                  <c:v>1926</c:v>
                </c:pt>
                <c:pt idx="47">
                  <c:v>1927</c:v>
                </c:pt>
                <c:pt idx="48">
                  <c:v>1928</c:v>
                </c:pt>
                <c:pt idx="49">
                  <c:v>1929</c:v>
                </c:pt>
                <c:pt idx="50">
                  <c:v>1930</c:v>
                </c:pt>
                <c:pt idx="51">
                  <c:v>1931</c:v>
                </c:pt>
                <c:pt idx="52">
                  <c:v>1932</c:v>
                </c:pt>
                <c:pt idx="53">
                  <c:v>1933</c:v>
                </c:pt>
                <c:pt idx="54">
                  <c:v>1934</c:v>
                </c:pt>
                <c:pt idx="55">
                  <c:v>1935</c:v>
                </c:pt>
                <c:pt idx="56">
                  <c:v>1936</c:v>
                </c:pt>
                <c:pt idx="57">
                  <c:v>1937</c:v>
                </c:pt>
                <c:pt idx="58">
                  <c:v>1938</c:v>
                </c:pt>
                <c:pt idx="59">
                  <c:v>1939</c:v>
                </c:pt>
              </c:numCache>
            </c:numRef>
          </c:cat>
          <c:val>
            <c:numRef>
              <c:f>Sheet5!$C$2:$C$61</c:f>
              <c:numCache>
                <c:formatCode>General</c:formatCode>
                <c:ptCount val="60"/>
                <c:pt idx="0">
                  <c:v>20</c:v>
                </c:pt>
                <c:pt idx="1">
                  <c:v>9</c:v>
                </c:pt>
                <c:pt idx="2">
                  <c:v>7</c:v>
                </c:pt>
                <c:pt idx="3">
                  <c:v>3</c:v>
                </c:pt>
                <c:pt idx="4">
                  <c:v>7</c:v>
                </c:pt>
                <c:pt idx="5">
                  <c:v>8</c:v>
                </c:pt>
                <c:pt idx="6">
                  <c:v>4</c:v>
                </c:pt>
                <c:pt idx="7">
                  <c:v>2</c:v>
                </c:pt>
                <c:pt idx="8">
                  <c:v>10</c:v>
                </c:pt>
                <c:pt idx="9">
                  <c:v>15</c:v>
                </c:pt>
                <c:pt idx="10">
                  <c:v>8</c:v>
                </c:pt>
                <c:pt idx="11">
                  <c:v>14</c:v>
                </c:pt>
                <c:pt idx="12">
                  <c:v>12</c:v>
                </c:pt>
                <c:pt idx="13">
                  <c:v>11</c:v>
                </c:pt>
                <c:pt idx="14">
                  <c:v>8</c:v>
                </c:pt>
                <c:pt idx="15">
                  <c:v>3</c:v>
                </c:pt>
                <c:pt idx="16">
                  <c:v>1</c:v>
                </c:pt>
                <c:pt idx="17">
                  <c:v>1</c:v>
                </c:pt>
                <c:pt idx="18">
                  <c:v>4</c:v>
                </c:pt>
                <c:pt idx="19">
                  <c:v>12</c:v>
                </c:pt>
                <c:pt idx="20">
                  <c:v>2</c:v>
                </c:pt>
                <c:pt idx="21">
                  <c:v>6</c:v>
                </c:pt>
                <c:pt idx="22">
                  <c:v>2</c:v>
                </c:pt>
                <c:pt idx="23">
                  <c:v>3</c:v>
                </c:pt>
                <c:pt idx="24">
                  <c:v>2</c:v>
                </c:pt>
                <c:pt idx="25">
                  <c:v>3</c:v>
                </c:pt>
                <c:pt idx="26">
                  <c:v>4</c:v>
                </c:pt>
                <c:pt idx="27">
                  <c:v>9</c:v>
                </c:pt>
                <c:pt idx="28">
                  <c:v>6</c:v>
                </c:pt>
                <c:pt idx="29">
                  <c:v>7</c:v>
                </c:pt>
                <c:pt idx="30">
                  <c:v>4</c:v>
                </c:pt>
                <c:pt idx="31">
                  <c:v>9</c:v>
                </c:pt>
                <c:pt idx="32">
                  <c:v>8</c:v>
                </c:pt>
                <c:pt idx="33">
                  <c:v>9</c:v>
                </c:pt>
                <c:pt idx="34">
                  <c:v>2</c:v>
                </c:pt>
                <c:pt idx="35">
                  <c:v>3</c:v>
                </c:pt>
                <c:pt idx="36">
                  <c:v>2</c:v>
                </c:pt>
                <c:pt idx="37">
                  <c:v>6</c:v>
                </c:pt>
                <c:pt idx="38">
                  <c:v>5</c:v>
                </c:pt>
                <c:pt idx="39">
                  <c:v>20</c:v>
                </c:pt>
                <c:pt idx="40">
                  <c:v>13</c:v>
                </c:pt>
                <c:pt idx="41">
                  <c:v>12</c:v>
                </c:pt>
                <c:pt idx="42">
                  <c:v>12</c:v>
                </c:pt>
                <c:pt idx="43">
                  <c:v>10</c:v>
                </c:pt>
                <c:pt idx="44">
                  <c:v>8</c:v>
                </c:pt>
                <c:pt idx="45">
                  <c:v>9</c:v>
                </c:pt>
                <c:pt idx="46">
                  <c:v>6</c:v>
                </c:pt>
                <c:pt idx="47">
                  <c:v>5</c:v>
                </c:pt>
                <c:pt idx="48">
                  <c:v>7</c:v>
                </c:pt>
                <c:pt idx="49">
                  <c:v>5</c:v>
                </c:pt>
                <c:pt idx="50">
                  <c:v>5</c:v>
                </c:pt>
                <c:pt idx="51">
                  <c:v>1</c:v>
                </c:pt>
                <c:pt idx="52">
                  <c:v>7</c:v>
                </c:pt>
                <c:pt idx="53">
                  <c:v>2</c:v>
                </c:pt>
                <c:pt idx="54">
                  <c:v>9</c:v>
                </c:pt>
                <c:pt idx="55">
                  <c:v>8</c:v>
                </c:pt>
                <c:pt idx="56">
                  <c:v>7</c:v>
                </c:pt>
                <c:pt idx="57">
                  <c:v>2</c:v>
                </c:pt>
                <c:pt idx="58">
                  <c:v>2</c:v>
                </c:pt>
                <c:pt idx="59">
                  <c:v>1</c:v>
                </c:pt>
              </c:numCache>
            </c:numRef>
          </c:val>
          <c:smooth val="0"/>
          <c:extLst xmlns:c16r2="http://schemas.microsoft.com/office/drawing/2015/06/chart">
            <c:ext xmlns:c16="http://schemas.microsoft.com/office/drawing/2014/chart" uri="{C3380CC4-5D6E-409C-BE32-E72D297353CC}">
              <c16:uniqueId val="{00000001-6D59-4B7B-8E41-E75AFE900F69}"/>
            </c:ext>
          </c:extLst>
        </c:ser>
        <c:ser>
          <c:idx val="2"/>
          <c:order val="2"/>
          <c:tx>
            <c:strRef>
              <c:f>Sheet5!$D$1</c:f>
              <c:strCache>
                <c:ptCount val="1"/>
                <c:pt idx="0">
                  <c:v>Failures</c:v>
                </c:pt>
              </c:strCache>
            </c:strRef>
          </c:tx>
          <c:marker>
            <c:symbol val="none"/>
          </c:marker>
          <c:cat>
            <c:numRef>
              <c:f>Sheet5!$A$2:$A$61</c:f>
              <c:numCache>
                <c:formatCode>General</c:formatCode>
                <c:ptCount val="60"/>
                <c:pt idx="0">
                  <c:v>1880</c:v>
                </c:pt>
                <c:pt idx="1">
                  <c:v>1881</c:v>
                </c:pt>
                <c:pt idx="2">
                  <c:v>1882</c:v>
                </c:pt>
                <c:pt idx="3">
                  <c:v>1883</c:v>
                </c:pt>
                <c:pt idx="4">
                  <c:v>1884</c:v>
                </c:pt>
                <c:pt idx="5">
                  <c:v>1885</c:v>
                </c:pt>
                <c:pt idx="6">
                  <c:v>1886</c:v>
                </c:pt>
                <c:pt idx="7">
                  <c:v>1887</c:v>
                </c:pt>
                <c:pt idx="8">
                  <c:v>1888</c:v>
                </c:pt>
                <c:pt idx="9">
                  <c:v>1889</c:v>
                </c:pt>
                <c:pt idx="10">
                  <c:v>1890</c:v>
                </c:pt>
                <c:pt idx="11">
                  <c:v>1891</c:v>
                </c:pt>
                <c:pt idx="12">
                  <c:v>1892</c:v>
                </c:pt>
                <c:pt idx="13">
                  <c:v>1893</c:v>
                </c:pt>
                <c:pt idx="14">
                  <c:v>1894</c:v>
                </c:pt>
                <c:pt idx="15">
                  <c:v>1895</c:v>
                </c:pt>
                <c:pt idx="16">
                  <c:v>1896</c:v>
                </c:pt>
                <c:pt idx="17">
                  <c:v>1897</c:v>
                </c:pt>
                <c:pt idx="18">
                  <c:v>1898</c:v>
                </c:pt>
                <c:pt idx="19">
                  <c:v>1899</c:v>
                </c:pt>
                <c:pt idx="20">
                  <c:v>1900</c:v>
                </c:pt>
                <c:pt idx="21">
                  <c:v>1901</c:v>
                </c:pt>
                <c:pt idx="22">
                  <c:v>1902</c:v>
                </c:pt>
                <c:pt idx="23">
                  <c:v>1903</c:v>
                </c:pt>
                <c:pt idx="24">
                  <c:v>1904</c:v>
                </c:pt>
                <c:pt idx="25">
                  <c:v>1905</c:v>
                </c:pt>
                <c:pt idx="26">
                  <c:v>1906</c:v>
                </c:pt>
                <c:pt idx="27">
                  <c:v>1907</c:v>
                </c:pt>
                <c:pt idx="28">
                  <c:v>1908</c:v>
                </c:pt>
                <c:pt idx="29">
                  <c:v>1909</c:v>
                </c:pt>
                <c:pt idx="30">
                  <c:v>1910</c:v>
                </c:pt>
                <c:pt idx="31">
                  <c:v>1911</c:v>
                </c:pt>
                <c:pt idx="32">
                  <c:v>1912</c:v>
                </c:pt>
                <c:pt idx="33">
                  <c:v>1913</c:v>
                </c:pt>
                <c:pt idx="34">
                  <c:v>1914</c:v>
                </c:pt>
                <c:pt idx="35">
                  <c:v>1915</c:v>
                </c:pt>
                <c:pt idx="36">
                  <c:v>1916</c:v>
                </c:pt>
                <c:pt idx="37">
                  <c:v>1917</c:v>
                </c:pt>
                <c:pt idx="38">
                  <c:v>1918</c:v>
                </c:pt>
                <c:pt idx="39">
                  <c:v>1919</c:v>
                </c:pt>
                <c:pt idx="40">
                  <c:v>1920</c:v>
                </c:pt>
                <c:pt idx="41">
                  <c:v>1921</c:v>
                </c:pt>
                <c:pt idx="42">
                  <c:v>1922</c:v>
                </c:pt>
                <c:pt idx="43">
                  <c:v>1923</c:v>
                </c:pt>
                <c:pt idx="44">
                  <c:v>1924</c:v>
                </c:pt>
                <c:pt idx="45">
                  <c:v>1925</c:v>
                </c:pt>
                <c:pt idx="46">
                  <c:v>1926</c:v>
                </c:pt>
                <c:pt idx="47">
                  <c:v>1927</c:v>
                </c:pt>
                <c:pt idx="48">
                  <c:v>1928</c:v>
                </c:pt>
                <c:pt idx="49">
                  <c:v>1929</c:v>
                </c:pt>
                <c:pt idx="50">
                  <c:v>1930</c:v>
                </c:pt>
                <c:pt idx="51">
                  <c:v>1931</c:v>
                </c:pt>
                <c:pt idx="52">
                  <c:v>1932</c:v>
                </c:pt>
                <c:pt idx="53">
                  <c:v>1933</c:v>
                </c:pt>
                <c:pt idx="54">
                  <c:v>1934</c:v>
                </c:pt>
                <c:pt idx="55">
                  <c:v>1935</c:v>
                </c:pt>
                <c:pt idx="56">
                  <c:v>1936</c:v>
                </c:pt>
                <c:pt idx="57">
                  <c:v>1937</c:v>
                </c:pt>
                <c:pt idx="58">
                  <c:v>1938</c:v>
                </c:pt>
                <c:pt idx="59">
                  <c:v>1939</c:v>
                </c:pt>
              </c:numCache>
            </c:numRef>
          </c:cat>
          <c:val>
            <c:numRef>
              <c:f>Sheet5!$D$2:$D$61</c:f>
              <c:numCache>
                <c:formatCode>General</c:formatCode>
                <c:ptCount val="60"/>
                <c:pt idx="0">
                  <c:v>23</c:v>
                </c:pt>
                <c:pt idx="1">
                  <c:v>10</c:v>
                </c:pt>
                <c:pt idx="2">
                  <c:v>12</c:v>
                </c:pt>
                <c:pt idx="3">
                  <c:v>17</c:v>
                </c:pt>
                <c:pt idx="4">
                  <c:v>20</c:v>
                </c:pt>
                <c:pt idx="5">
                  <c:v>5</c:v>
                </c:pt>
                <c:pt idx="6">
                  <c:v>11</c:v>
                </c:pt>
                <c:pt idx="7">
                  <c:v>11</c:v>
                </c:pt>
                <c:pt idx="8">
                  <c:v>17</c:v>
                </c:pt>
                <c:pt idx="9">
                  <c:v>19</c:v>
                </c:pt>
                <c:pt idx="10">
                  <c:v>19</c:v>
                </c:pt>
                <c:pt idx="11">
                  <c:v>39</c:v>
                </c:pt>
                <c:pt idx="12">
                  <c:v>28</c:v>
                </c:pt>
                <c:pt idx="13">
                  <c:v>25</c:v>
                </c:pt>
                <c:pt idx="14">
                  <c:v>21</c:v>
                </c:pt>
                <c:pt idx="15">
                  <c:v>8</c:v>
                </c:pt>
                <c:pt idx="16">
                  <c:v>40</c:v>
                </c:pt>
                <c:pt idx="17">
                  <c:v>15</c:v>
                </c:pt>
                <c:pt idx="18">
                  <c:v>17</c:v>
                </c:pt>
                <c:pt idx="19">
                  <c:v>16</c:v>
                </c:pt>
                <c:pt idx="20">
                  <c:v>27</c:v>
                </c:pt>
                <c:pt idx="21">
                  <c:v>17</c:v>
                </c:pt>
                <c:pt idx="22">
                  <c:v>18</c:v>
                </c:pt>
                <c:pt idx="23">
                  <c:v>13</c:v>
                </c:pt>
                <c:pt idx="24">
                  <c:v>11</c:v>
                </c:pt>
                <c:pt idx="25">
                  <c:v>15</c:v>
                </c:pt>
                <c:pt idx="26">
                  <c:v>12</c:v>
                </c:pt>
                <c:pt idx="27">
                  <c:v>11</c:v>
                </c:pt>
                <c:pt idx="28">
                  <c:v>7</c:v>
                </c:pt>
                <c:pt idx="29">
                  <c:v>8</c:v>
                </c:pt>
                <c:pt idx="30">
                  <c:v>8</c:v>
                </c:pt>
                <c:pt idx="31">
                  <c:v>12</c:v>
                </c:pt>
                <c:pt idx="32">
                  <c:v>11</c:v>
                </c:pt>
                <c:pt idx="33">
                  <c:v>10</c:v>
                </c:pt>
                <c:pt idx="34">
                  <c:v>15</c:v>
                </c:pt>
                <c:pt idx="35">
                  <c:v>1</c:v>
                </c:pt>
                <c:pt idx="36">
                  <c:v>8</c:v>
                </c:pt>
                <c:pt idx="37">
                  <c:v>7</c:v>
                </c:pt>
                <c:pt idx="38">
                  <c:v>15</c:v>
                </c:pt>
                <c:pt idx="39">
                  <c:v>24</c:v>
                </c:pt>
                <c:pt idx="40">
                  <c:v>22</c:v>
                </c:pt>
                <c:pt idx="41">
                  <c:v>16</c:v>
                </c:pt>
                <c:pt idx="42">
                  <c:v>14</c:v>
                </c:pt>
                <c:pt idx="43">
                  <c:v>20</c:v>
                </c:pt>
                <c:pt idx="44">
                  <c:v>14</c:v>
                </c:pt>
                <c:pt idx="45">
                  <c:v>10</c:v>
                </c:pt>
                <c:pt idx="46">
                  <c:v>5</c:v>
                </c:pt>
                <c:pt idx="47">
                  <c:v>5</c:v>
                </c:pt>
                <c:pt idx="48">
                  <c:v>8</c:v>
                </c:pt>
                <c:pt idx="49">
                  <c:v>13</c:v>
                </c:pt>
                <c:pt idx="50">
                  <c:v>11</c:v>
                </c:pt>
                <c:pt idx="51">
                  <c:v>7</c:v>
                </c:pt>
                <c:pt idx="52">
                  <c:v>5</c:v>
                </c:pt>
                <c:pt idx="53">
                  <c:v>8</c:v>
                </c:pt>
                <c:pt idx="54">
                  <c:v>8</c:v>
                </c:pt>
                <c:pt idx="55">
                  <c:v>9</c:v>
                </c:pt>
                <c:pt idx="56">
                  <c:v>9</c:v>
                </c:pt>
                <c:pt idx="57">
                  <c:v>1</c:v>
                </c:pt>
                <c:pt idx="58">
                  <c:v>3</c:v>
                </c:pt>
                <c:pt idx="59">
                  <c:v>6</c:v>
                </c:pt>
              </c:numCache>
            </c:numRef>
          </c:val>
          <c:smooth val="0"/>
          <c:extLst xmlns:c16r2="http://schemas.microsoft.com/office/drawing/2015/06/chart">
            <c:ext xmlns:c16="http://schemas.microsoft.com/office/drawing/2014/chart" uri="{C3380CC4-5D6E-409C-BE32-E72D297353CC}">
              <c16:uniqueId val="{00000002-6D59-4B7B-8E41-E75AFE900F69}"/>
            </c:ext>
          </c:extLst>
        </c:ser>
        <c:dLbls>
          <c:showLegendKey val="0"/>
          <c:showVal val="0"/>
          <c:showCatName val="0"/>
          <c:showSerName val="0"/>
          <c:showPercent val="0"/>
          <c:showBubbleSize val="0"/>
        </c:dLbls>
        <c:smooth val="0"/>
        <c:axId val="284836232"/>
        <c:axId val="284651288"/>
      </c:lineChart>
      <c:catAx>
        <c:axId val="284836232"/>
        <c:scaling>
          <c:orientation val="minMax"/>
        </c:scaling>
        <c:delete val="0"/>
        <c:axPos val="b"/>
        <c:numFmt formatCode="General" sourceLinked="1"/>
        <c:majorTickMark val="out"/>
        <c:minorTickMark val="none"/>
        <c:tickLblPos val="nextTo"/>
        <c:crossAx val="284651288"/>
        <c:crosses val="autoZero"/>
        <c:auto val="1"/>
        <c:lblAlgn val="ctr"/>
        <c:lblOffset val="100"/>
        <c:noMultiLvlLbl val="0"/>
      </c:catAx>
      <c:valAx>
        <c:axId val="284651288"/>
        <c:scaling>
          <c:orientation val="minMax"/>
        </c:scaling>
        <c:delete val="0"/>
        <c:axPos val="l"/>
        <c:majorGridlines/>
        <c:numFmt formatCode="General" sourceLinked="1"/>
        <c:majorTickMark val="out"/>
        <c:minorTickMark val="none"/>
        <c:tickLblPos val="nextTo"/>
        <c:crossAx val="28483623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Sheet5!$F$1</c:f>
              <c:strCache>
                <c:ptCount val="1"/>
                <c:pt idx="0">
                  <c:v>Mergers</c:v>
                </c:pt>
              </c:strCache>
            </c:strRef>
          </c:tx>
          <c:marker>
            <c:symbol val="none"/>
          </c:marker>
          <c:cat>
            <c:numRef>
              <c:f>Sheet5!$E$2:$E$61</c:f>
              <c:numCache>
                <c:formatCode>General</c:formatCode>
                <c:ptCount val="60"/>
                <c:pt idx="0">
                  <c:v>1880</c:v>
                </c:pt>
                <c:pt idx="1">
                  <c:v>1881</c:v>
                </c:pt>
                <c:pt idx="2">
                  <c:v>1882</c:v>
                </c:pt>
                <c:pt idx="3">
                  <c:v>1883</c:v>
                </c:pt>
                <c:pt idx="4">
                  <c:v>1884</c:v>
                </c:pt>
                <c:pt idx="5">
                  <c:v>1885</c:v>
                </c:pt>
                <c:pt idx="6">
                  <c:v>1886</c:v>
                </c:pt>
                <c:pt idx="7">
                  <c:v>1887</c:v>
                </c:pt>
                <c:pt idx="8">
                  <c:v>1888</c:v>
                </c:pt>
                <c:pt idx="9">
                  <c:v>1889</c:v>
                </c:pt>
                <c:pt idx="10">
                  <c:v>1890</c:v>
                </c:pt>
                <c:pt idx="11">
                  <c:v>1891</c:v>
                </c:pt>
                <c:pt idx="12">
                  <c:v>1892</c:v>
                </c:pt>
                <c:pt idx="13">
                  <c:v>1893</c:v>
                </c:pt>
                <c:pt idx="14">
                  <c:v>1894</c:v>
                </c:pt>
                <c:pt idx="15">
                  <c:v>1895</c:v>
                </c:pt>
                <c:pt idx="16">
                  <c:v>1896</c:v>
                </c:pt>
                <c:pt idx="17">
                  <c:v>1897</c:v>
                </c:pt>
                <c:pt idx="18">
                  <c:v>1898</c:v>
                </c:pt>
                <c:pt idx="19">
                  <c:v>1899</c:v>
                </c:pt>
                <c:pt idx="20">
                  <c:v>1900</c:v>
                </c:pt>
                <c:pt idx="21">
                  <c:v>1901</c:v>
                </c:pt>
                <c:pt idx="22">
                  <c:v>1902</c:v>
                </c:pt>
                <c:pt idx="23">
                  <c:v>1903</c:v>
                </c:pt>
                <c:pt idx="24">
                  <c:v>1904</c:v>
                </c:pt>
                <c:pt idx="25">
                  <c:v>1905</c:v>
                </c:pt>
                <c:pt idx="26">
                  <c:v>1906</c:v>
                </c:pt>
                <c:pt idx="27">
                  <c:v>1907</c:v>
                </c:pt>
                <c:pt idx="28">
                  <c:v>1908</c:v>
                </c:pt>
                <c:pt idx="29">
                  <c:v>1909</c:v>
                </c:pt>
                <c:pt idx="30">
                  <c:v>1910</c:v>
                </c:pt>
                <c:pt idx="31">
                  <c:v>1911</c:v>
                </c:pt>
                <c:pt idx="32">
                  <c:v>1912</c:v>
                </c:pt>
                <c:pt idx="33">
                  <c:v>1913</c:v>
                </c:pt>
                <c:pt idx="34">
                  <c:v>1914</c:v>
                </c:pt>
                <c:pt idx="35">
                  <c:v>1915</c:v>
                </c:pt>
                <c:pt idx="36">
                  <c:v>1916</c:v>
                </c:pt>
                <c:pt idx="37">
                  <c:v>1917</c:v>
                </c:pt>
                <c:pt idx="38">
                  <c:v>1918</c:v>
                </c:pt>
                <c:pt idx="39">
                  <c:v>1919</c:v>
                </c:pt>
                <c:pt idx="40">
                  <c:v>1920</c:v>
                </c:pt>
                <c:pt idx="41">
                  <c:v>1921</c:v>
                </c:pt>
                <c:pt idx="42">
                  <c:v>1922</c:v>
                </c:pt>
                <c:pt idx="43">
                  <c:v>1923</c:v>
                </c:pt>
                <c:pt idx="44">
                  <c:v>1924</c:v>
                </c:pt>
                <c:pt idx="45">
                  <c:v>1925</c:v>
                </c:pt>
                <c:pt idx="46">
                  <c:v>1926</c:v>
                </c:pt>
                <c:pt idx="47">
                  <c:v>1927</c:v>
                </c:pt>
                <c:pt idx="48">
                  <c:v>1928</c:v>
                </c:pt>
                <c:pt idx="49">
                  <c:v>1929</c:v>
                </c:pt>
                <c:pt idx="50">
                  <c:v>1930</c:v>
                </c:pt>
                <c:pt idx="51">
                  <c:v>1931</c:v>
                </c:pt>
                <c:pt idx="52">
                  <c:v>1932</c:v>
                </c:pt>
                <c:pt idx="53">
                  <c:v>1933</c:v>
                </c:pt>
                <c:pt idx="54">
                  <c:v>1934</c:v>
                </c:pt>
                <c:pt idx="55">
                  <c:v>1935</c:v>
                </c:pt>
                <c:pt idx="56">
                  <c:v>1936</c:v>
                </c:pt>
                <c:pt idx="57">
                  <c:v>1937</c:v>
                </c:pt>
                <c:pt idx="58">
                  <c:v>1938</c:v>
                </c:pt>
                <c:pt idx="59">
                  <c:v>1939</c:v>
                </c:pt>
              </c:numCache>
            </c:numRef>
          </c:cat>
          <c:val>
            <c:numRef>
              <c:f>Sheet5!$F$2:$F$61</c:f>
              <c:numCache>
                <c:formatCode>General</c:formatCode>
                <c:ptCount val="60"/>
                <c:pt idx="0">
                  <c:v>1.1437908496731999E-2</c:v>
                </c:pt>
                <c:pt idx="1">
                  <c:v>6.6889632107023402E-3</c:v>
                </c:pt>
                <c:pt idx="2">
                  <c:v>5.0420168067226902E-3</c:v>
                </c:pt>
                <c:pt idx="3">
                  <c:v>1.7064846416382201E-2</c:v>
                </c:pt>
                <c:pt idx="4">
                  <c:v>1.7361111111111101E-2</c:v>
                </c:pt>
                <c:pt idx="5">
                  <c:v>3.54609929078014E-3</c:v>
                </c:pt>
                <c:pt idx="6">
                  <c:v>8.8652482269503501E-3</c:v>
                </c:pt>
                <c:pt idx="7">
                  <c:v>7.2072072072072099E-3</c:v>
                </c:pt>
                <c:pt idx="8">
                  <c:v>1.9855595667869999E-2</c:v>
                </c:pt>
                <c:pt idx="9">
                  <c:v>2.7173913043478298E-2</c:v>
                </c:pt>
                <c:pt idx="10">
                  <c:v>3.3271719038817003E-2</c:v>
                </c:pt>
                <c:pt idx="11">
                  <c:v>5.4104477611940302E-2</c:v>
                </c:pt>
                <c:pt idx="12">
                  <c:v>2.94695481335953E-2</c:v>
                </c:pt>
                <c:pt idx="13">
                  <c:v>3.0425963488843799E-2</c:v>
                </c:pt>
                <c:pt idx="14">
                  <c:v>2.3109243697479E-2</c:v>
                </c:pt>
                <c:pt idx="15">
                  <c:v>1.0917030567685599E-2</c:v>
                </c:pt>
                <c:pt idx="16">
                  <c:v>7.5388026607538794E-2</c:v>
                </c:pt>
                <c:pt idx="17">
                  <c:v>3.1553398058252399E-2</c:v>
                </c:pt>
                <c:pt idx="18">
                  <c:v>2.2443890274314201E-2</c:v>
                </c:pt>
                <c:pt idx="19">
                  <c:v>2.02020202020202E-2</c:v>
                </c:pt>
                <c:pt idx="20">
                  <c:v>6.26631853785901E-2</c:v>
                </c:pt>
                <c:pt idx="21">
                  <c:v>3.0386740331491701E-2</c:v>
                </c:pt>
                <c:pt idx="22">
                  <c:v>5.18731988472622E-2</c:v>
                </c:pt>
                <c:pt idx="23">
                  <c:v>2.1084337349397599E-2</c:v>
                </c:pt>
                <c:pt idx="24">
                  <c:v>2.80373831775701E-2</c:v>
                </c:pt>
                <c:pt idx="25">
                  <c:v>2.55591054313099E-2</c:v>
                </c:pt>
                <c:pt idx="26">
                  <c:v>2.9801324503311299E-2</c:v>
                </c:pt>
                <c:pt idx="27">
                  <c:v>2.6755852842809399E-2</c:v>
                </c:pt>
                <c:pt idx="28">
                  <c:v>1.6949152542372899E-2</c:v>
                </c:pt>
                <c:pt idx="29">
                  <c:v>2.7118644067796599E-2</c:v>
                </c:pt>
                <c:pt idx="30">
                  <c:v>1.37457044673539E-2</c:v>
                </c:pt>
                <c:pt idx="31">
                  <c:v>1.3698630136986301E-2</c:v>
                </c:pt>
                <c:pt idx="32">
                  <c:v>1.7361111111111101E-2</c:v>
                </c:pt>
                <c:pt idx="33">
                  <c:v>1.7482517482517501E-2</c:v>
                </c:pt>
                <c:pt idx="34">
                  <c:v>2.8776978417266199E-2</c:v>
                </c:pt>
                <c:pt idx="35">
                  <c:v>3.7593984962406E-3</c:v>
                </c:pt>
                <c:pt idx="36">
                  <c:v>1.1235955056179799E-2</c:v>
                </c:pt>
                <c:pt idx="37">
                  <c:v>1.5094339622641499E-2</c:v>
                </c:pt>
                <c:pt idx="38">
                  <c:v>4.9429657794676798E-2</c:v>
                </c:pt>
                <c:pt idx="39">
                  <c:v>4.47761194029851E-2</c:v>
                </c:pt>
                <c:pt idx="40">
                  <c:v>4.6692607003891003E-2</c:v>
                </c:pt>
                <c:pt idx="41">
                  <c:v>2.4291497975708499E-2</c:v>
                </c:pt>
                <c:pt idx="42">
                  <c:v>2.4691358024691398E-2</c:v>
                </c:pt>
                <c:pt idx="43">
                  <c:v>3.7656903765690398E-2</c:v>
                </c:pt>
                <c:pt idx="44">
                  <c:v>1.3215859030837E-2</c:v>
                </c:pt>
                <c:pt idx="45">
                  <c:v>1.35135135135135E-2</c:v>
                </c:pt>
                <c:pt idx="46">
                  <c:v>9.1743119266054999E-3</c:v>
                </c:pt>
                <c:pt idx="47">
                  <c:v>9.1743119266054999E-3</c:v>
                </c:pt>
                <c:pt idx="48">
                  <c:v>0</c:v>
                </c:pt>
                <c:pt idx="49">
                  <c:v>4.60829493087557E-3</c:v>
                </c:pt>
                <c:pt idx="50">
                  <c:v>4.78468899521531E-3</c:v>
                </c:pt>
                <c:pt idx="51">
                  <c:v>1.00502512562814E-2</c:v>
                </c:pt>
                <c:pt idx="52">
                  <c:v>1.00502512562814E-2</c:v>
                </c:pt>
                <c:pt idx="53">
                  <c:v>1.53061224489796E-2</c:v>
                </c:pt>
                <c:pt idx="54">
                  <c:v>1.5228426395939101E-2</c:v>
                </c:pt>
                <c:pt idx="55">
                  <c:v>1.01522842639594E-2</c:v>
                </c:pt>
                <c:pt idx="56">
                  <c:v>1.01522842639594E-2</c:v>
                </c:pt>
                <c:pt idx="57">
                  <c:v>0</c:v>
                </c:pt>
                <c:pt idx="58">
                  <c:v>5.2356020942408397E-3</c:v>
                </c:pt>
                <c:pt idx="59">
                  <c:v>1.58730158730159E-2</c:v>
                </c:pt>
              </c:numCache>
            </c:numRef>
          </c:val>
          <c:smooth val="0"/>
          <c:extLst xmlns:c16r2="http://schemas.microsoft.com/office/drawing/2015/06/chart">
            <c:ext xmlns:c16="http://schemas.microsoft.com/office/drawing/2014/chart" uri="{C3380CC4-5D6E-409C-BE32-E72D297353CC}">
              <c16:uniqueId val="{00000000-F4AC-42AA-87B1-2AF41B5BBDAF}"/>
            </c:ext>
          </c:extLst>
        </c:ser>
        <c:ser>
          <c:idx val="1"/>
          <c:order val="1"/>
          <c:tx>
            <c:strRef>
              <c:f>Sheet5!$G$1</c:f>
              <c:strCache>
                <c:ptCount val="1"/>
                <c:pt idx="0">
                  <c:v>Creations</c:v>
                </c:pt>
              </c:strCache>
            </c:strRef>
          </c:tx>
          <c:marker>
            <c:symbol val="none"/>
          </c:marker>
          <c:cat>
            <c:numRef>
              <c:f>Sheet5!$E$2:$E$61</c:f>
              <c:numCache>
                <c:formatCode>General</c:formatCode>
                <c:ptCount val="60"/>
                <c:pt idx="0">
                  <c:v>1880</c:v>
                </c:pt>
                <c:pt idx="1">
                  <c:v>1881</c:v>
                </c:pt>
                <c:pt idx="2">
                  <c:v>1882</c:v>
                </c:pt>
                <c:pt idx="3">
                  <c:v>1883</c:v>
                </c:pt>
                <c:pt idx="4">
                  <c:v>1884</c:v>
                </c:pt>
                <c:pt idx="5">
                  <c:v>1885</c:v>
                </c:pt>
                <c:pt idx="6">
                  <c:v>1886</c:v>
                </c:pt>
                <c:pt idx="7">
                  <c:v>1887</c:v>
                </c:pt>
                <c:pt idx="8">
                  <c:v>1888</c:v>
                </c:pt>
                <c:pt idx="9">
                  <c:v>1889</c:v>
                </c:pt>
                <c:pt idx="10">
                  <c:v>1890</c:v>
                </c:pt>
                <c:pt idx="11">
                  <c:v>1891</c:v>
                </c:pt>
                <c:pt idx="12">
                  <c:v>1892</c:v>
                </c:pt>
                <c:pt idx="13">
                  <c:v>1893</c:v>
                </c:pt>
                <c:pt idx="14">
                  <c:v>1894</c:v>
                </c:pt>
                <c:pt idx="15">
                  <c:v>1895</c:v>
                </c:pt>
                <c:pt idx="16">
                  <c:v>1896</c:v>
                </c:pt>
                <c:pt idx="17">
                  <c:v>1897</c:v>
                </c:pt>
                <c:pt idx="18">
                  <c:v>1898</c:v>
                </c:pt>
                <c:pt idx="19">
                  <c:v>1899</c:v>
                </c:pt>
                <c:pt idx="20">
                  <c:v>1900</c:v>
                </c:pt>
                <c:pt idx="21">
                  <c:v>1901</c:v>
                </c:pt>
                <c:pt idx="22">
                  <c:v>1902</c:v>
                </c:pt>
                <c:pt idx="23">
                  <c:v>1903</c:v>
                </c:pt>
                <c:pt idx="24">
                  <c:v>1904</c:v>
                </c:pt>
                <c:pt idx="25">
                  <c:v>1905</c:v>
                </c:pt>
                <c:pt idx="26">
                  <c:v>1906</c:v>
                </c:pt>
                <c:pt idx="27">
                  <c:v>1907</c:v>
                </c:pt>
                <c:pt idx="28">
                  <c:v>1908</c:v>
                </c:pt>
                <c:pt idx="29">
                  <c:v>1909</c:v>
                </c:pt>
                <c:pt idx="30">
                  <c:v>1910</c:v>
                </c:pt>
                <c:pt idx="31">
                  <c:v>1911</c:v>
                </c:pt>
                <c:pt idx="32">
                  <c:v>1912</c:v>
                </c:pt>
                <c:pt idx="33">
                  <c:v>1913</c:v>
                </c:pt>
                <c:pt idx="34">
                  <c:v>1914</c:v>
                </c:pt>
                <c:pt idx="35">
                  <c:v>1915</c:v>
                </c:pt>
                <c:pt idx="36">
                  <c:v>1916</c:v>
                </c:pt>
                <c:pt idx="37">
                  <c:v>1917</c:v>
                </c:pt>
                <c:pt idx="38">
                  <c:v>1918</c:v>
                </c:pt>
                <c:pt idx="39">
                  <c:v>1919</c:v>
                </c:pt>
                <c:pt idx="40">
                  <c:v>1920</c:v>
                </c:pt>
                <c:pt idx="41">
                  <c:v>1921</c:v>
                </c:pt>
                <c:pt idx="42">
                  <c:v>1922</c:v>
                </c:pt>
                <c:pt idx="43">
                  <c:v>1923</c:v>
                </c:pt>
                <c:pt idx="44">
                  <c:v>1924</c:v>
                </c:pt>
                <c:pt idx="45">
                  <c:v>1925</c:v>
                </c:pt>
                <c:pt idx="46">
                  <c:v>1926</c:v>
                </c:pt>
                <c:pt idx="47">
                  <c:v>1927</c:v>
                </c:pt>
                <c:pt idx="48">
                  <c:v>1928</c:v>
                </c:pt>
                <c:pt idx="49">
                  <c:v>1929</c:v>
                </c:pt>
                <c:pt idx="50">
                  <c:v>1930</c:v>
                </c:pt>
                <c:pt idx="51">
                  <c:v>1931</c:v>
                </c:pt>
                <c:pt idx="52">
                  <c:v>1932</c:v>
                </c:pt>
                <c:pt idx="53">
                  <c:v>1933</c:v>
                </c:pt>
                <c:pt idx="54">
                  <c:v>1934</c:v>
                </c:pt>
                <c:pt idx="55">
                  <c:v>1935</c:v>
                </c:pt>
                <c:pt idx="56">
                  <c:v>1936</c:v>
                </c:pt>
                <c:pt idx="57">
                  <c:v>1937</c:v>
                </c:pt>
                <c:pt idx="58">
                  <c:v>1938</c:v>
                </c:pt>
                <c:pt idx="59">
                  <c:v>1939</c:v>
                </c:pt>
              </c:numCache>
            </c:numRef>
          </c:cat>
          <c:val>
            <c:numRef>
              <c:f>Sheet5!$G$2:$G$61</c:f>
              <c:numCache>
                <c:formatCode>General</c:formatCode>
                <c:ptCount val="60"/>
                <c:pt idx="0">
                  <c:v>3.2679738562091498E-2</c:v>
                </c:pt>
                <c:pt idx="1">
                  <c:v>1.5050167224080299E-2</c:v>
                </c:pt>
                <c:pt idx="2">
                  <c:v>1.1764705882352899E-2</c:v>
                </c:pt>
                <c:pt idx="3">
                  <c:v>5.1194539249146704E-3</c:v>
                </c:pt>
                <c:pt idx="4">
                  <c:v>1.2152777777777801E-2</c:v>
                </c:pt>
                <c:pt idx="5">
                  <c:v>1.41843971631206E-2</c:v>
                </c:pt>
                <c:pt idx="6">
                  <c:v>7.09219858156028E-3</c:v>
                </c:pt>
                <c:pt idx="7">
                  <c:v>3.6036036036036002E-3</c:v>
                </c:pt>
                <c:pt idx="8">
                  <c:v>1.8050541516245501E-2</c:v>
                </c:pt>
                <c:pt idx="9">
                  <c:v>2.7173913043478298E-2</c:v>
                </c:pt>
                <c:pt idx="10">
                  <c:v>1.47874306839187E-2</c:v>
                </c:pt>
                <c:pt idx="11">
                  <c:v>2.6119402985074602E-2</c:v>
                </c:pt>
                <c:pt idx="12">
                  <c:v>2.35756385068762E-2</c:v>
                </c:pt>
                <c:pt idx="13">
                  <c:v>2.2312373225152098E-2</c:v>
                </c:pt>
                <c:pt idx="14">
                  <c:v>1.6806722689075598E-2</c:v>
                </c:pt>
                <c:pt idx="15">
                  <c:v>6.5502183406113499E-3</c:v>
                </c:pt>
                <c:pt idx="16">
                  <c:v>2.2172949002217299E-3</c:v>
                </c:pt>
                <c:pt idx="17">
                  <c:v>2.4271844660194199E-3</c:v>
                </c:pt>
                <c:pt idx="18">
                  <c:v>9.9750623441396506E-3</c:v>
                </c:pt>
                <c:pt idx="19">
                  <c:v>3.03030303030303E-2</c:v>
                </c:pt>
                <c:pt idx="20">
                  <c:v>5.2219321148825101E-3</c:v>
                </c:pt>
                <c:pt idx="21">
                  <c:v>1.6574585635359101E-2</c:v>
                </c:pt>
                <c:pt idx="22">
                  <c:v>5.76368876080691E-3</c:v>
                </c:pt>
                <c:pt idx="23">
                  <c:v>9.0361445783132491E-3</c:v>
                </c:pt>
                <c:pt idx="24">
                  <c:v>6.2305295950155701E-3</c:v>
                </c:pt>
                <c:pt idx="25">
                  <c:v>9.5846645367412102E-3</c:v>
                </c:pt>
                <c:pt idx="26">
                  <c:v>1.3245033112582801E-2</c:v>
                </c:pt>
                <c:pt idx="27">
                  <c:v>3.0100334448160501E-2</c:v>
                </c:pt>
                <c:pt idx="28">
                  <c:v>2.0338983050847501E-2</c:v>
                </c:pt>
                <c:pt idx="29">
                  <c:v>2.3728813559322E-2</c:v>
                </c:pt>
                <c:pt idx="30">
                  <c:v>1.37457044673539E-2</c:v>
                </c:pt>
                <c:pt idx="31">
                  <c:v>3.0821917808219201E-2</c:v>
                </c:pt>
                <c:pt idx="32">
                  <c:v>2.7777777777777801E-2</c:v>
                </c:pt>
                <c:pt idx="33">
                  <c:v>3.1468531468531499E-2</c:v>
                </c:pt>
                <c:pt idx="34">
                  <c:v>7.1942446043165497E-3</c:v>
                </c:pt>
                <c:pt idx="35">
                  <c:v>1.12781954887218E-2</c:v>
                </c:pt>
                <c:pt idx="36">
                  <c:v>7.4906367041198503E-3</c:v>
                </c:pt>
                <c:pt idx="37">
                  <c:v>2.2641509433962301E-2</c:v>
                </c:pt>
                <c:pt idx="38">
                  <c:v>1.9011406844106502E-2</c:v>
                </c:pt>
                <c:pt idx="39">
                  <c:v>7.4626865671641798E-2</c:v>
                </c:pt>
                <c:pt idx="40">
                  <c:v>5.0583657587548597E-2</c:v>
                </c:pt>
                <c:pt idx="41">
                  <c:v>4.8582995951416998E-2</c:v>
                </c:pt>
                <c:pt idx="42">
                  <c:v>4.9382716049382699E-2</c:v>
                </c:pt>
                <c:pt idx="43">
                  <c:v>4.1841004184100403E-2</c:v>
                </c:pt>
                <c:pt idx="44">
                  <c:v>3.5242290748898703E-2</c:v>
                </c:pt>
                <c:pt idx="45">
                  <c:v>4.0540540540540501E-2</c:v>
                </c:pt>
                <c:pt idx="46">
                  <c:v>2.7522935779816501E-2</c:v>
                </c:pt>
                <c:pt idx="47">
                  <c:v>2.2935779816513801E-2</c:v>
                </c:pt>
                <c:pt idx="48">
                  <c:v>3.1818181818181801E-2</c:v>
                </c:pt>
                <c:pt idx="49">
                  <c:v>2.3041474654377898E-2</c:v>
                </c:pt>
                <c:pt idx="50">
                  <c:v>2.3923444976076499E-2</c:v>
                </c:pt>
                <c:pt idx="51">
                  <c:v>5.0251256281407001E-3</c:v>
                </c:pt>
                <c:pt idx="52">
                  <c:v>3.5175879396984903E-2</c:v>
                </c:pt>
                <c:pt idx="53">
                  <c:v>1.02040816326531E-2</c:v>
                </c:pt>
                <c:pt idx="54">
                  <c:v>4.5685279187817202E-2</c:v>
                </c:pt>
                <c:pt idx="55">
                  <c:v>4.0609137055837602E-2</c:v>
                </c:pt>
                <c:pt idx="56">
                  <c:v>3.5532994923857898E-2</c:v>
                </c:pt>
                <c:pt idx="57">
                  <c:v>1.05263157894737E-2</c:v>
                </c:pt>
                <c:pt idx="58">
                  <c:v>1.04712041884817E-2</c:v>
                </c:pt>
                <c:pt idx="59">
                  <c:v>5.2910052910052898E-3</c:v>
                </c:pt>
              </c:numCache>
            </c:numRef>
          </c:val>
          <c:smooth val="0"/>
          <c:extLst xmlns:c16r2="http://schemas.microsoft.com/office/drawing/2015/06/chart">
            <c:ext xmlns:c16="http://schemas.microsoft.com/office/drawing/2014/chart" uri="{C3380CC4-5D6E-409C-BE32-E72D297353CC}">
              <c16:uniqueId val="{00000001-F4AC-42AA-87B1-2AF41B5BBDAF}"/>
            </c:ext>
          </c:extLst>
        </c:ser>
        <c:ser>
          <c:idx val="2"/>
          <c:order val="2"/>
          <c:tx>
            <c:strRef>
              <c:f>Sheet5!$H$1</c:f>
              <c:strCache>
                <c:ptCount val="1"/>
                <c:pt idx="0">
                  <c:v>Failures</c:v>
                </c:pt>
              </c:strCache>
            </c:strRef>
          </c:tx>
          <c:marker>
            <c:symbol val="none"/>
          </c:marker>
          <c:cat>
            <c:numRef>
              <c:f>Sheet5!$E$2:$E$61</c:f>
              <c:numCache>
                <c:formatCode>General</c:formatCode>
                <c:ptCount val="60"/>
                <c:pt idx="0">
                  <c:v>1880</c:v>
                </c:pt>
                <c:pt idx="1">
                  <c:v>1881</c:v>
                </c:pt>
                <c:pt idx="2">
                  <c:v>1882</c:v>
                </c:pt>
                <c:pt idx="3">
                  <c:v>1883</c:v>
                </c:pt>
                <c:pt idx="4">
                  <c:v>1884</c:v>
                </c:pt>
                <c:pt idx="5">
                  <c:v>1885</c:v>
                </c:pt>
                <c:pt idx="6">
                  <c:v>1886</c:v>
                </c:pt>
                <c:pt idx="7">
                  <c:v>1887</c:v>
                </c:pt>
                <c:pt idx="8">
                  <c:v>1888</c:v>
                </c:pt>
                <c:pt idx="9">
                  <c:v>1889</c:v>
                </c:pt>
                <c:pt idx="10">
                  <c:v>1890</c:v>
                </c:pt>
                <c:pt idx="11">
                  <c:v>1891</c:v>
                </c:pt>
                <c:pt idx="12">
                  <c:v>1892</c:v>
                </c:pt>
                <c:pt idx="13">
                  <c:v>1893</c:v>
                </c:pt>
                <c:pt idx="14">
                  <c:v>1894</c:v>
                </c:pt>
                <c:pt idx="15">
                  <c:v>1895</c:v>
                </c:pt>
                <c:pt idx="16">
                  <c:v>1896</c:v>
                </c:pt>
                <c:pt idx="17">
                  <c:v>1897</c:v>
                </c:pt>
                <c:pt idx="18">
                  <c:v>1898</c:v>
                </c:pt>
                <c:pt idx="19">
                  <c:v>1899</c:v>
                </c:pt>
                <c:pt idx="20">
                  <c:v>1900</c:v>
                </c:pt>
                <c:pt idx="21">
                  <c:v>1901</c:v>
                </c:pt>
                <c:pt idx="22">
                  <c:v>1902</c:v>
                </c:pt>
                <c:pt idx="23">
                  <c:v>1903</c:v>
                </c:pt>
                <c:pt idx="24">
                  <c:v>1904</c:v>
                </c:pt>
                <c:pt idx="25">
                  <c:v>1905</c:v>
                </c:pt>
                <c:pt idx="26">
                  <c:v>1906</c:v>
                </c:pt>
                <c:pt idx="27">
                  <c:v>1907</c:v>
                </c:pt>
                <c:pt idx="28">
                  <c:v>1908</c:v>
                </c:pt>
                <c:pt idx="29">
                  <c:v>1909</c:v>
                </c:pt>
                <c:pt idx="30">
                  <c:v>1910</c:v>
                </c:pt>
                <c:pt idx="31">
                  <c:v>1911</c:v>
                </c:pt>
                <c:pt idx="32">
                  <c:v>1912</c:v>
                </c:pt>
                <c:pt idx="33">
                  <c:v>1913</c:v>
                </c:pt>
                <c:pt idx="34">
                  <c:v>1914</c:v>
                </c:pt>
                <c:pt idx="35">
                  <c:v>1915</c:v>
                </c:pt>
                <c:pt idx="36">
                  <c:v>1916</c:v>
                </c:pt>
                <c:pt idx="37">
                  <c:v>1917</c:v>
                </c:pt>
                <c:pt idx="38">
                  <c:v>1918</c:v>
                </c:pt>
                <c:pt idx="39">
                  <c:v>1919</c:v>
                </c:pt>
                <c:pt idx="40">
                  <c:v>1920</c:v>
                </c:pt>
                <c:pt idx="41">
                  <c:v>1921</c:v>
                </c:pt>
                <c:pt idx="42">
                  <c:v>1922</c:v>
                </c:pt>
                <c:pt idx="43">
                  <c:v>1923</c:v>
                </c:pt>
                <c:pt idx="44">
                  <c:v>1924</c:v>
                </c:pt>
                <c:pt idx="45">
                  <c:v>1925</c:v>
                </c:pt>
                <c:pt idx="46">
                  <c:v>1926</c:v>
                </c:pt>
                <c:pt idx="47">
                  <c:v>1927</c:v>
                </c:pt>
                <c:pt idx="48">
                  <c:v>1928</c:v>
                </c:pt>
                <c:pt idx="49">
                  <c:v>1929</c:v>
                </c:pt>
                <c:pt idx="50">
                  <c:v>1930</c:v>
                </c:pt>
                <c:pt idx="51">
                  <c:v>1931</c:v>
                </c:pt>
                <c:pt idx="52">
                  <c:v>1932</c:v>
                </c:pt>
                <c:pt idx="53">
                  <c:v>1933</c:v>
                </c:pt>
                <c:pt idx="54">
                  <c:v>1934</c:v>
                </c:pt>
                <c:pt idx="55">
                  <c:v>1935</c:v>
                </c:pt>
                <c:pt idx="56">
                  <c:v>1936</c:v>
                </c:pt>
                <c:pt idx="57">
                  <c:v>1937</c:v>
                </c:pt>
                <c:pt idx="58">
                  <c:v>1938</c:v>
                </c:pt>
                <c:pt idx="59">
                  <c:v>1939</c:v>
                </c:pt>
              </c:numCache>
            </c:numRef>
          </c:cat>
          <c:val>
            <c:numRef>
              <c:f>Sheet5!$H$2:$H$61</c:f>
              <c:numCache>
                <c:formatCode>General</c:formatCode>
                <c:ptCount val="60"/>
                <c:pt idx="0">
                  <c:v>3.7581699346405199E-2</c:v>
                </c:pt>
                <c:pt idx="1">
                  <c:v>1.67224080267558E-2</c:v>
                </c:pt>
                <c:pt idx="2">
                  <c:v>2.0168067226890799E-2</c:v>
                </c:pt>
                <c:pt idx="3">
                  <c:v>2.90102389078498E-2</c:v>
                </c:pt>
                <c:pt idx="4">
                  <c:v>3.4722222222222203E-2</c:v>
                </c:pt>
                <c:pt idx="5">
                  <c:v>8.8652482269503501E-3</c:v>
                </c:pt>
                <c:pt idx="6">
                  <c:v>1.9503546099290801E-2</c:v>
                </c:pt>
                <c:pt idx="7">
                  <c:v>1.9819819819819801E-2</c:v>
                </c:pt>
                <c:pt idx="8">
                  <c:v>3.06859205776173E-2</c:v>
                </c:pt>
                <c:pt idx="9">
                  <c:v>3.4420289855072499E-2</c:v>
                </c:pt>
                <c:pt idx="10">
                  <c:v>3.5120147874306798E-2</c:v>
                </c:pt>
                <c:pt idx="11">
                  <c:v>7.2761194029850706E-2</c:v>
                </c:pt>
                <c:pt idx="12">
                  <c:v>5.50098231827112E-2</c:v>
                </c:pt>
                <c:pt idx="13">
                  <c:v>5.0709939148073001E-2</c:v>
                </c:pt>
                <c:pt idx="14">
                  <c:v>4.4117647058823498E-2</c:v>
                </c:pt>
                <c:pt idx="15">
                  <c:v>1.7467248908296901E-2</c:v>
                </c:pt>
                <c:pt idx="16">
                  <c:v>8.86917960088692E-2</c:v>
                </c:pt>
                <c:pt idx="17">
                  <c:v>3.6407766990291301E-2</c:v>
                </c:pt>
                <c:pt idx="18">
                  <c:v>4.2394014962593499E-2</c:v>
                </c:pt>
                <c:pt idx="19">
                  <c:v>4.0404040404040401E-2</c:v>
                </c:pt>
                <c:pt idx="20">
                  <c:v>7.0496083550913802E-2</c:v>
                </c:pt>
                <c:pt idx="21">
                  <c:v>4.6961325966850799E-2</c:v>
                </c:pt>
                <c:pt idx="22">
                  <c:v>5.18731988472622E-2</c:v>
                </c:pt>
                <c:pt idx="23">
                  <c:v>3.9156626506024098E-2</c:v>
                </c:pt>
                <c:pt idx="24">
                  <c:v>3.4267912772585701E-2</c:v>
                </c:pt>
                <c:pt idx="25">
                  <c:v>4.7923322683706103E-2</c:v>
                </c:pt>
                <c:pt idx="26">
                  <c:v>3.9735099337748297E-2</c:v>
                </c:pt>
                <c:pt idx="27">
                  <c:v>3.67892976588629E-2</c:v>
                </c:pt>
                <c:pt idx="28">
                  <c:v>2.3728813559322E-2</c:v>
                </c:pt>
                <c:pt idx="29">
                  <c:v>2.7118644067796599E-2</c:v>
                </c:pt>
                <c:pt idx="30">
                  <c:v>2.74914089347079E-2</c:v>
                </c:pt>
                <c:pt idx="31">
                  <c:v>4.1095890410958902E-2</c:v>
                </c:pt>
                <c:pt idx="32">
                  <c:v>3.8194444444444399E-2</c:v>
                </c:pt>
                <c:pt idx="33">
                  <c:v>3.4965034965035002E-2</c:v>
                </c:pt>
                <c:pt idx="34">
                  <c:v>5.3956834532374098E-2</c:v>
                </c:pt>
                <c:pt idx="35">
                  <c:v>3.7593984962406E-3</c:v>
                </c:pt>
                <c:pt idx="36">
                  <c:v>2.9962546816479401E-2</c:v>
                </c:pt>
                <c:pt idx="37">
                  <c:v>2.6415094339622601E-2</c:v>
                </c:pt>
                <c:pt idx="38">
                  <c:v>5.70342205323194E-2</c:v>
                </c:pt>
                <c:pt idx="39">
                  <c:v>8.9552238805970102E-2</c:v>
                </c:pt>
                <c:pt idx="40">
                  <c:v>8.56031128404669E-2</c:v>
                </c:pt>
                <c:pt idx="41">
                  <c:v>6.47773279352227E-2</c:v>
                </c:pt>
                <c:pt idx="42">
                  <c:v>5.7613168724279802E-2</c:v>
                </c:pt>
                <c:pt idx="43">
                  <c:v>8.3682008368200805E-2</c:v>
                </c:pt>
                <c:pt idx="44">
                  <c:v>6.1674008810572702E-2</c:v>
                </c:pt>
                <c:pt idx="45">
                  <c:v>4.5045045045045001E-2</c:v>
                </c:pt>
                <c:pt idx="46">
                  <c:v>2.2935779816513801E-2</c:v>
                </c:pt>
                <c:pt idx="47">
                  <c:v>2.2935779816513801E-2</c:v>
                </c:pt>
                <c:pt idx="48">
                  <c:v>3.6363636363636397E-2</c:v>
                </c:pt>
                <c:pt idx="49">
                  <c:v>5.99078341013825E-2</c:v>
                </c:pt>
                <c:pt idx="50">
                  <c:v>5.2631578947368397E-2</c:v>
                </c:pt>
                <c:pt idx="51">
                  <c:v>3.5175879396984903E-2</c:v>
                </c:pt>
                <c:pt idx="52">
                  <c:v>2.5125628140703501E-2</c:v>
                </c:pt>
                <c:pt idx="53">
                  <c:v>4.08163265306122E-2</c:v>
                </c:pt>
                <c:pt idx="54">
                  <c:v>4.0609137055837602E-2</c:v>
                </c:pt>
                <c:pt idx="55">
                  <c:v>4.5685279187817202E-2</c:v>
                </c:pt>
                <c:pt idx="56">
                  <c:v>4.5685279187817202E-2</c:v>
                </c:pt>
                <c:pt idx="57">
                  <c:v>5.2631578947368403E-3</c:v>
                </c:pt>
                <c:pt idx="58">
                  <c:v>1.5706806282722498E-2</c:v>
                </c:pt>
                <c:pt idx="59">
                  <c:v>3.1746031746031703E-2</c:v>
                </c:pt>
              </c:numCache>
            </c:numRef>
          </c:val>
          <c:smooth val="0"/>
          <c:extLst xmlns:c16r2="http://schemas.microsoft.com/office/drawing/2015/06/chart">
            <c:ext xmlns:c16="http://schemas.microsoft.com/office/drawing/2014/chart" uri="{C3380CC4-5D6E-409C-BE32-E72D297353CC}">
              <c16:uniqueId val="{00000002-F4AC-42AA-87B1-2AF41B5BBDAF}"/>
            </c:ext>
          </c:extLst>
        </c:ser>
        <c:dLbls>
          <c:showLegendKey val="0"/>
          <c:showVal val="0"/>
          <c:showCatName val="0"/>
          <c:showSerName val="0"/>
          <c:showPercent val="0"/>
          <c:showBubbleSize val="0"/>
        </c:dLbls>
        <c:smooth val="0"/>
        <c:axId val="284652072"/>
        <c:axId val="284652464"/>
      </c:lineChart>
      <c:catAx>
        <c:axId val="284652072"/>
        <c:scaling>
          <c:orientation val="minMax"/>
        </c:scaling>
        <c:delete val="0"/>
        <c:axPos val="b"/>
        <c:numFmt formatCode="General" sourceLinked="1"/>
        <c:majorTickMark val="out"/>
        <c:minorTickMark val="none"/>
        <c:tickLblPos val="nextTo"/>
        <c:crossAx val="284652464"/>
        <c:crosses val="autoZero"/>
        <c:auto val="1"/>
        <c:lblAlgn val="ctr"/>
        <c:lblOffset val="100"/>
        <c:noMultiLvlLbl val="0"/>
      </c:catAx>
      <c:valAx>
        <c:axId val="284652464"/>
        <c:scaling>
          <c:orientation val="minMax"/>
        </c:scaling>
        <c:delete val="0"/>
        <c:axPos val="l"/>
        <c:majorGridlines/>
        <c:numFmt formatCode="General" sourceLinked="1"/>
        <c:majorTickMark val="out"/>
        <c:minorTickMark val="none"/>
        <c:tickLblPos val="nextTo"/>
        <c:crossAx val="284652072"/>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FA144-1953-4C13-ABE9-02ECC9EE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9219</Words>
  <Characters>54028</Characters>
  <Application>Microsoft Office Word</Application>
  <DocSecurity>0</DocSecurity>
  <Lines>1059</Lines>
  <Paragraphs>272</Paragraphs>
  <ScaleCrop>false</ScaleCrop>
  <HeadingPairs>
    <vt:vector size="2" baseType="variant">
      <vt:variant>
        <vt:lpstr>Title</vt:lpstr>
      </vt:variant>
      <vt:variant>
        <vt:i4>1</vt:i4>
      </vt:variant>
    </vt:vector>
  </HeadingPairs>
  <TitlesOfParts>
    <vt:vector size="1" baseType="lpstr">
      <vt:lpstr>UBM</vt:lpstr>
    </vt:vector>
  </TitlesOfParts>
  <Company>University of Exeter</Company>
  <LinksUpToDate>false</LinksUpToDate>
  <CharactersWithSpaces>62975</CharactersWithSpaces>
  <SharedDoc>false</SharedDoc>
  <HLinks>
    <vt:vector size="84" baseType="variant">
      <vt:variant>
        <vt:i4>3932205</vt:i4>
      </vt:variant>
      <vt:variant>
        <vt:i4>39</vt:i4>
      </vt:variant>
      <vt:variant>
        <vt:i4>0</vt:i4>
      </vt:variant>
      <vt:variant>
        <vt:i4>5</vt:i4>
      </vt:variant>
      <vt:variant>
        <vt:lpwstr>http://www.oxforddnb.com/view/article/32023</vt:lpwstr>
      </vt:variant>
      <vt:variant>
        <vt:lpwstr/>
      </vt:variant>
      <vt:variant>
        <vt:i4>3145769</vt:i4>
      </vt:variant>
      <vt:variant>
        <vt:i4>36</vt:i4>
      </vt:variant>
      <vt:variant>
        <vt:i4>0</vt:i4>
      </vt:variant>
      <vt:variant>
        <vt:i4>5</vt:i4>
      </vt:variant>
      <vt:variant>
        <vt:lpwstr>http://www.oxforddnb.com/view/article/34489</vt:lpwstr>
      </vt:variant>
      <vt:variant>
        <vt:lpwstr/>
      </vt:variant>
      <vt:variant>
        <vt:i4>3670052</vt:i4>
      </vt:variant>
      <vt:variant>
        <vt:i4>33</vt:i4>
      </vt:variant>
      <vt:variant>
        <vt:i4>0</vt:i4>
      </vt:variant>
      <vt:variant>
        <vt:i4>5</vt:i4>
      </vt:variant>
      <vt:variant>
        <vt:lpwstr>http://www.oxforddnb.com/view/article/33979</vt:lpwstr>
      </vt:variant>
      <vt:variant>
        <vt:lpwstr/>
      </vt:variant>
      <vt:variant>
        <vt:i4>3866668</vt:i4>
      </vt:variant>
      <vt:variant>
        <vt:i4>30</vt:i4>
      </vt:variant>
      <vt:variant>
        <vt:i4>0</vt:i4>
      </vt:variant>
      <vt:variant>
        <vt:i4>5</vt:i4>
      </vt:variant>
      <vt:variant>
        <vt:lpwstr>http://www.oxforddnb.com/view/article/33144</vt:lpwstr>
      </vt:variant>
      <vt:variant>
        <vt:lpwstr/>
      </vt:variant>
      <vt:variant>
        <vt:i4>3276834</vt:i4>
      </vt:variant>
      <vt:variant>
        <vt:i4>27</vt:i4>
      </vt:variant>
      <vt:variant>
        <vt:i4>0</vt:i4>
      </vt:variant>
      <vt:variant>
        <vt:i4>5</vt:i4>
      </vt:variant>
      <vt:variant>
        <vt:lpwstr>http://www.oxforddnb.com/view/article/47896</vt:lpwstr>
      </vt:variant>
      <vt:variant>
        <vt:lpwstr/>
      </vt:variant>
      <vt:variant>
        <vt:i4>3997736</vt:i4>
      </vt:variant>
      <vt:variant>
        <vt:i4>24</vt:i4>
      </vt:variant>
      <vt:variant>
        <vt:i4>0</vt:i4>
      </vt:variant>
      <vt:variant>
        <vt:i4>5</vt:i4>
      </vt:variant>
      <vt:variant>
        <vt:lpwstr>http://www.oxforddnb.com/view/article/37564</vt:lpwstr>
      </vt:variant>
      <vt:variant>
        <vt:lpwstr/>
      </vt:variant>
      <vt:variant>
        <vt:i4>3801135</vt:i4>
      </vt:variant>
      <vt:variant>
        <vt:i4>21</vt:i4>
      </vt:variant>
      <vt:variant>
        <vt:i4>0</vt:i4>
      </vt:variant>
      <vt:variant>
        <vt:i4>5</vt:i4>
      </vt:variant>
      <vt:variant>
        <vt:lpwstr>http://www.oxforddnb.com/view/article/47514</vt:lpwstr>
      </vt:variant>
      <vt:variant>
        <vt:lpwstr/>
      </vt:variant>
      <vt:variant>
        <vt:i4>3801132</vt:i4>
      </vt:variant>
      <vt:variant>
        <vt:i4>18</vt:i4>
      </vt:variant>
      <vt:variant>
        <vt:i4>0</vt:i4>
      </vt:variant>
      <vt:variant>
        <vt:i4>5</vt:i4>
      </vt:variant>
      <vt:variant>
        <vt:lpwstr>http://www.oxforddnb.com/view/article/50762</vt:lpwstr>
      </vt:variant>
      <vt:variant>
        <vt:lpwstr/>
      </vt:variant>
      <vt:variant>
        <vt:i4>3342381</vt:i4>
      </vt:variant>
      <vt:variant>
        <vt:i4>15</vt:i4>
      </vt:variant>
      <vt:variant>
        <vt:i4>0</vt:i4>
      </vt:variant>
      <vt:variant>
        <vt:i4>5</vt:i4>
      </vt:variant>
      <vt:variant>
        <vt:lpwstr>http://www.oxforddnb.com/view/article/46792</vt:lpwstr>
      </vt:variant>
      <vt:variant>
        <vt:lpwstr/>
      </vt:variant>
      <vt:variant>
        <vt:i4>3932206</vt:i4>
      </vt:variant>
      <vt:variant>
        <vt:i4>12</vt:i4>
      </vt:variant>
      <vt:variant>
        <vt:i4>0</vt:i4>
      </vt:variant>
      <vt:variant>
        <vt:i4>5</vt:i4>
      </vt:variant>
      <vt:variant>
        <vt:lpwstr>http://www.oxforddnb.com/view/article/</vt:lpwstr>
      </vt:variant>
      <vt:variant>
        <vt:lpwstr/>
      </vt:variant>
      <vt:variant>
        <vt:i4>4063272</vt:i4>
      </vt:variant>
      <vt:variant>
        <vt:i4>9</vt:i4>
      </vt:variant>
      <vt:variant>
        <vt:i4>0</vt:i4>
      </vt:variant>
      <vt:variant>
        <vt:i4>5</vt:i4>
      </vt:variant>
      <vt:variant>
        <vt:lpwstr>http://www.oxforddnb.com/view/article/40223</vt:lpwstr>
      </vt:variant>
      <vt:variant>
        <vt:lpwstr/>
      </vt:variant>
      <vt:variant>
        <vt:i4>3997736</vt:i4>
      </vt:variant>
      <vt:variant>
        <vt:i4>6</vt:i4>
      </vt:variant>
      <vt:variant>
        <vt:i4>0</vt:i4>
      </vt:variant>
      <vt:variant>
        <vt:i4>5</vt:i4>
      </vt:variant>
      <vt:variant>
        <vt:lpwstr>http://www.oxforddnb.com/view/article/31501</vt:lpwstr>
      </vt:variant>
      <vt:variant>
        <vt:lpwstr/>
      </vt:variant>
      <vt:variant>
        <vt:i4>3932202</vt:i4>
      </vt:variant>
      <vt:variant>
        <vt:i4>3</vt:i4>
      </vt:variant>
      <vt:variant>
        <vt:i4>0</vt:i4>
      </vt:variant>
      <vt:variant>
        <vt:i4>5</vt:i4>
      </vt:variant>
      <vt:variant>
        <vt:lpwstr>http://www.oxforddnb.com/view/article/34741</vt:lpwstr>
      </vt:variant>
      <vt:variant>
        <vt:lpwstr/>
      </vt:variant>
      <vt:variant>
        <vt:i4>1376289</vt:i4>
      </vt:variant>
      <vt:variant>
        <vt:i4>0</vt:i4>
      </vt:variant>
      <vt:variant>
        <vt:i4>0</vt:i4>
      </vt:variant>
      <vt:variant>
        <vt:i4>5</vt:i4>
      </vt:variant>
      <vt:variant>
        <vt:lpwstr>mailto:m.billings@exeter.ac.uk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UBM</dc:title>
  <dc:subject/>
  <dc:creator>MARK BILLINGS</dc:creator>
  <cp:keywords/>
  <cp:lastModifiedBy>Billings, Mark</cp:lastModifiedBy>
  <cp:revision>2</cp:revision>
  <cp:lastPrinted>2018-01-31T15:46:00Z</cp:lastPrinted>
  <dcterms:created xsi:type="dcterms:W3CDTF">2019-03-15T13:36:00Z</dcterms:created>
  <dcterms:modified xsi:type="dcterms:W3CDTF">2019-03-15T13:36:00Z</dcterms:modified>
</cp:coreProperties>
</file>