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F9" w:rsidRDefault="00357DDC" w:rsidP="00D05FF5">
      <w:pPr>
        <w:jc w:val="center"/>
        <w:rPr>
          <w:rFonts w:ascii="Times New Roman" w:hAnsi="Times New Roman" w:cs="Times New Roman"/>
          <w:b/>
          <w:sz w:val="24"/>
          <w:szCs w:val="24"/>
        </w:rPr>
      </w:pPr>
      <w:proofErr w:type="spellStart"/>
      <w:r w:rsidRPr="00357DDC">
        <w:rPr>
          <w:rFonts w:ascii="Times New Roman" w:hAnsi="Times New Roman" w:cs="Times New Roman"/>
          <w:b/>
          <w:i/>
          <w:sz w:val="24"/>
          <w:szCs w:val="24"/>
        </w:rPr>
        <w:t>Khoo</w:t>
      </w:r>
      <w:proofErr w:type="spellEnd"/>
      <w:r>
        <w:rPr>
          <w:rFonts w:ascii="Times New Roman" w:hAnsi="Times New Roman" w:cs="Times New Roman"/>
          <w:b/>
          <w:sz w:val="24"/>
          <w:szCs w:val="24"/>
        </w:rPr>
        <w:t xml:space="preserve"> do you think you are? </w:t>
      </w:r>
      <w:proofErr w:type="gramStart"/>
      <w:r w:rsidR="00C053E3">
        <w:rPr>
          <w:rFonts w:ascii="Times New Roman" w:hAnsi="Times New Roman" w:cs="Times New Roman"/>
          <w:b/>
          <w:sz w:val="24"/>
          <w:szCs w:val="24"/>
        </w:rPr>
        <w:t>Licensees</w:t>
      </w:r>
      <w:proofErr w:type="gramEnd"/>
      <w:r>
        <w:rPr>
          <w:rFonts w:ascii="Times New Roman" w:hAnsi="Times New Roman" w:cs="Times New Roman"/>
          <w:b/>
          <w:sz w:val="24"/>
          <w:szCs w:val="24"/>
        </w:rPr>
        <w:t xml:space="preserve"> vs Tenan</w:t>
      </w:r>
      <w:r w:rsidR="00C053E3">
        <w:rPr>
          <w:rFonts w:ascii="Times New Roman" w:hAnsi="Times New Roman" w:cs="Times New Roman"/>
          <w:b/>
          <w:sz w:val="24"/>
          <w:szCs w:val="24"/>
        </w:rPr>
        <w:t>ts</w:t>
      </w:r>
      <w:r>
        <w:rPr>
          <w:rFonts w:ascii="Times New Roman" w:hAnsi="Times New Roman" w:cs="Times New Roman"/>
          <w:b/>
          <w:sz w:val="24"/>
          <w:szCs w:val="24"/>
        </w:rPr>
        <w:t xml:space="preserve"> in the Property Guardianship Sector</w:t>
      </w:r>
    </w:p>
    <w:p w:rsidR="000C570E" w:rsidRPr="000C570E" w:rsidRDefault="000C570E" w:rsidP="00D05FF5">
      <w:pPr>
        <w:jc w:val="center"/>
        <w:rPr>
          <w:rFonts w:ascii="Times New Roman" w:hAnsi="Times New Roman" w:cs="Times New Roman"/>
          <w:sz w:val="24"/>
          <w:szCs w:val="24"/>
        </w:rPr>
      </w:pPr>
      <w:r w:rsidRPr="000C570E">
        <w:rPr>
          <w:rFonts w:ascii="Times New Roman" w:hAnsi="Times New Roman" w:cs="Times New Roman"/>
          <w:sz w:val="24"/>
          <w:szCs w:val="24"/>
        </w:rPr>
        <w:t>Journal of Housing Law (2019) 22(2)</w:t>
      </w:r>
    </w:p>
    <w:p w:rsidR="00D05FF5" w:rsidRDefault="001F34FC" w:rsidP="001F34FC">
      <w:pPr>
        <w:jc w:val="center"/>
        <w:rPr>
          <w:rFonts w:ascii="Times New Roman" w:hAnsi="Times New Roman" w:cs="Times New Roman"/>
          <w:b/>
          <w:sz w:val="20"/>
          <w:szCs w:val="20"/>
        </w:rPr>
      </w:pPr>
      <w:r w:rsidRPr="001F34FC">
        <w:rPr>
          <w:rFonts w:ascii="Times New Roman" w:hAnsi="Times New Roman" w:cs="Times New Roman"/>
          <w:b/>
          <w:sz w:val="20"/>
          <w:szCs w:val="20"/>
        </w:rPr>
        <w:t>Dr Jed Meers</w:t>
      </w:r>
      <w:r w:rsidR="0028201E">
        <w:rPr>
          <w:rFonts w:ascii="Times New Roman" w:hAnsi="Times New Roman" w:cs="Times New Roman"/>
          <w:b/>
          <w:sz w:val="20"/>
          <w:szCs w:val="20"/>
        </w:rPr>
        <w:t>*</w:t>
      </w:r>
    </w:p>
    <w:p w:rsidR="001F34FC" w:rsidRPr="001A3F49" w:rsidRDefault="001F34FC" w:rsidP="001F34FC">
      <w:pPr>
        <w:pStyle w:val="NormalWeb"/>
        <w:shd w:val="clear" w:color="auto" w:fill="FFFFFF"/>
        <w:spacing w:before="0" w:beforeAutospacing="0" w:after="0" w:afterAutospacing="0"/>
        <w:rPr>
          <w:color w:val="000000"/>
          <w:sz w:val="20"/>
          <w:szCs w:val="20"/>
        </w:rPr>
      </w:pPr>
      <w:r w:rsidRPr="001A3F49">
        <w:rPr>
          <w:rStyle w:val="Strong"/>
          <w:color w:val="000000"/>
          <w:sz w:val="20"/>
          <w:szCs w:val="20"/>
        </w:rPr>
        <w:t>Subject: </w:t>
      </w:r>
      <w:r w:rsidRPr="001A3F49">
        <w:rPr>
          <w:color w:val="000000"/>
          <w:sz w:val="20"/>
          <w:szCs w:val="20"/>
        </w:rPr>
        <w:t>Landlord and Tenant</w:t>
      </w:r>
      <w:bookmarkStart w:id="0" w:name="_GoBack"/>
      <w:bookmarkEnd w:id="0"/>
    </w:p>
    <w:p w:rsidR="001F34FC" w:rsidRPr="001A3F49" w:rsidRDefault="001F34FC" w:rsidP="001F34FC">
      <w:pPr>
        <w:pStyle w:val="NormalWeb"/>
        <w:shd w:val="clear" w:color="auto" w:fill="FFFFFF"/>
        <w:spacing w:before="0" w:beforeAutospacing="0" w:after="0" w:afterAutospacing="0"/>
        <w:rPr>
          <w:color w:val="000000"/>
          <w:sz w:val="20"/>
          <w:szCs w:val="20"/>
        </w:rPr>
      </w:pPr>
    </w:p>
    <w:p w:rsidR="001F34FC" w:rsidRPr="001A3F49" w:rsidRDefault="001F34FC" w:rsidP="001F34FC">
      <w:pPr>
        <w:pStyle w:val="NormalWeb"/>
        <w:shd w:val="clear" w:color="auto" w:fill="FFFFFF"/>
        <w:spacing w:before="0" w:beforeAutospacing="0" w:after="0" w:afterAutospacing="0"/>
        <w:rPr>
          <w:color w:val="000000"/>
          <w:sz w:val="20"/>
          <w:szCs w:val="20"/>
        </w:rPr>
      </w:pPr>
      <w:r w:rsidRPr="001A3F49">
        <w:rPr>
          <w:rStyle w:val="Strong"/>
          <w:color w:val="000000"/>
          <w:sz w:val="20"/>
          <w:szCs w:val="20"/>
        </w:rPr>
        <w:t>Keywords: </w:t>
      </w:r>
      <w:r w:rsidRPr="001A3F49">
        <w:rPr>
          <w:rStyle w:val="Strong"/>
          <w:b w:val="0"/>
          <w:color w:val="000000"/>
          <w:sz w:val="20"/>
          <w:szCs w:val="20"/>
        </w:rPr>
        <w:t>Tenants</w:t>
      </w:r>
      <w:r w:rsidRPr="001A3F49">
        <w:rPr>
          <w:color w:val="000000"/>
          <w:sz w:val="20"/>
          <w:szCs w:val="20"/>
        </w:rPr>
        <w:t xml:space="preserve">; Temporary permission; </w:t>
      </w:r>
      <w:proofErr w:type="spellStart"/>
      <w:r w:rsidRPr="001A3F49">
        <w:rPr>
          <w:color w:val="000000"/>
          <w:sz w:val="20"/>
          <w:szCs w:val="20"/>
        </w:rPr>
        <w:t>Licencees</w:t>
      </w:r>
      <w:proofErr w:type="spellEnd"/>
      <w:r w:rsidRPr="001A3F49">
        <w:rPr>
          <w:color w:val="000000"/>
          <w:sz w:val="20"/>
          <w:szCs w:val="20"/>
        </w:rPr>
        <w:t>; Property Guardians.</w:t>
      </w:r>
    </w:p>
    <w:p w:rsidR="001F34FC" w:rsidRPr="001A3F49" w:rsidRDefault="001F34FC" w:rsidP="001F34FC">
      <w:pPr>
        <w:pStyle w:val="NormalWeb"/>
        <w:shd w:val="clear" w:color="auto" w:fill="FFFFFF"/>
        <w:spacing w:before="0" w:beforeAutospacing="0" w:after="0" w:afterAutospacing="0"/>
        <w:rPr>
          <w:color w:val="000000"/>
          <w:sz w:val="20"/>
          <w:szCs w:val="20"/>
        </w:rPr>
      </w:pPr>
    </w:p>
    <w:p w:rsidR="001F34FC" w:rsidRPr="001A3F49" w:rsidRDefault="001F34FC" w:rsidP="00EB7719">
      <w:pPr>
        <w:pStyle w:val="NormalWeb"/>
        <w:shd w:val="clear" w:color="auto" w:fill="FFFFFF"/>
        <w:spacing w:before="0" w:beforeAutospacing="0" w:after="0" w:afterAutospacing="0"/>
        <w:rPr>
          <w:color w:val="000000"/>
          <w:sz w:val="20"/>
          <w:szCs w:val="20"/>
        </w:rPr>
      </w:pPr>
      <w:r w:rsidRPr="001A3F49">
        <w:rPr>
          <w:rStyle w:val="Strong"/>
          <w:color w:val="000000"/>
          <w:sz w:val="20"/>
          <w:szCs w:val="20"/>
        </w:rPr>
        <w:t>Case:</w:t>
      </w:r>
      <w:r w:rsidR="0028201E" w:rsidRPr="001A3F49">
        <w:rPr>
          <w:rStyle w:val="Strong"/>
          <w:color w:val="000000"/>
          <w:sz w:val="20"/>
          <w:szCs w:val="20"/>
        </w:rPr>
        <w:t xml:space="preserve"> </w:t>
      </w:r>
      <w:r w:rsidR="00EB7719" w:rsidRPr="001A3F49">
        <w:rPr>
          <w:i/>
          <w:color w:val="000000"/>
          <w:sz w:val="20"/>
          <w:szCs w:val="20"/>
        </w:rPr>
        <w:t xml:space="preserve">Camelot Guardian Management Limited v </w:t>
      </w:r>
      <w:proofErr w:type="spellStart"/>
      <w:r w:rsidR="00EB7719" w:rsidRPr="001A3F49">
        <w:rPr>
          <w:i/>
          <w:color w:val="000000"/>
          <w:sz w:val="20"/>
          <w:szCs w:val="20"/>
        </w:rPr>
        <w:t>Heiko</w:t>
      </w:r>
      <w:proofErr w:type="spellEnd"/>
      <w:r w:rsidR="00EB7719" w:rsidRPr="001A3F49">
        <w:rPr>
          <w:i/>
          <w:color w:val="000000"/>
          <w:sz w:val="20"/>
          <w:szCs w:val="20"/>
        </w:rPr>
        <w:t xml:space="preserve"> </w:t>
      </w:r>
      <w:proofErr w:type="spellStart"/>
      <w:r w:rsidR="00EB7719" w:rsidRPr="001A3F49">
        <w:rPr>
          <w:i/>
          <w:color w:val="000000"/>
          <w:sz w:val="20"/>
          <w:szCs w:val="20"/>
        </w:rPr>
        <w:t>Khoo</w:t>
      </w:r>
      <w:proofErr w:type="spellEnd"/>
      <w:r w:rsidR="00EB7719" w:rsidRPr="001A3F49">
        <w:rPr>
          <w:color w:val="000000"/>
          <w:sz w:val="20"/>
          <w:szCs w:val="20"/>
        </w:rPr>
        <w:t xml:space="preserve"> [2018] EWHC 2296 (QB)</w:t>
      </w:r>
    </w:p>
    <w:p w:rsidR="001F34FC" w:rsidRDefault="001F34FC">
      <w:pPr>
        <w:rPr>
          <w:rFonts w:ascii="Times New Roman" w:hAnsi="Times New Roman" w:cs="Times New Roman"/>
          <w:b/>
          <w:sz w:val="24"/>
          <w:szCs w:val="24"/>
        </w:rPr>
      </w:pPr>
    </w:p>
    <w:p w:rsidR="00806C5C" w:rsidRDefault="008263EF" w:rsidP="00F05E9A">
      <w:pPr>
        <w:jc w:val="both"/>
        <w:rPr>
          <w:rFonts w:ascii="Times New Roman" w:hAnsi="Times New Roman" w:cs="Times New Roman"/>
          <w:color w:val="000000"/>
          <w:shd w:val="clear" w:color="auto" w:fill="FFFFFF"/>
        </w:rPr>
      </w:pPr>
      <w:r>
        <w:rPr>
          <w:rFonts w:ascii="Times New Roman" w:hAnsi="Times New Roman" w:cs="Times New Roman"/>
        </w:rPr>
        <w:t>‘Property guardianship’ lends itself to clichés. It is tempting to begin any description by referring to the practice as an ‘alternative to renting’, a ‘growth industry’, or ‘millennial phenomenon’</w:t>
      </w:r>
      <w:r w:rsidR="002D25AD">
        <w:rPr>
          <w:rFonts w:ascii="Times New Roman" w:hAnsi="Times New Roman" w:cs="Times New Roman"/>
        </w:rPr>
        <w:t xml:space="preserve"> – the reality of t</w:t>
      </w:r>
      <w:r w:rsidR="00835E9F">
        <w:rPr>
          <w:rFonts w:ascii="Times New Roman" w:hAnsi="Times New Roman" w:cs="Times New Roman"/>
        </w:rPr>
        <w:t xml:space="preserve">he day-to-day experiences of living as a property guardian </w:t>
      </w:r>
      <w:r w:rsidR="002D25AD">
        <w:rPr>
          <w:rFonts w:ascii="Times New Roman" w:hAnsi="Times New Roman" w:cs="Times New Roman"/>
        </w:rPr>
        <w:t>is more co</w:t>
      </w:r>
      <w:r w:rsidR="00775CBE">
        <w:rPr>
          <w:rFonts w:ascii="Times New Roman" w:hAnsi="Times New Roman" w:cs="Times New Roman"/>
        </w:rPr>
        <w:t>mplicated than all three imply.</w:t>
      </w:r>
      <w:r w:rsidR="00C053E3">
        <w:rPr>
          <w:rStyle w:val="FootnoteReference"/>
          <w:rFonts w:ascii="Times New Roman" w:hAnsi="Times New Roman" w:cs="Times New Roman"/>
        </w:rPr>
        <w:footnoteReference w:id="1"/>
      </w:r>
      <w:r w:rsidR="00775CBE">
        <w:rPr>
          <w:rFonts w:ascii="Times New Roman" w:hAnsi="Times New Roman" w:cs="Times New Roman"/>
        </w:rPr>
        <w:t xml:space="preserve"> The basi</w:t>
      </w:r>
      <w:r w:rsidR="00415E37">
        <w:rPr>
          <w:rFonts w:ascii="Times New Roman" w:hAnsi="Times New Roman" w:cs="Times New Roman"/>
        </w:rPr>
        <w:t>c</w:t>
      </w:r>
      <w:r w:rsidR="00775CBE">
        <w:rPr>
          <w:rFonts w:ascii="Times New Roman" w:hAnsi="Times New Roman" w:cs="Times New Roman"/>
        </w:rPr>
        <w:t xml:space="preserve"> proposition is simple: owners of otherwise empty properties secure them by contracting with a company who subsequently licence with ‘property guardians’ to live in the building. The ‘guardians’ get cheap(</w:t>
      </w:r>
      <w:proofErr w:type="spellStart"/>
      <w:r w:rsidR="00775CBE">
        <w:rPr>
          <w:rFonts w:ascii="Times New Roman" w:hAnsi="Times New Roman" w:cs="Times New Roman"/>
        </w:rPr>
        <w:t>er</w:t>
      </w:r>
      <w:proofErr w:type="spellEnd"/>
      <w:r w:rsidR="00775CBE">
        <w:rPr>
          <w:rFonts w:ascii="Times New Roman" w:hAnsi="Times New Roman" w:cs="Times New Roman"/>
        </w:rPr>
        <w:t>) accommodation than elsewhere in the private rented sector, the proper</w:t>
      </w:r>
      <w:r w:rsidR="004D29DC">
        <w:rPr>
          <w:rFonts w:ascii="Times New Roman" w:hAnsi="Times New Roman" w:cs="Times New Roman"/>
        </w:rPr>
        <w:t xml:space="preserve">ty owners avoid security costs, and </w:t>
      </w:r>
      <w:r w:rsidR="00775CBE">
        <w:rPr>
          <w:rFonts w:ascii="Times New Roman" w:hAnsi="Times New Roman" w:cs="Times New Roman"/>
        </w:rPr>
        <w:t>the company creams money off the top from either</w:t>
      </w:r>
      <w:r w:rsidR="009275E6">
        <w:rPr>
          <w:rFonts w:ascii="Times New Roman" w:hAnsi="Times New Roman" w:cs="Times New Roman"/>
        </w:rPr>
        <w:t>/both</w:t>
      </w:r>
      <w:r w:rsidR="00775CBE">
        <w:rPr>
          <w:rFonts w:ascii="Times New Roman" w:hAnsi="Times New Roman" w:cs="Times New Roman"/>
        </w:rPr>
        <w:t xml:space="preserve"> side</w:t>
      </w:r>
      <w:r w:rsidR="00394C23">
        <w:rPr>
          <w:rFonts w:ascii="Times New Roman" w:hAnsi="Times New Roman" w:cs="Times New Roman"/>
        </w:rPr>
        <w:t>/s</w:t>
      </w:r>
      <w:r w:rsidR="00775CBE">
        <w:rPr>
          <w:rFonts w:ascii="Times New Roman" w:hAnsi="Times New Roman" w:cs="Times New Roman"/>
        </w:rPr>
        <w:t xml:space="preserve">. </w:t>
      </w:r>
      <w:r w:rsidR="002D25AD">
        <w:rPr>
          <w:rFonts w:ascii="Times New Roman" w:hAnsi="Times New Roman" w:cs="Times New Roman"/>
        </w:rPr>
        <w:t xml:space="preserve">Writing about property guardianship in this journal in 2013, </w:t>
      </w:r>
      <w:r w:rsidRPr="008263EF">
        <w:rPr>
          <w:rFonts w:ascii="Times New Roman" w:hAnsi="Times New Roman" w:cs="Times New Roman"/>
        </w:rPr>
        <w:t xml:space="preserve">Hunter and </w:t>
      </w:r>
      <w:proofErr w:type="spellStart"/>
      <w:r w:rsidRPr="008263EF">
        <w:rPr>
          <w:rFonts w:ascii="Times New Roman" w:hAnsi="Times New Roman" w:cs="Times New Roman"/>
        </w:rPr>
        <w:t>Peaker</w:t>
      </w:r>
      <w:proofErr w:type="spellEnd"/>
      <w:r w:rsidRPr="008263EF">
        <w:rPr>
          <w:rFonts w:ascii="Times New Roman" w:hAnsi="Times New Roman" w:cs="Times New Roman"/>
        </w:rPr>
        <w:t xml:space="preserve"> argued that ‘</w:t>
      </w:r>
      <w:r w:rsidRPr="008263EF">
        <w:rPr>
          <w:rFonts w:ascii="Times New Roman" w:hAnsi="Times New Roman" w:cs="Times New Roman"/>
          <w:color w:val="000000"/>
          <w:shd w:val="clear" w:color="auto" w:fill="FFFFFF"/>
        </w:rPr>
        <w:t>it is about time that their operation received some legal scrutiny as providers of accommodation.’</w:t>
      </w:r>
      <w:r w:rsidR="00613C21">
        <w:rPr>
          <w:rStyle w:val="FootnoteReference"/>
          <w:rFonts w:ascii="Times New Roman" w:hAnsi="Times New Roman" w:cs="Times New Roman"/>
          <w:color w:val="000000"/>
          <w:shd w:val="clear" w:color="auto" w:fill="FFFFFF"/>
        </w:rPr>
        <w:footnoteReference w:id="2"/>
      </w:r>
      <w:r w:rsidR="002D25AD">
        <w:rPr>
          <w:rFonts w:ascii="Times New Roman" w:hAnsi="Times New Roman" w:cs="Times New Roman"/>
          <w:color w:val="000000"/>
          <w:shd w:val="clear" w:color="auto" w:fill="FFFFFF"/>
        </w:rPr>
        <w:t xml:space="preserve"> As this </w:t>
      </w:r>
      <w:r w:rsidR="00775CBE">
        <w:rPr>
          <w:rFonts w:ascii="Times New Roman" w:hAnsi="Times New Roman" w:cs="Times New Roman"/>
          <w:color w:val="000000"/>
          <w:shd w:val="clear" w:color="auto" w:fill="FFFFFF"/>
        </w:rPr>
        <w:t xml:space="preserve">sector (seemingly) continues to grow, </w:t>
      </w:r>
      <w:r w:rsidR="004D29DC">
        <w:rPr>
          <w:rFonts w:ascii="Times New Roman" w:hAnsi="Times New Roman" w:cs="Times New Roman"/>
          <w:color w:val="000000"/>
          <w:shd w:val="clear" w:color="auto" w:fill="FFFFFF"/>
        </w:rPr>
        <w:t>they are increasingly getting their wish</w:t>
      </w:r>
      <w:r w:rsidR="00775CBE">
        <w:rPr>
          <w:rFonts w:ascii="Times New Roman" w:hAnsi="Times New Roman" w:cs="Times New Roman"/>
          <w:color w:val="000000"/>
          <w:shd w:val="clear" w:color="auto" w:fill="FFFFFF"/>
        </w:rPr>
        <w:t xml:space="preserve">: the recent judgment of the High Court in </w:t>
      </w:r>
      <w:r w:rsidR="00775CBE" w:rsidRPr="00775CBE">
        <w:rPr>
          <w:rFonts w:ascii="Times New Roman" w:hAnsi="Times New Roman" w:cs="Times New Roman"/>
          <w:i/>
          <w:color w:val="000000"/>
          <w:shd w:val="clear" w:color="auto" w:fill="FFFFFF"/>
        </w:rPr>
        <w:t xml:space="preserve">Camelot Guardian Management Limited v </w:t>
      </w:r>
      <w:proofErr w:type="spellStart"/>
      <w:r w:rsidR="00775CBE" w:rsidRPr="00775CBE">
        <w:rPr>
          <w:rFonts w:ascii="Times New Roman" w:hAnsi="Times New Roman" w:cs="Times New Roman"/>
          <w:i/>
          <w:color w:val="000000"/>
          <w:shd w:val="clear" w:color="auto" w:fill="FFFFFF"/>
        </w:rPr>
        <w:t>Heiko</w:t>
      </w:r>
      <w:proofErr w:type="spellEnd"/>
      <w:r w:rsidR="00775CBE" w:rsidRPr="00775CBE">
        <w:rPr>
          <w:rFonts w:ascii="Times New Roman" w:hAnsi="Times New Roman" w:cs="Times New Roman"/>
          <w:i/>
          <w:color w:val="000000"/>
          <w:shd w:val="clear" w:color="auto" w:fill="FFFFFF"/>
        </w:rPr>
        <w:t xml:space="preserve"> </w:t>
      </w:r>
      <w:proofErr w:type="spellStart"/>
      <w:r w:rsidR="00775CBE" w:rsidRPr="00775CBE">
        <w:rPr>
          <w:rFonts w:ascii="Times New Roman" w:hAnsi="Times New Roman" w:cs="Times New Roman"/>
          <w:i/>
          <w:color w:val="000000"/>
          <w:shd w:val="clear" w:color="auto" w:fill="FFFFFF"/>
        </w:rPr>
        <w:t>Khoo</w:t>
      </w:r>
      <w:proofErr w:type="spellEnd"/>
      <w:r w:rsidR="002D25AD">
        <w:rPr>
          <w:rFonts w:ascii="Times New Roman" w:hAnsi="Times New Roman" w:cs="Times New Roman"/>
          <w:color w:val="000000"/>
          <w:shd w:val="clear" w:color="auto" w:fill="FFFFFF"/>
        </w:rPr>
        <w:t xml:space="preserve"> </w:t>
      </w:r>
      <w:r w:rsidR="00775CBE" w:rsidRPr="00775CBE">
        <w:rPr>
          <w:rFonts w:ascii="Times New Roman" w:hAnsi="Times New Roman" w:cs="Times New Roman"/>
          <w:color w:val="000000"/>
          <w:shd w:val="clear" w:color="auto" w:fill="FFFFFF"/>
        </w:rPr>
        <w:t>[2018] EWHC 2296 (QB)</w:t>
      </w:r>
      <w:r w:rsidR="00775CBE">
        <w:rPr>
          <w:rFonts w:ascii="Times New Roman" w:hAnsi="Times New Roman" w:cs="Times New Roman"/>
          <w:color w:val="000000"/>
          <w:shd w:val="clear" w:color="auto" w:fill="FFFFFF"/>
        </w:rPr>
        <w:t xml:space="preserve"> </w:t>
      </w:r>
      <w:r w:rsidR="00F05E9A">
        <w:rPr>
          <w:rFonts w:ascii="Times New Roman" w:hAnsi="Times New Roman" w:cs="Times New Roman"/>
          <w:color w:val="000000"/>
          <w:shd w:val="clear" w:color="auto" w:fill="FFFFFF"/>
        </w:rPr>
        <w:t>is a microcosm of the legal issues at play.</w:t>
      </w:r>
    </w:p>
    <w:p w:rsidR="0029349F" w:rsidRDefault="0029349F" w:rsidP="00F05E9A">
      <w:pPr>
        <w:jc w:val="both"/>
        <w:rPr>
          <w:rFonts w:ascii="Times New Roman" w:hAnsi="Times New Roman" w:cs="Times New Roman"/>
        </w:rPr>
      </w:pPr>
      <w:r>
        <w:rPr>
          <w:rFonts w:ascii="Times New Roman" w:hAnsi="Times New Roman" w:cs="Times New Roman"/>
        </w:rPr>
        <w:t xml:space="preserve">After providing an outline of the facts and decision in </w:t>
      </w:r>
      <w:proofErr w:type="spellStart"/>
      <w:r>
        <w:rPr>
          <w:rFonts w:ascii="Times New Roman" w:hAnsi="Times New Roman" w:cs="Times New Roman"/>
          <w:i/>
        </w:rPr>
        <w:t>Khoo</w:t>
      </w:r>
      <w:proofErr w:type="spellEnd"/>
      <w:r>
        <w:rPr>
          <w:rFonts w:ascii="Times New Roman" w:hAnsi="Times New Roman" w:cs="Times New Roman"/>
        </w:rPr>
        <w:t xml:space="preserve">, this article reflects on </w:t>
      </w:r>
      <w:r w:rsidR="00B13589">
        <w:rPr>
          <w:rFonts w:ascii="Times New Roman" w:hAnsi="Times New Roman" w:cs="Times New Roman"/>
        </w:rPr>
        <w:t>two key implications for the property guardianship sector.</w:t>
      </w:r>
    </w:p>
    <w:p w:rsidR="0029349F" w:rsidRDefault="00025A45" w:rsidP="00F05E9A">
      <w:pPr>
        <w:jc w:val="both"/>
        <w:rPr>
          <w:rFonts w:ascii="Times New Roman" w:hAnsi="Times New Roman" w:cs="Times New Roman"/>
          <w:b/>
          <w:i/>
        </w:rPr>
      </w:pPr>
      <w:r>
        <w:rPr>
          <w:rFonts w:ascii="Times New Roman" w:hAnsi="Times New Roman" w:cs="Times New Roman"/>
          <w:b/>
        </w:rPr>
        <w:t>The facts</w:t>
      </w:r>
    </w:p>
    <w:p w:rsidR="006A04CF" w:rsidRDefault="00D14669" w:rsidP="00F05E9A">
      <w:pPr>
        <w:jc w:val="both"/>
        <w:rPr>
          <w:rFonts w:ascii="Times New Roman" w:hAnsi="Times New Roman" w:cs="Times New Roman"/>
        </w:rPr>
      </w:pPr>
      <w:r>
        <w:rPr>
          <w:rFonts w:ascii="Times New Roman" w:hAnsi="Times New Roman" w:cs="Times New Roman"/>
        </w:rPr>
        <w:t>This</w:t>
      </w:r>
      <w:r w:rsidR="006D6B39">
        <w:rPr>
          <w:rFonts w:ascii="Times New Roman" w:hAnsi="Times New Roman" w:cs="Times New Roman"/>
        </w:rPr>
        <w:t xml:space="preserve"> case</w:t>
      </w:r>
      <w:r w:rsidR="00394C23">
        <w:rPr>
          <w:rFonts w:ascii="Times New Roman" w:hAnsi="Times New Roman" w:cs="Times New Roman"/>
        </w:rPr>
        <w:t xml:space="preserve"> concerns a building which is typical of the property guardianship sector: a large office block owned by a local authority</w:t>
      </w:r>
      <w:r w:rsidR="00415E37">
        <w:rPr>
          <w:rFonts w:ascii="Times New Roman" w:hAnsi="Times New Roman" w:cs="Times New Roman"/>
        </w:rPr>
        <w:t>,</w:t>
      </w:r>
      <w:r w:rsidR="00394C23">
        <w:rPr>
          <w:rFonts w:ascii="Times New Roman" w:hAnsi="Times New Roman" w:cs="Times New Roman"/>
        </w:rPr>
        <w:t xml:space="preserve"> </w:t>
      </w:r>
      <w:r w:rsidR="004C20F6">
        <w:rPr>
          <w:rFonts w:ascii="Times New Roman" w:hAnsi="Times New Roman" w:cs="Times New Roman"/>
        </w:rPr>
        <w:t>here</w:t>
      </w:r>
      <w:r w:rsidR="00394C23">
        <w:rPr>
          <w:rFonts w:ascii="Times New Roman" w:hAnsi="Times New Roman" w:cs="Times New Roman"/>
        </w:rPr>
        <w:t xml:space="preserve"> Westminster City Council.</w:t>
      </w:r>
      <w:r w:rsidR="00394C23">
        <w:rPr>
          <w:rStyle w:val="FootnoteReference"/>
          <w:rFonts w:ascii="Times New Roman" w:hAnsi="Times New Roman" w:cs="Times New Roman"/>
        </w:rPr>
        <w:footnoteReference w:id="3"/>
      </w:r>
      <w:r>
        <w:rPr>
          <w:rFonts w:ascii="Times New Roman" w:hAnsi="Times New Roman" w:cs="Times New Roman"/>
        </w:rPr>
        <w:t xml:space="preserve"> This was located in a desirable location</w:t>
      </w:r>
      <w:r w:rsidR="004C20F6">
        <w:rPr>
          <w:rFonts w:ascii="Times New Roman" w:hAnsi="Times New Roman" w:cs="Times New Roman"/>
        </w:rPr>
        <w:t xml:space="preserve"> on the outskirts of Mayfair. When the building fell empty, Westminster City Council contracted with Camelot Guardian Management Limited (hereafter, Camelot), one of the UK’s largest property guardian companies, to provide a right of possession for Camelot to secure the property through offering licences to guardians.</w:t>
      </w:r>
    </w:p>
    <w:p w:rsidR="00415E37" w:rsidRPr="00084415" w:rsidRDefault="00732B29" w:rsidP="00FB55A9">
      <w:pPr>
        <w:jc w:val="both"/>
        <w:rPr>
          <w:rFonts w:ascii="Times New Roman" w:hAnsi="Times New Roman" w:cs="Times New Roman"/>
        </w:rPr>
      </w:pPr>
      <w:r>
        <w:rPr>
          <w:rFonts w:ascii="Times New Roman" w:hAnsi="Times New Roman" w:cs="Times New Roman"/>
        </w:rPr>
        <w:t>The</w:t>
      </w:r>
      <w:r w:rsidR="00415E37">
        <w:rPr>
          <w:rFonts w:ascii="Times New Roman" w:hAnsi="Times New Roman" w:cs="Times New Roman"/>
        </w:rPr>
        <w:t xml:space="preserve"> agreement specified </w:t>
      </w:r>
      <w:r w:rsidR="00E63B7C">
        <w:rPr>
          <w:rFonts w:ascii="Times New Roman" w:hAnsi="Times New Roman" w:cs="Times New Roman"/>
        </w:rPr>
        <w:t>that Westminster City Council could inspect the property at all ‘reasonable times’</w:t>
      </w:r>
      <w:r w:rsidR="00E63B7C">
        <w:rPr>
          <w:rStyle w:val="FootnoteReference"/>
          <w:rFonts w:ascii="Times New Roman" w:hAnsi="Times New Roman" w:cs="Times New Roman"/>
        </w:rPr>
        <w:footnoteReference w:id="4"/>
      </w:r>
      <w:r w:rsidR="00FB55A9">
        <w:rPr>
          <w:rFonts w:ascii="Times New Roman" w:hAnsi="Times New Roman" w:cs="Times New Roman"/>
        </w:rPr>
        <w:t xml:space="preserve"> and could determine the property at ‘not less than five weeks’ </w:t>
      </w:r>
      <w:r w:rsidR="00FB55A9" w:rsidRPr="00FB55A9">
        <w:rPr>
          <w:rFonts w:ascii="Times New Roman" w:hAnsi="Times New Roman" w:cs="Times New Roman"/>
        </w:rPr>
        <w:t>notice</w:t>
      </w:r>
      <w:r w:rsidR="00FB55A9">
        <w:rPr>
          <w:rFonts w:ascii="Times New Roman" w:hAnsi="Times New Roman" w:cs="Times New Roman"/>
        </w:rPr>
        <w:t>’.</w:t>
      </w:r>
      <w:r w:rsidR="00FB55A9">
        <w:rPr>
          <w:rStyle w:val="FootnoteReference"/>
          <w:rFonts w:ascii="Times New Roman" w:hAnsi="Times New Roman" w:cs="Times New Roman"/>
        </w:rPr>
        <w:footnoteReference w:id="5"/>
      </w:r>
      <w:r>
        <w:rPr>
          <w:rFonts w:ascii="Times New Roman" w:hAnsi="Times New Roman" w:cs="Times New Roman"/>
        </w:rPr>
        <w:t xml:space="preserve"> Importantly, however, the agreement specified that the terms in any accompanying offer letter trump those laid out</w:t>
      </w:r>
      <w:r w:rsidR="009275E6">
        <w:rPr>
          <w:rFonts w:ascii="Times New Roman" w:hAnsi="Times New Roman" w:cs="Times New Roman"/>
        </w:rPr>
        <w:t xml:space="preserve"> in this document</w:t>
      </w:r>
      <w:r>
        <w:rPr>
          <w:rFonts w:ascii="Times New Roman" w:hAnsi="Times New Roman" w:cs="Times New Roman"/>
        </w:rPr>
        <w:t xml:space="preserve"> – in this case, </w:t>
      </w:r>
      <w:r w:rsidR="006246D1">
        <w:rPr>
          <w:rFonts w:ascii="Times New Roman" w:hAnsi="Times New Roman" w:cs="Times New Roman"/>
        </w:rPr>
        <w:t xml:space="preserve">such </w:t>
      </w:r>
      <w:r w:rsidR="009275E6">
        <w:rPr>
          <w:rFonts w:ascii="Times New Roman" w:hAnsi="Times New Roman" w:cs="Times New Roman"/>
        </w:rPr>
        <w:t>an offer</w:t>
      </w:r>
      <w:r w:rsidR="00E851F9">
        <w:rPr>
          <w:rFonts w:ascii="Times New Roman" w:hAnsi="Times New Roman" w:cs="Times New Roman"/>
        </w:rPr>
        <w:t xml:space="preserve"> </w:t>
      </w:r>
      <w:r>
        <w:rPr>
          <w:rFonts w:ascii="Times New Roman" w:hAnsi="Times New Roman" w:cs="Times New Roman"/>
        </w:rPr>
        <w:t>letter</w:t>
      </w:r>
      <w:r w:rsidR="006246D1">
        <w:rPr>
          <w:rFonts w:ascii="Times New Roman" w:hAnsi="Times New Roman" w:cs="Times New Roman"/>
        </w:rPr>
        <w:t xml:space="preserve"> </w:t>
      </w:r>
      <w:r>
        <w:rPr>
          <w:rFonts w:ascii="Times New Roman" w:hAnsi="Times New Roman" w:cs="Times New Roman"/>
        </w:rPr>
        <w:t>specified a one-week notice period, ‘</w:t>
      </w:r>
      <w:r w:rsidRPr="00732B29">
        <w:rPr>
          <w:rFonts w:ascii="Times New Roman" w:hAnsi="Times New Roman" w:cs="Times New Roman"/>
        </w:rPr>
        <w:t>after which the Property will be delivered clean and e</w:t>
      </w:r>
      <w:r>
        <w:rPr>
          <w:rFonts w:ascii="Times New Roman" w:hAnsi="Times New Roman" w:cs="Times New Roman"/>
        </w:rPr>
        <w:t>mpty on the next Monday morning.’</w:t>
      </w:r>
      <w:r>
        <w:rPr>
          <w:rStyle w:val="FootnoteReference"/>
          <w:rFonts w:ascii="Times New Roman" w:hAnsi="Times New Roman" w:cs="Times New Roman"/>
        </w:rPr>
        <w:footnoteReference w:id="6"/>
      </w:r>
    </w:p>
    <w:p w:rsidR="00252C44" w:rsidRDefault="00E851F9" w:rsidP="00FB55A9">
      <w:pPr>
        <w:jc w:val="both"/>
        <w:rPr>
          <w:rFonts w:ascii="Times New Roman" w:hAnsi="Times New Roman" w:cs="Times New Roman"/>
        </w:rPr>
      </w:pPr>
      <w:r w:rsidRPr="00084415">
        <w:rPr>
          <w:rFonts w:ascii="Times New Roman" w:hAnsi="Times New Roman" w:cs="Times New Roman"/>
        </w:rPr>
        <w:t xml:space="preserve">Mr </w:t>
      </w:r>
      <w:proofErr w:type="spellStart"/>
      <w:r w:rsidRPr="00084415">
        <w:rPr>
          <w:rFonts w:ascii="Times New Roman" w:hAnsi="Times New Roman" w:cs="Times New Roman"/>
        </w:rPr>
        <w:t>Khoo</w:t>
      </w:r>
      <w:proofErr w:type="spellEnd"/>
      <w:r w:rsidR="00084415" w:rsidRPr="00084415">
        <w:rPr>
          <w:rFonts w:ascii="Times New Roman" w:hAnsi="Times New Roman" w:cs="Times New Roman"/>
        </w:rPr>
        <w:t xml:space="preserve"> had been</w:t>
      </w:r>
      <w:r w:rsidR="00FC3658" w:rsidRPr="00084415">
        <w:rPr>
          <w:rFonts w:ascii="Times New Roman" w:hAnsi="Times New Roman" w:cs="Times New Roman"/>
        </w:rPr>
        <w:t xml:space="preserve"> living in another of Camelot’s properties as a ‘property guardian’</w:t>
      </w:r>
      <w:r w:rsidR="00084415" w:rsidRPr="00084415">
        <w:rPr>
          <w:rFonts w:ascii="Times New Roman" w:hAnsi="Times New Roman" w:cs="Times New Roman"/>
        </w:rPr>
        <w:t xml:space="preserve"> for just over a year</w:t>
      </w:r>
      <w:r w:rsidR="00FC3658" w:rsidRPr="00084415">
        <w:rPr>
          <w:rFonts w:ascii="Times New Roman" w:hAnsi="Times New Roman" w:cs="Times New Roman"/>
        </w:rPr>
        <w:t xml:space="preserve"> and – due </w:t>
      </w:r>
      <w:r w:rsidR="001F4B5B">
        <w:rPr>
          <w:rFonts w:ascii="Times New Roman" w:hAnsi="Times New Roman" w:cs="Times New Roman"/>
        </w:rPr>
        <w:t>to having to vacate the</w:t>
      </w:r>
      <w:r w:rsidR="00FC3658" w:rsidRPr="00084415">
        <w:rPr>
          <w:rFonts w:ascii="Times New Roman" w:hAnsi="Times New Roman" w:cs="Times New Roman"/>
        </w:rPr>
        <w:t xml:space="preserve"> premises –</w:t>
      </w:r>
      <w:r w:rsidR="00A34CCD">
        <w:rPr>
          <w:rFonts w:ascii="Times New Roman" w:hAnsi="Times New Roman" w:cs="Times New Roman"/>
        </w:rPr>
        <w:t xml:space="preserve"> </w:t>
      </w:r>
      <w:r w:rsidR="00FC3658" w:rsidRPr="00084415">
        <w:rPr>
          <w:rFonts w:ascii="Times New Roman" w:hAnsi="Times New Roman" w:cs="Times New Roman"/>
        </w:rPr>
        <w:t>was invited to view this office block.</w:t>
      </w:r>
      <w:r w:rsidR="00E713C8" w:rsidRPr="00084415">
        <w:rPr>
          <w:rFonts w:ascii="Times New Roman" w:hAnsi="Times New Roman" w:cs="Times New Roman"/>
        </w:rPr>
        <w:t xml:space="preserve"> </w:t>
      </w:r>
      <w:r w:rsidR="00A34CCD">
        <w:rPr>
          <w:rFonts w:ascii="Times New Roman" w:hAnsi="Times New Roman" w:cs="Times New Roman"/>
        </w:rPr>
        <w:t xml:space="preserve">Churning between </w:t>
      </w:r>
      <w:r w:rsidR="00A34CCD">
        <w:rPr>
          <w:rFonts w:ascii="Times New Roman" w:hAnsi="Times New Roman" w:cs="Times New Roman"/>
        </w:rPr>
        <w:lastRenderedPageBreak/>
        <w:t xml:space="preserve">properties with short periods of occupation is a common </w:t>
      </w:r>
      <w:r w:rsidR="00163C1B">
        <w:rPr>
          <w:rFonts w:ascii="Times New Roman" w:hAnsi="Times New Roman" w:cs="Times New Roman"/>
        </w:rPr>
        <w:t>occurrence</w:t>
      </w:r>
      <w:r w:rsidR="00A34CCD">
        <w:rPr>
          <w:rFonts w:ascii="Times New Roman" w:hAnsi="Times New Roman" w:cs="Times New Roman"/>
        </w:rPr>
        <w:t xml:space="preserve"> in the sector, particularly for those who have lived in it for a considerable period of time.</w:t>
      </w:r>
      <w:r w:rsidR="00163C1B">
        <w:rPr>
          <w:rStyle w:val="FootnoteReference"/>
          <w:rFonts w:ascii="Times New Roman" w:hAnsi="Times New Roman" w:cs="Times New Roman"/>
        </w:rPr>
        <w:footnoteReference w:id="7"/>
      </w:r>
      <w:r w:rsidR="00A34CCD">
        <w:rPr>
          <w:rFonts w:ascii="Times New Roman" w:hAnsi="Times New Roman" w:cs="Times New Roman"/>
        </w:rPr>
        <w:t xml:space="preserve"> </w:t>
      </w:r>
      <w:r w:rsidR="00084415" w:rsidRPr="00084415">
        <w:rPr>
          <w:rFonts w:ascii="Times New Roman" w:hAnsi="Times New Roman" w:cs="Times New Roman"/>
        </w:rPr>
        <w:t>He entered into a self-proclaimed ‘licence agreement’ with Camelot</w:t>
      </w:r>
      <w:r w:rsidR="00316803">
        <w:rPr>
          <w:rFonts w:ascii="Times New Roman" w:hAnsi="Times New Roman" w:cs="Times New Roman"/>
        </w:rPr>
        <w:t xml:space="preserve"> in</w:t>
      </w:r>
      <w:r w:rsidR="00084415" w:rsidRPr="00084415">
        <w:rPr>
          <w:rFonts w:ascii="Times New Roman" w:hAnsi="Times New Roman" w:cs="Times New Roman"/>
        </w:rPr>
        <w:t xml:space="preserve"> </w:t>
      </w:r>
      <w:r w:rsidR="00252C44">
        <w:rPr>
          <w:rFonts w:ascii="Times New Roman" w:hAnsi="Times New Roman" w:cs="Times New Roman"/>
        </w:rPr>
        <w:t xml:space="preserve">the new premises </w:t>
      </w:r>
      <w:r w:rsidR="00084415">
        <w:rPr>
          <w:rFonts w:ascii="Times New Roman" w:hAnsi="Times New Roman" w:cs="Times New Roman"/>
        </w:rPr>
        <w:t xml:space="preserve">following his viewing </w:t>
      </w:r>
      <w:r w:rsidR="001F4B5B">
        <w:rPr>
          <w:rFonts w:ascii="Times New Roman" w:hAnsi="Times New Roman" w:cs="Times New Roman"/>
        </w:rPr>
        <w:t>on 17 December 2015 (though the agreement it</w:t>
      </w:r>
      <w:r w:rsidR="00252C44">
        <w:rPr>
          <w:rFonts w:ascii="Times New Roman" w:hAnsi="Times New Roman" w:cs="Times New Roman"/>
        </w:rPr>
        <w:t>self is dated 22 December 2012).</w:t>
      </w:r>
      <w:r w:rsidR="00386DC0">
        <w:rPr>
          <w:rStyle w:val="FootnoteReference"/>
          <w:rFonts w:ascii="Times New Roman" w:hAnsi="Times New Roman" w:cs="Times New Roman"/>
        </w:rPr>
        <w:footnoteReference w:id="8"/>
      </w:r>
      <w:r w:rsidR="00F30EA5">
        <w:rPr>
          <w:rFonts w:ascii="Times New Roman" w:hAnsi="Times New Roman" w:cs="Times New Roman"/>
        </w:rPr>
        <w:t xml:space="preserve"> Subsequently, on 11 September 2017, Camelot</w:t>
      </w:r>
      <w:r w:rsidR="00F30EA5" w:rsidRPr="00F30EA5">
        <w:rPr>
          <w:rFonts w:ascii="Times New Roman" w:hAnsi="Times New Roman" w:cs="Times New Roman"/>
        </w:rPr>
        <w:t xml:space="preserve"> served a notice to determine on Mr </w:t>
      </w:r>
      <w:proofErr w:type="spellStart"/>
      <w:r w:rsidR="00F30EA5" w:rsidRPr="00F30EA5">
        <w:rPr>
          <w:rFonts w:ascii="Times New Roman" w:hAnsi="Times New Roman" w:cs="Times New Roman"/>
        </w:rPr>
        <w:t>Khoo</w:t>
      </w:r>
      <w:proofErr w:type="spellEnd"/>
      <w:r w:rsidR="00F30EA5">
        <w:rPr>
          <w:rFonts w:ascii="Times New Roman" w:hAnsi="Times New Roman" w:cs="Times New Roman"/>
        </w:rPr>
        <w:t xml:space="preserve"> by</w:t>
      </w:r>
      <w:r w:rsidR="00F30EA5" w:rsidRPr="00F30EA5">
        <w:rPr>
          <w:rFonts w:ascii="Times New Roman" w:hAnsi="Times New Roman" w:cs="Times New Roman"/>
        </w:rPr>
        <w:t xml:space="preserve"> 11 October 2017.</w:t>
      </w:r>
      <w:r w:rsidR="00354CD7">
        <w:rPr>
          <w:rStyle w:val="FootnoteReference"/>
          <w:rFonts w:ascii="Times New Roman" w:hAnsi="Times New Roman" w:cs="Times New Roman"/>
        </w:rPr>
        <w:footnoteReference w:id="9"/>
      </w:r>
      <w:r w:rsidR="00E92BBB">
        <w:rPr>
          <w:rFonts w:ascii="Times New Roman" w:hAnsi="Times New Roman" w:cs="Times New Roman"/>
        </w:rPr>
        <w:t xml:space="preserve"> Mr </w:t>
      </w:r>
      <w:proofErr w:type="spellStart"/>
      <w:r w:rsidR="00E92BBB">
        <w:rPr>
          <w:rFonts w:ascii="Times New Roman" w:hAnsi="Times New Roman" w:cs="Times New Roman"/>
        </w:rPr>
        <w:t>Khoo</w:t>
      </w:r>
      <w:proofErr w:type="spellEnd"/>
      <w:r w:rsidR="00E92BBB">
        <w:rPr>
          <w:rFonts w:ascii="Times New Roman" w:hAnsi="Times New Roman" w:cs="Times New Roman"/>
        </w:rPr>
        <w:t xml:space="preserve"> argued that he occupied the property pursuant to a tenancy, not a licence. </w:t>
      </w:r>
    </w:p>
    <w:p w:rsidR="00E851F9" w:rsidRDefault="00252C44" w:rsidP="00FB55A9">
      <w:pPr>
        <w:jc w:val="both"/>
        <w:rPr>
          <w:rFonts w:ascii="Times New Roman" w:hAnsi="Times New Roman" w:cs="Times New Roman"/>
          <w:color w:val="000000"/>
        </w:rPr>
      </w:pPr>
      <w:r w:rsidRPr="006179C4">
        <w:rPr>
          <w:rFonts w:ascii="Times New Roman" w:hAnsi="Times New Roman" w:cs="Times New Roman"/>
        </w:rPr>
        <w:t>Clearly, Cam</w:t>
      </w:r>
      <w:r w:rsidR="00F82723">
        <w:rPr>
          <w:rFonts w:ascii="Times New Roman" w:hAnsi="Times New Roman" w:cs="Times New Roman"/>
        </w:rPr>
        <w:t>e</w:t>
      </w:r>
      <w:r w:rsidRPr="006179C4">
        <w:rPr>
          <w:rFonts w:ascii="Times New Roman" w:hAnsi="Times New Roman" w:cs="Times New Roman"/>
        </w:rPr>
        <w:t>lot had gone to great length to underscore that the agreement itself (more on the</w:t>
      </w:r>
      <w:r w:rsidR="00316803" w:rsidRPr="006179C4">
        <w:rPr>
          <w:rFonts w:ascii="Times New Roman" w:hAnsi="Times New Roman" w:cs="Times New Roman"/>
        </w:rPr>
        <w:t xml:space="preserve"> actual</w:t>
      </w:r>
      <w:r w:rsidRPr="006179C4">
        <w:rPr>
          <w:rFonts w:ascii="Times New Roman" w:hAnsi="Times New Roman" w:cs="Times New Roman"/>
        </w:rPr>
        <w:t xml:space="preserve"> occupation below) was not to create a tenancy. </w:t>
      </w:r>
      <w:r w:rsidR="00C02D59" w:rsidRPr="006179C4">
        <w:rPr>
          <w:rFonts w:ascii="Times New Roman" w:hAnsi="Times New Roman" w:cs="Times New Roman"/>
        </w:rPr>
        <w:t xml:space="preserve">Prosaic </w:t>
      </w:r>
      <w:r w:rsidR="00967750" w:rsidRPr="006179C4">
        <w:rPr>
          <w:rFonts w:ascii="Times New Roman" w:hAnsi="Times New Roman" w:cs="Times New Roman"/>
        </w:rPr>
        <w:t>sections</w:t>
      </w:r>
      <w:r w:rsidR="00C02D59" w:rsidRPr="006179C4">
        <w:rPr>
          <w:rFonts w:ascii="Times New Roman" w:hAnsi="Times New Roman" w:cs="Times New Roman"/>
        </w:rPr>
        <w:t xml:space="preserve"> – such as ‘licence agreement’ and ‘permission to share living space’ – s</w:t>
      </w:r>
      <w:r w:rsidR="00064D4D" w:rsidRPr="006179C4">
        <w:rPr>
          <w:rFonts w:ascii="Times New Roman" w:hAnsi="Times New Roman" w:cs="Times New Roman"/>
        </w:rPr>
        <w:t>a</w:t>
      </w:r>
      <w:r w:rsidR="00C02D59" w:rsidRPr="006179C4">
        <w:rPr>
          <w:rFonts w:ascii="Times New Roman" w:hAnsi="Times New Roman" w:cs="Times New Roman"/>
        </w:rPr>
        <w:t>t alongside the more direct</w:t>
      </w:r>
      <w:r w:rsidR="00967750" w:rsidRPr="006179C4">
        <w:rPr>
          <w:rFonts w:ascii="Times New Roman" w:hAnsi="Times New Roman" w:cs="Times New Roman"/>
        </w:rPr>
        <w:t xml:space="preserve"> heading</w:t>
      </w:r>
      <w:r w:rsidR="00E9192D" w:rsidRPr="006179C4">
        <w:rPr>
          <w:rFonts w:ascii="Times New Roman" w:hAnsi="Times New Roman" w:cs="Times New Roman"/>
        </w:rPr>
        <w:t xml:space="preserve">, perhaps with an </w:t>
      </w:r>
      <w:r w:rsidR="009B437F" w:rsidRPr="006179C4">
        <w:rPr>
          <w:rFonts w:ascii="Times New Roman" w:hAnsi="Times New Roman" w:cs="Times New Roman"/>
        </w:rPr>
        <w:t>eye on any future challenges:</w:t>
      </w:r>
      <w:r w:rsidR="00C02D59" w:rsidRPr="006179C4">
        <w:rPr>
          <w:rFonts w:ascii="Times New Roman" w:hAnsi="Times New Roman" w:cs="Times New Roman"/>
        </w:rPr>
        <w:t xml:space="preserve"> ‘</w:t>
      </w:r>
      <w:r w:rsidR="00107754" w:rsidRPr="006179C4">
        <w:rPr>
          <w:rFonts w:ascii="Times New Roman" w:hAnsi="Times New Roman" w:cs="Times New Roman"/>
        </w:rPr>
        <w:t>T</w:t>
      </w:r>
      <w:r w:rsidR="00C02D59" w:rsidRPr="006179C4">
        <w:rPr>
          <w:rFonts w:ascii="Times New Roman" w:hAnsi="Times New Roman" w:cs="Times New Roman"/>
        </w:rPr>
        <w:t>his is not a tenancy’</w:t>
      </w:r>
      <w:r w:rsidR="00545A4B" w:rsidRPr="006179C4">
        <w:rPr>
          <w:rFonts w:ascii="Times New Roman" w:hAnsi="Times New Roman" w:cs="Times New Roman"/>
        </w:rPr>
        <w:t>.</w:t>
      </w:r>
      <w:r w:rsidR="00545A4B" w:rsidRPr="006179C4">
        <w:rPr>
          <w:rStyle w:val="FootnoteReference"/>
          <w:rFonts w:ascii="Times New Roman" w:hAnsi="Times New Roman" w:cs="Times New Roman"/>
        </w:rPr>
        <w:footnoteReference w:id="10"/>
      </w:r>
      <w:r w:rsidR="009C6549" w:rsidRPr="006179C4">
        <w:rPr>
          <w:rFonts w:ascii="Times New Roman" w:hAnsi="Times New Roman" w:cs="Times New Roman"/>
        </w:rPr>
        <w:t xml:space="preserve"> </w:t>
      </w:r>
      <w:r w:rsidR="006179C4" w:rsidRPr="006179C4">
        <w:rPr>
          <w:rFonts w:ascii="Times New Roman" w:hAnsi="Times New Roman" w:cs="Times New Roman"/>
        </w:rPr>
        <w:t xml:space="preserve">The agreement denies exclusive possession expressly, stating that ‘you will not get a right to exclusive occupation of any part of the living space’, and that ‘the space will be shared with other individuals who Camelot permits to share the space.’ The case of </w:t>
      </w:r>
      <w:r w:rsidR="006179C4" w:rsidRPr="006179C4">
        <w:rPr>
          <w:rStyle w:val="Emphasis"/>
          <w:rFonts w:ascii="Times New Roman" w:hAnsi="Times New Roman" w:cs="Times New Roman"/>
          <w:color w:val="000000"/>
        </w:rPr>
        <w:t xml:space="preserve">AG Securities v Vaughan </w:t>
      </w:r>
      <w:r w:rsidR="006179C4" w:rsidRPr="006179C4">
        <w:rPr>
          <w:rStyle w:val="Emphasis"/>
          <w:rFonts w:ascii="Times New Roman" w:hAnsi="Times New Roman" w:cs="Times New Roman"/>
          <w:i w:val="0"/>
          <w:color w:val="000000"/>
        </w:rPr>
        <w:t>[1991] AC 417</w:t>
      </w:r>
      <w:r w:rsidR="006179C4" w:rsidRPr="006179C4">
        <w:rPr>
          <w:rFonts w:ascii="Times New Roman" w:hAnsi="Times New Roman" w:cs="Times New Roman"/>
          <w:color w:val="000000"/>
        </w:rPr>
        <w:t> </w:t>
      </w:r>
      <w:r w:rsidR="006179C4">
        <w:rPr>
          <w:rFonts w:ascii="Times New Roman" w:hAnsi="Times New Roman" w:cs="Times New Roman"/>
          <w:color w:val="000000"/>
        </w:rPr>
        <w:t xml:space="preserve">is invoked to underscore that ‘the </w:t>
      </w:r>
      <w:r w:rsidR="006179C4" w:rsidRPr="006179C4">
        <w:rPr>
          <w:rFonts w:ascii="Times New Roman" w:hAnsi="Times New Roman" w:cs="Times New Roman"/>
          <w:color w:val="000000"/>
        </w:rPr>
        <w:t>House of Lords has held that this sort of sharing agreement does not create a tenancy</w:t>
      </w:r>
      <w:r w:rsidR="006179C4">
        <w:rPr>
          <w:rFonts w:ascii="Times New Roman" w:hAnsi="Times New Roman" w:cs="Times New Roman"/>
          <w:color w:val="000000"/>
        </w:rPr>
        <w:t>’.</w:t>
      </w:r>
      <w:r w:rsidR="006179C4">
        <w:rPr>
          <w:rStyle w:val="FootnoteReference"/>
          <w:rFonts w:ascii="Times New Roman" w:hAnsi="Times New Roman" w:cs="Times New Roman"/>
          <w:color w:val="000000"/>
        </w:rPr>
        <w:footnoteReference w:id="11"/>
      </w:r>
      <w:r w:rsidR="00C63183">
        <w:rPr>
          <w:rFonts w:ascii="Times New Roman" w:hAnsi="Times New Roman" w:cs="Times New Roman"/>
          <w:color w:val="000000"/>
        </w:rPr>
        <w:t xml:space="preserve"> The agreement, therefore, could not be any clearer – on its own terms – of its intention to create a licence arrangement, as opposed to a tenancy.</w:t>
      </w:r>
    </w:p>
    <w:p w:rsidR="00C63183" w:rsidRDefault="006E6C2A" w:rsidP="00FB55A9">
      <w:pPr>
        <w:jc w:val="both"/>
        <w:rPr>
          <w:rFonts w:ascii="Times New Roman" w:hAnsi="Times New Roman" w:cs="Times New Roman"/>
          <w:color w:val="000000"/>
        </w:rPr>
      </w:pPr>
      <w:r>
        <w:rPr>
          <w:rFonts w:ascii="Times New Roman" w:hAnsi="Times New Roman" w:cs="Times New Roman"/>
          <w:color w:val="000000"/>
        </w:rPr>
        <w:t xml:space="preserve">Mr </w:t>
      </w:r>
      <w:proofErr w:type="spellStart"/>
      <w:r>
        <w:rPr>
          <w:rFonts w:ascii="Times New Roman" w:hAnsi="Times New Roman" w:cs="Times New Roman"/>
          <w:color w:val="000000"/>
        </w:rPr>
        <w:t>Khoo</w:t>
      </w:r>
      <w:proofErr w:type="spellEnd"/>
      <w:r>
        <w:rPr>
          <w:rFonts w:ascii="Times New Roman" w:hAnsi="Times New Roman" w:cs="Times New Roman"/>
          <w:color w:val="000000"/>
        </w:rPr>
        <w:t xml:space="preserve">, however, argued that the reality of his occupation was different. </w:t>
      </w:r>
      <w:r w:rsidR="00857E03">
        <w:rPr>
          <w:rFonts w:ascii="Times New Roman" w:hAnsi="Times New Roman" w:cs="Times New Roman"/>
          <w:color w:val="000000"/>
        </w:rPr>
        <w:t>In the course of his day</w:t>
      </w:r>
      <w:r w:rsidR="006315BA">
        <w:rPr>
          <w:rFonts w:ascii="Times New Roman" w:hAnsi="Times New Roman" w:cs="Times New Roman"/>
          <w:color w:val="000000"/>
        </w:rPr>
        <w:t>-to-day occupation</w:t>
      </w:r>
      <w:r w:rsidR="00C00B62">
        <w:rPr>
          <w:rFonts w:ascii="Times New Roman" w:hAnsi="Times New Roman" w:cs="Times New Roman"/>
          <w:color w:val="000000"/>
        </w:rPr>
        <w:t xml:space="preserve">, he had exclusive possession of one room and two storage rooms at the property and – as a result – his occupation </w:t>
      </w:r>
      <w:r w:rsidR="006E6CD2">
        <w:rPr>
          <w:rFonts w:ascii="Times New Roman" w:hAnsi="Times New Roman" w:cs="Times New Roman"/>
          <w:color w:val="000000"/>
        </w:rPr>
        <w:t xml:space="preserve">of those spaces took </w:t>
      </w:r>
      <w:r w:rsidR="00C00B62">
        <w:rPr>
          <w:rFonts w:ascii="Times New Roman" w:hAnsi="Times New Roman" w:cs="Times New Roman"/>
          <w:color w:val="000000"/>
        </w:rPr>
        <w:t>effect</w:t>
      </w:r>
      <w:r w:rsidR="006E6CD2">
        <w:rPr>
          <w:rFonts w:ascii="Times New Roman" w:hAnsi="Times New Roman" w:cs="Times New Roman"/>
          <w:color w:val="000000"/>
        </w:rPr>
        <w:t xml:space="preserve"> as</w:t>
      </w:r>
      <w:r w:rsidR="00C00B62">
        <w:rPr>
          <w:rFonts w:ascii="Times New Roman" w:hAnsi="Times New Roman" w:cs="Times New Roman"/>
          <w:color w:val="000000"/>
        </w:rPr>
        <w:t xml:space="preserve"> an assured </w:t>
      </w:r>
      <w:proofErr w:type="spellStart"/>
      <w:r w:rsidR="006E6CD2">
        <w:rPr>
          <w:rFonts w:ascii="Times New Roman" w:hAnsi="Times New Roman" w:cs="Times New Roman"/>
          <w:color w:val="000000"/>
        </w:rPr>
        <w:t>shorthold</w:t>
      </w:r>
      <w:proofErr w:type="spellEnd"/>
      <w:r w:rsidR="00C00B62">
        <w:rPr>
          <w:rFonts w:ascii="Times New Roman" w:hAnsi="Times New Roman" w:cs="Times New Roman"/>
          <w:color w:val="000000"/>
        </w:rPr>
        <w:t xml:space="preserve"> tenancy.</w:t>
      </w:r>
      <w:r w:rsidR="006E6CD2">
        <w:rPr>
          <w:rStyle w:val="FootnoteReference"/>
          <w:rFonts w:ascii="Times New Roman" w:hAnsi="Times New Roman" w:cs="Times New Roman"/>
          <w:color w:val="000000"/>
        </w:rPr>
        <w:footnoteReference w:id="12"/>
      </w:r>
      <w:r w:rsidR="001D5D1F">
        <w:rPr>
          <w:rFonts w:ascii="Times New Roman" w:hAnsi="Times New Roman" w:cs="Times New Roman"/>
          <w:color w:val="000000"/>
        </w:rPr>
        <w:t xml:space="preserve"> When shown around the property prior to signing the agreement, he was taken to specific rooms which it was – he argued – understood that he alone would occupy.</w:t>
      </w:r>
    </w:p>
    <w:p w:rsidR="006A04CF" w:rsidRDefault="006A04CF" w:rsidP="00F05E9A">
      <w:pPr>
        <w:jc w:val="both"/>
        <w:rPr>
          <w:rFonts w:ascii="Times New Roman" w:hAnsi="Times New Roman" w:cs="Times New Roman"/>
          <w:b/>
        </w:rPr>
      </w:pPr>
      <w:r>
        <w:rPr>
          <w:rFonts w:ascii="Times New Roman" w:hAnsi="Times New Roman" w:cs="Times New Roman"/>
          <w:b/>
        </w:rPr>
        <w:t>The legal issues at play</w:t>
      </w:r>
    </w:p>
    <w:p w:rsidR="006A04CF" w:rsidRPr="00262F04" w:rsidRDefault="00980E5A" w:rsidP="00F05E9A">
      <w:pPr>
        <w:jc w:val="both"/>
        <w:rPr>
          <w:rFonts w:ascii="Times New Roman" w:hAnsi="Times New Roman" w:cs="Times New Roman"/>
        </w:rPr>
      </w:pPr>
      <w:r>
        <w:rPr>
          <w:rFonts w:ascii="Times New Roman" w:hAnsi="Times New Roman" w:cs="Times New Roman"/>
        </w:rPr>
        <w:t>The root legal issue is a familiar one for all housing lawyers: the lease/licence distin</w:t>
      </w:r>
      <w:r w:rsidR="004C4D47">
        <w:rPr>
          <w:rFonts w:ascii="Times New Roman" w:hAnsi="Times New Roman" w:cs="Times New Roman"/>
        </w:rPr>
        <w:t>ction, stemming from the seminal</w:t>
      </w:r>
      <w:r>
        <w:rPr>
          <w:rFonts w:ascii="Times New Roman" w:hAnsi="Times New Roman" w:cs="Times New Roman"/>
        </w:rPr>
        <w:t xml:space="preserve"> case of </w:t>
      </w:r>
      <w:r w:rsidR="004C4D47">
        <w:rPr>
          <w:rFonts w:ascii="Times New Roman" w:hAnsi="Times New Roman" w:cs="Times New Roman"/>
          <w:i/>
        </w:rPr>
        <w:t xml:space="preserve">Street v </w:t>
      </w:r>
      <w:proofErr w:type="spellStart"/>
      <w:r w:rsidR="004C4D47">
        <w:rPr>
          <w:rFonts w:ascii="Times New Roman" w:hAnsi="Times New Roman" w:cs="Times New Roman"/>
          <w:i/>
        </w:rPr>
        <w:t>Mountford</w:t>
      </w:r>
      <w:proofErr w:type="spellEnd"/>
      <w:r w:rsidR="004C4D47">
        <w:rPr>
          <w:rFonts w:ascii="Times New Roman" w:hAnsi="Times New Roman" w:cs="Times New Roman"/>
          <w:i/>
        </w:rPr>
        <w:t>.</w:t>
      </w:r>
      <w:r w:rsidR="004C4D47" w:rsidRPr="00262F04">
        <w:rPr>
          <w:rStyle w:val="FootnoteReference"/>
          <w:rFonts w:ascii="Times New Roman" w:hAnsi="Times New Roman" w:cs="Times New Roman"/>
        </w:rPr>
        <w:footnoteReference w:id="13"/>
      </w:r>
      <w:r w:rsidR="00262F04">
        <w:rPr>
          <w:rFonts w:ascii="Times New Roman" w:hAnsi="Times New Roman" w:cs="Times New Roman"/>
        </w:rPr>
        <w:t>The basic principle is that where an agreement: (</w:t>
      </w:r>
      <w:proofErr w:type="spellStart"/>
      <w:r w:rsidR="00262F04">
        <w:rPr>
          <w:rFonts w:ascii="Times New Roman" w:hAnsi="Times New Roman" w:cs="Times New Roman"/>
        </w:rPr>
        <w:t>i</w:t>
      </w:r>
      <w:proofErr w:type="spellEnd"/>
      <w:r w:rsidR="00262F04">
        <w:rPr>
          <w:rFonts w:ascii="Times New Roman" w:hAnsi="Times New Roman" w:cs="Times New Roman"/>
        </w:rPr>
        <w:t xml:space="preserve">) confers exclusive possession of a premises, (ii) for a fixed term, and (iii) </w:t>
      </w:r>
      <w:r w:rsidR="00366121">
        <w:rPr>
          <w:rFonts w:ascii="Times New Roman" w:hAnsi="Times New Roman" w:cs="Times New Roman"/>
        </w:rPr>
        <w:t>with a periodic payment, then it is – in almost all cases</w:t>
      </w:r>
      <w:r w:rsidR="000F279A">
        <w:rPr>
          <w:rFonts w:ascii="Times New Roman" w:hAnsi="Times New Roman" w:cs="Times New Roman"/>
        </w:rPr>
        <w:t xml:space="preserve"> – a tenancy. Justice Butcher provides an outline of six key features of this decision,</w:t>
      </w:r>
      <w:r w:rsidR="000F279A">
        <w:rPr>
          <w:rStyle w:val="FootnoteReference"/>
          <w:rFonts w:ascii="Times New Roman" w:hAnsi="Times New Roman" w:cs="Times New Roman"/>
        </w:rPr>
        <w:footnoteReference w:id="14"/>
      </w:r>
      <w:r w:rsidR="000F279A">
        <w:rPr>
          <w:rFonts w:ascii="Times New Roman" w:hAnsi="Times New Roman" w:cs="Times New Roman"/>
        </w:rPr>
        <w:t xml:space="preserve"> but for our purposes we can distil them safely into three key points.</w:t>
      </w:r>
    </w:p>
    <w:p w:rsidR="00E92B49" w:rsidRDefault="002835FD" w:rsidP="00F05E9A">
      <w:pPr>
        <w:jc w:val="both"/>
        <w:rPr>
          <w:rFonts w:ascii="Times New Roman" w:hAnsi="Times New Roman" w:cs="Times New Roman"/>
          <w:color w:val="000000"/>
          <w:shd w:val="clear" w:color="auto" w:fill="FFFFFF"/>
        </w:rPr>
      </w:pPr>
      <w:r>
        <w:rPr>
          <w:rFonts w:ascii="Times New Roman" w:hAnsi="Times New Roman" w:cs="Times New Roman"/>
        </w:rPr>
        <w:t xml:space="preserve">First, there is a process of </w:t>
      </w:r>
      <w:r w:rsidRPr="00C10B0A">
        <w:rPr>
          <w:rFonts w:ascii="Times New Roman" w:hAnsi="Times New Roman" w:cs="Times New Roman"/>
        </w:rPr>
        <w:t xml:space="preserve">construction when assessing whether a right to exclusive possession is conferred by an agreement. The court must recognise relevant circumstances which may colour the agreement, such as the basis on which the property was let or other communications from the (in this case) company to the guardian. Second, </w:t>
      </w:r>
      <w:r w:rsidR="003A3CF2" w:rsidRPr="00C10B0A">
        <w:rPr>
          <w:rFonts w:ascii="Times New Roman" w:hAnsi="Times New Roman" w:cs="Times New Roman"/>
        </w:rPr>
        <w:t xml:space="preserve">the court will not be bound by the label chosen in the agreement or denials within it that </w:t>
      </w:r>
      <w:r w:rsidR="00AE36B9">
        <w:rPr>
          <w:rFonts w:ascii="Times New Roman" w:hAnsi="Times New Roman" w:cs="Times New Roman"/>
        </w:rPr>
        <w:t>it takes the form of a tenancy. H</w:t>
      </w:r>
      <w:r w:rsidR="003A3CF2" w:rsidRPr="00C10B0A">
        <w:rPr>
          <w:rFonts w:ascii="Times New Roman" w:hAnsi="Times New Roman" w:cs="Times New Roman"/>
        </w:rPr>
        <w:t xml:space="preserve">owever, the court will assume normally that the parties intended to give the words they use their natural meaning. </w:t>
      </w:r>
      <w:r w:rsidR="00E34CA8" w:rsidRPr="00C10B0A">
        <w:rPr>
          <w:rFonts w:ascii="Times New Roman" w:hAnsi="Times New Roman" w:cs="Times New Roman"/>
        </w:rPr>
        <w:t xml:space="preserve">Thirdly, </w:t>
      </w:r>
      <w:r w:rsidR="004F5BDD" w:rsidRPr="00C10B0A">
        <w:rPr>
          <w:rFonts w:ascii="Times New Roman" w:hAnsi="Times New Roman" w:cs="Times New Roman"/>
        </w:rPr>
        <w:t>the agreement should not be a ‘sham device’; a dishonest agreement</w:t>
      </w:r>
      <w:r w:rsidR="00C10B0A">
        <w:rPr>
          <w:rFonts w:ascii="Times New Roman" w:hAnsi="Times New Roman" w:cs="Times New Roman"/>
        </w:rPr>
        <w:t xml:space="preserve"> </w:t>
      </w:r>
      <w:r w:rsidR="004F5BDD" w:rsidRPr="00C10B0A">
        <w:rPr>
          <w:rFonts w:ascii="Times New Roman" w:hAnsi="Times New Roman" w:cs="Times New Roman"/>
          <w:color w:val="000000"/>
          <w:shd w:val="clear" w:color="auto" w:fill="FFFFFF"/>
        </w:rPr>
        <w:t>‘whose object is to disguise the grant of a tenancy’.</w:t>
      </w:r>
      <w:r w:rsidR="004F5BDD" w:rsidRPr="00C10B0A">
        <w:rPr>
          <w:rStyle w:val="FootnoteReference"/>
          <w:rFonts w:ascii="Times New Roman" w:hAnsi="Times New Roman" w:cs="Times New Roman"/>
          <w:color w:val="000000"/>
          <w:shd w:val="clear" w:color="auto" w:fill="FFFFFF"/>
        </w:rPr>
        <w:footnoteReference w:id="15"/>
      </w:r>
      <w:r w:rsidR="00AE36B9">
        <w:rPr>
          <w:rFonts w:ascii="Times New Roman" w:hAnsi="Times New Roman" w:cs="Times New Roman"/>
          <w:color w:val="000000"/>
          <w:shd w:val="clear" w:color="auto" w:fill="FFFFFF"/>
        </w:rPr>
        <w:t xml:space="preserve"> </w:t>
      </w:r>
      <w:r w:rsidR="009F0B98">
        <w:rPr>
          <w:rFonts w:ascii="Times New Roman" w:hAnsi="Times New Roman" w:cs="Times New Roman"/>
          <w:color w:val="000000"/>
          <w:shd w:val="clear" w:color="auto" w:fill="FFFFFF"/>
        </w:rPr>
        <w:t>If the conduct of the parties after the agreement has been entered into indicate that the terms were not intended to be honoured</w:t>
      </w:r>
      <w:r w:rsidR="00B36EFD">
        <w:rPr>
          <w:rFonts w:ascii="Times New Roman" w:hAnsi="Times New Roman" w:cs="Times New Roman"/>
          <w:color w:val="000000"/>
          <w:shd w:val="clear" w:color="auto" w:fill="FFFFFF"/>
        </w:rPr>
        <w:t xml:space="preserve"> (for instance, in the actual day-to-day occupation of the property)</w:t>
      </w:r>
      <w:r w:rsidR="009F0B98">
        <w:rPr>
          <w:rFonts w:ascii="Times New Roman" w:hAnsi="Times New Roman" w:cs="Times New Roman"/>
          <w:color w:val="000000"/>
          <w:shd w:val="clear" w:color="auto" w:fill="FFFFFF"/>
        </w:rPr>
        <w:t>, then this may infer that the original agreement was</w:t>
      </w:r>
      <w:r w:rsidR="00B36EFD">
        <w:rPr>
          <w:rFonts w:ascii="Times New Roman" w:hAnsi="Times New Roman" w:cs="Times New Roman"/>
          <w:color w:val="000000"/>
          <w:shd w:val="clear" w:color="auto" w:fill="FFFFFF"/>
        </w:rPr>
        <w:t xml:space="preserve"> merely</w:t>
      </w:r>
      <w:r w:rsidR="009F0B98">
        <w:rPr>
          <w:rFonts w:ascii="Times New Roman" w:hAnsi="Times New Roman" w:cs="Times New Roman"/>
          <w:color w:val="000000"/>
          <w:shd w:val="clear" w:color="auto" w:fill="FFFFFF"/>
        </w:rPr>
        <w:t xml:space="preserve"> a pretence.</w:t>
      </w:r>
    </w:p>
    <w:p w:rsidR="00574BD7" w:rsidRDefault="00574BD7" w:rsidP="00F05E9A">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In applying this distinction, Justice Butcher was – unsurprisingly – quick to dismiss that the agreement itself created a tenancy; it clearly was designed carefully to avoid doing so.</w:t>
      </w:r>
      <w:r w:rsidR="00E61A7E">
        <w:rPr>
          <w:rStyle w:val="FootnoteReference"/>
          <w:rFonts w:ascii="Times New Roman" w:hAnsi="Times New Roman" w:cs="Times New Roman"/>
          <w:color w:val="000000"/>
          <w:shd w:val="clear" w:color="auto" w:fill="FFFFFF"/>
        </w:rPr>
        <w:footnoteReference w:id="16"/>
      </w:r>
      <w:r w:rsidR="00E13AFC">
        <w:rPr>
          <w:rFonts w:ascii="Times New Roman" w:hAnsi="Times New Roman" w:cs="Times New Roman"/>
          <w:color w:val="000000"/>
          <w:shd w:val="clear" w:color="auto" w:fill="FFFFFF"/>
        </w:rPr>
        <w:t xml:space="preserve"> In reading its terms in the </w:t>
      </w:r>
      <w:r w:rsidR="00E13AFC">
        <w:rPr>
          <w:rFonts w:ascii="Times New Roman" w:hAnsi="Times New Roman" w:cs="Times New Roman"/>
          <w:color w:val="000000"/>
          <w:shd w:val="clear" w:color="auto" w:fill="FFFFFF"/>
        </w:rPr>
        <w:lastRenderedPageBreak/>
        <w:t xml:space="preserve">context in which it was agreed, he considered both communications on Camelot’s website and Mr </w:t>
      </w:r>
      <w:proofErr w:type="spellStart"/>
      <w:r w:rsidR="00E13AFC">
        <w:rPr>
          <w:rFonts w:ascii="Times New Roman" w:hAnsi="Times New Roman" w:cs="Times New Roman"/>
          <w:color w:val="000000"/>
          <w:shd w:val="clear" w:color="auto" w:fill="FFFFFF"/>
        </w:rPr>
        <w:t>Khoo’s</w:t>
      </w:r>
      <w:proofErr w:type="spellEnd"/>
      <w:r w:rsidR="00E13AFC">
        <w:rPr>
          <w:rFonts w:ascii="Times New Roman" w:hAnsi="Times New Roman" w:cs="Times New Roman"/>
          <w:color w:val="000000"/>
          <w:shd w:val="clear" w:color="auto" w:fill="FFFFFF"/>
        </w:rPr>
        <w:t xml:space="preserve"> initial viewing of the property.</w:t>
      </w:r>
      <w:r w:rsidR="00E13AFC">
        <w:rPr>
          <w:rStyle w:val="FootnoteReference"/>
          <w:rFonts w:ascii="Times New Roman" w:hAnsi="Times New Roman" w:cs="Times New Roman"/>
          <w:color w:val="000000"/>
          <w:shd w:val="clear" w:color="auto" w:fill="FFFFFF"/>
        </w:rPr>
        <w:footnoteReference w:id="17"/>
      </w:r>
      <w:r w:rsidR="00DF28D4">
        <w:rPr>
          <w:rFonts w:ascii="Times New Roman" w:hAnsi="Times New Roman" w:cs="Times New Roman"/>
          <w:color w:val="000000"/>
          <w:shd w:val="clear" w:color="auto" w:fill="FFFFFF"/>
        </w:rPr>
        <w:t xml:space="preserve"> </w:t>
      </w:r>
      <w:r w:rsidR="0033281D">
        <w:rPr>
          <w:rFonts w:ascii="Times New Roman" w:hAnsi="Times New Roman" w:cs="Times New Roman"/>
          <w:color w:val="000000"/>
          <w:shd w:val="clear" w:color="auto" w:fill="FFFFFF"/>
        </w:rPr>
        <w:t>Although the former used the word ‘let’, the website provided an overview of property guardianship in some detail and underscored itself as an ‘alternative, and a more social one, to private rental.’</w:t>
      </w:r>
      <w:r w:rsidR="00C319AD">
        <w:rPr>
          <w:rStyle w:val="FootnoteReference"/>
          <w:rFonts w:ascii="Times New Roman" w:hAnsi="Times New Roman" w:cs="Times New Roman"/>
          <w:color w:val="000000"/>
          <w:shd w:val="clear" w:color="auto" w:fill="FFFFFF"/>
        </w:rPr>
        <w:footnoteReference w:id="18"/>
      </w:r>
      <w:r w:rsidR="003052D5">
        <w:rPr>
          <w:rFonts w:ascii="Times New Roman" w:hAnsi="Times New Roman" w:cs="Times New Roman"/>
          <w:color w:val="000000"/>
          <w:shd w:val="clear" w:color="auto" w:fill="FFFFFF"/>
        </w:rPr>
        <w:t xml:space="preserve"> On the latter, the fact that Mr </w:t>
      </w:r>
      <w:proofErr w:type="spellStart"/>
      <w:r w:rsidR="003052D5">
        <w:rPr>
          <w:rFonts w:ascii="Times New Roman" w:hAnsi="Times New Roman" w:cs="Times New Roman"/>
          <w:color w:val="000000"/>
          <w:shd w:val="clear" w:color="auto" w:fill="FFFFFF"/>
        </w:rPr>
        <w:t>Khoo</w:t>
      </w:r>
      <w:proofErr w:type="spellEnd"/>
      <w:r w:rsidR="003052D5">
        <w:rPr>
          <w:rFonts w:ascii="Times New Roman" w:hAnsi="Times New Roman" w:cs="Times New Roman"/>
          <w:color w:val="000000"/>
          <w:shd w:val="clear" w:color="auto" w:fill="FFFFFF"/>
        </w:rPr>
        <w:t xml:space="preserve"> had been shown to specific rooms during his initial visit to the property – prior to signing the agreement – was not sufficient to indicate that he was to have exclusive possession of those spaces.</w:t>
      </w:r>
      <w:r w:rsidR="009C2AFD">
        <w:rPr>
          <w:rStyle w:val="FootnoteReference"/>
          <w:rFonts w:ascii="Times New Roman" w:hAnsi="Times New Roman" w:cs="Times New Roman"/>
          <w:color w:val="000000"/>
          <w:shd w:val="clear" w:color="auto" w:fill="FFFFFF"/>
        </w:rPr>
        <w:footnoteReference w:id="19"/>
      </w:r>
    </w:p>
    <w:p w:rsidR="008E7FE5" w:rsidRPr="00574BD7" w:rsidRDefault="008E7FE5" w:rsidP="00F05E9A">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In considering the final issue – whether the agreement was effectively a ‘sham device’ – the Court considered that this accusation was not made out by Mr </w:t>
      </w:r>
      <w:proofErr w:type="spellStart"/>
      <w:r>
        <w:rPr>
          <w:rFonts w:ascii="Times New Roman" w:hAnsi="Times New Roman" w:cs="Times New Roman"/>
          <w:color w:val="000000"/>
          <w:shd w:val="clear" w:color="auto" w:fill="FFFFFF"/>
        </w:rPr>
        <w:t>Khoo</w:t>
      </w:r>
      <w:proofErr w:type="spellEnd"/>
      <w:r>
        <w:rPr>
          <w:rFonts w:ascii="Times New Roman" w:hAnsi="Times New Roman" w:cs="Times New Roman"/>
          <w:color w:val="000000"/>
          <w:shd w:val="clear" w:color="auto" w:fill="FFFFFF"/>
        </w:rPr>
        <w:t>.</w:t>
      </w:r>
      <w:r w:rsidR="00267B8D">
        <w:rPr>
          <w:rFonts w:ascii="Times New Roman" w:hAnsi="Times New Roman" w:cs="Times New Roman"/>
          <w:color w:val="000000"/>
          <w:shd w:val="clear" w:color="auto" w:fill="FFFFFF"/>
        </w:rPr>
        <w:t xml:space="preserve"> After the agreement was entered into, although Mr </w:t>
      </w:r>
      <w:proofErr w:type="spellStart"/>
      <w:r w:rsidR="00267B8D">
        <w:rPr>
          <w:rFonts w:ascii="Times New Roman" w:hAnsi="Times New Roman" w:cs="Times New Roman"/>
          <w:color w:val="000000"/>
          <w:shd w:val="clear" w:color="auto" w:fill="FFFFFF"/>
        </w:rPr>
        <w:t>Khoo</w:t>
      </w:r>
      <w:proofErr w:type="spellEnd"/>
      <w:r w:rsidR="00267B8D">
        <w:rPr>
          <w:rFonts w:ascii="Times New Roman" w:hAnsi="Times New Roman" w:cs="Times New Roman"/>
          <w:color w:val="000000"/>
          <w:shd w:val="clear" w:color="auto" w:fill="FFFFFF"/>
        </w:rPr>
        <w:t xml:space="preserve"> did occupy particular spaces within the office block, there would be nothing to stop other Guardians decided to sleep in a different room to the one originally indicated in discussions on first viewing – the fact that this did not happen is not enough to evidence that terms to </w:t>
      </w:r>
      <w:r w:rsidR="002E32EC">
        <w:rPr>
          <w:rFonts w:ascii="Times New Roman" w:hAnsi="Times New Roman" w:cs="Times New Roman"/>
          <w:color w:val="000000"/>
          <w:shd w:val="clear" w:color="auto" w:fill="FFFFFF"/>
        </w:rPr>
        <w:t>this effect in the agreement were not available.</w:t>
      </w:r>
      <w:r w:rsidR="00A220BC">
        <w:rPr>
          <w:rStyle w:val="FootnoteReference"/>
          <w:rFonts w:ascii="Times New Roman" w:hAnsi="Times New Roman" w:cs="Times New Roman"/>
          <w:color w:val="000000"/>
          <w:shd w:val="clear" w:color="auto" w:fill="FFFFFF"/>
        </w:rPr>
        <w:footnoteReference w:id="20"/>
      </w:r>
    </w:p>
    <w:p w:rsidR="0029349F" w:rsidRDefault="006A04CF" w:rsidP="00F05E9A">
      <w:pPr>
        <w:jc w:val="both"/>
        <w:rPr>
          <w:rFonts w:ascii="Times New Roman" w:hAnsi="Times New Roman" w:cs="Times New Roman"/>
          <w:b/>
        </w:rPr>
      </w:pPr>
      <w:r>
        <w:rPr>
          <w:rFonts w:ascii="Times New Roman" w:hAnsi="Times New Roman" w:cs="Times New Roman"/>
          <w:b/>
        </w:rPr>
        <w:t>Property guardianship</w:t>
      </w:r>
    </w:p>
    <w:p w:rsidR="00426B1F" w:rsidRDefault="004B21DE" w:rsidP="00F05E9A">
      <w:pPr>
        <w:jc w:val="both"/>
        <w:rPr>
          <w:rFonts w:ascii="Times New Roman" w:hAnsi="Times New Roman" w:cs="Times New Roman"/>
        </w:rPr>
      </w:pPr>
      <w:r>
        <w:rPr>
          <w:rFonts w:ascii="Times New Roman" w:hAnsi="Times New Roman" w:cs="Times New Roman"/>
        </w:rPr>
        <w:t xml:space="preserve">In my view, the most interesting element of this judgment is the court’s willingness to involve </w:t>
      </w:r>
      <w:r w:rsidR="003C1C98">
        <w:rPr>
          <w:rFonts w:ascii="Times New Roman" w:hAnsi="Times New Roman" w:cs="Times New Roman"/>
        </w:rPr>
        <w:t xml:space="preserve">the </w:t>
      </w:r>
      <w:r w:rsidR="008438E1">
        <w:rPr>
          <w:rFonts w:ascii="Times New Roman" w:hAnsi="Times New Roman" w:cs="Times New Roman"/>
        </w:rPr>
        <w:t>proposition of</w:t>
      </w:r>
      <w:r>
        <w:rPr>
          <w:rFonts w:ascii="Times New Roman" w:hAnsi="Times New Roman" w:cs="Times New Roman"/>
        </w:rPr>
        <w:t xml:space="preserve"> ‘property guardianship’</w:t>
      </w:r>
      <w:r w:rsidR="008438E1">
        <w:rPr>
          <w:rFonts w:ascii="Times New Roman" w:hAnsi="Times New Roman" w:cs="Times New Roman"/>
        </w:rPr>
        <w:t xml:space="preserve"> as</w:t>
      </w:r>
      <w:r w:rsidR="00007868">
        <w:rPr>
          <w:rFonts w:ascii="Times New Roman" w:hAnsi="Times New Roman" w:cs="Times New Roman"/>
        </w:rPr>
        <w:t xml:space="preserve"> an alternative form of occupation, as</w:t>
      </w:r>
      <w:r w:rsidR="008438E1">
        <w:rPr>
          <w:rFonts w:ascii="Times New Roman" w:hAnsi="Times New Roman" w:cs="Times New Roman"/>
        </w:rPr>
        <w:t xml:space="preserve"> </w:t>
      </w:r>
      <w:r w:rsidR="00007868">
        <w:rPr>
          <w:rFonts w:ascii="Times New Roman" w:hAnsi="Times New Roman" w:cs="Times New Roman"/>
        </w:rPr>
        <w:t>part of the</w:t>
      </w:r>
      <w:r w:rsidR="008438E1">
        <w:rPr>
          <w:rFonts w:ascii="Times New Roman" w:hAnsi="Times New Roman" w:cs="Times New Roman"/>
        </w:rPr>
        <w:t xml:space="preserve"> key co</w:t>
      </w:r>
      <w:r>
        <w:rPr>
          <w:rFonts w:ascii="Times New Roman" w:hAnsi="Times New Roman" w:cs="Times New Roman"/>
        </w:rPr>
        <w:t>ntext in which the agreement was made.</w:t>
      </w:r>
      <w:r w:rsidR="00A928FB">
        <w:rPr>
          <w:rFonts w:ascii="Times New Roman" w:hAnsi="Times New Roman" w:cs="Times New Roman"/>
        </w:rPr>
        <w:t xml:space="preserve"> </w:t>
      </w:r>
      <w:r w:rsidR="00E07ADC">
        <w:rPr>
          <w:rFonts w:ascii="Times New Roman" w:hAnsi="Times New Roman" w:cs="Times New Roman"/>
        </w:rPr>
        <w:t xml:space="preserve">Put another way, the thrust of the interpretation of the agreement is that the guardian </w:t>
      </w:r>
      <w:r w:rsidR="000F528E">
        <w:rPr>
          <w:rFonts w:ascii="Times New Roman" w:hAnsi="Times New Roman" w:cs="Times New Roman"/>
        </w:rPr>
        <w:t xml:space="preserve">here </w:t>
      </w:r>
      <w:r w:rsidR="00E07ADC">
        <w:rPr>
          <w:rFonts w:ascii="Times New Roman" w:hAnsi="Times New Roman" w:cs="Times New Roman"/>
        </w:rPr>
        <w:t>knew what they were letting themselves</w:t>
      </w:r>
      <w:r w:rsidR="0022567B">
        <w:rPr>
          <w:rFonts w:ascii="Times New Roman" w:hAnsi="Times New Roman" w:cs="Times New Roman"/>
        </w:rPr>
        <w:t xml:space="preserve"> in for.</w:t>
      </w:r>
      <w:r w:rsidR="00E07ADC">
        <w:rPr>
          <w:rFonts w:ascii="Times New Roman" w:hAnsi="Times New Roman" w:cs="Times New Roman"/>
        </w:rPr>
        <w:t xml:space="preserve"> This provides a point of contrast with the County Court decision in </w:t>
      </w:r>
      <w:r w:rsidR="00E07ADC" w:rsidRPr="00E07ADC">
        <w:rPr>
          <w:rFonts w:ascii="Times New Roman" w:hAnsi="Times New Roman" w:cs="Times New Roman"/>
          <w:i/>
        </w:rPr>
        <w:t xml:space="preserve">Camelot Property Management Limited v. Greg </w:t>
      </w:r>
      <w:proofErr w:type="spellStart"/>
      <w:r w:rsidR="00E07ADC" w:rsidRPr="00E07ADC">
        <w:rPr>
          <w:rFonts w:ascii="Times New Roman" w:hAnsi="Times New Roman" w:cs="Times New Roman"/>
          <w:i/>
        </w:rPr>
        <w:t>Roynon</w:t>
      </w:r>
      <w:proofErr w:type="spellEnd"/>
      <w:r w:rsidR="00E07ADC">
        <w:rPr>
          <w:rFonts w:ascii="Times New Roman" w:hAnsi="Times New Roman" w:cs="Times New Roman"/>
        </w:rPr>
        <w:t>,</w:t>
      </w:r>
      <w:r w:rsidR="00E07ADC">
        <w:rPr>
          <w:rStyle w:val="FootnoteReference"/>
          <w:rFonts w:ascii="Times New Roman" w:hAnsi="Times New Roman" w:cs="Times New Roman"/>
        </w:rPr>
        <w:footnoteReference w:id="21"/>
      </w:r>
      <w:r w:rsidR="00E07ADC">
        <w:rPr>
          <w:rFonts w:ascii="Times New Roman" w:hAnsi="Times New Roman" w:cs="Times New Roman"/>
        </w:rPr>
        <w:t xml:space="preserve"> where </w:t>
      </w:r>
      <w:r w:rsidR="005D15EF">
        <w:rPr>
          <w:rFonts w:ascii="Times New Roman" w:hAnsi="Times New Roman" w:cs="Times New Roman"/>
        </w:rPr>
        <w:t>– in the face of an agreement which clearly conferred a licence but where exclusive possession was in reality attained – the court decided that a tenancy was indeed granted.</w:t>
      </w:r>
      <w:r w:rsidR="005C4E45">
        <w:rPr>
          <w:rFonts w:ascii="Times New Roman" w:hAnsi="Times New Roman" w:cs="Times New Roman"/>
        </w:rPr>
        <w:t xml:space="preserve"> The court’s consideration of the Camelot website in particular </w:t>
      </w:r>
      <w:r w:rsidR="000F528E">
        <w:rPr>
          <w:rFonts w:ascii="Times New Roman" w:hAnsi="Times New Roman" w:cs="Times New Roman"/>
        </w:rPr>
        <w:t xml:space="preserve">in the present case </w:t>
      </w:r>
      <w:r w:rsidR="005C4E45">
        <w:rPr>
          <w:rFonts w:ascii="Times New Roman" w:hAnsi="Times New Roman" w:cs="Times New Roman"/>
        </w:rPr>
        <w:t xml:space="preserve">demonstrates that the way in which the sector presents itself to potential </w:t>
      </w:r>
      <w:r w:rsidR="00012187">
        <w:rPr>
          <w:rFonts w:ascii="Times New Roman" w:hAnsi="Times New Roman" w:cs="Times New Roman"/>
        </w:rPr>
        <w:t>guardians can be important in the later construction of the arrangement.</w:t>
      </w:r>
    </w:p>
    <w:p w:rsidR="005C4E45" w:rsidRDefault="003B57BD" w:rsidP="00F05E9A">
      <w:pPr>
        <w:jc w:val="both"/>
        <w:rPr>
          <w:rFonts w:ascii="Times New Roman" w:hAnsi="Times New Roman" w:cs="Times New Roman"/>
        </w:rPr>
      </w:pPr>
      <w:r>
        <w:rPr>
          <w:rFonts w:ascii="Times New Roman" w:hAnsi="Times New Roman" w:cs="Times New Roman"/>
        </w:rPr>
        <w:t>I would argue this is a particularly acute issue for the widespread practice of</w:t>
      </w:r>
      <w:r w:rsidR="007328C4">
        <w:rPr>
          <w:rFonts w:ascii="Times New Roman" w:hAnsi="Times New Roman" w:cs="Times New Roman"/>
        </w:rPr>
        <w:t xml:space="preserve"> property guardians listing properties </w:t>
      </w:r>
      <w:r>
        <w:rPr>
          <w:rFonts w:ascii="Times New Roman" w:hAnsi="Times New Roman" w:cs="Times New Roman"/>
        </w:rPr>
        <w:t xml:space="preserve">on websites aimed at the private-rented sector – particularly </w:t>
      </w:r>
      <w:proofErr w:type="spellStart"/>
      <w:r>
        <w:rPr>
          <w:rFonts w:ascii="Times New Roman" w:hAnsi="Times New Roman" w:cs="Times New Roman"/>
        </w:rPr>
        <w:t>SpareRoom</w:t>
      </w:r>
      <w:proofErr w:type="spellEnd"/>
      <w:r>
        <w:rPr>
          <w:rStyle w:val="FootnoteReference"/>
          <w:rFonts w:ascii="Times New Roman" w:hAnsi="Times New Roman" w:cs="Times New Roman"/>
        </w:rPr>
        <w:footnoteReference w:id="22"/>
      </w:r>
      <w:r>
        <w:rPr>
          <w:rFonts w:ascii="Times New Roman" w:hAnsi="Times New Roman" w:cs="Times New Roman"/>
        </w:rPr>
        <w:t xml:space="preserve"> </w:t>
      </w:r>
      <w:r>
        <w:rPr>
          <w:rFonts w:ascii="Times New Roman" w:hAnsi="Times New Roman" w:cs="Times New Roman"/>
        </w:rPr>
        <w:softHyphen/>
        <w:t>–</w:t>
      </w:r>
      <w:r w:rsidR="009B21C1">
        <w:rPr>
          <w:rFonts w:ascii="Times New Roman" w:hAnsi="Times New Roman" w:cs="Times New Roman"/>
        </w:rPr>
        <w:t xml:space="preserve"> where </w:t>
      </w:r>
      <w:r w:rsidR="007328C4">
        <w:rPr>
          <w:rFonts w:ascii="Times New Roman" w:hAnsi="Times New Roman" w:cs="Times New Roman"/>
        </w:rPr>
        <w:t xml:space="preserve">adverts have to specify </w:t>
      </w:r>
      <w:r w:rsidR="009B21C1">
        <w:rPr>
          <w:rFonts w:ascii="Times New Roman" w:hAnsi="Times New Roman" w:cs="Times New Roman"/>
        </w:rPr>
        <w:t>‘deposits’ and ‘rent’</w:t>
      </w:r>
      <w:r w:rsidR="00BF24D4">
        <w:rPr>
          <w:rFonts w:ascii="Times New Roman" w:hAnsi="Times New Roman" w:cs="Times New Roman"/>
        </w:rPr>
        <w:t>, and sit alongside advertisements by lettings agents and private landlords with little obvious distinction. Visitors to these platforms are less likely to start out as the willing participant</w:t>
      </w:r>
      <w:r w:rsidR="00881261">
        <w:rPr>
          <w:rFonts w:ascii="Times New Roman" w:hAnsi="Times New Roman" w:cs="Times New Roman"/>
        </w:rPr>
        <w:t xml:space="preserve"> for</w:t>
      </w:r>
      <w:r w:rsidR="00BF24D4">
        <w:rPr>
          <w:rFonts w:ascii="Times New Roman" w:hAnsi="Times New Roman" w:cs="Times New Roman"/>
        </w:rPr>
        <w:t xml:space="preserve"> this ‘alternative to renting’ that the court considered Mr </w:t>
      </w:r>
      <w:proofErr w:type="spellStart"/>
      <w:r w:rsidR="00BF24D4">
        <w:rPr>
          <w:rFonts w:ascii="Times New Roman" w:hAnsi="Times New Roman" w:cs="Times New Roman"/>
        </w:rPr>
        <w:t>Khoo</w:t>
      </w:r>
      <w:proofErr w:type="spellEnd"/>
      <w:r w:rsidR="00BF24D4">
        <w:rPr>
          <w:rFonts w:ascii="Times New Roman" w:hAnsi="Times New Roman" w:cs="Times New Roman"/>
        </w:rPr>
        <w:t xml:space="preserve"> to be.</w:t>
      </w:r>
    </w:p>
    <w:p w:rsidR="00A425B4" w:rsidRPr="00EF7036" w:rsidRDefault="00E204EE" w:rsidP="00EF7036">
      <w:pPr>
        <w:jc w:val="both"/>
        <w:rPr>
          <w:rFonts w:ascii="Times New Roman" w:hAnsi="Times New Roman" w:cs="Times New Roman"/>
        </w:rPr>
      </w:pPr>
      <w:r>
        <w:rPr>
          <w:rFonts w:ascii="Times New Roman" w:hAnsi="Times New Roman" w:cs="Times New Roman"/>
        </w:rPr>
        <w:t xml:space="preserve">More broadly, the case highlights the gulf between the written agreements that property guardian companies provide and what some guardians assert is the reality of their occupation of these premises. Although exclusive possession </w:t>
      </w:r>
      <w:r w:rsidRPr="00035418">
        <w:rPr>
          <w:rFonts w:ascii="Times New Roman" w:hAnsi="Times New Roman" w:cs="Times New Roman"/>
        </w:rPr>
        <w:t xml:space="preserve">is one such issue, a parallel problem can be seen in the context of </w:t>
      </w:r>
      <w:r w:rsidR="00035418" w:rsidRPr="00035418">
        <w:rPr>
          <w:rFonts w:ascii="Times New Roman" w:hAnsi="Times New Roman" w:cs="Times New Roman"/>
        </w:rPr>
        <w:t>de-facto deposits. Although the payment of significant ‘deposits’ is widespread in the property guardianship sector,</w:t>
      </w:r>
      <w:r w:rsidR="006F28E3">
        <w:rPr>
          <w:rStyle w:val="FootnoteReference"/>
          <w:rFonts w:ascii="Times New Roman" w:hAnsi="Times New Roman" w:cs="Times New Roman"/>
        </w:rPr>
        <w:footnoteReference w:id="23"/>
      </w:r>
      <w:r w:rsidR="00035418" w:rsidRPr="00035418">
        <w:rPr>
          <w:rFonts w:ascii="Times New Roman" w:hAnsi="Times New Roman" w:cs="Times New Roman"/>
        </w:rPr>
        <w:t xml:space="preserve"> there is no requirement to protect these under a registered scheme, as per s.212 Housing Act 2004, as in the private rented sector.</w:t>
      </w:r>
      <w:r w:rsidRPr="00035418">
        <w:rPr>
          <w:rFonts w:ascii="Times New Roman" w:hAnsi="Times New Roman" w:cs="Times New Roman"/>
        </w:rPr>
        <w:t xml:space="preserve"> </w:t>
      </w:r>
      <w:r w:rsidR="00035418">
        <w:rPr>
          <w:rFonts w:ascii="Times New Roman" w:hAnsi="Times New Roman" w:cs="Times New Roman"/>
        </w:rPr>
        <w:t xml:space="preserve">The guardian experience is that this money is often subject to deductions, </w:t>
      </w:r>
      <w:r w:rsidR="009C4EE9">
        <w:rPr>
          <w:rFonts w:ascii="Times New Roman" w:hAnsi="Times New Roman" w:cs="Times New Roman"/>
        </w:rPr>
        <w:t>but the same rights of redress d</w:t>
      </w:r>
      <w:r w:rsidR="00035418">
        <w:rPr>
          <w:rFonts w:ascii="Times New Roman" w:hAnsi="Times New Roman" w:cs="Times New Roman"/>
        </w:rPr>
        <w:t>o not apply.</w:t>
      </w:r>
      <w:r w:rsidR="009C4EE9">
        <w:rPr>
          <w:rFonts w:ascii="Times New Roman" w:hAnsi="Times New Roman" w:cs="Times New Roman"/>
        </w:rPr>
        <w:t xml:space="preserve"> As the sector (seemingly) continues to grow, this gulf in reality between the property guardian companies’ legal position – integral to their business model – and the lived experiences of their guardians, will only continue to generate problems.</w:t>
      </w:r>
    </w:p>
    <w:sectPr w:rsidR="00A425B4" w:rsidRPr="00EF70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3A7" w:rsidRDefault="003753A7" w:rsidP="00613C21">
      <w:pPr>
        <w:spacing w:after="0" w:line="240" w:lineRule="auto"/>
      </w:pPr>
      <w:r>
        <w:separator/>
      </w:r>
    </w:p>
  </w:endnote>
  <w:endnote w:type="continuationSeparator" w:id="0">
    <w:p w:rsidR="003753A7" w:rsidRDefault="003753A7" w:rsidP="0061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3A7" w:rsidRDefault="003753A7" w:rsidP="00613C21">
      <w:pPr>
        <w:spacing w:after="0" w:line="240" w:lineRule="auto"/>
      </w:pPr>
      <w:r>
        <w:separator/>
      </w:r>
    </w:p>
  </w:footnote>
  <w:footnote w:type="continuationSeparator" w:id="0">
    <w:p w:rsidR="003753A7" w:rsidRDefault="003753A7" w:rsidP="00613C21">
      <w:pPr>
        <w:spacing w:after="0" w:line="240" w:lineRule="auto"/>
      </w:pPr>
      <w:r>
        <w:continuationSeparator/>
      </w:r>
    </w:p>
  </w:footnote>
  <w:footnote w:id="1">
    <w:p w:rsidR="0028201E" w:rsidRPr="000D13D4" w:rsidRDefault="0028201E">
      <w:pPr>
        <w:pStyle w:val="FootnoteText"/>
        <w:rPr>
          <w:rFonts w:ascii="Times New Roman" w:hAnsi="Times New Roman" w:cs="Times New Roman"/>
        </w:rPr>
      </w:pPr>
      <w:r w:rsidRPr="000D13D4">
        <w:rPr>
          <w:rFonts w:ascii="Times New Roman" w:hAnsi="Times New Roman" w:cs="Times New Roman"/>
        </w:rPr>
        <w:t>*Lecturer in Law, York Law School, University of York, UK</w:t>
      </w:r>
    </w:p>
    <w:p w:rsidR="00C053E3" w:rsidRPr="000D13D4" w:rsidRDefault="00C053E3">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For a detailed overview of the phenomenon and the views of guardians living in London, see Caroline Hunter and Jed Meers, ‘Property Guardianship in London’ (London Assembly, 2017) Available at: https://bit.ly/2sHvkIy.</w:t>
      </w:r>
    </w:p>
  </w:footnote>
  <w:footnote w:id="2">
    <w:p w:rsidR="00613C21" w:rsidRPr="000D13D4" w:rsidRDefault="00613C21">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Caroline Hunter and Giles </w:t>
      </w:r>
      <w:proofErr w:type="spellStart"/>
      <w:r w:rsidRPr="000D13D4">
        <w:rPr>
          <w:rFonts w:ascii="Times New Roman" w:hAnsi="Times New Roman" w:cs="Times New Roman"/>
        </w:rPr>
        <w:t>Peaker</w:t>
      </w:r>
      <w:proofErr w:type="spellEnd"/>
      <w:r w:rsidRPr="000D13D4">
        <w:rPr>
          <w:rFonts w:ascii="Times New Roman" w:hAnsi="Times New Roman" w:cs="Times New Roman"/>
        </w:rPr>
        <w:t>, ‘Who guards the guardians?’ (2013) 16(1) Journal of Housing Law, 13-17, 17</w:t>
      </w:r>
      <w:r w:rsidR="00C0190F" w:rsidRPr="000D13D4">
        <w:rPr>
          <w:rFonts w:ascii="Times New Roman" w:hAnsi="Times New Roman" w:cs="Times New Roman"/>
        </w:rPr>
        <w:t>.</w:t>
      </w:r>
    </w:p>
  </w:footnote>
  <w:footnote w:id="3">
    <w:p w:rsidR="00394C23" w:rsidRPr="000D13D4" w:rsidRDefault="00394C23">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[6].</w:t>
      </w:r>
    </w:p>
  </w:footnote>
  <w:footnote w:id="4">
    <w:p w:rsidR="00E63B7C" w:rsidRPr="000D13D4" w:rsidRDefault="00E63B7C">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[6].</w:t>
      </w:r>
    </w:p>
  </w:footnote>
  <w:footnote w:id="5">
    <w:p w:rsidR="00FB55A9" w:rsidRPr="000D13D4" w:rsidRDefault="00FB55A9">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[7].</w:t>
      </w:r>
    </w:p>
  </w:footnote>
  <w:footnote w:id="6">
    <w:p w:rsidR="00732B29" w:rsidRPr="000D13D4" w:rsidRDefault="00732B29">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[7].</w:t>
      </w:r>
    </w:p>
  </w:footnote>
  <w:footnote w:id="7">
    <w:p w:rsidR="00163C1B" w:rsidRPr="000D13D4" w:rsidRDefault="00163C1B">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w:t>
      </w:r>
      <w:r w:rsidR="00BF692B" w:rsidRPr="000D13D4">
        <w:rPr>
          <w:rFonts w:ascii="Times New Roman" w:hAnsi="Times New Roman" w:cs="Times New Roman"/>
        </w:rPr>
        <w:t>Hunter and Meers (n 1).</w:t>
      </w:r>
      <w:r w:rsidR="00B33F53" w:rsidRPr="000D13D4">
        <w:rPr>
          <w:rFonts w:ascii="Times New Roman" w:hAnsi="Times New Roman" w:cs="Times New Roman"/>
        </w:rPr>
        <w:t xml:space="preserve"> 20-22.</w:t>
      </w:r>
      <w:r w:rsidRPr="000D13D4">
        <w:rPr>
          <w:rFonts w:ascii="Times New Roman" w:hAnsi="Times New Roman" w:cs="Times New Roman"/>
        </w:rPr>
        <w:t xml:space="preserve"> </w:t>
      </w:r>
    </w:p>
  </w:footnote>
  <w:footnote w:id="8">
    <w:p w:rsidR="00386DC0" w:rsidRPr="000D13D4" w:rsidRDefault="00386DC0">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[8].</w:t>
      </w:r>
    </w:p>
  </w:footnote>
  <w:footnote w:id="9">
    <w:p w:rsidR="00354CD7" w:rsidRPr="000D13D4" w:rsidRDefault="00354CD7">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[16].</w:t>
      </w:r>
    </w:p>
  </w:footnote>
  <w:footnote w:id="10">
    <w:p w:rsidR="00545A4B" w:rsidRPr="000D13D4" w:rsidRDefault="00545A4B">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[12].</w:t>
      </w:r>
    </w:p>
  </w:footnote>
  <w:footnote w:id="11">
    <w:p w:rsidR="006179C4" w:rsidRPr="000D13D4" w:rsidRDefault="006179C4">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[9].</w:t>
      </w:r>
    </w:p>
  </w:footnote>
  <w:footnote w:id="12">
    <w:p w:rsidR="006E6CD2" w:rsidRPr="000D13D4" w:rsidRDefault="006E6CD2">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[1].</w:t>
      </w:r>
    </w:p>
  </w:footnote>
  <w:footnote w:id="13">
    <w:p w:rsidR="004C4D47" w:rsidRPr="000D13D4" w:rsidRDefault="004C4D47">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[1985] 1 AC 809.</w:t>
      </w:r>
    </w:p>
  </w:footnote>
  <w:footnote w:id="14">
    <w:p w:rsidR="000F279A" w:rsidRPr="000D13D4" w:rsidRDefault="000F279A">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[19].</w:t>
      </w:r>
    </w:p>
  </w:footnote>
  <w:footnote w:id="15">
    <w:p w:rsidR="004F5BDD" w:rsidRPr="000D13D4" w:rsidRDefault="004F5BDD" w:rsidP="004F5BDD">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w:t>
      </w:r>
      <w:r w:rsidRPr="000D13D4">
        <w:rPr>
          <w:rStyle w:val="Emphasis"/>
          <w:rFonts w:ascii="Times New Roman" w:hAnsi="Times New Roman" w:cs="Times New Roman"/>
          <w:color w:val="000000"/>
          <w:shd w:val="clear" w:color="auto" w:fill="FFFFFF"/>
        </w:rPr>
        <w:t xml:space="preserve">AG Securities v Vaughan </w:t>
      </w:r>
      <w:r w:rsidRPr="000D13D4">
        <w:rPr>
          <w:rStyle w:val="Emphasis"/>
          <w:rFonts w:ascii="Times New Roman" w:hAnsi="Times New Roman" w:cs="Times New Roman"/>
          <w:i w:val="0"/>
          <w:color w:val="000000"/>
          <w:shd w:val="clear" w:color="auto" w:fill="FFFFFF"/>
        </w:rPr>
        <w:t>[1990] 1 AC 417</w:t>
      </w:r>
      <w:r w:rsidRPr="000D13D4">
        <w:rPr>
          <w:rFonts w:ascii="Times New Roman" w:hAnsi="Times New Roman" w:cs="Times New Roman"/>
          <w:color w:val="000000"/>
          <w:shd w:val="clear" w:color="auto" w:fill="FFFFFF"/>
        </w:rPr>
        <w:t> </w:t>
      </w:r>
      <w:r w:rsidR="007E7692" w:rsidRPr="000D13D4">
        <w:rPr>
          <w:rFonts w:ascii="Times New Roman" w:hAnsi="Times New Roman" w:cs="Times New Roman"/>
          <w:color w:val="000000"/>
          <w:shd w:val="clear" w:color="auto" w:fill="FFFFFF"/>
        </w:rPr>
        <w:t>at 462H.</w:t>
      </w:r>
    </w:p>
  </w:footnote>
  <w:footnote w:id="16">
    <w:p w:rsidR="00E61A7E" w:rsidRPr="000D13D4" w:rsidRDefault="00E61A7E">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[20]</w:t>
      </w:r>
      <w:proofErr w:type="gramStart"/>
      <w:r w:rsidRPr="000D13D4">
        <w:rPr>
          <w:rFonts w:ascii="Times New Roman" w:hAnsi="Times New Roman" w:cs="Times New Roman"/>
        </w:rPr>
        <w:t>-[</w:t>
      </w:r>
      <w:proofErr w:type="gramEnd"/>
      <w:r w:rsidRPr="000D13D4">
        <w:rPr>
          <w:rFonts w:ascii="Times New Roman" w:hAnsi="Times New Roman" w:cs="Times New Roman"/>
        </w:rPr>
        <w:t>24].</w:t>
      </w:r>
    </w:p>
  </w:footnote>
  <w:footnote w:id="17">
    <w:p w:rsidR="00E13AFC" w:rsidRPr="000D13D4" w:rsidRDefault="00E13AFC">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[26]</w:t>
      </w:r>
      <w:proofErr w:type="gramStart"/>
      <w:r w:rsidRPr="000D13D4">
        <w:rPr>
          <w:rFonts w:ascii="Times New Roman" w:hAnsi="Times New Roman" w:cs="Times New Roman"/>
        </w:rPr>
        <w:t>-[</w:t>
      </w:r>
      <w:proofErr w:type="gramEnd"/>
      <w:r w:rsidRPr="000D13D4">
        <w:rPr>
          <w:rFonts w:ascii="Times New Roman" w:hAnsi="Times New Roman" w:cs="Times New Roman"/>
        </w:rPr>
        <w:t>27].</w:t>
      </w:r>
    </w:p>
  </w:footnote>
  <w:footnote w:id="18">
    <w:p w:rsidR="00C319AD" w:rsidRPr="000D13D4" w:rsidRDefault="00C319AD">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[26].</w:t>
      </w:r>
    </w:p>
  </w:footnote>
  <w:footnote w:id="19">
    <w:p w:rsidR="009C2AFD" w:rsidRPr="000D13D4" w:rsidRDefault="009C2AFD">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[27].</w:t>
      </w:r>
    </w:p>
  </w:footnote>
  <w:footnote w:id="20">
    <w:p w:rsidR="00A220BC" w:rsidRPr="000D13D4" w:rsidRDefault="00A220BC">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[35].</w:t>
      </w:r>
    </w:p>
  </w:footnote>
  <w:footnote w:id="21">
    <w:p w:rsidR="00E07ADC" w:rsidRPr="000D13D4" w:rsidRDefault="00E07ADC">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Ref here for this.</w:t>
      </w:r>
    </w:p>
  </w:footnote>
  <w:footnote w:id="22">
    <w:p w:rsidR="003B57BD" w:rsidRPr="000D13D4" w:rsidRDefault="003B57BD">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See </w:t>
      </w:r>
      <w:hyperlink r:id="rId1" w:history="1">
        <w:r w:rsidRPr="000D13D4">
          <w:rPr>
            <w:rStyle w:val="Hyperlink"/>
            <w:rFonts w:ascii="Times New Roman" w:hAnsi="Times New Roman" w:cs="Times New Roman"/>
          </w:rPr>
          <w:t>www.spareroom.co.uk</w:t>
        </w:r>
      </w:hyperlink>
      <w:r w:rsidRPr="000D13D4">
        <w:rPr>
          <w:rFonts w:ascii="Times New Roman" w:hAnsi="Times New Roman" w:cs="Times New Roman"/>
        </w:rPr>
        <w:t xml:space="preserve">. </w:t>
      </w:r>
    </w:p>
  </w:footnote>
  <w:footnote w:id="23">
    <w:p w:rsidR="006F28E3" w:rsidRPr="000D13D4" w:rsidRDefault="006F28E3">
      <w:pPr>
        <w:pStyle w:val="FootnoteText"/>
        <w:rPr>
          <w:rFonts w:ascii="Times New Roman" w:hAnsi="Times New Roman" w:cs="Times New Roman"/>
        </w:rPr>
      </w:pPr>
      <w:r w:rsidRPr="000D13D4">
        <w:rPr>
          <w:rStyle w:val="FootnoteReference"/>
          <w:rFonts w:ascii="Times New Roman" w:hAnsi="Times New Roman" w:cs="Times New Roman"/>
        </w:rPr>
        <w:footnoteRef/>
      </w:r>
      <w:r w:rsidRPr="000D13D4">
        <w:rPr>
          <w:rFonts w:ascii="Times New Roman" w:hAnsi="Times New Roman" w:cs="Times New Roman"/>
        </w:rPr>
        <w:t xml:space="preserve"> Hunter and Meers (n 1) 39-45.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55F15"/>
    <w:multiLevelType w:val="hybridMultilevel"/>
    <w:tmpl w:val="A9407E70"/>
    <w:lvl w:ilvl="0" w:tplc="F356CE6C">
      <w:numFmt w:val="bullet"/>
      <w:lvlText w:val="-"/>
      <w:lvlJc w:val="left"/>
      <w:pPr>
        <w:ind w:left="720" w:hanging="360"/>
      </w:pPr>
      <w:rPr>
        <w:rFonts w:ascii="Verdana" w:eastAsiaTheme="minorHAnsi" w:hAnsi="Verdana" w:cstheme="minorBidi" w:hint="default"/>
        <w:color w:val="000000"/>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3B"/>
    <w:rsid w:val="00001418"/>
    <w:rsid w:val="0000189F"/>
    <w:rsid w:val="00007868"/>
    <w:rsid w:val="00012187"/>
    <w:rsid w:val="00025A45"/>
    <w:rsid w:val="000334BC"/>
    <w:rsid w:val="00035418"/>
    <w:rsid w:val="00060284"/>
    <w:rsid w:val="00064D4D"/>
    <w:rsid w:val="00084415"/>
    <w:rsid w:val="000C04B4"/>
    <w:rsid w:val="000C570E"/>
    <w:rsid w:val="000C659A"/>
    <w:rsid w:val="000D13D4"/>
    <w:rsid w:val="000E2A73"/>
    <w:rsid w:val="000F279A"/>
    <w:rsid w:val="000F528E"/>
    <w:rsid w:val="00107754"/>
    <w:rsid w:val="0012103B"/>
    <w:rsid w:val="00127ED2"/>
    <w:rsid w:val="00163C1B"/>
    <w:rsid w:val="001A3F49"/>
    <w:rsid w:val="001C4478"/>
    <w:rsid w:val="001D5D1F"/>
    <w:rsid w:val="001F1237"/>
    <w:rsid w:val="001F34FC"/>
    <w:rsid w:val="001F4B5B"/>
    <w:rsid w:val="001F7D1E"/>
    <w:rsid w:val="0022567B"/>
    <w:rsid w:val="00251D58"/>
    <w:rsid w:val="00252C44"/>
    <w:rsid w:val="00262F04"/>
    <w:rsid w:val="0026353A"/>
    <w:rsid w:val="00267B8D"/>
    <w:rsid w:val="0028201E"/>
    <w:rsid w:val="002835FD"/>
    <w:rsid w:val="00285DD8"/>
    <w:rsid w:val="0028794D"/>
    <w:rsid w:val="0029349F"/>
    <w:rsid w:val="00296AE7"/>
    <w:rsid w:val="002C6F17"/>
    <w:rsid w:val="002D25AD"/>
    <w:rsid w:val="002E24DE"/>
    <w:rsid w:val="002E32EC"/>
    <w:rsid w:val="003052D5"/>
    <w:rsid w:val="00313067"/>
    <w:rsid w:val="00316803"/>
    <w:rsid w:val="0033281D"/>
    <w:rsid w:val="00354CD7"/>
    <w:rsid w:val="00357DDC"/>
    <w:rsid w:val="00366121"/>
    <w:rsid w:val="003753A7"/>
    <w:rsid w:val="00386DC0"/>
    <w:rsid w:val="00394C23"/>
    <w:rsid w:val="00397419"/>
    <w:rsid w:val="003A3CF2"/>
    <w:rsid w:val="003B57BD"/>
    <w:rsid w:val="003C1C98"/>
    <w:rsid w:val="003C5853"/>
    <w:rsid w:val="003E28E4"/>
    <w:rsid w:val="004034E0"/>
    <w:rsid w:val="004107AC"/>
    <w:rsid w:val="00415E37"/>
    <w:rsid w:val="00426B1F"/>
    <w:rsid w:val="004B21DE"/>
    <w:rsid w:val="004C20F6"/>
    <w:rsid w:val="004C4D47"/>
    <w:rsid w:val="004C68DB"/>
    <w:rsid w:val="004D29DC"/>
    <w:rsid w:val="004F5BDD"/>
    <w:rsid w:val="005437F4"/>
    <w:rsid w:val="00545A4B"/>
    <w:rsid w:val="00546A44"/>
    <w:rsid w:val="00574BD7"/>
    <w:rsid w:val="005B310E"/>
    <w:rsid w:val="005C3EEC"/>
    <w:rsid w:val="005C4E45"/>
    <w:rsid w:val="005D15EF"/>
    <w:rsid w:val="00613C21"/>
    <w:rsid w:val="006179C4"/>
    <w:rsid w:val="006246D1"/>
    <w:rsid w:val="006315BA"/>
    <w:rsid w:val="006A04CF"/>
    <w:rsid w:val="006D6B39"/>
    <w:rsid w:val="006E6C2A"/>
    <w:rsid w:val="006E6CD2"/>
    <w:rsid w:val="006F28E3"/>
    <w:rsid w:val="00716330"/>
    <w:rsid w:val="007328C4"/>
    <w:rsid w:val="00732B29"/>
    <w:rsid w:val="00741D55"/>
    <w:rsid w:val="00743E4A"/>
    <w:rsid w:val="00764CED"/>
    <w:rsid w:val="00775CBE"/>
    <w:rsid w:val="00795FC4"/>
    <w:rsid w:val="007C78C7"/>
    <w:rsid w:val="007E7692"/>
    <w:rsid w:val="00806C5C"/>
    <w:rsid w:val="008121F7"/>
    <w:rsid w:val="008263EF"/>
    <w:rsid w:val="00835E9F"/>
    <w:rsid w:val="008438E1"/>
    <w:rsid w:val="00857E03"/>
    <w:rsid w:val="00881261"/>
    <w:rsid w:val="008E7FE5"/>
    <w:rsid w:val="008F1CED"/>
    <w:rsid w:val="008F7B52"/>
    <w:rsid w:val="00924EEE"/>
    <w:rsid w:val="009275E6"/>
    <w:rsid w:val="009503BD"/>
    <w:rsid w:val="009623F1"/>
    <w:rsid w:val="00967750"/>
    <w:rsid w:val="00980E5A"/>
    <w:rsid w:val="00996686"/>
    <w:rsid w:val="009A660E"/>
    <w:rsid w:val="009B21C1"/>
    <w:rsid w:val="009B437F"/>
    <w:rsid w:val="009C2AFD"/>
    <w:rsid w:val="009C4EE9"/>
    <w:rsid w:val="009C6549"/>
    <w:rsid w:val="009E3D69"/>
    <w:rsid w:val="009F0B98"/>
    <w:rsid w:val="00A220BC"/>
    <w:rsid w:val="00A34CCD"/>
    <w:rsid w:val="00A425B4"/>
    <w:rsid w:val="00A62151"/>
    <w:rsid w:val="00A87F07"/>
    <w:rsid w:val="00A9089D"/>
    <w:rsid w:val="00A928FB"/>
    <w:rsid w:val="00AA14A5"/>
    <w:rsid w:val="00AA3E9C"/>
    <w:rsid w:val="00AC65D5"/>
    <w:rsid w:val="00AC7A37"/>
    <w:rsid w:val="00AD1E66"/>
    <w:rsid w:val="00AE36B9"/>
    <w:rsid w:val="00B11684"/>
    <w:rsid w:val="00B13589"/>
    <w:rsid w:val="00B266EC"/>
    <w:rsid w:val="00B33F53"/>
    <w:rsid w:val="00B36EFD"/>
    <w:rsid w:val="00B82CAA"/>
    <w:rsid w:val="00B840AA"/>
    <w:rsid w:val="00BB6FDE"/>
    <w:rsid w:val="00BF24D4"/>
    <w:rsid w:val="00BF692B"/>
    <w:rsid w:val="00BF7397"/>
    <w:rsid w:val="00C00B62"/>
    <w:rsid w:val="00C0190F"/>
    <w:rsid w:val="00C02D59"/>
    <w:rsid w:val="00C053E3"/>
    <w:rsid w:val="00C10B0A"/>
    <w:rsid w:val="00C319AD"/>
    <w:rsid w:val="00C63183"/>
    <w:rsid w:val="00C770BB"/>
    <w:rsid w:val="00CC4025"/>
    <w:rsid w:val="00CD41DB"/>
    <w:rsid w:val="00D05FF5"/>
    <w:rsid w:val="00D13C0A"/>
    <w:rsid w:val="00D14669"/>
    <w:rsid w:val="00D22491"/>
    <w:rsid w:val="00D47B5A"/>
    <w:rsid w:val="00D93F82"/>
    <w:rsid w:val="00D967BA"/>
    <w:rsid w:val="00DB6B35"/>
    <w:rsid w:val="00DC4484"/>
    <w:rsid w:val="00DF28D4"/>
    <w:rsid w:val="00DF4C61"/>
    <w:rsid w:val="00E01789"/>
    <w:rsid w:val="00E0336A"/>
    <w:rsid w:val="00E07ADC"/>
    <w:rsid w:val="00E10B9E"/>
    <w:rsid w:val="00E13AFC"/>
    <w:rsid w:val="00E204EE"/>
    <w:rsid w:val="00E34CA8"/>
    <w:rsid w:val="00E53790"/>
    <w:rsid w:val="00E61A7E"/>
    <w:rsid w:val="00E63B7C"/>
    <w:rsid w:val="00E713C8"/>
    <w:rsid w:val="00E851F9"/>
    <w:rsid w:val="00E9192D"/>
    <w:rsid w:val="00E92B49"/>
    <w:rsid w:val="00E92BBB"/>
    <w:rsid w:val="00E94700"/>
    <w:rsid w:val="00EA4E35"/>
    <w:rsid w:val="00EB0D7C"/>
    <w:rsid w:val="00EB7719"/>
    <w:rsid w:val="00EF6D1D"/>
    <w:rsid w:val="00EF7036"/>
    <w:rsid w:val="00F05E9A"/>
    <w:rsid w:val="00F06000"/>
    <w:rsid w:val="00F138EB"/>
    <w:rsid w:val="00F30EA5"/>
    <w:rsid w:val="00F42CDD"/>
    <w:rsid w:val="00F65F3B"/>
    <w:rsid w:val="00F739A4"/>
    <w:rsid w:val="00F82723"/>
    <w:rsid w:val="00FA5610"/>
    <w:rsid w:val="00FB55A9"/>
    <w:rsid w:val="00FC3658"/>
    <w:rsid w:val="00FD3EC7"/>
    <w:rsid w:val="00FF4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DDEC5"/>
  <w15:chartTrackingRefBased/>
  <w15:docId w15:val="{62065756-A31B-4935-8246-C59E2C1B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B9E"/>
    <w:pPr>
      <w:ind w:left="720"/>
      <w:contextualSpacing/>
    </w:pPr>
  </w:style>
  <w:style w:type="character" w:styleId="Hyperlink">
    <w:name w:val="Hyperlink"/>
    <w:basedOn w:val="DefaultParagraphFont"/>
    <w:uiPriority w:val="99"/>
    <w:unhideWhenUsed/>
    <w:rsid w:val="00E10B9E"/>
    <w:rPr>
      <w:color w:val="0563C1" w:themeColor="hyperlink"/>
      <w:u w:val="single"/>
    </w:rPr>
  </w:style>
  <w:style w:type="paragraph" w:customStyle="1" w:styleId="indent1">
    <w:name w:val="indent1"/>
    <w:basedOn w:val="Normal"/>
    <w:rsid w:val="008F7B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8F7B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F7B52"/>
    <w:rPr>
      <w:i/>
      <w:iCs/>
    </w:rPr>
  </w:style>
  <w:style w:type="paragraph" w:styleId="FootnoteText">
    <w:name w:val="footnote text"/>
    <w:basedOn w:val="Normal"/>
    <w:link w:val="FootnoteTextChar"/>
    <w:uiPriority w:val="99"/>
    <w:semiHidden/>
    <w:unhideWhenUsed/>
    <w:rsid w:val="00613C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3C21"/>
    <w:rPr>
      <w:sz w:val="20"/>
      <w:szCs w:val="20"/>
    </w:rPr>
  </w:style>
  <w:style w:type="character" w:styleId="FootnoteReference">
    <w:name w:val="footnote reference"/>
    <w:basedOn w:val="DefaultParagraphFont"/>
    <w:uiPriority w:val="99"/>
    <w:semiHidden/>
    <w:unhideWhenUsed/>
    <w:rsid w:val="00613C21"/>
    <w:rPr>
      <w:vertAlign w:val="superscript"/>
    </w:rPr>
  </w:style>
  <w:style w:type="character" w:styleId="FollowedHyperlink">
    <w:name w:val="FollowedHyperlink"/>
    <w:basedOn w:val="DefaultParagraphFont"/>
    <w:uiPriority w:val="99"/>
    <w:semiHidden/>
    <w:unhideWhenUsed/>
    <w:rsid w:val="004C20F6"/>
    <w:rPr>
      <w:color w:val="954F72" w:themeColor="followedHyperlink"/>
      <w:u w:val="single"/>
    </w:rPr>
  </w:style>
  <w:style w:type="character" w:styleId="Strong">
    <w:name w:val="Strong"/>
    <w:basedOn w:val="DefaultParagraphFont"/>
    <w:uiPriority w:val="22"/>
    <w:qFormat/>
    <w:rsid w:val="001F3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3308">
      <w:bodyDiv w:val="1"/>
      <w:marLeft w:val="0"/>
      <w:marRight w:val="0"/>
      <w:marTop w:val="0"/>
      <w:marBottom w:val="0"/>
      <w:divBdr>
        <w:top w:val="none" w:sz="0" w:space="0" w:color="auto"/>
        <w:left w:val="none" w:sz="0" w:space="0" w:color="auto"/>
        <w:bottom w:val="none" w:sz="0" w:space="0" w:color="auto"/>
        <w:right w:val="none" w:sz="0" w:space="0" w:color="auto"/>
      </w:divBdr>
      <w:divsChild>
        <w:div w:id="64088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029992">
      <w:bodyDiv w:val="1"/>
      <w:marLeft w:val="0"/>
      <w:marRight w:val="0"/>
      <w:marTop w:val="0"/>
      <w:marBottom w:val="0"/>
      <w:divBdr>
        <w:top w:val="none" w:sz="0" w:space="0" w:color="auto"/>
        <w:left w:val="none" w:sz="0" w:space="0" w:color="auto"/>
        <w:bottom w:val="none" w:sz="0" w:space="0" w:color="auto"/>
        <w:right w:val="none" w:sz="0" w:space="0" w:color="auto"/>
      </w:divBdr>
    </w:div>
    <w:div w:id="1530727536">
      <w:bodyDiv w:val="1"/>
      <w:marLeft w:val="0"/>
      <w:marRight w:val="0"/>
      <w:marTop w:val="0"/>
      <w:marBottom w:val="0"/>
      <w:divBdr>
        <w:top w:val="none" w:sz="0" w:space="0" w:color="auto"/>
        <w:left w:val="none" w:sz="0" w:space="0" w:color="auto"/>
        <w:bottom w:val="none" w:sz="0" w:space="0" w:color="auto"/>
        <w:right w:val="none" w:sz="0" w:space="0" w:color="auto"/>
      </w:divBdr>
    </w:div>
    <w:div w:id="19655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pareroo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6B65-03DB-40A8-89C9-4DA44E80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Meers</dc:creator>
  <cp:keywords/>
  <dc:description/>
  <cp:lastModifiedBy>Jed Meers</cp:lastModifiedBy>
  <cp:revision>3</cp:revision>
  <dcterms:created xsi:type="dcterms:W3CDTF">2019-01-22T17:51:00Z</dcterms:created>
  <dcterms:modified xsi:type="dcterms:W3CDTF">2019-03-19T16:27:00Z</dcterms:modified>
</cp:coreProperties>
</file>