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970DC" w14:textId="77777777" w:rsidR="00F62C8B" w:rsidRPr="00B55955" w:rsidRDefault="000F3A41" w:rsidP="004C531E">
      <w:pPr>
        <w:pStyle w:val="RSCM01ReceivedAccepted"/>
      </w:pPr>
      <w:r w:rsidRPr="00B55955">
        <mc:AlternateContent>
          <mc:Choice Requires="wps">
            <w:drawing>
              <wp:anchor distT="180340" distB="0" distL="114300" distR="114300" simplePos="0" relativeHeight="251662336" behindDoc="1" locked="1" layoutInCell="0" allowOverlap="0" wp14:anchorId="5159C597" wp14:editId="7BFE186E">
                <wp:simplePos x="0" y="0"/>
                <wp:positionH relativeFrom="column">
                  <wp:posOffset>-58</wp:posOffset>
                </wp:positionH>
                <wp:positionV relativeFrom="margin">
                  <wp:align>bottom</wp:align>
                </wp:positionV>
                <wp:extent cx="3158837" cy="1627909"/>
                <wp:effectExtent l="0" t="0" r="3810" b="0"/>
                <wp:wrapTopAndBottom/>
                <wp:docPr id="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8837" cy="1627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1DC6F" w14:textId="77777777" w:rsidR="007F0034" w:rsidRPr="00C405FD" w:rsidRDefault="007F0034" w:rsidP="007F0034">
                            <w:pPr>
                              <w:pStyle w:val="RSCF01FootnoteAuthorAddress"/>
                            </w:pPr>
                            <w:r>
                              <w:t>Department of Chemistry, University of York, York, YO10 5DD, United Kingdom</w:t>
                            </w:r>
                            <w:r w:rsidRPr="00C405FD">
                              <w:t>.</w:t>
                            </w:r>
                          </w:p>
                          <w:p w14:paraId="4D624924" w14:textId="77777777" w:rsidR="007F0034" w:rsidRPr="00C405FD" w:rsidRDefault="007F0034" w:rsidP="007F0034">
                            <w:pPr>
                              <w:pStyle w:val="RSCF01FootnoteAuthorAddress"/>
                            </w:pPr>
                            <w:r w:rsidRPr="00D37DE1">
                              <w:t>Syngenta Crop Protection AG, Münchwilen, Breitenloh 5, 4333, Switzerland</w:t>
                            </w:r>
                          </w:p>
                          <w:p w14:paraId="4E9CDA78" w14:textId="77777777" w:rsidR="00C405FD" w:rsidRPr="00241ACD" w:rsidRDefault="007F0034" w:rsidP="00241ACD">
                            <w:pPr>
                              <w:pStyle w:val="RSCF02FootnotestoTitleAuthors"/>
                            </w:pPr>
                            <w:r w:rsidRPr="00241ACD">
                              <w:t>Electronic Supplementary Information (ESI) available: [</w:t>
                            </w:r>
                            <w:r>
                              <w:t xml:space="preserve">full </w:t>
                            </w:r>
                            <w:r w:rsidRPr="00241ACD">
                              <w:t xml:space="preserve">details of </w:t>
                            </w:r>
                            <w:r>
                              <w:t>all experimental procedures and compound characterisation)</w:t>
                            </w:r>
                            <w:r w:rsidRPr="00241ACD">
                              <w:t>]. See DOI: 10.1039/x0xx00000x</w:t>
                            </w:r>
                          </w:p>
                        </w:txbxContent>
                      </wps:txbx>
                      <wps:bodyPr rot="0" vert="horz" wrap="square" lIns="0" tIns="36000" rIns="0" bIns="3600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59C5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48.75pt;height:128.2pt;z-index:-251654144;visibility:visible;mso-wrap-style:square;mso-width-percent:0;mso-height-percent:200;mso-wrap-distance-left:9pt;mso-wrap-distance-top:14.2pt;mso-wrap-distance-right:9pt;mso-wrap-distance-bottom:0;mso-position-horizontal:absolute;mso-position-horizontal-relative:text;mso-position-vertical:bottom;mso-position-vertical-relative:margin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" o:allowincell="f" o:allowoverlap="f" stroked="f">
                <o:lock v:ext="edit" aspectratio="t"/>
                <v:textbox style="mso-fit-shape-to-text:t" inset="0,1mm,0,1mm">
                  <w:txbxContent>
                    <w:p w14:paraId="07B1DC6F" w14:textId="77777777" w:rsidR="007F0034" w:rsidRPr="00C405FD" w:rsidRDefault="007F0034" w:rsidP="007F0034">
                      <w:pPr>
                        <w:pStyle w:val="RSCF01FootnoteAuthorAddress"/>
                      </w:pPr>
                      <w:r>
                        <w:t>Department of Chemistry, University of York, York, YO10 5DD, United Kingdom</w:t>
                      </w:r>
                      <w:r w:rsidRPr="00C405FD">
                        <w:t>.</w:t>
                      </w:r>
                    </w:p>
                    <w:p w14:paraId="4D624924" w14:textId="77777777" w:rsidR="007F0034" w:rsidRPr="00C405FD" w:rsidRDefault="007F0034" w:rsidP="007F0034">
                      <w:pPr>
                        <w:pStyle w:val="RSCF01FootnoteAuthorAddress"/>
                      </w:pPr>
                      <w:r w:rsidRPr="00D37DE1">
                        <w:t>Syngenta Crop Protection AG, Münchwilen, Breitenloh 5, 4333, Switzerland</w:t>
                      </w:r>
                    </w:p>
                    <w:p w14:paraId="4E9CDA78" w14:textId="77777777" w:rsidR="00C405FD" w:rsidRPr="00241ACD" w:rsidRDefault="007F0034" w:rsidP="00241ACD">
                      <w:pPr>
                        <w:pStyle w:val="RSCF02FootnotestoTitleAuthors"/>
                      </w:pPr>
                      <w:r w:rsidRPr="00241ACD">
                        <w:t>Electronic Supplementary Information (ESI) available: [</w:t>
                      </w:r>
                      <w:r>
                        <w:t xml:space="preserve">full </w:t>
                      </w:r>
                      <w:r w:rsidRPr="00241ACD">
                        <w:t xml:space="preserve">details of </w:t>
                      </w:r>
                      <w:r>
                        <w:t>all experimental procedures and compound characterisation)</w:t>
                      </w:r>
                      <w:r w:rsidRPr="00241ACD">
                        <w:t>]. See DOI: 10.1039/x0xx00000x</w:t>
                      </w:r>
                    </w:p>
                  </w:txbxContent>
                </v:textbox>
                <w10:wrap type="topAndBottom" anchory="margin"/>
                <w10:anchorlock/>
              </v:shape>
            </w:pict>
          </mc:Fallback>
        </mc:AlternateContent>
      </w:r>
      <w:r w:rsidR="00F62C8B" w:rsidRPr="00B55955">
        <w:t>Received 00th January 20</w:t>
      </w:r>
      <w:r w:rsidR="00F15F90" w:rsidRPr="00B55955">
        <w:t>xx</w:t>
      </w:r>
      <w:r w:rsidR="00F62C8B" w:rsidRPr="00B55955">
        <w:t>,</w:t>
      </w:r>
    </w:p>
    <w:p w14:paraId="022B7122" w14:textId="77777777" w:rsidR="00F62C8B" w:rsidRPr="00B55955" w:rsidRDefault="00F62C8B" w:rsidP="004C531E">
      <w:pPr>
        <w:pStyle w:val="RSCM01ReceivedAccepted"/>
      </w:pPr>
      <w:r w:rsidRPr="00B55955">
        <w:t>Accepted 00th January 20</w:t>
      </w:r>
      <w:r w:rsidR="00F15F90" w:rsidRPr="00B55955">
        <w:t>xx</w:t>
      </w:r>
    </w:p>
    <w:p w14:paraId="579FC439" w14:textId="77777777" w:rsidR="00F62C8B" w:rsidRPr="00B55955" w:rsidRDefault="00F62C8B" w:rsidP="004C531E">
      <w:pPr>
        <w:pStyle w:val="RSCM02DOI"/>
      </w:pPr>
      <w:r w:rsidRPr="00B55955">
        <w:t>DOI: 10.1039/x0xx00000x</w:t>
      </w:r>
    </w:p>
    <w:p w14:paraId="27379242" w14:textId="77777777" w:rsidR="00A9649E" w:rsidRPr="00B55955" w:rsidRDefault="00A9649E" w:rsidP="004C531E">
      <w:pPr>
        <w:pStyle w:val="RSCM03Website"/>
      </w:pPr>
      <w:r w:rsidRPr="00B55955">
        <w:t>www.rsc.org/</w:t>
      </w:r>
    </w:p>
    <w:p w14:paraId="19F2A666" w14:textId="77777777" w:rsidR="004414A5" w:rsidRPr="00B55955" w:rsidRDefault="00F62C8B" w:rsidP="00C32EDF">
      <w:pPr>
        <w:pStyle w:val="RSCH01PaperTitle"/>
      </w:pPr>
      <w:r w:rsidRPr="00B55955">
        <w:br w:type="column"/>
      </w:r>
      <w:r w:rsidR="00B14189">
        <w:t>Delineating the critical role of acid additives in Mn-catalysed C-H bond functionalisation processes</w:t>
      </w:r>
      <w:r w:rsidR="004414A5" w:rsidRPr="00B55955">
        <w:t xml:space="preserve"> </w:t>
      </w:r>
    </w:p>
    <w:p w14:paraId="0CE66848" w14:textId="77777777" w:rsidR="00670ED4" w:rsidRPr="00B55955" w:rsidRDefault="00B14189" w:rsidP="00F21465">
      <w:pPr>
        <w:pStyle w:val="RSCH02PaperAuthorsandByline"/>
        <w:sectPr w:rsidR="00670ED4" w:rsidRPr="00B55955" w:rsidSect="00514CB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endnotePr>
            <w:numFmt w:val="decimal"/>
          </w:endnotePr>
          <w:pgSz w:w="11907" w:h="16840" w:code="9"/>
          <w:pgMar w:top="1009" w:right="851" w:bottom="1758" w:left="851" w:header="851" w:footer="1049" w:gutter="0"/>
          <w:cols w:num="2" w:space="227" w:equalWidth="0">
            <w:col w:w="1985" w:space="227"/>
            <w:col w:w="7993"/>
          </w:cols>
          <w:titlePg/>
          <w:docGrid w:linePitch="360"/>
        </w:sectPr>
      </w:pPr>
      <w:r w:rsidRPr="00B14189">
        <w:t xml:space="preserve"> </w:t>
      </w:r>
      <w:r w:rsidRPr="00F13D1A">
        <w:t xml:space="preserve">L. Anders </w:t>
      </w:r>
      <w:proofErr w:type="spellStart"/>
      <w:r w:rsidRPr="00F13D1A">
        <w:t>Hammarback,</w:t>
      </w:r>
      <w:r w:rsidRPr="00F13D1A">
        <w:rPr>
          <w:vertAlign w:val="superscript"/>
        </w:rPr>
        <w:t>a</w:t>
      </w:r>
      <w:proofErr w:type="spellEnd"/>
      <w:r w:rsidRPr="00F13D1A">
        <w:t xml:space="preserve"> Alan </w:t>
      </w:r>
      <w:proofErr w:type="spellStart"/>
      <w:r w:rsidRPr="00F13D1A">
        <w:t>Robinson</w:t>
      </w:r>
      <w:r>
        <w:t>,</w:t>
      </w:r>
      <w:r w:rsidRPr="00F13D1A">
        <w:rPr>
          <w:vertAlign w:val="superscript"/>
        </w:rPr>
        <w:t>b</w:t>
      </w:r>
      <w:proofErr w:type="spellEnd"/>
      <w:r>
        <w:t xml:space="preserve"> Jason M. </w:t>
      </w:r>
      <w:proofErr w:type="spellStart"/>
      <w:r>
        <w:t>Lynam,</w:t>
      </w:r>
      <w:r w:rsidRPr="00F13D1A">
        <w:rPr>
          <w:vertAlign w:val="superscript"/>
        </w:rPr>
        <w:t>a</w:t>
      </w:r>
      <w:proofErr w:type="spellEnd"/>
      <w:r w:rsidRPr="00F13D1A">
        <w:t>* and Ian J. S. Fairlamb</w:t>
      </w:r>
      <w:r w:rsidRPr="00F13D1A">
        <w:rPr>
          <w:vertAlign w:val="superscript"/>
        </w:rPr>
        <w:t>a</w:t>
      </w:r>
      <w:r>
        <w:t>*</w:t>
      </w:r>
      <w:r w:rsidR="0025490A" w:rsidRPr="00B55955">
        <w:t xml:space="preserve"> </w:t>
      </w:r>
    </w:p>
    <w:p w14:paraId="7E3B41BB" w14:textId="6423866B" w:rsidR="00180ABE" w:rsidRPr="00B55955" w:rsidRDefault="00790696" w:rsidP="0025490A">
      <w:pPr>
        <w:pStyle w:val="RSCB01COMAbstract"/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</w:pPr>
      <w:r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A</w:t>
      </w:r>
      <w:r>
        <w:t xml:space="preserve">ddition of co-catalytic </w:t>
      </w:r>
      <w:r w:rsidR="00300B32">
        <w:t>Cy</w:t>
      </w:r>
      <w:r w:rsidRPr="0002444F">
        <w:rPr>
          <w:vertAlign w:val="subscript"/>
        </w:rPr>
        <w:t>2</w:t>
      </w:r>
      <w:r>
        <w:t xml:space="preserve">NH to Mn-catalysed C-H bond activation reactions suggests that the conjugate acid, </w:t>
      </w:r>
      <w:r w:rsidR="00300B32">
        <w:t>Cy</w:t>
      </w:r>
      <w:r w:rsidRPr="0002444F">
        <w:rPr>
          <w:vertAlign w:val="subscript"/>
        </w:rPr>
        <w:t>2</w:t>
      </w:r>
      <w:r>
        <w:t>NH</w:t>
      </w:r>
      <w:r w:rsidRPr="0002444F">
        <w:rPr>
          <w:vertAlign w:val="subscript"/>
        </w:rPr>
        <w:t>2</w:t>
      </w:r>
      <w:r>
        <w:t xml:space="preserve">X, influences catalysis. Here, acids are shown to positively influence C-H bond alkenylation catalysis involving alkynes. For </w:t>
      </w:r>
      <w:r w:rsidR="006132F8">
        <w:t xml:space="preserve">certain types of </w:t>
      </w:r>
      <w:r>
        <w:t>alkynes an acid additive is critical to catalysis. In stark contrast, acids retard catalysis involving acrylates. [Cy</w:t>
      </w:r>
      <w:r w:rsidRPr="004021B5">
        <w:rPr>
          <w:vertAlign w:val="subscript"/>
        </w:rPr>
        <w:t>2</w:t>
      </w:r>
      <w:r>
        <w:t>NH</w:t>
      </w:r>
      <w:r w:rsidRPr="004021B5">
        <w:rPr>
          <w:vertAlign w:val="subscript"/>
        </w:rPr>
        <w:t>2</w:t>
      </w:r>
      <w:r w:rsidRPr="00BE3089">
        <w:t>]</w:t>
      </w:r>
      <w:r>
        <w:t>X salts also play a key role in thwarting catalyst degradation to manganese clusters. Our findings enable unreactive substrates to be alkenylated.</w:t>
      </w:r>
    </w:p>
    <w:p w14:paraId="4255B040" w14:textId="097507DB" w:rsidR="00B14189" w:rsidRDefault="00B14189" w:rsidP="00B14189">
      <w:pPr>
        <w:pStyle w:val="RSCB02ArticleText"/>
      </w:pPr>
      <w:r>
        <w:t xml:space="preserve">The </w:t>
      </w:r>
      <w:r w:rsidR="00D32CC2">
        <w:t>E</w:t>
      </w:r>
      <w:r>
        <w:t>arth abundant element, m</w:t>
      </w:r>
      <w:r w:rsidRPr="006060D0">
        <w:t>anganese</w:t>
      </w:r>
      <w:r>
        <w:t>,</w:t>
      </w:r>
      <w:r w:rsidRPr="006060D0">
        <w:t xml:space="preserve"> </w:t>
      </w:r>
      <w:r>
        <w:t xml:space="preserve">holds </w:t>
      </w:r>
      <w:r w:rsidR="008F79F2">
        <w:t xml:space="preserve">much </w:t>
      </w:r>
      <w:r>
        <w:t xml:space="preserve">promise in </w:t>
      </w:r>
      <w:r w:rsidR="005F4C51">
        <w:t xml:space="preserve">catalysis and </w:t>
      </w:r>
      <w:r w:rsidRPr="006060D0">
        <w:t>applied chemical synthesis</w:t>
      </w:r>
      <w:r w:rsidR="008F79F2">
        <w:t>, as demonstrated by an eclectic array of recently discovered reactions</w:t>
      </w:r>
      <w:r w:rsidRPr="006060D0">
        <w:t>.</w:t>
      </w:r>
      <w:r w:rsidR="005238F3" w:rsidRPr="005238F3">
        <w:rPr>
          <w:vertAlign w:val="superscript"/>
        </w:rPr>
        <w:t>1</w:t>
      </w:r>
      <w:r>
        <w:t xml:space="preserve"> Underpinning this rise</w:t>
      </w:r>
      <w:r w:rsidR="005F4C51">
        <w:t xml:space="preserve"> to fame is a rich 40-year history</w:t>
      </w:r>
      <w:r w:rsidR="005238F3" w:rsidRPr="005238F3">
        <w:rPr>
          <w:vertAlign w:val="superscript"/>
        </w:rPr>
        <w:t>2</w:t>
      </w:r>
      <w:r w:rsidR="005F4C51">
        <w:t xml:space="preserve"> of s</w:t>
      </w:r>
      <w:r>
        <w:t>toichiometric organomanganese chemistry</w:t>
      </w:r>
      <w:r w:rsidRPr="006060D0">
        <w:t xml:space="preserve">, </w:t>
      </w:r>
      <w:r>
        <w:t>particularly</w:t>
      </w:r>
      <w:r w:rsidRPr="006060D0">
        <w:t xml:space="preserve"> cyclomanganation and </w:t>
      </w:r>
      <w:r>
        <w:t xml:space="preserve">subsequent </w:t>
      </w:r>
      <w:r w:rsidR="001F7931">
        <w:t xml:space="preserve">reactions </w:t>
      </w:r>
      <w:r>
        <w:t xml:space="preserve">of </w:t>
      </w:r>
      <w:r w:rsidRPr="006060D0">
        <w:t xml:space="preserve">manganacycles.  </w:t>
      </w:r>
      <w:r w:rsidR="005F4C51">
        <w:t xml:space="preserve">Catalytic </w:t>
      </w:r>
      <w:r>
        <w:t xml:space="preserve">C-H bond activation and functionalisation </w:t>
      </w:r>
      <w:r w:rsidRPr="006060D0">
        <w:t xml:space="preserve">has </w:t>
      </w:r>
      <w:r w:rsidR="005F4C51">
        <w:t xml:space="preserve">grown from this base </w:t>
      </w:r>
      <w:r>
        <w:t xml:space="preserve">over the past 5 years, </w:t>
      </w:r>
      <w:r w:rsidR="005F4C51">
        <w:t xml:space="preserve">primarily </w:t>
      </w:r>
      <w:r>
        <w:t xml:space="preserve">inspired by </w:t>
      </w:r>
      <w:r w:rsidRPr="006060D0">
        <w:t>Chen and Wang’s</w:t>
      </w:r>
      <w:bookmarkStart w:id="0" w:name="_Ref532895374"/>
      <w:r w:rsidR="005238F3" w:rsidRPr="005238F3">
        <w:rPr>
          <w:vertAlign w:val="superscript"/>
        </w:rPr>
        <w:t>3</w:t>
      </w:r>
      <w:bookmarkEnd w:id="0"/>
      <w:r w:rsidRPr="006060D0">
        <w:t xml:space="preserve"> </w:t>
      </w:r>
      <w:r>
        <w:t xml:space="preserve">work reported </w:t>
      </w:r>
      <w:r w:rsidRPr="006060D0">
        <w:t>in 2013</w:t>
      </w:r>
      <w:r w:rsidR="005F4C51">
        <w:t>, for which many important contributions have followed.</w:t>
      </w:r>
      <w:r w:rsidR="005238F3" w:rsidRPr="005238F3">
        <w:rPr>
          <w:vertAlign w:val="superscript"/>
        </w:rPr>
        <w:t>4</w:t>
      </w:r>
      <w:r w:rsidR="005F4C51">
        <w:t xml:space="preserve"> </w:t>
      </w:r>
      <w:r w:rsidRPr="006060D0">
        <w:t>Mn</w:t>
      </w:r>
      <w:r w:rsidRPr="006060D0">
        <w:rPr>
          <w:vertAlign w:val="superscript"/>
        </w:rPr>
        <w:t>I</w:t>
      </w:r>
      <w:r w:rsidRPr="006060D0">
        <w:t>-cataly</w:t>
      </w:r>
      <w:r>
        <w:t>s</w:t>
      </w:r>
      <w:r w:rsidRPr="006060D0">
        <w:t xml:space="preserve">ed </w:t>
      </w:r>
      <w:r w:rsidR="005F4C51">
        <w:t>‘r</w:t>
      </w:r>
      <w:r w:rsidR="005F4C51" w:rsidRPr="006060D0">
        <w:t>edox neutral</w:t>
      </w:r>
      <w:r w:rsidR="005F4C51">
        <w:t>’</w:t>
      </w:r>
      <w:r w:rsidR="005F4C51" w:rsidRPr="006060D0">
        <w:t xml:space="preserve"> </w:t>
      </w:r>
      <w:r w:rsidR="005F4C51">
        <w:t>C-H bond functionalis</w:t>
      </w:r>
      <w:r w:rsidRPr="006060D0">
        <w:t xml:space="preserve">ation </w:t>
      </w:r>
      <w:r w:rsidR="002E06E3">
        <w:t>of, for example 2-phenylpyridine (</w:t>
      </w:r>
      <w:r w:rsidR="002E06E3">
        <w:rPr>
          <w:b/>
        </w:rPr>
        <w:t>1</w:t>
      </w:r>
      <w:r w:rsidR="002E06E3">
        <w:t>)</w:t>
      </w:r>
      <w:r w:rsidRPr="006060D0">
        <w:t>,</w:t>
      </w:r>
      <w:r w:rsidR="002E06E3">
        <w:t xml:space="preserve"> by BrMn(CO)</w:t>
      </w:r>
      <w:r w:rsidR="002E06E3" w:rsidRPr="002E06E3">
        <w:rPr>
          <w:vertAlign w:val="subscript"/>
        </w:rPr>
        <w:t>5</w:t>
      </w:r>
      <w:r w:rsidRPr="006060D0">
        <w:t xml:space="preserve"> </w:t>
      </w:r>
      <w:r w:rsidR="002E06E3">
        <w:t>(</w:t>
      </w:r>
      <w:r w:rsidR="002E06E3">
        <w:rPr>
          <w:b/>
        </w:rPr>
        <w:t>2</w:t>
      </w:r>
      <w:r w:rsidR="002E06E3" w:rsidRPr="002E06E3">
        <w:t>),</w:t>
      </w:r>
      <w:r w:rsidR="002E06E3">
        <w:rPr>
          <w:b/>
        </w:rPr>
        <w:t xml:space="preserve"> </w:t>
      </w:r>
      <w:r>
        <w:t xml:space="preserve">invoke </w:t>
      </w:r>
      <w:r w:rsidR="007922F1">
        <w:t>Mn(</w:t>
      </w:r>
      <w:proofErr w:type="spellStart"/>
      <w:r w:rsidR="007922F1">
        <w:t>ppy</w:t>
      </w:r>
      <w:proofErr w:type="spellEnd"/>
      <w:r w:rsidR="007922F1">
        <w:t>)(CO)</w:t>
      </w:r>
      <w:r w:rsidR="007922F1" w:rsidRPr="001E505F">
        <w:rPr>
          <w:vertAlign w:val="subscript"/>
        </w:rPr>
        <w:t>4</w:t>
      </w:r>
      <w:r w:rsidR="007922F1">
        <w:t xml:space="preserve"> (</w:t>
      </w:r>
      <w:r w:rsidR="007922F1" w:rsidRPr="001E505F">
        <w:rPr>
          <w:b/>
        </w:rPr>
        <w:t>3</w:t>
      </w:r>
      <w:r w:rsidR="007922F1">
        <w:t xml:space="preserve">, </w:t>
      </w:r>
      <w:proofErr w:type="spellStart"/>
      <w:r w:rsidR="007922F1">
        <w:t>ppy</w:t>
      </w:r>
      <w:proofErr w:type="spellEnd"/>
      <w:r w:rsidR="007922F1">
        <w:t xml:space="preserve"> = 2-phenylpyridyl) </w:t>
      </w:r>
      <w:r>
        <w:t>formation</w:t>
      </w:r>
      <w:r w:rsidR="002E06E3">
        <w:t>.</w:t>
      </w:r>
      <w:r>
        <w:t xml:space="preserve"> </w:t>
      </w:r>
      <w:r w:rsidR="002E06E3">
        <w:t xml:space="preserve">Reaction with an </w:t>
      </w:r>
      <w:r w:rsidRPr="006060D0">
        <w:t xml:space="preserve">unsaturated </w:t>
      </w:r>
      <w:r>
        <w:t xml:space="preserve">‘acceptor’ </w:t>
      </w:r>
      <w:r w:rsidR="005F4C51">
        <w:t>substrate</w:t>
      </w:r>
      <w:r w:rsidR="002E06E3">
        <w:t xml:space="preserve"> (</w:t>
      </w:r>
      <w:r w:rsidR="002E06E3">
        <w:rPr>
          <w:b/>
        </w:rPr>
        <w:t>4</w:t>
      </w:r>
      <w:r w:rsidR="002E06E3">
        <w:t>)</w:t>
      </w:r>
      <w:r>
        <w:t xml:space="preserve">, for example, </w:t>
      </w:r>
      <w:r w:rsidRPr="006060D0">
        <w:t>alkenes, alkynes, carbonyls, isocyanates</w:t>
      </w:r>
      <w:r>
        <w:t xml:space="preserve"> and </w:t>
      </w:r>
      <w:r w:rsidRPr="006060D0">
        <w:t>cyanide</w:t>
      </w:r>
      <w:r>
        <w:t>s,</w:t>
      </w:r>
      <w:r w:rsidRPr="006060D0">
        <w:t xml:space="preserve"> have been </w:t>
      </w:r>
      <w:r w:rsidR="005F4C51">
        <w:t xml:space="preserve">widely </w:t>
      </w:r>
      <w:r w:rsidR="00326B98">
        <w:t>reported (Scheme 1</w:t>
      </w:r>
      <w:r w:rsidRPr="006060D0">
        <w:t>).</w:t>
      </w:r>
      <w:r w:rsidR="005238F3" w:rsidRPr="005238F3">
        <w:rPr>
          <w:vertAlign w:val="superscript"/>
        </w:rPr>
        <w:t>5</w:t>
      </w:r>
      <w:r w:rsidR="005F4C51">
        <w:t xml:space="preserve"> Indeed, the synthetic methodologies developed far exceed </w:t>
      </w:r>
      <w:r w:rsidR="007922F1">
        <w:t xml:space="preserve">detailed </w:t>
      </w:r>
      <w:r w:rsidR="005F4C51">
        <w:t xml:space="preserve">mechanistic </w:t>
      </w:r>
      <w:r w:rsidR="001F7931">
        <w:t>studies</w:t>
      </w:r>
      <w:r w:rsidR="007922F1">
        <w:t>,</w:t>
      </w:r>
      <w:r w:rsidR="005F4C51">
        <w:t xml:space="preserve"> which </w:t>
      </w:r>
      <w:r w:rsidR="007922F1">
        <w:t xml:space="preserve">have arguably </w:t>
      </w:r>
      <w:r w:rsidR="005F4C51">
        <w:t xml:space="preserve">lagged </w:t>
      </w:r>
      <w:r w:rsidR="007922F1">
        <w:t xml:space="preserve">behind. However, </w:t>
      </w:r>
      <w:r w:rsidR="005F4C51">
        <w:t xml:space="preserve">recent </w:t>
      </w:r>
      <w:r w:rsidR="001F7931">
        <w:t>mechanistic work</w:t>
      </w:r>
      <w:bookmarkStart w:id="1" w:name="_Ref532895233"/>
      <w:r w:rsidR="005238F3" w:rsidRPr="005238F3">
        <w:rPr>
          <w:vertAlign w:val="superscript"/>
        </w:rPr>
        <w:t>6</w:t>
      </w:r>
      <w:bookmarkEnd w:id="1"/>
      <w:r w:rsidR="00D27D1A" w:rsidRPr="00D27D1A">
        <w:rPr>
          <w:vertAlign w:val="superscript"/>
        </w:rPr>
        <w:t>,</w:t>
      </w:r>
      <w:bookmarkStart w:id="2" w:name="_Ref534721225"/>
      <w:r w:rsidR="005238F3">
        <w:rPr>
          <w:vertAlign w:val="superscript"/>
        </w:rPr>
        <w:t>7</w:t>
      </w:r>
      <w:bookmarkEnd w:id="2"/>
      <w:r w:rsidR="005F4C51">
        <w:t xml:space="preserve"> </w:t>
      </w:r>
      <w:r w:rsidR="001F7931">
        <w:t xml:space="preserve">has </w:t>
      </w:r>
      <w:r w:rsidR="005F4C51">
        <w:t xml:space="preserve">shed light on the importance of CO liberation (from </w:t>
      </w:r>
      <w:r w:rsidR="007922F1">
        <w:rPr>
          <w:b/>
        </w:rPr>
        <w:t>3</w:t>
      </w:r>
      <w:r w:rsidR="005F4C51">
        <w:t>), acceptor substrate (</w:t>
      </w:r>
      <w:r w:rsidR="007922F1">
        <w:rPr>
          <w:b/>
        </w:rPr>
        <w:t>4</w:t>
      </w:r>
      <w:r w:rsidR="005F4C51">
        <w:t xml:space="preserve">) coordination (to give </w:t>
      </w:r>
      <w:r w:rsidR="007922F1">
        <w:t xml:space="preserve">transient intermediate </w:t>
      </w:r>
      <w:r w:rsidR="007922F1">
        <w:rPr>
          <w:b/>
        </w:rPr>
        <w:t>I</w:t>
      </w:r>
      <w:r w:rsidR="005F4C51">
        <w:t>)</w:t>
      </w:r>
      <w:r w:rsidR="005F4C51">
        <w:rPr>
          <w:b/>
        </w:rPr>
        <w:t xml:space="preserve"> </w:t>
      </w:r>
      <w:r w:rsidR="00D32CC2" w:rsidRPr="00BD6C7E">
        <w:t xml:space="preserve">and </w:t>
      </w:r>
      <w:r w:rsidR="005F4C51" w:rsidRPr="00BD6C7E">
        <w:t>migratory</w:t>
      </w:r>
      <w:r w:rsidR="005F4C51">
        <w:t xml:space="preserve"> insertion leading to formation of 7-membered manganacycle (</w:t>
      </w:r>
      <w:r w:rsidR="007922F1">
        <w:rPr>
          <w:b/>
        </w:rPr>
        <w:t>II</w:t>
      </w:r>
      <w:r w:rsidR="005F4C51">
        <w:t>)</w:t>
      </w:r>
      <w:r w:rsidR="007922F1">
        <w:t xml:space="preserve">, </w:t>
      </w:r>
      <w:r w:rsidR="001F7931">
        <w:t xml:space="preserve">that </w:t>
      </w:r>
      <w:r w:rsidR="007922F1">
        <w:t xml:space="preserve">can be characterised but </w:t>
      </w:r>
      <w:r w:rsidR="001F7931">
        <w:t xml:space="preserve">only have a </w:t>
      </w:r>
      <w:r w:rsidR="007922F1">
        <w:t xml:space="preserve">short </w:t>
      </w:r>
      <w:r w:rsidR="001F7931">
        <w:t xml:space="preserve">relative </w:t>
      </w:r>
      <w:r w:rsidR="007922F1">
        <w:t>lifetime</w:t>
      </w:r>
      <w:r w:rsidR="00032E9C">
        <w:t>.</w:t>
      </w:r>
      <w:r w:rsidR="005238F3" w:rsidRPr="005238F3">
        <w:rPr>
          <w:vertAlign w:val="superscript"/>
        </w:rPr>
        <w:t>6</w:t>
      </w:r>
      <w:r w:rsidR="00032E9C">
        <w:t xml:space="preserve">  </w:t>
      </w:r>
      <w:r w:rsidR="007922F1">
        <w:t>Very little is known about t</w:t>
      </w:r>
      <w:r w:rsidR="005F4C51">
        <w:t>he last step</w:t>
      </w:r>
      <w:r w:rsidR="001F7931">
        <w:t xml:space="preserve"> in the general </w:t>
      </w:r>
      <w:r w:rsidR="001F7931">
        <w:t xml:space="preserve">catalytic scheme, namely </w:t>
      </w:r>
      <w:r w:rsidR="005F4C51">
        <w:t xml:space="preserve">protonation of </w:t>
      </w:r>
      <w:r w:rsidR="007922F1">
        <w:rPr>
          <w:b/>
        </w:rPr>
        <w:t>II</w:t>
      </w:r>
      <w:r w:rsidR="00032E9C">
        <w:t xml:space="preserve"> by substrate </w:t>
      </w:r>
      <w:r w:rsidR="00032E9C">
        <w:rPr>
          <w:b/>
        </w:rPr>
        <w:t xml:space="preserve">1 </w:t>
      </w:r>
      <w:r w:rsidR="00032E9C">
        <w:t xml:space="preserve">(the </w:t>
      </w:r>
      <w:r w:rsidR="007922F1">
        <w:t>‘</w:t>
      </w:r>
      <w:r w:rsidR="00032E9C">
        <w:t>acid</w:t>
      </w:r>
      <w:r w:rsidR="007922F1">
        <w:t>’</w:t>
      </w:r>
      <w:r w:rsidR="00032E9C">
        <w:t xml:space="preserve">), to bring </w:t>
      </w:r>
      <w:r w:rsidR="007922F1">
        <w:t xml:space="preserve">about </w:t>
      </w:r>
      <w:r w:rsidR="00032E9C">
        <w:t xml:space="preserve">liberation of product </w:t>
      </w:r>
      <w:r w:rsidR="007922F1">
        <w:rPr>
          <w:b/>
        </w:rPr>
        <w:t>5</w:t>
      </w:r>
      <w:r w:rsidR="00032E9C">
        <w:t xml:space="preserve">. </w:t>
      </w:r>
    </w:p>
    <w:p w14:paraId="6C5750E7" w14:textId="77777777" w:rsidR="001F7931" w:rsidRPr="00032E9C" w:rsidRDefault="001F7931" w:rsidP="00B14189">
      <w:pPr>
        <w:pStyle w:val="RSCB02ArticleText"/>
      </w:pPr>
    </w:p>
    <w:p w14:paraId="6CC79CF6" w14:textId="4E6A83E3" w:rsidR="00B14189" w:rsidRPr="00BF57CE" w:rsidRDefault="00B029B9" w:rsidP="00BF57CE">
      <w:pPr>
        <w:pStyle w:val="RSCI05CaptiontoFigureSchemeChartwithbottombar"/>
      </w:pPr>
      <w:r>
        <w:rPr>
          <w:noProof/>
        </w:rPr>
        <w:drawing>
          <wp:inline distT="0" distB="0" distL="0" distR="0" wp14:anchorId="67528C9B" wp14:editId="1F6DE530">
            <wp:extent cx="3168015" cy="1720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heme 1.em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D6AB3" w14:textId="77777777" w:rsidR="00B14189" w:rsidRPr="00BF57CE" w:rsidRDefault="00BF57CE" w:rsidP="00BF57CE">
      <w:pPr>
        <w:pStyle w:val="RSCI05CaptiontoFigureSchemeChartwithbottombar"/>
      </w:pPr>
      <w:r w:rsidRPr="00BF57CE">
        <w:rPr>
          <w:b/>
        </w:rPr>
        <w:t>Scheme 1</w:t>
      </w:r>
      <w:r>
        <w:t xml:space="preserve"> Mechanistic picture for Mn</w:t>
      </w:r>
      <w:r>
        <w:rPr>
          <w:vertAlign w:val="superscript"/>
        </w:rPr>
        <w:t>I</w:t>
      </w:r>
      <w:r>
        <w:t>-catalysed C-H bond activation and functionalisation, using a redox-neutral process.</w:t>
      </w:r>
    </w:p>
    <w:p w14:paraId="09532D12" w14:textId="5ED5E2F5" w:rsidR="00326B98" w:rsidRDefault="002E06E3" w:rsidP="00B14189">
      <w:pPr>
        <w:pStyle w:val="RSCB02ArticleText"/>
      </w:pPr>
      <w:r>
        <w:t xml:space="preserve">The mechanistic picture detailed in Scheme 1 is not complete, as </w:t>
      </w:r>
      <w:r w:rsidR="008F79F2">
        <w:t xml:space="preserve">several </w:t>
      </w:r>
      <w:r>
        <w:t xml:space="preserve">reaction components can play the role of </w:t>
      </w:r>
      <w:r w:rsidR="007922F1">
        <w:t xml:space="preserve">the </w:t>
      </w:r>
      <w:r>
        <w:t>acid,</w:t>
      </w:r>
      <w:bookmarkStart w:id="3" w:name="_Ref534721306"/>
      <w:r w:rsidR="005238F3" w:rsidRPr="005238F3">
        <w:rPr>
          <w:vertAlign w:val="superscript"/>
        </w:rPr>
        <w:t>8</w:t>
      </w:r>
      <w:bookmarkEnd w:id="3"/>
      <w:r w:rsidR="00775E18">
        <w:t xml:space="preserve"> </w:t>
      </w:r>
      <w:r>
        <w:t xml:space="preserve">from </w:t>
      </w:r>
      <w:r w:rsidR="008F79F2">
        <w:t xml:space="preserve">the donor C-H substrate, </w:t>
      </w:r>
      <w:r>
        <w:t xml:space="preserve">acceptor substrate, </w:t>
      </w:r>
      <w:r w:rsidR="00936E40">
        <w:t>H</w:t>
      </w:r>
      <w:r w:rsidR="00936E40" w:rsidRPr="00936E40">
        <w:rPr>
          <w:vertAlign w:val="subscript"/>
        </w:rPr>
        <w:t>2</w:t>
      </w:r>
      <w:r w:rsidR="00936E40">
        <w:t xml:space="preserve">O </w:t>
      </w:r>
      <w:r w:rsidR="008F79F2">
        <w:t xml:space="preserve">and </w:t>
      </w:r>
      <w:r>
        <w:t xml:space="preserve">the conjugate acid of </w:t>
      </w:r>
      <w:r w:rsidR="008F79F2">
        <w:t>the</w:t>
      </w:r>
      <w:r>
        <w:t xml:space="preserve"> co-catalytic base, Cy</w:t>
      </w:r>
      <w:r>
        <w:rPr>
          <w:vertAlign w:val="subscript"/>
        </w:rPr>
        <w:t>2</w:t>
      </w:r>
      <w:r>
        <w:t>NH, typically needed for catalysis.</w:t>
      </w:r>
    </w:p>
    <w:p w14:paraId="6892BDAB" w14:textId="350F083C" w:rsidR="00775E18" w:rsidRPr="00001C1D" w:rsidRDefault="00775E18" w:rsidP="00B14189">
      <w:pPr>
        <w:pStyle w:val="RSCB02ArticleText"/>
      </w:pPr>
      <w:r>
        <w:tab/>
        <w:t>In some reported methodologies, stronger carboxylic acid additives are required for productive catalysis</w:t>
      </w:r>
      <w:r w:rsidR="005238F3">
        <w:t>,</w:t>
      </w:r>
      <w:r w:rsidR="005238F3" w:rsidRPr="005238F3">
        <w:rPr>
          <w:vertAlign w:val="superscript"/>
        </w:rPr>
        <w:t>9</w:t>
      </w:r>
      <w:r>
        <w:t xml:space="preserve"> or to increase the rate of protonation to avoid alternative reaction pathways.</w:t>
      </w:r>
      <w:r w:rsidR="00987962">
        <w:rPr>
          <w:vertAlign w:val="superscript"/>
        </w:rPr>
        <w:t>7</w:t>
      </w:r>
      <w:r w:rsidR="00001C1D">
        <w:rPr>
          <w:vertAlign w:val="superscript"/>
        </w:rPr>
        <w:t>,</w:t>
      </w:r>
      <w:r w:rsidR="00987962">
        <w:rPr>
          <w:vertAlign w:val="superscript"/>
        </w:rPr>
        <w:t>10</w:t>
      </w:r>
      <w:r>
        <w:t xml:space="preserve"> </w:t>
      </w:r>
      <w:r w:rsidR="00001C1D">
        <w:t>It can also be envisaged that</w:t>
      </w:r>
      <w:r w:rsidR="00D32CC2">
        <w:t xml:space="preserve"> the</w:t>
      </w:r>
      <w:r w:rsidR="00001C1D">
        <w:t xml:space="preserve"> conjugate acids </w:t>
      </w:r>
      <w:r w:rsidR="00D32CC2">
        <w:t xml:space="preserve">of </w:t>
      </w:r>
      <w:r w:rsidR="00300B32">
        <w:t xml:space="preserve">metal </w:t>
      </w:r>
      <w:r w:rsidR="00001C1D">
        <w:t>acetate type bases will have a similar effect in most reactions</w:t>
      </w:r>
      <w:r w:rsidR="00CE25DE">
        <w:t>, when employed</w:t>
      </w:r>
      <w:r w:rsidR="00001C1D">
        <w:t xml:space="preserve">. </w:t>
      </w:r>
      <w:r w:rsidR="00895533">
        <w:t>T</w:t>
      </w:r>
      <w:r w:rsidR="0046793E">
        <w:t xml:space="preserve">he reason behind </w:t>
      </w:r>
      <w:r w:rsidR="00001C1D">
        <w:t xml:space="preserve">the effects of </w:t>
      </w:r>
      <w:r w:rsidR="00895533">
        <w:t xml:space="preserve">conjugate acids </w:t>
      </w:r>
      <w:r w:rsidR="00001C1D">
        <w:t xml:space="preserve">and </w:t>
      </w:r>
      <w:r w:rsidR="00895533">
        <w:t xml:space="preserve">acid additives </w:t>
      </w:r>
      <w:r w:rsidR="00001C1D">
        <w:t>in Mn</w:t>
      </w:r>
      <w:r w:rsidR="00001C1D">
        <w:rPr>
          <w:vertAlign w:val="superscript"/>
        </w:rPr>
        <w:t>I</w:t>
      </w:r>
      <w:r w:rsidR="00001C1D">
        <w:t>-catalysed reaction have not been studied in detail</w:t>
      </w:r>
      <w:r w:rsidR="00300B32">
        <w:t xml:space="preserve">, particularly </w:t>
      </w:r>
      <w:r w:rsidR="00001C1D">
        <w:t>in improv</w:t>
      </w:r>
      <w:r w:rsidR="00300B32">
        <w:t>ing</w:t>
      </w:r>
      <w:r w:rsidR="00001C1D">
        <w:t xml:space="preserve"> current </w:t>
      </w:r>
      <w:r w:rsidR="00300B32">
        <w:t xml:space="preserve">promising synthetic </w:t>
      </w:r>
      <w:r w:rsidR="00001C1D">
        <w:t xml:space="preserve">methodologies. </w:t>
      </w:r>
    </w:p>
    <w:p w14:paraId="05171AC7" w14:textId="7A728121" w:rsidR="00B14189" w:rsidRDefault="00300B32" w:rsidP="00B14189">
      <w:pPr>
        <w:pStyle w:val="RSCB02ArticleText"/>
      </w:pPr>
      <w:r>
        <w:tab/>
      </w:r>
      <w:r w:rsidR="00B14189">
        <w:t>To investigate the effect of additives in Mn</w:t>
      </w:r>
      <w:r w:rsidR="00B14189" w:rsidRPr="001E505F">
        <w:rPr>
          <w:vertAlign w:val="superscript"/>
        </w:rPr>
        <w:t>I</w:t>
      </w:r>
      <w:r w:rsidR="00326B98">
        <w:t>-catalyzed C–H functionalis</w:t>
      </w:r>
      <w:r w:rsidR="00B14189">
        <w:t>ation reactions, Mn(</w:t>
      </w:r>
      <w:proofErr w:type="spellStart"/>
      <w:r w:rsidR="00B14189">
        <w:t>ppy</w:t>
      </w:r>
      <w:proofErr w:type="spellEnd"/>
      <w:r w:rsidR="00B14189">
        <w:t>)(CO)</w:t>
      </w:r>
      <w:r w:rsidR="00B14189" w:rsidRPr="001E505F">
        <w:rPr>
          <w:vertAlign w:val="subscript"/>
        </w:rPr>
        <w:t>4</w:t>
      </w:r>
      <w:r w:rsidR="00B14189">
        <w:t xml:space="preserve"> (</w:t>
      </w:r>
      <w:r w:rsidR="00B14189" w:rsidRPr="001E505F">
        <w:rPr>
          <w:b/>
        </w:rPr>
        <w:t>3</w:t>
      </w:r>
      <w:r w:rsidR="007922F1">
        <w:t>)</w:t>
      </w:r>
      <w:r w:rsidR="00B14189">
        <w:t xml:space="preserve"> was initially chosen </w:t>
      </w:r>
      <w:r w:rsidR="00D32CC2">
        <w:t xml:space="preserve">as </w:t>
      </w:r>
      <w:r w:rsidR="007922F1">
        <w:t>the entry point to probe subsequent steps</w:t>
      </w:r>
      <w:r w:rsidR="00B14189">
        <w:t xml:space="preserve">, </w:t>
      </w:r>
      <w:r w:rsidR="007922F1">
        <w:t xml:space="preserve">as </w:t>
      </w:r>
      <w:r w:rsidR="00B14189">
        <w:t xml:space="preserve">no base additive nor ‘Mn activation’ </w:t>
      </w:r>
      <w:r w:rsidR="007922F1">
        <w:t xml:space="preserve">is </w:t>
      </w:r>
      <w:r w:rsidR="00B14189">
        <w:t xml:space="preserve">required. We have </w:t>
      </w:r>
      <w:r w:rsidR="007922F1">
        <w:t xml:space="preserve">confirmed </w:t>
      </w:r>
      <w:r w:rsidR="00B14189">
        <w:t xml:space="preserve">that </w:t>
      </w:r>
      <w:r w:rsidR="00B14189" w:rsidRPr="001E505F">
        <w:rPr>
          <w:b/>
        </w:rPr>
        <w:t>3</w:t>
      </w:r>
      <w:r w:rsidR="00B14189">
        <w:t xml:space="preserve"> is a validated intermediate in the activation pathway for internal alkynes</w:t>
      </w:r>
      <w:r w:rsidR="007922F1">
        <w:t>,</w:t>
      </w:r>
      <w:r w:rsidR="009654D6" w:rsidRPr="009654D6">
        <w:rPr>
          <w:vertAlign w:val="superscript"/>
        </w:rPr>
        <w:t>8</w:t>
      </w:r>
      <w:r w:rsidR="009654D6">
        <w:t xml:space="preserve"> </w:t>
      </w:r>
      <w:r w:rsidR="00B14189">
        <w:t xml:space="preserve">and </w:t>
      </w:r>
      <w:r w:rsidR="007922F1">
        <w:t xml:space="preserve">a feasible </w:t>
      </w:r>
      <w:r w:rsidR="00B14189">
        <w:t xml:space="preserve">entry point into the catalytic </w:t>
      </w:r>
      <w:r w:rsidR="00B14189">
        <w:lastRenderedPageBreak/>
        <w:t xml:space="preserve">cycle for terminal alkynes. The reactions of 2-phenylpyridine </w:t>
      </w:r>
      <w:r w:rsidR="00B14189">
        <w:rPr>
          <w:b/>
        </w:rPr>
        <w:t xml:space="preserve">1 </w:t>
      </w:r>
      <w:r w:rsidR="00B14189" w:rsidRPr="00B7792F">
        <w:t>with</w:t>
      </w:r>
      <w:r w:rsidR="00B14189">
        <w:rPr>
          <w:b/>
        </w:rPr>
        <w:t xml:space="preserve"> </w:t>
      </w:r>
      <w:r w:rsidR="00F80BFD" w:rsidRPr="00F80BFD">
        <w:t>unsaturated</w:t>
      </w:r>
      <w:r w:rsidR="00F80BFD">
        <w:rPr>
          <w:b/>
        </w:rPr>
        <w:t xml:space="preserve"> </w:t>
      </w:r>
      <w:r w:rsidR="003B37C4">
        <w:t xml:space="preserve">acceptor </w:t>
      </w:r>
      <w:bookmarkStart w:id="4" w:name="_GoBack"/>
      <w:bookmarkEnd w:id="4"/>
      <w:r w:rsidR="003B37C4">
        <w:t xml:space="preserve">substrates </w:t>
      </w:r>
      <w:r w:rsidR="00B14189" w:rsidRPr="00B7792F">
        <w:t>(</w:t>
      </w:r>
      <w:r w:rsidR="00B14189" w:rsidRPr="00B7792F">
        <w:rPr>
          <w:b/>
        </w:rPr>
        <w:t>4a</w:t>
      </w:r>
      <w:r w:rsidR="00B14189">
        <w:t>-</w:t>
      </w:r>
      <w:r w:rsidR="003B37C4">
        <w:rPr>
          <w:b/>
        </w:rPr>
        <w:t>c</w:t>
      </w:r>
      <w:r w:rsidR="00B14189" w:rsidRPr="00B7792F">
        <w:t>)</w:t>
      </w:r>
      <w:r w:rsidR="00B14189">
        <w:t xml:space="preserve"> mediated by </w:t>
      </w:r>
      <w:r w:rsidR="00B14189">
        <w:rPr>
          <w:b/>
        </w:rPr>
        <w:t>3</w:t>
      </w:r>
      <w:r w:rsidR="007922F1">
        <w:t>,</w:t>
      </w:r>
      <w:r w:rsidR="00B14189">
        <w:t xml:space="preserve"> in the presence of various additives</w:t>
      </w:r>
      <w:r w:rsidR="007922F1">
        <w:t>,</w:t>
      </w:r>
      <w:r w:rsidR="00D27D1A">
        <w:t xml:space="preserve"> are collated</w:t>
      </w:r>
      <w:r w:rsidR="00B14189">
        <w:t xml:space="preserve"> in Figure 1.  Reaction of </w:t>
      </w:r>
      <w:r w:rsidR="00B14189">
        <w:rPr>
          <w:b/>
        </w:rPr>
        <w:t>1</w:t>
      </w:r>
      <w:r w:rsidR="00B14189">
        <w:t>+</w:t>
      </w:r>
      <w:r w:rsidR="00B14189" w:rsidRPr="007A71A6">
        <w:rPr>
          <w:b/>
        </w:rPr>
        <w:t>4a</w:t>
      </w:r>
      <w:r w:rsidR="00B14189">
        <w:t>→</w:t>
      </w:r>
      <w:r w:rsidR="00B14189">
        <w:rPr>
          <w:b/>
        </w:rPr>
        <w:t xml:space="preserve">5a </w:t>
      </w:r>
      <w:r w:rsidR="00B14189" w:rsidRPr="007A71A6">
        <w:t xml:space="preserve">under standard conditions </w:t>
      </w:r>
      <w:r w:rsidR="00B14189">
        <w:t xml:space="preserve">(at 100 ⁰C, in </w:t>
      </w:r>
      <w:r w:rsidR="00B14189" w:rsidRPr="00226511">
        <w:rPr>
          <w:i/>
        </w:rPr>
        <w:t>n</w:t>
      </w:r>
      <w:r w:rsidR="00B14189">
        <w:t>-Bu</w:t>
      </w:r>
      <w:r w:rsidR="00B14189">
        <w:rPr>
          <w:vertAlign w:val="subscript"/>
        </w:rPr>
        <w:t>2</w:t>
      </w:r>
      <w:r w:rsidR="00B14189">
        <w:t xml:space="preserve">O, 3 h) </w:t>
      </w:r>
      <w:r w:rsidR="00B14189" w:rsidRPr="007A71A6">
        <w:t>Cy</w:t>
      </w:r>
      <w:r w:rsidR="00B14189" w:rsidRPr="007A71A6">
        <w:rPr>
          <w:vertAlign w:val="subscript"/>
        </w:rPr>
        <w:t>2</w:t>
      </w:r>
      <w:r w:rsidR="00B14189" w:rsidRPr="007A71A6">
        <w:t>NH</w:t>
      </w:r>
      <w:r w:rsidR="00B14189">
        <w:t xml:space="preserve"> as the base, in the presence of </w:t>
      </w:r>
      <w:proofErr w:type="gramStart"/>
      <w:r w:rsidR="00B14189">
        <w:t>BrMn(</w:t>
      </w:r>
      <w:proofErr w:type="gramEnd"/>
      <w:r w:rsidR="00B14189">
        <w:t>CO)</w:t>
      </w:r>
      <w:r w:rsidR="00B14189" w:rsidRPr="00F03E0A">
        <w:rPr>
          <w:vertAlign w:val="subscript"/>
        </w:rPr>
        <w:t>5</w:t>
      </w:r>
      <w:r w:rsidR="00B14189">
        <w:t xml:space="preserve"> (10 mol%) as precatalyst, gave </w:t>
      </w:r>
      <w:r w:rsidR="00B14189">
        <w:rPr>
          <w:b/>
        </w:rPr>
        <w:t>5a</w:t>
      </w:r>
      <w:r w:rsidR="00B14189">
        <w:t xml:space="preserve"> in 76% conversion (reported yield = 76%</w:t>
      </w:r>
      <w:r>
        <w:rPr>
          <w:vertAlign w:val="superscript"/>
        </w:rPr>
        <w:t>3</w:t>
      </w:r>
      <w:r w:rsidR="00B14189">
        <w:t xml:space="preserve">).  Employment of </w:t>
      </w:r>
      <w:r w:rsidR="00B14189">
        <w:rPr>
          <w:b/>
        </w:rPr>
        <w:t>3</w:t>
      </w:r>
      <w:r w:rsidR="00B14189">
        <w:t xml:space="preserve"> as pre-catalyst gave a lower conversion to </w:t>
      </w:r>
      <w:r w:rsidR="00B14189" w:rsidRPr="00B54930">
        <w:rPr>
          <w:b/>
        </w:rPr>
        <w:t>5a</w:t>
      </w:r>
      <w:r w:rsidR="00B14189">
        <w:t xml:space="preserve"> (55%). Addition of Cy</w:t>
      </w:r>
      <w:r w:rsidR="00B14189" w:rsidRPr="00B54930">
        <w:rPr>
          <w:vertAlign w:val="subscript"/>
        </w:rPr>
        <w:t>2</w:t>
      </w:r>
      <w:r w:rsidR="00B14189">
        <w:t xml:space="preserve">NH did not noticeably affect the conversion to </w:t>
      </w:r>
      <w:r w:rsidR="00B14189" w:rsidRPr="00B54930">
        <w:rPr>
          <w:b/>
        </w:rPr>
        <w:t>5a</w:t>
      </w:r>
      <w:r w:rsidR="00B14189">
        <w:t xml:space="preserve"> (58%), which is in line with previous proposals that the amine base is only required for activation of the </w:t>
      </w:r>
      <w:r>
        <w:t>Mn</w:t>
      </w:r>
      <w:r w:rsidRPr="00300B32">
        <w:rPr>
          <w:vertAlign w:val="superscript"/>
        </w:rPr>
        <w:t>I</w:t>
      </w:r>
      <w:r>
        <w:t xml:space="preserve"> </w:t>
      </w:r>
      <w:r w:rsidR="00B14189">
        <w:t xml:space="preserve">in the case of terminal alkynes. </w:t>
      </w:r>
    </w:p>
    <w:p w14:paraId="626AF837" w14:textId="2F8FCA53" w:rsidR="00B14189" w:rsidRDefault="00B14189" w:rsidP="00B14189">
      <w:pPr>
        <w:pStyle w:val="RSCB02ArticleText"/>
        <w:ind w:firstLine="284"/>
      </w:pPr>
      <w:r>
        <w:t>Adding the conjugate acid of Cy</w:t>
      </w:r>
      <w:r>
        <w:rPr>
          <w:vertAlign w:val="subscript"/>
        </w:rPr>
        <w:t>2</w:t>
      </w:r>
      <w:r>
        <w:t xml:space="preserve">NH, </w:t>
      </w:r>
      <w:r>
        <w:rPr>
          <w:i/>
        </w:rPr>
        <w:t>i.e.</w:t>
      </w:r>
      <w:r>
        <w:t xml:space="preserve"> [Cy</w:t>
      </w:r>
      <w:r w:rsidRPr="00BE3089">
        <w:rPr>
          <w:vertAlign w:val="subscript"/>
        </w:rPr>
        <w:t>2</w:t>
      </w:r>
      <w:r>
        <w:t>NH</w:t>
      </w:r>
      <w:r w:rsidRPr="00BE3089">
        <w:rPr>
          <w:vertAlign w:val="subscript"/>
        </w:rPr>
        <w:t>2</w:t>
      </w:r>
      <w:r>
        <w:t xml:space="preserve">]Br, a side-product resulting from the initial C-H bond deprotonation in the reaction </w:t>
      </w:r>
      <w:r>
        <w:rPr>
          <w:b/>
        </w:rPr>
        <w:t>1</w:t>
      </w:r>
      <w:r>
        <w:t>+</w:t>
      </w:r>
      <w:r w:rsidRPr="007A71A6">
        <w:rPr>
          <w:b/>
        </w:rPr>
        <w:t>4a</w:t>
      </w:r>
      <w:r>
        <w:t>→</w:t>
      </w:r>
      <w:r>
        <w:rPr>
          <w:b/>
        </w:rPr>
        <w:t>5a</w:t>
      </w:r>
      <w:r>
        <w:t xml:space="preserve">, did not impact upon the conversion to </w:t>
      </w:r>
      <w:r>
        <w:rPr>
          <w:b/>
        </w:rPr>
        <w:t>5a</w:t>
      </w:r>
      <w:r>
        <w:t xml:space="preserve"> (53%). The reaction is insensitive to changes in the anion, irrespective of the type of halide/pseudohalide (Figure 1). </w:t>
      </w:r>
    </w:p>
    <w:p w14:paraId="3CC15176" w14:textId="77777777" w:rsidR="00B14189" w:rsidRDefault="00B14189" w:rsidP="00B14189">
      <w:pPr>
        <w:pStyle w:val="RSCI01FigureSchemeChartwithbottombar"/>
      </w:pPr>
    </w:p>
    <w:p w14:paraId="5F5F02E4" w14:textId="73469470" w:rsidR="00B14189" w:rsidRPr="001E505F" w:rsidRDefault="00936E40" w:rsidP="00B14189">
      <w:pPr>
        <w:jc w:val="center"/>
      </w:pPr>
      <w:r>
        <w:rPr>
          <w:noProof/>
        </w:rPr>
        <w:object w:dxaOrig="6839" w:dyaOrig="1931" w14:anchorId="2D7E77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9.95pt;height:70.6pt" o:ole="">
            <v:imagedata r:id="rId15" o:title=""/>
          </v:shape>
          <o:OLEObject Type="Embed" ProgID="ChemDraw.Document.6.0" ShapeID="_x0000_i1025" DrawAspect="Content" ObjectID="_1610956871" r:id="rId16"/>
        </w:object>
      </w:r>
      <w:r w:rsidR="00B14189" w:rsidRPr="003A664C">
        <w:rPr>
          <w:noProof/>
          <w:lang w:eastAsia="en-GB"/>
        </w:rPr>
        <w:drawing>
          <wp:inline distT="0" distB="0" distL="0" distR="0" wp14:anchorId="67A9C88B" wp14:editId="777F7DBF">
            <wp:extent cx="2804160" cy="2580640"/>
            <wp:effectExtent l="0" t="0" r="0" b="0"/>
            <wp:docPr id="14" name="Picture 14" descr="C:\Users\ah1006\Google Drive\Ian Schemes and Figures\Figure 1_ver2_30%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h1006\Google Drive\Ian Schemes and Figures\Figure 1_ver2_30%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EDBAA" w14:textId="77777777" w:rsidR="00B14189" w:rsidRPr="00A8342C" w:rsidRDefault="00B14189" w:rsidP="00B14189">
      <w:pPr>
        <w:pStyle w:val="RSCI05CaptiontoFigureSchemeChartwithbottombar"/>
      </w:pPr>
      <w:r w:rsidRPr="00EE7F8D">
        <w:rPr>
          <w:b/>
        </w:rPr>
        <w:t>Figure 1</w:t>
      </w:r>
      <w:r>
        <w:t xml:space="preserve"> The effect of base/conjugate acid additives in the reactions of </w:t>
      </w:r>
      <w:r>
        <w:rPr>
          <w:b/>
        </w:rPr>
        <w:t>1</w:t>
      </w:r>
      <w:r>
        <w:t>+</w:t>
      </w:r>
      <w:r w:rsidRPr="007A71A6">
        <w:rPr>
          <w:b/>
        </w:rPr>
        <w:t>4a</w:t>
      </w:r>
      <w:r>
        <w:rPr>
          <w:b/>
        </w:rPr>
        <w:t>-c</w:t>
      </w:r>
      <w:r>
        <w:t>→</w:t>
      </w:r>
      <w:r>
        <w:rPr>
          <w:b/>
        </w:rPr>
        <w:t>5a-c</w:t>
      </w:r>
      <w:r>
        <w:t xml:space="preserve">. </w:t>
      </w:r>
      <w:r>
        <w:rPr>
          <w:b/>
        </w:rPr>
        <w:t>R</w:t>
      </w:r>
      <w:r w:rsidRPr="00181D70">
        <w:rPr>
          <w:b/>
        </w:rPr>
        <w:t>eaction conditions</w:t>
      </w:r>
      <w:r>
        <w:t xml:space="preserve"> (</w:t>
      </w:r>
      <w:proofErr w:type="spellStart"/>
      <w:r w:rsidRPr="00181D70">
        <w:t>i</w:t>
      </w:r>
      <w:proofErr w:type="spellEnd"/>
      <w:r>
        <w:t>): BrMn(CO)</w:t>
      </w:r>
      <w:r>
        <w:rPr>
          <w:vertAlign w:val="subscript"/>
        </w:rPr>
        <w:t>5</w:t>
      </w:r>
      <w:r>
        <w:t xml:space="preserve"> (</w:t>
      </w:r>
      <w:r w:rsidR="00326B98" w:rsidRPr="00326B98">
        <w:rPr>
          <w:b/>
        </w:rPr>
        <w:t>2</w:t>
      </w:r>
      <w:r w:rsidR="00326B98">
        <w:t xml:space="preserve">, </w:t>
      </w:r>
      <w:r>
        <w:t xml:space="preserve">10 mol%), </w:t>
      </w:r>
      <w:r>
        <w:rPr>
          <w:b/>
        </w:rPr>
        <w:t>1</w:t>
      </w:r>
      <w:r>
        <w:t xml:space="preserve"> (2 equiv.), </w:t>
      </w:r>
      <w:r w:rsidRPr="00A8342C">
        <w:rPr>
          <w:b/>
        </w:rPr>
        <w:t>4a-c</w:t>
      </w:r>
      <w:r>
        <w:t xml:space="preserve"> (1 equiv.), additive (20 mol%) – see figure legend key for details, </w:t>
      </w:r>
      <w:r>
        <w:rPr>
          <w:i/>
        </w:rPr>
        <w:t>n</w:t>
      </w:r>
      <w:r>
        <w:t>-Bu</w:t>
      </w:r>
      <w:r>
        <w:rPr>
          <w:vertAlign w:val="subscript"/>
        </w:rPr>
        <w:t>2</w:t>
      </w:r>
      <w:r>
        <w:t xml:space="preserve">O, 100 </w:t>
      </w:r>
      <w:r>
        <w:rPr>
          <w:rFonts w:cstheme="minorHAnsi"/>
        </w:rPr>
        <w:t>⁰</w:t>
      </w:r>
      <w:r>
        <w:t xml:space="preserve">C, 3 h. </w:t>
      </w:r>
    </w:p>
    <w:p w14:paraId="7E3DE5BE" w14:textId="4719CAF3" w:rsidR="00B14189" w:rsidRDefault="00B14189" w:rsidP="00B14189">
      <w:pPr>
        <w:pStyle w:val="RSCB02ArticleText"/>
      </w:pPr>
      <w:r>
        <w:t xml:space="preserve">The employment of an alternative </w:t>
      </w:r>
      <w:r w:rsidRPr="00D807A4">
        <w:t>terminal</w:t>
      </w:r>
      <w:r>
        <w:t xml:space="preserve"> alkyne, propargyl benzoate </w:t>
      </w:r>
      <w:r w:rsidRPr="00D807A4">
        <w:rPr>
          <w:b/>
        </w:rPr>
        <w:t>4b</w:t>
      </w:r>
      <w:r w:rsidRPr="00D807A4">
        <w:t xml:space="preserve"> </w:t>
      </w:r>
      <w:r>
        <w:t xml:space="preserve">with </w:t>
      </w:r>
      <w:r>
        <w:rPr>
          <w:b/>
        </w:rPr>
        <w:t>3</w:t>
      </w:r>
      <w:r>
        <w:t xml:space="preserve"> as the precatalyst, formed only a small amount of product </w:t>
      </w:r>
      <w:r>
        <w:rPr>
          <w:b/>
        </w:rPr>
        <w:t>5b</w:t>
      </w:r>
      <w:r w:rsidRPr="00D807A4">
        <w:t xml:space="preserve">, </w:t>
      </w:r>
      <w:r>
        <w:t>in the presence and absence of Cy</w:t>
      </w:r>
      <w:r>
        <w:rPr>
          <w:vertAlign w:val="subscript"/>
        </w:rPr>
        <w:t>2</w:t>
      </w:r>
      <w:r>
        <w:t xml:space="preserve">NH {Conv. to </w:t>
      </w:r>
      <w:r>
        <w:rPr>
          <w:b/>
        </w:rPr>
        <w:t xml:space="preserve">5b </w:t>
      </w:r>
      <w:r>
        <w:t>7</w:t>
      </w:r>
      <w:r w:rsidRPr="00D807A4">
        <w:t>%</w:t>
      </w:r>
      <w:r>
        <w:t xml:space="preserve"> and 8% respectively (2.5x10</w:t>
      </w:r>
      <w:r w:rsidRPr="00BC36A2">
        <w:rPr>
          <w:vertAlign w:val="superscript"/>
        </w:rPr>
        <w:t>-5</w:t>
      </w:r>
      <w:r>
        <w:t xml:space="preserve"> mol)}. The extent of product conversion appears to tally with the [</w:t>
      </w:r>
      <w:proofErr w:type="spellStart"/>
      <w:r>
        <w:t>Mn</w:t>
      </w:r>
      <w:r w:rsidRPr="00D27D1A">
        <w:rPr>
          <w:vertAlign w:val="subscript"/>
        </w:rPr>
        <w:t>TOTAL</w:t>
      </w:r>
      <w:proofErr w:type="spellEnd"/>
      <w:r>
        <w:t>] =</w:t>
      </w:r>
      <w:r w:rsidRPr="00D807A4">
        <w:t xml:space="preserve"> </w:t>
      </w:r>
      <w:r>
        <w:t>10 mol% (2.5x10</w:t>
      </w:r>
      <w:r w:rsidRPr="00BC36A2">
        <w:rPr>
          <w:vertAlign w:val="superscript"/>
        </w:rPr>
        <w:t>-5</w:t>
      </w:r>
      <w:r>
        <w:t xml:space="preserve"> mol), indicating that there is limited turnover</w:t>
      </w:r>
      <w:r w:rsidRPr="00D807A4">
        <w:t xml:space="preserve"> of the </w:t>
      </w:r>
      <w:r>
        <w:t xml:space="preserve">Mn catalyst. By contrast, the reaction mediated by </w:t>
      </w:r>
      <w:proofErr w:type="gramStart"/>
      <w:r>
        <w:t>BrMn(</w:t>
      </w:r>
      <w:proofErr w:type="gramEnd"/>
      <w:r>
        <w:t>CO)</w:t>
      </w:r>
      <w:r w:rsidRPr="00D807A4">
        <w:rPr>
          <w:vertAlign w:val="subscript"/>
        </w:rPr>
        <w:t>5</w:t>
      </w:r>
      <w:r>
        <w:t xml:space="preserve"> </w:t>
      </w:r>
      <w:r>
        <w:rPr>
          <w:b/>
        </w:rPr>
        <w:t>2</w:t>
      </w:r>
      <w:r>
        <w:t xml:space="preserve"> </w:t>
      </w:r>
      <w:r w:rsidRPr="00D807A4">
        <w:t>and Cy</w:t>
      </w:r>
      <w:r w:rsidRPr="00D807A4">
        <w:rPr>
          <w:vertAlign w:val="subscript"/>
        </w:rPr>
        <w:t>2</w:t>
      </w:r>
      <w:r w:rsidRPr="00D807A4">
        <w:t>NH</w:t>
      </w:r>
      <w:r>
        <w:t xml:space="preserve"> gave </w:t>
      </w:r>
      <w:r>
        <w:rPr>
          <w:b/>
        </w:rPr>
        <w:t xml:space="preserve">5b </w:t>
      </w:r>
      <w:r>
        <w:t>with 54% conversion, in keeping with Chen and Wang’s</w:t>
      </w:r>
      <w:r w:rsidR="005238F3" w:rsidRPr="005238F3">
        <w:rPr>
          <w:vertAlign w:val="superscript"/>
        </w:rPr>
        <w:t>3</w:t>
      </w:r>
      <w:r>
        <w:t xml:space="preserve"> observations using Et</w:t>
      </w:r>
      <w:r>
        <w:rPr>
          <w:vertAlign w:val="subscript"/>
        </w:rPr>
        <w:t>2</w:t>
      </w:r>
      <w:r>
        <w:t xml:space="preserve">O solvent instead of </w:t>
      </w:r>
      <w:r w:rsidRPr="00226511">
        <w:rPr>
          <w:i/>
        </w:rPr>
        <w:t>n</w:t>
      </w:r>
      <w:r>
        <w:t>-Bu</w:t>
      </w:r>
      <w:r w:rsidRPr="00D807A4">
        <w:rPr>
          <w:vertAlign w:val="subscript"/>
        </w:rPr>
        <w:t>2</w:t>
      </w:r>
      <w:r>
        <w:t xml:space="preserve">O (under equivalent reaction conditions obtaining 48% yield of </w:t>
      </w:r>
      <w:r>
        <w:rPr>
          <w:b/>
        </w:rPr>
        <w:t>5b</w:t>
      </w:r>
      <w:r>
        <w:t>)</w:t>
      </w:r>
      <w:r w:rsidRPr="00D807A4">
        <w:t xml:space="preserve">. </w:t>
      </w:r>
      <w:r>
        <w:t xml:space="preserve">Limited catalyst </w:t>
      </w:r>
      <w:r w:rsidRPr="00D807A4">
        <w:t xml:space="preserve">turnover indicates </w:t>
      </w:r>
      <w:r>
        <w:t>an issue</w:t>
      </w:r>
      <w:r w:rsidRPr="00D807A4">
        <w:t xml:space="preserve"> in either the protonation or recycling steps </w:t>
      </w:r>
      <w:r>
        <w:t xml:space="preserve">required for </w:t>
      </w:r>
      <w:r w:rsidRPr="00D807A4">
        <w:t>catalysis</w:t>
      </w:r>
      <w:r>
        <w:t xml:space="preserve"> </w:t>
      </w:r>
      <w:r>
        <w:rPr>
          <w:i/>
        </w:rPr>
        <w:t>vide supra</w:t>
      </w:r>
      <w:r w:rsidRPr="00D807A4">
        <w:t xml:space="preserve">, leading to low product conversion and rapid catalyst degradation. </w:t>
      </w:r>
      <w:r>
        <w:t>The addition of [Cy</w:t>
      </w:r>
      <w:r w:rsidRPr="000608B1">
        <w:rPr>
          <w:vertAlign w:val="subscript"/>
        </w:rPr>
        <w:t>2</w:t>
      </w:r>
      <w:r>
        <w:t>NH</w:t>
      </w:r>
      <w:proofErr w:type="gramStart"/>
      <w:r w:rsidRPr="000608B1">
        <w:rPr>
          <w:vertAlign w:val="subscript"/>
        </w:rPr>
        <w:t>2</w:t>
      </w:r>
      <w:r>
        <w:t>]Br</w:t>
      </w:r>
      <w:proofErr w:type="gramEnd"/>
      <w:r w:rsidRPr="00D807A4">
        <w:t xml:space="preserve"> </w:t>
      </w:r>
      <w:r>
        <w:t xml:space="preserve">had a profound and unexpected effect on product conversion to </w:t>
      </w:r>
      <w:r w:rsidRPr="00B91D1C">
        <w:rPr>
          <w:b/>
        </w:rPr>
        <w:t>5b</w:t>
      </w:r>
      <w:r>
        <w:t>, increasing the conversion to 63%</w:t>
      </w:r>
      <w:r w:rsidRPr="00D807A4">
        <w:t xml:space="preserve">. </w:t>
      </w:r>
      <w:r>
        <w:t>The response was equally dramatic using [Cy</w:t>
      </w:r>
      <w:r w:rsidRPr="00BE3089">
        <w:rPr>
          <w:vertAlign w:val="subscript"/>
        </w:rPr>
        <w:t>2</w:t>
      </w:r>
      <w:r>
        <w:t>NH</w:t>
      </w:r>
      <w:proofErr w:type="gramStart"/>
      <w:r w:rsidRPr="00BE3089">
        <w:rPr>
          <w:vertAlign w:val="subscript"/>
        </w:rPr>
        <w:t>2</w:t>
      </w:r>
      <w:r>
        <w:t>]Cl</w:t>
      </w:r>
      <w:proofErr w:type="gramEnd"/>
      <w:r>
        <w:t>, [Cy</w:t>
      </w:r>
      <w:r w:rsidRPr="00BE3089">
        <w:rPr>
          <w:vertAlign w:val="subscript"/>
        </w:rPr>
        <w:t>2</w:t>
      </w:r>
      <w:r>
        <w:t>NH</w:t>
      </w:r>
      <w:r w:rsidRPr="00BE3089">
        <w:rPr>
          <w:vertAlign w:val="subscript"/>
        </w:rPr>
        <w:t>2</w:t>
      </w:r>
      <w:r>
        <w:t>]I or [Cy</w:t>
      </w:r>
      <w:r w:rsidRPr="00BE3089">
        <w:rPr>
          <w:vertAlign w:val="subscript"/>
        </w:rPr>
        <w:t>2</w:t>
      </w:r>
      <w:r>
        <w:t>NH</w:t>
      </w:r>
      <w:r w:rsidRPr="00BE3089">
        <w:rPr>
          <w:vertAlign w:val="subscript"/>
        </w:rPr>
        <w:t>2</w:t>
      </w:r>
      <w:r>
        <w:t>]BF</w:t>
      </w:r>
      <w:r>
        <w:rPr>
          <w:vertAlign w:val="subscript"/>
        </w:rPr>
        <w:t>4</w:t>
      </w:r>
      <w:r>
        <w:t xml:space="preserve"> as acid additives. </w:t>
      </w:r>
    </w:p>
    <w:p w14:paraId="27A393D3" w14:textId="06C2EF66" w:rsidR="00B14189" w:rsidRDefault="00B14189" w:rsidP="00B14189">
      <w:pPr>
        <w:pStyle w:val="RSCB02ArticleText"/>
      </w:pPr>
      <w:r>
        <w:tab/>
        <w:t xml:space="preserve">In the original reaction of </w:t>
      </w:r>
      <w:r>
        <w:rPr>
          <w:b/>
        </w:rPr>
        <w:t>1</w:t>
      </w:r>
      <w:r>
        <w:t>+</w:t>
      </w:r>
      <w:r w:rsidRPr="007A71A6">
        <w:rPr>
          <w:b/>
        </w:rPr>
        <w:t>4</w:t>
      </w:r>
      <w:r>
        <w:rPr>
          <w:b/>
        </w:rPr>
        <w:t>c</w:t>
      </w:r>
      <w:r>
        <w:t>→</w:t>
      </w:r>
      <w:r>
        <w:rPr>
          <w:b/>
        </w:rPr>
        <w:t>5c</w:t>
      </w:r>
      <w:r w:rsidR="00D27D1A">
        <w:t>,</w:t>
      </w:r>
      <w:r>
        <w:t xml:space="preserve"> reported by Wang and co-workers</w:t>
      </w:r>
      <w:r w:rsidR="00D27D1A">
        <w:t>,</w:t>
      </w:r>
      <w:r w:rsidR="004735DB">
        <w:rPr>
          <w:vertAlign w:val="superscript"/>
        </w:rPr>
        <w:t>11</w:t>
      </w:r>
      <w:r>
        <w:t xml:space="preserve"> it was suggested that [Cy</w:t>
      </w:r>
      <w:r w:rsidRPr="000608B1">
        <w:rPr>
          <w:vertAlign w:val="subscript"/>
        </w:rPr>
        <w:t>2</w:t>
      </w:r>
      <w:r>
        <w:t>NH</w:t>
      </w:r>
      <w:proofErr w:type="gramStart"/>
      <w:r w:rsidRPr="000608B1">
        <w:rPr>
          <w:vertAlign w:val="subscript"/>
        </w:rPr>
        <w:t>2</w:t>
      </w:r>
      <w:r>
        <w:t>]Br</w:t>
      </w:r>
      <w:proofErr w:type="gramEnd"/>
      <w:r>
        <w:t xml:space="preserve"> acted as a proton source for the protonation step (not experimentally proven, but reasonably postulated within a reaction mechanism scheme). We thus assessed the impact of the base/conjugate acid additives in the reaction of </w:t>
      </w:r>
      <w:r>
        <w:rPr>
          <w:b/>
        </w:rPr>
        <w:t>1</w:t>
      </w:r>
      <w:r>
        <w:t>+</w:t>
      </w:r>
      <w:r w:rsidRPr="007A71A6">
        <w:rPr>
          <w:b/>
        </w:rPr>
        <w:t>4</w:t>
      </w:r>
      <w:r>
        <w:rPr>
          <w:b/>
        </w:rPr>
        <w:t>c</w:t>
      </w:r>
      <w:r>
        <w:t>→</w:t>
      </w:r>
      <w:r>
        <w:rPr>
          <w:b/>
        </w:rPr>
        <w:t>5c</w:t>
      </w:r>
      <w:r>
        <w:t xml:space="preserve">, employing </w:t>
      </w:r>
      <w:r w:rsidRPr="00C34E05">
        <w:rPr>
          <w:b/>
        </w:rPr>
        <w:t>3</w:t>
      </w:r>
      <w:r>
        <w:t xml:space="preserve"> as the pre</w:t>
      </w:r>
      <w:r w:rsidRPr="00C34E05">
        <w:t>catalyst</w:t>
      </w:r>
      <w:r>
        <w:t xml:space="preserve"> (Figure 1). When no additive was used in this reaction </w:t>
      </w:r>
      <w:r w:rsidRPr="00C34E05">
        <w:t xml:space="preserve">a lower conversion </w:t>
      </w:r>
      <w:r>
        <w:t xml:space="preserve">to </w:t>
      </w:r>
      <w:r>
        <w:rPr>
          <w:b/>
        </w:rPr>
        <w:t xml:space="preserve">5c </w:t>
      </w:r>
      <w:r w:rsidRPr="00C34E05">
        <w:t>(</w:t>
      </w:r>
      <w:r>
        <w:t>44</w:t>
      </w:r>
      <w:r w:rsidRPr="00C34E05">
        <w:t xml:space="preserve">%) </w:t>
      </w:r>
      <w:r>
        <w:t xml:space="preserve">was recorded </w:t>
      </w:r>
      <w:r w:rsidRPr="00C34E05">
        <w:t xml:space="preserve">than when </w:t>
      </w:r>
      <w:r>
        <w:t>BrMn(CO)</w:t>
      </w:r>
      <w:r w:rsidRPr="00C34E05">
        <w:rPr>
          <w:vertAlign w:val="subscript"/>
        </w:rPr>
        <w:t>5</w:t>
      </w:r>
      <w:r>
        <w:t xml:space="preserve"> </w:t>
      </w:r>
      <w:r w:rsidRPr="00C34E05">
        <w:rPr>
          <w:b/>
        </w:rPr>
        <w:t>2</w:t>
      </w:r>
      <w:r>
        <w:t xml:space="preserve"> and </w:t>
      </w:r>
      <w:r w:rsidRPr="00C34E05">
        <w:t>Cy</w:t>
      </w:r>
      <w:r w:rsidRPr="00C34E05">
        <w:rPr>
          <w:vertAlign w:val="subscript"/>
        </w:rPr>
        <w:t>2</w:t>
      </w:r>
      <w:r w:rsidRPr="00C34E05">
        <w:t>NH wer</w:t>
      </w:r>
      <w:r>
        <w:t>e employed (79%). The lower product conversion can be rationalis</w:t>
      </w:r>
      <w:r w:rsidRPr="00C34E05">
        <w:t xml:space="preserve">ed as arising from </w:t>
      </w:r>
      <w:r>
        <w:t>no [Cy</w:t>
      </w:r>
      <w:r w:rsidRPr="000608B1">
        <w:rPr>
          <w:vertAlign w:val="subscript"/>
        </w:rPr>
        <w:t>2</w:t>
      </w:r>
      <w:r>
        <w:t>NH</w:t>
      </w:r>
      <w:proofErr w:type="gramStart"/>
      <w:r w:rsidRPr="000608B1">
        <w:rPr>
          <w:vertAlign w:val="subscript"/>
        </w:rPr>
        <w:t>2</w:t>
      </w:r>
      <w:r>
        <w:t>]Br</w:t>
      </w:r>
      <w:proofErr w:type="gramEnd"/>
      <w:r>
        <w:t xml:space="preserve"> being present in the reaction mediated by </w:t>
      </w:r>
      <w:r>
        <w:rPr>
          <w:b/>
        </w:rPr>
        <w:t>3</w:t>
      </w:r>
      <w:r w:rsidRPr="00C34E05">
        <w:t xml:space="preserve">. </w:t>
      </w:r>
      <w:r>
        <w:t xml:space="preserve">Surprisingly, however, addition of </w:t>
      </w:r>
      <w:bookmarkStart w:id="5" w:name="_Hlk520887400"/>
      <w:r w:rsidRPr="00C34E05">
        <w:t>[Cy</w:t>
      </w:r>
      <w:r w:rsidRPr="00AC120C">
        <w:rPr>
          <w:vertAlign w:val="subscript"/>
        </w:rPr>
        <w:t>2</w:t>
      </w:r>
      <w:r>
        <w:t>NH</w:t>
      </w:r>
      <w:proofErr w:type="gramStart"/>
      <w:r>
        <w:rPr>
          <w:vertAlign w:val="subscript"/>
        </w:rPr>
        <w:t>2</w:t>
      </w:r>
      <w:r>
        <w:t>]Br</w:t>
      </w:r>
      <w:proofErr w:type="gramEnd"/>
      <w:r w:rsidRPr="00C34E05">
        <w:t xml:space="preserve"> </w:t>
      </w:r>
      <w:bookmarkEnd w:id="5"/>
      <w:r>
        <w:t xml:space="preserve">was found to negatively affect conversion to product </w:t>
      </w:r>
      <w:r w:rsidRPr="00AC120C">
        <w:rPr>
          <w:b/>
        </w:rPr>
        <w:t>5c</w:t>
      </w:r>
      <w:r w:rsidRPr="00C34E05">
        <w:t xml:space="preserve"> </w:t>
      </w:r>
      <w:r>
        <w:t>(27%)</w:t>
      </w:r>
      <w:r w:rsidRPr="00C34E05">
        <w:t xml:space="preserve">. </w:t>
      </w:r>
      <w:r>
        <w:t xml:space="preserve">The negative influence of the conjugate acid is further compounded by altering the anion in </w:t>
      </w:r>
      <w:r w:rsidRPr="00C34E05">
        <w:t>[Cy</w:t>
      </w:r>
      <w:r w:rsidRPr="00AC120C">
        <w:rPr>
          <w:vertAlign w:val="subscript"/>
        </w:rPr>
        <w:t>2</w:t>
      </w:r>
      <w:r>
        <w:t>NH</w:t>
      </w:r>
      <w:r>
        <w:rPr>
          <w:vertAlign w:val="subscript"/>
        </w:rPr>
        <w:t>2</w:t>
      </w:r>
      <w:r>
        <w:t>]X</w:t>
      </w:r>
      <w:r w:rsidRPr="00C34E05">
        <w:t xml:space="preserve"> </w:t>
      </w:r>
      <w:r>
        <w:t xml:space="preserve">to chloride or iodide. Intriguingly, the less coordinating </w:t>
      </w:r>
      <w:r w:rsidRPr="00C34E05">
        <w:t>BF</w:t>
      </w:r>
      <w:r w:rsidRPr="00AC120C">
        <w:rPr>
          <w:vertAlign w:val="subscript"/>
        </w:rPr>
        <w:t>4</w:t>
      </w:r>
      <w:r w:rsidRPr="00AC120C">
        <w:rPr>
          <w:vertAlign w:val="superscript"/>
        </w:rPr>
        <w:t>–</w:t>
      </w:r>
      <w:r>
        <w:t xml:space="preserve"> counter-</w:t>
      </w:r>
      <w:r w:rsidRPr="00C34E05">
        <w:t>ion</w:t>
      </w:r>
      <w:r>
        <w:t xml:space="preserve"> led to a product conversion similar to the reaction mediated by Cy</w:t>
      </w:r>
      <w:r>
        <w:rPr>
          <w:vertAlign w:val="subscript"/>
        </w:rPr>
        <w:t>2</w:t>
      </w:r>
      <w:r>
        <w:t xml:space="preserve">NH (40% versus 46%, respectively). </w:t>
      </w:r>
    </w:p>
    <w:p w14:paraId="496ACB69" w14:textId="3D7CDF04" w:rsidR="00B14189" w:rsidRDefault="00B14189" w:rsidP="00B14189">
      <w:pPr>
        <w:pStyle w:val="RSCB02ArticleText"/>
      </w:pPr>
      <w:r>
        <w:tab/>
      </w:r>
      <w:r w:rsidRPr="00C40DBF">
        <w:rPr>
          <w:b/>
          <w:i/>
        </w:rPr>
        <w:t>I</w:t>
      </w:r>
      <w:r w:rsidRPr="00A552FF">
        <w:rPr>
          <w:b/>
          <w:i/>
        </w:rPr>
        <w:t xml:space="preserve">n </w:t>
      </w:r>
      <w:r>
        <w:rPr>
          <w:b/>
          <w:i/>
        </w:rPr>
        <w:t>o</w:t>
      </w:r>
      <w:r w:rsidRPr="00A552FF">
        <w:rPr>
          <w:b/>
          <w:i/>
        </w:rPr>
        <w:t>perando</w:t>
      </w:r>
      <w:r>
        <w:rPr>
          <w:b/>
          <w:i/>
        </w:rPr>
        <w:t xml:space="preserve"> </w:t>
      </w:r>
      <w:r w:rsidRPr="00C40DBF">
        <w:rPr>
          <w:b/>
        </w:rPr>
        <w:t>studies</w:t>
      </w:r>
      <w:r>
        <w:rPr>
          <w:b/>
        </w:rPr>
        <w:t xml:space="preserve"> using infrared spectroscopic analysis</w:t>
      </w:r>
      <w:r w:rsidRPr="00A552FF">
        <w:rPr>
          <w:b/>
        </w:rPr>
        <w:t>:</w:t>
      </w:r>
      <w:r>
        <w:t xml:space="preserve">  To gain insight into how [Cy</w:t>
      </w:r>
      <w:r>
        <w:rPr>
          <w:vertAlign w:val="subscript"/>
        </w:rPr>
        <w:t>2</w:t>
      </w:r>
      <w:r>
        <w:t>NH</w:t>
      </w:r>
      <w:proofErr w:type="gramStart"/>
      <w:r>
        <w:rPr>
          <w:vertAlign w:val="subscript"/>
        </w:rPr>
        <w:t>2</w:t>
      </w:r>
      <w:r>
        <w:t>][</w:t>
      </w:r>
      <w:proofErr w:type="gramEnd"/>
      <w:r>
        <w:t>X] (X = Br, Cl, I or BF</w:t>
      </w:r>
      <w:r>
        <w:rPr>
          <w:vertAlign w:val="subscript"/>
        </w:rPr>
        <w:t>4</w:t>
      </w:r>
      <w:r>
        <w:t xml:space="preserve">) affects catalyst efficacy, the reactions of </w:t>
      </w:r>
      <w:r>
        <w:rPr>
          <w:b/>
        </w:rPr>
        <w:t>1</w:t>
      </w:r>
      <w:r>
        <w:t>+</w:t>
      </w:r>
      <w:r w:rsidRPr="007A71A6">
        <w:rPr>
          <w:b/>
        </w:rPr>
        <w:t>4</w:t>
      </w:r>
      <w:r>
        <w:rPr>
          <w:b/>
        </w:rPr>
        <w:t>b-c</w:t>
      </w:r>
      <w:r>
        <w:t>→</w:t>
      </w:r>
      <w:r>
        <w:rPr>
          <w:b/>
        </w:rPr>
        <w:t>5b-c</w:t>
      </w:r>
      <w:r>
        <w:t xml:space="preserve"> were monitored </w:t>
      </w:r>
      <w:r>
        <w:rPr>
          <w:i/>
        </w:rPr>
        <w:t xml:space="preserve">in operando </w:t>
      </w:r>
      <w:r>
        <w:t xml:space="preserve">employing </w:t>
      </w:r>
      <w:r>
        <w:rPr>
          <w:i/>
        </w:rPr>
        <w:t>in situ</w:t>
      </w:r>
      <w:r>
        <w:t xml:space="preserve"> IR spectroscopy, using a Mettler-Toledo ReactIR® instrument with Si-probe. This method allows for changes in metal carbonyl peaks to be monitored (qualitatively and quantitatively), being excellent </w:t>
      </w:r>
      <w:r w:rsidR="00D27D1A">
        <w:t xml:space="preserve">spectroscopic </w:t>
      </w:r>
      <w:r>
        <w:t>handles for the observation of the dynamic processes occurring at the manganese centre.</w:t>
      </w:r>
      <w:r>
        <w:rPr>
          <w:vertAlign w:val="superscript"/>
        </w:rPr>
        <w:t xml:space="preserve"> </w:t>
      </w:r>
      <w:r>
        <w:t xml:space="preserve"> The reaction</w:t>
      </w:r>
      <w:r w:rsidR="00300B32">
        <w:t xml:space="preserve"> responding positively to acid,</w:t>
      </w:r>
      <w:r>
        <w:t xml:space="preserve"> of </w:t>
      </w:r>
      <w:r>
        <w:rPr>
          <w:b/>
        </w:rPr>
        <w:t>1</w:t>
      </w:r>
      <w:r>
        <w:t>+</w:t>
      </w:r>
      <w:r w:rsidRPr="007A71A6">
        <w:rPr>
          <w:b/>
        </w:rPr>
        <w:t>4</w:t>
      </w:r>
      <w:r>
        <w:rPr>
          <w:b/>
        </w:rPr>
        <w:t>b</w:t>
      </w:r>
      <w:r>
        <w:t>→</w:t>
      </w:r>
      <w:r>
        <w:rPr>
          <w:b/>
        </w:rPr>
        <w:t>5b</w:t>
      </w:r>
      <w:r w:rsidR="00300B32">
        <w:t>,</w:t>
      </w:r>
      <w:r>
        <w:rPr>
          <w:b/>
        </w:rPr>
        <w:t xml:space="preserve"> </w:t>
      </w:r>
      <w:r>
        <w:t xml:space="preserve">mediated by precatalyst </w:t>
      </w:r>
      <w:r>
        <w:rPr>
          <w:b/>
        </w:rPr>
        <w:t xml:space="preserve">3 </w:t>
      </w:r>
      <w:r>
        <w:t xml:space="preserve">(Figure 2a) results in the initial appearance of two new species, with overlapping carbonyl bands, depicted by gold stars and closed red circles. After 30 minutes, a minor species with carbonyl bands at </w:t>
      </w:r>
      <w:r w:rsidRPr="00346071">
        <w:rPr>
          <w:rFonts w:ascii="Times New Roman" w:hAnsi="Times New Roman"/>
        </w:rPr>
        <w:t>ῡ</w:t>
      </w:r>
      <w:r>
        <w:t>1996 and 1944 cm</w:t>
      </w:r>
      <w:r>
        <w:rPr>
          <w:vertAlign w:val="superscript"/>
        </w:rPr>
        <w:t>-1</w:t>
      </w:r>
      <w:r>
        <w:t xml:space="preserve"> (black triangles) forms once catalysis is complete. We note the relative slow loss of </w:t>
      </w:r>
      <w:r>
        <w:rPr>
          <w:b/>
        </w:rPr>
        <w:t>3</w:t>
      </w:r>
      <w:r>
        <w:t xml:space="preserve"> (trace quantities seen after </w:t>
      </w:r>
      <w:r w:rsidRPr="00562490">
        <w:rPr>
          <w:i/>
        </w:rPr>
        <w:t>ca.</w:t>
      </w:r>
      <w:r>
        <w:t xml:space="preserve"> 5 minutes, depicted by closed blue circles), which is consistent with an independent mechanistic study examining the reaction of </w:t>
      </w:r>
      <w:r>
        <w:rPr>
          <w:b/>
        </w:rPr>
        <w:t>1</w:t>
      </w:r>
      <w:r>
        <w:t>+</w:t>
      </w:r>
      <w:r w:rsidRPr="007A71A6">
        <w:rPr>
          <w:b/>
        </w:rPr>
        <w:t>4</w:t>
      </w:r>
      <w:r>
        <w:rPr>
          <w:b/>
        </w:rPr>
        <w:t>a</w:t>
      </w:r>
      <w:r>
        <w:t>→</w:t>
      </w:r>
      <w:r>
        <w:rPr>
          <w:b/>
        </w:rPr>
        <w:t>5a</w:t>
      </w:r>
      <w:r w:rsidR="00D27D1A">
        <w:t>.</w:t>
      </w:r>
      <w:r w:rsidR="005238F3" w:rsidRPr="005238F3">
        <w:rPr>
          <w:vertAlign w:val="superscript"/>
        </w:rPr>
        <w:t>3</w:t>
      </w:r>
      <w:r>
        <w:t xml:space="preserve"> The species depicted by gold stars is most likely a deactivation product, </w:t>
      </w:r>
      <w:r>
        <w:rPr>
          <w:i/>
        </w:rPr>
        <w:t xml:space="preserve">i.e. </w:t>
      </w:r>
      <w:r>
        <w:t xml:space="preserve">manganese hydroxyl-containing clusters previously proposed to be deactivation products for catalysis </w:t>
      </w:r>
      <w:r w:rsidRPr="00C34E05">
        <w:t xml:space="preserve">(see </w:t>
      </w:r>
      <w:r>
        <w:t>S</w:t>
      </w:r>
      <w:r w:rsidRPr="00C34E05">
        <w:t xml:space="preserve">upplementary </w:t>
      </w:r>
      <w:r>
        <w:t>I</w:t>
      </w:r>
      <w:r w:rsidRPr="00C34E05">
        <w:t>nformation)</w:t>
      </w:r>
      <w:r w:rsidR="00D27D1A">
        <w:t>.</w:t>
      </w:r>
      <w:r w:rsidR="003A5CC1">
        <w:rPr>
          <w:vertAlign w:val="superscript"/>
        </w:rPr>
        <w:t>12</w:t>
      </w:r>
      <w:r>
        <w:t xml:space="preserve"> While the species depicted by closed red circles evolves and then rapidly depletes, suggesting its involvement as a transient intermediate.</w:t>
      </w:r>
    </w:p>
    <w:p w14:paraId="210A591B" w14:textId="77777777" w:rsidR="00B14189" w:rsidRPr="00C10793" w:rsidRDefault="00B14189" w:rsidP="00B14189">
      <w:pPr>
        <w:pStyle w:val="RSCB02ArticleText"/>
        <w:ind w:firstLine="284"/>
      </w:pPr>
      <w:r>
        <w:t>However, when [Cy</w:t>
      </w:r>
      <w:r>
        <w:rPr>
          <w:vertAlign w:val="subscript"/>
        </w:rPr>
        <w:t>2</w:t>
      </w:r>
      <w:r>
        <w:t>NH</w:t>
      </w:r>
      <w:proofErr w:type="gramStart"/>
      <w:r>
        <w:rPr>
          <w:vertAlign w:val="subscript"/>
        </w:rPr>
        <w:t>2</w:t>
      </w:r>
      <w:r>
        <w:t>][</w:t>
      </w:r>
      <w:proofErr w:type="gramEnd"/>
      <w:r>
        <w:t>BF</w:t>
      </w:r>
      <w:r>
        <w:rPr>
          <w:vertAlign w:val="subscript"/>
        </w:rPr>
        <w:t>4</w:t>
      </w:r>
      <w:r>
        <w:t xml:space="preserve">] was added to the reaction (Figure 2b) the rate of formation of the previously observed deactivation species (gold stars) was greatly diminished. We note that another carbonyl-containing species is formed in this reaction (depicted by + symbols), which remains prominently after 30 minutes reaction time. It is noted that manganacycle </w:t>
      </w:r>
      <w:r>
        <w:rPr>
          <w:b/>
        </w:rPr>
        <w:t>3</w:t>
      </w:r>
      <w:r>
        <w:t xml:space="preserve"> remains for the duration of the reaction (depleting to 30 minutes). The formation of manganese alkynyl-containing </w:t>
      </w:r>
      <w:r>
        <w:lastRenderedPageBreak/>
        <w:t>clusters is observed after 5 minutes reaction time (depicted by gold diamonds).</w:t>
      </w:r>
    </w:p>
    <w:p w14:paraId="2509321C" w14:textId="77777777" w:rsidR="00B14189" w:rsidRDefault="00B14189" w:rsidP="00B14189">
      <w:pPr>
        <w:pStyle w:val="RSCI01FigureSchemeChartwithbottombar"/>
      </w:pPr>
    </w:p>
    <w:p w14:paraId="6CD412B8" w14:textId="77777777" w:rsidR="00B14189" w:rsidRDefault="00B14189" w:rsidP="00B14189">
      <w:r w:rsidRPr="00C80E51">
        <w:rPr>
          <w:noProof/>
          <w:lang w:eastAsia="en-GB"/>
        </w:rPr>
        <w:drawing>
          <wp:inline distT="0" distB="0" distL="0" distR="0" wp14:anchorId="7107EEE3" wp14:editId="586466E3">
            <wp:extent cx="3168015" cy="3008630"/>
            <wp:effectExtent l="0" t="0" r="0" b="1270"/>
            <wp:docPr id="9" name="Picture 9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mplete figure_1r1_10%.b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EFFAD" w14:textId="77777777" w:rsidR="00B14189" w:rsidRPr="007F2AE0" w:rsidRDefault="00B14189" w:rsidP="00B14189">
      <w:pPr>
        <w:pStyle w:val="RSCI05CaptiontoFigureSchemeChartwithbottombar"/>
      </w:pPr>
      <w:r>
        <w:rPr>
          <w:b/>
        </w:rPr>
        <w:t xml:space="preserve">Figure 2 </w:t>
      </w:r>
      <w:r>
        <w:t xml:space="preserve">Reaction monitoring using </w:t>
      </w:r>
      <w:r>
        <w:rPr>
          <w:i/>
        </w:rPr>
        <w:t>in situ</w:t>
      </w:r>
      <w:r>
        <w:t xml:space="preserve"> IR monitoring using </w:t>
      </w:r>
      <w:r>
        <w:rPr>
          <w:b/>
        </w:rPr>
        <w:t>3</w:t>
      </w:r>
      <w:r>
        <w:t xml:space="preserve"> as the pre-catalyst. (a) Reaction </w:t>
      </w:r>
      <w:r>
        <w:rPr>
          <w:b/>
        </w:rPr>
        <w:t>1</w:t>
      </w:r>
      <w:r>
        <w:t>+</w:t>
      </w:r>
      <w:r>
        <w:rPr>
          <w:b/>
        </w:rPr>
        <w:t>4b→</w:t>
      </w:r>
      <w:r w:rsidRPr="00816371">
        <w:rPr>
          <w:b/>
        </w:rPr>
        <w:t>5b</w:t>
      </w:r>
      <w:r>
        <w:t>, without Cy</w:t>
      </w:r>
      <w:r>
        <w:rPr>
          <w:vertAlign w:val="subscript"/>
        </w:rPr>
        <w:t>2</w:t>
      </w:r>
      <w:r>
        <w:t xml:space="preserve">NH. (b) Reaction </w:t>
      </w:r>
      <w:r>
        <w:rPr>
          <w:b/>
        </w:rPr>
        <w:t>1</w:t>
      </w:r>
      <w:r>
        <w:t>+</w:t>
      </w:r>
      <w:r>
        <w:rPr>
          <w:b/>
        </w:rPr>
        <w:t>4b→</w:t>
      </w:r>
      <w:r w:rsidRPr="00816371">
        <w:rPr>
          <w:b/>
        </w:rPr>
        <w:t>5b</w:t>
      </w:r>
      <w:r>
        <w:t>, with [Cy</w:t>
      </w:r>
      <w:r>
        <w:rPr>
          <w:vertAlign w:val="subscript"/>
        </w:rPr>
        <w:t>2</w:t>
      </w:r>
      <w:r>
        <w:t>NH</w:t>
      </w:r>
      <w:r>
        <w:rPr>
          <w:vertAlign w:val="subscript"/>
        </w:rPr>
        <w:t>2</w:t>
      </w:r>
      <w:r>
        <w:t>]BF</w:t>
      </w:r>
      <w:r>
        <w:rPr>
          <w:vertAlign w:val="subscript"/>
        </w:rPr>
        <w:t>4</w:t>
      </w:r>
      <w:r>
        <w:t xml:space="preserve"> (20 mol%). (c) Reaction </w:t>
      </w:r>
      <w:r>
        <w:rPr>
          <w:b/>
        </w:rPr>
        <w:t>1</w:t>
      </w:r>
      <w:r>
        <w:t>+</w:t>
      </w:r>
      <w:r>
        <w:rPr>
          <w:b/>
        </w:rPr>
        <w:t>4c→</w:t>
      </w:r>
      <w:r w:rsidRPr="00816371">
        <w:rPr>
          <w:b/>
        </w:rPr>
        <w:t>5</w:t>
      </w:r>
      <w:r>
        <w:rPr>
          <w:b/>
        </w:rPr>
        <w:t>c</w:t>
      </w:r>
      <w:r>
        <w:t>, without Cy</w:t>
      </w:r>
      <w:r>
        <w:rPr>
          <w:vertAlign w:val="subscript"/>
        </w:rPr>
        <w:t>2</w:t>
      </w:r>
      <w:r>
        <w:t xml:space="preserve">NH. (d) Reaction </w:t>
      </w:r>
      <w:r>
        <w:rPr>
          <w:b/>
        </w:rPr>
        <w:t>1</w:t>
      </w:r>
      <w:r>
        <w:t>+</w:t>
      </w:r>
      <w:r>
        <w:rPr>
          <w:b/>
        </w:rPr>
        <w:t>4c→</w:t>
      </w:r>
      <w:r w:rsidRPr="00816371">
        <w:rPr>
          <w:b/>
        </w:rPr>
        <w:t>5</w:t>
      </w:r>
      <w:r>
        <w:rPr>
          <w:b/>
        </w:rPr>
        <w:t>c</w:t>
      </w:r>
      <w:r>
        <w:t xml:space="preserve"> with [Cy</w:t>
      </w:r>
      <w:r>
        <w:rPr>
          <w:vertAlign w:val="subscript"/>
        </w:rPr>
        <w:t>2</w:t>
      </w:r>
      <w:r>
        <w:t>NH</w:t>
      </w:r>
      <w:proofErr w:type="gramStart"/>
      <w:r>
        <w:rPr>
          <w:vertAlign w:val="subscript"/>
        </w:rPr>
        <w:t>2</w:t>
      </w:r>
      <w:r>
        <w:t>][</w:t>
      </w:r>
      <w:proofErr w:type="gramEnd"/>
      <w:r>
        <w:t>Br] (20 mol%).</w:t>
      </w:r>
    </w:p>
    <w:p w14:paraId="6C0359CD" w14:textId="77777777" w:rsidR="00B14189" w:rsidRPr="001E40C7" w:rsidRDefault="00B14189" w:rsidP="00B14189">
      <w:pPr>
        <w:pStyle w:val="RSCB02ArticleText"/>
      </w:pPr>
    </w:p>
    <w:p w14:paraId="5798F206" w14:textId="77777777" w:rsidR="00D27D1A" w:rsidRDefault="00B14189" w:rsidP="00B14189">
      <w:pPr>
        <w:pStyle w:val="RSCB02ArticleText"/>
      </w:pPr>
      <w:r>
        <w:t xml:space="preserve">Monitoring the reaction of </w:t>
      </w:r>
      <w:r>
        <w:rPr>
          <w:b/>
        </w:rPr>
        <w:t>1</w:t>
      </w:r>
      <w:r>
        <w:t>+</w:t>
      </w:r>
      <w:r w:rsidRPr="007A71A6">
        <w:rPr>
          <w:b/>
        </w:rPr>
        <w:t>4</w:t>
      </w:r>
      <w:r>
        <w:rPr>
          <w:b/>
        </w:rPr>
        <w:t>c</w:t>
      </w:r>
      <w:r>
        <w:t>→</w:t>
      </w:r>
      <w:r>
        <w:rPr>
          <w:b/>
        </w:rPr>
        <w:t>5c</w:t>
      </w:r>
      <w:r>
        <w:t xml:space="preserve"> without Cy</w:t>
      </w:r>
      <w:r w:rsidRPr="00816371">
        <w:rPr>
          <w:vertAlign w:val="subscript"/>
        </w:rPr>
        <w:t>2</w:t>
      </w:r>
      <w:r>
        <w:t>NH (Figure 2c) showed that two new significant overlapping carbonyl bands (</w:t>
      </w:r>
      <w:r w:rsidRPr="000C2025">
        <w:t>depicted by</w:t>
      </w:r>
      <w:r>
        <w:t xml:space="preserve"> closed gold circles) formed, </w:t>
      </w:r>
      <w:r>
        <w:rPr>
          <w:i/>
        </w:rPr>
        <w:t xml:space="preserve">i.e. </w:t>
      </w:r>
      <w:r>
        <w:t xml:space="preserve">similar bands to the manganese hydroxyl-containing clusters seen when employing alkyne </w:t>
      </w:r>
      <w:r>
        <w:rPr>
          <w:b/>
        </w:rPr>
        <w:t>4b</w:t>
      </w:r>
      <w:r>
        <w:t xml:space="preserve"> but not identical. Furthermore, manganacycle </w:t>
      </w:r>
      <w:r>
        <w:rPr>
          <w:b/>
        </w:rPr>
        <w:t>3</w:t>
      </w:r>
      <w:r>
        <w:t xml:space="preserve"> was seen to persist throughout the reaction. Addition of [Cy</w:t>
      </w:r>
      <w:r>
        <w:rPr>
          <w:vertAlign w:val="subscript"/>
        </w:rPr>
        <w:t>2</w:t>
      </w:r>
      <w:r>
        <w:t>NH</w:t>
      </w:r>
      <w:proofErr w:type="gramStart"/>
      <w:r>
        <w:rPr>
          <w:vertAlign w:val="subscript"/>
        </w:rPr>
        <w:t>2</w:t>
      </w:r>
      <w:r>
        <w:t>]Br</w:t>
      </w:r>
      <w:proofErr w:type="gramEnd"/>
      <w:r>
        <w:t xml:space="preserve"> to the reaction </w:t>
      </w:r>
      <w:r>
        <w:rPr>
          <w:b/>
        </w:rPr>
        <w:t>1</w:t>
      </w:r>
      <w:r>
        <w:t>+</w:t>
      </w:r>
      <w:r w:rsidRPr="007A71A6">
        <w:rPr>
          <w:b/>
        </w:rPr>
        <w:t>4</w:t>
      </w:r>
      <w:r>
        <w:rPr>
          <w:b/>
        </w:rPr>
        <w:t>c</w:t>
      </w:r>
      <w:r>
        <w:t>→</w:t>
      </w:r>
      <w:r>
        <w:rPr>
          <w:b/>
        </w:rPr>
        <w:t>5c</w:t>
      </w:r>
      <w:r>
        <w:t xml:space="preserve"> (Figure 2d), once again reduces the amount of manganese hydroxyl-containing clusters formed. Over longer reaction times Mn</w:t>
      </w:r>
      <w:r>
        <w:rPr>
          <w:vertAlign w:val="subscript"/>
        </w:rPr>
        <w:t>2</w:t>
      </w:r>
      <w:r>
        <w:t>(CO)</w:t>
      </w:r>
      <w:r>
        <w:rPr>
          <w:vertAlign w:val="subscript"/>
        </w:rPr>
        <w:t>10</w:t>
      </w:r>
      <w:r>
        <w:t xml:space="preserve"> is formed (</w:t>
      </w:r>
      <w:r w:rsidRPr="00346071">
        <w:rPr>
          <w:rFonts w:ascii="Times New Roman" w:hAnsi="Times New Roman"/>
        </w:rPr>
        <w:t>ῡ</w:t>
      </w:r>
      <w:r>
        <w:t>2048 and 2015 cm</w:t>
      </w:r>
      <w:r>
        <w:rPr>
          <w:vertAlign w:val="superscript"/>
        </w:rPr>
        <w:t>-1</w:t>
      </w:r>
      <w:r>
        <w:t>, depicted by closed green circles), which is also known to be a competent precatalyst for this type of transformation. The formation of Mn</w:t>
      </w:r>
      <w:r>
        <w:rPr>
          <w:vertAlign w:val="subscript"/>
        </w:rPr>
        <w:t>2</w:t>
      </w:r>
      <w:r>
        <w:t>(CO)</w:t>
      </w:r>
      <w:r>
        <w:rPr>
          <w:vertAlign w:val="subscript"/>
        </w:rPr>
        <w:t>10</w:t>
      </w:r>
      <w:r>
        <w:t xml:space="preserve"> was not detected for the reaction conducted in the absence of [Cy</w:t>
      </w:r>
      <w:r>
        <w:rPr>
          <w:vertAlign w:val="subscript"/>
        </w:rPr>
        <w:t>2</w:t>
      </w:r>
      <w:r>
        <w:t>NH</w:t>
      </w:r>
      <w:proofErr w:type="gramStart"/>
      <w:r>
        <w:rPr>
          <w:vertAlign w:val="subscript"/>
        </w:rPr>
        <w:t>2</w:t>
      </w:r>
      <w:r>
        <w:t>]Br.</w:t>
      </w:r>
      <w:proofErr w:type="gramEnd"/>
      <w:r>
        <w:t xml:space="preserve"> </w:t>
      </w:r>
    </w:p>
    <w:p w14:paraId="2189C765" w14:textId="6ED6E4EC" w:rsidR="00B14189" w:rsidRDefault="00B14189" w:rsidP="00B14189">
      <w:pPr>
        <w:pStyle w:val="RSCB02ArticleText"/>
      </w:pPr>
      <w:r>
        <w:t xml:space="preserve">The take home message from the </w:t>
      </w:r>
      <w:proofErr w:type="gramStart"/>
      <w:r>
        <w:rPr>
          <w:i/>
        </w:rPr>
        <w:t>in operando</w:t>
      </w:r>
      <w:proofErr w:type="gramEnd"/>
      <w:r>
        <w:t xml:space="preserve"> </w:t>
      </w:r>
      <w:r w:rsidR="004A1A6E">
        <w:t xml:space="preserve">IR </w:t>
      </w:r>
      <w:r>
        <w:t>studies is:</w:t>
      </w:r>
    </w:p>
    <w:p w14:paraId="3DB320CB" w14:textId="77777777" w:rsidR="00B14189" w:rsidRDefault="00B14189" w:rsidP="00B14189">
      <w:pPr>
        <w:pStyle w:val="RSCB02ArticleText"/>
        <w:numPr>
          <w:ilvl w:val="0"/>
          <w:numId w:val="7"/>
        </w:numPr>
        <w:tabs>
          <w:tab w:val="clear" w:pos="284"/>
        </w:tabs>
        <w:ind w:left="284" w:hanging="142"/>
      </w:pPr>
      <w:r>
        <w:t>Addition of [Cy</w:t>
      </w:r>
      <w:r>
        <w:rPr>
          <w:vertAlign w:val="subscript"/>
        </w:rPr>
        <w:t>2</w:t>
      </w:r>
      <w:r>
        <w:t>NH</w:t>
      </w:r>
      <w:proofErr w:type="gramStart"/>
      <w:r>
        <w:rPr>
          <w:vertAlign w:val="subscript"/>
        </w:rPr>
        <w:t>2</w:t>
      </w:r>
      <w:r>
        <w:t>]Br</w:t>
      </w:r>
      <w:proofErr w:type="gramEnd"/>
      <w:r>
        <w:t xml:space="preserve"> hinders the formation of manganese hydroxyl-containing clusters, and related clusters. In the case of the acrylate </w:t>
      </w:r>
      <w:r w:rsidRPr="00E76F8D">
        <w:rPr>
          <w:b/>
        </w:rPr>
        <w:t>4c</w:t>
      </w:r>
      <w:r>
        <w:t xml:space="preserve"> we note formation of Mn</w:t>
      </w:r>
      <w:r w:rsidRPr="00E76F8D">
        <w:rPr>
          <w:vertAlign w:val="subscript"/>
        </w:rPr>
        <w:t>2</w:t>
      </w:r>
      <w:r>
        <w:t>(CO)</w:t>
      </w:r>
      <w:r w:rsidRPr="00E76F8D">
        <w:rPr>
          <w:vertAlign w:val="subscript"/>
        </w:rPr>
        <w:t>10</w:t>
      </w:r>
      <w:r>
        <w:t>, after just 2 minutes, which becomes inactive as catalyst under these reaction conditions.</w:t>
      </w:r>
    </w:p>
    <w:p w14:paraId="1BFDE0F1" w14:textId="77777777" w:rsidR="00B14189" w:rsidRDefault="00B14189" w:rsidP="00B14189">
      <w:pPr>
        <w:pStyle w:val="RSCB02ArticleText"/>
        <w:numPr>
          <w:ilvl w:val="0"/>
          <w:numId w:val="7"/>
        </w:numPr>
        <w:tabs>
          <w:tab w:val="clear" w:pos="284"/>
        </w:tabs>
        <w:ind w:left="284" w:hanging="142"/>
      </w:pPr>
      <w:r>
        <w:t>[Cy</w:t>
      </w:r>
      <w:r w:rsidRPr="00E76F8D">
        <w:rPr>
          <w:vertAlign w:val="subscript"/>
        </w:rPr>
        <w:t>2</w:t>
      </w:r>
      <w:r>
        <w:t>NH</w:t>
      </w:r>
      <w:proofErr w:type="gramStart"/>
      <w:r w:rsidRPr="00E76F8D">
        <w:rPr>
          <w:vertAlign w:val="subscript"/>
        </w:rPr>
        <w:t>2</w:t>
      </w:r>
      <w:r>
        <w:t>]Br</w:t>
      </w:r>
      <w:proofErr w:type="gramEnd"/>
      <w:r>
        <w:t xml:space="preserve"> increases the lifetime of manganacycle </w:t>
      </w:r>
      <w:r w:rsidRPr="00E76F8D">
        <w:rPr>
          <w:b/>
        </w:rPr>
        <w:t>3</w:t>
      </w:r>
      <w:r>
        <w:t xml:space="preserve"> in both reactions </w:t>
      </w:r>
      <w:r w:rsidRPr="00E76F8D">
        <w:rPr>
          <w:b/>
        </w:rPr>
        <w:t>1</w:t>
      </w:r>
      <w:r>
        <w:t>+</w:t>
      </w:r>
      <w:r w:rsidRPr="00E76F8D">
        <w:rPr>
          <w:b/>
        </w:rPr>
        <w:t>4b-c</w:t>
      </w:r>
      <w:r>
        <w:t>→</w:t>
      </w:r>
      <w:r w:rsidRPr="00E76F8D">
        <w:rPr>
          <w:b/>
        </w:rPr>
        <w:t>5b-c</w:t>
      </w:r>
      <w:r>
        <w:t xml:space="preserve">, respectively. </w:t>
      </w:r>
    </w:p>
    <w:p w14:paraId="75AB452E" w14:textId="77777777" w:rsidR="00B14189" w:rsidRDefault="00B14189" w:rsidP="00B14189">
      <w:pPr>
        <w:pStyle w:val="RSCB02ArticleText"/>
      </w:pPr>
    </w:p>
    <w:p w14:paraId="4689E86D" w14:textId="29F9EE57" w:rsidR="00B14189" w:rsidRDefault="00B14189" w:rsidP="00B14189">
      <w:pPr>
        <w:pStyle w:val="RSCB02ArticleText"/>
      </w:pPr>
      <w:r>
        <w:rPr>
          <w:b/>
        </w:rPr>
        <w:t xml:space="preserve">Further studies on the acid additives – effect of </w:t>
      </w:r>
      <w:r w:rsidR="00936E40">
        <w:rPr>
          <w:b/>
        </w:rPr>
        <w:t>pKa</w:t>
      </w:r>
      <w:r>
        <w:rPr>
          <w:b/>
        </w:rPr>
        <w:t xml:space="preserve">: </w:t>
      </w:r>
      <w:r>
        <w:t xml:space="preserve">We extended our studies on the reaction of </w:t>
      </w:r>
      <w:r>
        <w:rPr>
          <w:b/>
        </w:rPr>
        <w:t>1</w:t>
      </w:r>
      <w:r>
        <w:t>+</w:t>
      </w:r>
      <w:r w:rsidRPr="007A71A6">
        <w:rPr>
          <w:b/>
        </w:rPr>
        <w:t>4</w:t>
      </w:r>
      <w:r>
        <w:rPr>
          <w:b/>
        </w:rPr>
        <w:t>b</w:t>
      </w:r>
      <w:r>
        <w:t>→</w:t>
      </w:r>
      <w:r>
        <w:rPr>
          <w:b/>
        </w:rPr>
        <w:t>5b</w:t>
      </w:r>
      <w:r>
        <w:t>,</w:t>
      </w:r>
      <w:r>
        <w:rPr>
          <w:b/>
        </w:rPr>
        <w:t xml:space="preserve"> </w:t>
      </w:r>
      <w:r>
        <w:t xml:space="preserve">mediated by precatalyst </w:t>
      </w:r>
      <w:r>
        <w:rPr>
          <w:b/>
        </w:rPr>
        <w:t>3</w:t>
      </w:r>
      <w:r>
        <w:t xml:space="preserve"> along with propionic acid (pKa = </w:t>
      </w:r>
      <w:r w:rsidRPr="00465CB9">
        <w:t>4.9</w:t>
      </w:r>
      <w:r>
        <w:t xml:space="preserve"> in H</w:t>
      </w:r>
      <w:r>
        <w:rPr>
          <w:vertAlign w:val="subscript"/>
        </w:rPr>
        <w:t>2</w:t>
      </w:r>
      <w:r>
        <w:t>O</w:t>
      </w:r>
      <w:bookmarkStart w:id="6" w:name="_Ref534727061"/>
      <w:r w:rsidR="004B5B6E" w:rsidRPr="004B5B6E">
        <w:rPr>
          <w:vertAlign w:val="superscript"/>
        </w:rPr>
        <w:t>1</w:t>
      </w:r>
      <w:bookmarkEnd w:id="6"/>
      <w:r w:rsidR="003A5CC1">
        <w:rPr>
          <w:vertAlign w:val="superscript"/>
        </w:rPr>
        <w:t>3</w:t>
      </w:r>
      <w:r>
        <w:t xml:space="preserve">) as a co-catalyst (20 mol%), affording </w:t>
      </w:r>
      <w:r>
        <w:rPr>
          <w:b/>
        </w:rPr>
        <w:t>5b</w:t>
      </w:r>
      <w:r>
        <w:t xml:space="preserve"> in 82% conversion – an enhancement of 75% when compared against the reaction </w:t>
      </w:r>
      <w:r>
        <w:t xml:space="preserve">without any additive (7%, </w:t>
      </w:r>
      <w:r>
        <w:rPr>
          <w:i/>
        </w:rPr>
        <w:t>vide supra</w:t>
      </w:r>
      <w:r>
        <w:t>, see Figure 3). Switching to HCl (pKa = -8 in H</w:t>
      </w:r>
      <w:r>
        <w:rPr>
          <w:vertAlign w:val="subscript"/>
        </w:rPr>
        <w:t>2</w:t>
      </w:r>
      <w:r>
        <w:t>O) as the acid additive led to</w:t>
      </w:r>
      <w:r w:rsidRPr="00610D29">
        <w:t xml:space="preserve"> no enhancement in catalysis (</w:t>
      </w:r>
      <w:r>
        <w:t xml:space="preserve">5% conversion to </w:t>
      </w:r>
      <w:r>
        <w:rPr>
          <w:b/>
        </w:rPr>
        <w:t>5b</w:t>
      </w:r>
      <w:r>
        <w:t xml:space="preserve"> recorded), while even stronger acids HBr (pKa = -9 in H</w:t>
      </w:r>
      <w:r>
        <w:rPr>
          <w:vertAlign w:val="subscript"/>
        </w:rPr>
        <w:t>2</w:t>
      </w:r>
      <w:r>
        <w:t>O</w:t>
      </w:r>
      <w:r w:rsidR="003A5CC1">
        <w:rPr>
          <w:vertAlign w:val="superscript"/>
        </w:rPr>
        <w:t>13</w:t>
      </w:r>
      <w:r>
        <w:t>) and HI (pKa = -10 in H</w:t>
      </w:r>
      <w:r>
        <w:rPr>
          <w:vertAlign w:val="subscript"/>
        </w:rPr>
        <w:t>2</w:t>
      </w:r>
      <w:r>
        <w:t>O</w:t>
      </w:r>
      <w:r w:rsidR="003A5CC1">
        <w:rPr>
          <w:vertAlign w:val="superscript"/>
        </w:rPr>
        <w:t>13</w:t>
      </w:r>
      <w:r>
        <w:t>) resulted in negligible product formation (≤1%). Interestingly, HBF</w:t>
      </w:r>
      <w:r>
        <w:rPr>
          <w:vertAlign w:val="subscript"/>
        </w:rPr>
        <w:t>4</w:t>
      </w:r>
      <w:r w:rsidRPr="00DF6EA2">
        <w:t>•OEt</w:t>
      </w:r>
      <w:r w:rsidRPr="00DF6EA2">
        <w:rPr>
          <w:vertAlign w:val="subscript"/>
        </w:rPr>
        <w:t>2</w:t>
      </w:r>
      <w:r>
        <w:t xml:space="preserve"> (pKa = -4.9 in H</w:t>
      </w:r>
      <w:r>
        <w:rPr>
          <w:vertAlign w:val="subscript"/>
        </w:rPr>
        <w:t>2</w:t>
      </w:r>
      <w:r>
        <w:t>O</w:t>
      </w:r>
      <w:r w:rsidR="003A5CC1">
        <w:rPr>
          <w:vertAlign w:val="superscript"/>
        </w:rPr>
        <w:t>13</w:t>
      </w:r>
      <w:r>
        <w:t xml:space="preserve">) enhanced product formation, affording </w:t>
      </w:r>
      <w:r>
        <w:rPr>
          <w:b/>
        </w:rPr>
        <w:t>5b</w:t>
      </w:r>
      <w:r>
        <w:t xml:space="preserve"> in 62% conversion. This latter result possibly indicates that the relatively non-coordinating BF</w:t>
      </w:r>
      <w:r>
        <w:rPr>
          <w:vertAlign w:val="subscript"/>
        </w:rPr>
        <w:t>4</w:t>
      </w:r>
      <w:r w:rsidRPr="00F861E0">
        <w:rPr>
          <w:vertAlign w:val="superscript"/>
        </w:rPr>
        <w:t>–</w:t>
      </w:r>
      <w:r>
        <w:t xml:space="preserve"> can assist catalysis in some way, </w:t>
      </w:r>
      <w:r>
        <w:rPr>
          <w:i/>
        </w:rPr>
        <w:t xml:space="preserve">i.e. </w:t>
      </w:r>
      <w:r>
        <w:t>providing protons without catalyst degradation</w:t>
      </w:r>
      <w:r w:rsidR="00936E40">
        <w:t xml:space="preserve"> or by minimising halide coordination to Mn</w:t>
      </w:r>
      <w:r w:rsidR="00936E40" w:rsidRPr="00936E40">
        <w:rPr>
          <w:vertAlign w:val="superscript"/>
        </w:rPr>
        <w:t>I</w:t>
      </w:r>
      <w:r>
        <w:t>, consistent with the results presented in Figure 1.</w:t>
      </w:r>
    </w:p>
    <w:p w14:paraId="33A67B09" w14:textId="77777777" w:rsidR="00B14189" w:rsidRDefault="00B14189" w:rsidP="00B14189">
      <w:pPr>
        <w:pStyle w:val="RSCB02ArticleText"/>
      </w:pPr>
      <w:r>
        <w:tab/>
        <w:t xml:space="preserve">Examination of the reaction of </w:t>
      </w:r>
      <w:r>
        <w:rPr>
          <w:b/>
        </w:rPr>
        <w:t>1</w:t>
      </w:r>
      <w:r>
        <w:t>+</w:t>
      </w:r>
      <w:r w:rsidRPr="007A71A6">
        <w:rPr>
          <w:b/>
        </w:rPr>
        <w:t>4</w:t>
      </w:r>
      <w:r>
        <w:rPr>
          <w:b/>
        </w:rPr>
        <w:t>b</w:t>
      </w:r>
      <w:r>
        <w:t>→</w:t>
      </w:r>
      <w:r>
        <w:rPr>
          <w:b/>
        </w:rPr>
        <w:t>5b</w:t>
      </w:r>
      <w:r>
        <w:t xml:space="preserve"> mediated by BrMn(CO)</w:t>
      </w:r>
      <w:r w:rsidRPr="00AC7DD2">
        <w:rPr>
          <w:vertAlign w:val="subscript"/>
        </w:rPr>
        <w:t>5</w:t>
      </w:r>
      <w:r>
        <w:t xml:space="preserve"> </w:t>
      </w:r>
      <w:r>
        <w:rPr>
          <w:b/>
        </w:rPr>
        <w:t>2</w:t>
      </w:r>
      <w:r>
        <w:t>, with Cy</w:t>
      </w:r>
      <w:r>
        <w:rPr>
          <w:vertAlign w:val="subscript"/>
        </w:rPr>
        <w:t>2</w:t>
      </w:r>
      <w:r>
        <w:t xml:space="preserve">NH (20 mol%) in the presence and absence of propionic acid (20 mol%), provided further evidence for an acid effect in enhancing the conversion of </w:t>
      </w:r>
      <w:r>
        <w:rPr>
          <w:b/>
        </w:rPr>
        <w:t>5b</w:t>
      </w:r>
      <w:r>
        <w:t xml:space="preserve"> from 54% to 78% (Figure 3). </w:t>
      </w:r>
    </w:p>
    <w:p w14:paraId="14CACF28" w14:textId="77777777" w:rsidR="00B14189" w:rsidRDefault="00B14189" w:rsidP="00B14189">
      <w:pPr>
        <w:pStyle w:val="RSCI01FigureSchemeChartwithbottombar"/>
      </w:pPr>
    </w:p>
    <w:p w14:paraId="4379DE90" w14:textId="77777777" w:rsidR="00B14189" w:rsidRDefault="00B14189" w:rsidP="00B14189">
      <w:pPr>
        <w:jc w:val="center"/>
      </w:pPr>
      <w:r w:rsidRPr="003A664C">
        <w:rPr>
          <w:noProof/>
          <w:lang w:eastAsia="en-GB"/>
        </w:rPr>
        <w:drawing>
          <wp:inline distT="0" distB="0" distL="0" distR="0" wp14:anchorId="1ECBE603" wp14:editId="0F43C8E0">
            <wp:extent cx="2885440" cy="2560320"/>
            <wp:effectExtent l="0" t="0" r="0" b="0"/>
            <wp:docPr id="13" name="Picture 13" descr="C:\Users\ah1006\Google Drive\Ian Schemes and Figures\Figure 3_updated_30%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h1006\Google Drive\Ian Schemes and Figures\Figure 3_updated_30%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C1A85" w14:textId="77777777" w:rsidR="00B14189" w:rsidRPr="007F2AE0" w:rsidRDefault="00B14189" w:rsidP="00B14189">
      <w:pPr>
        <w:pStyle w:val="RSCI05CaptiontoFigureSchemeChartwithbottombar"/>
      </w:pPr>
      <w:r>
        <w:rPr>
          <w:b/>
        </w:rPr>
        <w:t xml:space="preserve">Figure 3 </w:t>
      </w:r>
      <w:r>
        <w:t xml:space="preserve">The effect of additives in the reactions of </w:t>
      </w:r>
      <w:r>
        <w:rPr>
          <w:b/>
        </w:rPr>
        <w:t>1</w:t>
      </w:r>
      <w:r>
        <w:t>+</w:t>
      </w:r>
      <w:r w:rsidRPr="007A71A6">
        <w:rPr>
          <w:b/>
        </w:rPr>
        <w:t>4a</w:t>
      </w:r>
      <w:r>
        <w:rPr>
          <w:b/>
        </w:rPr>
        <w:t>-c</w:t>
      </w:r>
      <w:r>
        <w:t>→</w:t>
      </w:r>
      <w:r>
        <w:rPr>
          <w:b/>
        </w:rPr>
        <w:t xml:space="preserve">5a-c </w:t>
      </w:r>
      <w:r w:rsidRPr="005F5C14">
        <w:t>(see Figure 1)</w:t>
      </w:r>
      <w:r>
        <w:t xml:space="preserve">. </w:t>
      </w:r>
      <w:r w:rsidRPr="005F5C14">
        <w:t>General reaction conditions</w:t>
      </w:r>
      <w:r>
        <w:rPr>
          <w:b/>
        </w:rPr>
        <w:t xml:space="preserve"> </w:t>
      </w:r>
      <w:r>
        <w:t xml:space="preserve">are detailed in Figure 1, with the exception of the Mn precatalyst used: reactions mediated by </w:t>
      </w:r>
      <w:proofErr w:type="gramStart"/>
      <w:r>
        <w:t>BrMn(</w:t>
      </w:r>
      <w:proofErr w:type="gramEnd"/>
      <w:r>
        <w:t>CO)</w:t>
      </w:r>
      <w:r>
        <w:rPr>
          <w:vertAlign w:val="subscript"/>
        </w:rPr>
        <w:t>5</w:t>
      </w:r>
      <w:r>
        <w:t xml:space="preserve"> (10 mol%) are highlighted in red, and those mediated by manganacycle </w:t>
      </w:r>
      <w:r>
        <w:rPr>
          <w:b/>
        </w:rPr>
        <w:t>3</w:t>
      </w:r>
      <w:r>
        <w:t xml:space="preserve"> (10 mol%) are highlighted in blue – see figure legend key for details of the additive.</w:t>
      </w:r>
    </w:p>
    <w:p w14:paraId="297242D9" w14:textId="77777777" w:rsidR="00B14189" w:rsidRDefault="00B14189" w:rsidP="00B14189">
      <w:pPr>
        <w:pStyle w:val="RSCB02ArticleText"/>
      </w:pPr>
      <w:r>
        <w:t xml:space="preserve">The positive promoting effect of propionic acid in the reaction of </w:t>
      </w:r>
      <w:r>
        <w:rPr>
          <w:b/>
        </w:rPr>
        <w:t>1</w:t>
      </w:r>
      <w:r>
        <w:t>+</w:t>
      </w:r>
      <w:r w:rsidRPr="007A71A6">
        <w:rPr>
          <w:b/>
        </w:rPr>
        <w:t>4</w:t>
      </w:r>
      <w:r>
        <w:rPr>
          <w:b/>
        </w:rPr>
        <w:t>b</w:t>
      </w:r>
      <w:r>
        <w:t>→</w:t>
      </w:r>
      <w:r>
        <w:rPr>
          <w:b/>
        </w:rPr>
        <w:t>5b</w:t>
      </w:r>
      <w:r>
        <w:t xml:space="preserve"> led us to examine the other acceptor substrates </w:t>
      </w:r>
      <w:r>
        <w:rPr>
          <w:b/>
        </w:rPr>
        <w:t>4a</w:t>
      </w:r>
      <w:r>
        <w:t xml:space="preserve"> and </w:t>
      </w:r>
      <w:r>
        <w:rPr>
          <w:b/>
        </w:rPr>
        <w:t>4c</w:t>
      </w:r>
      <w:r>
        <w:t xml:space="preserve"> (Figure 3), for both BrMn(CO)</w:t>
      </w:r>
      <w:r w:rsidRPr="00AC7DD2">
        <w:rPr>
          <w:vertAlign w:val="subscript"/>
        </w:rPr>
        <w:t>5</w:t>
      </w:r>
      <w:r>
        <w:t xml:space="preserve"> </w:t>
      </w:r>
      <w:r>
        <w:rPr>
          <w:b/>
        </w:rPr>
        <w:t xml:space="preserve">2 </w:t>
      </w:r>
      <w:r>
        <w:t xml:space="preserve">and manganacycle </w:t>
      </w:r>
      <w:r>
        <w:rPr>
          <w:b/>
        </w:rPr>
        <w:t>3</w:t>
      </w:r>
      <w:r>
        <w:t xml:space="preserve"> precatalysts. For phenyl acetylene </w:t>
      </w:r>
      <w:r>
        <w:rPr>
          <w:b/>
        </w:rPr>
        <w:t>4a</w:t>
      </w:r>
      <w:r>
        <w:t xml:space="preserve"> we find that propionic acid enhances catalysis for both </w:t>
      </w:r>
      <w:r>
        <w:rPr>
          <w:b/>
        </w:rPr>
        <w:t>2</w:t>
      </w:r>
      <w:r>
        <w:t xml:space="preserve"> and </w:t>
      </w:r>
      <w:r>
        <w:rPr>
          <w:b/>
        </w:rPr>
        <w:t>3</w:t>
      </w:r>
      <w:r>
        <w:t>, in the case of the latter, significantly (</w:t>
      </w:r>
      <w:r>
        <w:rPr>
          <w:i/>
        </w:rPr>
        <w:t xml:space="preserve">i.e. </w:t>
      </w:r>
      <w:r>
        <w:t xml:space="preserve">95% conversion to </w:t>
      </w:r>
      <w:r>
        <w:rPr>
          <w:b/>
        </w:rPr>
        <w:t>5a</w:t>
      </w:r>
      <w:r>
        <w:t>,</w:t>
      </w:r>
      <w:r>
        <w:rPr>
          <w:b/>
        </w:rPr>
        <w:t xml:space="preserve"> </w:t>
      </w:r>
      <w:r>
        <w:t>as compared to 55% in the absence of propionic acid). It is striking that the conjugate acids [Cy</w:t>
      </w:r>
      <w:r>
        <w:rPr>
          <w:vertAlign w:val="subscript"/>
        </w:rPr>
        <w:t>2</w:t>
      </w:r>
      <w:r>
        <w:t>NH</w:t>
      </w:r>
      <w:r>
        <w:rPr>
          <w:vertAlign w:val="subscript"/>
        </w:rPr>
        <w:t>2</w:t>
      </w:r>
      <w:r>
        <w:t>]X do not positively influence catalysis under the same reaction conditions.</w:t>
      </w:r>
    </w:p>
    <w:p w14:paraId="1F7B5334" w14:textId="77777777" w:rsidR="00B14189" w:rsidRPr="000E5F69" w:rsidRDefault="00B14189" w:rsidP="00B14189">
      <w:pPr>
        <w:pStyle w:val="RSCB02ArticleText"/>
      </w:pPr>
      <w:r>
        <w:tab/>
        <w:t xml:space="preserve">In the reaction of </w:t>
      </w:r>
      <w:r>
        <w:rPr>
          <w:b/>
        </w:rPr>
        <w:t>1</w:t>
      </w:r>
      <w:r>
        <w:t>+</w:t>
      </w:r>
      <w:r w:rsidRPr="007A71A6">
        <w:rPr>
          <w:b/>
        </w:rPr>
        <w:t>4</w:t>
      </w:r>
      <w:r>
        <w:rPr>
          <w:b/>
        </w:rPr>
        <w:t>c</w:t>
      </w:r>
      <w:r>
        <w:t>→</w:t>
      </w:r>
      <w:r>
        <w:rPr>
          <w:b/>
        </w:rPr>
        <w:t>5c</w:t>
      </w:r>
      <w:r>
        <w:t>, mediated by</w:t>
      </w:r>
      <w:r w:rsidRPr="000E5F69">
        <w:t xml:space="preserve"> </w:t>
      </w:r>
      <w:r>
        <w:t>both BrMn(CO)</w:t>
      </w:r>
      <w:r w:rsidRPr="00AC7DD2">
        <w:rPr>
          <w:vertAlign w:val="subscript"/>
        </w:rPr>
        <w:t>5</w:t>
      </w:r>
      <w:r>
        <w:t xml:space="preserve"> </w:t>
      </w:r>
      <w:r>
        <w:rPr>
          <w:b/>
        </w:rPr>
        <w:t xml:space="preserve">2 </w:t>
      </w:r>
      <w:r>
        <w:t xml:space="preserve">and manganacycle </w:t>
      </w:r>
      <w:r>
        <w:rPr>
          <w:b/>
        </w:rPr>
        <w:t>3</w:t>
      </w:r>
      <w:r>
        <w:t xml:space="preserve"> precatalysts, led to a significant reduction in product </w:t>
      </w:r>
      <w:r>
        <w:rPr>
          <w:b/>
        </w:rPr>
        <w:t>5c</w:t>
      </w:r>
      <w:r>
        <w:t xml:space="preserve"> formation, which is consistent with the net negative effects of the conjugate acids [Cy</w:t>
      </w:r>
      <w:r>
        <w:rPr>
          <w:vertAlign w:val="subscript"/>
        </w:rPr>
        <w:t>2</w:t>
      </w:r>
      <w:r>
        <w:t>NH</w:t>
      </w:r>
      <w:r>
        <w:rPr>
          <w:vertAlign w:val="subscript"/>
        </w:rPr>
        <w:t>2</w:t>
      </w:r>
      <w:r>
        <w:t>]X</w:t>
      </w:r>
      <w:r>
        <w:rPr>
          <w:i/>
        </w:rPr>
        <w:t xml:space="preserve"> vide supra</w:t>
      </w:r>
      <w:r>
        <w:t xml:space="preserve">. </w:t>
      </w:r>
    </w:p>
    <w:p w14:paraId="5933B999" w14:textId="3C865A70" w:rsidR="00B14189" w:rsidRDefault="00B14189" w:rsidP="00B14189">
      <w:pPr>
        <w:pStyle w:val="RSCB02ArticleText"/>
        <w:ind w:firstLine="180"/>
      </w:pPr>
      <w:r w:rsidRPr="00E94AF3">
        <w:rPr>
          <w:b/>
        </w:rPr>
        <w:t>Promotion of substrates previously determined to be problematic for catalytic C-H bond alkenylation using Mn</w:t>
      </w:r>
      <w:r w:rsidRPr="00E94AF3">
        <w:rPr>
          <w:b/>
          <w:vertAlign w:val="superscript"/>
        </w:rPr>
        <w:t>I</w:t>
      </w:r>
      <w:r w:rsidRPr="00E94AF3">
        <w:rPr>
          <w:b/>
        </w:rPr>
        <w:t xml:space="preserve"> catalysis:</w:t>
      </w:r>
      <w:r>
        <w:t xml:space="preserve"> We have previously determined that </w:t>
      </w:r>
      <w:r w:rsidR="00746B39">
        <w:t>internal alkyne</w:t>
      </w:r>
      <w:r>
        <w:t xml:space="preserve"> </w:t>
      </w:r>
      <w:r>
        <w:rPr>
          <w:b/>
        </w:rPr>
        <w:t>6</w:t>
      </w:r>
      <w:r>
        <w:t xml:space="preserve"> </w:t>
      </w:r>
      <w:r>
        <w:lastRenderedPageBreak/>
        <w:t xml:space="preserve">strongly prefers reductive elimination pathways over protonation (in a reaction with 2-phenylpyridine </w:t>
      </w:r>
      <w:r>
        <w:rPr>
          <w:b/>
        </w:rPr>
        <w:t>1</w:t>
      </w:r>
      <w:r>
        <w:t xml:space="preserve">), thus rendering formation of alkenylated product </w:t>
      </w:r>
      <w:r>
        <w:rPr>
          <w:b/>
        </w:rPr>
        <w:t xml:space="preserve">7 </w:t>
      </w:r>
      <w:r>
        <w:t>inaccessible.</w:t>
      </w:r>
      <w:r w:rsidR="000556FF">
        <w:rPr>
          <w:vertAlign w:val="superscript"/>
        </w:rPr>
        <w:t>8</w:t>
      </w:r>
      <w:r>
        <w:t xml:space="preserve"> Drawing on what had been learnt from </w:t>
      </w:r>
      <w:r w:rsidR="00EA4C85">
        <w:t xml:space="preserve">this </w:t>
      </w:r>
      <w:r>
        <w:t>study we postulated that the protonation step could be assisted by EtCO</w:t>
      </w:r>
      <w:r w:rsidRPr="00C0461E">
        <w:rPr>
          <w:vertAlign w:val="subscript"/>
        </w:rPr>
        <w:t>2</w:t>
      </w:r>
      <w:r>
        <w:t xml:space="preserve">H, bringing about the formation of alkenylated product </w:t>
      </w:r>
      <w:r>
        <w:rPr>
          <w:b/>
        </w:rPr>
        <w:t>7</w:t>
      </w:r>
      <w:r>
        <w:t xml:space="preserve">. Pleasingly, under the reaction conditions given in Scheme 2, </w:t>
      </w:r>
      <w:r>
        <w:rPr>
          <w:b/>
        </w:rPr>
        <w:t>7</w:t>
      </w:r>
      <w:r>
        <w:t xml:space="preserve"> </w:t>
      </w:r>
      <w:r w:rsidR="004C3CCB">
        <w:t xml:space="preserve">is formed </w:t>
      </w:r>
      <w:r>
        <w:t>in 20% yield (isolated product after chromatography), showcasing the ability of acid additives to form otherwise unachievable products for the Mn</w:t>
      </w:r>
      <w:r w:rsidRPr="00271C9E">
        <w:rPr>
          <w:vertAlign w:val="superscript"/>
        </w:rPr>
        <w:t>I</w:t>
      </w:r>
      <w:r>
        <w:t xml:space="preserve"> catalysis. The modest amount of </w:t>
      </w:r>
      <w:r>
        <w:rPr>
          <w:b/>
        </w:rPr>
        <w:t>7</w:t>
      </w:r>
      <w:r>
        <w:t xml:space="preserve"> formed highlights the difficulty associated with the protonation step within the catalytic cycle, explaining why substrate sensitivity is sometimes observed.</w:t>
      </w:r>
    </w:p>
    <w:p w14:paraId="3063F5E7" w14:textId="77777777" w:rsidR="00B14189" w:rsidRDefault="00B14189" w:rsidP="00B14189">
      <w:pPr>
        <w:pStyle w:val="RSCI01FigureSchemeChartwithbottombar"/>
      </w:pPr>
    </w:p>
    <w:p w14:paraId="05DD7829" w14:textId="055873C3" w:rsidR="00B14189" w:rsidRDefault="009E41A4" w:rsidP="00B14189">
      <w:pPr>
        <w:jc w:val="center"/>
      </w:pPr>
      <w:r>
        <w:rPr>
          <w:noProof/>
        </w:rPr>
        <w:object w:dxaOrig="5418" w:dyaOrig="4617" w14:anchorId="367DED4D">
          <v:shape id="_x0000_i1026" type="#_x0000_t75" alt="" style="width:208.05pt;height:176.6pt" o:ole="">
            <v:imagedata r:id="rId20" o:title=""/>
          </v:shape>
          <o:OLEObject Type="Embed" ProgID="ChemDraw.Document.6.0" ShapeID="_x0000_i1026" DrawAspect="Content" ObjectID="_1610956872" r:id="rId21"/>
        </w:object>
      </w:r>
    </w:p>
    <w:p w14:paraId="1C577D2F" w14:textId="77777777" w:rsidR="00B14189" w:rsidRDefault="00B14189" w:rsidP="00B14189">
      <w:pPr>
        <w:pStyle w:val="RSCI05CaptiontoFigureSchemeChartwithbottombar"/>
      </w:pPr>
      <w:r>
        <w:rPr>
          <w:b/>
        </w:rPr>
        <w:t>Scheme 2</w:t>
      </w:r>
      <w:r>
        <w:t xml:space="preserve"> (a) Effect of addition of EtCO</w:t>
      </w:r>
      <w:r>
        <w:rPr>
          <w:vertAlign w:val="subscript"/>
        </w:rPr>
        <w:t>2</w:t>
      </w:r>
      <w:r>
        <w:t xml:space="preserve">H to a reaction with diphenylacetylene </w:t>
      </w:r>
      <w:r>
        <w:rPr>
          <w:b/>
        </w:rPr>
        <w:t>6</w:t>
      </w:r>
      <w:r>
        <w:t>. (b) Effect of addition of EtCO</w:t>
      </w:r>
      <w:r>
        <w:rPr>
          <w:vertAlign w:val="subscript"/>
        </w:rPr>
        <w:t>2</w:t>
      </w:r>
      <w:r>
        <w:t xml:space="preserve">H to a reaction with </w:t>
      </w:r>
      <w:r>
        <w:rPr>
          <w:b/>
        </w:rPr>
        <w:t>8</w:t>
      </w:r>
      <w:r>
        <w:t>.</w:t>
      </w:r>
      <w:r w:rsidRPr="005C2207">
        <w:t xml:space="preserve"> </w:t>
      </w:r>
    </w:p>
    <w:p w14:paraId="636A4811" w14:textId="3CF14C5A" w:rsidR="00180ABE" w:rsidRDefault="00B14189" w:rsidP="00B14189">
      <w:pPr>
        <w:pStyle w:val="RSCB02ArticleText"/>
      </w:pPr>
      <w:r>
        <w:t xml:space="preserve">We next turned our attention to </w:t>
      </w:r>
      <w:r w:rsidR="00BA2D96">
        <w:t xml:space="preserve">the reaction with </w:t>
      </w:r>
      <w:r>
        <w:t xml:space="preserve">substrate </w:t>
      </w:r>
      <w:r>
        <w:rPr>
          <w:b/>
        </w:rPr>
        <w:t>8</w:t>
      </w:r>
      <w:r>
        <w:t>, which had previously allowed us to characterise a key 7-membered manganacyclic intermediate</w:t>
      </w:r>
      <w:r w:rsidR="00222E3E">
        <w:t xml:space="preserve">, the </w:t>
      </w:r>
      <w:r>
        <w:t xml:space="preserve">anvil point to </w:t>
      </w:r>
      <w:r w:rsidR="00222E3E">
        <w:t xml:space="preserve">subsequent </w:t>
      </w:r>
      <w:r>
        <w:t xml:space="preserve">protonation </w:t>
      </w:r>
      <w:r w:rsidR="00222E3E">
        <w:t>or</w:t>
      </w:r>
      <w:r>
        <w:t xml:space="preserve"> </w:t>
      </w:r>
      <w:r w:rsidRPr="00647971">
        <w:t>reductive elimination</w:t>
      </w:r>
      <w:r>
        <w:t>,</w:t>
      </w:r>
      <w:r w:rsidR="00EA4C85">
        <w:rPr>
          <w:vertAlign w:val="superscript"/>
        </w:rPr>
        <w:t>6</w:t>
      </w:r>
      <w:r>
        <w:t xml:space="preserve"> with the latter being preferred under typical catalytic reaction conditions (Scheme 2b). Quite remarkably we discovered that the reaction </w:t>
      </w:r>
      <w:r>
        <w:rPr>
          <w:b/>
        </w:rPr>
        <w:t>8</w:t>
      </w:r>
      <w:r>
        <w:t>+</w:t>
      </w:r>
      <w:r w:rsidRPr="007A71A6">
        <w:rPr>
          <w:b/>
        </w:rPr>
        <w:t>4</w:t>
      </w:r>
      <w:r>
        <w:rPr>
          <w:b/>
        </w:rPr>
        <w:t>a</w:t>
      </w:r>
      <w:r>
        <w:t>→</w:t>
      </w:r>
      <w:r>
        <w:rPr>
          <w:b/>
        </w:rPr>
        <w:t xml:space="preserve">9 </w:t>
      </w:r>
      <w:r w:rsidRPr="007F7923">
        <w:t>was</w:t>
      </w:r>
      <w:r>
        <w:t xml:space="preserve"> made feasible by the addition of propionic acid affording in </w:t>
      </w:r>
      <w:r>
        <w:rPr>
          <w:b/>
        </w:rPr>
        <w:t xml:space="preserve">9 </w:t>
      </w:r>
      <w:r>
        <w:t>in 43</w:t>
      </w:r>
      <w:r w:rsidRPr="00E8072D">
        <w:t>%</w:t>
      </w:r>
      <w:r>
        <w:t xml:space="preserve"> yield (isolated product after chromatography) (Scheme 2b). This result highlights the ability of acid additives to promote the protonation pathway, with concomitant formation of</w:t>
      </w:r>
      <w:r w:rsidR="003B0348">
        <w:t xml:space="preserve"> </w:t>
      </w:r>
      <w:r>
        <w:t>alkenylated products.</w:t>
      </w:r>
    </w:p>
    <w:p w14:paraId="24E48ACD" w14:textId="7407B754" w:rsidR="00101F38" w:rsidRDefault="00463E6C" w:rsidP="00B14189">
      <w:pPr>
        <w:pStyle w:val="RSCB02ArticleText"/>
      </w:pPr>
      <w:r>
        <w:tab/>
        <w:t xml:space="preserve">To summarise, we set out to understand the role of the conjugate acid, </w:t>
      </w:r>
      <w:r w:rsidR="00EA4C85">
        <w:t>[</w:t>
      </w:r>
      <w:r w:rsidRPr="00EA4C85">
        <w:t>Cy</w:t>
      </w:r>
      <w:r w:rsidR="00101F38" w:rsidRPr="00EA4C85">
        <w:rPr>
          <w:vertAlign w:val="subscript"/>
        </w:rPr>
        <w:t>2</w:t>
      </w:r>
      <w:r w:rsidR="00101F38" w:rsidRPr="00EA4C85">
        <w:t>NH</w:t>
      </w:r>
      <w:r w:rsidR="00101F38" w:rsidRPr="00EA4C85">
        <w:rPr>
          <w:vertAlign w:val="subscript"/>
        </w:rPr>
        <w:t>2</w:t>
      </w:r>
      <w:r w:rsidR="00EA4C85">
        <w:t>]</w:t>
      </w:r>
      <w:r w:rsidR="00101F38" w:rsidRPr="00EA4C85">
        <w:t>X</w:t>
      </w:r>
      <w:r>
        <w:t>, formed by protonation of co-catalytic Cy</w:t>
      </w:r>
      <w:r>
        <w:rPr>
          <w:vertAlign w:val="subscript"/>
        </w:rPr>
        <w:t>2</w:t>
      </w:r>
      <w:r>
        <w:t>NH base</w:t>
      </w:r>
      <w:r w:rsidR="00101F38" w:rsidRPr="00101F38">
        <w:t xml:space="preserve">, </w:t>
      </w:r>
      <w:r>
        <w:t xml:space="preserve">in </w:t>
      </w:r>
      <w:r w:rsidR="00101F38" w:rsidRPr="00101F38">
        <w:t>influenc</w:t>
      </w:r>
      <w:r>
        <w:t xml:space="preserve">ing </w:t>
      </w:r>
      <w:r w:rsidRPr="00101F38">
        <w:t xml:space="preserve">C-H bond activation </w:t>
      </w:r>
      <w:r w:rsidR="00101F38" w:rsidRPr="00101F38">
        <w:t>catalysis</w:t>
      </w:r>
      <w:r>
        <w:t xml:space="preserve"> at Mn</w:t>
      </w:r>
      <w:r w:rsidRPr="00463E6C">
        <w:rPr>
          <w:vertAlign w:val="superscript"/>
        </w:rPr>
        <w:t>I</w:t>
      </w:r>
      <w:r w:rsidR="00101F38" w:rsidRPr="00101F38">
        <w:t>.</w:t>
      </w:r>
      <w:r>
        <w:t xml:space="preserve"> We conclude that </w:t>
      </w:r>
      <w:r w:rsidR="00800C03">
        <w:t xml:space="preserve">conjugate </w:t>
      </w:r>
      <w:r>
        <w:t>a</w:t>
      </w:r>
      <w:r w:rsidR="00101F38" w:rsidRPr="00101F38">
        <w:t>cids positively influence C-H bond alkenylation catalysis involving</w:t>
      </w:r>
      <w:r w:rsidR="006132F8">
        <w:t xml:space="preserve"> terminal and</w:t>
      </w:r>
      <w:r w:rsidR="00101F38" w:rsidRPr="00101F38">
        <w:t xml:space="preserve"> </w:t>
      </w:r>
      <w:r w:rsidR="00EA4C85">
        <w:t xml:space="preserve">internal </w:t>
      </w:r>
      <w:r w:rsidR="00101F38" w:rsidRPr="00101F38">
        <w:t>alkyne</w:t>
      </w:r>
      <w:r w:rsidR="00EA4C85">
        <w:t>s</w:t>
      </w:r>
      <w:r>
        <w:t xml:space="preserve">, </w:t>
      </w:r>
      <w:r w:rsidR="00EA4C85">
        <w:t xml:space="preserve">which are </w:t>
      </w:r>
      <w:r w:rsidR="00800C03">
        <w:t xml:space="preserve">found to be </w:t>
      </w:r>
      <w:r w:rsidR="00101F38" w:rsidRPr="00101F38">
        <w:t xml:space="preserve">critical to </w:t>
      </w:r>
      <w:r w:rsidR="00EA4C85">
        <w:t xml:space="preserve">productive </w:t>
      </w:r>
      <w:r w:rsidR="00101F38" w:rsidRPr="00101F38">
        <w:t>catalysis.</w:t>
      </w:r>
      <w:r w:rsidR="00EA4C85">
        <w:t xml:space="preserve"> Importantly, the promotional effect of acid did </w:t>
      </w:r>
      <w:r w:rsidRPr="00101F38">
        <w:t>enable unreactive substrates to be alkenylated</w:t>
      </w:r>
      <w:r>
        <w:t xml:space="preserve"> </w:t>
      </w:r>
      <w:r w:rsidR="002466D8">
        <w:t xml:space="preserve">involving </w:t>
      </w:r>
      <w:r w:rsidR="00EA4C85">
        <w:t xml:space="preserve">both internal and terminal alkynes </w:t>
      </w:r>
      <w:r>
        <w:t>(Scheme 2)</w:t>
      </w:r>
      <w:r w:rsidRPr="00101F38">
        <w:t>.</w:t>
      </w:r>
      <w:r>
        <w:t xml:space="preserve"> A dichotomy in behaviour is seen on switching from alkynes to </w:t>
      </w:r>
      <w:r w:rsidR="002466D8">
        <w:t>an</w:t>
      </w:r>
      <w:r>
        <w:t xml:space="preserve"> acrylate substrate, where catalysis is hindered by the presence of </w:t>
      </w:r>
      <w:r w:rsidR="00EA4C85">
        <w:t xml:space="preserve">the conjugate </w:t>
      </w:r>
      <w:r>
        <w:t>acid</w:t>
      </w:r>
      <w:r w:rsidR="00EA4C85">
        <w:t xml:space="preserve"> containing a halide anion (</w:t>
      </w:r>
      <w:r w:rsidR="00366696" w:rsidRPr="00366696">
        <w:rPr>
          <w:i/>
        </w:rPr>
        <w:t xml:space="preserve">cf. </w:t>
      </w:r>
      <w:r w:rsidR="00EA4C85">
        <w:t>not a non-coordinating BF</w:t>
      </w:r>
      <w:r w:rsidR="00EA4C85">
        <w:rPr>
          <w:vertAlign w:val="subscript"/>
        </w:rPr>
        <w:t>4</w:t>
      </w:r>
      <w:r w:rsidR="00EA4C85">
        <w:t xml:space="preserve"> anion)</w:t>
      </w:r>
      <w:r>
        <w:t xml:space="preserve">.  A secondary benefit of the </w:t>
      </w:r>
      <w:r w:rsidR="00101F38" w:rsidRPr="00101F38">
        <w:t>[Cy</w:t>
      </w:r>
      <w:r w:rsidR="00101F38" w:rsidRPr="00463E6C">
        <w:rPr>
          <w:vertAlign w:val="subscript"/>
        </w:rPr>
        <w:t>2</w:t>
      </w:r>
      <w:r w:rsidR="00101F38" w:rsidRPr="00101F38">
        <w:t>NH</w:t>
      </w:r>
      <w:r w:rsidR="00101F38" w:rsidRPr="00463E6C">
        <w:rPr>
          <w:vertAlign w:val="subscript"/>
        </w:rPr>
        <w:t>2</w:t>
      </w:r>
      <w:r w:rsidR="00101F38" w:rsidRPr="00101F38">
        <w:t xml:space="preserve">]X salts </w:t>
      </w:r>
      <w:r>
        <w:t>is to thwart Mn</w:t>
      </w:r>
      <w:r>
        <w:rPr>
          <w:vertAlign w:val="superscript"/>
        </w:rPr>
        <w:t>I</w:t>
      </w:r>
      <w:r>
        <w:t xml:space="preserve"> </w:t>
      </w:r>
      <w:r w:rsidR="00101F38" w:rsidRPr="00101F38">
        <w:t xml:space="preserve">catalyst degradation to </w:t>
      </w:r>
      <w:r>
        <w:t xml:space="preserve">form inactive </w:t>
      </w:r>
      <w:r w:rsidR="00101F38" w:rsidRPr="00101F38">
        <w:t>manganese clusters</w:t>
      </w:r>
      <w:r>
        <w:t>, which is an issue requiring attention in future catalyst design studies.</w:t>
      </w:r>
      <w:r>
        <w:rPr>
          <w:vertAlign w:val="superscript"/>
        </w:rPr>
        <w:t>8</w:t>
      </w:r>
    </w:p>
    <w:p w14:paraId="349D190B" w14:textId="77777777" w:rsidR="00787076" w:rsidRDefault="00787076" w:rsidP="00B14189">
      <w:pPr>
        <w:pStyle w:val="RSCB02ArticleText"/>
      </w:pPr>
    </w:p>
    <w:p w14:paraId="67110D98" w14:textId="449CB484" w:rsidR="00787076" w:rsidRPr="00787076" w:rsidRDefault="00787076" w:rsidP="00B14189">
      <w:pPr>
        <w:pStyle w:val="RSCB02ArticleText"/>
      </w:pPr>
      <w:r w:rsidRPr="00C4722F">
        <w:t xml:space="preserve">We </w:t>
      </w:r>
      <w:r>
        <w:t xml:space="preserve">thank </w:t>
      </w:r>
      <w:r w:rsidRPr="00C4722F">
        <w:t>Syngenta and the Engineering and Physical Sci</w:t>
      </w:r>
      <w:r>
        <w:t xml:space="preserve">ences Research Council (EPSRC) for </w:t>
      </w:r>
      <w:r w:rsidRPr="00C4722F">
        <w:t xml:space="preserve">iCASE </w:t>
      </w:r>
      <w:r>
        <w:t xml:space="preserve">funding for </w:t>
      </w:r>
      <w:r w:rsidRPr="00C4722F">
        <w:t>LAH</w:t>
      </w:r>
      <w:r>
        <w:t>,</w:t>
      </w:r>
      <w:r w:rsidRPr="00C4722F">
        <w:t xml:space="preserve"> ref. EP/H011455</w:t>
      </w:r>
      <w:r>
        <w:t>.</w:t>
      </w:r>
    </w:p>
    <w:p w14:paraId="02BD216F" w14:textId="77777777" w:rsidR="00584D2B" w:rsidRPr="00B55955" w:rsidRDefault="00584D2B" w:rsidP="00584D2B">
      <w:pPr>
        <w:pStyle w:val="RSCB04AHeadingSection"/>
      </w:pPr>
      <w:r w:rsidRPr="00B55955">
        <w:t>Conflict</w:t>
      </w:r>
      <w:r w:rsidR="00476602" w:rsidRPr="00B55955">
        <w:t>s</w:t>
      </w:r>
      <w:r w:rsidRPr="00B55955">
        <w:t xml:space="preserve"> of interest</w:t>
      </w:r>
    </w:p>
    <w:p w14:paraId="2CB851E7" w14:textId="77777777" w:rsidR="00BC6382" w:rsidRPr="00B55955" w:rsidRDefault="00BC6382" w:rsidP="00BC6382">
      <w:pPr>
        <w:rPr>
          <w:rFonts w:cs="Times New Roman"/>
          <w:w w:val="108"/>
          <w:sz w:val="18"/>
          <w:szCs w:val="18"/>
        </w:rPr>
      </w:pPr>
      <w:r w:rsidRPr="00B55955">
        <w:rPr>
          <w:rFonts w:cs="Times New Roman"/>
          <w:w w:val="108"/>
          <w:sz w:val="18"/>
          <w:szCs w:val="18"/>
        </w:rPr>
        <w:t>There are no conflicts to declare.</w:t>
      </w:r>
    </w:p>
    <w:p w14:paraId="3015E183" w14:textId="0FD48FB0" w:rsidR="003B16C0" w:rsidRDefault="00E61949" w:rsidP="005238F3">
      <w:pPr>
        <w:pStyle w:val="RSCB04SectionHeading"/>
      </w:pPr>
      <w:r w:rsidRPr="00B55955">
        <w:t>Notes and references</w:t>
      </w:r>
    </w:p>
    <w:p w14:paraId="2B56C0EA" w14:textId="4F9C9D40" w:rsidR="005238F3" w:rsidRPr="007F1A56" w:rsidRDefault="005238F3" w:rsidP="005238F3">
      <w:pPr>
        <w:pStyle w:val="RSCR02References"/>
        <w:numPr>
          <w:ilvl w:val="0"/>
          <w:numId w:val="8"/>
        </w:numPr>
        <w:tabs>
          <w:tab w:val="clear" w:pos="284"/>
          <w:tab w:val="left" w:pos="142"/>
        </w:tabs>
        <w:ind w:left="284" w:hanging="284"/>
        <w:jc w:val="both"/>
      </w:pPr>
      <w:r>
        <w:t xml:space="preserve">   For selected reviews concerning manganese catalysis in general, see: (a) J. R. Carney, B. R. Dillon and S. P. Thomas, </w:t>
      </w:r>
      <w:r>
        <w:rPr>
          <w:i/>
        </w:rPr>
        <w:t>Eur. J. Org. Chem.</w:t>
      </w:r>
      <w:r>
        <w:t xml:space="preserve">, 2016, 3912-3929; </w:t>
      </w:r>
      <w:r w:rsidRPr="007F1A56">
        <w:t xml:space="preserve">(b) R. A. </w:t>
      </w:r>
      <w:proofErr w:type="spellStart"/>
      <w:r w:rsidRPr="007F1A56">
        <w:t>Baglia</w:t>
      </w:r>
      <w:proofErr w:type="spellEnd"/>
      <w:r w:rsidRPr="007F1A56">
        <w:t xml:space="preserve">, J. P. T. Zaragoza and D. P. </w:t>
      </w:r>
      <w:r>
        <w:t xml:space="preserve">Goldberg, </w:t>
      </w:r>
      <w:r>
        <w:rPr>
          <w:i/>
        </w:rPr>
        <w:t>Chem. Rev.</w:t>
      </w:r>
      <w:r>
        <w:t xml:space="preserve">, 2017, </w:t>
      </w:r>
      <w:r>
        <w:rPr>
          <w:b/>
        </w:rPr>
        <w:t>117</w:t>
      </w:r>
      <w:r>
        <w:t>, 13320-13352;</w:t>
      </w:r>
      <w:r w:rsidRPr="007F1A56">
        <w:t xml:space="preserve"> (c) F. </w:t>
      </w:r>
      <w:proofErr w:type="spellStart"/>
      <w:r w:rsidRPr="007F1A56">
        <w:t>Kallmeier</w:t>
      </w:r>
      <w:proofErr w:type="spellEnd"/>
      <w:r w:rsidRPr="007F1A56">
        <w:t xml:space="preserve"> and R. Kempe, </w:t>
      </w:r>
      <w:r w:rsidRPr="007F1A56">
        <w:rPr>
          <w:i/>
        </w:rPr>
        <w:t xml:space="preserve">Angew. </w:t>
      </w:r>
      <w:r>
        <w:rPr>
          <w:i/>
        </w:rPr>
        <w:t>Chem. Int. Ed.</w:t>
      </w:r>
      <w:r>
        <w:t xml:space="preserve">, 2018, </w:t>
      </w:r>
      <w:r>
        <w:rPr>
          <w:b/>
        </w:rPr>
        <w:t>57</w:t>
      </w:r>
      <w:r>
        <w:t xml:space="preserve">, 46-60; (d) M. Stanbury, J.-D. </w:t>
      </w:r>
      <w:proofErr w:type="spellStart"/>
      <w:r>
        <w:t>Compain</w:t>
      </w:r>
      <w:proofErr w:type="spellEnd"/>
      <w:r>
        <w:t xml:space="preserve"> and S. Chardon-</w:t>
      </w:r>
      <w:proofErr w:type="spellStart"/>
      <w:r>
        <w:t>Noblat</w:t>
      </w:r>
      <w:proofErr w:type="spellEnd"/>
      <w:r>
        <w:t xml:space="preserve">, </w:t>
      </w:r>
      <w:r>
        <w:rPr>
          <w:i/>
        </w:rPr>
        <w:t>Coord. Chem. Rev.</w:t>
      </w:r>
      <w:r>
        <w:t xml:space="preserve">, 2018, </w:t>
      </w:r>
      <w:r>
        <w:rPr>
          <w:b/>
        </w:rPr>
        <w:t>361</w:t>
      </w:r>
      <w:r>
        <w:t>, 120-137.</w:t>
      </w:r>
    </w:p>
    <w:p w14:paraId="3A338E99" w14:textId="644EE48A" w:rsidR="005238F3" w:rsidRPr="0000016D" w:rsidRDefault="005238F3" w:rsidP="005238F3">
      <w:pPr>
        <w:pStyle w:val="RSCR02References"/>
        <w:numPr>
          <w:ilvl w:val="0"/>
          <w:numId w:val="8"/>
        </w:numPr>
        <w:tabs>
          <w:tab w:val="clear" w:pos="284"/>
          <w:tab w:val="left" w:pos="142"/>
        </w:tabs>
        <w:ind w:left="284" w:hanging="284"/>
        <w:jc w:val="both"/>
      </w:pPr>
      <w:r>
        <w:t xml:space="preserve">   M. I. Bruce, B. L. Goodall, M. Z. Iqbal, F. G. A. Stone, R. J. </w:t>
      </w:r>
      <w:proofErr w:type="spellStart"/>
      <w:r>
        <w:t>Doedens</w:t>
      </w:r>
      <w:proofErr w:type="spellEnd"/>
      <w:r>
        <w:t xml:space="preserve"> and R. G. Little, </w:t>
      </w:r>
      <w:r>
        <w:rPr>
          <w:i/>
        </w:rPr>
        <w:t>J. Chem. Soc. D.</w:t>
      </w:r>
      <w:r>
        <w:t>, 1971, 1595-1596.</w:t>
      </w:r>
    </w:p>
    <w:p w14:paraId="66F26942" w14:textId="4B5BACA9" w:rsidR="005238F3" w:rsidRDefault="005238F3" w:rsidP="005238F3">
      <w:pPr>
        <w:pStyle w:val="RSCR02References"/>
        <w:numPr>
          <w:ilvl w:val="0"/>
          <w:numId w:val="8"/>
        </w:numPr>
        <w:tabs>
          <w:tab w:val="clear" w:pos="284"/>
          <w:tab w:val="left" w:pos="142"/>
        </w:tabs>
        <w:ind w:left="284" w:hanging="284"/>
        <w:jc w:val="both"/>
      </w:pPr>
      <w:r>
        <w:t xml:space="preserve">   B. Zhou, H. Chen and C. Wang, </w:t>
      </w:r>
      <w:r>
        <w:rPr>
          <w:i/>
        </w:rPr>
        <w:t>J. Am. Chem. Soc.</w:t>
      </w:r>
      <w:r>
        <w:t xml:space="preserve">, 2013, </w:t>
      </w:r>
      <w:r>
        <w:rPr>
          <w:b/>
        </w:rPr>
        <w:t>135</w:t>
      </w:r>
      <w:r>
        <w:t>, 1264-1267.</w:t>
      </w:r>
    </w:p>
    <w:p w14:paraId="7CBCF578" w14:textId="2C1719CB" w:rsidR="005238F3" w:rsidRPr="0055001D" w:rsidRDefault="005238F3" w:rsidP="005238F3">
      <w:pPr>
        <w:pStyle w:val="RSCR02References"/>
        <w:numPr>
          <w:ilvl w:val="0"/>
          <w:numId w:val="8"/>
        </w:numPr>
        <w:tabs>
          <w:tab w:val="clear" w:pos="284"/>
          <w:tab w:val="left" w:pos="142"/>
        </w:tabs>
        <w:ind w:left="284" w:hanging="284"/>
        <w:jc w:val="both"/>
      </w:pPr>
      <w:r>
        <w:t xml:space="preserve">   Selected examples: (a) R. He, Z.-T. Huang, Q.-Y. Zheng and C. Wang, </w:t>
      </w:r>
      <w:r>
        <w:rPr>
          <w:i/>
        </w:rPr>
        <w:t>Angew. Chem.</w:t>
      </w:r>
      <w:r>
        <w:t xml:space="preserve">, 2014, </w:t>
      </w:r>
      <w:r>
        <w:rPr>
          <w:b/>
        </w:rPr>
        <w:t>126</w:t>
      </w:r>
      <w:r>
        <w:t xml:space="preserve">, 5050-5053; (b) W. Liu, D. Zell, M. John and L. Ackermann, </w:t>
      </w:r>
      <w:r>
        <w:rPr>
          <w:i/>
        </w:rPr>
        <w:t>Angew. Chem. Int. Ed.</w:t>
      </w:r>
      <w:r>
        <w:t xml:space="preserve">, 2015, </w:t>
      </w:r>
      <w:r>
        <w:rPr>
          <w:b/>
        </w:rPr>
        <w:t>54</w:t>
      </w:r>
      <w:r>
        <w:t xml:space="preserve">, 4092-4096; (c) B. Zhou, Y. Hu and C. Wang, </w:t>
      </w:r>
      <w:r>
        <w:rPr>
          <w:i/>
        </w:rPr>
        <w:t>Angew. Chem. Int. Ed.</w:t>
      </w:r>
      <w:r>
        <w:t xml:space="preserve">, 2015, </w:t>
      </w:r>
      <w:r>
        <w:rPr>
          <w:b/>
        </w:rPr>
        <w:t>54</w:t>
      </w:r>
      <w:r>
        <w:t xml:space="preserve">, 13659-13663; (d) W. Liu, J. Bang, Y. Zhang and L. Ackermann, </w:t>
      </w:r>
      <w:r>
        <w:rPr>
          <w:i/>
        </w:rPr>
        <w:t>Angew. Chem. Int. Ed.</w:t>
      </w:r>
      <w:r>
        <w:t xml:space="preserve">, 2015, </w:t>
      </w:r>
      <w:r>
        <w:rPr>
          <w:b/>
        </w:rPr>
        <w:t>54</w:t>
      </w:r>
      <w:r>
        <w:t xml:space="preserve">, 14137-14140; (e) C. Wang, A. Wang and M. </w:t>
      </w:r>
      <w:proofErr w:type="spellStart"/>
      <w:r>
        <w:t>Rueping</w:t>
      </w:r>
      <w:proofErr w:type="spellEnd"/>
      <w:r>
        <w:t xml:space="preserve">, </w:t>
      </w:r>
      <w:r>
        <w:rPr>
          <w:i/>
        </w:rPr>
        <w:t>Angew. Chem. Int. Ed.</w:t>
      </w:r>
      <w:r>
        <w:t xml:space="preserve">, 2017, </w:t>
      </w:r>
      <w:r>
        <w:rPr>
          <w:b/>
        </w:rPr>
        <w:t>56</w:t>
      </w:r>
      <w:r>
        <w:t xml:space="preserve">, 9935-9938; (f) Q. Lu, S. </w:t>
      </w:r>
      <w:proofErr w:type="spellStart"/>
      <w:r>
        <w:t>Cembellin</w:t>
      </w:r>
      <w:proofErr w:type="spellEnd"/>
      <w:r>
        <w:t xml:space="preserve">, S. </w:t>
      </w:r>
      <w:proofErr w:type="spellStart"/>
      <w:r w:rsidRPr="0055001D">
        <w:t>Greßies</w:t>
      </w:r>
      <w:proofErr w:type="spellEnd"/>
      <w:r>
        <w:t xml:space="preserve">, S. Singha, C. G. </w:t>
      </w:r>
      <w:proofErr w:type="spellStart"/>
      <w:r>
        <w:t>Daniliuc</w:t>
      </w:r>
      <w:proofErr w:type="spellEnd"/>
      <w:r>
        <w:t xml:space="preserve"> and F. Glorius, </w:t>
      </w:r>
      <w:r>
        <w:rPr>
          <w:i/>
        </w:rPr>
        <w:t>Angew. Chem. Int. Ed.</w:t>
      </w:r>
      <w:r>
        <w:t xml:space="preserve">, 2018, </w:t>
      </w:r>
      <w:r>
        <w:rPr>
          <w:b/>
        </w:rPr>
        <w:t>57</w:t>
      </w:r>
      <w:r>
        <w:t>, 1399-1403.</w:t>
      </w:r>
    </w:p>
    <w:p w14:paraId="7821FD64" w14:textId="1AB5C322" w:rsidR="005238F3" w:rsidRDefault="005238F3" w:rsidP="005238F3">
      <w:pPr>
        <w:pStyle w:val="RSCR02References"/>
        <w:numPr>
          <w:ilvl w:val="0"/>
          <w:numId w:val="8"/>
        </w:numPr>
        <w:tabs>
          <w:tab w:val="clear" w:pos="284"/>
          <w:tab w:val="left" w:pos="142"/>
        </w:tabs>
        <w:ind w:left="284" w:hanging="284"/>
        <w:jc w:val="both"/>
      </w:pPr>
      <w:r>
        <w:t xml:space="preserve">   Y. Hu, B. Zhou and C. Wang, </w:t>
      </w:r>
      <w:r>
        <w:rPr>
          <w:i/>
        </w:rPr>
        <w:t>Acc. Chem. Res.</w:t>
      </w:r>
      <w:r>
        <w:t xml:space="preserve">, 2018, </w:t>
      </w:r>
      <w:r>
        <w:rPr>
          <w:b/>
        </w:rPr>
        <w:t>51</w:t>
      </w:r>
      <w:r>
        <w:t>, 816-827.</w:t>
      </w:r>
    </w:p>
    <w:p w14:paraId="4B02EED2" w14:textId="6324F04B" w:rsidR="005238F3" w:rsidRDefault="005238F3" w:rsidP="005238F3">
      <w:pPr>
        <w:pStyle w:val="RSCR02References"/>
        <w:numPr>
          <w:ilvl w:val="0"/>
          <w:numId w:val="8"/>
        </w:numPr>
        <w:tabs>
          <w:tab w:val="clear" w:pos="284"/>
          <w:tab w:val="left" w:pos="142"/>
        </w:tabs>
        <w:ind w:left="284" w:hanging="284"/>
        <w:jc w:val="both"/>
      </w:pPr>
      <w:r>
        <w:t xml:space="preserve">   N. P. Yahaya, K. M. Appleby, M. </w:t>
      </w:r>
      <w:proofErr w:type="spellStart"/>
      <w:r>
        <w:t>Teh</w:t>
      </w:r>
      <w:proofErr w:type="spellEnd"/>
      <w:r>
        <w:t xml:space="preserve">, C. Wagner, E. </w:t>
      </w:r>
      <w:proofErr w:type="spellStart"/>
      <w:r>
        <w:t>Troschke</w:t>
      </w:r>
      <w:proofErr w:type="spellEnd"/>
      <w:r>
        <w:t xml:space="preserve">, J. T. W. Bray, S. B. Duckett, L. A. Hammarback, J. S. Ward, J. Milani, N. E. </w:t>
      </w:r>
      <w:proofErr w:type="spellStart"/>
      <w:r>
        <w:t>Pridmore</w:t>
      </w:r>
      <w:proofErr w:type="spellEnd"/>
      <w:r>
        <w:t xml:space="preserve">, A. C. Whitwood, J. M. Lynam and I. J. S. Fairlamb, </w:t>
      </w:r>
      <w:r>
        <w:rPr>
          <w:i/>
        </w:rPr>
        <w:t>Angew. Chem. Int. Ed.</w:t>
      </w:r>
      <w:r>
        <w:t xml:space="preserve">, 2016, </w:t>
      </w:r>
      <w:r>
        <w:rPr>
          <w:b/>
        </w:rPr>
        <w:t>55</w:t>
      </w:r>
      <w:r>
        <w:t>, 12455-12459.</w:t>
      </w:r>
    </w:p>
    <w:p w14:paraId="4A90D41E" w14:textId="3818206A" w:rsidR="005238F3" w:rsidRPr="00E079C5" w:rsidRDefault="005238F3" w:rsidP="005238F3">
      <w:pPr>
        <w:pStyle w:val="RSCR02References"/>
        <w:numPr>
          <w:ilvl w:val="0"/>
          <w:numId w:val="8"/>
        </w:numPr>
        <w:tabs>
          <w:tab w:val="clear" w:pos="284"/>
          <w:tab w:val="left" w:pos="142"/>
        </w:tabs>
        <w:ind w:left="284" w:hanging="284"/>
        <w:jc w:val="both"/>
      </w:pPr>
      <w:r>
        <w:t xml:space="preserve">   </w:t>
      </w:r>
      <w:r w:rsidRPr="00E079C5">
        <w:t xml:space="preserve">L. A. Hammarback, I. P. Clark, I. V. </w:t>
      </w:r>
      <w:proofErr w:type="spellStart"/>
      <w:r w:rsidRPr="00E079C5">
        <w:t>Sazanovich</w:t>
      </w:r>
      <w:proofErr w:type="spellEnd"/>
      <w:r w:rsidRPr="00E079C5">
        <w:t xml:space="preserve">, M. </w:t>
      </w:r>
      <w:proofErr w:type="spellStart"/>
      <w:r w:rsidRPr="00E079C5">
        <w:t>Towrie</w:t>
      </w:r>
      <w:proofErr w:type="spellEnd"/>
      <w:r w:rsidRPr="00E079C5">
        <w:t xml:space="preserve">, A. </w:t>
      </w:r>
      <w:r>
        <w:t xml:space="preserve">Robinson, F. Clarke, S. Meyer, I. J. S. Fairlamb and J. M. Lynam, </w:t>
      </w:r>
      <w:r>
        <w:rPr>
          <w:i/>
        </w:rPr>
        <w:t>Nat. Catal.</w:t>
      </w:r>
      <w:r>
        <w:t xml:space="preserve">, 2018, </w:t>
      </w:r>
      <w:r>
        <w:rPr>
          <w:b/>
        </w:rPr>
        <w:t>1</w:t>
      </w:r>
      <w:r>
        <w:t>, 830-840.</w:t>
      </w:r>
    </w:p>
    <w:p w14:paraId="312656F8" w14:textId="57391933" w:rsidR="005238F3" w:rsidRPr="008958E6" w:rsidRDefault="005238F3" w:rsidP="005238F3">
      <w:pPr>
        <w:pStyle w:val="RSCR02References"/>
        <w:numPr>
          <w:ilvl w:val="0"/>
          <w:numId w:val="8"/>
        </w:numPr>
        <w:tabs>
          <w:tab w:val="clear" w:pos="284"/>
          <w:tab w:val="left" w:pos="142"/>
        </w:tabs>
        <w:ind w:left="284" w:hanging="284"/>
        <w:jc w:val="both"/>
      </w:pPr>
      <w:r>
        <w:t xml:space="preserve">   </w:t>
      </w:r>
      <w:r w:rsidRPr="008958E6">
        <w:t xml:space="preserve">L. A. Hammarback, A. Robinson, J. M. Lynam and I. </w:t>
      </w:r>
      <w:r>
        <w:t xml:space="preserve">J. S. Fairlamb, </w:t>
      </w:r>
      <w:r>
        <w:rPr>
          <w:i/>
        </w:rPr>
        <w:t>J. Am. Chem. Soc.</w:t>
      </w:r>
      <w:r>
        <w:t xml:space="preserve">, 2019, </w:t>
      </w:r>
      <w:r>
        <w:rPr>
          <w:i/>
        </w:rPr>
        <w:t>manuscript submitted</w:t>
      </w:r>
      <w:r w:rsidRPr="008958E6">
        <w:t>.</w:t>
      </w:r>
    </w:p>
    <w:p w14:paraId="26E33A4B" w14:textId="07DF07C3" w:rsidR="005238F3" w:rsidRPr="00CA1352" w:rsidRDefault="005238F3" w:rsidP="005238F3">
      <w:pPr>
        <w:pStyle w:val="EndnoteText"/>
        <w:numPr>
          <w:ilvl w:val="0"/>
          <w:numId w:val="8"/>
        </w:numPr>
        <w:tabs>
          <w:tab w:val="left" w:pos="142"/>
        </w:tabs>
        <w:ind w:left="284" w:hanging="284"/>
        <w:jc w:val="both"/>
      </w:pPr>
      <w:r>
        <w:rPr>
          <w:sz w:val="18"/>
        </w:rPr>
        <w:t xml:space="preserve">   H</w:t>
      </w:r>
      <w:r w:rsidRPr="007F1A56">
        <w:rPr>
          <w:sz w:val="18"/>
        </w:rPr>
        <w:t xml:space="preserve">. Wang, F. </w:t>
      </w:r>
      <w:proofErr w:type="spellStart"/>
      <w:r w:rsidRPr="007F1A56">
        <w:rPr>
          <w:sz w:val="18"/>
        </w:rPr>
        <w:t>Pesciaioli</w:t>
      </w:r>
      <w:proofErr w:type="spellEnd"/>
      <w:r w:rsidRPr="007F1A56">
        <w:rPr>
          <w:sz w:val="18"/>
        </w:rPr>
        <w:t xml:space="preserve">, J. C. A. Oliveira, S. </w:t>
      </w:r>
      <w:proofErr w:type="spellStart"/>
      <w:r w:rsidRPr="007F1A56">
        <w:rPr>
          <w:sz w:val="18"/>
        </w:rPr>
        <w:t>Warratz</w:t>
      </w:r>
      <w:proofErr w:type="spellEnd"/>
      <w:r w:rsidRPr="007F1A56">
        <w:rPr>
          <w:sz w:val="18"/>
        </w:rPr>
        <w:t xml:space="preserve"> and L. Ackermann, </w:t>
      </w:r>
      <w:r w:rsidRPr="007F1A56">
        <w:rPr>
          <w:i/>
          <w:sz w:val="18"/>
        </w:rPr>
        <w:t>Angew. Chem. Int. Ed.</w:t>
      </w:r>
      <w:r w:rsidRPr="007F1A56">
        <w:rPr>
          <w:sz w:val="18"/>
        </w:rPr>
        <w:t xml:space="preserve">, 2017, </w:t>
      </w:r>
      <w:r w:rsidRPr="007F1A56">
        <w:rPr>
          <w:b/>
          <w:sz w:val="18"/>
        </w:rPr>
        <w:t>56</w:t>
      </w:r>
      <w:r w:rsidRPr="007F1A56">
        <w:rPr>
          <w:sz w:val="18"/>
        </w:rPr>
        <w:t>, 15063-15067.</w:t>
      </w:r>
    </w:p>
    <w:p w14:paraId="76400CAF" w14:textId="506AA065" w:rsidR="005238F3" w:rsidRPr="007F1A56" w:rsidRDefault="005238F3" w:rsidP="005238F3">
      <w:pPr>
        <w:pStyle w:val="EndnoteText"/>
        <w:numPr>
          <w:ilvl w:val="0"/>
          <w:numId w:val="8"/>
        </w:numPr>
        <w:tabs>
          <w:tab w:val="left" w:pos="142"/>
        </w:tabs>
        <w:ind w:left="284" w:hanging="284"/>
        <w:jc w:val="both"/>
        <w:rPr>
          <w:sz w:val="18"/>
        </w:rPr>
      </w:pPr>
      <w:r w:rsidRPr="007F1A56">
        <w:rPr>
          <w:sz w:val="18"/>
        </w:rPr>
        <w:t>L. Shi, X. Zhong, H. She, Z. Lei</w:t>
      </w:r>
      <w:r w:rsidR="00F021B5">
        <w:rPr>
          <w:sz w:val="18"/>
        </w:rPr>
        <w:t xml:space="preserve"> and </w:t>
      </w:r>
      <w:r w:rsidRPr="007F1A56">
        <w:rPr>
          <w:sz w:val="18"/>
        </w:rPr>
        <w:t xml:space="preserve">F. Li, </w:t>
      </w:r>
      <w:r w:rsidRPr="007F1A56">
        <w:rPr>
          <w:i/>
          <w:sz w:val="18"/>
        </w:rPr>
        <w:t>Chem. Commun.</w:t>
      </w:r>
      <w:r w:rsidRPr="007F1A56">
        <w:rPr>
          <w:sz w:val="18"/>
        </w:rPr>
        <w:t xml:space="preserve">, 2015, </w:t>
      </w:r>
      <w:r w:rsidRPr="007F1A56">
        <w:rPr>
          <w:b/>
          <w:sz w:val="18"/>
        </w:rPr>
        <w:t>51</w:t>
      </w:r>
      <w:r w:rsidRPr="007F1A56">
        <w:rPr>
          <w:sz w:val="18"/>
        </w:rPr>
        <w:t>, 7136-7139.</w:t>
      </w:r>
    </w:p>
    <w:p w14:paraId="56D8BFB5" w14:textId="7B6CEF99" w:rsidR="003A5CC1" w:rsidRDefault="003A5CC1" w:rsidP="005238F3">
      <w:pPr>
        <w:pStyle w:val="RSCR02References"/>
        <w:numPr>
          <w:ilvl w:val="0"/>
          <w:numId w:val="8"/>
        </w:numPr>
        <w:tabs>
          <w:tab w:val="clear" w:pos="284"/>
          <w:tab w:val="left" w:pos="142"/>
        </w:tabs>
        <w:ind w:left="284" w:hanging="284"/>
        <w:jc w:val="both"/>
      </w:pPr>
      <w:r>
        <w:t>B. Zhou, P. Ma, H. Chen and C. Wang,</w:t>
      </w:r>
      <w:r w:rsidR="007158FE">
        <w:t xml:space="preserve"> </w:t>
      </w:r>
      <w:r w:rsidR="007158FE">
        <w:rPr>
          <w:i/>
        </w:rPr>
        <w:t>Chem. Commun.</w:t>
      </w:r>
      <w:r w:rsidR="007158FE">
        <w:t>,</w:t>
      </w:r>
      <w:r>
        <w:t xml:space="preserve"> 2014, </w:t>
      </w:r>
      <w:r>
        <w:rPr>
          <w:b/>
        </w:rPr>
        <w:t>50</w:t>
      </w:r>
      <w:r>
        <w:t>, 14558-14561.</w:t>
      </w:r>
    </w:p>
    <w:p w14:paraId="123393AF" w14:textId="74395758" w:rsidR="005238F3" w:rsidRDefault="005238F3" w:rsidP="005238F3">
      <w:pPr>
        <w:pStyle w:val="RSCR02References"/>
        <w:numPr>
          <w:ilvl w:val="0"/>
          <w:numId w:val="8"/>
        </w:numPr>
        <w:tabs>
          <w:tab w:val="clear" w:pos="284"/>
          <w:tab w:val="left" w:pos="142"/>
        </w:tabs>
        <w:ind w:left="284" w:hanging="284"/>
        <w:jc w:val="both"/>
      </w:pPr>
      <w:r w:rsidRPr="00855701">
        <w:t>For ‘Mn(OH)(CO)</w:t>
      </w:r>
      <w:r w:rsidRPr="00855701">
        <w:rPr>
          <w:vertAlign w:val="subscript"/>
        </w:rPr>
        <w:t>3</w:t>
      </w:r>
      <w:r w:rsidRPr="00855701">
        <w:t>’ type clusters, see: (a)</w:t>
      </w:r>
      <w:r>
        <w:t xml:space="preserve"> </w:t>
      </w:r>
      <w:r w:rsidRPr="00855701">
        <w:t>M. D. Clerk</w:t>
      </w:r>
      <w:r>
        <w:t xml:space="preserve"> and </w:t>
      </w:r>
      <w:r w:rsidRPr="00855701">
        <w:t xml:space="preserve">M. J. </w:t>
      </w:r>
      <w:proofErr w:type="spellStart"/>
      <w:r>
        <w:t>Zaworotko</w:t>
      </w:r>
      <w:proofErr w:type="spellEnd"/>
      <w:r>
        <w:t>,</w:t>
      </w:r>
      <w:r w:rsidRPr="00855701">
        <w:t xml:space="preserve"> </w:t>
      </w:r>
      <w:r w:rsidRPr="00855701">
        <w:rPr>
          <w:i/>
        </w:rPr>
        <w:t>J. Chem. Soc. Chem. Commun.</w:t>
      </w:r>
      <w:r>
        <w:rPr>
          <w:i/>
        </w:rPr>
        <w:t>,</w:t>
      </w:r>
      <w:r w:rsidRPr="00855701">
        <w:t xml:space="preserve"> 1991, 1607-1608.  For ‘Mn(SR)(CO)</w:t>
      </w:r>
      <w:r w:rsidRPr="00855701">
        <w:rPr>
          <w:vertAlign w:val="subscript"/>
        </w:rPr>
        <w:t>3</w:t>
      </w:r>
      <w:r w:rsidRPr="00855701">
        <w:t xml:space="preserve">’ type clusters, see: (b) S. </w:t>
      </w:r>
      <w:proofErr w:type="spellStart"/>
      <w:r w:rsidRPr="00855701">
        <w:t>Gläser</w:t>
      </w:r>
      <w:proofErr w:type="spellEnd"/>
      <w:r>
        <w:t>,</w:t>
      </w:r>
      <w:r w:rsidRPr="00855701">
        <w:t xml:space="preserve"> R. Mede, H</w:t>
      </w:r>
      <w:r>
        <w:t>.</w:t>
      </w:r>
      <w:r w:rsidRPr="00855701">
        <w:t xml:space="preserve"> </w:t>
      </w:r>
      <w:proofErr w:type="spellStart"/>
      <w:r w:rsidRPr="00855701">
        <w:t>Görls</w:t>
      </w:r>
      <w:proofErr w:type="spellEnd"/>
      <w:r>
        <w:t>,</w:t>
      </w:r>
      <w:r w:rsidRPr="00855701">
        <w:t xml:space="preserve"> </w:t>
      </w:r>
      <w:r>
        <w:t xml:space="preserve">S. </w:t>
      </w:r>
      <w:proofErr w:type="spellStart"/>
      <w:r w:rsidRPr="00855701">
        <w:t>Seupel</w:t>
      </w:r>
      <w:proofErr w:type="spellEnd"/>
      <w:r>
        <w:t>,</w:t>
      </w:r>
      <w:r w:rsidRPr="00855701">
        <w:t xml:space="preserve"> </w:t>
      </w:r>
      <w:r>
        <w:t xml:space="preserve">C. </w:t>
      </w:r>
      <w:proofErr w:type="spellStart"/>
      <w:r w:rsidRPr="00855701">
        <w:t>Bohlender</w:t>
      </w:r>
      <w:proofErr w:type="spellEnd"/>
      <w:r w:rsidRPr="00855701">
        <w:t xml:space="preserve">, </w:t>
      </w:r>
      <w:r>
        <w:t xml:space="preserve">R. </w:t>
      </w:r>
      <w:proofErr w:type="spellStart"/>
      <w:r w:rsidRPr="00855701">
        <w:t>Wyrwa</w:t>
      </w:r>
      <w:proofErr w:type="spellEnd"/>
      <w:r w:rsidRPr="00855701">
        <w:t>,</w:t>
      </w:r>
      <w:r>
        <w:t xml:space="preserve"> S.</w:t>
      </w:r>
      <w:r w:rsidRPr="00855701">
        <w:t xml:space="preserve"> Schirmer, </w:t>
      </w:r>
      <w:r>
        <w:t xml:space="preserve">S. </w:t>
      </w:r>
      <w:proofErr w:type="spellStart"/>
      <w:r w:rsidRPr="00855701">
        <w:t>Dochow</w:t>
      </w:r>
      <w:proofErr w:type="spellEnd"/>
      <w:r w:rsidRPr="00855701">
        <w:t xml:space="preserve">, </w:t>
      </w:r>
      <w:r>
        <w:t xml:space="preserve">G. U. </w:t>
      </w:r>
      <w:r w:rsidRPr="00855701">
        <w:t xml:space="preserve">Reddy, </w:t>
      </w:r>
      <w:r>
        <w:t xml:space="preserve">J. </w:t>
      </w:r>
      <w:r w:rsidRPr="00855701">
        <w:t>Popp,</w:t>
      </w:r>
      <w:r>
        <w:t xml:space="preserve"> M.</w:t>
      </w:r>
      <w:r w:rsidRPr="00855701">
        <w:t xml:space="preserve"> </w:t>
      </w:r>
      <w:proofErr w:type="spellStart"/>
      <w:r w:rsidRPr="00855701">
        <w:t>Westerhausen</w:t>
      </w:r>
      <w:proofErr w:type="spellEnd"/>
      <w:r>
        <w:t xml:space="preserve"> and A.</w:t>
      </w:r>
      <w:r w:rsidRPr="00855701">
        <w:t xml:space="preserve"> Schiller,</w:t>
      </w:r>
      <w:r>
        <w:t xml:space="preserve"> </w:t>
      </w:r>
      <w:r w:rsidRPr="00855701">
        <w:rPr>
          <w:i/>
        </w:rPr>
        <w:t>Dalton Trans.</w:t>
      </w:r>
      <w:r>
        <w:t>,</w:t>
      </w:r>
      <w:r w:rsidRPr="00855701">
        <w:t xml:space="preserve"> 2016, </w:t>
      </w:r>
      <w:r w:rsidRPr="00855701">
        <w:rPr>
          <w:b/>
        </w:rPr>
        <w:t>45</w:t>
      </w:r>
      <w:r w:rsidRPr="00855701">
        <w:t>, 13222-13233. For ‘Ru(</w:t>
      </w:r>
      <w:proofErr w:type="gramStart"/>
      <w:r w:rsidRPr="00855701">
        <w:t>σ,μ</w:t>
      </w:r>
      <w:proofErr w:type="gramEnd"/>
      <w:r w:rsidRPr="0085466D">
        <w:rPr>
          <w:vertAlign w:val="superscript"/>
        </w:rPr>
        <w:t>2</w:t>
      </w:r>
      <w:r w:rsidRPr="00855701">
        <w:t>-alkynyl)(CO)</w:t>
      </w:r>
      <w:r w:rsidRPr="0085466D">
        <w:rPr>
          <w:vertAlign w:val="subscript"/>
        </w:rPr>
        <w:t>3</w:t>
      </w:r>
      <w:r w:rsidRPr="00855701">
        <w:t xml:space="preserve">’ type clusters, see: (c) </w:t>
      </w:r>
      <w:r>
        <w:t xml:space="preserve">S. </w:t>
      </w:r>
      <w:r w:rsidRPr="00855701">
        <w:t>Bock,</w:t>
      </w:r>
      <w:r>
        <w:t xml:space="preserve"> C. F.</w:t>
      </w:r>
      <w:r w:rsidRPr="00855701">
        <w:t xml:space="preserve"> Mackenzie, </w:t>
      </w:r>
      <w:r>
        <w:t xml:space="preserve">B. W. </w:t>
      </w:r>
      <w:r w:rsidRPr="00855701">
        <w:t>Skelton,</w:t>
      </w:r>
      <w:r>
        <w:t xml:space="preserve"> L. T.</w:t>
      </w:r>
      <w:r w:rsidRPr="00855701">
        <w:t xml:space="preserve"> Byrne,</w:t>
      </w:r>
      <w:r>
        <w:t xml:space="preserve"> G. A.</w:t>
      </w:r>
      <w:r w:rsidRPr="00855701">
        <w:t xml:space="preserve"> </w:t>
      </w:r>
      <w:proofErr w:type="spellStart"/>
      <w:r w:rsidRPr="00855701">
        <w:t>Koutsantonis</w:t>
      </w:r>
      <w:proofErr w:type="spellEnd"/>
      <w:r>
        <w:t xml:space="preserve"> and P. J.</w:t>
      </w:r>
      <w:r w:rsidRPr="00855701">
        <w:t xml:space="preserve"> Low, </w:t>
      </w:r>
      <w:r w:rsidRPr="0085466D">
        <w:rPr>
          <w:i/>
        </w:rPr>
        <w:t>J. Organomet. Chem.</w:t>
      </w:r>
      <w:r>
        <w:t>,</w:t>
      </w:r>
      <w:r w:rsidRPr="00855701">
        <w:t xml:space="preserve"> 2016, </w:t>
      </w:r>
      <w:r w:rsidRPr="0085466D">
        <w:rPr>
          <w:b/>
        </w:rPr>
        <w:t>812</w:t>
      </w:r>
      <w:r w:rsidRPr="00855701">
        <w:t>, 190-196.</w:t>
      </w:r>
    </w:p>
    <w:p w14:paraId="0B3536A7" w14:textId="27AC15FF" w:rsidR="003B16C0" w:rsidRDefault="005238F3" w:rsidP="005238F3">
      <w:pPr>
        <w:pStyle w:val="RSCR02References"/>
        <w:numPr>
          <w:ilvl w:val="0"/>
          <w:numId w:val="8"/>
        </w:numPr>
        <w:tabs>
          <w:tab w:val="clear" w:pos="284"/>
          <w:tab w:val="left" w:pos="142"/>
        </w:tabs>
        <w:ind w:left="284" w:hanging="284"/>
      </w:pPr>
      <w:r>
        <w:t xml:space="preserve">P. Y. </w:t>
      </w:r>
      <w:proofErr w:type="spellStart"/>
      <w:r>
        <w:t>Bruice</w:t>
      </w:r>
      <w:proofErr w:type="spellEnd"/>
      <w:r>
        <w:t xml:space="preserve">, </w:t>
      </w:r>
      <w:r w:rsidRPr="00EB010E">
        <w:rPr>
          <w:i/>
        </w:rPr>
        <w:t>Organic Chemistry, 5th Edition</w:t>
      </w:r>
      <w:r>
        <w:t>, Pearson, 2007.</w:t>
      </w:r>
    </w:p>
    <w:p w14:paraId="2902FE10" w14:textId="72D97CE2" w:rsidR="003B16C0" w:rsidRDefault="003B16C0" w:rsidP="00707D0F">
      <w:pPr>
        <w:pStyle w:val="RSCR02References"/>
        <w:numPr>
          <w:ilvl w:val="0"/>
          <w:numId w:val="0"/>
        </w:numPr>
        <w:ind w:left="284" w:hanging="284"/>
      </w:pPr>
    </w:p>
    <w:p w14:paraId="1C98D879" w14:textId="5CCB14CF" w:rsidR="003B16C0" w:rsidRDefault="003B16C0" w:rsidP="00707D0F">
      <w:pPr>
        <w:pStyle w:val="RSCR02References"/>
        <w:numPr>
          <w:ilvl w:val="0"/>
          <w:numId w:val="0"/>
        </w:numPr>
        <w:ind w:left="284" w:hanging="284"/>
      </w:pPr>
      <w:r>
        <w:t xml:space="preserve"> </w:t>
      </w:r>
    </w:p>
    <w:sectPr w:rsidR="003B16C0" w:rsidSect="00514CBA">
      <w:endnotePr>
        <w:numFmt w:val="decimal"/>
      </w:endnotePr>
      <w:type w:val="continuous"/>
      <w:pgSz w:w="11907" w:h="16840" w:code="9"/>
      <w:pgMar w:top="1009" w:right="851" w:bottom="1758" w:left="851" w:header="851" w:footer="1049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7841F1" w14:textId="77777777" w:rsidR="003A62DB" w:rsidRPr="003B16C0" w:rsidRDefault="003A62DB" w:rsidP="003B16C0">
      <w:pPr>
        <w:pStyle w:val="Footer"/>
      </w:pPr>
    </w:p>
  </w:endnote>
  <w:endnote w:type="continuationSeparator" w:id="0">
    <w:p w14:paraId="4BAA2100" w14:textId="77777777" w:rsidR="003A62DB" w:rsidRPr="003B16C0" w:rsidRDefault="003A62DB" w:rsidP="003B16C0">
      <w:pPr>
        <w:pStyle w:val="Footer"/>
      </w:pPr>
    </w:p>
  </w:endnote>
  <w:endnote w:type="continuationNotice" w:id="1">
    <w:p w14:paraId="7B93EA07" w14:textId="77777777" w:rsidR="003A62DB" w:rsidRDefault="003A62D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6204ECD-49E0-4CF8-A361-8F0488343598}"/>
    <w:embedBold r:id="rId2" w:fontKey="{F823C224-B844-4454-8311-16C92FEA8CC8}"/>
    <w:embedItalic r:id="rId3" w:fontKey="{F265C34D-2D05-46EE-B541-547AEFF3984D}"/>
    <w:embedBoldItalic r:id="rId4" w:fontKey="{7D33A77B-CFBC-477E-BBDB-A54C3F273F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F75DED6-9DE1-4153-908F-9D12BFD126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B99FA7E-C51F-4A43-A924-77C013DBC1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564B5" w14:textId="77777777" w:rsidR="00E70DCE" w:rsidRPr="006602F1" w:rsidRDefault="00E70DCE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 w:rsidR="00092EA8">
      <w:rPr>
        <w:b/>
        <w:noProof/>
        <w:spacing w:val="10"/>
        <w:sz w:val="16"/>
        <w:szCs w:val="16"/>
      </w:rPr>
      <w:t>4</w:t>
    </w:r>
    <w:r w:rsidRPr="006602F1">
      <w:rPr>
        <w:b/>
        <w:noProof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 w:rsidR="00672928"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 w:rsidR="00672928"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="004877C8" w:rsidRPr="006602F1">
      <w:rPr>
        <w:noProof/>
        <w:spacing w:val="10"/>
        <w:sz w:val="16"/>
        <w:szCs w:val="16"/>
      </w:rPr>
      <w:tab/>
    </w:r>
    <w:r w:rsidR="004877C8" w:rsidRPr="00AC3BF2">
      <w:rPr>
        <w:noProof/>
        <w:spacing w:val="2"/>
        <w:sz w:val="16"/>
        <w:szCs w:val="16"/>
      </w:rPr>
      <w:t xml:space="preserve">This journal is </w:t>
    </w:r>
    <w:r w:rsidR="004877C8" w:rsidRPr="00AC3BF2">
      <w:rPr>
        <w:rFonts w:cstheme="minorHAnsi"/>
        <w:noProof/>
        <w:spacing w:val="2"/>
        <w:sz w:val="16"/>
        <w:szCs w:val="16"/>
      </w:rPr>
      <w:t>©</w:t>
    </w:r>
    <w:r w:rsidR="004877C8" w:rsidRPr="00AC3BF2">
      <w:rPr>
        <w:noProof/>
        <w:spacing w:val="2"/>
        <w:sz w:val="16"/>
        <w:szCs w:val="16"/>
      </w:rPr>
      <w:t xml:space="preserve"> The Royal Society of Chemistry 20</w:t>
    </w:r>
    <w:r w:rsidR="00180ABE">
      <w:rPr>
        <w:noProof/>
        <w:spacing w:val="2"/>
        <w:sz w:val="16"/>
        <w:szCs w:val="16"/>
      </w:rPr>
      <w:t>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1F88C" w14:textId="77777777" w:rsidR="004877C8" w:rsidRPr="006602F1" w:rsidRDefault="00180ABE" w:rsidP="00D45ADF">
    <w:pPr>
      <w:pStyle w:val="Footer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>
      <w:rPr>
        <w:i/>
        <w:noProof/>
        <w:spacing w:val="10"/>
        <w:sz w:val="16"/>
        <w:szCs w:val="16"/>
      </w:rPr>
      <w:tab/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092EA8">
      <w:rPr>
        <w:b/>
        <w:noProof/>
        <w:spacing w:val="10"/>
        <w:sz w:val="16"/>
        <w:szCs w:val="16"/>
      </w:rPr>
      <w:t>3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E3A5C" w14:textId="77777777" w:rsidR="00E70DCE" w:rsidRPr="006602F1" w:rsidRDefault="00514CBA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557D36B" wp14:editId="7556A5CE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2BD99E" w14:textId="77777777"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14CBA">
                            <w:rPr>
                              <w:color w:val="FFFFFF" w:themeColor="background1"/>
                            </w:rPr>
                            <w:t>Please</w:t>
                          </w:r>
                          <w:r w:rsidRPr="00F20A7C">
                            <w:rPr>
                              <w:color w:val="FFFFFF" w:themeColor="background1"/>
                            </w:rPr>
                            <w:t xml:space="preserve">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57D36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06.35pt;height:31.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7UbuWD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14:paraId="3D2BD99E" w14:textId="77777777"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514CBA">
                      <w:rPr>
                        <w:color w:val="FFFFFF" w:themeColor="background1"/>
                      </w:rPr>
                      <w:t>Please</w:t>
                    </w:r>
                    <w:r w:rsidRPr="00F20A7C">
                      <w:rPr>
                        <w:color w:val="FFFFFF" w:themeColor="background1"/>
                      </w:rPr>
                      <w:t xml:space="preserve">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180ABE" w:rsidRPr="002C0803">
      <w:rPr>
        <w:noProof/>
        <w:spacing w:val="2"/>
        <w:sz w:val="16"/>
        <w:szCs w:val="16"/>
      </w:rPr>
      <w:t xml:space="preserve">This journal is </w:t>
    </w:r>
    <w:r w:rsidR="00180ABE" w:rsidRPr="002C0803">
      <w:rPr>
        <w:rFonts w:cstheme="minorHAnsi"/>
        <w:noProof/>
        <w:spacing w:val="2"/>
        <w:sz w:val="16"/>
        <w:szCs w:val="16"/>
      </w:rPr>
      <w:t>©</w:t>
    </w:r>
    <w:r w:rsidR="00180ABE" w:rsidRPr="002C0803">
      <w:rPr>
        <w:noProof/>
        <w:spacing w:val="2"/>
        <w:sz w:val="16"/>
        <w:szCs w:val="16"/>
      </w:rPr>
      <w:t xml:space="preserve"> The</w:t>
    </w:r>
    <w:r w:rsidR="00180ABE">
      <w:rPr>
        <w:noProof/>
        <w:spacing w:val="2"/>
        <w:sz w:val="16"/>
        <w:szCs w:val="16"/>
      </w:rPr>
      <w:t xml:space="preserve"> Royal Society of Chemistry 20xx</w:t>
    </w:r>
    <w:r w:rsidR="00E70DCE" w:rsidRPr="006602F1">
      <w:rPr>
        <w:i/>
        <w:noProof/>
        <w:sz w:val="16"/>
        <w:szCs w:val="16"/>
      </w:rPr>
      <w:tab/>
    </w:r>
    <w:r w:rsidR="00672928">
      <w:rPr>
        <w:i/>
        <w:noProof/>
        <w:spacing w:val="10"/>
        <w:sz w:val="16"/>
        <w:szCs w:val="16"/>
      </w:rPr>
      <w:t>J</w:t>
    </w:r>
    <w:r w:rsidR="00E70DCE" w:rsidRPr="002C0803">
      <w:rPr>
        <w:i/>
        <w:noProof/>
        <w:spacing w:val="10"/>
        <w:sz w:val="16"/>
        <w:szCs w:val="16"/>
      </w:rPr>
      <w:t xml:space="preserve">. </w:t>
    </w:r>
    <w:r w:rsidR="00672928">
      <w:rPr>
        <w:i/>
        <w:noProof/>
        <w:spacing w:val="10"/>
        <w:sz w:val="16"/>
        <w:szCs w:val="16"/>
      </w:rPr>
      <w:t>Name</w:t>
    </w:r>
    <w:r w:rsidR="00E70DCE" w:rsidRPr="002C0803">
      <w:rPr>
        <w:noProof/>
        <w:spacing w:val="10"/>
        <w:sz w:val="16"/>
        <w:szCs w:val="16"/>
      </w:rPr>
      <w:t>., 201</w:t>
    </w:r>
    <w:r w:rsidR="005037CD">
      <w:rPr>
        <w:noProof/>
        <w:spacing w:val="10"/>
        <w:sz w:val="16"/>
        <w:szCs w:val="16"/>
      </w:rPr>
      <w:t>3</w:t>
    </w:r>
    <w:r w:rsidR="00E70DCE" w:rsidRPr="002C0803">
      <w:rPr>
        <w:noProof/>
        <w:spacing w:val="10"/>
        <w:sz w:val="16"/>
        <w:szCs w:val="16"/>
      </w:rPr>
      <w:t xml:space="preserve">, </w:t>
    </w:r>
    <w:r w:rsidR="00E70DCE" w:rsidRPr="002C0803">
      <w:rPr>
        <w:b/>
        <w:noProof/>
        <w:spacing w:val="10"/>
        <w:sz w:val="16"/>
        <w:szCs w:val="16"/>
      </w:rPr>
      <w:t>00</w:t>
    </w:r>
    <w:r w:rsidR="00E70DCE" w:rsidRPr="002C0803">
      <w:rPr>
        <w:noProof/>
        <w:spacing w:val="10"/>
        <w:sz w:val="16"/>
        <w:szCs w:val="16"/>
      </w:rPr>
      <w:t>, 1-3</w:t>
    </w:r>
    <w:r w:rsidR="00E70DCE" w:rsidRPr="002C0803">
      <w:rPr>
        <w:spacing w:val="10"/>
        <w:sz w:val="16"/>
        <w:szCs w:val="16"/>
      </w:rPr>
      <w:t xml:space="preserve"> | </w:t>
    </w:r>
    <w:r w:rsidR="00E70DCE" w:rsidRPr="008C1387">
      <w:rPr>
        <w:b/>
        <w:spacing w:val="10"/>
        <w:sz w:val="16"/>
        <w:szCs w:val="16"/>
      </w:rPr>
      <w:fldChar w:fldCharType="begin"/>
    </w:r>
    <w:r w:rsidR="00E70DCE" w:rsidRPr="008C1387">
      <w:rPr>
        <w:b/>
        <w:spacing w:val="10"/>
        <w:sz w:val="16"/>
        <w:szCs w:val="16"/>
      </w:rPr>
      <w:instrText xml:space="preserve"> PAGE   \* MERGEFORMAT </w:instrText>
    </w:r>
    <w:r w:rsidR="00E70DCE" w:rsidRPr="008C1387">
      <w:rPr>
        <w:b/>
        <w:spacing w:val="10"/>
        <w:sz w:val="16"/>
        <w:szCs w:val="16"/>
      </w:rPr>
      <w:fldChar w:fldCharType="separate"/>
    </w:r>
    <w:r w:rsidR="00092EA8">
      <w:rPr>
        <w:b/>
        <w:noProof/>
        <w:spacing w:val="10"/>
        <w:sz w:val="16"/>
        <w:szCs w:val="16"/>
      </w:rPr>
      <w:t>1</w:t>
    </w:r>
    <w:r w:rsidR="00E70DCE" w:rsidRPr="008C1387">
      <w:rPr>
        <w:b/>
        <w:noProof/>
        <w:spacing w:val="10"/>
        <w:sz w:val="16"/>
        <w:szCs w:val="16"/>
      </w:rPr>
      <w:fldChar w:fldCharType="end"/>
    </w:r>
    <w:r w:rsidR="00CC2E25" w:rsidRPr="00CC2E25">
      <w:rPr>
        <w:noProof/>
        <w:spacing w:val="2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62CFB1" w14:textId="77777777" w:rsidR="003A62DB" w:rsidRDefault="003A62DB" w:rsidP="00E547DB">
      <w:pPr>
        <w:spacing w:after="0" w:line="240" w:lineRule="auto"/>
      </w:pPr>
      <w:r>
        <w:separator/>
      </w:r>
    </w:p>
    <w:p w14:paraId="7DC68D24" w14:textId="77777777" w:rsidR="003A62DB" w:rsidRDefault="003A62DB"/>
    <w:p w14:paraId="4521A819" w14:textId="77777777" w:rsidR="003A62DB" w:rsidRDefault="003A62DB"/>
    <w:p w14:paraId="373A910A" w14:textId="77777777" w:rsidR="003A62DB" w:rsidRDefault="003A62DB"/>
    <w:p w14:paraId="5CDAEAD2" w14:textId="77777777" w:rsidR="003A62DB" w:rsidRDefault="003A62DB"/>
    <w:p w14:paraId="556F7159" w14:textId="77777777" w:rsidR="003A62DB" w:rsidRDefault="003A62DB"/>
  </w:footnote>
  <w:footnote w:type="continuationSeparator" w:id="0">
    <w:p w14:paraId="043E4926" w14:textId="77777777" w:rsidR="003A62DB" w:rsidRDefault="003A62DB" w:rsidP="00E547DB">
      <w:pPr>
        <w:spacing w:after="0" w:line="240" w:lineRule="auto"/>
      </w:pPr>
      <w:r>
        <w:continuationSeparator/>
      </w:r>
    </w:p>
    <w:p w14:paraId="6488D752" w14:textId="77777777" w:rsidR="003A62DB" w:rsidRDefault="003A62DB"/>
    <w:p w14:paraId="70B95E8B" w14:textId="77777777" w:rsidR="003A62DB" w:rsidRDefault="003A62DB"/>
    <w:p w14:paraId="126D0112" w14:textId="77777777" w:rsidR="003A62DB" w:rsidRDefault="003A62DB"/>
    <w:p w14:paraId="7ACECBB4" w14:textId="77777777" w:rsidR="003A62DB" w:rsidRDefault="003A62DB"/>
    <w:p w14:paraId="6A69B31F" w14:textId="77777777" w:rsidR="003A62DB" w:rsidRDefault="003A62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B2D04D" w14:textId="77777777" w:rsidR="009316A6" w:rsidRPr="00E70DCE" w:rsidRDefault="0052630A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color w:val="999999"/>
        <w:sz w:val="20"/>
        <w:szCs w:val="20"/>
      </w:rPr>
    </w:pPr>
    <w:r w:rsidRPr="00E70DCE">
      <w:rPr>
        <w:rFonts w:cstheme="minorHAnsi"/>
        <w:b/>
        <w:color w:val="999999"/>
        <w:sz w:val="20"/>
        <w:szCs w:val="20"/>
      </w:rPr>
      <w:t>COMMUNICATION</w:t>
    </w:r>
    <w:r w:rsidR="00514CB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DD80513" wp14:editId="73478B88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B7F460" w14:textId="77777777"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D8051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0;width:606.35pt;height:31.2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" fillcolor="#a5a5a5 [2092]" stroked="f">
              <v:textbox>
                <w:txbxContent>
                  <w:p w14:paraId="37B7F460" w14:textId="77777777"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514CB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AC0D43F" wp14:editId="729B47D4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600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E16830" w14:textId="77777777"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C0D43F" id="_x0000_s1028" type="#_x0000_t202" style="position:absolute;margin-left:0;margin-top:0;width:606.35pt;height:31.2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YiQ2qj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14:paraId="15E16830" w14:textId="77777777"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E70DCE">
      <w:rPr>
        <w:rFonts w:cstheme="minorHAnsi"/>
        <w:color w:val="999999"/>
        <w:sz w:val="20"/>
        <w:szCs w:val="20"/>
      </w:rPr>
      <w:tab/>
    </w:r>
    <w:r w:rsidR="00672928">
      <w:rPr>
        <w:rFonts w:cstheme="minorHAnsi"/>
        <w:b/>
        <w:color w:val="999999"/>
        <w:sz w:val="20"/>
        <w:szCs w:val="20"/>
      </w:rPr>
      <w:t>Journal Name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F54CA" w14:textId="77777777" w:rsidR="009316A6" w:rsidRPr="009316A6" w:rsidRDefault="00514CBA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b/>
        <w:color w:val="999999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A1F9324" wp14:editId="385CA11F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9600"/>
              <wp:effectExtent l="0" t="0" r="0" b="6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71C547" w14:textId="77777777"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F932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0;width:606.35pt;height:31.45pt;z-index:251672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NnScb4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14:paraId="1471C547" w14:textId="77777777"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E46BDF">
      <w:rPr>
        <w:rFonts w:cstheme="minorHAnsi"/>
        <w:b/>
        <w:color w:val="999999"/>
        <w:sz w:val="20"/>
        <w:szCs w:val="20"/>
      </w:rPr>
      <w:t>Journal Name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49E0252" wp14:editId="4CCBD862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424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424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EF71D4" w14:textId="77777777"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9E0252" id="_x0000_s1030" type="#_x0000_t202" style="position:absolute;margin-left:0;margin-top:0;width:606.35pt;height:33.45pt;z-index:2516705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" fillcolor="#a5a5a5 [2092]" stroked="f">
              <v:textbox>
                <w:txbxContent>
                  <w:p w14:paraId="72EF71D4" w14:textId="77777777"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E46BDF">
      <w:rPr>
        <w:rFonts w:cstheme="minorHAnsi"/>
        <w:b/>
        <w:color w:val="999999"/>
        <w:sz w:val="20"/>
        <w:szCs w:val="20"/>
      </w:rPr>
      <w:ptab w:relativeTo="margin" w:alignment="right" w:leader="none"/>
    </w:r>
    <w:r w:rsidR="00E46BDF" w:rsidRPr="00E46BDF">
      <w:rPr>
        <w:rFonts w:cstheme="minorHAnsi"/>
        <w:b/>
        <w:color w:val="999999"/>
        <w:sz w:val="20"/>
        <w:szCs w:val="20"/>
      </w:rPr>
      <w:t xml:space="preserve"> </w:t>
    </w:r>
    <w:r w:rsidR="00E46BDF" w:rsidRPr="00E70DCE">
      <w:rPr>
        <w:rFonts w:cstheme="minorHAnsi"/>
        <w:b/>
        <w:color w:val="999999"/>
        <w:sz w:val="20"/>
        <w:szCs w:val="20"/>
      </w:rPr>
      <w:t>COMMUNICATION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BE750" w14:textId="77777777" w:rsidR="00180ABE" w:rsidRDefault="00514CBA" w:rsidP="00180ABE">
    <w:pPr>
      <w:pStyle w:val="Header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sz w:val="32"/>
        <w:szCs w:val="32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3390437" wp14:editId="7D6378EF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9600"/>
              <wp:effectExtent l="0" t="0" r="0" b="6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156D5A" w14:textId="77777777"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904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0;margin-top:0;width:606.35pt;height:31.4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K9Zzls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14:paraId="6F156D5A" w14:textId="77777777"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B14189">
      <w:rPr>
        <w:b/>
        <w:sz w:val="32"/>
        <w:szCs w:val="32"/>
      </w:rPr>
      <w:t>Chemical Communications</w:t>
    </w:r>
    <w:r w:rsidR="00180ABE">
      <w:rPr>
        <w:b/>
        <w:sz w:val="32"/>
        <w:szCs w:val="32"/>
      </w:rPr>
      <w:tab/>
    </w:r>
    <w:r w:rsidR="00180ABE">
      <w:rPr>
        <w:b/>
        <w:noProof/>
        <w:sz w:val="32"/>
        <w:szCs w:val="32"/>
        <w:lang w:eastAsia="en-GB"/>
      </w:rPr>
      <w:drawing>
        <wp:inline distT="0" distB="0" distL="0" distR="0" wp14:anchorId="6C23698C" wp14:editId="25952276">
          <wp:extent cx="972312" cy="64922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C_LOGO_CORPORATE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312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45B41E" w14:textId="77777777" w:rsidR="00180ABE" w:rsidRPr="00180ABE" w:rsidRDefault="00180ABE" w:rsidP="00180ABE">
    <w:pPr>
      <w:pStyle w:val="Header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left="170" w:right="170"/>
      <w:rPr>
        <w:rFonts w:cstheme="minorHAnsi"/>
        <w:color w:val="FFFFFF" w:themeColor="background1"/>
        <w:sz w:val="32"/>
        <w:szCs w:val="32"/>
      </w:rPr>
    </w:pPr>
    <w:r w:rsidRPr="00180ABE">
      <w:rPr>
        <w:rFonts w:cstheme="minorHAnsi"/>
        <w:color w:val="FFFFFF" w:themeColor="background1"/>
        <w:sz w:val="32"/>
        <w:szCs w:val="32"/>
      </w:rPr>
      <w:t>COMMUNICATION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373A2F"/>
    <w:multiLevelType w:val="hybridMultilevel"/>
    <w:tmpl w:val="9454F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5D2905"/>
    <w:multiLevelType w:val="hybridMultilevel"/>
    <w:tmpl w:val="D07EFE9C"/>
    <w:lvl w:ilvl="0" w:tplc="91E45412">
      <w:start w:val="1"/>
      <w:numFmt w:val="decimal"/>
      <w:lvlText w:val="%1"/>
      <w:lvlJc w:val="left"/>
      <w:pPr>
        <w:ind w:left="1288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008" w:hanging="360"/>
      </w:pPr>
    </w:lvl>
    <w:lvl w:ilvl="2" w:tplc="0809001B" w:tentative="1">
      <w:start w:val="1"/>
      <w:numFmt w:val="lowerRoman"/>
      <w:lvlText w:val="%3."/>
      <w:lvlJc w:val="right"/>
      <w:pPr>
        <w:ind w:left="2728" w:hanging="180"/>
      </w:pPr>
    </w:lvl>
    <w:lvl w:ilvl="3" w:tplc="0809000F" w:tentative="1">
      <w:start w:val="1"/>
      <w:numFmt w:val="decimal"/>
      <w:lvlText w:val="%4."/>
      <w:lvlJc w:val="left"/>
      <w:pPr>
        <w:ind w:left="3448" w:hanging="360"/>
      </w:pPr>
    </w:lvl>
    <w:lvl w:ilvl="4" w:tplc="08090019" w:tentative="1">
      <w:start w:val="1"/>
      <w:numFmt w:val="lowerLetter"/>
      <w:lvlText w:val="%5."/>
      <w:lvlJc w:val="left"/>
      <w:pPr>
        <w:ind w:left="4168" w:hanging="360"/>
      </w:pPr>
    </w:lvl>
    <w:lvl w:ilvl="5" w:tplc="0809001B" w:tentative="1">
      <w:start w:val="1"/>
      <w:numFmt w:val="lowerRoman"/>
      <w:lvlText w:val="%6."/>
      <w:lvlJc w:val="right"/>
      <w:pPr>
        <w:ind w:left="4888" w:hanging="180"/>
      </w:pPr>
    </w:lvl>
    <w:lvl w:ilvl="6" w:tplc="0809000F" w:tentative="1">
      <w:start w:val="1"/>
      <w:numFmt w:val="decimal"/>
      <w:lvlText w:val="%7."/>
      <w:lvlJc w:val="left"/>
      <w:pPr>
        <w:ind w:left="5608" w:hanging="360"/>
      </w:pPr>
    </w:lvl>
    <w:lvl w:ilvl="7" w:tplc="08090019" w:tentative="1">
      <w:start w:val="1"/>
      <w:numFmt w:val="lowerLetter"/>
      <w:lvlText w:val="%8."/>
      <w:lvlJc w:val="left"/>
      <w:pPr>
        <w:ind w:left="6328" w:hanging="360"/>
      </w:pPr>
    </w:lvl>
    <w:lvl w:ilvl="8" w:tplc="08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7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attachedTemplate r:id="rId1"/>
  <w:stylePaneSortMethod w:val="0000"/>
  <w:defaultTabStop w:val="284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EC0"/>
    <w:rsid w:val="0000016D"/>
    <w:rsid w:val="00001C1D"/>
    <w:rsid w:val="00005B8A"/>
    <w:rsid w:val="00007890"/>
    <w:rsid w:val="000207B6"/>
    <w:rsid w:val="00022D8A"/>
    <w:rsid w:val="00032E9C"/>
    <w:rsid w:val="000556FF"/>
    <w:rsid w:val="000622D1"/>
    <w:rsid w:val="00071E41"/>
    <w:rsid w:val="00073639"/>
    <w:rsid w:val="00092EA8"/>
    <w:rsid w:val="000A15F8"/>
    <w:rsid w:val="000A2670"/>
    <w:rsid w:val="000B4D97"/>
    <w:rsid w:val="000C0A9D"/>
    <w:rsid w:val="000D2FAC"/>
    <w:rsid w:val="000D5891"/>
    <w:rsid w:val="000D6963"/>
    <w:rsid w:val="000E1210"/>
    <w:rsid w:val="000E7A32"/>
    <w:rsid w:val="000F0959"/>
    <w:rsid w:val="000F3A41"/>
    <w:rsid w:val="00101F38"/>
    <w:rsid w:val="00120227"/>
    <w:rsid w:val="00126027"/>
    <w:rsid w:val="001508E9"/>
    <w:rsid w:val="00161A04"/>
    <w:rsid w:val="001633D9"/>
    <w:rsid w:val="001754EF"/>
    <w:rsid w:val="00180ABE"/>
    <w:rsid w:val="001923AB"/>
    <w:rsid w:val="00192FBB"/>
    <w:rsid w:val="00196EC0"/>
    <w:rsid w:val="001C1EB8"/>
    <w:rsid w:val="001D0897"/>
    <w:rsid w:val="001D51F0"/>
    <w:rsid w:val="001E340D"/>
    <w:rsid w:val="001F7931"/>
    <w:rsid w:val="00200921"/>
    <w:rsid w:val="00206A82"/>
    <w:rsid w:val="00222E3E"/>
    <w:rsid w:val="00226511"/>
    <w:rsid w:val="00226845"/>
    <w:rsid w:val="00237C8A"/>
    <w:rsid w:val="00241ACD"/>
    <w:rsid w:val="00243D3C"/>
    <w:rsid w:val="002466D8"/>
    <w:rsid w:val="00253551"/>
    <w:rsid w:val="0025490A"/>
    <w:rsid w:val="00270DD5"/>
    <w:rsid w:val="00271235"/>
    <w:rsid w:val="00272D6F"/>
    <w:rsid w:val="002A5421"/>
    <w:rsid w:val="002C0803"/>
    <w:rsid w:val="002C3D7C"/>
    <w:rsid w:val="002D2986"/>
    <w:rsid w:val="002E06E3"/>
    <w:rsid w:val="002E5B1D"/>
    <w:rsid w:val="002F52C3"/>
    <w:rsid w:val="00300B32"/>
    <w:rsid w:val="00326B98"/>
    <w:rsid w:val="00342C47"/>
    <w:rsid w:val="00352AA4"/>
    <w:rsid w:val="00354579"/>
    <w:rsid w:val="00356F00"/>
    <w:rsid w:val="00365A59"/>
    <w:rsid w:val="00366696"/>
    <w:rsid w:val="00373571"/>
    <w:rsid w:val="00377481"/>
    <w:rsid w:val="003A5CC1"/>
    <w:rsid w:val="003A62DB"/>
    <w:rsid w:val="003A7E95"/>
    <w:rsid w:val="003B0348"/>
    <w:rsid w:val="003B16C0"/>
    <w:rsid w:val="003B37C4"/>
    <w:rsid w:val="003B59BC"/>
    <w:rsid w:val="003B739C"/>
    <w:rsid w:val="003C0C1D"/>
    <w:rsid w:val="003C6313"/>
    <w:rsid w:val="003D4ECA"/>
    <w:rsid w:val="003E55B2"/>
    <w:rsid w:val="003F37D9"/>
    <w:rsid w:val="0040684E"/>
    <w:rsid w:val="0043180D"/>
    <w:rsid w:val="00431B97"/>
    <w:rsid w:val="004414A5"/>
    <w:rsid w:val="0044700B"/>
    <w:rsid w:val="00456785"/>
    <w:rsid w:val="00463E6C"/>
    <w:rsid w:val="00465CB9"/>
    <w:rsid w:val="0046793E"/>
    <w:rsid w:val="00467C80"/>
    <w:rsid w:val="004735DB"/>
    <w:rsid w:val="00474052"/>
    <w:rsid w:val="00476602"/>
    <w:rsid w:val="00485FDB"/>
    <w:rsid w:val="004877C8"/>
    <w:rsid w:val="004901D3"/>
    <w:rsid w:val="004A1A6E"/>
    <w:rsid w:val="004B5B6E"/>
    <w:rsid w:val="004B5EA4"/>
    <w:rsid w:val="004C234E"/>
    <w:rsid w:val="004C3CCB"/>
    <w:rsid w:val="004C531E"/>
    <w:rsid w:val="004C6C90"/>
    <w:rsid w:val="004E1646"/>
    <w:rsid w:val="005037CD"/>
    <w:rsid w:val="00504795"/>
    <w:rsid w:val="00514CBA"/>
    <w:rsid w:val="005238F3"/>
    <w:rsid w:val="00525022"/>
    <w:rsid w:val="0052630A"/>
    <w:rsid w:val="0053177A"/>
    <w:rsid w:val="00533EA1"/>
    <w:rsid w:val="0055001D"/>
    <w:rsid w:val="00555993"/>
    <w:rsid w:val="005771C3"/>
    <w:rsid w:val="00577B54"/>
    <w:rsid w:val="005812D7"/>
    <w:rsid w:val="00584D2B"/>
    <w:rsid w:val="005905DD"/>
    <w:rsid w:val="00590F6D"/>
    <w:rsid w:val="005A5ED7"/>
    <w:rsid w:val="005C120B"/>
    <w:rsid w:val="005C1A41"/>
    <w:rsid w:val="005C4565"/>
    <w:rsid w:val="005D4DCD"/>
    <w:rsid w:val="005D6441"/>
    <w:rsid w:val="005E05CD"/>
    <w:rsid w:val="005E68E5"/>
    <w:rsid w:val="005F0C42"/>
    <w:rsid w:val="005F4C51"/>
    <w:rsid w:val="006132F8"/>
    <w:rsid w:val="00641030"/>
    <w:rsid w:val="00645D52"/>
    <w:rsid w:val="0065133B"/>
    <w:rsid w:val="00656D88"/>
    <w:rsid w:val="006602F1"/>
    <w:rsid w:val="00670ED4"/>
    <w:rsid w:val="00672928"/>
    <w:rsid w:val="00673628"/>
    <w:rsid w:val="006768B1"/>
    <w:rsid w:val="00687AB9"/>
    <w:rsid w:val="006A69C8"/>
    <w:rsid w:val="006C0EC9"/>
    <w:rsid w:val="006D6163"/>
    <w:rsid w:val="006E58B1"/>
    <w:rsid w:val="006F01C4"/>
    <w:rsid w:val="006F487B"/>
    <w:rsid w:val="006F4934"/>
    <w:rsid w:val="006F6DA4"/>
    <w:rsid w:val="006F740B"/>
    <w:rsid w:val="00707D0F"/>
    <w:rsid w:val="007158FE"/>
    <w:rsid w:val="00744A41"/>
    <w:rsid w:val="00746B39"/>
    <w:rsid w:val="00775E18"/>
    <w:rsid w:val="00780A41"/>
    <w:rsid w:val="00787076"/>
    <w:rsid w:val="00790696"/>
    <w:rsid w:val="007922F1"/>
    <w:rsid w:val="007937F6"/>
    <w:rsid w:val="00794787"/>
    <w:rsid w:val="007A37D8"/>
    <w:rsid w:val="007C3D03"/>
    <w:rsid w:val="007D1EFA"/>
    <w:rsid w:val="007D5FE4"/>
    <w:rsid w:val="007F0034"/>
    <w:rsid w:val="007F1A56"/>
    <w:rsid w:val="007F6AFA"/>
    <w:rsid w:val="00800C03"/>
    <w:rsid w:val="00822AEA"/>
    <w:rsid w:val="0085466D"/>
    <w:rsid w:val="00855701"/>
    <w:rsid w:val="008560DE"/>
    <w:rsid w:val="0088525A"/>
    <w:rsid w:val="00885A3F"/>
    <w:rsid w:val="00892D33"/>
    <w:rsid w:val="00895533"/>
    <w:rsid w:val="008958E6"/>
    <w:rsid w:val="008A0D60"/>
    <w:rsid w:val="008C1387"/>
    <w:rsid w:val="008C682F"/>
    <w:rsid w:val="008E509B"/>
    <w:rsid w:val="008F4811"/>
    <w:rsid w:val="008F525A"/>
    <w:rsid w:val="008F79F2"/>
    <w:rsid w:val="009026D4"/>
    <w:rsid w:val="0092763E"/>
    <w:rsid w:val="009316A6"/>
    <w:rsid w:val="00936114"/>
    <w:rsid w:val="00936E40"/>
    <w:rsid w:val="009400E9"/>
    <w:rsid w:val="00946830"/>
    <w:rsid w:val="00952115"/>
    <w:rsid w:val="00962779"/>
    <w:rsid w:val="009654D6"/>
    <w:rsid w:val="009654EC"/>
    <w:rsid w:val="009726BB"/>
    <w:rsid w:val="00987962"/>
    <w:rsid w:val="009918D9"/>
    <w:rsid w:val="009A392D"/>
    <w:rsid w:val="009A6F54"/>
    <w:rsid w:val="009B1D32"/>
    <w:rsid w:val="009C1EFA"/>
    <w:rsid w:val="009C225D"/>
    <w:rsid w:val="009C3F0B"/>
    <w:rsid w:val="009D17C3"/>
    <w:rsid w:val="009D47C2"/>
    <w:rsid w:val="009E41A4"/>
    <w:rsid w:val="009E51F8"/>
    <w:rsid w:val="009F2649"/>
    <w:rsid w:val="00A074D7"/>
    <w:rsid w:val="00A16A99"/>
    <w:rsid w:val="00A17D23"/>
    <w:rsid w:val="00A208E1"/>
    <w:rsid w:val="00A27CE1"/>
    <w:rsid w:val="00A521AB"/>
    <w:rsid w:val="00A56CD0"/>
    <w:rsid w:val="00A61D3E"/>
    <w:rsid w:val="00A7643E"/>
    <w:rsid w:val="00A9649E"/>
    <w:rsid w:val="00AA1341"/>
    <w:rsid w:val="00AB16D0"/>
    <w:rsid w:val="00AB2C1B"/>
    <w:rsid w:val="00AB4808"/>
    <w:rsid w:val="00AC3BF2"/>
    <w:rsid w:val="00AD5483"/>
    <w:rsid w:val="00AF0249"/>
    <w:rsid w:val="00AF150F"/>
    <w:rsid w:val="00AF4737"/>
    <w:rsid w:val="00B029B9"/>
    <w:rsid w:val="00B0470A"/>
    <w:rsid w:val="00B14189"/>
    <w:rsid w:val="00B2364D"/>
    <w:rsid w:val="00B403E7"/>
    <w:rsid w:val="00B53018"/>
    <w:rsid w:val="00B53582"/>
    <w:rsid w:val="00B55955"/>
    <w:rsid w:val="00B6239D"/>
    <w:rsid w:val="00B67630"/>
    <w:rsid w:val="00B722DE"/>
    <w:rsid w:val="00B80DDB"/>
    <w:rsid w:val="00B81EE1"/>
    <w:rsid w:val="00B944CF"/>
    <w:rsid w:val="00BA1512"/>
    <w:rsid w:val="00BA2D96"/>
    <w:rsid w:val="00BA761E"/>
    <w:rsid w:val="00BB3FBE"/>
    <w:rsid w:val="00BB7BCB"/>
    <w:rsid w:val="00BC603D"/>
    <w:rsid w:val="00BC6382"/>
    <w:rsid w:val="00BD6C7E"/>
    <w:rsid w:val="00BF57CE"/>
    <w:rsid w:val="00C06173"/>
    <w:rsid w:val="00C25CB6"/>
    <w:rsid w:val="00C3016F"/>
    <w:rsid w:val="00C31922"/>
    <w:rsid w:val="00C32EDF"/>
    <w:rsid w:val="00C331CC"/>
    <w:rsid w:val="00C405FD"/>
    <w:rsid w:val="00C42573"/>
    <w:rsid w:val="00C44E77"/>
    <w:rsid w:val="00C5024A"/>
    <w:rsid w:val="00C50ECB"/>
    <w:rsid w:val="00C57107"/>
    <w:rsid w:val="00C625EE"/>
    <w:rsid w:val="00C62C2D"/>
    <w:rsid w:val="00C9227C"/>
    <w:rsid w:val="00C97052"/>
    <w:rsid w:val="00CA1352"/>
    <w:rsid w:val="00CA2740"/>
    <w:rsid w:val="00CC12E6"/>
    <w:rsid w:val="00CC2E25"/>
    <w:rsid w:val="00CC7C64"/>
    <w:rsid w:val="00CD0B47"/>
    <w:rsid w:val="00CE25DE"/>
    <w:rsid w:val="00D010E8"/>
    <w:rsid w:val="00D02C04"/>
    <w:rsid w:val="00D138E8"/>
    <w:rsid w:val="00D208BA"/>
    <w:rsid w:val="00D21668"/>
    <w:rsid w:val="00D216BC"/>
    <w:rsid w:val="00D25D65"/>
    <w:rsid w:val="00D26AE8"/>
    <w:rsid w:val="00D27D1A"/>
    <w:rsid w:val="00D32CC2"/>
    <w:rsid w:val="00D42F8F"/>
    <w:rsid w:val="00D45ADF"/>
    <w:rsid w:val="00D62714"/>
    <w:rsid w:val="00D71E4F"/>
    <w:rsid w:val="00D71F47"/>
    <w:rsid w:val="00DA0506"/>
    <w:rsid w:val="00DA07F1"/>
    <w:rsid w:val="00DA1E9E"/>
    <w:rsid w:val="00DB046B"/>
    <w:rsid w:val="00DD06F4"/>
    <w:rsid w:val="00DD26E7"/>
    <w:rsid w:val="00DD500F"/>
    <w:rsid w:val="00DE464F"/>
    <w:rsid w:val="00DF53E4"/>
    <w:rsid w:val="00E00931"/>
    <w:rsid w:val="00E079C5"/>
    <w:rsid w:val="00E2136E"/>
    <w:rsid w:val="00E25AF8"/>
    <w:rsid w:val="00E31A6A"/>
    <w:rsid w:val="00E46BDF"/>
    <w:rsid w:val="00E50CBB"/>
    <w:rsid w:val="00E547DB"/>
    <w:rsid w:val="00E555BF"/>
    <w:rsid w:val="00E56EC5"/>
    <w:rsid w:val="00E61949"/>
    <w:rsid w:val="00E70DCE"/>
    <w:rsid w:val="00EA446A"/>
    <w:rsid w:val="00EA4C85"/>
    <w:rsid w:val="00EA7DC1"/>
    <w:rsid w:val="00EB010E"/>
    <w:rsid w:val="00EB58EF"/>
    <w:rsid w:val="00EB5BA2"/>
    <w:rsid w:val="00EB5C28"/>
    <w:rsid w:val="00ED63F7"/>
    <w:rsid w:val="00EE2F17"/>
    <w:rsid w:val="00EF0D19"/>
    <w:rsid w:val="00EF1577"/>
    <w:rsid w:val="00EF6BD4"/>
    <w:rsid w:val="00F021B5"/>
    <w:rsid w:val="00F02296"/>
    <w:rsid w:val="00F07C03"/>
    <w:rsid w:val="00F15F90"/>
    <w:rsid w:val="00F21465"/>
    <w:rsid w:val="00F6065C"/>
    <w:rsid w:val="00F61EB1"/>
    <w:rsid w:val="00F62C8B"/>
    <w:rsid w:val="00F802D4"/>
    <w:rsid w:val="00F80BFD"/>
    <w:rsid w:val="00F91982"/>
    <w:rsid w:val="00FA311A"/>
    <w:rsid w:val="00FC1AAD"/>
    <w:rsid w:val="00FE0FE8"/>
    <w:rsid w:val="00FF0DF5"/>
    <w:rsid w:val="00FF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21B954"/>
  <w15:docId w15:val="{1214AB0C-3C6B-4BE8-B892-37BB93939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F1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COMAbstract">
    <w:name w:val="RSC B01 COM Abstract"/>
    <w:basedOn w:val="Normal"/>
    <w:link w:val="RSCB01COMAbstractChar"/>
    <w:qFormat/>
    <w:rsid w:val="0025490A"/>
    <w:pPr>
      <w:spacing w:line="240" w:lineRule="exact"/>
      <w:jc w:val="both"/>
    </w:pPr>
    <w:rPr>
      <w:b/>
      <w:noProof/>
      <w:sz w:val="18"/>
      <w:lang w:eastAsia="en-GB"/>
    </w:rPr>
  </w:style>
  <w:style w:type="table" w:styleId="TableGrid">
    <w:name w:val="Table Grid"/>
    <w:basedOn w:val="TableNormal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SectionHeading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2C3D7C"/>
    <w:pPr>
      <w:tabs>
        <w:tab w:val="left" w:pos="284"/>
      </w:tabs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2C3D7C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485FDB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485FDB"/>
    <w:pPr>
      <w:pBdr>
        <w:top w:val="single" w:sz="12" w:space="5" w:color="999999"/>
      </w:pBdr>
      <w:spacing w:before="120" w:after="40" w:line="240" w:lineRule="auto"/>
      <w:jc w:val="both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2E5B1D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2E5B1D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485FDB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485FDB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link w:val="RSCR02ReferencesChar"/>
    <w:qFormat/>
    <w:rsid w:val="00243D3C"/>
    <w:pPr>
      <w:numPr>
        <w:numId w:val="2"/>
      </w:numPr>
      <w:tabs>
        <w:tab w:val="left" w:pos="284"/>
      </w:tabs>
      <w:spacing w:after="0" w:line="200" w:lineRule="exact"/>
      <w:ind w:left="284" w:hanging="284"/>
    </w:pPr>
    <w:rPr>
      <w:rFonts w:cs="Times New Roman"/>
      <w:w w:val="105"/>
      <w:sz w:val="18"/>
      <w:szCs w:val="18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485FDB"/>
    <w:rPr>
      <w:rFonts w:cs="Times New Roman"/>
      <w:w w:val="105"/>
      <w:sz w:val="14"/>
      <w:szCs w:val="14"/>
    </w:rPr>
  </w:style>
  <w:style w:type="paragraph" w:styleId="NoSpacing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DefaultParagraphFont"/>
    <w:link w:val="RSCR02References"/>
    <w:rsid w:val="00243D3C"/>
    <w:rPr>
      <w:rFonts w:cs="Times New Roman"/>
      <w:w w:val="105"/>
      <w:sz w:val="18"/>
      <w:szCs w:val="18"/>
    </w:rPr>
  </w:style>
  <w:style w:type="paragraph" w:customStyle="1" w:styleId="RSCB04SectionHeading">
    <w:name w:val="RSC B04 Section Heading"/>
    <w:basedOn w:val="Normal"/>
    <w:link w:val="RSCB04SectionHeading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DefaultParagraphFont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1633D9"/>
    <w:rPr>
      <w:rFonts w:cs="Times New Roman"/>
      <w:sz w:val="20"/>
    </w:rPr>
  </w:style>
  <w:style w:type="character" w:customStyle="1" w:styleId="RSCB01COMAbstractChar">
    <w:name w:val="RSC B01 COM Abstract Char"/>
    <w:basedOn w:val="DefaultParagraphFont"/>
    <w:link w:val="RSCB01COMAbstract"/>
    <w:rsid w:val="0025490A"/>
    <w:rPr>
      <w:b/>
      <w:noProof/>
      <w:sz w:val="18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SectionHeadingChar">
    <w:name w:val="RSC B04 Section Heading Char"/>
    <w:basedOn w:val="DefaultParagraphFont"/>
    <w:link w:val="RSCB04SectionHeading"/>
    <w:rsid w:val="00EF6BD4"/>
    <w:rPr>
      <w:b/>
      <w:sz w:val="24"/>
    </w:rPr>
  </w:style>
  <w:style w:type="character" w:customStyle="1" w:styleId="05BHeadingChar">
    <w:name w:val="05 B Heading Char"/>
    <w:basedOn w:val="RSCB04SectionHeading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485FDB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DefaultParagraphFont"/>
    <w:link w:val="RSCI02FigureSchemeChartwithtopbar"/>
    <w:rsid w:val="00485FDB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2E5B1D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2E5B1D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Normal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485FDB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485FDB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DefaultParagraphFont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DefaultParagraphFont"/>
    <w:link w:val="RSCT04TableFootnotewithbottombar"/>
    <w:rsid w:val="00485FDB"/>
    <w:rPr>
      <w:rFonts w:eastAsia="Times New Roman" w:cs="Times New Roman"/>
      <w:sz w:val="15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037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F15F90"/>
    <w:pPr>
      <w:ind w:left="720"/>
      <w:contextualSpacing/>
    </w:pPr>
  </w:style>
  <w:style w:type="paragraph" w:styleId="Revision">
    <w:name w:val="Revision"/>
    <w:hidden/>
    <w:uiPriority w:val="99"/>
    <w:semiHidden/>
    <w:rsid w:val="000D589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27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274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485FDB"/>
    <w:pPr>
      <w:spacing w:line="200" w:lineRule="exact"/>
      <w:jc w:val="both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485FDB"/>
    <w:pPr>
      <w:spacing w:line="200" w:lineRule="exact"/>
      <w:jc w:val="both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DefaultParagraphFont"/>
    <w:link w:val="RSCI04CaptiontoFigureSchemeChart"/>
    <w:rsid w:val="00485FDB"/>
    <w:rPr>
      <w:bCs/>
      <w:sz w:val="14"/>
      <w:szCs w:val="18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4C531E"/>
    <w:pPr>
      <w:spacing w:before="960" w:after="0" w:line="180" w:lineRule="exact"/>
      <w:contextualSpacing/>
    </w:pPr>
    <w:rPr>
      <w:rFonts w:eastAsiaTheme="minorEastAsia"/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485FDB"/>
    <w:rPr>
      <w:bCs/>
      <w:sz w:val="18"/>
      <w:szCs w:val="18"/>
    </w:rPr>
  </w:style>
  <w:style w:type="paragraph" w:customStyle="1" w:styleId="RSCM02DOI">
    <w:name w:val="RSC M02 DOI"/>
    <w:basedOn w:val="Normal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DefaultParagraphFont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Normal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DefaultParagraphFont"/>
    <w:link w:val="RSCM02DOI"/>
    <w:rsid w:val="004C531E"/>
    <w:rPr>
      <w:sz w:val="14"/>
      <w:szCs w:val="14"/>
    </w:rPr>
  </w:style>
  <w:style w:type="paragraph" w:customStyle="1" w:styleId="RSCB05SectionHeadingstandalone">
    <w:name w:val="RSC B05 Section Heading (stand alone)"/>
    <w:link w:val="RSCB05SectionHeading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DefaultParagraphFont"/>
    <w:link w:val="RSCM03Website"/>
    <w:rsid w:val="004C531E"/>
    <w:rPr>
      <w:b/>
      <w:sz w:val="14"/>
      <w:szCs w:val="14"/>
    </w:rPr>
  </w:style>
  <w:style w:type="paragraph" w:customStyle="1" w:styleId="RSCB06Sub-SectionHeading">
    <w:name w:val="RSC B06 Sub-Section Heading"/>
    <w:link w:val="RSCB06Sub-SectionHeading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SectionHeadingstandaloneChar">
    <w:name w:val="RSC B05 Section Heading (stand alone) Char"/>
    <w:basedOn w:val="RSCH02PaperAuthorsandBylineChar"/>
    <w:link w:val="RSCB05SectionHeadingstandalone"/>
    <w:rsid w:val="00EF6BD4"/>
    <w:rPr>
      <w:rFonts w:cs="Times New Roman"/>
      <w:sz w:val="24"/>
    </w:rPr>
  </w:style>
  <w:style w:type="paragraph" w:customStyle="1" w:styleId="RSCB07Sub-SectionHeadingstandalone">
    <w:name w:val="RSC B07 Sub-Section Heading (stand alone)"/>
    <w:link w:val="RSCB07Sub-SectionHeading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Sub-SectionHeadingChar">
    <w:name w:val="RSC B06 Sub-Section Heading Char"/>
    <w:basedOn w:val="DefaultParagraphFont"/>
    <w:link w:val="RSCB06Sub-SectionHeading"/>
    <w:rsid w:val="00EF6BD4"/>
    <w:rPr>
      <w:b/>
      <w:sz w:val="18"/>
    </w:rPr>
  </w:style>
  <w:style w:type="paragraph" w:customStyle="1" w:styleId="RSCB08In-lineHeading">
    <w:name w:val="RSC B08 In-line Heading"/>
    <w:link w:val="RSCB08In-lineHeadingChar"/>
    <w:qFormat/>
    <w:rsid w:val="00EF6BD4"/>
    <w:pPr>
      <w:spacing w:after="0"/>
    </w:pPr>
    <w:rPr>
      <w:b/>
      <w:sz w:val="18"/>
    </w:rPr>
  </w:style>
  <w:style w:type="character" w:customStyle="1" w:styleId="RSCB07Sub-SectionHeadingstandaloneChar">
    <w:name w:val="RSC B07 Sub-Section Heading (stand alone) Char"/>
    <w:basedOn w:val="DefaultParagraphFont"/>
    <w:link w:val="RSCB07Sub-SectionHeadingstandalone"/>
    <w:rsid w:val="00EF6BD4"/>
    <w:rPr>
      <w:b/>
      <w:sz w:val="18"/>
    </w:rPr>
  </w:style>
  <w:style w:type="character" w:customStyle="1" w:styleId="RSCB08In-lineHeadingChar">
    <w:name w:val="RSC B08 In-line Heading Char"/>
    <w:basedOn w:val="DefaultParagraphFont"/>
    <w:link w:val="RSCB08In-lineHeading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485FDB"/>
    <w:pPr>
      <w:pBdr>
        <w:bottom w:val="single" w:sz="12" w:space="1" w:color="A6A6A6" w:themeColor="background1" w:themeShade="A6"/>
      </w:pBdr>
      <w:jc w:val="both"/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485FDB"/>
    <w:rPr>
      <w:bCs/>
      <w:sz w:val="14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812D7"/>
    <w:rPr>
      <w:color w:val="800080" w:themeColor="followedHyperlink"/>
      <w:u w:val="single"/>
    </w:rPr>
  </w:style>
  <w:style w:type="character" w:customStyle="1" w:styleId="RSCB04AHeadingSectionChar">
    <w:name w:val="RSC B04 A Heading (Section) Char"/>
    <w:basedOn w:val="DefaultParagraphFont"/>
    <w:link w:val="RSCB04AHeadingSection"/>
    <w:locked/>
    <w:rsid w:val="00584D2B"/>
    <w:rPr>
      <w:b/>
      <w:sz w:val="24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584D2B"/>
    <w:pPr>
      <w:spacing w:before="400" w:after="80" w:line="240" w:lineRule="auto"/>
    </w:pPr>
    <w:rPr>
      <w:b/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1418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1418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1418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F6A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6A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6A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6A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6AF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0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Customer%20Services%20Team\Author%20Tools%20&amp;%20Services\Author%20templates\com-template-1.5_ol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19AA0-AA45-4E99-B656-5A5D260F6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com-template-1.5_old</Template>
  <TotalTime>3</TotalTime>
  <Pages>4</Pages>
  <Words>2732</Words>
  <Characters>15578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Society of Chemistry</Company>
  <LinksUpToDate>false</LinksUpToDate>
  <CharactersWithSpaces>18274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 McCallum</dc:creator>
  <cp:lastModifiedBy>ijs_fairlamb@outlook.com</cp:lastModifiedBy>
  <cp:revision>5</cp:revision>
  <cp:lastPrinted>2014-10-09T15:34:00Z</cp:lastPrinted>
  <dcterms:created xsi:type="dcterms:W3CDTF">2019-02-06T11:03:00Z</dcterms:created>
  <dcterms:modified xsi:type="dcterms:W3CDTF">2019-02-06T11:14:00Z</dcterms:modified>
</cp:coreProperties>
</file>