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7F5613" w:rsidRDefault="00E57196" w:rsidP="00D01999">
      <w:pPr>
        <w:pStyle w:val="Title1"/>
        <w:rPr>
          <w:color w:val="FF0000"/>
        </w:rPr>
      </w:pPr>
      <w:r w:rsidRPr="007F5613">
        <w:t>Resin swelling in mixed solvents analysed using Hansen solubility parameter space</w:t>
      </w:r>
    </w:p>
    <w:p w:rsidR="00F007F5" w:rsidRPr="007F5613" w:rsidRDefault="00B91584" w:rsidP="00F007F5">
      <w:pPr>
        <w:pStyle w:val="Authors"/>
      </w:pPr>
      <w:r w:rsidRPr="007F5613">
        <w:rPr>
          <w:lang w:eastAsia="zh-CN"/>
        </w:rPr>
        <w:pict>
          <v:shapetype id="_x0000_t202" coordsize="21600,21600" o:spt="202" path="m,l,21600r21600,l21600,xe">
            <v:stroke joinstyle="miter"/>
            <v:path gradientshapeok="t" o:connecttype="rect"/>
          </v:shapetype>
          <v:shape id="_x0000_s1054" type="#_x0000_t202" style="position:absolute;margin-left:-6.45pt;margin-top:696.25pt;width:248.05pt;height:77.7pt;z-index:1;mso-wrap-distance-top:14.2pt;mso-wrap-distance-right:14.2pt;mso-position-vertical-relative:page" stroked="f">
            <v:fill opacity="0"/>
            <v:textbox style="mso-next-textbox:#_x0000_s1054;mso-fit-shape-to-text:t">
              <w:txbxContent>
                <w:p w:rsidR="007477F4" w:rsidRPr="007E3A49" w:rsidRDefault="007477F4" w:rsidP="00BF14BC">
                  <w:pPr>
                    <w:pStyle w:val="Adress"/>
                    <w:pBdr>
                      <w:top w:val="single" w:sz="4" w:space="1" w:color="000000"/>
                    </w:pBdr>
                  </w:pPr>
                  <w:r w:rsidRPr="0095126A">
                    <w:t>[a]</w:t>
                  </w:r>
                  <w:r w:rsidRPr="0095126A">
                    <w:tab/>
                  </w:r>
                  <w:r>
                    <w:t xml:space="preserve">Miss Y. Ran, </w:t>
                  </w:r>
                  <w:proofErr w:type="spellStart"/>
                  <w:r>
                    <w:t>Dr.</w:t>
                  </w:r>
                  <w:proofErr w:type="spellEnd"/>
                  <w:r>
                    <w:t xml:space="preserve"> F. Byrne, </w:t>
                  </w:r>
                  <w:proofErr w:type="spellStart"/>
                  <w:r>
                    <w:t>Dr.</w:t>
                  </w:r>
                  <w:proofErr w:type="spellEnd"/>
                  <w:r>
                    <w:t xml:space="preserve"> I. D. V. Ingram, Professor M. North</w:t>
                  </w:r>
                  <w:r>
                    <w:br/>
                    <w:t>Green chemistry Centre of Excellence, Department of Chemistry</w:t>
                  </w:r>
                  <w:r>
                    <w:br/>
                    <w:t>University of York</w:t>
                  </w:r>
                  <w:r>
                    <w:br/>
                  </w:r>
                  <w:proofErr w:type="spellStart"/>
                  <w:smartTag w:uri="urn:schemas-microsoft-com:office:smarttags" w:element="metricconverter">
                    <w:smartTagPr>
                      <w:attr w:name="ProductID" w:val="2.5 cm"/>
                    </w:smartTagPr>
                    <w:r w:rsidRPr="0050436A">
                      <w:rPr>
                        <w:rFonts w:cs="Arial"/>
                        <w:szCs w:val="14"/>
                      </w:rPr>
                      <w:t>Heslington</w:t>
                    </w:r>
                    <w:proofErr w:type="spellEnd"/>
                    <w:r w:rsidRPr="0050436A">
                      <w:rPr>
                        <w:rFonts w:cs="Arial"/>
                        <w:szCs w:val="14"/>
                      </w:rPr>
                      <w:t xml:space="preserve">, </w:t>
                    </w:r>
                    <w:smartTag w:uri="urn:schemas-microsoft-com:office:smarttags" w:element="metricconverter">
                      <w:smartTagPr>
                        <w:attr w:name="ProductID" w:val="2.5 cm"/>
                      </w:smartTagPr>
                      <w:r w:rsidRPr="0050436A">
                        <w:rPr>
                          <w:rFonts w:cs="Arial"/>
                          <w:szCs w:val="14"/>
                        </w:rPr>
                        <w:t>YO10 5DD</w:t>
                      </w:r>
                    </w:smartTag>
                    <w:r w:rsidRPr="0050436A">
                      <w:rPr>
                        <w:rFonts w:cs="Arial"/>
                        <w:szCs w:val="14"/>
                      </w:rPr>
                      <w:t xml:space="preserve">, </w:t>
                    </w:r>
                    <w:smartTag w:uri="urn:schemas-microsoft-com:office:smarttags" w:element="metricconverter">
                      <w:smartTagPr>
                        <w:attr w:name="ProductID" w:val="2.5 cm"/>
                      </w:smartTagPr>
                      <w:r w:rsidRPr="0050436A">
                        <w:rPr>
                          <w:rFonts w:cs="Arial"/>
                          <w:szCs w:val="14"/>
                        </w:rPr>
                        <w:t>UK</w:t>
                      </w:r>
                    </w:smartTag>
                  </w:smartTag>
                  <w:r w:rsidRPr="007E3A49">
                    <w:br/>
                    <w:t xml:space="preserve">E-mail: </w:t>
                  </w:r>
                  <w:r>
                    <w:t>Michael.north@york.ac.uk</w:t>
                  </w:r>
                </w:p>
                <w:p w:rsidR="007477F4" w:rsidRPr="007E3A49" w:rsidRDefault="007477F4"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w:r>
      <w:proofErr w:type="spellStart"/>
      <w:r w:rsidR="00E57196" w:rsidRPr="007F5613">
        <w:t>Yanrui</w:t>
      </w:r>
      <w:proofErr w:type="spellEnd"/>
      <w:r w:rsidR="00E57196" w:rsidRPr="007F5613">
        <w:t xml:space="preserve"> Ran</w:t>
      </w:r>
      <w:r w:rsidR="00F007F5" w:rsidRPr="007F5613">
        <w:t>,</w:t>
      </w:r>
      <w:r w:rsidR="00E57196" w:rsidRPr="007F5613">
        <w:rPr>
          <w:vertAlign w:val="superscript"/>
        </w:rPr>
        <w:t>[a</w:t>
      </w:r>
      <w:r w:rsidR="00F007F5" w:rsidRPr="007F5613">
        <w:rPr>
          <w:vertAlign w:val="superscript"/>
        </w:rPr>
        <w:t>]</w:t>
      </w:r>
      <w:r w:rsidR="00F007F5" w:rsidRPr="007F5613">
        <w:t xml:space="preserve"> </w:t>
      </w:r>
      <w:r w:rsidR="00D105B0" w:rsidRPr="007F5613">
        <w:rPr>
          <w:color w:val="000000"/>
        </w:rPr>
        <w:t>Fergal Byrne,</w:t>
      </w:r>
      <w:r w:rsidR="00D105B0" w:rsidRPr="007F5613">
        <w:rPr>
          <w:color w:val="000000"/>
          <w:vertAlign w:val="superscript"/>
        </w:rPr>
        <w:t>[a]</w:t>
      </w:r>
      <w:r w:rsidR="00D105B0" w:rsidRPr="007F5613">
        <w:t xml:space="preserve"> </w:t>
      </w:r>
      <w:r w:rsidR="00E57196" w:rsidRPr="007F5613">
        <w:t>Ian Ingram</w:t>
      </w:r>
      <w:r w:rsidR="00E57196" w:rsidRPr="007F5613">
        <w:rPr>
          <w:vertAlign w:val="superscript"/>
        </w:rPr>
        <w:t>[a]</w:t>
      </w:r>
      <w:r w:rsidR="00E57196" w:rsidRPr="007F5613">
        <w:t xml:space="preserve"> </w:t>
      </w:r>
      <w:r w:rsidR="00F007F5" w:rsidRPr="007F5613">
        <w:t xml:space="preserve">and </w:t>
      </w:r>
      <w:r w:rsidR="00E57196" w:rsidRPr="007F5613">
        <w:t>Michael North</w:t>
      </w:r>
      <w:r w:rsidR="00F007F5" w:rsidRPr="007F5613">
        <w:t>*</w:t>
      </w:r>
      <w:r w:rsidR="00F007F5" w:rsidRPr="007F5613">
        <w:rPr>
          <w:vertAlign w:val="superscript"/>
        </w:rPr>
        <w:t>[a]</w:t>
      </w:r>
    </w:p>
    <w:p w:rsidR="00F007F5" w:rsidRPr="007F5613" w:rsidRDefault="00F007F5" w:rsidP="00B55FAF">
      <w:pPr>
        <w:pStyle w:val="Dedication"/>
      </w:pPr>
    </w:p>
    <w:p w:rsidR="006D4F77" w:rsidRPr="007F5613" w:rsidRDefault="006D4F77" w:rsidP="006D4F77">
      <w:pPr>
        <w:pStyle w:val="Dedication"/>
        <w:rPr>
          <w:color w:val="FF0000"/>
        </w:rPr>
        <w:sectPr w:rsidR="006D4F77" w:rsidRPr="007F5613" w:rsidSect="0095126A">
          <w:headerReference w:type="even" r:id="rId8"/>
          <w:headerReference w:type="default" r:id="rId9"/>
          <w:footerReference w:type="default" r:id="rId10"/>
          <w:headerReference w:type="first" r:id="rId11"/>
          <w:endnotePr>
            <w:numFmt w:val="decimal"/>
          </w:endnotePr>
          <w:pgSz w:w="11906" w:h="16838" w:code="9"/>
          <w:pgMar w:top="1134" w:right="936" w:bottom="1134" w:left="936" w:header="1021" w:footer="0" w:gutter="0"/>
          <w:cols w:space="425"/>
          <w:docGrid w:linePitch="360"/>
        </w:sectPr>
      </w:pPr>
    </w:p>
    <w:p w:rsidR="00AD78DA" w:rsidRPr="007F5613" w:rsidRDefault="00591262" w:rsidP="00AD78DA">
      <w:pPr>
        <w:pStyle w:val="Abstract"/>
        <w:rPr>
          <w:color w:val="FF0000"/>
        </w:rPr>
      </w:pPr>
      <w:r w:rsidRPr="007F5613">
        <w:rPr>
          <w:b/>
        </w:rPr>
        <w:t>Abstract:</w:t>
      </w:r>
      <w:r w:rsidRPr="007F5613">
        <w:t xml:space="preserve"> </w:t>
      </w:r>
      <w:r w:rsidR="00E57196" w:rsidRPr="007F5613">
        <w:t>The swelling of resins (Merrifield and HypoGel</w:t>
      </w:r>
      <w:r w:rsidR="00E57196" w:rsidRPr="007F5613">
        <w:rPr>
          <w:vertAlign w:val="superscript"/>
        </w:rPr>
        <w:t>TM</w:t>
      </w:r>
      <w:r w:rsidR="00E57196" w:rsidRPr="007F5613">
        <w:t xml:space="preserve">200) in mixtures of two solvents was </w:t>
      </w:r>
      <w:r w:rsidR="00E866F6" w:rsidRPr="007F5613">
        <w:t xml:space="preserve">generally </w:t>
      </w:r>
      <w:r w:rsidR="00E57196" w:rsidRPr="007F5613">
        <w:t xml:space="preserve">found not to vary linearly </w:t>
      </w:r>
      <w:r w:rsidR="00805699" w:rsidRPr="007F5613">
        <w:t>with the relative amount of each solvent in the mixture</w:t>
      </w:r>
      <w:r w:rsidR="00E57196" w:rsidRPr="007F5613">
        <w:t xml:space="preserve">. Hansen solubility parameter (HSP) space could be used to define high, medium and low swelling regions for each resin. The variation of resin swelling with </w:t>
      </w:r>
      <w:r w:rsidR="00915214" w:rsidRPr="007F5613">
        <w:t xml:space="preserve">binary </w:t>
      </w:r>
      <w:r w:rsidR="00E57196" w:rsidRPr="007F5613">
        <w:t xml:space="preserve">solvent composition could then be explained based on the HSP parameters of the two </w:t>
      </w:r>
      <w:r w:rsidR="00915214" w:rsidRPr="007F5613">
        <w:t xml:space="preserve">solvents and the way in which the line connecting the points corresponding to the two pure solvents bisected the swelling region for the resin. The applicability of the methodology was demonstrated by showing that an appropriate mixture of two green solvents was more effective for solid phase peptide synthesis </w:t>
      </w:r>
      <w:r w:rsidR="00A92916" w:rsidRPr="007F5613">
        <w:t xml:space="preserve">on Merrifield resin </w:t>
      </w:r>
      <w:r w:rsidR="00915214" w:rsidRPr="007F5613">
        <w:t xml:space="preserve">than use of either individual </w:t>
      </w:r>
      <w:r w:rsidR="00915214" w:rsidRPr="007F5613">
        <w:rPr>
          <w:color w:val="000000"/>
        </w:rPr>
        <w:t>solvent</w:t>
      </w:r>
      <w:r w:rsidR="00155DB4" w:rsidRPr="007F5613">
        <w:rPr>
          <w:color w:val="000000"/>
        </w:rPr>
        <w:t xml:space="preserve"> and could completely replace the use of traditional polar aprotic and chlorinated solvents for this application</w:t>
      </w:r>
      <w:r w:rsidRPr="007F5613">
        <w:rPr>
          <w:color w:val="000000"/>
        </w:rPr>
        <w:t>.</w:t>
      </w:r>
      <w:r w:rsidR="00A92916" w:rsidRPr="007F5613">
        <w:rPr>
          <w:color w:val="000000"/>
        </w:rPr>
        <w:t xml:space="preserve"> </w:t>
      </w:r>
      <w:r w:rsidR="00C647F4" w:rsidRPr="007F5613">
        <w:rPr>
          <w:color w:val="000000"/>
        </w:rPr>
        <w:t>I</w:t>
      </w:r>
      <w:r w:rsidR="003F5FAB" w:rsidRPr="007F5613">
        <w:rPr>
          <w:color w:val="000000"/>
        </w:rPr>
        <w:t xml:space="preserve">t was also shown that the high resin swelling area of Merrifield resin can be used to predict mixtures of green solvents which will dissolve linear, </w:t>
      </w:r>
      <w:proofErr w:type="spellStart"/>
      <w:r w:rsidR="003F5FAB" w:rsidRPr="007F5613">
        <w:rPr>
          <w:color w:val="000000"/>
        </w:rPr>
        <w:t>unfunctionalised</w:t>
      </w:r>
      <w:proofErr w:type="spellEnd"/>
      <w:r w:rsidR="003F5FAB" w:rsidRPr="007F5613">
        <w:rPr>
          <w:color w:val="000000"/>
        </w:rPr>
        <w:t xml:space="preserve"> polystyrene</w:t>
      </w:r>
      <w:r w:rsidR="00A92916" w:rsidRPr="007F5613">
        <w:rPr>
          <w:color w:val="000000"/>
        </w:rPr>
        <w:t>.</w:t>
      </w:r>
    </w:p>
    <w:p w:rsidR="00AD78DA" w:rsidRPr="007F5613" w:rsidRDefault="00AD78DA" w:rsidP="00C00B45">
      <w:pPr>
        <w:pStyle w:val="H1"/>
      </w:pPr>
      <w:r w:rsidRPr="007F5613">
        <w:t>Introduction</w:t>
      </w:r>
    </w:p>
    <w:p w:rsidR="00A30A0C" w:rsidRPr="007F5613" w:rsidRDefault="00A30A0C" w:rsidP="00D80821">
      <w:pPr>
        <w:pStyle w:val="P1"/>
        <w:rPr>
          <w:lang w:val="en-GB"/>
        </w:rPr>
      </w:pPr>
      <w:r w:rsidRPr="007F5613">
        <w:rPr>
          <w:lang w:val="en-GB"/>
        </w:rPr>
        <w:t>Solvent is often the largest source of waste associated with chemical production, accounting for up to 80–90% of the total mass used in reactions carried out in batch reactors.</w:t>
      </w:r>
      <w:r w:rsidR="003F25F4" w:rsidRPr="007F5613">
        <w:rPr>
          <w:vertAlign w:val="superscript"/>
          <w:lang w:val="en-GB"/>
        </w:rPr>
        <w:t>[</w:t>
      </w:r>
      <w:r w:rsidR="003F25F4" w:rsidRPr="007F5613">
        <w:rPr>
          <w:rStyle w:val="EndnoteReference"/>
          <w:lang w:val="en-GB"/>
        </w:rPr>
        <w:endnoteReference w:id="2"/>
      </w:r>
      <w:r w:rsidR="003F25F4" w:rsidRPr="007F5613">
        <w:rPr>
          <w:vertAlign w:val="superscript"/>
          <w:lang w:val="en-GB"/>
        </w:rPr>
        <w:t>]</w:t>
      </w:r>
      <w:r w:rsidR="003F25F4" w:rsidRPr="007F5613">
        <w:rPr>
          <w:lang w:val="en-GB"/>
        </w:rPr>
        <w:t xml:space="preserve"> Many of the most widely used conventional solvents are being found to be toxic. For example, </w:t>
      </w:r>
      <w:r w:rsidR="00B205F8" w:rsidRPr="007F5613">
        <w:rPr>
          <w:lang w:val="en-GB"/>
        </w:rPr>
        <w:t xml:space="preserve">the polar aprotic solvents </w:t>
      </w:r>
      <w:r w:rsidR="003F25F4" w:rsidRPr="007F5613">
        <w:rPr>
          <w:lang w:val="en-GB"/>
        </w:rPr>
        <w:t>DMF, DMA and NMP</w:t>
      </w:r>
      <w:r w:rsidR="00B205F8" w:rsidRPr="007F5613">
        <w:rPr>
          <w:lang w:val="en-GB"/>
        </w:rPr>
        <w:t xml:space="preserve"> </w:t>
      </w:r>
      <w:r w:rsidR="003F25F4" w:rsidRPr="007F5613">
        <w:rPr>
          <w:lang w:val="en-GB"/>
        </w:rPr>
        <w:t>have been classified as substances of highest concern under the EU REAC</w:t>
      </w:r>
      <w:r w:rsidR="00B205F8" w:rsidRPr="007F5613">
        <w:rPr>
          <w:lang w:val="en-GB"/>
        </w:rPr>
        <w:t>H regulations</w:t>
      </w:r>
      <w:r w:rsidR="003F25F4" w:rsidRPr="007F5613">
        <w:rPr>
          <w:vertAlign w:val="superscript"/>
          <w:lang w:val="en-GB"/>
        </w:rPr>
        <w:t>[</w:t>
      </w:r>
      <w:r w:rsidR="003F25F4" w:rsidRPr="007F5613">
        <w:rPr>
          <w:rStyle w:val="EndnoteReference"/>
          <w:lang w:val="en-GB"/>
        </w:rPr>
        <w:endnoteReference w:id="3"/>
      </w:r>
      <w:r w:rsidR="003F25F4" w:rsidRPr="007F5613">
        <w:rPr>
          <w:vertAlign w:val="superscript"/>
          <w:lang w:val="en-GB"/>
        </w:rPr>
        <w:t>]</w:t>
      </w:r>
      <w:r w:rsidR="00B205F8" w:rsidRPr="007F5613">
        <w:rPr>
          <w:lang w:val="en-GB"/>
        </w:rPr>
        <w:t xml:space="preserve"> as they are </w:t>
      </w:r>
      <w:proofErr w:type="spellStart"/>
      <w:r w:rsidR="00B205F8" w:rsidRPr="007F5613">
        <w:rPr>
          <w:lang w:val="en-GB"/>
        </w:rPr>
        <w:t>reprotoxic</w:t>
      </w:r>
      <w:proofErr w:type="spellEnd"/>
      <w:r w:rsidR="00B205F8" w:rsidRPr="007F5613">
        <w:rPr>
          <w:lang w:val="en-GB"/>
        </w:rPr>
        <w:t>.</w:t>
      </w:r>
      <w:r w:rsidR="00B205F8" w:rsidRPr="007F5613">
        <w:rPr>
          <w:vertAlign w:val="superscript"/>
          <w:lang w:val="en-GB"/>
        </w:rPr>
        <w:t>[</w:t>
      </w:r>
      <w:r w:rsidR="00B205F8" w:rsidRPr="007F5613">
        <w:rPr>
          <w:rStyle w:val="EndnoteReference"/>
          <w:lang w:val="en-GB"/>
        </w:rPr>
        <w:endnoteReference w:id="4"/>
      </w:r>
      <w:r w:rsidR="00B205F8" w:rsidRPr="007F5613">
        <w:rPr>
          <w:vertAlign w:val="superscript"/>
          <w:lang w:val="en-GB"/>
        </w:rPr>
        <w:t xml:space="preserve">] </w:t>
      </w:r>
      <w:r w:rsidR="00B205F8" w:rsidRPr="007F5613">
        <w:rPr>
          <w:lang w:val="en-GB"/>
        </w:rPr>
        <w:t xml:space="preserve">Chlorinated solvents have </w:t>
      </w:r>
      <w:r w:rsidR="007A5BF2" w:rsidRPr="007F5613">
        <w:rPr>
          <w:lang w:val="en-GB"/>
        </w:rPr>
        <w:t xml:space="preserve">also </w:t>
      </w:r>
      <w:r w:rsidR="00B205F8" w:rsidRPr="007F5613">
        <w:rPr>
          <w:lang w:val="en-GB"/>
        </w:rPr>
        <w:t xml:space="preserve">come under the REACH spotlight and </w:t>
      </w:r>
      <w:r w:rsidR="00F55C6C" w:rsidRPr="007F5613">
        <w:rPr>
          <w:lang w:val="en-GB"/>
        </w:rPr>
        <w:t>1,2-</w:t>
      </w:r>
      <w:r w:rsidR="00B205F8" w:rsidRPr="007F5613">
        <w:rPr>
          <w:lang w:val="en-GB"/>
        </w:rPr>
        <w:t>dichloroethane, a known carcinogen, is also classified as a substance of very high concern.</w:t>
      </w:r>
      <w:r w:rsidR="00B205F8" w:rsidRPr="007F5613">
        <w:rPr>
          <w:vertAlign w:val="superscript"/>
          <w:lang w:val="en-GB"/>
        </w:rPr>
        <w:t>[</w:t>
      </w:r>
      <w:r w:rsidR="00B205F8" w:rsidRPr="007F5613">
        <w:rPr>
          <w:rStyle w:val="EndnoteReference"/>
          <w:lang w:val="en-GB"/>
        </w:rPr>
        <w:endnoteReference w:id="5"/>
      </w:r>
      <w:r w:rsidR="00B205F8" w:rsidRPr="007F5613">
        <w:rPr>
          <w:vertAlign w:val="superscript"/>
          <w:lang w:val="en-GB"/>
        </w:rPr>
        <w:t>]</w:t>
      </w:r>
      <w:r w:rsidR="007A5BF2" w:rsidRPr="007F5613">
        <w:rPr>
          <w:lang w:val="en-GB"/>
        </w:rPr>
        <w:t xml:space="preserve"> As a result, there is increasing interest in the development of greener replacements for conventional solvents.</w:t>
      </w:r>
      <w:r w:rsidR="00727500" w:rsidRPr="007F5613">
        <w:rPr>
          <w:vertAlign w:val="superscript"/>
          <w:lang w:val="en-GB"/>
        </w:rPr>
        <w:t>[</w:t>
      </w:r>
      <w:r w:rsidR="00727500" w:rsidRPr="007F5613">
        <w:rPr>
          <w:rStyle w:val="EndnoteReference"/>
          <w:lang w:val="en-GB"/>
        </w:rPr>
        <w:endnoteReference w:id="6"/>
      </w:r>
      <w:r w:rsidR="00727500" w:rsidRPr="007F5613">
        <w:rPr>
          <w:vertAlign w:val="superscript"/>
          <w:lang w:val="en-GB"/>
        </w:rPr>
        <w:t>]</w:t>
      </w:r>
      <w:r w:rsidR="007A5BF2" w:rsidRPr="007F5613">
        <w:rPr>
          <w:lang w:val="en-GB"/>
        </w:rPr>
        <w:t xml:space="preserve"> Any new solvents should be sustainably sourced, non-toxic and have similar properties to the solvent they seek to replace.</w:t>
      </w:r>
      <w:r w:rsidR="00827BC3" w:rsidRPr="007F5613">
        <w:rPr>
          <w:vertAlign w:val="superscript"/>
          <w:lang w:val="en-GB"/>
        </w:rPr>
        <w:t>[</w:t>
      </w:r>
      <w:r w:rsidR="00827BC3" w:rsidRPr="007F5613">
        <w:rPr>
          <w:rStyle w:val="EndnoteReference"/>
          <w:lang w:val="en-GB"/>
        </w:rPr>
        <w:endnoteReference w:id="7"/>
      </w:r>
      <w:r w:rsidR="00827BC3" w:rsidRPr="007F5613">
        <w:rPr>
          <w:vertAlign w:val="superscript"/>
          <w:lang w:val="en-GB"/>
        </w:rPr>
        <w:t>]</w:t>
      </w:r>
      <w:r w:rsidR="007A5BF2" w:rsidRPr="007F5613">
        <w:rPr>
          <w:lang w:val="en-GB"/>
        </w:rPr>
        <w:t xml:space="preserve"> There has been significant progress in the development of green polar aprotic solvents </w:t>
      </w:r>
      <w:r w:rsidR="008225FF" w:rsidRPr="007F5613">
        <w:rPr>
          <w:lang w:val="en-GB"/>
        </w:rPr>
        <w:t xml:space="preserve">such as compounds </w:t>
      </w:r>
      <w:r w:rsidR="008225FF" w:rsidRPr="007F5613">
        <w:rPr>
          <w:b/>
          <w:lang w:val="en-GB"/>
        </w:rPr>
        <w:t>1–4</w:t>
      </w:r>
      <w:r w:rsidR="008225FF" w:rsidRPr="007F5613">
        <w:rPr>
          <w:lang w:val="en-GB"/>
        </w:rPr>
        <w:t xml:space="preserve"> shown in Figure 1. E</w:t>
      </w:r>
      <w:r w:rsidR="007A5BF2" w:rsidRPr="007F5613">
        <w:rPr>
          <w:lang w:val="en-GB"/>
        </w:rPr>
        <w:t>thylene and propylene carbonate</w:t>
      </w:r>
      <w:r w:rsidR="008225FF" w:rsidRPr="007F5613">
        <w:rPr>
          <w:lang w:val="en-GB"/>
        </w:rPr>
        <w:t xml:space="preserve"> </w:t>
      </w:r>
      <w:r w:rsidR="008225FF" w:rsidRPr="007F5613">
        <w:rPr>
          <w:b/>
          <w:lang w:val="en-GB"/>
        </w:rPr>
        <w:t>1</w:t>
      </w:r>
      <w:r w:rsidR="008225FF" w:rsidRPr="007F5613">
        <w:rPr>
          <w:lang w:val="en-GB"/>
        </w:rPr>
        <w:t>,</w:t>
      </w:r>
      <w:r w:rsidR="008225FF" w:rsidRPr="007F5613">
        <w:rPr>
          <w:b/>
          <w:lang w:val="en-GB"/>
        </w:rPr>
        <w:t>2</w:t>
      </w:r>
      <w:r w:rsidR="008225FF" w:rsidRPr="007F5613">
        <w:rPr>
          <w:vertAlign w:val="superscript"/>
          <w:lang w:val="en-GB"/>
        </w:rPr>
        <w:t>[</w:t>
      </w:r>
      <w:r w:rsidR="008225FF" w:rsidRPr="007F5613">
        <w:rPr>
          <w:rStyle w:val="EndnoteReference"/>
          <w:lang w:val="en-GB"/>
        </w:rPr>
        <w:endnoteReference w:id="8"/>
      </w:r>
      <w:r w:rsidR="00674DF6" w:rsidRPr="007F5613">
        <w:rPr>
          <w:vertAlign w:val="superscript"/>
          <w:lang w:val="en-GB"/>
        </w:rPr>
        <w:t>,</w:t>
      </w:r>
      <w:bookmarkStart w:id="0" w:name="_Ref528679193"/>
      <w:r w:rsidR="00674DF6" w:rsidRPr="007F5613">
        <w:rPr>
          <w:rStyle w:val="EndnoteReference"/>
          <w:lang w:val="en-GB"/>
        </w:rPr>
        <w:endnoteReference w:id="9"/>
      </w:r>
      <w:bookmarkEnd w:id="0"/>
      <w:r w:rsidR="008225FF" w:rsidRPr="007F5613">
        <w:rPr>
          <w:vertAlign w:val="superscript"/>
          <w:lang w:val="en-GB"/>
        </w:rPr>
        <w:t>]</w:t>
      </w:r>
      <w:r w:rsidR="008225FF" w:rsidRPr="007F5613">
        <w:rPr>
          <w:lang w:val="en-GB"/>
        </w:rPr>
        <w:t xml:space="preserve"> are </w:t>
      </w:r>
      <w:r w:rsidR="007A5BF2" w:rsidRPr="007F5613">
        <w:rPr>
          <w:lang w:val="en-GB"/>
        </w:rPr>
        <w:t>available from carbon dioxid</w:t>
      </w:r>
      <w:r w:rsidR="008225FF" w:rsidRPr="007F5613">
        <w:rPr>
          <w:lang w:val="en-GB"/>
        </w:rPr>
        <w:t xml:space="preserve">e and bioethanol or </w:t>
      </w:r>
      <w:proofErr w:type="spellStart"/>
      <w:r w:rsidR="008225FF" w:rsidRPr="007F5613">
        <w:rPr>
          <w:lang w:val="en-GB"/>
        </w:rPr>
        <w:t>biopropanol</w:t>
      </w:r>
      <w:proofErr w:type="spellEnd"/>
      <w:r w:rsidR="008225FF" w:rsidRPr="007F5613">
        <w:rPr>
          <w:lang w:val="en-GB"/>
        </w:rPr>
        <w:t>;</w:t>
      </w:r>
      <w:r w:rsidR="007A5BF2" w:rsidRPr="007F5613">
        <w:rPr>
          <w:lang w:val="en-GB"/>
        </w:rPr>
        <w:t xml:space="preserve"> </w:t>
      </w:r>
      <w:proofErr w:type="spellStart"/>
      <w:r w:rsidR="007A5BF2" w:rsidRPr="007F5613">
        <w:rPr>
          <w:lang w:val="en-GB"/>
        </w:rPr>
        <w:t>cyrene</w:t>
      </w:r>
      <w:proofErr w:type="spellEnd"/>
      <w:r w:rsidR="008225FF" w:rsidRPr="007F5613">
        <w:rPr>
          <w:lang w:val="en-GB"/>
        </w:rPr>
        <w:t xml:space="preserve"> (</w:t>
      </w:r>
      <w:proofErr w:type="spellStart"/>
      <w:r w:rsidR="008225FF" w:rsidRPr="007F5613">
        <w:rPr>
          <w:lang w:val="en-GB"/>
        </w:rPr>
        <w:t>dihydrolevoglucos</w:t>
      </w:r>
      <w:r w:rsidR="00F55C6C" w:rsidRPr="007F5613">
        <w:rPr>
          <w:lang w:val="en-GB"/>
        </w:rPr>
        <w:t>e</w:t>
      </w:r>
      <w:r w:rsidR="008225FF" w:rsidRPr="007F5613">
        <w:rPr>
          <w:lang w:val="en-GB"/>
        </w:rPr>
        <w:t>none</w:t>
      </w:r>
      <w:proofErr w:type="spellEnd"/>
      <w:r w:rsidR="008225FF" w:rsidRPr="007F5613">
        <w:rPr>
          <w:lang w:val="en-GB"/>
        </w:rPr>
        <w:t xml:space="preserve">) </w:t>
      </w:r>
      <w:r w:rsidR="008225FF" w:rsidRPr="007F5613">
        <w:rPr>
          <w:b/>
          <w:lang w:val="en-GB"/>
        </w:rPr>
        <w:t>3</w:t>
      </w:r>
      <w:r w:rsidR="008225FF" w:rsidRPr="007F5613">
        <w:rPr>
          <w:vertAlign w:val="superscript"/>
          <w:lang w:val="en-GB"/>
        </w:rPr>
        <w:t>[</w:t>
      </w:r>
      <w:r w:rsidR="008225FF" w:rsidRPr="007F5613">
        <w:rPr>
          <w:rStyle w:val="EndnoteReference"/>
          <w:lang w:val="en-GB"/>
        </w:rPr>
        <w:endnoteReference w:id="10"/>
      </w:r>
      <w:r w:rsidR="008225FF" w:rsidRPr="007F5613">
        <w:rPr>
          <w:vertAlign w:val="superscript"/>
          <w:lang w:val="en-GB"/>
        </w:rPr>
        <w:t>]</w:t>
      </w:r>
      <w:r w:rsidR="007A5BF2" w:rsidRPr="007F5613">
        <w:rPr>
          <w:lang w:val="en-GB"/>
        </w:rPr>
        <w:t xml:space="preserve"> </w:t>
      </w:r>
      <w:r w:rsidR="008225FF" w:rsidRPr="007F5613">
        <w:rPr>
          <w:lang w:val="en-GB"/>
        </w:rPr>
        <w:t>is</w:t>
      </w:r>
      <w:r w:rsidR="007A5BF2" w:rsidRPr="007F5613">
        <w:rPr>
          <w:lang w:val="en-GB"/>
        </w:rPr>
        <w:t xml:space="preserve"> available from </w:t>
      </w:r>
      <w:r w:rsidR="008225FF" w:rsidRPr="007F5613">
        <w:rPr>
          <w:lang w:val="en-GB"/>
        </w:rPr>
        <w:t>cellulose;</w:t>
      </w:r>
      <w:r w:rsidR="007A5BF2" w:rsidRPr="007F5613">
        <w:rPr>
          <w:lang w:val="en-GB"/>
        </w:rPr>
        <w:t xml:space="preserve"> and </w:t>
      </w:r>
      <w:r w:rsidR="007A5BF2" w:rsidRPr="007F5613">
        <w:rPr>
          <w:i/>
          <w:lang w:val="en-GB"/>
        </w:rPr>
        <w:t>N</w:t>
      </w:r>
      <w:r w:rsidR="007A5BF2" w:rsidRPr="007F5613">
        <w:rPr>
          <w:lang w:val="en-GB"/>
        </w:rPr>
        <w:t>-</w:t>
      </w:r>
      <w:proofErr w:type="spellStart"/>
      <w:r w:rsidR="007A5BF2" w:rsidRPr="007F5613">
        <w:rPr>
          <w:lang w:val="en-GB"/>
        </w:rPr>
        <w:t>butylpyr</w:t>
      </w:r>
      <w:r w:rsidR="008225FF" w:rsidRPr="007F5613">
        <w:rPr>
          <w:lang w:val="en-GB"/>
        </w:rPr>
        <w:t>r</w:t>
      </w:r>
      <w:r w:rsidR="007A5BF2" w:rsidRPr="007F5613">
        <w:rPr>
          <w:lang w:val="en-GB"/>
        </w:rPr>
        <w:t>olidin</w:t>
      </w:r>
      <w:r w:rsidR="00F16E44" w:rsidRPr="007F5613">
        <w:rPr>
          <w:lang w:val="en-GB"/>
        </w:rPr>
        <w:t>on</w:t>
      </w:r>
      <w:r w:rsidR="007A5BF2" w:rsidRPr="007F5613">
        <w:rPr>
          <w:lang w:val="en-GB"/>
        </w:rPr>
        <w:t>e</w:t>
      </w:r>
      <w:proofErr w:type="spellEnd"/>
      <w:r w:rsidR="008225FF" w:rsidRPr="007F5613">
        <w:rPr>
          <w:lang w:val="en-GB"/>
        </w:rPr>
        <w:t xml:space="preserve"> </w:t>
      </w:r>
      <w:r w:rsidR="008225FF" w:rsidRPr="007F5613">
        <w:rPr>
          <w:b/>
          <w:lang w:val="en-GB"/>
        </w:rPr>
        <w:t>4</w:t>
      </w:r>
      <w:r w:rsidR="008225FF" w:rsidRPr="007F5613">
        <w:rPr>
          <w:vertAlign w:val="superscript"/>
          <w:lang w:val="en-GB"/>
        </w:rPr>
        <w:t>[</w:t>
      </w:r>
      <w:r w:rsidR="008225FF" w:rsidRPr="007F5613">
        <w:rPr>
          <w:rStyle w:val="EndnoteReference"/>
          <w:lang w:val="en-GB"/>
        </w:rPr>
        <w:endnoteReference w:id="11"/>
      </w:r>
      <w:r w:rsidR="008225FF" w:rsidRPr="007F5613">
        <w:rPr>
          <w:vertAlign w:val="superscript"/>
          <w:lang w:val="en-GB"/>
        </w:rPr>
        <w:t>]</w:t>
      </w:r>
      <w:r w:rsidR="008225FF" w:rsidRPr="007F5613">
        <w:rPr>
          <w:lang w:val="en-GB"/>
        </w:rPr>
        <w:t xml:space="preserve"> despite its structural similarity to NMP is </w:t>
      </w:r>
      <w:r w:rsidR="00F97E58" w:rsidRPr="007F5613">
        <w:rPr>
          <w:lang w:val="en-GB"/>
        </w:rPr>
        <w:t xml:space="preserve">classed as </w:t>
      </w:r>
      <w:r w:rsidR="008225FF" w:rsidRPr="007F5613">
        <w:rPr>
          <w:lang w:val="en-GB"/>
        </w:rPr>
        <w:t>non-</w:t>
      </w:r>
      <w:proofErr w:type="spellStart"/>
      <w:r w:rsidR="00F97E58" w:rsidRPr="007F5613">
        <w:rPr>
          <w:lang w:val="en-GB"/>
        </w:rPr>
        <w:t>repro</w:t>
      </w:r>
      <w:r w:rsidR="008225FF" w:rsidRPr="007F5613">
        <w:rPr>
          <w:lang w:val="en-GB"/>
        </w:rPr>
        <w:t>toxic</w:t>
      </w:r>
      <w:proofErr w:type="spellEnd"/>
      <w:r w:rsidR="008225FF" w:rsidRPr="007F5613">
        <w:rPr>
          <w:lang w:val="en-GB"/>
        </w:rPr>
        <w:t>.</w:t>
      </w:r>
      <w:r w:rsidR="00F55C6C" w:rsidRPr="007F5613">
        <w:rPr>
          <w:lang w:val="en-GB"/>
        </w:rPr>
        <w:t xml:space="preserve"> In contrast, it is proving much more difficult to develop green and sustainable replacements for chlorinated </w:t>
      </w:r>
      <w:r w:rsidR="00F55C6C" w:rsidRPr="007F5613">
        <w:rPr>
          <w:lang w:val="en-GB"/>
        </w:rPr>
        <w:t>solvents such as 1,2-dichloroethane</w:t>
      </w:r>
      <w:r w:rsidR="00F97E58" w:rsidRPr="007F5613">
        <w:rPr>
          <w:lang w:val="en-GB"/>
        </w:rPr>
        <w:t>, as their high polarizability allows them to interact with solutes of varying polarity</w:t>
      </w:r>
      <w:r w:rsidR="00F55C6C" w:rsidRPr="007F5613">
        <w:rPr>
          <w:lang w:val="en-GB"/>
        </w:rPr>
        <w:t>.</w:t>
      </w:r>
      <w:r w:rsidR="00F16E44" w:rsidRPr="007F5613">
        <w:rPr>
          <w:lang w:val="en-GB"/>
        </w:rPr>
        <w:t xml:space="preserve"> </w:t>
      </w:r>
    </w:p>
    <w:p w:rsidR="008225FF" w:rsidRPr="007F5613" w:rsidRDefault="00D87A63" w:rsidP="00D105B0">
      <w:pPr>
        <w:spacing w:before="360"/>
        <w:rPr>
          <w:rFonts w:ascii="Arial" w:hAnsi="Arial" w:cs="Arial"/>
          <w:color w:val="FF0000"/>
          <w:sz w:val="14"/>
          <w:szCs w:val="16"/>
        </w:rPr>
      </w:pPr>
      <w:r w:rsidRPr="007F5613">
        <w:object w:dxaOrig="6804" w:dyaOrig="1726">
          <v:shape id="_x0000_i1027" type="#_x0000_t75" style="width:226.4pt;height:58.15pt;mso-position-vertical:absolute" o:ole="">
            <v:imagedata r:id="rId12" o:title=""/>
          </v:shape>
          <o:OLEObject Type="Embed" ProgID="ChemDraw.Document.6.0" ShapeID="_x0000_i1027" DrawAspect="Content" ObjectID="_1611644185" r:id="rId13"/>
        </w:object>
      </w:r>
    </w:p>
    <w:p w:rsidR="008225FF" w:rsidRPr="007F5613" w:rsidRDefault="008225FF" w:rsidP="008225FF">
      <w:pPr>
        <w:pStyle w:val="FigureCaption"/>
      </w:pPr>
      <w:r w:rsidRPr="007F5613">
        <w:rPr>
          <w:b/>
        </w:rPr>
        <w:t>Figure 1.</w:t>
      </w:r>
      <w:r w:rsidRPr="007F5613">
        <w:t xml:space="preserve"> </w:t>
      </w:r>
      <w:r w:rsidR="00D87A63" w:rsidRPr="007F5613">
        <w:t xml:space="preserve">Structures of solvents </w:t>
      </w:r>
      <w:r w:rsidR="00D87A63" w:rsidRPr="007F5613">
        <w:rPr>
          <w:b/>
        </w:rPr>
        <w:t>1–5</w:t>
      </w:r>
      <w:r w:rsidRPr="007F5613">
        <w:t>.</w:t>
      </w:r>
    </w:p>
    <w:p w:rsidR="00A92916" w:rsidRPr="007F5613" w:rsidRDefault="007158C5" w:rsidP="00F55C6C">
      <w:pPr>
        <w:pStyle w:val="P1"/>
        <w:ind w:firstLine="425"/>
        <w:rPr>
          <w:lang w:val="en-GB"/>
        </w:rPr>
      </w:pPr>
      <w:r w:rsidRPr="007F5613">
        <w:rPr>
          <w:color w:val="000000"/>
          <w:lang w:val="en-GB"/>
        </w:rPr>
        <w:t>One application that is highly dependent on polar aprotic and chlorinated solvents is solid pha</w:t>
      </w:r>
      <w:r w:rsidR="00C647F4" w:rsidRPr="007F5613">
        <w:rPr>
          <w:color w:val="000000"/>
          <w:lang w:val="en-GB"/>
        </w:rPr>
        <w:t>se organic synthesis (SPOS) as the</w:t>
      </w:r>
      <w:r w:rsidRPr="007F5613">
        <w:rPr>
          <w:color w:val="000000"/>
          <w:lang w:val="en-GB"/>
        </w:rPr>
        <w:t xml:space="preserve"> resins used in SPOS have been designed to swell in these solvents.</w:t>
      </w:r>
      <w:r w:rsidRPr="007F5613">
        <w:rPr>
          <w:color w:val="000000"/>
          <w:vertAlign w:val="superscript"/>
          <w:lang w:val="en-GB"/>
        </w:rPr>
        <w:t>[</w:t>
      </w:r>
      <w:r w:rsidRPr="007F5613">
        <w:rPr>
          <w:rStyle w:val="EndnoteReference"/>
          <w:color w:val="000000"/>
          <w:lang w:val="en-GB"/>
        </w:rPr>
        <w:endnoteReference w:id="12"/>
      </w:r>
      <w:r w:rsidRPr="007F5613">
        <w:rPr>
          <w:color w:val="000000"/>
          <w:vertAlign w:val="superscript"/>
          <w:lang w:val="en-GB"/>
        </w:rPr>
        <w:t>]</w:t>
      </w:r>
      <w:r w:rsidR="00AE3423" w:rsidRPr="007F5613">
        <w:rPr>
          <w:color w:val="FF0000"/>
          <w:lang w:val="en-GB"/>
        </w:rPr>
        <w:t xml:space="preserve"> </w:t>
      </w:r>
      <w:r w:rsidR="00A92916" w:rsidRPr="007F5613">
        <w:rPr>
          <w:lang w:val="en-GB"/>
        </w:rPr>
        <w:t>In previous work,</w:t>
      </w:r>
      <w:r w:rsidR="00A92916" w:rsidRPr="007F5613">
        <w:rPr>
          <w:vertAlign w:val="superscript"/>
          <w:lang w:val="en-GB"/>
        </w:rPr>
        <w:t>[</w:t>
      </w:r>
      <w:bookmarkStart w:id="1" w:name="_Ref528677046"/>
      <w:r w:rsidR="00A92916" w:rsidRPr="007F5613">
        <w:rPr>
          <w:rStyle w:val="EndnoteReference"/>
          <w:lang w:val="en-GB"/>
        </w:rPr>
        <w:endnoteReference w:id="13"/>
      </w:r>
      <w:bookmarkEnd w:id="1"/>
      <w:r w:rsidR="00A92916" w:rsidRPr="007F5613">
        <w:rPr>
          <w:vertAlign w:val="superscript"/>
          <w:lang w:val="en-GB"/>
        </w:rPr>
        <w:t>]</w:t>
      </w:r>
      <w:r w:rsidR="00A92916" w:rsidRPr="007F5613">
        <w:rPr>
          <w:lang w:val="en-GB"/>
        </w:rPr>
        <w:t xml:space="preserve"> we investigated the compatibility of 25 green solvents with </w:t>
      </w:r>
      <w:r w:rsidR="006B7D71" w:rsidRPr="007F5613">
        <w:rPr>
          <w:lang w:val="en-GB"/>
        </w:rPr>
        <w:t xml:space="preserve">nine resins used in </w:t>
      </w:r>
      <w:r w:rsidR="00C647F4" w:rsidRPr="007F5613">
        <w:rPr>
          <w:lang w:val="en-GB"/>
        </w:rPr>
        <w:t>SPOS</w:t>
      </w:r>
      <w:r w:rsidR="00A92916" w:rsidRPr="007F5613">
        <w:rPr>
          <w:lang w:val="en-GB"/>
        </w:rPr>
        <w:t>, using the ability of the solvent to swell the resin as a measure of its compatibility. T</w:t>
      </w:r>
      <w:r w:rsidR="0044675D" w:rsidRPr="007F5613">
        <w:rPr>
          <w:lang w:val="en-GB"/>
        </w:rPr>
        <w:t>his</w:t>
      </w:r>
      <w:r w:rsidR="00A92916" w:rsidRPr="007F5613">
        <w:rPr>
          <w:lang w:val="en-GB"/>
        </w:rPr>
        <w:t xml:space="preserve"> study included modelling of resin</w:t>
      </w:r>
      <w:r w:rsidR="0044675D" w:rsidRPr="007F5613">
        <w:rPr>
          <w:lang w:val="en-GB"/>
        </w:rPr>
        <w:t>–</w:t>
      </w:r>
      <w:r w:rsidR="00A92916" w:rsidRPr="007F5613">
        <w:rPr>
          <w:lang w:val="en-GB"/>
        </w:rPr>
        <w:t>solvent interactions using the Hansen Solubility Parameters in Practice (</w:t>
      </w:r>
      <w:proofErr w:type="spellStart"/>
      <w:r w:rsidR="00A92916" w:rsidRPr="007F5613">
        <w:rPr>
          <w:lang w:val="en-GB"/>
        </w:rPr>
        <w:t>HSPiP</w:t>
      </w:r>
      <w:proofErr w:type="spellEnd"/>
      <w:r w:rsidR="00A92916" w:rsidRPr="007F5613">
        <w:rPr>
          <w:lang w:val="en-GB"/>
        </w:rPr>
        <w:t>) software.</w:t>
      </w:r>
      <w:r w:rsidR="0044675D" w:rsidRPr="007F5613">
        <w:rPr>
          <w:lang w:val="en-GB"/>
        </w:rPr>
        <w:t xml:space="preserve"> One outcome of the modelling work was a prediction that the ability of a mixture of two solvents to swell a given resin would not be determined simply by the </w:t>
      </w:r>
      <w:r w:rsidR="00805699" w:rsidRPr="007F5613">
        <w:rPr>
          <w:lang w:val="en-GB"/>
        </w:rPr>
        <w:t>relative amounts</w:t>
      </w:r>
      <w:r w:rsidR="0044675D" w:rsidRPr="007F5613">
        <w:rPr>
          <w:lang w:val="en-GB"/>
        </w:rPr>
        <w:t xml:space="preserve"> of each solvent in the mixture. Rather, for a given pair of solvents, the software predicted that there would be an optimal ratio of the solvents that gave maximum resin swelling. </w:t>
      </w:r>
      <w:r w:rsidR="00AE3423" w:rsidRPr="007F5613">
        <w:rPr>
          <w:lang w:val="en-GB"/>
        </w:rPr>
        <w:t xml:space="preserve">When the resin swelling ability of these </w:t>
      </w:r>
      <w:r w:rsidR="00E866F6" w:rsidRPr="007F5613">
        <w:rPr>
          <w:lang w:val="en-GB"/>
        </w:rPr>
        <w:t xml:space="preserve">predicted </w:t>
      </w:r>
      <w:r w:rsidR="00AE3423" w:rsidRPr="007F5613">
        <w:rPr>
          <w:lang w:val="en-GB"/>
        </w:rPr>
        <w:t>optimal solvent ratios was experimentally investigated, three out of nine cases were found to induce higher resin swelling than either solvent by itself and one case gave lower resin swelling than either solvent by itself.</w:t>
      </w:r>
    </w:p>
    <w:p w:rsidR="00F55C6C" w:rsidRPr="007F5613" w:rsidRDefault="007158C5" w:rsidP="00386C45">
      <w:pPr>
        <w:pStyle w:val="P1"/>
        <w:ind w:firstLine="425"/>
        <w:rPr>
          <w:lang w:val="en-GB"/>
        </w:rPr>
      </w:pPr>
      <w:r w:rsidRPr="007F5613">
        <w:rPr>
          <w:lang w:val="en-GB"/>
        </w:rPr>
        <w:t>In this work, we build on the above leads to investigate in detail why a binary mixture of solvents can give higher swelling of a resin than either pure solvent and show that an appropriate mix</w:t>
      </w:r>
      <w:r w:rsidR="00386C45" w:rsidRPr="007F5613">
        <w:rPr>
          <w:lang w:val="en-GB"/>
        </w:rPr>
        <w:t>ture of two green solvents can</w:t>
      </w:r>
      <w:r w:rsidRPr="007F5613">
        <w:rPr>
          <w:lang w:val="en-GB"/>
        </w:rPr>
        <w:t xml:space="preserve"> have similar properties to </w:t>
      </w:r>
      <w:r w:rsidR="00386C45" w:rsidRPr="007F5613">
        <w:rPr>
          <w:lang w:val="en-GB"/>
        </w:rPr>
        <w:t>undesirable</w:t>
      </w:r>
      <w:r w:rsidRPr="007F5613">
        <w:rPr>
          <w:lang w:val="en-GB"/>
        </w:rPr>
        <w:t xml:space="preserve"> conventional solvent</w:t>
      </w:r>
      <w:r w:rsidR="00386C45" w:rsidRPr="007F5613">
        <w:rPr>
          <w:lang w:val="en-GB"/>
        </w:rPr>
        <w:t>s for which no direct green replacement is available</w:t>
      </w:r>
      <w:r w:rsidRPr="007F5613">
        <w:rPr>
          <w:lang w:val="en-GB"/>
        </w:rPr>
        <w:t>.</w:t>
      </w:r>
      <w:r w:rsidR="009573C6" w:rsidRPr="007F5613">
        <w:rPr>
          <w:lang w:val="en-GB"/>
        </w:rPr>
        <w:t xml:space="preserve"> </w:t>
      </w:r>
      <w:r w:rsidR="00277B97" w:rsidRPr="007F5613">
        <w:rPr>
          <w:lang w:val="en-GB"/>
        </w:rPr>
        <w:t xml:space="preserve">This approach is then validated by successful predictions of green binary solvent mixtures which could be used for both solid phase peptide synthesis and polystyrene dissolution. </w:t>
      </w:r>
    </w:p>
    <w:p w:rsidR="00C00B45" w:rsidRPr="007F5613" w:rsidRDefault="00C00B45" w:rsidP="00C00B45">
      <w:pPr>
        <w:pStyle w:val="H1"/>
      </w:pPr>
      <w:r w:rsidRPr="007F5613">
        <w:t>Results and Discussion</w:t>
      </w:r>
    </w:p>
    <w:p w:rsidR="00F436A8" w:rsidRPr="007F5613" w:rsidRDefault="00727500" w:rsidP="00F436A8">
      <w:pPr>
        <w:pStyle w:val="P1"/>
        <w:rPr>
          <w:vertAlign w:val="superscript"/>
          <w:lang w:val="en-GB"/>
        </w:rPr>
      </w:pPr>
      <w:r w:rsidRPr="007F5613">
        <w:rPr>
          <w:lang w:val="en-GB"/>
        </w:rPr>
        <w:t>T</w:t>
      </w:r>
      <w:r w:rsidR="006B7D71" w:rsidRPr="007F5613">
        <w:rPr>
          <w:lang w:val="en-GB"/>
        </w:rPr>
        <w:t>wo of the nine resins from our previous study</w:t>
      </w:r>
      <w:r w:rsidR="00D105B0" w:rsidRPr="007F5613">
        <w:rPr>
          <w:lang w:val="en-GB"/>
        </w:rPr>
        <w:t xml:space="preserve"> were selected for in </w:t>
      </w:r>
      <w:r w:rsidR="000C178F" w:rsidRPr="007F5613">
        <w:rPr>
          <w:lang w:val="en-GB"/>
        </w:rPr>
        <w:t>depth analysis</w:t>
      </w:r>
      <w:r w:rsidR="006B7D71" w:rsidRPr="007F5613">
        <w:rPr>
          <w:lang w:val="en-GB"/>
        </w:rPr>
        <w:t>. These were Me</w:t>
      </w:r>
      <w:r w:rsidR="00F436A8" w:rsidRPr="007F5613">
        <w:rPr>
          <w:lang w:val="en-GB"/>
        </w:rPr>
        <w:t>r</w:t>
      </w:r>
      <w:r w:rsidR="006B7D71" w:rsidRPr="007F5613">
        <w:rPr>
          <w:lang w:val="en-GB"/>
        </w:rPr>
        <w:t>rifield resin</w:t>
      </w:r>
      <w:r w:rsidR="006B7D71" w:rsidRPr="007F5613">
        <w:rPr>
          <w:vertAlign w:val="superscript"/>
          <w:lang w:val="en-GB"/>
        </w:rPr>
        <w:t>[</w:t>
      </w:r>
      <w:r w:rsidR="006B7D71" w:rsidRPr="007F5613">
        <w:rPr>
          <w:rStyle w:val="EndnoteReference"/>
          <w:lang w:val="en-GB"/>
        </w:rPr>
        <w:endnoteReference w:id="14"/>
      </w:r>
      <w:r w:rsidR="006B7D71" w:rsidRPr="007F5613">
        <w:rPr>
          <w:vertAlign w:val="superscript"/>
          <w:lang w:val="en-GB"/>
        </w:rPr>
        <w:t>]</w:t>
      </w:r>
      <w:r w:rsidR="006B7D71" w:rsidRPr="007F5613">
        <w:rPr>
          <w:lang w:val="en-GB"/>
        </w:rPr>
        <w:t xml:space="preserve"> (1% </w:t>
      </w:r>
      <w:r w:rsidR="00DE26BA" w:rsidRPr="007F5613">
        <w:rPr>
          <w:lang w:val="en-GB"/>
        </w:rPr>
        <w:t>cross-linked</w:t>
      </w:r>
      <w:r w:rsidR="006B7D71" w:rsidRPr="007F5613">
        <w:rPr>
          <w:lang w:val="en-GB"/>
        </w:rPr>
        <w:t xml:space="preserve"> polystyrene) functionalized with a Wang linker</w:t>
      </w:r>
      <w:r w:rsidR="006B7D71" w:rsidRPr="007F5613">
        <w:rPr>
          <w:vertAlign w:val="superscript"/>
          <w:lang w:val="en-GB"/>
        </w:rPr>
        <w:t>[</w:t>
      </w:r>
      <w:r w:rsidR="006B7D71" w:rsidRPr="007F5613">
        <w:rPr>
          <w:rStyle w:val="EndnoteReference"/>
          <w:lang w:val="en-GB"/>
        </w:rPr>
        <w:endnoteReference w:id="15"/>
      </w:r>
      <w:r w:rsidR="006B7D71" w:rsidRPr="007F5613">
        <w:rPr>
          <w:vertAlign w:val="superscript"/>
          <w:lang w:val="en-GB"/>
        </w:rPr>
        <w:t>]</w:t>
      </w:r>
      <w:r w:rsidR="006B7D71" w:rsidRPr="007F5613">
        <w:rPr>
          <w:lang w:val="en-GB"/>
        </w:rPr>
        <w:t xml:space="preserve"> (4-hydroxybenzyl alcohol) and HypoGel</w:t>
      </w:r>
      <w:r w:rsidR="006B7D71" w:rsidRPr="007F5613">
        <w:rPr>
          <w:vertAlign w:val="superscript"/>
          <w:lang w:val="en-GB"/>
        </w:rPr>
        <w:t>TM</w:t>
      </w:r>
      <w:r w:rsidR="006B7D71" w:rsidRPr="007F5613">
        <w:rPr>
          <w:lang w:val="en-GB"/>
        </w:rPr>
        <w:t>200</w:t>
      </w:r>
      <w:r w:rsidR="006B7D71" w:rsidRPr="007F5613">
        <w:rPr>
          <w:vertAlign w:val="superscript"/>
          <w:lang w:val="en-GB"/>
        </w:rPr>
        <w:t>[</w:t>
      </w:r>
      <w:r w:rsidR="006B7D71" w:rsidRPr="007F5613">
        <w:rPr>
          <w:rStyle w:val="EndnoteReference"/>
          <w:lang w:val="en-GB"/>
        </w:rPr>
        <w:endnoteReference w:id="16"/>
      </w:r>
      <w:r w:rsidR="006B7D71" w:rsidRPr="007F5613">
        <w:rPr>
          <w:vertAlign w:val="superscript"/>
          <w:lang w:val="en-GB"/>
        </w:rPr>
        <w:t>]</w:t>
      </w:r>
      <w:r w:rsidR="006B7D71" w:rsidRPr="007F5613">
        <w:rPr>
          <w:lang w:val="en-GB"/>
        </w:rPr>
        <w:t xml:space="preserve"> (polyethylene glycol grafted onto polystyrene) with a carboxylic acid linker.</w:t>
      </w:r>
      <w:r w:rsidR="000C178F" w:rsidRPr="007F5613">
        <w:rPr>
          <w:lang w:val="en-GB"/>
        </w:rPr>
        <w:t xml:space="preserve"> </w:t>
      </w:r>
      <w:r w:rsidR="00F436A8" w:rsidRPr="007F5613">
        <w:rPr>
          <w:lang w:val="en-GB"/>
        </w:rPr>
        <w:t xml:space="preserve">Merrifield resin had previously been predicted and </w:t>
      </w:r>
      <w:r w:rsidR="00F436A8" w:rsidRPr="007F5613">
        <w:rPr>
          <w:lang w:val="en-GB"/>
        </w:rPr>
        <w:lastRenderedPageBreak/>
        <w:t>experimentally confirmed to swell to a lesser extent in</w:t>
      </w:r>
      <w:r w:rsidR="00C647F4" w:rsidRPr="007F5613">
        <w:rPr>
          <w:lang w:val="en-GB"/>
        </w:rPr>
        <w:t xml:space="preserve"> a mixed solvent (52:48 2-MeTHF: </w:t>
      </w:r>
      <w:proofErr w:type="spellStart"/>
      <w:r w:rsidR="00C647F4" w:rsidRPr="007F5613">
        <w:rPr>
          <w:lang w:val="en-GB"/>
        </w:rPr>
        <w:t>cyclopentyl</w:t>
      </w:r>
      <w:proofErr w:type="spellEnd"/>
      <w:r w:rsidR="00F436A8" w:rsidRPr="007F5613">
        <w:rPr>
          <w:lang w:val="en-GB"/>
        </w:rPr>
        <w:t xml:space="preserve"> methyl ether) than in either pure solvent</w:t>
      </w:r>
      <w:r w:rsidR="00C647F4" w:rsidRPr="007F5613">
        <w:rPr>
          <w:lang w:val="en-GB"/>
        </w:rPr>
        <w:t>. In contrast,</w:t>
      </w:r>
      <w:r w:rsidR="00F436A8" w:rsidRPr="007F5613">
        <w:rPr>
          <w:lang w:val="en-GB"/>
        </w:rPr>
        <w:t xml:space="preserve"> HypoGel</w:t>
      </w:r>
      <w:r w:rsidR="00F436A8" w:rsidRPr="007F5613">
        <w:rPr>
          <w:vertAlign w:val="superscript"/>
          <w:lang w:val="en-GB"/>
        </w:rPr>
        <w:t>TM</w:t>
      </w:r>
      <w:r w:rsidR="00F436A8" w:rsidRPr="007F5613">
        <w:rPr>
          <w:lang w:val="en-GB"/>
        </w:rPr>
        <w:t>200 was one of three resins predicted and experimentally confirmed to swell to a greater extent in a mix</w:t>
      </w:r>
      <w:r w:rsidR="00C647F4" w:rsidRPr="007F5613">
        <w:rPr>
          <w:lang w:val="en-GB"/>
        </w:rPr>
        <w:t xml:space="preserve">ed solvent (91:9 </w:t>
      </w:r>
      <w:proofErr w:type="spellStart"/>
      <w:r w:rsidR="00C647F4" w:rsidRPr="007F5613">
        <w:rPr>
          <w:lang w:val="en-GB"/>
        </w:rPr>
        <w:t>cyclopentanone</w:t>
      </w:r>
      <w:proofErr w:type="spellEnd"/>
      <w:r w:rsidR="00F436A8" w:rsidRPr="007F5613">
        <w:rPr>
          <w:lang w:val="en-GB"/>
        </w:rPr>
        <w:t>: water) than in the pure solvents.</w:t>
      </w:r>
      <w:r w:rsidR="00F436A8" w:rsidRPr="007F5613">
        <w:rPr>
          <w:vertAlign w:val="superscript"/>
          <w:lang w:val="en-GB"/>
        </w:rPr>
        <w:t>[</w:t>
      </w:r>
      <w:r w:rsidR="00F436A8" w:rsidRPr="007F5613">
        <w:rPr>
          <w:vertAlign w:val="superscript"/>
          <w:lang w:val="en-GB"/>
        </w:rPr>
        <w:fldChar w:fldCharType="begin"/>
      </w:r>
      <w:r w:rsidR="00F436A8" w:rsidRPr="007F5613">
        <w:rPr>
          <w:vertAlign w:val="superscript"/>
          <w:lang w:val="en-GB"/>
        </w:rPr>
        <w:instrText xml:space="preserve"> NOTEREF _Ref528677046 \h </w:instrText>
      </w:r>
      <w:r w:rsidR="00F436A8" w:rsidRPr="007F5613">
        <w:rPr>
          <w:vertAlign w:val="superscript"/>
          <w:lang w:val="en-GB"/>
        </w:rPr>
      </w:r>
      <w:r w:rsidR="007F5613">
        <w:rPr>
          <w:vertAlign w:val="superscript"/>
          <w:lang w:val="en-GB"/>
        </w:rPr>
        <w:instrText xml:space="preserve"> \* MERGEFORMAT </w:instrText>
      </w:r>
      <w:r w:rsidR="00F436A8" w:rsidRPr="007F5613">
        <w:rPr>
          <w:vertAlign w:val="superscript"/>
          <w:lang w:val="en-GB"/>
        </w:rPr>
        <w:fldChar w:fldCharType="separate"/>
      </w:r>
      <w:r w:rsidR="00F73B1E">
        <w:rPr>
          <w:vertAlign w:val="superscript"/>
          <w:lang w:val="en-GB"/>
        </w:rPr>
        <w:t>12</w:t>
      </w:r>
      <w:r w:rsidR="00F436A8" w:rsidRPr="007F5613">
        <w:rPr>
          <w:vertAlign w:val="superscript"/>
          <w:lang w:val="en-GB"/>
        </w:rPr>
        <w:fldChar w:fldCharType="end"/>
      </w:r>
      <w:r w:rsidR="00F436A8" w:rsidRPr="007F5613">
        <w:rPr>
          <w:vertAlign w:val="superscript"/>
          <w:lang w:val="en-GB"/>
        </w:rPr>
        <w:t>]</w:t>
      </w:r>
      <w:r w:rsidR="00F436A8" w:rsidRPr="007F5613">
        <w:rPr>
          <w:lang w:val="en-GB"/>
        </w:rPr>
        <w:t xml:space="preserve"> In the previous work, only the predicted optimal solvent ratio had been experimentally investigated, so an initial study was carried out investigating </w:t>
      </w:r>
      <w:r w:rsidR="00E866F6" w:rsidRPr="007F5613">
        <w:rPr>
          <w:lang w:val="en-GB"/>
        </w:rPr>
        <w:t xml:space="preserve">the </w:t>
      </w:r>
      <w:r w:rsidR="00F436A8" w:rsidRPr="007F5613">
        <w:rPr>
          <w:lang w:val="en-GB"/>
        </w:rPr>
        <w:t xml:space="preserve">swelling of these two resins in mixtures of the solvents of varying composition (Figure 2 and Figure 3). Resin swelling was measured by the </w:t>
      </w:r>
      <w:r w:rsidR="00674DF6" w:rsidRPr="007F5613">
        <w:rPr>
          <w:lang w:val="en-GB"/>
        </w:rPr>
        <w:t xml:space="preserve">method of Griffith </w:t>
      </w:r>
      <w:r w:rsidR="00674DF6" w:rsidRPr="007F5613">
        <w:rPr>
          <w:i/>
          <w:lang w:val="en-GB"/>
        </w:rPr>
        <w:t>et al.</w:t>
      </w:r>
      <w:r w:rsidR="00674DF6" w:rsidRPr="007F5613">
        <w:rPr>
          <w:vertAlign w:val="superscript"/>
          <w:lang w:val="en-GB"/>
        </w:rPr>
        <w:t xml:space="preserve">[ </w:t>
      </w:r>
      <w:bookmarkStart w:id="2" w:name="_Ref528679321"/>
      <w:r w:rsidR="00674DF6" w:rsidRPr="007F5613">
        <w:rPr>
          <w:vertAlign w:val="superscript"/>
          <w:lang w:val="en-GB"/>
        </w:rPr>
        <w:endnoteReference w:id="17"/>
      </w:r>
      <w:bookmarkEnd w:id="2"/>
      <w:r w:rsidR="00674DF6" w:rsidRPr="007F5613">
        <w:rPr>
          <w:vertAlign w:val="superscript"/>
          <w:lang w:val="en-GB"/>
        </w:rPr>
        <w:t>]</w:t>
      </w:r>
      <w:r w:rsidR="00F436A8" w:rsidRPr="007F5613">
        <w:rPr>
          <w:lang w:val="en-GB"/>
        </w:rPr>
        <w:t xml:space="preserve"> </w:t>
      </w:r>
      <w:r w:rsidR="0063286D" w:rsidRPr="007F5613">
        <w:rPr>
          <w:lang w:val="en-GB"/>
        </w:rPr>
        <w:t>exactly as in our previous work</w:t>
      </w:r>
      <w:r w:rsidR="00674DF6" w:rsidRPr="007F5613">
        <w:rPr>
          <w:vertAlign w:val="superscript"/>
          <w:lang w:val="en-GB"/>
        </w:rPr>
        <w:t>[</w:t>
      </w:r>
      <w:r w:rsidR="00674DF6" w:rsidRPr="007F5613">
        <w:rPr>
          <w:vertAlign w:val="superscript"/>
          <w:lang w:val="en-GB"/>
        </w:rPr>
        <w:fldChar w:fldCharType="begin"/>
      </w:r>
      <w:r w:rsidR="00674DF6" w:rsidRPr="007F5613">
        <w:rPr>
          <w:vertAlign w:val="superscript"/>
          <w:lang w:val="en-GB"/>
        </w:rPr>
        <w:instrText xml:space="preserve"> NOTEREF _Ref528679193 \h </w:instrText>
      </w:r>
      <w:r w:rsidR="00674DF6" w:rsidRPr="007F5613">
        <w:rPr>
          <w:vertAlign w:val="superscript"/>
          <w:lang w:val="en-GB"/>
        </w:rPr>
      </w:r>
      <w:r w:rsidR="007F5613">
        <w:rPr>
          <w:vertAlign w:val="superscript"/>
          <w:lang w:val="en-GB"/>
        </w:rPr>
        <w:instrText xml:space="preserve"> \* MERGEFORMAT </w:instrText>
      </w:r>
      <w:r w:rsidR="00674DF6" w:rsidRPr="007F5613">
        <w:rPr>
          <w:vertAlign w:val="superscript"/>
          <w:lang w:val="en-GB"/>
        </w:rPr>
        <w:fldChar w:fldCharType="separate"/>
      </w:r>
      <w:r w:rsidR="00F73B1E">
        <w:rPr>
          <w:vertAlign w:val="superscript"/>
          <w:lang w:val="en-GB"/>
        </w:rPr>
        <w:t>8</w:t>
      </w:r>
      <w:r w:rsidR="00674DF6" w:rsidRPr="007F5613">
        <w:rPr>
          <w:vertAlign w:val="superscript"/>
          <w:lang w:val="en-GB"/>
        </w:rPr>
        <w:fldChar w:fldCharType="end"/>
      </w:r>
      <w:r w:rsidR="00674DF6" w:rsidRPr="007F5613">
        <w:rPr>
          <w:vertAlign w:val="superscript"/>
          <w:lang w:val="en-GB"/>
        </w:rPr>
        <w:t>,</w:t>
      </w:r>
      <w:r w:rsidR="00674DF6" w:rsidRPr="007F5613">
        <w:rPr>
          <w:vertAlign w:val="superscript"/>
          <w:lang w:val="en-GB"/>
        </w:rPr>
        <w:fldChar w:fldCharType="begin"/>
      </w:r>
      <w:r w:rsidR="00674DF6" w:rsidRPr="007F5613">
        <w:rPr>
          <w:vertAlign w:val="superscript"/>
          <w:lang w:val="en-GB"/>
        </w:rPr>
        <w:instrText xml:space="preserve"> NOTEREF _Ref528677046 \h </w:instrText>
      </w:r>
      <w:r w:rsidR="00674DF6" w:rsidRPr="007F5613">
        <w:rPr>
          <w:vertAlign w:val="superscript"/>
          <w:lang w:val="en-GB"/>
        </w:rPr>
      </w:r>
      <w:r w:rsidR="007F5613">
        <w:rPr>
          <w:vertAlign w:val="superscript"/>
          <w:lang w:val="en-GB"/>
        </w:rPr>
        <w:instrText xml:space="preserve"> \* MERGEFORMAT </w:instrText>
      </w:r>
      <w:r w:rsidR="00674DF6" w:rsidRPr="007F5613">
        <w:rPr>
          <w:vertAlign w:val="superscript"/>
          <w:lang w:val="en-GB"/>
        </w:rPr>
        <w:fldChar w:fldCharType="separate"/>
      </w:r>
      <w:r w:rsidR="00F73B1E">
        <w:rPr>
          <w:vertAlign w:val="superscript"/>
          <w:lang w:val="en-GB"/>
        </w:rPr>
        <w:t>12</w:t>
      </w:r>
      <w:r w:rsidR="00674DF6" w:rsidRPr="007F5613">
        <w:rPr>
          <w:vertAlign w:val="superscript"/>
          <w:lang w:val="en-GB"/>
        </w:rPr>
        <w:fldChar w:fldCharType="end"/>
      </w:r>
      <w:r w:rsidR="00674DF6" w:rsidRPr="007F5613">
        <w:rPr>
          <w:vertAlign w:val="superscript"/>
          <w:lang w:val="en-GB"/>
        </w:rPr>
        <w:t xml:space="preserve">] </w:t>
      </w:r>
      <w:r w:rsidR="0063286D" w:rsidRPr="007F5613">
        <w:rPr>
          <w:color w:val="000000"/>
          <w:lang w:val="en-GB"/>
        </w:rPr>
        <w:t>with all</w:t>
      </w:r>
      <w:r w:rsidR="00807096" w:rsidRPr="007F5613">
        <w:rPr>
          <w:color w:val="000000"/>
          <w:lang w:val="en-GB"/>
        </w:rPr>
        <w:t xml:space="preserve"> </w:t>
      </w:r>
      <w:r w:rsidR="0063286D" w:rsidRPr="007F5613">
        <w:rPr>
          <w:color w:val="000000"/>
          <w:lang w:val="en-GB"/>
        </w:rPr>
        <w:t xml:space="preserve">measurements being carried out in triplicate. </w:t>
      </w:r>
      <w:r w:rsidR="00F436A8" w:rsidRPr="007F5613">
        <w:rPr>
          <w:color w:val="000000"/>
          <w:lang w:val="en-GB"/>
        </w:rPr>
        <w:t>A sol</w:t>
      </w:r>
      <w:r w:rsidR="00F436A8" w:rsidRPr="007F5613">
        <w:rPr>
          <w:lang w:val="en-GB"/>
        </w:rPr>
        <w:t xml:space="preserve">vent </w:t>
      </w:r>
      <w:r w:rsidR="00674DF6" w:rsidRPr="007F5613">
        <w:rPr>
          <w:lang w:val="en-GB"/>
        </w:rPr>
        <w:t>which causes resin swelling</w:t>
      </w:r>
      <w:r w:rsidR="00F436A8" w:rsidRPr="007F5613">
        <w:rPr>
          <w:lang w:val="en-GB"/>
        </w:rPr>
        <w:t xml:space="preserve"> greater than 4.0 mL g</w:t>
      </w:r>
      <w:r w:rsidR="00F436A8" w:rsidRPr="007F5613">
        <w:rPr>
          <w:vertAlign w:val="superscript"/>
          <w:lang w:val="en-GB"/>
        </w:rPr>
        <w:t>-1</w:t>
      </w:r>
      <w:r w:rsidR="00674DF6" w:rsidRPr="007F5613">
        <w:rPr>
          <w:lang w:val="en-GB"/>
        </w:rPr>
        <w:t xml:space="preserve"> is considered a good solvent;</w:t>
      </w:r>
      <w:r w:rsidR="00F436A8" w:rsidRPr="007F5613">
        <w:rPr>
          <w:lang w:val="en-GB"/>
        </w:rPr>
        <w:t xml:space="preserve"> 2.0–4.0 mL g</w:t>
      </w:r>
      <w:r w:rsidR="00F436A8" w:rsidRPr="007F5613">
        <w:rPr>
          <w:vertAlign w:val="superscript"/>
          <w:lang w:val="en-GB"/>
        </w:rPr>
        <w:t>-1</w:t>
      </w:r>
      <w:r w:rsidR="00F436A8" w:rsidRPr="007F5613">
        <w:rPr>
          <w:lang w:val="en-GB"/>
        </w:rPr>
        <w:t xml:space="preserve"> </w:t>
      </w:r>
      <w:r w:rsidR="00674DF6" w:rsidRPr="007F5613">
        <w:rPr>
          <w:lang w:val="en-GB"/>
        </w:rPr>
        <w:t xml:space="preserve">is considered </w:t>
      </w:r>
      <w:r w:rsidR="00F436A8" w:rsidRPr="007F5613">
        <w:rPr>
          <w:lang w:val="en-GB"/>
        </w:rPr>
        <w:t>a moderate solvent and less than 2.0 mL g</w:t>
      </w:r>
      <w:r w:rsidR="00F436A8" w:rsidRPr="007F5613">
        <w:rPr>
          <w:vertAlign w:val="superscript"/>
          <w:lang w:val="en-GB"/>
        </w:rPr>
        <w:t>-1</w:t>
      </w:r>
      <w:r w:rsidR="00F436A8" w:rsidRPr="007F5613">
        <w:rPr>
          <w:lang w:val="en-GB"/>
        </w:rPr>
        <w:t xml:space="preserve"> </w:t>
      </w:r>
      <w:r w:rsidR="00674DF6" w:rsidRPr="007F5613">
        <w:rPr>
          <w:lang w:val="en-GB"/>
        </w:rPr>
        <w:t xml:space="preserve">is considered </w:t>
      </w:r>
      <w:r w:rsidR="00F436A8" w:rsidRPr="007F5613">
        <w:rPr>
          <w:lang w:val="en-GB"/>
        </w:rPr>
        <w:t>a poor solvent.</w:t>
      </w:r>
      <w:r w:rsidR="00674DF6" w:rsidRPr="007F5613">
        <w:rPr>
          <w:vertAlign w:val="superscript"/>
          <w:lang w:val="en-GB"/>
        </w:rPr>
        <w:t>[</w:t>
      </w:r>
      <w:r w:rsidR="00674DF6" w:rsidRPr="007F5613">
        <w:rPr>
          <w:vertAlign w:val="superscript"/>
          <w:lang w:val="en-GB"/>
        </w:rPr>
        <w:fldChar w:fldCharType="begin"/>
      </w:r>
      <w:r w:rsidR="00674DF6" w:rsidRPr="007F5613">
        <w:rPr>
          <w:vertAlign w:val="superscript"/>
          <w:lang w:val="en-GB"/>
        </w:rPr>
        <w:instrText xml:space="preserve"> NOTEREF _Ref528679321 \h </w:instrText>
      </w:r>
      <w:r w:rsidR="00674DF6" w:rsidRPr="007F5613">
        <w:rPr>
          <w:vertAlign w:val="superscript"/>
          <w:lang w:val="en-GB"/>
        </w:rPr>
      </w:r>
      <w:r w:rsidR="007F5613">
        <w:rPr>
          <w:vertAlign w:val="superscript"/>
          <w:lang w:val="en-GB"/>
        </w:rPr>
        <w:instrText xml:space="preserve"> \* MERGEFORMAT </w:instrText>
      </w:r>
      <w:r w:rsidR="00674DF6" w:rsidRPr="007F5613">
        <w:rPr>
          <w:vertAlign w:val="superscript"/>
          <w:lang w:val="en-GB"/>
        </w:rPr>
        <w:fldChar w:fldCharType="separate"/>
      </w:r>
      <w:r w:rsidR="00F73B1E">
        <w:rPr>
          <w:vertAlign w:val="superscript"/>
          <w:lang w:val="en-GB"/>
        </w:rPr>
        <w:t>16</w:t>
      </w:r>
      <w:r w:rsidR="00674DF6" w:rsidRPr="007F5613">
        <w:rPr>
          <w:vertAlign w:val="superscript"/>
          <w:lang w:val="en-GB"/>
        </w:rPr>
        <w:fldChar w:fldCharType="end"/>
      </w:r>
      <w:r w:rsidR="00674DF6" w:rsidRPr="007F5613">
        <w:rPr>
          <w:vertAlign w:val="superscript"/>
          <w:lang w:val="en-GB"/>
        </w:rPr>
        <w:t xml:space="preserve">] </w:t>
      </w:r>
    </w:p>
    <w:p w:rsidR="00826C63" w:rsidRPr="007F5613" w:rsidRDefault="007F5613" w:rsidP="00674DF6">
      <w:pPr>
        <w:spacing w:before="360"/>
        <w:rPr>
          <w:rFonts w:ascii="Arial" w:hAnsi="Arial" w:cs="Arial"/>
          <w:color w:val="FF0000"/>
          <w:sz w:val="14"/>
          <w:szCs w:val="16"/>
        </w:rPr>
      </w:pPr>
      <w:r w:rsidRPr="007F5613">
        <w:pict>
          <v:shape id="_x0000_i1028" type="#_x0000_t75" style="width:243.7pt;height:137.85pt">
            <v:imagedata r:id="rId14" o:title=""/>
          </v:shape>
        </w:pict>
      </w:r>
    </w:p>
    <w:p w:rsidR="00674DF6" w:rsidRPr="007F5613" w:rsidRDefault="00674DF6" w:rsidP="00E12531">
      <w:pPr>
        <w:pStyle w:val="FigureCaption"/>
        <w:spacing w:before="120" w:after="240"/>
      </w:pPr>
      <w:r w:rsidRPr="007F5613">
        <w:rPr>
          <w:b/>
        </w:rPr>
        <w:t>Figure 2.</w:t>
      </w:r>
      <w:r w:rsidRPr="007F5613">
        <w:t xml:space="preserve"> Swelling of Merrifield resin in mixtures of 2-MeTHF and </w:t>
      </w:r>
      <w:proofErr w:type="spellStart"/>
      <w:r w:rsidRPr="007F5613">
        <w:t>cyclopentyl</w:t>
      </w:r>
      <w:proofErr w:type="spellEnd"/>
      <w:r w:rsidRPr="007F5613">
        <w:t xml:space="preserve"> methyl ether.</w:t>
      </w:r>
      <w:r w:rsidR="00783FB4" w:rsidRPr="007F5613">
        <w:t xml:space="preserve"> The </w:t>
      </w:r>
      <w:r w:rsidR="00E12C23" w:rsidRPr="007F5613">
        <w:t xml:space="preserve">solid </w:t>
      </w:r>
      <w:r w:rsidR="00783FB4" w:rsidRPr="007F5613">
        <w:t>line is s</w:t>
      </w:r>
      <w:r w:rsidR="00E12C23" w:rsidRPr="007F5613">
        <w:t>hown only as a guide to the eye, the dotted line shows the swelling that would be expected if swelling varied linearly with solvent composition.</w:t>
      </w:r>
    </w:p>
    <w:p w:rsidR="00674DF6" w:rsidRPr="007F5613" w:rsidRDefault="007F5613" w:rsidP="00E12531">
      <w:pPr>
        <w:spacing w:before="240"/>
        <w:rPr>
          <w:rFonts w:ascii="Arial" w:hAnsi="Arial" w:cs="Arial"/>
          <w:color w:val="FF0000"/>
          <w:sz w:val="14"/>
          <w:szCs w:val="16"/>
        </w:rPr>
      </w:pPr>
      <w:r w:rsidRPr="007F5613">
        <w:pict>
          <v:shape id="_x0000_i1029" type="#_x0000_t75" style="width:244.1pt;height:127.85pt">
            <v:imagedata r:id="rId15" o:title=""/>
          </v:shape>
        </w:pict>
      </w:r>
    </w:p>
    <w:p w:rsidR="00900A9D" w:rsidRPr="007F5613" w:rsidRDefault="00674DF6" w:rsidP="00E12531">
      <w:pPr>
        <w:pStyle w:val="FigureCaption"/>
        <w:spacing w:before="120"/>
      </w:pPr>
      <w:r w:rsidRPr="007F5613">
        <w:rPr>
          <w:b/>
        </w:rPr>
        <w:t>Figure 3.</w:t>
      </w:r>
      <w:r w:rsidRPr="007F5613">
        <w:t xml:space="preserve"> Swelling of HypoGel</w:t>
      </w:r>
      <w:r w:rsidRPr="007F5613">
        <w:rPr>
          <w:vertAlign w:val="superscript"/>
        </w:rPr>
        <w:t>TM</w:t>
      </w:r>
      <w:r w:rsidR="000F408E" w:rsidRPr="007F5613">
        <w:t>200</w:t>
      </w:r>
      <w:r w:rsidRPr="007F5613">
        <w:t xml:space="preserve"> resin in mixtures of </w:t>
      </w:r>
      <w:proofErr w:type="spellStart"/>
      <w:r w:rsidRPr="007F5613">
        <w:t>cyclopentanone</w:t>
      </w:r>
      <w:proofErr w:type="spellEnd"/>
      <w:r w:rsidRPr="007F5613">
        <w:t xml:space="preserve"> and water.</w:t>
      </w:r>
      <w:r w:rsidR="00C42FB8" w:rsidRPr="007F5613">
        <w:t xml:space="preserve"> </w:t>
      </w:r>
      <w:r w:rsidR="003D2905" w:rsidRPr="007F5613">
        <w:t>Black points correspond to miscible mixtures and red points to immiscible mixtures</w:t>
      </w:r>
      <w:r w:rsidR="00160689" w:rsidRPr="007F5613">
        <w:t xml:space="preserve"> without separating the two layers</w:t>
      </w:r>
      <w:r w:rsidR="003D2905" w:rsidRPr="007F5613">
        <w:t xml:space="preserve">. </w:t>
      </w:r>
      <w:r w:rsidR="006A782F" w:rsidRPr="007F5613">
        <w:t>The solid lines are shown only as a guide to the eye, the dotted line shows the swelling that would be expected if swelling varied linearly with solvent composition.</w:t>
      </w:r>
    </w:p>
    <w:p w:rsidR="00E866F6" w:rsidRPr="007F5613" w:rsidRDefault="00E866F6" w:rsidP="000F408E">
      <w:pPr>
        <w:pStyle w:val="P1"/>
        <w:ind w:firstLine="425"/>
        <w:rPr>
          <w:lang w:val="en-GB"/>
        </w:rPr>
      </w:pPr>
      <w:r w:rsidRPr="007F5613">
        <w:rPr>
          <w:lang w:val="en-GB"/>
        </w:rPr>
        <w:t xml:space="preserve">2-MeTHF and </w:t>
      </w:r>
      <w:proofErr w:type="spellStart"/>
      <w:r w:rsidRPr="007F5613">
        <w:rPr>
          <w:lang w:val="en-GB"/>
        </w:rPr>
        <w:t>cyclopentyl</w:t>
      </w:r>
      <w:proofErr w:type="spellEnd"/>
      <w:r w:rsidRPr="007F5613">
        <w:rPr>
          <w:lang w:val="en-GB"/>
        </w:rPr>
        <w:t xml:space="preserve"> methyl ether are both good solvents for swelling Merrifield resin and </w:t>
      </w:r>
      <w:r w:rsidR="00807096" w:rsidRPr="007F5613">
        <w:rPr>
          <w:lang w:val="en-GB"/>
        </w:rPr>
        <w:t xml:space="preserve">Figure 2 </w:t>
      </w:r>
      <w:r w:rsidR="002C57F5" w:rsidRPr="007F5613">
        <w:rPr>
          <w:lang w:val="en-GB"/>
        </w:rPr>
        <w:t xml:space="preserve">(and </w:t>
      </w:r>
      <w:r w:rsidR="00A1019E" w:rsidRPr="007F5613">
        <w:rPr>
          <w:lang w:val="en-GB"/>
        </w:rPr>
        <w:t>Figure</w:t>
      </w:r>
      <w:r w:rsidR="002C57F5" w:rsidRPr="007F5613">
        <w:rPr>
          <w:lang w:val="en-GB"/>
        </w:rPr>
        <w:t xml:space="preserve"> S</w:t>
      </w:r>
      <w:r w:rsidR="00A1019E" w:rsidRPr="007F5613">
        <w:rPr>
          <w:lang w:val="en-GB"/>
        </w:rPr>
        <w:t>3</w:t>
      </w:r>
      <w:r w:rsidR="002C57F5" w:rsidRPr="007F5613">
        <w:rPr>
          <w:lang w:val="en-GB"/>
        </w:rPr>
        <w:t xml:space="preserve">) </w:t>
      </w:r>
      <w:r w:rsidR="00807096" w:rsidRPr="007F5613">
        <w:rPr>
          <w:lang w:val="en-GB"/>
        </w:rPr>
        <w:t xml:space="preserve">confirms that </w:t>
      </w:r>
      <w:r w:rsidRPr="007F5613">
        <w:rPr>
          <w:lang w:val="en-GB"/>
        </w:rPr>
        <w:t>this</w:t>
      </w:r>
      <w:r w:rsidR="00807096" w:rsidRPr="007F5613">
        <w:rPr>
          <w:lang w:val="en-GB"/>
        </w:rPr>
        <w:t xml:space="preserve"> resin swells less </w:t>
      </w:r>
      <w:r w:rsidRPr="007F5613">
        <w:rPr>
          <w:lang w:val="en-GB"/>
        </w:rPr>
        <w:t xml:space="preserve">well </w:t>
      </w:r>
      <w:r w:rsidR="00807096" w:rsidRPr="007F5613">
        <w:rPr>
          <w:lang w:val="en-GB"/>
        </w:rPr>
        <w:t xml:space="preserve">in mixtures of 2-MeTHF and </w:t>
      </w:r>
      <w:proofErr w:type="spellStart"/>
      <w:r w:rsidR="00807096" w:rsidRPr="007F5613">
        <w:rPr>
          <w:lang w:val="en-GB"/>
        </w:rPr>
        <w:t>cyclopentyl</w:t>
      </w:r>
      <w:proofErr w:type="spellEnd"/>
      <w:r w:rsidR="00807096" w:rsidRPr="007F5613">
        <w:rPr>
          <w:lang w:val="en-GB"/>
        </w:rPr>
        <w:t xml:space="preserve"> methyl ether containing </w:t>
      </w:r>
      <w:r w:rsidR="00D105B0" w:rsidRPr="007F5613">
        <w:rPr>
          <w:lang w:val="en-GB"/>
        </w:rPr>
        <w:t>65</w:t>
      </w:r>
      <w:r w:rsidR="00807096" w:rsidRPr="007F5613">
        <w:rPr>
          <w:lang w:val="en-GB"/>
        </w:rPr>
        <w:t xml:space="preserve">–90% (v/v) </w:t>
      </w:r>
      <w:proofErr w:type="spellStart"/>
      <w:r w:rsidR="00807096" w:rsidRPr="007F5613">
        <w:rPr>
          <w:lang w:val="en-GB"/>
        </w:rPr>
        <w:t>cyclopentyl</w:t>
      </w:r>
      <w:proofErr w:type="spellEnd"/>
      <w:r w:rsidR="00807096" w:rsidRPr="007F5613">
        <w:rPr>
          <w:lang w:val="en-GB"/>
        </w:rPr>
        <w:t xml:space="preserve"> methyl ether than it does in either pure solvent. </w:t>
      </w:r>
      <w:r w:rsidRPr="007F5613">
        <w:rPr>
          <w:lang w:val="en-GB"/>
        </w:rPr>
        <w:t>Notably though, all mixtures induce swelling greater than 4.0 mL g</w:t>
      </w:r>
      <w:r w:rsidRPr="007F5613">
        <w:rPr>
          <w:vertAlign w:val="superscript"/>
          <w:lang w:val="en-GB"/>
        </w:rPr>
        <w:t>-1</w:t>
      </w:r>
      <w:r w:rsidRPr="007F5613">
        <w:rPr>
          <w:lang w:val="en-GB"/>
        </w:rPr>
        <w:t xml:space="preserve"> and so would be considered as good solvents for Merrifield resin.</w:t>
      </w:r>
    </w:p>
    <w:p w:rsidR="00375B24" w:rsidRPr="007F5613" w:rsidRDefault="00E866F6" w:rsidP="003B05CA">
      <w:pPr>
        <w:pStyle w:val="P1"/>
        <w:ind w:firstLine="425"/>
        <w:rPr>
          <w:color w:val="000000"/>
          <w:lang w:val="en-GB"/>
        </w:rPr>
      </w:pPr>
      <w:proofErr w:type="spellStart"/>
      <w:r w:rsidRPr="007F5613">
        <w:rPr>
          <w:lang w:val="en-GB"/>
        </w:rPr>
        <w:t>Cyclopentanone</w:t>
      </w:r>
      <w:proofErr w:type="spellEnd"/>
      <w:r w:rsidRPr="007F5613">
        <w:rPr>
          <w:lang w:val="en-GB"/>
        </w:rPr>
        <w:t xml:space="preserve"> is a good solvent for </w:t>
      </w:r>
      <w:r w:rsidR="000F408E" w:rsidRPr="007F5613">
        <w:rPr>
          <w:lang w:val="en-GB"/>
        </w:rPr>
        <w:t>HypoGel</w:t>
      </w:r>
      <w:r w:rsidR="000F408E" w:rsidRPr="007F5613">
        <w:rPr>
          <w:vertAlign w:val="superscript"/>
          <w:lang w:val="en-GB"/>
        </w:rPr>
        <w:t>TM</w:t>
      </w:r>
      <w:r w:rsidR="000F408E" w:rsidRPr="007F5613">
        <w:rPr>
          <w:lang w:val="en-GB"/>
        </w:rPr>
        <w:t xml:space="preserve">200 resin whilst water is a borderline poor/moderate solvent. </w:t>
      </w:r>
      <w:r w:rsidR="00807096" w:rsidRPr="007F5613">
        <w:rPr>
          <w:lang w:val="en-GB"/>
        </w:rPr>
        <w:t xml:space="preserve">Figure 3 </w:t>
      </w:r>
      <w:r w:rsidR="002C57F5" w:rsidRPr="007F5613">
        <w:rPr>
          <w:lang w:val="en-GB"/>
        </w:rPr>
        <w:t xml:space="preserve">(and </w:t>
      </w:r>
      <w:r w:rsidR="00A1019E" w:rsidRPr="007F5613">
        <w:rPr>
          <w:lang w:val="en-GB"/>
        </w:rPr>
        <w:t>Figure</w:t>
      </w:r>
      <w:r w:rsidR="002C57F5" w:rsidRPr="007F5613">
        <w:rPr>
          <w:lang w:val="en-GB"/>
        </w:rPr>
        <w:t xml:space="preserve"> S</w:t>
      </w:r>
      <w:r w:rsidR="00A1019E" w:rsidRPr="007F5613">
        <w:rPr>
          <w:lang w:val="en-GB"/>
        </w:rPr>
        <w:t>3</w:t>
      </w:r>
      <w:r w:rsidR="002C57F5" w:rsidRPr="007F5613">
        <w:rPr>
          <w:lang w:val="en-GB"/>
        </w:rPr>
        <w:t xml:space="preserve">) </w:t>
      </w:r>
      <w:r w:rsidR="00F02C0E" w:rsidRPr="007F5613">
        <w:rPr>
          <w:lang w:val="en-GB"/>
        </w:rPr>
        <w:t>illustrate</w:t>
      </w:r>
      <w:r w:rsidR="00C9457B" w:rsidRPr="007F5613">
        <w:rPr>
          <w:lang w:val="en-GB"/>
        </w:rPr>
        <w:t>s</w:t>
      </w:r>
      <w:r w:rsidR="00807096" w:rsidRPr="007F5613">
        <w:rPr>
          <w:lang w:val="en-GB"/>
        </w:rPr>
        <w:t xml:space="preserve"> a </w:t>
      </w:r>
      <w:r w:rsidR="00F02C0E" w:rsidRPr="007F5613">
        <w:rPr>
          <w:lang w:val="en-GB"/>
        </w:rPr>
        <w:t>complication of this</w:t>
      </w:r>
      <w:r w:rsidR="00807096" w:rsidRPr="007F5613">
        <w:rPr>
          <w:lang w:val="en-GB"/>
        </w:rPr>
        <w:t xml:space="preserve"> methodology as </w:t>
      </w:r>
      <w:proofErr w:type="spellStart"/>
      <w:r w:rsidR="00807096" w:rsidRPr="007F5613">
        <w:rPr>
          <w:lang w:val="en-GB"/>
        </w:rPr>
        <w:t>cyclopentanone</w:t>
      </w:r>
      <w:proofErr w:type="spellEnd"/>
      <w:r w:rsidR="00807096" w:rsidRPr="007F5613">
        <w:rPr>
          <w:lang w:val="en-GB"/>
        </w:rPr>
        <w:t xml:space="preserve"> and water are not miscible in proportions containing </w:t>
      </w:r>
      <w:r w:rsidR="00805699" w:rsidRPr="007F5613">
        <w:rPr>
          <w:lang w:val="en-GB"/>
        </w:rPr>
        <w:t>15</w:t>
      </w:r>
      <w:r w:rsidR="00C83D0E" w:rsidRPr="007F5613">
        <w:rPr>
          <w:lang w:val="en-GB"/>
        </w:rPr>
        <w:t>-6</w:t>
      </w:r>
      <w:r w:rsidR="00805699" w:rsidRPr="007F5613">
        <w:rPr>
          <w:lang w:val="en-GB"/>
        </w:rPr>
        <w:t>5</w:t>
      </w:r>
      <w:r w:rsidR="00C83D0E" w:rsidRPr="007F5613">
        <w:rPr>
          <w:lang w:val="en-GB"/>
        </w:rPr>
        <w:t xml:space="preserve">% (v/v) </w:t>
      </w:r>
      <w:r w:rsidR="00C83D0E" w:rsidRPr="007F5613">
        <w:rPr>
          <w:color w:val="000000"/>
          <w:lang w:val="en-GB"/>
        </w:rPr>
        <w:t xml:space="preserve">water. </w:t>
      </w:r>
      <w:r w:rsidR="00D105B0" w:rsidRPr="007F5613">
        <w:rPr>
          <w:color w:val="000000"/>
          <w:lang w:val="en-GB"/>
        </w:rPr>
        <w:t>Neverthe</w:t>
      </w:r>
      <w:r w:rsidR="00C9457B" w:rsidRPr="007F5613">
        <w:rPr>
          <w:color w:val="000000"/>
          <w:lang w:val="en-GB"/>
        </w:rPr>
        <w:t>less, resin swelling data was obtained for both miscible and immiscible mixtures and showed that mixtures containing up to 60% water swell Hypogel</w:t>
      </w:r>
      <w:r w:rsidR="00C9457B" w:rsidRPr="007F5613">
        <w:rPr>
          <w:color w:val="000000"/>
          <w:vertAlign w:val="superscript"/>
          <w:lang w:val="en-GB"/>
        </w:rPr>
        <w:t>TM</w:t>
      </w:r>
      <w:r w:rsidR="00C9457B" w:rsidRPr="007F5613">
        <w:rPr>
          <w:color w:val="000000"/>
          <w:lang w:val="en-GB"/>
        </w:rPr>
        <w:t xml:space="preserve">200 resin at least as well as pure </w:t>
      </w:r>
      <w:proofErr w:type="spellStart"/>
      <w:r w:rsidR="00C9457B" w:rsidRPr="007F5613">
        <w:rPr>
          <w:color w:val="000000"/>
          <w:lang w:val="en-GB"/>
        </w:rPr>
        <w:t>cyclopentanone</w:t>
      </w:r>
      <w:proofErr w:type="spellEnd"/>
      <w:r w:rsidR="00C9457B" w:rsidRPr="007F5613">
        <w:rPr>
          <w:color w:val="000000"/>
          <w:lang w:val="en-GB"/>
        </w:rPr>
        <w:t>.</w:t>
      </w:r>
    </w:p>
    <w:tbl>
      <w:tblPr>
        <w:tblW w:w="5000" w:type="pct"/>
        <w:tblLook w:val="01E0" w:firstRow="1" w:lastRow="1" w:firstColumn="1" w:lastColumn="1" w:noHBand="0" w:noVBand="0"/>
      </w:tblPr>
      <w:tblGrid>
        <w:gridCol w:w="551"/>
        <w:gridCol w:w="1685"/>
        <w:gridCol w:w="857"/>
        <w:gridCol w:w="1999"/>
      </w:tblGrid>
      <w:tr w:rsidR="00D243BE" w:rsidRPr="007F5613" w:rsidTr="000F2153">
        <w:tc>
          <w:tcPr>
            <w:tcW w:w="5000" w:type="pct"/>
            <w:gridSpan w:val="4"/>
            <w:shd w:val="clear" w:color="auto" w:fill="auto"/>
          </w:tcPr>
          <w:p w:rsidR="00D243BE" w:rsidRPr="007F5613" w:rsidRDefault="00D243BE" w:rsidP="002D4FB7">
            <w:pPr>
              <w:pStyle w:val="TableSpacer"/>
              <w:spacing w:before="240"/>
              <w:rPr>
                <w:noProof w:val="0"/>
              </w:rPr>
            </w:pPr>
          </w:p>
        </w:tc>
      </w:tr>
      <w:tr w:rsidR="00D243BE" w:rsidRPr="007F5613" w:rsidTr="000F2153">
        <w:tc>
          <w:tcPr>
            <w:tcW w:w="5000" w:type="pct"/>
            <w:gridSpan w:val="4"/>
            <w:tcBorders>
              <w:bottom w:val="single" w:sz="8" w:space="0" w:color="auto"/>
            </w:tcBorders>
            <w:shd w:val="clear" w:color="auto" w:fill="auto"/>
          </w:tcPr>
          <w:p w:rsidR="00D243BE" w:rsidRPr="007F5613" w:rsidRDefault="00D243BE" w:rsidP="00D243BE">
            <w:pPr>
              <w:pStyle w:val="TableCaption"/>
            </w:pPr>
            <w:r w:rsidRPr="007F5613">
              <w:rPr>
                <w:b/>
              </w:rPr>
              <w:t>Table 1.</w:t>
            </w:r>
            <w:r w:rsidRPr="007F5613">
              <w:t xml:space="preserve"> </w:t>
            </w:r>
            <w:r w:rsidRPr="007F5613">
              <w:rPr>
                <w:vertAlign w:val="superscript"/>
              </w:rPr>
              <w:t>1</w:t>
            </w:r>
            <w:r w:rsidRPr="007F5613">
              <w:t xml:space="preserve">H NMR analysis of </w:t>
            </w:r>
            <w:proofErr w:type="spellStart"/>
            <w:r w:rsidRPr="007F5613">
              <w:t>cyclopentanone:water</w:t>
            </w:r>
            <w:proofErr w:type="spellEnd"/>
            <w:r w:rsidRPr="007F5613">
              <w:t xml:space="preserve"> mixtures before and after swelling of HypoGel</w:t>
            </w:r>
            <w:r w:rsidRPr="007F5613">
              <w:rPr>
                <w:vertAlign w:val="superscript"/>
              </w:rPr>
              <w:t>TM</w:t>
            </w:r>
            <w:r w:rsidRPr="007F5613">
              <w:t>200 resin.</w:t>
            </w:r>
          </w:p>
        </w:tc>
      </w:tr>
      <w:tr w:rsidR="000F2153" w:rsidRPr="007F5613" w:rsidTr="003222CF">
        <w:tc>
          <w:tcPr>
            <w:tcW w:w="540" w:type="pct"/>
            <w:tcBorders>
              <w:top w:val="single" w:sz="8" w:space="0" w:color="auto"/>
              <w:bottom w:val="single" w:sz="8" w:space="0" w:color="auto"/>
            </w:tcBorders>
          </w:tcPr>
          <w:p w:rsidR="00FA7332" w:rsidRPr="007F5613" w:rsidRDefault="00FA7332" w:rsidP="00FA7332">
            <w:pPr>
              <w:pStyle w:val="TableHead"/>
            </w:pPr>
            <w:r w:rsidRPr="007F5613">
              <w:t>Entry</w:t>
            </w:r>
          </w:p>
        </w:tc>
        <w:tc>
          <w:tcPr>
            <w:tcW w:w="1655" w:type="pct"/>
            <w:tcBorders>
              <w:top w:val="single" w:sz="8" w:space="0" w:color="auto"/>
              <w:bottom w:val="single" w:sz="8" w:space="0" w:color="auto"/>
            </w:tcBorders>
          </w:tcPr>
          <w:p w:rsidR="00FA7332" w:rsidRPr="007F5613" w:rsidRDefault="00FA7332" w:rsidP="00FA7332">
            <w:pPr>
              <w:pStyle w:val="TableHead"/>
              <w:rPr>
                <w:vertAlign w:val="superscript"/>
              </w:rPr>
            </w:pPr>
            <w:r w:rsidRPr="007F5613">
              <w:t xml:space="preserve">Initial </w:t>
            </w:r>
            <w:proofErr w:type="spellStart"/>
            <w:r w:rsidRPr="007F5613">
              <w:t>cyclopentanone</w:t>
            </w:r>
            <w:proofErr w:type="spellEnd"/>
            <w:r w:rsidRPr="007F5613">
              <w:t xml:space="preserve"> to water ratio (v/v)</w:t>
            </w:r>
            <w:r w:rsidR="00F31132" w:rsidRPr="007F5613">
              <w:rPr>
                <w:vertAlign w:val="superscript"/>
              </w:rPr>
              <w:t>[a]</w:t>
            </w:r>
          </w:p>
        </w:tc>
        <w:tc>
          <w:tcPr>
            <w:tcW w:w="842" w:type="pct"/>
            <w:tcBorders>
              <w:top w:val="single" w:sz="8" w:space="0" w:color="auto"/>
              <w:bottom w:val="single" w:sz="8" w:space="0" w:color="auto"/>
            </w:tcBorders>
          </w:tcPr>
          <w:p w:rsidR="00FA7332" w:rsidRPr="007F5613" w:rsidRDefault="00FA7332" w:rsidP="00FA7332">
            <w:pPr>
              <w:pStyle w:val="TableHead"/>
            </w:pPr>
            <w:r w:rsidRPr="007F5613">
              <w:t>Before / after swelling of resin</w:t>
            </w:r>
          </w:p>
        </w:tc>
        <w:tc>
          <w:tcPr>
            <w:tcW w:w="1964" w:type="pct"/>
            <w:tcBorders>
              <w:top w:val="single" w:sz="8" w:space="0" w:color="auto"/>
              <w:bottom w:val="single" w:sz="8" w:space="0" w:color="auto"/>
            </w:tcBorders>
          </w:tcPr>
          <w:p w:rsidR="00FA7332" w:rsidRPr="007F5613" w:rsidRDefault="00FA7332" w:rsidP="00F31132">
            <w:pPr>
              <w:pStyle w:val="TableHead"/>
              <w:rPr>
                <w:vertAlign w:val="superscript"/>
              </w:rPr>
            </w:pPr>
            <w:proofErr w:type="spellStart"/>
            <w:r w:rsidRPr="007F5613">
              <w:t>Cyclopentanone</w:t>
            </w:r>
            <w:proofErr w:type="spellEnd"/>
            <w:r w:rsidRPr="007F5613">
              <w:t xml:space="preserve"> to </w:t>
            </w:r>
            <w:proofErr w:type="spellStart"/>
            <w:r w:rsidRPr="007F5613">
              <w:t>mesitylene</w:t>
            </w:r>
            <w:proofErr w:type="spellEnd"/>
            <w:r w:rsidRPr="007F5613">
              <w:t xml:space="preserve"> ratio</w:t>
            </w:r>
            <w:r w:rsidRPr="007F5613">
              <w:rPr>
                <w:vertAlign w:val="superscript"/>
              </w:rPr>
              <w:t>[</w:t>
            </w:r>
            <w:r w:rsidR="00F31132" w:rsidRPr="007F5613">
              <w:rPr>
                <w:vertAlign w:val="superscript"/>
              </w:rPr>
              <w:t>b</w:t>
            </w:r>
            <w:r w:rsidRPr="007F5613">
              <w:rPr>
                <w:vertAlign w:val="superscript"/>
              </w:rPr>
              <w:t>]</w:t>
            </w:r>
          </w:p>
        </w:tc>
      </w:tr>
      <w:tr w:rsidR="000F2153" w:rsidRPr="007F5613" w:rsidTr="003222CF">
        <w:tc>
          <w:tcPr>
            <w:tcW w:w="540" w:type="pct"/>
            <w:tcBorders>
              <w:top w:val="single" w:sz="8" w:space="0" w:color="auto"/>
            </w:tcBorders>
          </w:tcPr>
          <w:p w:rsidR="00FA7332" w:rsidRPr="007F5613" w:rsidRDefault="00FA7332" w:rsidP="00FA7332">
            <w:pPr>
              <w:pStyle w:val="TableBody"/>
            </w:pPr>
            <w:r w:rsidRPr="007F5613">
              <w:t>1</w:t>
            </w:r>
          </w:p>
        </w:tc>
        <w:tc>
          <w:tcPr>
            <w:tcW w:w="1655" w:type="pct"/>
            <w:tcBorders>
              <w:top w:val="single" w:sz="8" w:space="0" w:color="auto"/>
            </w:tcBorders>
          </w:tcPr>
          <w:p w:rsidR="00FA7332" w:rsidRPr="007F5613" w:rsidRDefault="00FA7332" w:rsidP="00FA7332">
            <w:pPr>
              <w:pStyle w:val="TableBody"/>
            </w:pPr>
            <w:r w:rsidRPr="007F5613">
              <w:t>30:70</w:t>
            </w:r>
          </w:p>
        </w:tc>
        <w:tc>
          <w:tcPr>
            <w:tcW w:w="842" w:type="pct"/>
            <w:tcBorders>
              <w:top w:val="single" w:sz="8" w:space="0" w:color="auto"/>
            </w:tcBorders>
          </w:tcPr>
          <w:p w:rsidR="00FA7332" w:rsidRPr="007F5613" w:rsidRDefault="00FA7332" w:rsidP="00FA7332">
            <w:pPr>
              <w:pStyle w:val="TableBody"/>
            </w:pPr>
            <w:r w:rsidRPr="007F5613">
              <w:t>before</w:t>
            </w:r>
          </w:p>
        </w:tc>
        <w:tc>
          <w:tcPr>
            <w:tcW w:w="1964" w:type="pct"/>
            <w:tcBorders>
              <w:top w:val="single" w:sz="8" w:space="0" w:color="auto"/>
            </w:tcBorders>
          </w:tcPr>
          <w:p w:rsidR="00FA7332" w:rsidRPr="007F5613" w:rsidRDefault="00FA7332" w:rsidP="00FA7332">
            <w:pPr>
              <w:pStyle w:val="TableBody"/>
            </w:pPr>
            <w:r w:rsidRPr="007F5613">
              <w:t>1:1.08</w:t>
            </w:r>
          </w:p>
        </w:tc>
      </w:tr>
      <w:tr w:rsidR="000F2153" w:rsidRPr="007F5613" w:rsidTr="003222CF">
        <w:tc>
          <w:tcPr>
            <w:tcW w:w="540" w:type="pct"/>
          </w:tcPr>
          <w:p w:rsidR="00FA7332" w:rsidRPr="007F5613" w:rsidRDefault="00FA7332" w:rsidP="00FA7332">
            <w:pPr>
              <w:pStyle w:val="TableBody"/>
            </w:pPr>
            <w:r w:rsidRPr="007F5613">
              <w:t>2</w:t>
            </w:r>
          </w:p>
        </w:tc>
        <w:tc>
          <w:tcPr>
            <w:tcW w:w="1655" w:type="pct"/>
          </w:tcPr>
          <w:p w:rsidR="00FA7332" w:rsidRPr="007F5613" w:rsidRDefault="00FA7332" w:rsidP="00FA7332">
            <w:pPr>
              <w:pStyle w:val="TableBody"/>
            </w:pPr>
            <w:r w:rsidRPr="007F5613">
              <w:t>30:70</w:t>
            </w:r>
          </w:p>
        </w:tc>
        <w:tc>
          <w:tcPr>
            <w:tcW w:w="842" w:type="pct"/>
          </w:tcPr>
          <w:p w:rsidR="00FA7332" w:rsidRPr="007F5613" w:rsidRDefault="00FA7332" w:rsidP="00FA7332">
            <w:pPr>
              <w:pStyle w:val="TableBody"/>
            </w:pPr>
            <w:r w:rsidRPr="007F5613">
              <w:t>after</w:t>
            </w:r>
          </w:p>
        </w:tc>
        <w:tc>
          <w:tcPr>
            <w:tcW w:w="1964" w:type="pct"/>
          </w:tcPr>
          <w:p w:rsidR="00FA7332" w:rsidRPr="007F5613" w:rsidRDefault="00FA7332" w:rsidP="00FA7332">
            <w:pPr>
              <w:pStyle w:val="TableBody"/>
            </w:pPr>
            <w:r w:rsidRPr="007F5613">
              <w:t>1:0.88</w:t>
            </w:r>
          </w:p>
        </w:tc>
      </w:tr>
      <w:tr w:rsidR="000F2153" w:rsidRPr="007F5613" w:rsidTr="003222CF">
        <w:tc>
          <w:tcPr>
            <w:tcW w:w="540" w:type="pct"/>
          </w:tcPr>
          <w:p w:rsidR="00FA7332" w:rsidRPr="007F5613" w:rsidRDefault="00FA7332" w:rsidP="00FA7332">
            <w:pPr>
              <w:pStyle w:val="TableBody"/>
            </w:pPr>
            <w:r w:rsidRPr="007F5613">
              <w:t>3</w:t>
            </w:r>
          </w:p>
        </w:tc>
        <w:tc>
          <w:tcPr>
            <w:tcW w:w="1655" w:type="pct"/>
          </w:tcPr>
          <w:p w:rsidR="00FA7332" w:rsidRPr="007F5613" w:rsidRDefault="00FA7332" w:rsidP="00FA7332">
            <w:pPr>
              <w:pStyle w:val="TableBody"/>
            </w:pPr>
            <w:r w:rsidRPr="007F5613">
              <w:t>90:10</w:t>
            </w:r>
          </w:p>
        </w:tc>
        <w:tc>
          <w:tcPr>
            <w:tcW w:w="842" w:type="pct"/>
          </w:tcPr>
          <w:p w:rsidR="00FA7332" w:rsidRPr="007F5613" w:rsidRDefault="00FA7332" w:rsidP="00FA7332">
            <w:pPr>
              <w:pStyle w:val="TableBody"/>
            </w:pPr>
            <w:r w:rsidRPr="007F5613">
              <w:t>before</w:t>
            </w:r>
          </w:p>
        </w:tc>
        <w:tc>
          <w:tcPr>
            <w:tcW w:w="1964" w:type="pct"/>
          </w:tcPr>
          <w:p w:rsidR="00FA7332" w:rsidRPr="007F5613" w:rsidRDefault="00FA7332" w:rsidP="00FA7332">
            <w:pPr>
              <w:pStyle w:val="TableBody"/>
            </w:pPr>
            <w:r w:rsidRPr="007F5613">
              <w:t>1:0.44</w:t>
            </w:r>
          </w:p>
        </w:tc>
      </w:tr>
      <w:tr w:rsidR="000F2153" w:rsidRPr="007F5613" w:rsidTr="003222CF">
        <w:tc>
          <w:tcPr>
            <w:tcW w:w="540" w:type="pct"/>
          </w:tcPr>
          <w:p w:rsidR="000F2153" w:rsidRPr="007F5613" w:rsidRDefault="000F2153" w:rsidP="000F2153">
            <w:pPr>
              <w:pStyle w:val="TableBody"/>
            </w:pPr>
            <w:r w:rsidRPr="007F5613">
              <w:t>4</w:t>
            </w:r>
          </w:p>
        </w:tc>
        <w:tc>
          <w:tcPr>
            <w:tcW w:w="1655" w:type="pct"/>
          </w:tcPr>
          <w:p w:rsidR="000F2153" w:rsidRPr="007F5613" w:rsidRDefault="000F2153" w:rsidP="000F2153">
            <w:pPr>
              <w:pStyle w:val="TableBody"/>
            </w:pPr>
            <w:r w:rsidRPr="007F5613">
              <w:t>90:10</w:t>
            </w:r>
          </w:p>
        </w:tc>
        <w:tc>
          <w:tcPr>
            <w:tcW w:w="842" w:type="pct"/>
          </w:tcPr>
          <w:p w:rsidR="000F2153" w:rsidRPr="007F5613" w:rsidRDefault="000F2153" w:rsidP="000F2153">
            <w:pPr>
              <w:pStyle w:val="TableBody"/>
            </w:pPr>
            <w:r w:rsidRPr="007F5613">
              <w:t>after</w:t>
            </w:r>
          </w:p>
        </w:tc>
        <w:tc>
          <w:tcPr>
            <w:tcW w:w="1964" w:type="pct"/>
          </w:tcPr>
          <w:p w:rsidR="000F2153" w:rsidRPr="007F5613" w:rsidRDefault="000F2153" w:rsidP="000F2153">
            <w:pPr>
              <w:pStyle w:val="TableBody"/>
            </w:pPr>
            <w:r w:rsidRPr="007F5613">
              <w:t>1:0.19</w:t>
            </w:r>
          </w:p>
        </w:tc>
      </w:tr>
      <w:tr w:rsidR="000F2153" w:rsidRPr="007F5613" w:rsidTr="003222CF">
        <w:tc>
          <w:tcPr>
            <w:tcW w:w="540" w:type="pct"/>
          </w:tcPr>
          <w:p w:rsidR="000F2153" w:rsidRPr="007F5613" w:rsidRDefault="000F2153" w:rsidP="000F2153">
            <w:pPr>
              <w:pStyle w:val="TableBody"/>
            </w:pPr>
            <w:r w:rsidRPr="007F5613">
              <w:t>5</w:t>
            </w:r>
          </w:p>
        </w:tc>
        <w:tc>
          <w:tcPr>
            <w:tcW w:w="1655" w:type="pct"/>
          </w:tcPr>
          <w:p w:rsidR="000F2153" w:rsidRPr="007F5613" w:rsidRDefault="000F2153" w:rsidP="000F2153">
            <w:pPr>
              <w:pStyle w:val="TableBody"/>
            </w:pPr>
            <w:r w:rsidRPr="007F5613">
              <w:t>70:30</w:t>
            </w:r>
            <w:r w:rsidR="00F31132" w:rsidRPr="007F5613">
              <w:t xml:space="preserve"> (7.1, 2.8 mL)</w:t>
            </w:r>
          </w:p>
        </w:tc>
        <w:tc>
          <w:tcPr>
            <w:tcW w:w="842" w:type="pct"/>
          </w:tcPr>
          <w:p w:rsidR="000F2153" w:rsidRPr="007F5613" w:rsidRDefault="000F2153" w:rsidP="000F2153">
            <w:pPr>
              <w:pStyle w:val="TableBody"/>
            </w:pPr>
            <w:r w:rsidRPr="007F5613">
              <w:t>before</w:t>
            </w:r>
          </w:p>
        </w:tc>
        <w:tc>
          <w:tcPr>
            <w:tcW w:w="1964" w:type="pct"/>
          </w:tcPr>
          <w:p w:rsidR="000F2153" w:rsidRPr="007F5613" w:rsidRDefault="000F2153" w:rsidP="000F2153">
            <w:pPr>
              <w:pStyle w:val="TableBody"/>
            </w:pPr>
            <w:r w:rsidRPr="007F5613">
              <w:t>3.30:1 (top), 1.05:1 (bottom)</w:t>
            </w:r>
          </w:p>
        </w:tc>
      </w:tr>
      <w:tr w:rsidR="000F2153" w:rsidRPr="007F5613" w:rsidTr="003222CF">
        <w:tc>
          <w:tcPr>
            <w:tcW w:w="540" w:type="pct"/>
          </w:tcPr>
          <w:p w:rsidR="000F2153" w:rsidRPr="007F5613" w:rsidRDefault="000F2153" w:rsidP="000F2153">
            <w:pPr>
              <w:pStyle w:val="TableBody"/>
              <w:rPr>
                <w:vertAlign w:val="superscript"/>
              </w:rPr>
            </w:pPr>
            <w:r w:rsidRPr="007F5613">
              <w:t>6</w:t>
            </w:r>
            <w:r w:rsidR="00160689" w:rsidRPr="007F5613">
              <w:rPr>
                <w:vertAlign w:val="superscript"/>
              </w:rPr>
              <w:t>[c]</w:t>
            </w:r>
          </w:p>
        </w:tc>
        <w:tc>
          <w:tcPr>
            <w:tcW w:w="1655" w:type="pct"/>
          </w:tcPr>
          <w:p w:rsidR="000F2153" w:rsidRPr="007F5613" w:rsidRDefault="000F2153" w:rsidP="003222CF">
            <w:pPr>
              <w:pStyle w:val="TableBody"/>
            </w:pPr>
            <w:r w:rsidRPr="007F5613">
              <w:t>70:30</w:t>
            </w:r>
            <w:r w:rsidR="009A1050" w:rsidRPr="007F5613">
              <w:t xml:space="preserve"> (</w:t>
            </w:r>
            <w:r w:rsidR="003222CF" w:rsidRPr="007F5613">
              <w:t>5.0, 3.2</w:t>
            </w:r>
            <w:r w:rsidR="009A1050" w:rsidRPr="007F5613">
              <w:t xml:space="preserve"> mL g</w:t>
            </w:r>
            <w:r w:rsidR="009A1050" w:rsidRPr="007F5613">
              <w:rPr>
                <w:vertAlign w:val="superscript"/>
              </w:rPr>
              <w:t>-1</w:t>
            </w:r>
            <w:r w:rsidR="009A1050" w:rsidRPr="007F5613">
              <w:t>)</w:t>
            </w:r>
          </w:p>
        </w:tc>
        <w:tc>
          <w:tcPr>
            <w:tcW w:w="842" w:type="pct"/>
          </w:tcPr>
          <w:p w:rsidR="000F2153" w:rsidRPr="007F5613" w:rsidRDefault="000F2153" w:rsidP="000F2153">
            <w:pPr>
              <w:pStyle w:val="TableBody"/>
            </w:pPr>
            <w:r w:rsidRPr="007F5613">
              <w:t>after</w:t>
            </w:r>
          </w:p>
        </w:tc>
        <w:tc>
          <w:tcPr>
            <w:tcW w:w="1964" w:type="pct"/>
          </w:tcPr>
          <w:p w:rsidR="000F2153" w:rsidRPr="007F5613" w:rsidRDefault="000F2153" w:rsidP="000F2153">
            <w:pPr>
              <w:pStyle w:val="TableBody"/>
            </w:pPr>
            <w:r w:rsidRPr="007F5613">
              <w:t>3.43:1 (top), 0.94:1 (bottom)</w:t>
            </w:r>
          </w:p>
        </w:tc>
      </w:tr>
      <w:tr w:rsidR="003B05CA" w:rsidRPr="007F5613" w:rsidTr="003222CF">
        <w:tc>
          <w:tcPr>
            <w:tcW w:w="540" w:type="pct"/>
          </w:tcPr>
          <w:p w:rsidR="003B05CA" w:rsidRPr="007F5613" w:rsidRDefault="003B05CA" w:rsidP="003B05CA">
            <w:pPr>
              <w:pStyle w:val="TableBody"/>
            </w:pPr>
            <w:r w:rsidRPr="007F5613">
              <w:t>7</w:t>
            </w:r>
          </w:p>
        </w:tc>
        <w:tc>
          <w:tcPr>
            <w:tcW w:w="1655" w:type="pct"/>
          </w:tcPr>
          <w:p w:rsidR="003B05CA" w:rsidRPr="007F5613" w:rsidRDefault="003B05CA" w:rsidP="003B05CA">
            <w:pPr>
              <w:pStyle w:val="TableBody"/>
            </w:pPr>
            <w:r w:rsidRPr="007F5613">
              <w:t>60:40</w:t>
            </w:r>
            <w:r w:rsidR="00F31132" w:rsidRPr="007F5613">
              <w:t xml:space="preserve"> (5.3, 4.5 mL)</w:t>
            </w:r>
          </w:p>
        </w:tc>
        <w:tc>
          <w:tcPr>
            <w:tcW w:w="842" w:type="pct"/>
          </w:tcPr>
          <w:p w:rsidR="003B05CA" w:rsidRPr="007F5613" w:rsidRDefault="003B05CA" w:rsidP="003B05CA">
            <w:pPr>
              <w:pStyle w:val="TableBody"/>
            </w:pPr>
            <w:r w:rsidRPr="007F5613">
              <w:t>before</w:t>
            </w:r>
          </w:p>
        </w:tc>
        <w:tc>
          <w:tcPr>
            <w:tcW w:w="1964" w:type="pct"/>
          </w:tcPr>
          <w:p w:rsidR="003B05CA" w:rsidRPr="007F5613" w:rsidRDefault="003B05CA" w:rsidP="003B05CA">
            <w:pPr>
              <w:pStyle w:val="TableBody"/>
            </w:pPr>
            <w:r w:rsidRPr="007F5613">
              <w:t>3.12:1 (top), 1.95:1 (bottom)</w:t>
            </w:r>
          </w:p>
        </w:tc>
      </w:tr>
      <w:tr w:rsidR="003B05CA" w:rsidRPr="007F5613" w:rsidTr="003222CF">
        <w:tc>
          <w:tcPr>
            <w:tcW w:w="540" w:type="pct"/>
          </w:tcPr>
          <w:p w:rsidR="003B05CA" w:rsidRPr="007F5613" w:rsidRDefault="003B05CA" w:rsidP="003B05CA">
            <w:pPr>
              <w:pStyle w:val="TableBody"/>
            </w:pPr>
            <w:r w:rsidRPr="007F5613">
              <w:t>8</w:t>
            </w:r>
            <w:r w:rsidR="00160689" w:rsidRPr="007F5613">
              <w:rPr>
                <w:vertAlign w:val="superscript"/>
              </w:rPr>
              <w:t>[c]</w:t>
            </w:r>
          </w:p>
        </w:tc>
        <w:tc>
          <w:tcPr>
            <w:tcW w:w="1655" w:type="pct"/>
          </w:tcPr>
          <w:p w:rsidR="003B05CA" w:rsidRPr="007F5613" w:rsidRDefault="003B05CA" w:rsidP="009A1050">
            <w:pPr>
              <w:pStyle w:val="TableBody"/>
            </w:pPr>
            <w:r w:rsidRPr="007F5613">
              <w:t>60:40</w:t>
            </w:r>
            <w:r w:rsidR="009A1050" w:rsidRPr="007F5613">
              <w:t xml:space="preserve"> (4.</w:t>
            </w:r>
            <w:r w:rsidR="003222CF" w:rsidRPr="007F5613">
              <w:t>9</w:t>
            </w:r>
            <w:r w:rsidR="009A1050" w:rsidRPr="007F5613">
              <w:t>, 3.0 mL g</w:t>
            </w:r>
            <w:r w:rsidR="009A1050" w:rsidRPr="007F5613">
              <w:rPr>
                <w:vertAlign w:val="superscript"/>
              </w:rPr>
              <w:t>-1</w:t>
            </w:r>
            <w:r w:rsidR="009A1050" w:rsidRPr="007F5613">
              <w:t>)</w:t>
            </w:r>
          </w:p>
        </w:tc>
        <w:tc>
          <w:tcPr>
            <w:tcW w:w="842" w:type="pct"/>
          </w:tcPr>
          <w:p w:rsidR="003B05CA" w:rsidRPr="007F5613" w:rsidRDefault="003B05CA" w:rsidP="003B05CA">
            <w:pPr>
              <w:pStyle w:val="TableBody"/>
            </w:pPr>
            <w:r w:rsidRPr="007F5613">
              <w:t>after</w:t>
            </w:r>
          </w:p>
        </w:tc>
        <w:tc>
          <w:tcPr>
            <w:tcW w:w="1964" w:type="pct"/>
          </w:tcPr>
          <w:p w:rsidR="003B05CA" w:rsidRPr="007F5613" w:rsidRDefault="003B05CA" w:rsidP="003B05CA">
            <w:pPr>
              <w:pStyle w:val="TableBody"/>
            </w:pPr>
            <w:r w:rsidRPr="007F5613">
              <w:t>3.54:1 (top), 0.77:1 (bottom)</w:t>
            </w:r>
          </w:p>
        </w:tc>
      </w:tr>
      <w:tr w:rsidR="003B05CA" w:rsidRPr="007F5613" w:rsidTr="003222CF">
        <w:tc>
          <w:tcPr>
            <w:tcW w:w="540" w:type="pct"/>
          </w:tcPr>
          <w:p w:rsidR="003B05CA" w:rsidRPr="007F5613" w:rsidRDefault="003B05CA" w:rsidP="003B05CA">
            <w:pPr>
              <w:pStyle w:val="TableBody"/>
            </w:pPr>
            <w:r w:rsidRPr="007F5613">
              <w:t>9</w:t>
            </w:r>
          </w:p>
        </w:tc>
        <w:tc>
          <w:tcPr>
            <w:tcW w:w="1655" w:type="pct"/>
          </w:tcPr>
          <w:p w:rsidR="003B05CA" w:rsidRPr="007F5613" w:rsidRDefault="003B05CA" w:rsidP="003B05CA">
            <w:pPr>
              <w:pStyle w:val="TableBody"/>
            </w:pPr>
            <w:r w:rsidRPr="007F5613">
              <w:t>50:50</w:t>
            </w:r>
            <w:r w:rsidR="00F31132" w:rsidRPr="007F5613">
              <w:t xml:space="preserve"> (3.3, 6.6 mL)</w:t>
            </w:r>
          </w:p>
        </w:tc>
        <w:tc>
          <w:tcPr>
            <w:tcW w:w="842" w:type="pct"/>
          </w:tcPr>
          <w:p w:rsidR="003B05CA" w:rsidRPr="007F5613" w:rsidRDefault="003B05CA" w:rsidP="003B05CA">
            <w:pPr>
              <w:pStyle w:val="TableBody"/>
            </w:pPr>
            <w:r w:rsidRPr="007F5613">
              <w:t>before</w:t>
            </w:r>
          </w:p>
        </w:tc>
        <w:tc>
          <w:tcPr>
            <w:tcW w:w="1964" w:type="pct"/>
          </w:tcPr>
          <w:p w:rsidR="003B05CA" w:rsidRPr="007F5613" w:rsidRDefault="003B05CA" w:rsidP="003B05CA">
            <w:pPr>
              <w:pStyle w:val="TableBody"/>
            </w:pPr>
            <w:r w:rsidRPr="007F5613">
              <w:t>2.90:1 (top), 1.42:1 (bottom)</w:t>
            </w:r>
          </w:p>
        </w:tc>
      </w:tr>
      <w:tr w:rsidR="003B05CA" w:rsidRPr="007F5613" w:rsidTr="003222CF">
        <w:tc>
          <w:tcPr>
            <w:tcW w:w="540" w:type="pct"/>
          </w:tcPr>
          <w:p w:rsidR="003B05CA" w:rsidRPr="007F5613" w:rsidRDefault="003B05CA" w:rsidP="003B05CA">
            <w:pPr>
              <w:pStyle w:val="TableBody"/>
            </w:pPr>
            <w:r w:rsidRPr="007F5613">
              <w:t>10</w:t>
            </w:r>
            <w:r w:rsidR="00160689" w:rsidRPr="007F5613">
              <w:rPr>
                <w:vertAlign w:val="superscript"/>
              </w:rPr>
              <w:t>[c]</w:t>
            </w:r>
          </w:p>
        </w:tc>
        <w:tc>
          <w:tcPr>
            <w:tcW w:w="1655" w:type="pct"/>
          </w:tcPr>
          <w:p w:rsidR="003B05CA" w:rsidRPr="007F5613" w:rsidRDefault="003B05CA" w:rsidP="003222CF">
            <w:pPr>
              <w:pStyle w:val="TableBody"/>
            </w:pPr>
            <w:r w:rsidRPr="007F5613">
              <w:t>50:50</w:t>
            </w:r>
            <w:r w:rsidR="009A1050" w:rsidRPr="007F5613">
              <w:t xml:space="preserve"> (</w:t>
            </w:r>
            <w:r w:rsidR="003222CF" w:rsidRPr="007F5613">
              <w:t>5.0</w:t>
            </w:r>
            <w:r w:rsidR="009A1050" w:rsidRPr="007F5613">
              <w:t>, 3.</w:t>
            </w:r>
            <w:r w:rsidR="003222CF" w:rsidRPr="007F5613">
              <w:t>2</w:t>
            </w:r>
            <w:r w:rsidR="009A1050" w:rsidRPr="007F5613">
              <w:t xml:space="preserve"> mL g</w:t>
            </w:r>
            <w:r w:rsidR="009A1050" w:rsidRPr="007F5613">
              <w:rPr>
                <w:vertAlign w:val="superscript"/>
              </w:rPr>
              <w:t>-1</w:t>
            </w:r>
            <w:r w:rsidR="009A1050" w:rsidRPr="007F5613">
              <w:t>)</w:t>
            </w:r>
          </w:p>
        </w:tc>
        <w:tc>
          <w:tcPr>
            <w:tcW w:w="842" w:type="pct"/>
          </w:tcPr>
          <w:p w:rsidR="003B05CA" w:rsidRPr="007F5613" w:rsidRDefault="003B05CA" w:rsidP="003B05CA">
            <w:pPr>
              <w:pStyle w:val="TableBody"/>
            </w:pPr>
            <w:r w:rsidRPr="007F5613">
              <w:t>after</w:t>
            </w:r>
          </w:p>
        </w:tc>
        <w:tc>
          <w:tcPr>
            <w:tcW w:w="1964" w:type="pct"/>
          </w:tcPr>
          <w:p w:rsidR="003B05CA" w:rsidRPr="007F5613" w:rsidRDefault="003B05CA" w:rsidP="003B05CA">
            <w:pPr>
              <w:pStyle w:val="TableBody"/>
            </w:pPr>
            <w:r w:rsidRPr="007F5613">
              <w:t>3.50:1 (top), 0.31:1 (bottom)</w:t>
            </w:r>
          </w:p>
        </w:tc>
      </w:tr>
      <w:tr w:rsidR="003B05CA" w:rsidRPr="007F5613" w:rsidTr="003222CF">
        <w:tc>
          <w:tcPr>
            <w:tcW w:w="540" w:type="pct"/>
          </w:tcPr>
          <w:p w:rsidR="003B05CA" w:rsidRPr="007F5613" w:rsidRDefault="003B05CA" w:rsidP="003B05CA">
            <w:pPr>
              <w:pStyle w:val="TableBody"/>
            </w:pPr>
            <w:r w:rsidRPr="007F5613">
              <w:t>11</w:t>
            </w:r>
          </w:p>
        </w:tc>
        <w:tc>
          <w:tcPr>
            <w:tcW w:w="1655" w:type="pct"/>
          </w:tcPr>
          <w:p w:rsidR="003B05CA" w:rsidRPr="007F5613" w:rsidRDefault="003B05CA" w:rsidP="00F31132">
            <w:pPr>
              <w:pStyle w:val="TableBody"/>
            </w:pPr>
            <w:r w:rsidRPr="007F5613">
              <w:t>40:60</w:t>
            </w:r>
            <w:r w:rsidR="00F31132" w:rsidRPr="007F5613">
              <w:t xml:space="preserve"> (1.6, 8.2 mL)</w:t>
            </w:r>
          </w:p>
        </w:tc>
        <w:tc>
          <w:tcPr>
            <w:tcW w:w="842" w:type="pct"/>
          </w:tcPr>
          <w:p w:rsidR="003B05CA" w:rsidRPr="007F5613" w:rsidRDefault="003B05CA" w:rsidP="003B05CA">
            <w:pPr>
              <w:pStyle w:val="TableBody"/>
            </w:pPr>
            <w:r w:rsidRPr="007F5613">
              <w:t>before</w:t>
            </w:r>
          </w:p>
        </w:tc>
        <w:tc>
          <w:tcPr>
            <w:tcW w:w="1964" w:type="pct"/>
          </w:tcPr>
          <w:p w:rsidR="003B05CA" w:rsidRPr="007F5613" w:rsidRDefault="003B05CA" w:rsidP="003B05CA">
            <w:pPr>
              <w:pStyle w:val="TableBody"/>
            </w:pPr>
            <w:r w:rsidRPr="007F5613">
              <w:t>3.37:1 (top), 1.36:1 (bottom)</w:t>
            </w:r>
          </w:p>
        </w:tc>
      </w:tr>
      <w:tr w:rsidR="003B05CA" w:rsidRPr="007F5613" w:rsidTr="003222CF">
        <w:tc>
          <w:tcPr>
            <w:tcW w:w="540" w:type="pct"/>
            <w:tcBorders>
              <w:bottom w:val="single" w:sz="8" w:space="0" w:color="auto"/>
            </w:tcBorders>
          </w:tcPr>
          <w:p w:rsidR="003B05CA" w:rsidRPr="007F5613" w:rsidRDefault="003B05CA" w:rsidP="003B05CA">
            <w:pPr>
              <w:pStyle w:val="TableBody"/>
            </w:pPr>
            <w:r w:rsidRPr="007F5613">
              <w:t>12</w:t>
            </w:r>
            <w:r w:rsidR="00160689" w:rsidRPr="007F5613">
              <w:rPr>
                <w:vertAlign w:val="superscript"/>
              </w:rPr>
              <w:t>[c]</w:t>
            </w:r>
          </w:p>
        </w:tc>
        <w:tc>
          <w:tcPr>
            <w:tcW w:w="1655" w:type="pct"/>
            <w:tcBorders>
              <w:bottom w:val="single" w:sz="8" w:space="0" w:color="auto"/>
            </w:tcBorders>
          </w:tcPr>
          <w:p w:rsidR="003B05CA" w:rsidRPr="007F5613" w:rsidRDefault="003B05CA" w:rsidP="003222CF">
            <w:pPr>
              <w:pStyle w:val="TableBody"/>
            </w:pPr>
            <w:r w:rsidRPr="007F5613">
              <w:t>40:60</w:t>
            </w:r>
            <w:r w:rsidR="003222CF" w:rsidRPr="007F5613">
              <w:t xml:space="preserve"> (5.0, 2.9 mL g</w:t>
            </w:r>
            <w:r w:rsidR="003222CF" w:rsidRPr="007F5613">
              <w:rPr>
                <w:vertAlign w:val="superscript"/>
              </w:rPr>
              <w:t>-1</w:t>
            </w:r>
            <w:r w:rsidR="003222CF" w:rsidRPr="007F5613">
              <w:t>)</w:t>
            </w:r>
          </w:p>
        </w:tc>
        <w:tc>
          <w:tcPr>
            <w:tcW w:w="842" w:type="pct"/>
            <w:tcBorders>
              <w:bottom w:val="single" w:sz="8" w:space="0" w:color="auto"/>
            </w:tcBorders>
          </w:tcPr>
          <w:p w:rsidR="003B05CA" w:rsidRPr="007F5613" w:rsidRDefault="003B05CA" w:rsidP="003B05CA">
            <w:pPr>
              <w:pStyle w:val="TableBody"/>
            </w:pPr>
            <w:r w:rsidRPr="007F5613">
              <w:t>after</w:t>
            </w:r>
          </w:p>
        </w:tc>
        <w:tc>
          <w:tcPr>
            <w:tcW w:w="1964" w:type="pct"/>
            <w:tcBorders>
              <w:bottom w:val="single" w:sz="8" w:space="0" w:color="auto"/>
            </w:tcBorders>
          </w:tcPr>
          <w:p w:rsidR="003B05CA" w:rsidRPr="007F5613" w:rsidRDefault="003B05CA" w:rsidP="003B05CA">
            <w:pPr>
              <w:pStyle w:val="TableBody"/>
            </w:pPr>
            <w:r w:rsidRPr="007F5613">
              <w:t>3.27:1 (top), 0.9:1 (bottom)</w:t>
            </w:r>
          </w:p>
        </w:tc>
      </w:tr>
      <w:tr w:rsidR="003B05CA" w:rsidRPr="007F5613" w:rsidTr="000F2153">
        <w:tc>
          <w:tcPr>
            <w:tcW w:w="5000" w:type="pct"/>
            <w:gridSpan w:val="4"/>
            <w:tcBorders>
              <w:top w:val="single" w:sz="8" w:space="0" w:color="auto"/>
            </w:tcBorders>
          </w:tcPr>
          <w:p w:rsidR="003B05CA" w:rsidRPr="007F5613" w:rsidRDefault="00F31132" w:rsidP="001211CA">
            <w:pPr>
              <w:pStyle w:val="TableFoot"/>
            </w:pPr>
            <w:r w:rsidRPr="007F5613">
              <w:t xml:space="preserve">[a] For the immiscible mixtures, the numbers in brackets are the volumes of top and bottom layers). </w:t>
            </w:r>
            <w:r w:rsidR="003B05CA" w:rsidRPr="007F5613">
              <w:t>[</w:t>
            </w:r>
            <w:r w:rsidRPr="007F5613">
              <w:t>b</w:t>
            </w:r>
            <w:r w:rsidR="003B05CA" w:rsidRPr="007F5613">
              <w:t xml:space="preserve">] Determined by dividing the </w:t>
            </w:r>
            <w:proofErr w:type="spellStart"/>
            <w:r w:rsidR="003B05CA" w:rsidRPr="007F5613">
              <w:t>mesitylene</w:t>
            </w:r>
            <w:proofErr w:type="spellEnd"/>
            <w:r w:rsidR="003B05CA" w:rsidRPr="007F5613">
              <w:t xml:space="preserve"> aromatic CH integral by 3, then summing the integrals for the two </w:t>
            </w:r>
            <w:proofErr w:type="spellStart"/>
            <w:r w:rsidR="003B05CA" w:rsidRPr="007F5613">
              <w:t>cyclopentanone</w:t>
            </w:r>
            <w:proofErr w:type="spellEnd"/>
            <w:r w:rsidR="003B05CA" w:rsidRPr="007F5613">
              <w:t xml:space="preserve"> signals between 1.9 and 2.3 ppm and dividing the </w:t>
            </w:r>
            <w:r w:rsidR="003B05CA" w:rsidRPr="007F5613">
              <w:rPr>
                <w:color w:val="000000"/>
              </w:rPr>
              <w:t xml:space="preserve">sum by 8. The amount of </w:t>
            </w:r>
            <w:proofErr w:type="spellStart"/>
            <w:r w:rsidR="003B05CA" w:rsidRPr="007F5613">
              <w:rPr>
                <w:color w:val="000000"/>
              </w:rPr>
              <w:t>mesitylene</w:t>
            </w:r>
            <w:proofErr w:type="spellEnd"/>
            <w:r w:rsidR="003B05CA" w:rsidRPr="007F5613">
              <w:rPr>
                <w:color w:val="000000"/>
              </w:rPr>
              <w:t xml:space="preserve"> added as an internal reference was identical </w:t>
            </w:r>
            <w:r w:rsidR="001211CA" w:rsidRPr="007F5613">
              <w:rPr>
                <w:color w:val="000000"/>
              </w:rPr>
              <w:t>for entries 1-2, for entries 3-4 and for entries 5-12</w:t>
            </w:r>
            <w:r w:rsidR="003B05CA" w:rsidRPr="007F5613">
              <w:rPr>
                <w:color w:val="000000"/>
              </w:rPr>
              <w:t>.</w:t>
            </w:r>
            <w:r w:rsidR="00160689" w:rsidRPr="007F5613">
              <w:rPr>
                <w:color w:val="000000"/>
              </w:rPr>
              <w:t xml:space="preserve"> [c] The top and bottom layers were separately used to swell the resin</w:t>
            </w:r>
            <w:r w:rsidR="003222CF" w:rsidRPr="007F5613">
              <w:rPr>
                <w:color w:val="000000"/>
              </w:rPr>
              <w:t xml:space="preserve"> and the data in brackets gives the resin swelling observed with each layer</w:t>
            </w:r>
            <w:r w:rsidR="00160689" w:rsidRPr="007F5613">
              <w:rPr>
                <w:color w:val="000000"/>
              </w:rPr>
              <w:t>.</w:t>
            </w:r>
          </w:p>
        </w:tc>
      </w:tr>
      <w:tr w:rsidR="003B05CA" w:rsidRPr="007F5613" w:rsidTr="000F2153">
        <w:tc>
          <w:tcPr>
            <w:tcW w:w="5000" w:type="pct"/>
            <w:gridSpan w:val="4"/>
          </w:tcPr>
          <w:p w:rsidR="003B05CA" w:rsidRPr="007F5613" w:rsidRDefault="003B05CA" w:rsidP="003B05CA">
            <w:pPr>
              <w:pStyle w:val="TableSpacer"/>
              <w:rPr>
                <w:noProof w:val="0"/>
              </w:rPr>
            </w:pPr>
          </w:p>
        </w:tc>
      </w:tr>
    </w:tbl>
    <w:p w:rsidR="003B05CA" w:rsidRPr="007F5613" w:rsidRDefault="003B05CA" w:rsidP="00E866F6">
      <w:pPr>
        <w:pStyle w:val="P1"/>
        <w:ind w:firstLine="425"/>
        <w:rPr>
          <w:color w:val="000000"/>
          <w:lang w:val="en-GB"/>
        </w:rPr>
      </w:pPr>
      <w:r w:rsidRPr="007F5613">
        <w:rPr>
          <w:color w:val="000000"/>
          <w:lang w:val="en-GB"/>
        </w:rPr>
        <w:t xml:space="preserve">In view of the large difference in resin swelling ability of </w:t>
      </w:r>
      <w:proofErr w:type="spellStart"/>
      <w:r w:rsidRPr="007F5613">
        <w:rPr>
          <w:color w:val="000000"/>
          <w:lang w:val="en-GB"/>
        </w:rPr>
        <w:t>cyclopentanone</w:t>
      </w:r>
      <w:proofErr w:type="spellEnd"/>
      <w:r w:rsidRPr="007F5613">
        <w:rPr>
          <w:color w:val="000000"/>
          <w:lang w:val="en-GB"/>
        </w:rPr>
        <w:t xml:space="preserve"> and water, the flatness of the low water percentage region of Figure 3 and the presence of both miscible and immiscible solvent mixtures, this solvent system was analysed in more detail by </w:t>
      </w:r>
      <w:r w:rsidRPr="007F5613">
        <w:rPr>
          <w:color w:val="000000"/>
          <w:vertAlign w:val="superscript"/>
          <w:lang w:val="en-GB"/>
        </w:rPr>
        <w:t>1</w:t>
      </w:r>
      <w:r w:rsidRPr="007F5613">
        <w:rPr>
          <w:color w:val="000000"/>
          <w:lang w:val="en-GB"/>
        </w:rPr>
        <w:t xml:space="preserve">H NMR spectroscopy. Two miscible ratios of </w:t>
      </w:r>
      <w:proofErr w:type="spellStart"/>
      <w:r w:rsidRPr="007F5613">
        <w:rPr>
          <w:color w:val="000000"/>
          <w:lang w:val="en-GB"/>
        </w:rPr>
        <w:t>cyclopentanone</w:t>
      </w:r>
      <w:proofErr w:type="spellEnd"/>
      <w:r w:rsidRPr="007F5613">
        <w:rPr>
          <w:color w:val="000000"/>
          <w:lang w:val="en-GB"/>
        </w:rPr>
        <w:t xml:space="preserve"> : water (30:70 and 90:10) were initially chosen as they were close to the upper and lower miscibility limits (Figure 3). The concentration of </w:t>
      </w:r>
      <w:proofErr w:type="spellStart"/>
      <w:r w:rsidRPr="007F5613">
        <w:rPr>
          <w:color w:val="000000"/>
          <w:lang w:val="en-GB"/>
        </w:rPr>
        <w:t>cyclopentanone</w:t>
      </w:r>
      <w:proofErr w:type="spellEnd"/>
      <w:r w:rsidRPr="007F5613">
        <w:rPr>
          <w:color w:val="000000"/>
          <w:lang w:val="en-GB"/>
        </w:rPr>
        <w:t xml:space="preserve"> in the solvent was measured relative to </w:t>
      </w:r>
      <w:proofErr w:type="spellStart"/>
      <w:r w:rsidRPr="007F5613">
        <w:rPr>
          <w:color w:val="000000"/>
          <w:lang w:val="en-GB"/>
        </w:rPr>
        <w:t>mesitylene</w:t>
      </w:r>
      <w:proofErr w:type="spellEnd"/>
      <w:r w:rsidRPr="007F5613">
        <w:rPr>
          <w:color w:val="000000"/>
          <w:lang w:val="en-GB"/>
        </w:rPr>
        <w:t xml:space="preserve"> (1,3,5-</w:t>
      </w:r>
      <w:r w:rsidRPr="007F5613">
        <w:rPr>
          <w:color w:val="000000"/>
          <w:lang w:val="en-GB"/>
        </w:rPr>
        <w:lastRenderedPageBreak/>
        <w:t>trimethylbenzene) added as an internal standard just before NMR analysis. Each solvent mixture was used to swell HypoGel</w:t>
      </w:r>
      <w:r w:rsidRPr="007F5613">
        <w:rPr>
          <w:color w:val="000000"/>
          <w:vertAlign w:val="superscript"/>
          <w:lang w:val="en-GB"/>
        </w:rPr>
        <w:t>TM</w:t>
      </w:r>
      <w:r w:rsidRPr="007F5613">
        <w:rPr>
          <w:color w:val="000000"/>
          <w:lang w:val="en-GB"/>
        </w:rPr>
        <w:t xml:space="preserve">200 resin and the concentration of </w:t>
      </w:r>
      <w:proofErr w:type="spellStart"/>
      <w:r w:rsidRPr="007F5613">
        <w:rPr>
          <w:color w:val="000000"/>
          <w:lang w:val="en-GB"/>
        </w:rPr>
        <w:t>cyclopentanone</w:t>
      </w:r>
      <w:proofErr w:type="spellEnd"/>
      <w:r w:rsidRPr="007F5613">
        <w:rPr>
          <w:color w:val="000000"/>
          <w:lang w:val="en-GB"/>
        </w:rPr>
        <w:t xml:space="preserve"> in the remaining solvent above the swollen resin determined</w:t>
      </w:r>
      <w:r w:rsidR="0074197A" w:rsidRPr="007F5613">
        <w:rPr>
          <w:color w:val="000000"/>
          <w:lang w:val="en-GB"/>
        </w:rPr>
        <w:t xml:space="preserve"> after it was separated from the resin</w:t>
      </w:r>
      <w:r w:rsidRPr="007F5613">
        <w:rPr>
          <w:color w:val="000000"/>
          <w:lang w:val="en-GB"/>
        </w:rPr>
        <w:t xml:space="preserve">. The results (Table 1 entries 1–4 and Figure S1) show that in both cases the concentration of </w:t>
      </w:r>
      <w:proofErr w:type="spellStart"/>
      <w:r w:rsidRPr="007F5613">
        <w:rPr>
          <w:color w:val="000000"/>
          <w:lang w:val="en-GB"/>
        </w:rPr>
        <w:t>cyclopentanone</w:t>
      </w:r>
      <w:proofErr w:type="spellEnd"/>
      <w:r w:rsidRPr="007F5613">
        <w:rPr>
          <w:color w:val="000000"/>
          <w:lang w:val="en-GB"/>
        </w:rPr>
        <w:t xml:space="preserve"> in the excess solvent after the resin had swollen was lower than that in the initial solvent mixture. This indicates that HypoGel</w:t>
      </w:r>
      <w:r w:rsidRPr="007F5613">
        <w:rPr>
          <w:color w:val="000000"/>
          <w:vertAlign w:val="superscript"/>
          <w:lang w:val="en-GB"/>
        </w:rPr>
        <w:t>TM</w:t>
      </w:r>
      <w:r w:rsidRPr="007F5613">
        <w:rPr>
          <w:color w:val="000000"/>
          <w:lang w:val="en-GB"/>
        </w:rPr>
        <w:t xml:space="preserve">200 resin is capable of selectively extracting </w:t>
      </w:r>
      <w:proofErr w:type="spellStart"/>
      <w:r w:rsidRPr="007F5613">
        <w:rPr>
          <w:color w:val="000000"/>
          <w:lang w:val="en-GB"/>
        </w:rPr>
        <w:t>cyclopentanone</w:t>
      </w:r>
      <w:proofErr w:type="spellEnd"/>
      <w:r w:rsidRPr="007F5613">
        <w:rPr>
          <w:color w:val="000000"/>
          <w:lang w:val="en-GB"/>
        </w:rPr>
        <w:t xml:space="preserve"> from a </w:t>
      </w:r>
      <w:proofErr w:type="spellStart"/>
      <w:r w:rsidRPr="007F5613">
        <w:rPr>
          <w:color w:val="000000"/>
          <w:lang w:val="en-GB"/>
        </w:rPr>
        <w:t>cyclopentanone</w:t>
      </w:r>
      <w:proofErr w:type="spellEnd"/>
      <w:r w:rsidRPr="007F5613">
        <w:rPr>
          <w:color w:val="000000"/>
          <w:lang w:val="en-GB"/>
        </w:rPr>
        <w:t xml:space="preserve"> / water mixture. As a result, the resin swells in a higher ratio of </w:t>
      </w:r>
      <w:proofErr w:type="spellStart"/>
      <w:r w:rsidRPr="007F5613">
        <w:rPr>
          <w:color w:val="000000"/>
          <w:lang w:val="en-GB"/>
        </w:rPr>
        <w:t>cyclopentanone</w:t>
      </w:r>
      <w:proofErr w:type="spellEnd"/>
      <w:r w:rsidRPr="007F5613">
        <w:rPr>
          <w:color w:val="000000"/>
          <w:lang w:val="en-GB"/>
        </w:rPr>
        <w:t xml:space="preserve"> : water than was initially added and this explains why addition of up to 60% water to </w:t>
      </w:r>
      <w:proofErr w:type="spellStart"/>
      <w:r w:rsidRPr="007F5613">
        <w:rPr>
          <w:color w:val="000000"/>
          <w:lang w:val="en-GB"/>
        </w:rPr>
        <w:t>cyclopentanone</w:t>
      </w:r>
      <w:proofErr w:type="spellEnd"/>
      <w:r w:rsidRPr="007F5613">
        <w:rPr>
          <w:color w:val="000000"/>
          <w:lang w:val="en-GB"/>
        </w:rPr>
        <w:t xml:space="preserve"> does not result in a decrease in resin swelling (Figure 3).</w:t>
      </w:r>
    </w:p>
    <w:p w:rsidR="009A1050" w:rsidRPr="007F5613" w:rsidRDefault="009A1050" w:rsidP="00E866F6">
      <w:pPr>
        <w:pStyle w:val="P1"/>
        <w:ind w:firstLine="425"/>
        <w:rPr>
          <w:color w:val="000000"/>
          <w:lang w:val="en-GB"/>
        </w:rPr>
      </w:pPr>
      <w:r w:rsidRPr="007F5613">
        <w:rPr>
          <w:color w:val="000000"/>
          <w:lang w:val="en-GB"/>
        </w:rPr>
        <w:t xml:space="preserve">This analysis was then extended to four immiscible mixtures of </w:t>
      </w:r>
      <w:proofErr w:type="spellStart"/>
      <w:r w:rsidRPr="007F5613">
        <w:rPr>
          <w:color w:val="000000"/>
          <w:lang w:val="en-GB"/>
        </w:rPr>
        <w:t>cyclopentanone</w:t>
      </w:r>
      <w:proofErr w:type="spellEnd"/>
      <w:r w:rsidRPr="007F5613">
        <w:rPr>
          <w:color w:val="000000"/>
          <w:lang w:val="en-GB"/>
        </w:rPr>
        <w:t xml:space="preserve"> and water (Table 1, entries 5-12). For this study, the top and bottom layers were separated and then used separately to swell HypoGel</w:t>
      </w:r>
      <w:r w:rsidRPr="007F5613">
        <w:rPr>
          <w:color w:val="000000"/>
          <w:vertAlign w:val="superscript"/>
          <w:lang w:val="en-GB"/>
        </w:rPr>
        <w:t>TM</w:t>
      </w:r>
      <w:r w:rsidRPr="007F5613">
        <w:rPr>
          <w:color w:val="000000"/>
          <w:lang w:val="en-GB"/>
        </w:rPr>
        <w:t>200 resin.</w:t>
      </w:r>
      <w:r w:rsidR="003222CF" w:rsidRPr="007F5613">
        <w:rPr>
          <w:color w:val="000000"/>
          <w:lang w:val="en-GB"/>
        </w:rPr>
        <w:t xml:space="preserve"> The data show that before resin swelling, the top layers always contain a greater proportion of </w:t>
      </w:r>
      <w:proofErr w:type="spellStart"/>
      <w:r w:rsidR="003222CF" w:rsidRPr="007F5613">
        <w:rPr>
          <w:color w:val="000000"/>
          <w:lang w:val="en-GB"/>
        </w:rPr>
        <w:t>cyclopentanone</w:t>
      </w:r>
      <w:proofErr w:type="spellEnd"/>
      <w:r w:rsidR="003222CF" w:rsidRPr="007F5613">
        <w:rPr>
          <w:color w:val="000000"/>
          <w:lang w:val="en-GB"/>
        </w:rPr>
        <w:t xml:space="preserve"> than the bottom layers and the top layers give high resin swelling (4.9-5.0 mL g</w:t>
      </w:r>
      <w:r w:rsidR="003222CF" w:rsidRPr="007F5613">
        <w:rPr>
          <w:color w:val="000000"/>
          <w:vertAlign w:val="superscript"/>
          <w:lang w:val="en-GB"/>
        </w:rPr>
        <w:t>-1</w:t>
      </w:r>
      <w:r w:rsidR="003222CF" w:rsidRPr="007F5613">
        <w:rPr>
          <w:color w:val="000000"/>
          <w:lang w:val="en-GB"/>
        </w:rPr>
        <w:t>), whilst the bottom layers only give moderate resin swelling (2.9-3.2 mL g</w:t>
      </w:r>
      <w:r w:rsidR="003222CF" w:rsidRPr="007F5613">
        <w:rPr>
          <w:color w:val="000000"/>
          <w:vertAlign w:val="superscript"/>
          <w:lang w:val="en-GB"/>
        </w:rPr>
        <w:t>-1</w:t>
      </w:r>
      <w:r w:rsidR="003222CF" w:rsidRPr="007F5613">
        <w:rPr>
          <w:color w:val="000000"/>
          <w:lang w:val="en-GB"/>
        </w:rPr>
        <w:t>).</w:t>
      </w:r>
      <w:r w:rsidR="00903FBF" w:rsidRPr="007F5613">
        <w:rPr>
          <w:color w:val="000000"/>
          <w:lang w:val="en-GB"/>
        </w:rPr>
        <w:t xml:space="preserve"> Considering the data for the top layers, entries 5-10 show that for the 70:30, 60:40 and 50:50 mixtures, the concentration of </w:t>
      </w:r>
      <w:proofErr w:type="spellStart"/>
      <w:r w:rsidR="00903FBF" w:rsidRPr="007F5613">
        <w:rPr>
          <w:color w:val="000000"/>
          <w:lang w:val="en-GB"/>
        </w:rPr>
        <w:t>cyclopentanone</w:t>
      </w:r>
      <w:proofErr w:type="spellEnd"/>
      <w:r w:rsidR="00903FBF" w:rsidRPr="007F5613">
        <w:rPr>
          <w:color w:val="000000"/>
          <w:lang w:val="en-GB"/>
        </w:rPr>
        <w:t xml:space="preserve"> in the residual solvent after resin swelling increases compared to the concentration before resin swelling, indicating that resin swelling by these solvent mixtures is water limited. In contrast entries 11-12 show that for the 40:60 mixture the concentration of </w:t>
      </w:r>
      <w:proofErr w:type="spellStart"/>
      <w:r w:rsidR="00903FBF" w:rsidRPr="007F5613">
        <w:rPr>
          <w:color w:val="000000"/>
          <w:lang w:val="en-GB"/>
        </w:rPr>
        <w:t>cyclopentanone</w:t>
      </w:r>
      <w:proofErr w:type="spellEnd"/>
      <w:r w:rsidR="00903FBF" w:rsidRPr="007F5613">
        <w:rPr>
          <w:color w:val="000000"/>
          <w:lang w:val="en-GB"/>
        </w:rPr>
        <w:t xml:space="preserve"> in the top layer decreases </w:t>
      </w:r>
      <w:r w:rsidR="004F2CD8" w:rsidRPr="007F5613">
        <w:rPr>
          <w:color w:val="000000"/>
          <w:lang w:val="en-GB"/>
        </w:rPr>
        <w:t xml:space="preserve">very slightly </w:t>
      </w:r>
      <w:r w:rsidR="00903FBF" w:rsidRPr="007F5613">
        <w:rPr>
          <w:color w:val="000000"/>
          <w:lang w:val="en-GB"/>
        </w:rPr>
        <w:t>after re</w:t>
      </w:r>
      <w:r w:rsidR="004F2CD8" w:rsidRPr="007F5613">
        <w:rPr>
          <w:color w:val="000000"/>
          <w:lang w:val="en-GB"/>
        </w:rPr>
        <w:t xml:space="preserve">sin swelling, indicating that resin swelling by the top layer of this solvent system has just become </w:t>
      </w:r>
      <w:proofErr w:type="spellStart"/>
      <w:r w:rsidR="004F2CD8" w:rsidRPr="007F5613">
        <w:rPr>
          <w:color w:val="000000"/>
          <w:lang w:val="en-GB"/>
        </w:rPr>
        <w:t>cyclopentanone</w:t>
      </w:r>
      <w:proofErr w:type="spellEnd"/>
      <w:r w:rsidR="004F2CD8" w:rsidRPr="007F5613">
        <w:rPr>
          <w:color w:val="000000"/>
          <w:lang w:val="en-GB"/>
        </w:rPr>
        <w:t xml:space="preserve"> limited.</w:t>
      </w:r>
      <w:r w:rsidR="00CA037E" w:rsidRPr="007F5613">
        <w:rPr>
          <w:color w:val="000000"/>
          <w:lang w:val="en-GB"/>
        </w:rPr>
        <w:t xml:space="preserve"> For the bottom layers, entries 5-12 show that there is always a decrease in the </w:t>
      </w:r>
      <w:proofErr w:type="spellStart"/>
      <w:r w:rsidR="00CA037E" w:rsidRPr="007F5613">
        <w:rPr>
          <w:color w:val="000000"/>
          <w:lang w:val="en-GB"/>
        </w:rPr>
        <w:t>cyclopentanone</w:t>
      </w:r>
      <w:proofErr w:type="spellEnd"/>
      <w:r w:rsidR="00CA037E" w:rsidRPr="007F5613">
        <w:rPr>
          <w:color w:val="000000"/>
          <w:lang w:val="en-GB"/>
        </w:rPr>
        <w:t xml:space="preserve"> concentration after resin swelling, </w:t>
      </w:r>
      <w:r w:rsidR="00DB0AC3" w:rsidRPr="007F5613">
        <w:rPr>
          <w:color w:val="000000"/>
          <w:lang w:val="en-GB"/>
        </w:rPr>
        <w:t>indicating</w:t>
      </w:r>
      <w:r w:rsidR="00CA037E" w:rsidRPr="007F5613">
        <w:rPr>
          <w:color w:val="000000"/>
          <w:lang w:val="en-GB"/>
        </w:rPr>
        <w:t xml:space="preserve"> that swelling by the bottom layers is always </w:t>
      </w:r>
      <w:proofErr w:type="spellStart"/>
      <w:r w:rsidR="00CA037E" w:rsidRPr="007F5613">
        <w:rPr>
          <w:color w:val="000000"/>
          <w:lang w:val="en-GB"/>
        </w:rPr>
        <w:t>cyclopentanone</w:t>
      </w:r>
      <w:proofErr w:type="spellEnd"/>
      <w:r w:rsidR="00CA037E" w:rsidRPr="007F5613">
        <w:rPr>
          <w:color w:val="000000"/>
          <w:lang w:val="en-GB"/>
        </w:rPr>
        <w:t xml:space="preserve"> limited.</w:t>
      </w:r>
    </w:p>
    <w:p w:rsidR="00425228" w:rsidRPr="007F5613" w:rsidRDefault="007F5613" w:rsidP="00425228">
      <w:pPr>
        <w:spacing w:before="360"/>
        <w:rPr>
          <w:rFonts w:ascii="Arial" w:hAnsi="Arial" w:cs="Arial"/>
          <w:color w:val="FF0000"/>
          <w:sz w:val="14"/>
          <w:szCs w:val="16"/>
        </w:rPr>
      </w:pPr>
      <w:r w:rsidRPr="007F5613">
        <w:rPr>
          <w:rFonts w:ascii="Arial" w:hAnsi="Arial" w:cs="Arial"/>
          <w:color w:val="FF0000"/>
          <w:sz w:val="14"/>
          <w:szCs w:val="16"/>
        </w:rPr>
        <w:pict>
          <v:shape id="_x0000_i1030" type="#_x0000_t75" style="width:243.7pt;height:207.55pt">
            <v:imagedata r:id="rId16" o:title="Fig 4 v3"/>
          </v:shape>
        </w:pict>
      </w:r>
    </w:p>
    <w:p w:rsidR="00425228" w:rsidRPr="007F5613" w:rsidRDefault="00425228" w:rsidP="00425228">
      <w:pPr>
        <w:pStyle w:val="FigureCaption"/>
        <w:rPr>
          <w:color w:val="000000"/>
        </w:rPr>
      </w:pPr>
      <w:r w:rsidRPr="007F5613">
        <w:rPr>
          <w:b/>
          <w:color w:val="000000"/>
        </w:rPr>
        <w:t>Figure 4.</w:t>
      </w:r>
      <w:r w:rsidRPr="007F5613">
        <w:rPr>
          <w:color w:val="000000"/>
        </w:rPr>
        <w:t xml:space="preserve"> HSP space plot showing the swelling of Merrifield resin by 27 solvents.</w:t>
      </w:r>
      <w:r w:rsidR="001427D4" w:rsidRPr="007F5613">
        <w:rPr>
          <w:color w:val="000000"/>
        </w:rPr>
        <w:t xml:space="preserve"> </w:t>
      </w:r>
    </w:p>
    <w:p w:rsidR="008F7FB7" w:rsidRPr="007F5613" w:rsidRDefault="008F7FB7" w:rsidP="00264679">
      <w:pPr>
        <w:pStyle w:val="P1"/>
        <w:ind w:firstLine="425"/>
        <w:rPr>
          <w:lang w:val="en-GB"/>
        </w:rPr>
      </w:pPr>
      <w:r w:rsidRPr="007F5613">
        <w:rPr>
          <w:lang w:val="en-GB"/>
        </w:rPr>
        <w:t>Having confirmed that resin swelling does not always vary linearly with solvent composition, a modelling approach was used to investigate the phenomenon. The Hansen Solubility Parameters in Practice (</w:t>
      </w:r>
      <w:proofErr w:type="spellStart"/>
      <w:r w:rsidRPr="007F5613">
        <w:rPr>
          <w:lang w:val="en-GB"/>
        </w:rPr>
        <w:t>HSPiP</w:t>
      </w:r>
      <w:proofErr w:type="spellEnd"/>
      <w:r w:rsidRPr="007F5613">
        <w:rPr>
          <w:lang w:val="en-GB"/>
        </w:rPr>
        <w:t>) software</w:t>
      </w:r>
      <w:r w:rsidRPr="007F5613">
        <w:rPr>
          <w:vertAlign w:val="superscript"/>
          <w:lang w:val="en-GB"/>
        </w:rPr>
        <w:t>[</w:t>
      </w:r>
      <w:r w:rsidRPr="007F5613">
        <w:rPr>
          <w:vertAlign w:val="superscript"/>
        </w:rPr>
        <w:endnoteReference w:id="18"/>
      </w:r>
      <w:r w:rsidRPr="007F5613">
        <w:rPr>
          <w:vertAlign w:val="superscript"/>
          <w:lang w:val="en-GB"/>
        </w:rPr>
        <w:t>]</w:t>
      </w:r>
      <w:r w:rsidRPr="007F5613">
        <w:rPr>
          <w:lang w:val="en-GB"/>
        </w:rPr>
        <w:t xml:space="preserve"> uses Hansen solubility parameters (HSPs) to classify solvents according to three factors: </w:t>
      </w:r>
      <w:r w:rsidRPr="007F5613">
        <w:rPr>
          <w:rFonts w:ascii="Symbol" w:hAnsi="Symbol"/>
          <w:lang w:val="en-GB"/>
        </w:rPr>
        <w:t></w:t>
      </w:r>
      <w:r w:rsidRPr="007F5613">
        <w:rPr>
          <w:vertAlign w:val="subscript"/>
          <w:lang w:val="en-GB"/>
        </w:rPr>
        <w:t>d</w:t>
      </w:r>
      <w:r w:rsidRPr="007F5613">
        <w:rPr>
          <w:lang w:val="en-GB"/>
        </w:rPr>
        <w:t xml:space="preserve">=dispersion energy; </w:t>
      </w:r>
      <w:r w:rsidR="00264679" w:rsidRPr="007F5613">
        <w:rPr>
          <w:rFonts w:ascii="Symbol" w:hAnsi="Symbol"/>
          <w:lang w:val="en-GB"/>
        </w:rPr>
        <w:t></w:t>
      </w:r>
      <w:r w:rsidRPr="007F5613">
        <w:rPr>
          <w:vertAlign w:val="subscript"/>
          <w:lang w:val="en-GB"/>
        </w:rPr>
        <w:t>h</w:t>
      </w:r>
      <w:r w:rsidRPr="007F5613">
        <w:rPr>
          <w:lang w:val="en-GB"/>
        </w:rPr>
        <w:t xml:space="preserve">=hydrogen bonding energy; and </w:t>
      </w:r>
      <w:r w:rsidR="00264679" w:rsidRPr="007F5613">
        <w:rPr>
          <w:rFonts w:ascii="Symbol" w:hAnsi="Symbol"/>
          <w:lang w:val="en-GB"/>
        </w:rPr>
        <w:t></w:t>
      </w:r>
      <w:r w:rsidRPr="007F5613">
        <w:rPr>
          <w:vertAlign w:val="subscript"/>
          <w:lang w:val="en-GB"/>
        </w:rPr>
        <w:t>p</w:t>
      </w:r>
      <w:r w:rsidRPr="007F5613">
        <w:rPr>
          <w:lang w:val="en-GB"/>
        </w:rPr>
        <w:t>=dipolar energy. These three parameters can then be used as the axes of three-dimensional scatter plots to show the position of solvents in HSP space and the points can be colour coded according to how well they swell a resin. This approach was applied to 27 solvents used in our previous work</w:t>
      </w:r>
      <w:r w:rsidRPr="007F5613">
        <w:rPr>
          <w:vertAlign w:val="superscript"/>
          <w:lang w:val="en-GB"/>
        </w:rPr>
        <w:t>[</w:t>
      </w:r>
      <w:r w:rsidRPr="007F5613">
        <w:rPr>
          <w:vertAlign w:val="superscript"/>
          <w:lang w:val="en-GB"/>
        </w:rPr>
        <w:fldChar w:fldCharType="begin"/>
      </w:r>
      <w:r w:rsidRPr="007F5613">
        <w:rPr>
          <w:vertAlign w:val="superscript"/>
          <w:lang w:val="en-GB"/>
        </w:rPr>
        <w:instrText xml:space="preserve"> NOTEREF _Ref528677046 \h </w:instrText>
      </w:r>
      <w:r w:rsidR="00264679" w:rsidRPr="007F5613">
        <w:rPr>
          <w:vertAlign w:val="superscript"/>
          <w:lang w:val="en-GB"/>
        </w:rPr>
        <w:instrText xml:space="preserve"> \* MERGEFORMAT </w:instrText>
      </w:r>
      <w:r w:rsidRPr="007F5613">
        <w:rPr>
          <w:vertAlign w:val="superscript"/>
          <w:lang w:val="en-GB"/>
        </w:rPr>
      </w:r>
      <w:r w:rsidRPr="007F5613">
        <w:rPr>
          <w:vertAlign w:val="superscript"/>
          <w:lang w:val="en-GB"/>
        </w:rPr>
        <w:fldChar w:fldCharType="separate"/>
      </w:r>
      <w:r w:rsidR="00F73B1E">
        <w:rPr>
          <w:vertAlign w:val="superscript"/>
          <w:lang w:val="en-GB"/>
        </w:rPr>
        <w:t>12</w:t>
      </w:r>
      <w:r w:rsidRPr="007F5613">
        <w:rPr>
          <w:vertAlign w:val="superscript"/>
          <w:lang w:val="en-GB"/>
        </w:rPr>
        <w:fldChar w:fldCharType="end"/>
      </w:r>
      <w:r w:rsidRPr="007F5613">
        <w:rPr>
          <w:vertAlign w:val="superscript"/>
          <w:lang w:val="en-GB"/>
        </w:rPr>
        <w:t>]</w:t>
      </w:r>
      <w:r w:rsidRPr="007F5613">
        <w:rPr>
          <w:lang w:val="en-GB"/>
        </w:rPr>
        <w:t xml:space="preserve"> (see Figure S2 for structures and Table S1 for their HSPs) and the results for Merrifield and HypoGel</w:t>
      </w:r>
      <w:r w:rsidRPr="007F5613">
        <w:rPr>
          <w:vertAlign w:val="superscript"/>
          <w:lang w:val="en-GB"/>
        </w:rPr>
        <w:t>TM</w:t>
      </w:r>
      <w:r w:rsidRPr="007F5613">
        <w:rPr>
          <w:lang w:val="en-GB"/>
        </w:rPr>
        <w:t>200 resins are shown in Figures 4 and 5 respectively.</w:t>
      </w:r>
    </w:p>
    <w:p w:rsidR="00425228" w:rsidRPr="007F5613" w:rsidRDefault="007F5613" w:rsidP="00425228">
      <w:pPr>
        <w:spacing w:before="360"/>
        <w:rPr>
          <w:rFonts w:ascii="Arial" w:hAnsi="Arial" w:cs="Arial"/>
          <w:color w:val="FF0000"/>
          <w:sz w:val="14"/>
          <w:szCs w:val="16"/>
        </w:rPr>
      </w:pPr>
      <w:r w:rsidRPr="007F5613">
        <w:rPr>
          <w:rFonts w:ascii="Arial" w:hAnsi="Arial" w:cs="Arial"/>
          <w:color w:val="FF0000"/>
          <w:sz w:val="14"/>
          <w:szCs w:val="16"/>
        </w:rPr>
        <w:pict>
          <v:shape id="_x0000_i1031" type="#_x0000_t75" style="width:243.7pt;height:210.6pt">
            <v:imagedata r:id="rId17" o:title="Fig 5 v4"/>
          </v:shape>
        </w:pict>
      </w:r>
    </w:p>
    <w:p w:rsidR="00425228" w:rsidRPr="007F5613" w:rsidRDefault="00425228" w:rsidP="00425228">
      <w:pPr>
        <w:pStyle w:val="FigureCaption"/>
        <w:rPr>
          <w:color w:val="000000"/>
        </w:rPr>
      </w:pPr>
      <w:r w:rsidRPr="007F5613">
        <w:rPr>
          <w:b/>
          <w:color w:val="000000"/>
        </w:rPr>
        <w:t>Figure 5.</w:t>
      </w:r>
      <w:r w:rsidRPr="007F5613">
        <w:rPr>
          <w:color w:val="000000"/>
        </w:rPr>
        <w:t xml:space="preserve"> HSP space plot showing the swelling of HypoGel</w:t>
      </w:r>
      <w:r w:rsidRPr="007F5613">
        <w:rPr>
          <w:color w:val="000000"/>
          <w:vertAlign w:val="superscript"/>
        </w:rPr>
        <w:t>TM</w:t>
      </w:r>
      <w:r w:rsidRPr="007F5613">
        <w:rPr>
          <w:color w:val="000000"/>
        </w:rPr>
        <w:t>200 resin by 27 solvents.</w:t>
      </w:r>
    </w:p>
    <w:p w:rsidR="00CE0FA2" w:rsidRPr="007F5613" w:rsidRDefault="007D29B1" w:rsidP="001018DF">
      <w:pPr>
        <w:pStyle w:val="P1"/>
        <w:ind w:firstLine="425"/>
        <w:rPr>
          <w:lang w:val="en-GB"/>
        </w:rPr>
      </w:pPr>
      <w:r w:rsidRPr="007F5613">
        <w:rPr>
          <w:lang w:val="en-GB"/>
        </w:rPr>
        <w:t xml:space="preserve">Figures 4 and 5 indicate that for both resins the high swelling solvents </w:t>
      </w:r>
      <w:r w:rsidR="004350AA" w:rsidRPr="007F5613">
        <w:rPr>
          <w:lang w:val="en-GB"/>
        </w:rPr>
        <w:t xml:space="preserve">(represented by blue circles) </w:t>
      </w:r>
      <w:r w:rsidRPr="007F5613">
        <w:rPr>
          <w:lang w:val="en-GB"/>
        </w:rPr>
        <w:t>cluster into a region of HSP space. This suggested an explanation for the non-linear variation of swelling with mixed solvent composition that is apparent in Figures 2 and 3.</w:t>
      </w:r>
      <w:r w:rsidR="00CE0FA2" w:rsidRPr="007F5613">
        <w:rPr>
          <w:lang w:val="en-GB"/>
        </w:rPr>
        <w:t xml:space="preserve"> All binary mixtures of two solvents will lie along the line that connects the two solvents in HSP space. If the two solvents are on opposite sides of the high </w:t>
      </w:r>
      <w:r w:rsidR="00B60D30" w:rsidRPr="007F5613">
        <w:rPr>
          <w:lang w:val="en-GB"/>
        </w:rPr>
        <w:t xml:space="preserve">resin </w:t>
      </w:r>
      <w:r w:rsidR="00CE0FA2" w:rsidRPr="007F5613">
        <w:rPr>
          <w:lang w:val="en-GB"/>
        </w:rPr>
        <w:t xml:space="preserve">swelling region and the line connecting them passes through the high </w:t>
      </w:r>
      <w:r w:rsidR="00B60D30" w:rsidRPr="007F5613">
        <w:rPr>
          <w:lang w:val="en-GB"/>
        </w:rPr>
        <w:t xml:space="preserve">resin </w:t>
      </w:r>
      <w:r w:rsidR="00CE0FA2" w:rsidRPr="007F5613">
        <w:rPr>
          <w:lang w:val="en-GB"/>
        </w:rPr>
        <w:t xml:space="preserve">swelling region, then the resin swelling of mixed solvents will be expected to go through a maximum. </w:t>
      </w:r>
      <w:r w:rsidR="00982831" w:rsidRPr="007F5613">
        <w:rPr>
          <w:lang w:val="en-GB"/>
        </w:rPr>
        <w:t xml:space="preserve">To visualize this, Figure 6 </w:t>
      </w:r>
      <w:r w:rsidR="00CE0FA2" w:rsidRPr="007F5613">
        <w:rPr>
          <w:lang w:val="en-GB"/>
        </w:rPr>
        <w:t xml:space="preserve">shows a 2D slice </w:t>
      </w:r>
      <w:r w:rsidR="00982831" w:rsidRPr="007F5613">
        <w:rPr>
          <w:lang w:val="en-GB"/>
        </w:rPr>
        <w:t xml:space="preserve">(at a fixed value of </w:t>
      </w:r>
      <w:r w:rsidR="00982831" w:rsidRPr="007F5613">
        <w:rPr>
          <w:rFonts w:ascii="Symbol" w:hAnsi="Symbol"/>
          <w:lang w:val="en-GB"/>
        </w:rPr>
        <w:t></w:t>
      </w:r>
      <w:r w:rsidR="00B31F5B" w:rsidRPr="007F5613">
        <w:rPr>
          <w:vertAlign w:val="subscript"/>
          <w:lang w:val="en-GB"/>
        </w:rPr>
        <w:t>h</w:t>
      </w:r>
      <w:r w:rsidR="00982831" w:rsidRPr="007F5613">
        <w:rPr>
          <w:lang w:val="en-GB"/>
        </w:rPr>
        <w:t xml:space="preserve">) </w:t>
      </w:r>
      <w:r w:rsidR="00CE0FA2" w:rsidRPr="007F5613">
        <w:rPr>
          <w:lang w:val="en-GB"/>
        </w:rPr>
        <w:t xml:space="preserve">of 3D-HSP space with a hypothetical high </w:t>
      </w:r>
      <w:r w:rsidR="00B60D30" w:rsidRPr="007F5613">
        <w:rPr>
          <w:lang w:val="en-GB"/>
        </w:rPr>
        <w:t xml:space="preserve">resin </w:t>
      </w:r>
      <w:r w:rsidR="00CE0FA2" w:rsidRPr="007F5613">
        <w:rPr>
          <w:lang w:val="en-GB"/>
        </w:rPr>
        <w:t xml:space="preserve">swelling region marked out in </w:t>
      </w:r>
      <w:r w:rsidR="00F27071" w:rsidRPr="007F5613">
        <w:rPr>
          <w:lang w:val="en-GB"/>
        </w:rPr>
        <w:t>blue</w:t>
      </w:r>
      <w:r w:rsidR="00CE0FA2" w:rsidRPr="007F5613">
        <w:rPr>
          <w:lang w:val="en-GB"/>
        </w:rPr>
        <w:t>.</w:t>
      </w:r>
      <w:r w:rsidR="00982831" w:rsidRPr="007F5613">
        <w:rPr>
          <w:lang w:val="en-GB"/>
        </w:rPr>
        <w:t xml:space="preserve"> Line A</w:t>
      </w:r>
      <w:r w:rsidR="00A1019E" w:rsidRPr="007F5613">
        <w:rPr>
          <w:lang w:val="en-GB"/>
        </w:rPr>
        <w:t xml:space="preserve"> traces out the HSP</w:t>
      </w:r>
      <w:r w:rsidR="00360812" w:rsidRPr="007F5613">
        <w:rPr>
          <w:lang w:val="en-GB"/>
        </w:rPr>
        <w:t xml:space="preserve">s of mixtures of two solvents (a1 and a2) and as this passes through the high </w:t>
      </w:r>
      <w:r w:rsidR="00A1019E" w:rsidRPr="007F5613">
        <w:rPr>
          <w:lang w:val="en-GB"/>
        </w:rPr>
        <w:t>resin swelling region,</w:t>
      </w:r>
      <w:r w:rsidR="00360812" w:rsidRPr="007F5613">
        <w:rPr>
          <w:lang w:val="en-GB"/>
        </w:rPr>
        <w:t xml:space="preserve"> a plot of solvent composition versus resin swelling would be expected to show a maximum value. This corresponds to the situation in Figure 3. In contrast, line B connects two solvents (b1 and b2) which are both within the high </w:t>
      </w:r>
      <w:r w:rsidR="00360812" w:rsidRPr="007F5613">
        <w:rPr>
          <w:lang w:val="en-GB"/>
        </w:rPr>
        <w:lastRenderedPageBreak/>
        <w:t xml:space="preserve">resin swelling region, but because of the </w:t>
      </w:r>
      <w:r w:rsidR="00F27071" w:rsidRPr="007F5613">
        <w:rPr>
          <w:lang w:val="en-GB"/>
        </w:rPr>
        <w:t>concave curvature</w:t>
      </w:r>
      <w:r w:rsidR="00360812" w:rsidRPr="007F5613">
        <w:rPr>
          <w:lang w:val="en-GB"/>
        </w:rPr>
        <w:t xml:space="preserve"> of this region, there are mixtures</w:t>
      </w:r>
      <w:r w:rsidR="00A1019E" w:rsidRPr="007F5613">
        <w:rPr>
          <w:lang w:val="en-GB"/>
        </w:rPr>
        <w:t xml:space="preserve"> of b1 and b2 whose HSP</w:t>
      </w:r>
      <w:r w:rsidR="00360812" w:rsidRPr="007F5613">
        <w:rPr>
          <w:lang w:val="en-GB"/>
        </w:rPr>
        <w:t xml:space="preserve">s lie outside the high resin swelling region, so a plot of solvent composition versus resin swelling would be expected to show a minimum value. </w:t>
      </w:r>
      <w:r w:rsidR="002F111C" w:rsidRPr="007F5613">
        <w:rPr>
          <w:lang w:val="en-GB"/>
        </w:rPr>
        <w:t xml:space="preserve">Line C illustrates the situation where one solvent (c1) is within the high </w:t>
      </w:r>
      <w:r w:rsidR="008C25DB" w:rsidRPr="007F5613">
        <w:rPr>
          <w:lang w:val="en-GB"/>
        </w:rPr>
        <w:t>resin swelling</w:t>
      </w:r>
      <w:r w:rsidR="002F111C" w:rsidRPr="007F5613">
        <w:rPr>
          <w:lang w:val="en-GB"/>
        </w:rPr>
        <w:t xml:space="preserve"> region, whilst the other (c2) lies outside this region. In this case, a plot of solvent composition versus resin swelling would be expected to increase or decrease, but not go through a maximum. Finally, lines D and E illustrate cases where the two solvents are either both within the high resin swelling region (d1 and d2) or both outside this region (e1 and e2) and the line connecting them stays entirely either within or outside the high</w:t>
      </w:r>
      <w:r w:rsidR="001018DF" w:rsidRPr="007F5613">
        <w:rPr>
          <w:lang w:val="en-GB"/>
        </w:rPr>
        <w:t xml:space="preserve"> resin swelling region. In the</w:t>
      </w:r>
      <w:r w:rsidR="002F111C" w:rsidRPr="007F5613">
        <w:rPr>
          <w:lang w:val="en-GB"/>
        </w:rPr>
        <w:t xml:space="preserve"> </w:t>
      </w:r>
      <w:r w:rsidR="001018DF" w:rsidRPr="007F5613">
        <w:rPr>
          <w:lang w:val="en-GB"/>
        </w:rPr>
        <w:t>case of solvents e1 and e2</w:t>
      </w:r>
      <w:r w:rsidR="008C25DB" w:rsidRPr="007F5613">
        <w:rPr>
          <w:lang w:val="en-GB"/>
        </w:rPr>
        <w:t>,</w:t>
      </w:r>
      <w:r w:rsidR="002F111C" w:rsidRPr="007F5613">
        <w:rPr>
          <w:lang w:val="en-GB"/>
        </w:rPr>
        <w:t xml:space="preserve"> a plot of solvent composition versus resin </w:t>
      </w:r>
      <w:r w:rsidR="001018DF" w:rsidRPr="007F5613">
        <w:rPr>
          <w:lang w:val="en-GB"/>
        </w:rPr>
        <w:t>would be expected to</w:t>
      </w:r>
      <w:r w:rsidR="002F111C" w:rsidRPr="007F5613">
        <w:rPr>
          <w:lang w:val="en-GB"/>
        </w:rPr>
        <w:t xml:space="preserve"> show little or no variation.</w:t>
      </w:r>
      <w:r w:rsidR="001018DF" w:rsidRPr="007F5613">
        <w:rPr>
          <w:lang w:val="en-GB"/>
        </w:rPr>
        <w:t xml:space="preserve"> The case of solvents d1 and d2 could be highly variable depending on how the actual resin swelling varies within the high resin swelling area, but all mixtures would be expected to show high resin swelling and this corresponds to the situation shown in Figure 2.</w:t>
      </w:r>
    </w:p>
    <w:p w:rsidR="00CE0FA2" w:rsidRPr="007F5613" w:rsidRDefault="00F27071" w:rsidP="00CA037E">
      <w:pPr>
        <w:pStyle w:val="P1"/>
        <w:spacing w:before="360" w:line="240" w:lineRule="atLeast"/>
        <w:jc w:val="center"/>
        <w:rPr>
          <w:color w:val="FF0000"/>
          <w:lang w:val="en-GB"/>
        </w:rPr>
      </w:pPr>
      <w:r w:rsidRPr="007F5613">
        <w:object w:dxaOrig="4366" w:dyaOrig="4496">
          <v:shape id="_x0000_i1032" type="#_x0000_t75" style="width:2in;height:149pt;mso-position-horizontal:absolute" o:ole="">
            <v:imagedata r:id="rId18" o:title=""/>
          </v:shape>
          <o:OLEObject Type="Embed" ProgID="ChemDraw.Document.6.0" ShapeID="_x0000_i1032" DrawAspect="Content" ObjectID="_1611644186" r:id="rId19"/>
        </w:object>
      </w:r>
    </w:p>
    <w:p w:rsidR="00CE0FA2" w:rsidRPr="007F5613" w:rsidRDefault="00CE0FA2" w:rsidP="00DB0AC3">
      <w:pPr>
        <w:pStyle w:val="FigureCaption"/>
        <w:spacing w:before="120" w:after="360"/>
      </w:pPr>
      <w:r w:rsidRPr="007F5613">
        <w:rPr>
          <w:b/>
        </w:rPr>
        <w:t>Figure 6.</w:t>
      </w:r>
      <w:r w:rsidRPr="007F5613">
        <w:t xml:space="preserve"> 2D slice </w:t>
      </w:r>
      <w:r w:rsidR="00982831" w:rsidRPr="007F5613">
        <w:t xml:space="preserve">(at a fixed </w:t>
      </w:r>
      <w:r w:rsidR="00982831" w:rsidRPr="007F5613">
        <w:rPr>
          <w:rFonts w:ascii="Symbol" w:hAnsi="Symbol"/>
        </w:rPr>
        <w:t></w:t>
      </w:r>
      <w:r w:rsidR="00891693" w:rsidRPr="007F5613">
        <w:rPr>
          <w:vertAlign w:val="subscript"/>
        </w:rPr>
        <w:t>h</w:t>
      </w:r>
      <w:r w:rsidR="00982831" w:rsidRPr="007F5613">
        <w:t xml:space="preserve">) </w:t>
      </w:r>
      <w:r w:rsidRPr="007F5613">
        <w:t xml:space="preserve">through HSP space showing a hypothetical high swelling region </w:t>
      </w:r>
      <w:r w:rsidR="00982831" w:rsidRPr="007F5613">
        <w:t>(</w:t>
      </w:r>
      <w:r w:rsidR="00ED769C" w:rsidRPr="007F5613">
        <w:t>blue</w:t>
      </w:r>
      <w:r w:rsidR="00982831" w:rsidRPr="007F5613">
        <w:t xml:space="preserve">) </w:t>
      </w:r>
      <w:r w:rsidRPr="007F5613">
        <w:t>and various mixtures of two solvents</w:t>
      </w:r>
      <w:r w:rsidR="00982831" w:rsidRPr="007F5613">
        <w:t xml:space="preserve"> (black lines).</w:t>
      </w:r>
    </w:p>
    <w:p w:rsidR="00264679" w:rsidRPr="007F5613" w:rsidRDefault="002F111C" w:rsidP="00DB0AC3">
      <w:pPr>
        <w:pStyle w:val="P1"/>
        <w:ind w:firstLine="425"/>
        <w:rPr>
          <w:lang w:val="en-GB"/>
        </w:rPr>
      </w:pPr>
      <w:r w:rsidRPr="007F5613">
        <w:rPr>
          <w:lang w:val="en-GB"/>
        </w:rPr>
        <w:t>Figures 4 and 5 both suffer from lack of data as only 7-9 pure solvents cause high resin swelling</w:t>
      </w:r>
      <w:r w:rsidR="00CE0FA2" w:rsidRPr="007F5613">
        <w:rPr>
          <w:lang w:val="en-GB"/>
        </w:rPr>
        <w:t>.</w:t>
      </w:r>
      <w:r w:rsidRPr="007F5613">
        <w:rPr>
          <w:lang w:val="en-GB"/>
        </w:rPr>
        <w:t xml:space="preserve"> As a result</w:t>
      </w:r>
      <w:r w:rsidR="00DB0AC3" w:rsidRPr="007F5613">
        <w:rPr>
          <w:lang w:val="en-GB"/>
        </w:rPr>
        <w:t>,</w:t>
      </w:r>
      <w:r w:rsidRPr="007F5613">
        <w:rPr>
          <w:lang w:val="en-GB"/>
        </w:rPr>
        <w:t xml:space="preserve"> the 3D boundaries of the high resin swelling regions are not well defined. However, use of mixtures of solvents would allow far more data points to be added to the HSP space plots for Merrifield and HypoGel</w:t>
      </w:r>
      <w:r w:rsidRPr="007F5613">
        <w:rPr>
          <w:vertAlign w:val="superscript"/>
          <w:lang w:val="en-GB"/>
        </w:rPr>
        <w:t>TM</w:t>
      </w:r>
      <w:r w:rsidRPr="007F5613">
        <w:rPr>
          <w:lang w:val="en-GB"/>
        </w:rPr>
        <w:t xml:space="preserve">200 resins, thus allowing the </w:t>
      </w:r>
      <w:r w:rsidR="00B60D30" w:rsidRPr="007F5613">
        <w:rPr>
          <w:lang w:val="en-GB"/>
        </w:rPr>
        <w:t xml:space="preserve">high and moderate </w:t>
      </w:r>
      <w:r w:rsidRPr="007F5613">
        <w:rPr>
          <w:lang w:val="en-GB"/>
        </w:rPr>
        <w:t xml:space="preserve">resin swelling regions to be more fully defined and allowing the hypothesis illustrated in Figure 6 to be tested. </w:t>
      </w:r>
      <w:r w:rsidRPr="007F5613">
        <w:rPr>
          <w:color w:val="000000"/>
          <w:lang w:val="en-GB"/>
        </w:rPr>
        <w:t xml:space="preserve">Therefore, </w:t>
      </w:r>
      <w:r w:rsidR="004B5ECC" w:rsidRPr="007F5613">
        <w:rPr>
          <w:lang w:val="en-GB"/>
        </w:rPr>
        <w:t>eighteen</w:t>
      </w:r>
      <w:r w:rsidRPr="007F5613">
        <w:rPr>
          <w:color w:val="000000"/>
          <w:lang w:val="en-GB"/>
        </w:rPr>
        <w:t xml:space="preserve"> pairs</w:t>
      </w:r>
      <w:r w:rsidRPr="007F5613">
        <w:rPr>
          <w:lang w:val="en-GB"/>
        </w:rPr>
        <w:t xml:space="preserve"> of solvents </w:t>
      </w:r>
      <w:r w:rsidR="00E17E77" w:rsidRPr="007F5613">
        <w:rPr>
          <w:lang w:val="en-GB"/>
        </w:rPr>
        <w:t>were selected (Table 2) and the swelling of Merrifield resin in mixtures of each of these solvents investigated. The solvent pairs were c</w:t>
      </w:r>
      <w:r w:rsidR="00A1019E" w:rsidRPr="007F5613">
        <w:rPr>
          <w:lang w:val="en-GB"/>
        </w:rPr>
        <w:t>hosen based on the HSP</w:t>
      </w:r>
      <w:r w:rsidR="00E17E77" w:rsidRPr="007F5613">
        <w:rPr>
          <w:lang w:val="en-GB"/>
        </w:rPr>
        <w:t>s of the parent solvents and the putative resin swelling region shown in Figure 4 so that most were expected to correspond to type A in Figure 6, but with a few examples of types C and D as well.</w:t>
      </w:r>
      <w:r w:rsidR="00B60D30" w:rsidRPr="007F5613">
        <w:rPr>
          <w:lang w:val="en-GB"/>
        </w:rPr>
        <w:t xml:space="preserve"> Four solvents (</w:t>
      </w:r>
      <w:proofErr w:type="spellStart"/>
      <w:r w:rsidR="00B60D30" w:rsidRPr="007F5613">
        <w:rPr>
          <w:lang w:val="en-GB"/>
        </w:rPr>
        <w:t>cyclopentanone</w:t>
      </w:r>
      <w:proofErr w:type="spellEnd"/>
      <w:r w:rsidR="00B60D30" w:rsidRPr="007F5613">
        <w:rPr>
          <w:lang w:val="en-GB"/>
        </w:rPr>
        <w:t>, propylene carbonate</w:t>
      </w:r>
      <w:r w:rsidR="001018DF" w:rsidRPr="007F5613">
        <w:rPr>
          <w:lang w:val="en-GB"/>
        </w:rPr>
        <w:t xml:space="preserve"> </w:t>
      </w:r>
      <w:r w:rsidR="001018DF" w:rsidRPr="007F5613">
        <w:rPr>
          <w:b/>
          <w:lang w:val="en-GB"/>
        </w:rPr>
        <w:t>2</w:t>
      </w:r>
      <w:r w:rsidR="00B60D30" w:rsidRPr="007F5613">
        <w:rPr>
          <w:lang w:val="en-GB"/>
        </w:rPr>
        <w:t xml:space="preserve">, 1,2-dichlorobenzene and acetonitrile) which lie in different regions of HSP space were used as nexus points with other solvents then chosen </w:t>
      </w:r>
      <w:r w:rsidR="00F6555E" w:rsidRPr="007F5613">
        <w:rPr>
          <w:lang w:val="en-GB"/>
        </w:rPr>
        <w:t>so that their mixtures with the nexus point solvents would</w:t>
      </w:r>
      <w:r w:rsidR="00B60D30" w:rsidRPr="007F5613">
        <w:rPr>
          <w:lang w:val="en-GB"/>
        </w:rPr>
        <w:t xml:space="preserve"> provide the best mapping of the edges of the </w:t>
      </w:r>
      <w:r w:rsidR="00044773" w:rsidRPr="007F5613">
        <w:rPr>
          <w:lang w:val="en-GB"/>
        </w:rPr>
        <w:t>high and moderate resin swelling regions.</w:t>
      </w:r>
    </w:p>
    <w:tbl>
      <w:tblPr>
        <w:tblW w:w="0" w:type="auto"/>
        <w:tblLook w:val="01E0" w:firstRow="1" w:lastRow="1" w:firstColumn="1" w:lastColumn="1" w:noHBand="0" w:noVBand="0"/>
      </w:tblPr>
      <w:tblGrid>
        <w:gridCol w:w="1793"/>
        <w:gridCol w:w="1798"/>
        <w:gridCol w:w="1501"/>
      </w:tblGrid>
      <w:tr w:rsidR="00E17E77" w:rsidRPr="007F5613" w:rsidTr="00102487">
        <w:tc>
          <w:tcPr>
            <w:tcW w:w="0" w:type="auto"/>
            <w:gridSpan w:val="3"/>
            <w:tcBorders>
              <w:bottom w:val="single" w:sz="8" w:space="0" w:color="auto"/>
            </w:tcBorders>
            <w:shd w:val="clear" w:color="auto" w:fill="auto"/>
          </w:tcPr>
          <w:p w:rsidR="00E17E77" w:rsidRPr="007F5613" w:rsidRDefault="00E17E77" w:rsidP="00E17E77">
            <w:pPr>
              <w:pStyle w:val="TableCaption"/>
            </w:pPr>
            <w:r w:rsidRPr="007F5613">
              <w:rPr>
                <w:b/>
              </w:rPr>
              <w:t>Table 2.</w:t>
            </w:r>
            <w:r w:rsidRPr="007F5613">
              <w:t xml:space="preserve"> Solvent pairs used to investigate the swelling of Merrifield resin.</w:t>
            </w:r>
          </w:p>
        </w:tc>
      </w:tr>
      <w:tr w:rsidR="005D22DF" w:rsidRPr="007F5613" w:rsidTr="00102487">
        <w:tc>
          <w:tcPr>
            <w:tcW w:w="0" w:type="auto"/>
            <w:tcBorders>
              <w:top w:val="single" w:sz="8" w:space="0" w:color="auto"/>
              <w:bottom w:val="single" w:sz="8" w:space="0" w:color="auto"/>
            </w:tcBorders>
          </w:tcPr>
          <w:p w:rsidR="00E17E77" w:rsidRPr="007F5613" w:rsidRDefault="00E17E77" w:rsidP="002D4FB7">
            <w:pPr>
              <w:pStyle w:val="TableHead"/>
            </w:pPr>
            <w:r w:rsidRPr="007F5613">
              <w:t>Solvent 1</w:t>
            </w:r>
          </w:p>
        </w:tc>
        <w:tc>
          <w:tcPr>
            <w:tcW w:w="0" w:type="auto"/>
            <w:tcBorders>
              <w:top w:val="single" w:sz="8" w:space="0" w:color="auto"/>
              <w:bottom w:val="single" w:sz="8" w:space="0" w:color="auto"/>
            </w:tcBorders>
          </w:tcPr>
          <w:p w:rsidR="00E17E77" w:rsidRPr="007F5613" w:rsidRDefault="00E17E77" w:rsidP="002D4FB7">
            <w:pPr>
              <w:pStyle w:val="TableHead"/>
            </w:pPr>
            <w:r w:rsidRPr="007F5613">
              <w:t>Solvent 2</w:t>
            </w:r>
          </w:p>
        </w:tc>
        <w:tc>
          <w:tcPr>
            <w:tcW w:w="0" w:type="auto"/>
            <w:tcBorders>
              <w:top w:val="single" w:sz="8" w:space="0" w:color="auto"/>
              <w:bottom w:val="single" w:sz="8" w:space="0" w:color="auto"/>
            </w:tcBorders>
          </w:tcPr>
          <w:p w:rsidR="00E17E77" w:rsidRPr="007F5613" w:rsidRDefault="00E17E77" w:rsidP="002D4FB7">
            <w:pPr>
              <w:pStyle w:val="TableHead"/>
            </w:pPr>
            <w:r w:rsidRPr="007F5613">
              <w:t>Resin swelling trend</w:t>
            </w:r>
          </w:p>
        </w:tc>
      </w:tr>
      <w:tr w:rsidR="005D22DF" w:rsidRPr="007F5613" w:rsidTr="00102487">
        <w:tc>
          <w:tcPr>
            <w:tcW w:w="0" w:type="auto"/>
            <w:tcBorders>
              <w:top w:val="single" w:sz="8" w:space="0" w:color="auto"/>
            </w:tcBorders>
          </w:tcPr>
          <w:p w:rsidR="00E17E77" w:rsidRPr="007F5613" w:rsidRDefault="00102487" w:rsidP="002D4FB7">
            <w:pPr>
              <w:pStyle w:val="TableBody"/>
            </w:pPr>
            <w:r w:rsidRPr="007F5613">
              <w:t>2-MeTHF</w:t>
            </w:r>
          </w:p>
        </w:tc>
        <w:tc>
          <w:tcPr>
            <w:tcW w:w="0" w:type="auto"/>
            <w:tcBorders>
              <w:top w:val="single" w:sz="8" w:space="0" w:color="auto"/>
            </w:tcBorders>
          </w:tcPr>
          <w:p w:rsidR="00E17E77" w:rsidRPr="007F5613" w:rsidRDefault="00102487" w:rsidP="002D4FB7">
            <w:pPr>
              <w:pStyle w:val="TableBody"/>
              <w:rPr>
                <w:vertAlign w:val="superscript"/>
              </w:rPr>
            </w:pPr>
            <w:r w:rsidRPr="007F5613">
              <w:t>CPME</w:t>
            </w:r>
            <w:r w:rsidRPr="007F5613">
              <w:rPr>
                <w:vertAlign w:val="superscript"/>
              </w:rPr>
              <w:t>[a]</w:t>
            </w:r>
          </w:p>
        </w:tc>
        <w:tc>
          <w:tcPr>
            <w:tcW w:w="0" w:type="auto"/>
            <w:tcBorders>
              <w:top w:val="single" w:sz="8" w:space="0" w:color="auto"/>
            </w:tcBorders>
          </w:tcPr>
          <w:p w:rsidR="00E17E77" w:rsidRPr="007F5613" w:rsidRDefault="00102487" w:rsidP="002D4FB7">
            <w:pPr>
              <w:pStyle w:val="TableBody"/>
            </w:pPr>
            <w:r w:rsidRPr="007F5613">
              <w:t>Minimum (Figure 2)</w:t>
            </w:r>
          </w:p>
        </w:tc>
      </w:tr>
      <w:tr w:rsidR="008C25DB" w:rsidRPr="007F5613" w:rsidTr="00102487">
        <w:tc>
          <w:tcPr>
            <w:tcW w:w="0" w:type="auto"/>
          </w:tcPr>
          <w:p w:rsidR="00E17E77" w:rsidRPr="007F5613" w:rsidRDefault="00102487" w:rsidP="002D4FB7">
            <w:pPr>
              <w:pStyle w:val="TableBody"/>
            </w:pPr>
            <w:proofErr w:type="spellStart"/>
            <w:r w:rsidRPr="007F5613">
              <w:t>Cyclopentanone</w:t>
            </w:r>
            <w:proofErr w:type="spellEnd"/>
          </w:p>
        </w:tc>
        <w:tc>
          <w:tcPr>
            <w:tcW w:w="0" w:type="auto"/>
          </w:tcPr>
          <w:p w:rsidR="00E17E77" w:rsidRPr="007F5613" w:rsidRDefault="00102487" w:rsidP="002D4FB7">
            <w:pPr>
              <w:pStyle w:val="TableBody"/>
            </w:pPr>
            <w:r w:rsidRPr="007F5613">
              <w:t>Methanol</w:t>
            </w:r>
          </w:p>
        </w:tc>
        <w:tc>
          <w:tcPr>
            <w:tcW w:w="0" w:type="auto"/>
          </w:tcPr>
          <w:p w:rsidR="00E17E77" w:rsidRPr="007F5613" w:rsidRDefault="00102487" w:rsidP="002D4FB7">
            <w:pPr>
              <w:pStyle w:val="TableBody"/>
            </w:pPr>
            <w:r w:rsidRPr="007F5613">
              <w:t>Maximum</w:t>
            </w:r>
          </w:p>
        </w:tc>
      </w:tr>
      <w:tr w:rsidR="008C25DB" w:rsidRPr="007F5613" w:rsidTr="00102487">
        <w:tc>
          <w:tcPr>
            <w:tcW w:w="0" w:type="auto"/>
          </w:tcPr>
          <w:p w:rsidR="00E17E77" w:rsidRPr="007F5613" w:rsidRDefault="00102487" w:rsidP="002D4FB7">
            <w:pPr>
              <w:pStyle w:val="TableBody"/>
            </w:pPr>
            <w:proofErr w:type="spellStart"/>
            <w:r w:rsidRPr="007F5613">
              <w:t>Cyclopentanone</w:t>
            </w:r>
            <w:proofErr w:type="spellEnd"/>
          </w:p>
        </w:tc>
        <w:tc>
          <w:tcPr>
            <w:tcW w:w="0" w:type="auto"/>
          </w:tcPr>
          <w:p w:rsidR="00E17E77" w:rsidRPr="007F5613" w:rsidRDefault="00102487" w:rsidP="002D4FB7">
            <w:pPr>
              <w:pStyle w:val="TableBody"/>
            </w:pPr>
            <w:r w:rsidRPr="007F5613">
              <w:t>Ethanol</w:t>
            </w:r>
          </w:p>
        </w:tc>
        <w:tc>
          <w:tcPr>
            <w:tcW w:w="0" w:type="auto"/>
          </w:tcPr>
          <w:p w:rsidR="00E17E77" w:rsidRPr="007F5613" w:rsidRDefault="000E4C3E" w:rsidP="002D4FB7">
            <w:pPr>
              <w:pStyle w:val="TableBody"/>
            </w:pPr>
            <w:r w:rsidRPr="007F5613">
              <w:t>Maximum</w:t>
            </w:r>
          </w:p>
        </w:tc>
      </w:tr>
      <w:tr w:rsidR="008C25DB" w:rsidRPr="007F5613" w:rsidTr="00102487">
        <w:tc>
          <w:tcPr>
            <w:tcW w:w="0" w:type="auto"/>
          </w:tcPr>
          <w:p w:rsidR="00102487" w:rsidRPr="007F5613" w:rsidRDefault="00102487" w:rsidP="00102487">
            <w:pPr>
              <w:pStyle w:val="TableBody"/>
              <w:rPr>
                <w:b/>
              </w:rPr>
            </w:pPr>
            <w:proofErr w:type="spellStart"/>
            <w:r w:rsidRPr="007F5613">
              <w:t>Cyclopentanone</w:t>
            </w:r>
            <w:proofErr w:type="spellEnd"/>
          </w:p>
        </w:tc>
        <w:tc>
          <w:tcPr>
            <w:tcW w:w="0" w:type="auto"/>
          </w:tcPr>
          <w:p w:rsidR="00102487" w:rsidRPr="007F5613" w:rsidRDefault="00102487" w:rsidP="00102487">
            <w:pPr>
              <w:pStyle w:val="TableBody"/>
            </w:pPr>
            <w:r w:rsidRPr="007F5613">
              <w:t>Isopropanol</w:t>
            </w:r>
          </w:p>
        </w:tc>
        <w:tc>
          <w:tcPr>
            <w:tcW w:w="0" w:type="auto"/>
          </w:tcPr>
          <w:p w:rsidR="00102487" w:rsidRPr="007F5613" w:rsidRDefault="00102487" w:rsidP="00102487">
            <w:pPr>
              <w:pStyle w:val="TableBody"/>
            </w:pPr>
            <w:r w:rsidRPr="007F5613">
              <w:t>Maximum</w:t>
            </w:r>
          </w:p>
        </w:tc>
      </w:tr>
      <w:tr w:rsidR="008C25DB" w:rsidRPr="007F5613" w:rsidTr="00102487">
        <w:tc>
          <w:tcPr>
            <w:tcW w:w="0" w:type="auto"/>
          </w:tcPr>
          <w:p w:rsidR="005D22DF" w:rsidRPr="007F5613" w:rsidRDefault="005D22DF" w:rsidP="005D22DF">
            <w:pPr>
              <w:pStyle w:val="TableBody"/>
              <w:rPr>
                <w:b/>
              </w:rPr>
            </w:pPr>
            <w:proofErr w:type="spellStart"/>
            <w:r w:rsidRPr="007F5613">
              <w:t>Cyclopentanone</w:t>
            </w:r>
            <w:proofErr w:type="spellEnd"/>
          </w:p>
        </w:tc>
        <w:tc>
          <w:tcPr>
            <w:tcW w:w="0" w:type="auto"/>
          </w:tcPr>
          <w:p w:rsidR="005D22DF" w:rsidRPr="007F5613" w:rsidRDefault="005D22DF" w:rsidP="005D22DF">
            <w:pPr>
              <w:pStyle w:val="TableBody"/>
              <w:rPr>
                <w:vertAlign w:val="superscript"/>
              </w:rPr>
            </w:pPr>
            <w:proofErr w:type="spellStart"/>
            <w:r w:rsidRPr="007F5613">
              <w:t>FurOH</w:t>
            </w:r>
            <w:proofErr w:type="spellEnd"/>
            <w:r w:rsidRPr="007F5613">
              <w:rPr>
                <w:vertAlign w:val="superscript"/>
              </w:rPr>
              <w:t>[b]</w:t>
            </w:r>
          </w:p>
        </w:tc>
        <w:tc>
          <w:tcPr>
            <w:tcW w:w="0" w:type="auto"/>
          </w:tcPr>
          <w:p w:rsidR="005D22DF" w:rsidRPr="007F5613" w:rsidRDefault="005D22DF" w:rsidP="005D22DF">
            <w:pPr>
              <w:pStyle w:val="TableBody"/>
            </w:pPr>
            <w:r w:rsidRPr="007F5613">
              <w:t>Maximum</w:t>
            </w:r>
          </w:p>
        </w:tc>
      </w:tr>
      <w:tr w:rsidR="008C25DB" w:rsidRPr="007F5613" w:rsidTr="00102487">
        <w:tc>
          <w:tcPr>
            <w:tcW w:w="0" w:type="auto"/>
          </w:tcPr>
          <w:p w:rsidR="005D22DF" w:rsidRPr="007F5613" w:rsidRDefault="005D22DF" w:rsidP="005D22DF">
            <w:pPr>
              <w:pStyle w:val="TableBody"/>
              <w:rPr>
                <w:b/>
              </w:rPr>
            </w:pPr>
            <w:proofErr w:type="spellStart"/>
            <w:r w:rsidRPr="007F5613">
              <w:t>Cyclopentanone</w:t>
            </w:r>
            <w:proofErr w:type="spellEnd"/>
          </w:p>
        </w:tc>
        <w:tc>
          <w:tcPr>
            <w:tcW w:w="0" w:type="auto"/>
          </w:tcPr>
          <w:p w:rsidR="005D22DF" w:rsidRPr="007F5613" w:rsidRDefault="005D22DF" w:rsidP="005D22DF">
            <w:pPr>
              <w:pStyle w:val="TableBody"/>
              <w:rPr>
                <w:b/>
              </w:rPr>
            </w:pPr>
            <w:r w:rsidRPr="007F5613">
              <w:t>TMO</w:t>
            </w:r>
            <w:r w:rsidRPr="007F5613">
              <w:rPr>
                <w:vertAlign w:val="superscript"/>
              </w:rPr>
              <w:t>[c]</w:t>
            </w:r>
            <w:r w:rsidR="0016703C" w:rsidRPr="007F5613">
              <w:t xml:space="preserve"> </w:t>
            </w:r>
            <w:r w:rsidR="0016703C" w:rsidRPr="007F5613">
              <w:rPr>
                <w:b/>
              </w:rPr>
              <w:t>5</w:t>
            </w:r>
          </w:p>
        </w:tc>
        <w:tc>
          <w:tcPr>
            <w:tcW w:w="0" w:type="auto"/>
          </w:tcPr>
          <w:p w:rsidR="005D22DF" w:rsidRPr="007F5613" w:rsidRDefault="005D22DF" w:rsidP="005D22DF">
            <w:pPr>
              <w:pStyle w:val="TableBody"/>
            </w:pPr>
            <w:r w:rsidRPr="007F5613">
              <w:t>Maximum</w:t>
            </w:r>
          </w:p>
        </w:tc>
      </w:tr>
      <w:tr w:rsidR="008C25DB" w:rsidRPr="007F5613" w:rsidTr="00102487">
        <w:tc>
          <w:tcPr>
            <w:tcW w:w="0" w:type="auto"/>
          </w:tcPr>
          <w:p w:rsidR="005D22DF" w:rsidRPr="007F5613" w:rsidRDefault="005D22DF" w:rsidP="005D22DF">
            <w:pPr>
              <w:pStyle w:val="TableBody"/>
              <w:rPr>
                <w:b/>
              </w:rPr>
            </w:pPr>
            <w:r w:rsidRPr="007F5613">
              <w:rPr>
                <w:b/>
              </w:rPr>
              <w:t>2</w:t>
            </w:r>
          </w:p>
        </w:tc>
        <w:tc>
          <w:tcPr>
            <w:tcW w:w="0" w:type="auto"/>
          </w:tcPr>
          <w:p w:rsidR="005D22DF" w:rsidRPr="007F5613" w:rsidRDefault="005D22DF" w:rsidP="005D22DF">
            <w:pPr>
              <w:pStyle w:val="TableBody"/>
            </w:pPr>
            <w:r w:rsidRPr="007F5613">
              <w:t>Ethyl acetate</w:t>
            </w:r>
          </w:p>
        </w:tc>
        <w:tc>
          <w:tcPr>
            <w:tcW w:w="0" w:type="auto"/>
          </w:tcPr>
          <w:p w:rsidR="005D22DF" w:rsidRPr="007F5613" w:rsidRDefault="005D22DF" w:rsidP="005D22DF">
            <w:pPr>
              <w:pStyle w:val="TableBody"/>
              <w:rPr>
                <w:color w:val="000000"/>
              </w:rPr>
            </w:pPr>
            <w:r w:rsidRPr="007F5613">
              <w:rPr>
                <w:color w:val="000000"/>
              </w:rPr>
              <w:t>Maximum</w:t>
            </w:r>
          </w:p>
        </w:tc>
      </w:tr>
      <w:tr w:rsidR="008C25DB" w:rsidRPr="007F5613" w:rsidTr="00102487">
        <w:tc>
          <w:tcPr>
            <w:tcW w:w="0" w:type="auto"/>
          </w:tcPr>
          <w:p w:rsidR="005D22DF" w:rsidRPr="007F5613" w:rsidRDefault="005D22DF" w:rsidP="005D22DF">
            <w:pPr>
              <w:pStyle w:val="TableBody"/>
            </w:pPr>
            <w:r w:rsidRPr="007F5613">
              <w:rPr>
                <w:b/>
              </w:rPr>
              <w:t>2</w:t>
            </w:r>
          </w:p>
        </w:tc>
        <w:tc>
          <w:tcPr>
            <w:tcW w:w="0" w:type="auto"/>
          </w:tcPr>
          <w:p w:rsidR="005D22DF" w:rsidRPr="007F5613" w:rsidRDefault="005D22DF" w:rsidP="005D22DF">
            <w:pPr>
              <w:pStyle w:val="TableBody"/>
            </w:pPr>
            <w:r w:rsidRPr="007F5613">
              <w:t>Acetonitrile</w:t>
            </w:r>
          </w:p>
        </w:tc>
        <w:tc>
          <w:tcPr>
            <w:tcW w:w="0" w:type="auto"/>
          </w:tcPr>
          <w:p w:rsidR="005D22DF" w:rsidRPr="007F5613" w:rsidRDefault="005D22DF" w:rsidP="005D22DF">
            <w:pPr>
              <w:pStyle w:val="TableBody"/>
              <w:rPr>
                <w:color w:val="000000"/>
              </w:rPr>
            </w:pPr>
            <w:r w:rsidRPr="007F5613">
              <w:rPr>
                <w:color w:val="000000"/>
              </w:rPr>
              <w:t>Maximum</w:t>
            </w:r>
          </w:p>
        </w:tc>
      </w:tr>
      <w:tr w:rsidR="008C25DB" w:rsidRPr="007F5613" w:rsidTr="00102487">
        <w:tc>
          <w:tcPr>
            <w:tcW w:w="0" w:type="auto"/>
          </w:tcPr>
          <w:p w:rsidR="005D22DF" w:rsidRPr="007F5613" w:rsidRDefault="005D22DF" w:rsidP="005D22DF">
            <w:pPr>
              <w:pStyle w:val="TableBody"/>
            </w:pPr>
            <w:r w:rsidRPr="007F5613">
              <w:rPr>
                <w:b/>
              </w:rPr>
              <w:t>2</w:t>
            </w:r>
          </w:p>
        </w:tc>
        <w:tc>
          <w:tcPr>
            <w:tcW w:w="0" w:type="auto"/>
          </w:tcPr>
          <w:p w:rsidR="005D22DF" w:rsidRPr="007F5613" w:rsidRDefault="0016703C" w:rsidP="005D22DF">
            <w:pPr>
              <w:pStyle w:val="TableBody"/>
            </w:pPr>
            <w:r w:rsidRPr="007F5613">
              <w:t>TMO</w:t>
            </w:r>
            <w:r w:rsidRPr="007F5613">
              <w:rPr>
                <w:vertAlign w:val="superscript"/>
              </w:rPr>
              <w:t>[c]</w:t>
            </w:r>
            <w:r w:rsidRPr="007F5613">
              <w:t xml:space="preserve"> </w:t>
            </w:r>
            <w:r w:rsidRPr="007F5613">
              <w:rPr>
                <w:b/>
              </w:rPr>
              <w:t>5</w:t>
            </w:r>
          </w:p>
        </w:tc>
        <w:tc>
          <w:tcPr>
            <w:tcW w:w="0" w:type="auto"/>
          </w:tcPr>
          <w:p w:rsidR="005D22DF" w:rsidRPr="007F5613" w:rsidRDefault="005D22DF" w:rsidP="005D22DF">
            <w:pPr>
              <w:pStyle w:val="TableBody"/>
              <w:rPr>
                <w:color w:val="000000"/>
                <w:vertAlign w:val="superscript"/>
              </w:rPr>
            </w:pPr>
            <w:r w:rsidRPr="007F5613">
              <w:rPr>
                <w:color w:val="000000"/>
              </w:rPr>
              <w:t>Maximum</w:t>
            </w:r>
            <w:r w:rsidRPr="007F5613">
              <w:rPr>
                <w:color w:val="000000"/>
                <w:vertAlign w:val="superscript"/>
              </w:rPr>
              <w:t>[d]</w:t>
            </w:r>
          </w:p>
        </w:tc>
      </w:tr>
      <w:tr w:rsidR="008C25DB" w:rsidRPr="007F5613" w:rsidTr="00102487">
        <w:tc>
          <w:tcPr>
            <w:tcW w:w="0" w:type="auto"/>
          </w:tcPr>
          <w:p w:rsidR="005D22DF" w:rsidRPr="007F5613" w:rsidRDefault="005D22DF" w:rsidP="005D22DF">
            <w:pPr>
              <w:pStyle w:val="TableBody"/>
            </w:pPr>
            <w:r w:rsidRPr="007F5613">
              <w:rPr>
                <w:b/>
              </w:rPr>
              <w:t>2</w:t>
            </w:r>
          </w:p>
        </w:tc>
        <w:tc>
          <w:tcPr>
            <w:tcW w:w="0" w:type="auto"/>
          </w:tcPr>
          <w:p w:rsidR="005D22DF" w:rsidRPr="007F5613" w:rsidRDefault="005D22DF" w:rsidP="005D22DF">
            <w:pPr>
              <w:pStyle w:val="TableBody"/>
            </w:pPr>
            <w:r w:rsidRPr="007F5613">
              <w:t>Acetone</w:t>
            </w:r>
          </w:p>
        </w:tc>
        <w:tc>
          <w:tcPr>
            <w:tcW w:w="0" w:type="auto"/>
          </w:tcPr>
          <w:p w:rsidR="005D22DF" w:rsidRPr="007F5613" w:rsidRDefault="00B44A5C" w:rsidP="00B44A5C">
            <w:pPr>
              <w:pStyle w:val="TableBody"/>
              <w:rPr>
                <w:color w:val="000000"/>
              </w:rPr>
            </w:pPr>
            <w:r w:rsidRPr="007F5613">
              <w:rPr>
                <w:color w:val="000000"/>
              </w:rPr>
              <w:t>Curved upwards</w:t>
            </w:r>
          </w:p>
        </w:tc>
      </w:tr>
      <w:tr w:rsidR="005D22DF" w:rsidRPr="007F5613" w:rsidTr="00102487">
        <w:tc>
          <w:tcPr>
            <w:tcW w:w="0" w:type="auto"/>
          </w:tcPr>
          <w:p w:rsidR="005D22DF" w:rsidRPr="007F5613" w:rsidRDefault="005D22DF" w:rsidP="005D22DF">
            <w:pPr>
              <w:pStyle w:val="TableBody"/>
            </w:pPr>
            <w:r w:rsidRPr="007F5613">
              <w:rPr>
                <w:b/>
              </w:rPr>
              <w:t>2</w:t>
            </w:r>
          </w:p>
        </w:tc>
        <w:tc>
          <w:tcPr>
            <w:tcW w:w="0" w:type="auto"/>
          </w:tcPr>
          <w:p w:rsidR="005D22DF" w:rsidRPr="007F5613" w:rsidRDefault="005D22DF" w:rsidP="005D22DF">
            <w:pPr>
              <w:pStyle w:val="TableBody"/>
            </w:pPr>
            <w:r w:rsidRPr="007F5613">
              <w:t>Isopropyl acetate</w:t>
            </w:r>
          </w:p>
        </w:tc>
        <w:tc>
          <w:tcPr>
            <w:tcW w:w="0" w:type="auto"/>
          </w:tcPr>
          <w:p w:rsidR="005D22DF" w:rsidRPr="007F5613" w:rsidRDefault="005D22DF" w:rsidP="005D22DF">
            <w:pPr>
              <w:pStyle w:val="TableBody"/>
              <w:rPr>
                <w:color w:val="000000"/>
              </w:rPr>
            </w:pPr>
            <w:r w:rsidRPr="007F5613">
              <w:rPr>
                <w:color w:val="000000"/>
              </w:rPr>
              <w:t>Maximum</w:t>
            </w:r>
          </w:p>
        </w:tc>
      </w:tr>
      <w:tr w:rsidR="005D22DF" w:rsidRPr="007F5613" w:rsidTr="00102487">
        <w:tc>
          <w:tcPr>
            <w:tcW w:w="0" w:type="auto"/>
          </w:tcPr>
          <w:p w:rsidR="005D22DF" w:rsidRPr="007F5613" w:rsidRDefault="005D22DF" w:rsidP="005D22DF">
            <w:pPr>
              <w:pStyle w:val="TableBody"/>
            </w:pPr>
            <w:r w:rsidRPr="007F5613">
              <w:rPr>
                <w:b/>
              </w:rPr>
              <w:t>2</w:t>
            </w:r>
          </w:p>
        </w:tc>
        <w:tc>
          <w:tcPr>
            <w:tcW w:w="0" w:type="auto"/>
          </w:tcPr>
          <w:p w:rsidR="005D22DF" w:rsidRPr="007F5613" w:rsidRDefault="005D22DF" w:rsidP="005D22DF">
            <w:pPr>
              <w:pStyle w:val="TableBody"/>
            </w:pPr>
            <w:r w:rsidRPr="007F5613">
              <w:t>1,2-Dichlorobenzene</w:t>
            </w:r>
          </w:p>
        </w:tc>
        <w:tc>
          <w:tcPr>
            <w:tcW w:w="0" w:type="auto"/>
          </w:tcPr>
          <w:p w:rsidR="005D22DF" w:rsidRPr="007F5613" w:rsidRDefault="00D012D2" w:rsidP="005D22DF">
            <w:pPr>
              <w:pStyle w:val="TableBody"/>
              <w:rPr>
                <w:color w:val="FF0000"/>
              </w:rPr>
            </w:pPr>
            <w:r w:rsidRPr="007F5613">
              <w:rPr>
                <w:color w:val="000000"/>
              </w:rPr>
              <w:t>Curved upwards</w:t>
            </w:r>
          </w:p>
        </w:tc>
      </w:tr>
      <w:tr w:rsidR="005D22DF" w:rsidRPr="007F5613" w:rsidTr="00102487">
        <w:tc>
          <w:tcPr>
            <w:tcW w:w="0" w:type="auto"/>
          </w:tcPr>
          <w:p w:rsidR="005D22DF" w:rsidRPr="007F5613" w:rsidRDefault="005D22DF" w:rsidP="005D22DF">
            <w:pPr>
              <w:pStyle w:val="TableBody"/>
            </w:pPr>
            <w:r w:rsidRPr="007F5613">
              <w:t>1,2-Dichlorobenzene</w:t>
            </w:r>
          </w:p>
        </w:tc>
        <w:tc>
          <w:tcPr>
            <w:tcW w:w="0" w:type="auto"/>
          </w:tcPr>
          <w:p w:rsidR="005D22DF" w:rsidRPr="007F5613" w:rsidRDefault="005D22DF" w:rsidP="005D22DF">
            <w:pPr>
              <w:pStyle w:val="TableBody"/>
            </w:pPr>
            <w:r w:rsidRPr="007F5613">
              <w:t>Dichloromethane</w:t>
            </w:r>
          </w:p>
        </w:tc>
        <w:tc>
          <w:tcPr>
            <w:tcW w:w="0" w:type="auto"/>
          </w:tcPr>
          <w:p w:rsidR="005D22DF" w:rsidRPr="007F5613" w:rsidRDefault="000A39E0" w:rsidP="005D22DF">
            <w:pPr>
              <w:pStyle w:val="TableBody"/>
              <w:rPr>
                <w:color w:val="000000"/>
              </w:rPr>
            </w:pPr>
            <w:r w:rsidRPr="007F5613">
              <w:rPr>
                <w:color w:val="000000"/>
              </w:rPr>
              <w:t>Linear almost flat</w:t>
            </w:r>
          </w:p>
        </w:tc>
      </w:tr>
      <w:tr w:rsidR="005D22DF" w:rsidRPr="007F5613" w:rsidTr="00102487">
        <w:tc>
          <w:tcPr>
            <w:tcW w:w="0" w:type="auto"/>
          </w:tcPr>
          <w:p w:rsidR="005D22DF" w:rsidRPr="007F5613" w:rsidRDefault="005D22DF" w:rsidP="005D22DF">
            <w:pPr>
              <w:pStyle w:val="TableBody"/>
            </w:pPr>
            <w:r w:rsidRPr="007F5613">
              <w:t>1,2-Dichlorobenzene</w:t>
            </w:r>
          </w:p>
        </w:tc>
        <w:tc>
          <w:tcPr>
            <w:tcW w:w="0" w:type="auto"/>
          </w:tcPr>
          <w:p w:rsidR="005D22DF" w:rsidRPr="007F5613" w:rsidRDefault="005D22DF" w:rsidP="005D22DF">
            <w:pPr>
              <w:pStyle w:val="TableBody"/>
            </w:pPr>
            <w:r w:rsidRPr="007F5613">
              <w:t>DMF</w:t>
            </w:r>
          </w:p>
        </w:tc>
        <w:tc>
          <w:tcPr>
            <w:tcW w:w="0" w:type="auto"/>
          </w:tcPr>
          <w:p w:rsidR="005D22DF" w:rsidRPr="007F5613" w:rsidRDefault="005D22DF" w:rsidP="005D22DF">
            <w:pPr>
              <w:pStyle w:val="TableBody"/>
              <w:rPr>
                <w:color w:val="000000"/>
              </w:rPr>
            </w:pPr>
            <w:r w:rsidRPr="007F5613">
              <w:rPr>
                <w:color w:val="000000"/>
              </w:rPr>
              <w:t>Flat</w:t>
            </w:r>
          </w:p>
        </w:tc>
      </w:tr>
      <w:tr w:rsidR="005D22DF" w:rsidRPr="007F5613" w:rsidTr="00102487">
        <w:tc>
          <w:tcPr>
            <w:tcW w:w="0" w:type="auto"/>
          </w:tcPr>
          <w:p w:rsidR="005D22DF" w:rsidRPr="007F5613" w:rsidRDefault="005D22DF" w:rsidP="005D22DF">
            <w:pPr>
              <w:pStyle w:val="TableBody"/>
            </w:pPr>
            <w:r w:rsidRPr="007F5613">
              <w:t>1,2-Dichlorobenzene</w:t>
            </w:r>
          </w:p>
        </w:tc>
        <w:tc>
          <w:tcPr>
            <w:tcW w:w="0" w:type="auto"/>
          </w:tcPr>
          <w:p w:rsidR="005D22DF" w:rsidRPr="007F5613" w:rsidRDefault="005D22DF" w:rsidP="005D22DF">
            <w:pPr>
              <w:pStyle w:val="TableBody"/>
            </w:pPr>
            <w:r w:rsidRPr="007F5613">
              <w:t>Heptane</w:t>
            </w:r>
          </w:p>
        </w:tc>
        <w:tc>
          <w:tcPr>
            <w:tcW w:w="0" w:type="auto"/>
          </w:tcPr>
          <w:p w:rsidR="005D22DF" w:rsidRPr="007F5613" w:rsidRDefault="00D63C4E" w:rsidP="005D22DF">
            <w:pPr>
              <w:pStyle w:val="TableBody"/>
              <w:rPr>
                <w:color w:val="FF0000"/>
              </w:rPr>
            </w:pPr>
            <w:r w:rsidRPr="007F5613">
              <w:rPr>
                <w:color w:val="000000"/>
              </w:rPr>
              <w:t>Curved upwards</w:t>
            </w:r>
          </w:p>
        </w:tc>
      </w:tr>
      <w:tr w:rsidR="005D22DF" w:rsidRPr="007F5613" w:rsidTr="00102487">
        <w:tc>
          <w:tcPr>
            <w:tcW w:w="0" w:type="auto"/>
          </w:tcPr>
          <w:p w:rsidR="005D22DF" w:rsidRPr="007F5613" w:rsidRDefault="005D22DF" w:rsidP="005D22DF">
            <w:pPr>
              <w:pStyle w:val="TableBody"/>
            </w:pPr>
            <w:r w:rsidRPr="007F5613">
              <w:t>Acetonitrile</w:t>
            </w:r>
          </w:p>
        </w:tc>
        <w:tc>
          <w:tcPr>
            <w:tcW w:w="0" w:type="auto"/>
          </w:tcPr>
          <w:p w:rsidR="005D22DF" w:rsidRPr="007F5613" w:rsidRDefault="005D22DF" w:rsidP="005D22DF">
            <w:pPr>
              <w:pStyle w:val="TableBody"/>
            </w:pPr>
            <w:r w:rsidRPr="007F5613">
              <w:t>Toluene</w:t>
            </w:r>
          </w:p>
        </w:tc>
        <w:tc>
          <w:tcPr>
            <w:tcW w:w="0" w:type="auto"/>
          </w:tcPr>
          <w:p w:rsidR="005D22DF" w:rsidRPr="007F5613" w:rsidRDefault="001C4C50" w:rsidP="005D22DF">
            <w:pPr>
              <w:pStyle w:val="TableBody"/>
              <w:rPr>
                <w:color w:val="FF0000"/>
              </w:rPr>
            </w:pPr>
            <w:r w:rsidRPr="007F5613">
              <w:rPr>
                <w:color w:val="000000"/>
              </w:rPr>
              <w:t>Maximum</w:t>
            </w:r>
          </w:p>
        </w:tc>
      </w:tr>
      <w:tr w:rsidR="005D22DF" w:rsidRPr="007F5613" w:rsidTr="00102487">
        <w:tc>
          <w:tcPr>
            <w:tcW w:w="0" w:type="auto"/>
          </w:tcPr>
          <w:p w:rsidR="005D22DF" w:rsidRPr="007F5613" w:rsidRDefault="005D22DF" w:rsidP="005D22DF">
            <w:pPr>
              <w:pStyle w:val="TableBody"/>
            </w:pPr>
            <w:r w:rsidRPr="007F5613">
              <w:t>Acetonitrile</w:t>
            </w:r>
          </w:p>
        </w:tc>
        <w:tc>
          <w:tcPr>
            <w:tcW w:w="0" w:type="auto"/>
          </w:tcPr>
          <w:p w:rsidR="005D22DF" w:rsidRPr="007F5613" w:rsidRDefault="005D22DF" w:rsidP="005D22DF">
            <w:pPr>
              <w:pStyle w:val="TableBody"/>
            </w:pPr>
            <w:r w:rsidRPr="007F5613">
              <w:t>Isopropyl acetate</w:t>
            </w:r>
          </w:p>
        </w:tc>
        <w:tc>
          <w:tcPr>
            <w:tcW w:w="0" w:type="auto"/>
          </w:tcPr>
          <w:p w:rsidR="005D22DF" w:rsidRPr="007F5613" w:rsidRDefault="00DD62E0" w:rsidP="005D22DF">
            <w:pPr>
              <w:pStyle w:val="TableBody"/>
              <w:rPr>
                <w:color w:val="000000"/>
              </w:rPr>
            </w:pPr>
            <w:r w:rsidRPr="007F5613">
              <w:rPr>
                <w:color w:val="000000"/>
              </w:rPr>
              <w:t>Linear</w:t>
            </w:r>
          </w:p>
        </w:tc>
      </w:tr>
      <w:tr w:rsidR="005D22DF" w:rsidRPr="007F5613" w:rsidTr="00102487">
        <w:tc>
          <w:tcPr>
            <w:tcW w:w="0" w:type="auto"/>
            <w:tcBorders>
              <w:bottom w:val="single" w:sz="8" w:space="0" w:color="auto"/>
            </w:tcBorders>
          </w:tcPr>
          <w:p w:rsidR="005D22DF" w:rsidRPr="007F5613" w:rsidRDefault="005D22DF" w:rsidP="005D22DF">
            <w:pPr>
              <w:pStyle w:val="TableBody"/>
            </w:pPr>
            <w:r w:rsidRPr="007F5613">
              <w:t>Water</w:t>
            </w:r>
          </w:p>
        </w:tc>
        <w:tc>
          <w:tcPr>
            <w:tcW w:w="0" w:type="auto"/>
            <w:tcBorders>
              <w:bottom w:val="single" w:sz="8" w:space="0" w:color="auto"/>
            </w:tcBorders>
          </w:tcPr>
          <w:p w:rsidR="005D22DF" w:rsidRPr="007F5613" w:rsidRDefault="005D22DF" w:rsidP="005D22DF">
            <w:pPr>
              <w:pStyle w:val="TableBody"/>
            </w:pPr>
            <w:r w:rsidRPr="007F5613">
              <w:t>DMF</w:t>
            </w:r>
          </w:p>
        </w:tc>
        <w:tc>
          <w:tcPr>
            <w:tcW w:w="0" w:type="auto"/>
            <w:tcBorders>
              <w:bottom w:val="single" w:sz="8" w:space="0" w:color="auto"/>
            </w:tcBorders>
          </w:tcPr>
          <w:p w:rsidR="005D22DF" w:rsidRPr="007F5613" w:rsidRDefault="005D22DF" w:rsidP="005D22DF">
            <w:pPr>
              <w:pStyle w:val="TableBody"/>
              <w:rPr>
                <w:color w:val="000000"/>
              </w:rPr>
            </w:pPr>
            <w:r w:rsidRPr="007F5613">
              <w:rPr>
                <w:color w:val="000000"/>
              </w:rPr>
              <w:t>Special</w:t>
            </w:r>
          </w:p>
        </w:tc>
      </w:tr>
      <w:tr w:rsidR="005D22DF" w:rsidRPr="007F5613" w:rsidTr="00102487">
        <w:tc>
          <w:tcPr>
            <w:tcW w:w="0" w:type="auto"/>
            <w:gridSpan w:val="3"/>
            <w:tcBorders>
              <w:top w:val="single" w:sz="8" w:space="0" w:color="auto"/>
            </w:tcBorders>
          </w:tcPr>
          <w:p w:rsidR="005D22DF" w:rsidRPr="007F5613" w:rsidRDefault="005D22DF" w:rsidP="005D22DF">
            <w:pPr>
              <w:pStyle w:val="TableFoot"/>
            </w:pPr>
            <w:r w:rsidRPr="007F5613">
              <w:t xml:space="preserve">[a] CPME = </w:t>
            </w:r>
            <w:proofErr w:type="spellStart"/>
            <w:r w:rsidRPr="007F5613">
              <w:t>cyclopentyl</w:t>
            </w:r>
            <w:proofErr w:type="spellEnd"/>
            <w:r w:rsidRPr="007F5613">
              <w:t xml:space="preserve"> methyl ether. [b] </w:t>
            </w:r>
            <w:proofErr w:type="spellStart"/>
            <w:r w:rsidRPr="007F5613">
              <w:t>FurOH</w:t>
            </w:r>
            <w:proofErr w:type="spellEnd"/>
            <w:r w:rsidRPr="007F5613">
              <w:t xml:space="preserve"> = 2-hydroxymethylfuran. [c] TMO = </w:t>
            </w:r>
            <w:r w:rsidR="008C25DB" w:rsidRPr="007F5613">
              <w:t>2,2,5,5-tetramethyloxolane</w:t>
            </w:r>
            <w:r w:rsidRPr="007F5613">
              <w:t>.</w:t>
            </w:r>
            <w:r w:rsidR="008C25DB" w:rsidRPr="007F5613">
              <w:rPr>
                <w:vertAlign w:val="superscript"/>
              </w:rPr>
              <w:t>[</w:t>
            </w:r>
            <w:bookmarkStart w:id="3" w:name="_Ref529448396"/>
            <w:r w:rsidR="008C25DB" w:rsidRPr="007F5613">
              <w:rPr>
                <w:rStyle w:val="EndnoteReference"/>
              </w:rPr>
              <w:endnoteReference w:id="19"/>
            </w:r>
            <w:bookmarkEnd w:id="3"/>
            <w:r w:rsidR="008C25DB" w:rsidRPr="007F5613">
              <w:rPr>
                <w:vertAlign w:val="superscript"/>
              </w:rPr>
              <w:t>]</w:t>
            </w:r>
            <w:r w:rsidRPr="007F5613">
              <w:t xml:space="preserve"> [d] This pair of solvents were immiscible in some proportions.</w:t>
            </w:r>
          </w:p>
        </w:tc>
      </w:tr>
      <w:tr w:rsidR="005D22DF" w:rsidRPr="007F5613" w:rsidTr="00102487">
        <w:tc>
          <w:tcPr>
            <w:tcW w:w="0" w:type="auto"/>
            <w:gridSpan w:val="3"/>
          </w:tcPr>
          <w:p w:rsidR="005D22DF" w:rsidRPr="007F5613" w:rsidRDefault="005D22DF" w:rsidP="00264679">
            <w:pPr>
              <w:pStyle w:val="TableSpacer"/>
              <w:spacing w:before="240"/>
              <w:rPr>
                <w:noProof w:val="0"/>
              </w:rPr>
            </w:pPr>
          </w:p>
        </w:tc>
      </w:tr>
    </w:tbl>
    <w:p w:rsidR="00DB0AC3" w:rsidRPr="007F5613" w:rsidRDefault="00DB0AC3" w:rsidP="00092D26">
      <w:pPr>
        <w:pStyle w:val="P1"/>
        <w:ind w:firstLine="425"/>
        <w:rPr>
          <w:color w:val="000000"/>
          <w:lang w:val="en-GB"/>
        </w:rPr>
      </w:pPr>
      <w:r w:rsidRPr="007F5613">
        <w:rPr>
          <w:lang w:val="en-GB"/>
        </w:rPr>
        <w:t xml:space="preserve">All the Merrifield resin swelling data and graphs for these eighteen pairs of solvents are given in the supporting information (Figure S3). For ten of the eighteen solvent pairs, there is a mixture of the two solvents that has higher resin swelling ability than either pure solvent consistent with the two solvents lying on opposite sides of the resin swelling region (analogous to line A in Figure 6). An example of this behaviour is the combination of propylene carbonate </w:t>
      </w:r>
      <w:r w:rsidRPr="007F5613">
        <w:rPr>
          <w:b/>
          <w:lang w:val="en-GB"/>
        </w:rPr>
        <w:t>2</w:t>
      </w:r>
      <w:r w:rsidRPr="007F5613">
        <w:rPr>
          <w:lang w:val="en-GB"/>
        </w:rPr>
        <w:t xml:space="preserve"> and acetonitrile shown in Figure 7. This solvent combination was also used to investigate if homogeneous solvent mixtures would show preferential swelling of the resin in one of the solvents. Therefore, all of the mixtures of </w:t>
      </w:r>
      <w:r w:rsidRPr="007F5613">
        <w:rPr>
          <w:b/>
          <w:lang w:val="en-GB"/>
        </w:rPr>
        <w:t>2</w:t>
      </w:r>
      <w:r w:rsidRPr="007F5613">
        <w:rPr>
          <w:lang w:val="en-GB"/>
        </w:rPr>
        <w:t xml:space="preserve"> and acetonitrile were analysed by GC before and after resin swelling, but no significant changes in the ratio of the two solvents was </w:t>
      </w:r>
      <w:r w:rsidRPr="007F5613">
        <w:rPr>
          <w:color w:val="000000"/>
          <w:lang w:val="en-GB"/>
        </w:rPr>
        <w:t>observed (Figure S4).</w:t>
      </w:r>
    </w:p>
    <w:p w:rsidR="00E17E77" w:rsidRPr="007F5613" w:rsidRDefault="00544060" w:rsidP="00092D26">
      <w:pPr>
        <w:pStyle w:val="P1"/>
        <w:ind w:firstLine="425"/>
        <w:rPr>
          <w:color w:val="000000"/>
          <w:lang w:val="en-GB"/>
        </w:rPr>
      </w:pPr>
      <w:r w:rsidRPr="007F5613">
        <w:rPr>
          <w:lang w:val="en-GB"/>
        </w:rPr>
        <w:t>Four solvent pairs display</w:t>
      </w:r>
      <w:r w:rsidR="0077260D" w:rsidRPr="007F5613">
        <w:rPr>
          <w:lang w:val="en-GB"/>
        </w:rPr>
        <w:t>ed</w:t>
      </w:r>
      <w:r w:rsidRPr="007F5613">
        <w:rPr>
          <w:lang w:val="en-GB"/>
        </w:rPr>
        <w:t xml:space="preserve"> an upward curve (without a mixture of the solvents having a higher resin swelling ability than the higher swelling of the two solvents) or a linear (non-horizontal) variation of resin swelling with solvent composition. This is consistent with one solvent lying inside the resin swelling area and one outside this area as represented by line C in </w:t>
      </w:r>
      <w:r w:rsidRPr="007F5613">
        <w:rPr>
          <w:lang w:val="en-GB"/>
        </w:rPr>
        <w:lastRenderedPageBreak/>
        <w:t>Figure 6.</w:t>
      </w:r>
      <w:r w:rsidR="0077260D" w:rsidRPr="007F5613">
        <w:rPr>
          <w:lang w:val="en-GB"/>
        </w:rPr>
        <w:t xml:space="preserve"> An example of this is the combination of propylene carbonate </w:t>
      </w:r>
      <w:r w:rsidR="0077260D" w:rsidRPr="007F5613">
        <w:rPr>
          <w:b/>
          <w:lang w:val="en-GB"/>
        </w:rPr>
        <w:t>2</w:t>
      </w:r>
      <w:r w:rsidR="0077260D" w:rsidRPr="007F5613">
        <w:rPr>
          <w:lang w:val="en-GB"/>
        </w:rPr>
        <w:t xml:space="preserve"> and 1,2-dichlorobenzene shown in Figure </w:t>
      </w:r>
      <w:r w:rsidR="007E6A73" w:rsidRPr="007F5613">
        <w:rPr>
          <w:lang w:val="en-GB"/>
        </w:rPr>
        <w:t>7</w:t>
      </w:r>
      <w:r w:rsidR="0077260D" w:rsidRPr="007F5613">
        <w:rPr>
          <w:lang w:val="en-GB"/>
        </w:rPr>
        <w:t>.</w:t>
      </w:r>
      <w:r w:rsidRPr="007F5613">
        <w:rPr>
          <w:lang w:val="en-GB"/>
        </w:rPr>
        <w:t xml:space="preserve"> Two solvent pairs show little or no variation in resin swelling with solvent composition, consistent with both solvents lying within the resin high swelling region (line D in Figure 6). </w:t>
      </w:r>
      <w:r w:rsidR="0077260D" w:rsidRPr="007F5613">
        <w:rPr>
          <w:lang w:val="en-GB"/>
        </w:rPr>
        <w:t xml:space="preserve">1,2-Dichlorobenzene and dichloromethane is an example of this </w:t>
      </w:r>
      <w:r w:rsidR="0077260D" w:rsidRPr="007F5613">
        <w:rPr>
          <w:color w:val="000000"/>
          <w:lang w:val="en-GB"/>
        </w:rPr>
        <w:t>behavio</w:t>
      </w:r>
      <w:r w:rsidR="00DE26BA" w:rsidRPr="007F5613">
        <w:rPr>
          <w:color w:val="000000"/>
          <w:lang w:val="en-GB"/>
        </w:rPr>
        <w:t>u</w:t>
      </w:r>
      <w:r w:rsidR="0077260D" w:rsidRPr="007F5613">
        <w:rPr>
          <w:color w:val="000000"/>
          <w:lang w:val="en-GB"/>
        </w:rPr>
        <w:t xml:space="preserve">r (Figure </w:t>
      </w:r>
      <w:r w:rsidR="007E6A73" w:rsidRPr="007F5613">
        <w:rPr>
          <w:color w:val="000000"/>
          <w:lang w:val="en-GB"/>
        </w:rPr>
        <w:t>7</w:t>
      </w:r>
      <w:r w:rsidR="0077260D" w:rsidRPr="007F5613">
        <w:rPr>
          <w:color w:val="000000"/>
          <w:lang w:val="en-GB"/>
        </w:rPr>
        <w:t xml:space="preserve">). </w:t>
      </w:r>
    </w:p>
    <w:p w:rsidR="0077260D" w:rsidRPr="007F5613" w:rsidRDefault="007F5613" w:rsidP="0077260D">
      <w:pPr>
        <w:spacing w:before="360"/>
        <w:rPr>
          <w:rFonts w:ascii="Arial" w:hAnsi="Arial" w:cs="Arial"/>
          <w:color w:val="FF0000"/>
          <w:sz w:val="14"/>
          <w:szCs w:val="16"/>
        </w:rPr>
      </w:pPr>
      <w:r w:rsidRPr="007F5613">
        <w:pict>
          <v:shape id="_x0000_i1033" type="#_x0000_t75" style="width:243.7pt;height:139.4pt">
            <v:imagedata r:id="rId20" o:title=""/>
          </v:shape>
        </w:pict>
      </w:r>
    </w:p>
    <w:p w:rsidR="0077260D" w:rsidRPr="007F5613" w:rsidRDefault="0077260D" w:rsidP="00044773">
      <w:pPr>
        <w:pStyle w:val="FigureCaption"/>
        <w:spacing w:after="360"/>
      </w:pPr>
      <w:r w:rsidRPr="007F5613">
        <w:rPr>
          <w:b/>
        </w:rPr>
        <w:t>Figure 7.</w:t>
      </w:r>
      <w:r w:rsidRPr="007F5613">
        <w:t xml:space="preserve"> Swelling of Merrifield resin in mixtures of propylene carbonate </w:t>
      </w:r>
      <w:r w:rsidRPr="007F5613">
        <w:rPr>
          <w:b/>
        </w:rPr>
        <w:t>2</w:t>
      </w:r>
      <w:r w:rsidRPr="007F5613">
        <w:t xml:space="preserve"> and acetonitrile</w:t>
      </w:r>
      <w:r w:rsidR="000B393E" w:rsidRPr="007F5613">
        <w:t xml:space="preserve"> (filled squares); propylene carbonate </w:t>
      </w:r>
      <w:r w:rsidR="000B393E" w:rsidRPr="007F5613">
        <w:rPr>
          <w:b/>
        </w:rPr>
        <w:t>2</w:t>
      </w:r>
      <w:r w:rsidR="000B393E" w:rsidRPr="007F5613">
        <w:t xml:space="preserve"> and 1,2-dichlorobenzene (empty circles); and 1,2-dichlorobenzene and dichloromethane (filled triangles)</w:t>
      </w:r>
      <w:r w:rsidRPr="007F5613">
        <w:t>. The solid line</w:t>
      </w:r>
      <w:r w:rsidR="000B393E" w:rsidRPr="007F5613">
        <w:t>s are</w:t>
      </w:r>
      <w:r w:rsidRPr="007F5613">
        <w:t xml:space="preserve"> shown only as a guide to the eye.</w:t>
      </w:r>
    </w:p>
    <w:p w:rsidR="00831E2A" w:rsidRPr="007F5613" w:rsidRDefault="009B6069" w:rsidP="00831E2A">
      <w:pPr>
        <w:pStyle w:val="P1"/>
        <w:ind w:firstLine="425"/>
        <w:rPr>
          <w:color w:val="FF0000"/>
          <w:lang w:val="en-GB"/>
        </w:rPr>
      </w:pPr>
      <w:r w:rsidRPr="007F5613">
        <w:rPr>
          <w:color w:val="000000"/>
          <w:lang w:val="en-GB"/>
        </w:rPr>
        <w:t xml:space="preserve">Only the combination of 2-MeTHF and </w:t>
      </w:r>
      <w:proofErr w:type="spellStart"/>
      <w:r w:rsidRPr="007F5613">
        <w:rPr>
          <w:color w:val="000000"/>
          <w:lang w:val="en-GB"/>
        </w:rPr>
        <w:t>cyclopentyl</w:t>
      </w:r>
      <w:proofErr w:type="spellEnd"/>
      <w:r w:rsidRPr="007F5613">
        <w:rPr>
          <w:color w:val="000000"/>
          <w:lang w:val="en-GB"/>
        </w:rPr>
        <w:t xml:space="preserve"> methyl ether had mixed solvents which showed lower resin swelling than either pure solvent (Figure 2). However, 2-MeTHF and </w:t>
      </w:r>
      <w:proofErr w:type="spellStart"/>
      <w:r w:rsidRPr="007F5613">
        <w:rPr>
          <w:color w:val="000000"/>
          <w:lang w:val="en-GB"/>
        </w:rPr>
        <w:t>cyclopentyl</w:t>
      </w:r>
      <w:proofErr w:type="spellEnd"/>
      <w:r w:rsidRPr="007F5613">
        <w:rPr>
          <w:color w:val="000000"/>
          <w:lang w:val="en-GB"/>
        </w:rPr>
        <w:t xml:space="preserve"> methyl ether have very similar HSP parameters (Figure S3) and all the mixtures gave resin swelling of greater than 5.0 mL g</w:t>
      </w:r>
      <w:r w:rsidRPr="007F5613">
        <w:rPr>
          <w:color w:val="000000"/>
          <w:vertAlign w:val="superscript"/>
          <w:lang w:val="en-GB"/>
        </w:rPr>
        <w:t>-1</w:t>
      </w:r>
      <w:r w:rsidRPr="007F5613">
        <w:rPr>
          <w:color w:val="000000"/>
          <w:lang w:val="en-GB"/>
        </w:rPr>
        <w:t>. Thus, this is another example of line D and the variations just correspond to fluctuations in the exact amount of resin swelling observed within the high resin swelling region.</w:t>
      </w:r>
      <w:r w:rsidR="00831E2A" w:rsidRPr="007F5613">
        <w:rPr>
          <w:color w:val="FF0000"/>
          <w:lang w:val="en-GB"/>
        </w:rPr>
        <w:t xml:space="preserve">  </w:t>
      </w:r>
    </w:p>
    <w:p w:rsidR="009B6069" w:rsidRPr="007F5613" w:rsidRDefault="009B6069" w:rsidP="009B6069">
      <w:pPr>
        <w:pStyle w:val="P1"/>
        <w:ind w:firstLine="425"/>
        <w:rPr>
          <w:lang w:val="en-GB"/>
        </w:rPr>
      </w:pPr>
      <w:r w:rsidRPr="007F5613">
        <w:rPr>
          <w:color w:val="000000"/>
          <w:lang w:val="en-GB"/>
        </w:rPr>
        <w:t>The</w:t>
      </w:r>
      <w:r w:rsidRPr="007F5613">
        <w:rPr>
          <w:lang w:val="en-GB"/>
        </w:rPr>
        <w:t xml:space="preserve"> combination of water and DMF was a special case as shown in </w:t>
      </w:r>
      <w:r w:rsidRPr="007F5613">
        <w:rPr>
          <w:color w:val="000000"/>
          <w:lang w:val="en-GB"/>
        </w:rPr>
        <w:t xml:space="preserve">Figure 8. DMF is a high swelling solvent for </w:t>
      </w:r>
      <w:r w:rsidRPr="007F5613">
        <w:rPr>
          <w:lang w:val="en-GB"/>
        </w:rPr>
        <w:t>Merrifield resin, but addition of even 10% water reduces the swelling of the resin to the same level observed using pure water. DMF is a good hydrogen bond acceptor and water is a hydrogen bond donor and when mixed they form hydrogen bonded complexes.</w:t>
      </w:r>
      <w:r w:rsidRPr="007F5613">
        <w:rPr>
          <w:vertAlign w:val="superscript"/>
          <w:lang w:val="en-GB"/>
        </w:rPr>
        <w:t>[</w:t>
      </w:r>
      <w:r w:rsidRPr="007F5613">
        <w:rPr>
          <w:rStyle w:val="EndnoteReference"/>
          <w:lang w:val="en-GB"/>
        </w:rPr>
        <w:endnoteReference w:id="20"/>
      </w:r>
      <w:r w:rsidRPr="007F5613">
        <w:rPr>
          <w:vertAlign w:val="superscript"/>
          <w:lang w:val="en-GB"/>
        </w:rPr>
        <w:t xml:space="preserve">] </w:t>
      </w:r>
      <w:r w:rsidRPr="007F5613">
        <w:rPr>
          <w:lang w:val="en-GB"/>
        </w:rPr>
        <w:t>This solvent/solvent interaction appears to be stronger than the DMF/</w:t>
      </w:r>
      <w:proofErr w:type="spellStart"/>
      <w:r w:rsidRPr="007F5613">
        <w:rPr>
          <w:lang w:val="en-GB"/>
        </w:rPr>
        <w:t>Merrified</w:t>
      </w:r>
      <w:proofErr w:type="spellEnd"/>
      <w:r w:rsidRPr="007F5613">
        <w:rPr>
          <w:lang w:val="en-GB"/>
        </w:rPr>
        <w:t xml:space="preserve"> resin interaction as a result of which the DMF is no longer able to swell the resin.</w:t>
      </w:r>
    </w:p>
    <w:p w:rsidR="000E748F" w:rsidRPr="007F5613" w:rsidRDefault="000E748F" w:rsidP="009B6069">
      <w:pPr>
        <w:pStyle w:val="P1"/>
        <w:ind w:firstLine="425"/>
        <w:rPr>
          <w:color w:val="000000"/>
          <w:lang w:val="en-GB"/>
        </w:rPr>
      </w:pPr>
      <w:r w:rsidRPr="007F5613">
        <w:rPr>
          <w:color w:val="000000"/>
          <w:lang w:val="en-GB"/>
        </w:rPr>
        <w:t xml:space="preserve">Another interesting case was the mixture of propylene carbonate </w:t>
      </w:r>
      <w:r w:rsidRPr="007F5613">
        <w:rPr>
          <w:b/>
          <w:color w:val="000000"/>
          <w:lang w:val="en-GB"/>
        </w:rPr>
        <w:t xml:space="preserve">2 </w:t>
      </w:r>
      <w:r w:rsidRPr="007F5613">
        <w:rPr>
          <w:color w:val="000000"/>
          <w:lang w:val="en-GB"/>
        </w:rPr>
        <w:t xml:space="preserve">and </w:t>
      </w:r>
      <w:r w:rsidRPr="007F5613">
        <w:rPr>
          <w:color w:val="000000"/>
        </w:rPr>
        <w:t xml:space="preserve">2,2,5,5-tetramethyloxolane (TMO, </w:t>
      </w:r>
      <w:r w:rsidRPr="007F5613">
        <w:rPr>
          <w:b/>
          <w:color w:val="000000"/>
        </w:rPr>
        <w:t>5</w:t>
      </w:r>
      <w:r w:rsidRPr="007F5613">
        <w:rPr>
          <w:color w:val="000000"/>
        </w:rPr>
        <w:t>). This combination of solvents was</w:t>
      </w:r>
      <w:r w:rsidRPr="007F5613">
        <w:t xml:space="preserve"> only miscible when the volume of TMO in the solvent mixture was up to 35%, or at least 90% (Figure S3). However, solvent mixtures in the immiscible region (%TMO=40-80% (v/v)) were also studied and all the results are shown in Figure 9. It is apparent from Figure 9 that all of the immiscible mixtures mimic the miscible 90:10 </w:t>
      </w:r>
      <w:r w:rsidRPr="007F5613">
        <w:rPr>
          <w:b/>
        </w:rPr>
        <w:t>5</w:t>
      </w:r>
      <w:r w:rsidRPr="007F5613">
        <w:t>:</w:t>
      </w:r>
      <w:r w:rsidRPr="007F5613">
        <w:rPr>
          <w:b/>
        </w:rPr>
        <w:t>2</w:t>
      </w:r>
      <w:r w:rsidRPr="007F5613">
        <w:t xml:space="preserve"> (v/v) mixture in their ability to swell Merrifield resin. In contrast to the </w:t>
      </w:r>
      <w:proofErr w:type="spellStart"/>
      <w:r w:rsidRPr="007F5613">
        <w:t>cyclopentanone</w:t>
      </w:r>
      <w:proofErr w:type="spellEnd"/>
      <w:r w:rsidRPr="007F5613">
        <w:t>-water swelling of Hypogel</w:t>
      </w:r>
      <w:r w:rsidRPr="007F5613">
        <w:rPr>
          <w:vertAlign w:val="superscript"/>
        </w:rPr>
        <w:t>TM</w:t>
      </w:r>
      <w:r w:rsidRPr="007F5613">
        <w:t xml:space="preserve">200 resin discussed earlier, it is apparent from Figure 9 that the immiscible mixtures of </w:t>
      </w:r>
      <w:r w:rsidRPr="007F5613">
        <w:rPr>
          <w:b/>
        </w:rPr>
        <w:t>2</w:t>
      </w:r>
      <w:r w:rsidRPr="007F5613">
        <w:t xml:space="preserve"> and </w:t>
      </w:r>
      <w:r w:rsidRPr="007F5613">
        <w:rPr>
          <w:b/>
        </w:rPr>
        <w:t>5</w:t>
      </w:r>
      <w:r w:rsidRPr="007F5613">
        <w:t xml:space="preserve"> produce much higher swelling of </w:t>
      </w:r>
      <w:proofErr w:type="spellStart"/>
      <w:r w:rsidRPr="007F5613">
        <w:t>Merrified</w:t>
      </w:r>
      <w:proofErr w:type="spellEnd"/>
      <w:r w:rsidRPr="007F5613">
        <w:t xml:space="preserve"> resin than either pure solvent.</w:t>
      </w:r>
    </w:p>
    <w:p w:rsidR="00480523" w:rsidRPr="007F5613" w:rsidRDefault="007F5613" w:rsidP="000E748F">
      <w:pPr>
        <w:spacing w:before="360"/>
        <w:rPr>
          <w:rFonts w:ascii="Arial" w:hAnsi="Arial" w:cs="Arial"/>
          <w:color w:val="FF0000"/>
          <w:sz w:val="14"/>
          <w:szCs w:val="16"/>
        </w:rPr>
      </w:pPr>
      <w:r w:rsidRPr="007F5613">
        <w:pict>
          <v:shape id="_x0000_i1034" type="#_x0000_t75" style="width:243.7pt;height:134pt">
            <v:imagedata r:id="rId21" o:title=""/>
          </v:shape>
        </w:pict>
      </w:r>
    </w:p>
    <w:p w:rsidR="00264679" w:rsidRPr="007F5613" w:rsidRDefault="00480523" w:rsidP="000E748F">
      <w:pPr>
        <w:pStyle w:val="FigureCaption"/>
        <w:spacing w:before="0" w:after="240"/>
      </w:pPr>
      <w:r w:rsidRPr="007F5613">
        <w:rPr>
          <w:b/>
        </w:rPr>
        <w:t>Figure 8.</w:t>
      </w:r>
      <w:r w:rsidRPr="007F5613">
        <w:t xml:space="preserve"> Swelling of Merrifield resin </w:t>
      </w:r>
      <w:r w:rsidR="00B03D2D" w:rsidRPr="007F5613">
        <w:t>(filled squares) and HypoGel</w:t>
      </w:r>
      <w:r w:rsidR="00B03D2D" w:rsidRPr="007F5613">
        <w:rPr>
          <w:vertAlign w:val="superscript"/>
        </w:rPr>
        <w:t>TM</w:t>
      </w:r>
      <w:r w:rsidR="00B03D2D" w:rsidRPr="007F5613">
        <w:t xml:space="preserve">200 (empty circles) </w:t>
      </w:r>
      <w:r w:rsidRPr="007F5613">
        <w:t xml:space="preserve">in mixtures of DMF and water. The </w:t>
      </w:r>
      <w:r w:rsidR="00B03D2D" w:rsidRPr="007F5613">
        <w:t>lines are</w:t>
      </w:r>
      <w:r w:rsidRPr="007F5613">
        <w:t xml:space="preserve"> shown only as a guide to the eye.</w:t>
      </w:r>
      <w:r w:rsidR="004310AD" w:rsidRPr="007F5613">
        <w:t xml:space="preserve"> </w:t>
      </w:r>
      <w:r w:rsidR="000A0B76" w:rsidRPr="007F5613">
        <w:rPr>
          <w:color w:val="000000"/>
        </w:rPr>
        <w:t xml:space="preserve">  </w:t>
      </w:r>
    </w:p>
    <w:p w:rsidR="00264679" w:rsidRPr="007F5613" w:rsidRDefault="007F5613" w:rsidP="000E748F">
      <w:pPr>
        <w:spacing w:before="240"/>
        <w:rPr>
          <w:rFonts w:ascii="Arial" w:hAnsi="Arial" w:cs="Arial"/>
          <w:color w:val="FF0000"/>
          <w:sz w:val="14"/>
          <w:szCs w:val="16"/>
        </w:rPr>
      </w:pPr>
      <w:r w:rsidRPr="007F5613">
        <w:pict>
          <v:shape id="_x0000_i1035" type="#_x0000_t75" style="width:243.7pt;height:140.55pt">
            <v:imagedata r:id="rId22" o:title=""/>
          </v:shape>
        </w:pict>
      </w:r>
    </w:p>
    <w:p w:rsidR="00264679" w:rsidRPr="007F5613" w:rsidRDefault="00264679" w:rsidP="000E748F">
      <w:pPr>
        <w:pStyle w:val="FigureCaption"/>
        <w:spacing w:before="0" w:after="360"/>
      </w:pPr>
      <w:r w:rsidRPr="007F5613">
        <w:rPr>
          <w:b/>
        </w:rPr>
        <w:t>Figure 9.</w:t>
      </w:r>
      <w:r w:rsidRPr="007F5613">
        <w:t xml:space="preserve"> Swelling of Merrifield resin in mixtures of propylene carbonate </w:t>
      </w:r>
      <w:r w:rsidRPr="007F5613">
        <w:rPr>
          <w:b/>
        </w:rPr>
        <w:t xml:space="preserve">2 </w:t>
      </w:r>
      <w:r w:rsidRPr="007F5613">
        <w:t xml:space="preserve">and TMO </w:t>
      </w:r>
      <w:r w:rsidRPr="007F5613">
        <w:rPr>
          <w:b/>
        </w:rPr>
        <w:t>5</w:t>
      </w:r>
      <w:r w:rsidRPr="007F5613">
        <w:t>. Black points correspond to miscible mixtures and red points to immiscible mixtures. The solid lines are shown only as a guide to the eye. The dotted line shows the swelling that would be expected if swelling varied linearly with solvent composition.</w:t>
      </w:r>
    </w:p>
    <w:p w:rsidR="005277E7" w:rsidRPr="007F5613" w:rsidRDefault="004310AD" w:rsidP="004310AD">
      <w:pPr>
        <w:pStyle w:val="P1"/>
        <w:ind w:firstLine="425"/>
        <w:rPr>
          <w:color w:val="FF0000"/>
          <w:lang w:val="en-GB"/>
        </w:rPr>
      </w:pPr>
      <w:r w:rsidRPr="007F5613">
        <w:t xml:space="preserve">To investigate the swelling of </w:t>
      </w:r>
      <w:proofErr w:type="spellStart"/>
      <w:r w:rsidRPr="007F5613">
        <w:t>Merrified</w:t>
      </w:r>
      <w:proofErr w:type="spellEnd"/>
      <w:r w:rsidRPr="007F5613">
        <w:t xml:space="preserve"> resin by mixtures of </w:t>
      </w:r>
      <w:r w:rsidRPr="007F5613">
        <w:rPr>
          <w:b/>
        </w:rPr>
        <w:t>2</w:t>
      </w:r>
      <w:r w:rsidRPr="007F5613">
        <w:t xml:space="preserve"> and </w:t>
      </w:r>
      <w:r w:rsidRPr="007F5613">
        <w:rPr>
          <w:b/>
        </w:rPr>
        <w:t>5</w:t>
      </w:r>
      <w:r w:rsidRPr="007F5613">
        <w:t xml:space="preserve"> in more detail, the composition of each solvent mixture included in Figure 9 was </w:t>
      </w:r>
      <w:proofErr w:type="spellStart"/>
      <w:r w:rsidRPr="007F5613">
        <w:t>analysed</w:t>
      </w:r>
      <w:proofErr w:type="spellEnd"/>
      <w:r w:rsidRPr="007F5613">
        <w:t xml:space="preserve"> by gas chromatography (GC). For the immiscible mixtures, the top and bottom layers were </w:t>
      </w:r>
      <w:proofErr w:type="spellStart"/>
      <w:r w:rsidRPr="007F5613">
        <w:t>analysed</w:t>
      </w:r>
      <w:proofErr w:type="spellEnd"/>
      <w:r w:rsidRPr="007F5613">
        <w:t xml:space="preserve"> separately and all the results are tabulated in Table 3. For all of the immiscible mixtures, the top layer contained 84-86 </w:t>
      </w:r>
      <w:proofErr w:type="spellStart"/>
      <w:r w:rsidRPr="007F5613">
        <w:t>mol</w:t>
      </w:r>
      <w:proofErr w:type="spellEnd"/>
      <w:r w:rsidRPr="007F5613">
        <w:t xml:space="preserve">% </w:t>
      </w:r>
      <w:r w:rsidRPr="007F5613">
        <w:rPr>
          <w:b/>
        </w:rPr>
        <w:t>5</w:t>
      </w:r>
      <w:r w:rsidRPr="007F5613">
        <w:t xml:space="preserve"> and 14-16 </w:t>
      </w:r>
      <w:proofErr w:type="spellStart"/>
      <w:r w:rsidRPr="007F5613">
        <w:t>mol</w:t>
      </w:r>
      <w:proofErr w:type="spellEnd"/>
      <w:r w:rsidRPr="007F5613">
        <w:t xml:space="preserve">% </w:t>
      </w:r>
      <w:r w:rsidRPr="007F5613">
        <w:rPr>
          <w:b/>
        </w:rPr>
        <w:t>2</w:t>
      </w:r>
      <w:r w:rsidRPr="007F5613">
        <w:t xml:space="preserve"> which matches the molar composition of the 90:10 (v/v) mixture. Correspondingly, the bottom layers of all the immiscible mixtures contained 76-77 </w:t>
      </w:r>
      <w:proofErr w:type="spellStart"/>
      <w:r w:rsidRPr="007F5613">
        <w:t>mol</w:t>
      </w:r>
      <w:proofErr w:type="spellEnd"/>
      <w:r w:rsidRPr="007F5613">
        <w:t xml:space="preserve">% </w:t>
      </w:r>
      <w:r w:rsidRPr="007F5613">
        <w:rPr>
          <w:b/>
        </w:rPr>
        <w:t>2</w:t>
      </w:r>
      <w:r w:rsidRPr="007F5613">
        <w:t xml:space="preserve"> and 23-24 </w:t>
      </w:r>
      <w:proofErr w:type="spellStart"/>
      <w:r w:rsidRPr="007F5613">
        <w:t>mol</w:t>
      </w:r>
      <w:proofErr w:type="spellEnd"/>
      <w:r w:rsidRPr="007F5613">
        <w:t xml:space="preserve">% </w:t>
      </w:r>
      <w:r w:rsidRPr="007F5613">
        <w:rPr>
          <w:b/>
        </w:rPr>
        <w:t>5</w:t>
      </w:r>
      <w:r w:rsidRPr="007F5613">
        <w:t xml:space="preserve"> which matches the molar composition of the 35:65 (v/v) mixture. This suggested that it was the top layer of the immiscible mixtures which was responsible for the resin swelling.</w:t>
      </w:r>
      <w:r w:rsidRPr="007F5613">
        <w:rPr>
          <w:color w:val="000000"/>
          <w:lang w:val="en-GB"/>
        </w:rPr>
        <w:t xml:space="preserve"> To confirm this interpretation, a 50:50 (v/v) mixture of </w:t>
      </w:r>
      <w:r w:rsidRPr="007F5613">
        <w:rPr>
          <w:b/>
          <w:color w:val="000000"/>
          <w:lang w:val="en-GB"/>
        </w:rPr>
        <w:t>5</w:t>
      </w:r>
      <w:r w:rsidRPr="007F5613">
        <w:rPr>
          <w:color w:val="000000"/>
          <w:lang w:val="en-GB"/>
        </w:rPr>
        <w:t xml:space="preserve"> and </w:t>
      </w:r>
      <w:r w:rsidRPr="007F5613">
        <w:rPr>
          <w:b/>
          <w:color w:val="000000"/>
          <w:lang w:val="en-GB"/>
        </w:rPr>
        <w:t>2</w:t>
      </w:r>
      <w:r w:rsidRPr="007F5613">
        <w:rPr>
          <w:color w:val="000000"/>
          <w:lang w:val="en-GB"/>
        </w:rPr>
        <w:t xml:space="preserve"> was prepared and the two layers separated. Each layer was analysed by GC, then used to swell Merrifield resin and the residual liquid present above the swollen beads reanalysed by GC. These data are also included in Table 3. The top layer showed no change in the composition of the solvent mixture after resin swelling. In contrast, for the bottom layer, the </w:t>
      </w:r>
      <w:proofErr w:type="spellStart"/>
      <w:r w:rsidRPr="007F5613">
        <w:rPr>
          <w:color w:val="000000"/>
          <w:lang w:val="en-GB"/>
        </w:rPr>
        <w:t>mol</w:t>
      </w:r>
      <w:proofErr w:type="spellEnd"/>
      <w:r w:rsidRPr="007F5613">
        <w:rPr>
          <w:color w:val="000000"/>
          <w:lang w:val="en-GB"/>
        </w:rPr>
        <w:t xml:space="preserve">% of </w:t>
      </w:r>
      <w:r w:rsidRPr="007F5613">
        <w:rPr>
          <w:b/>
          <w:color w:val="000000"/>
          <w:lang w:val="en-GB"/>
        </w:rPr>
        <w:t>5</w:t>
      </w:r>
      <w:r w:rsidRPr="007F5613">
        <w:rPr>
          <w:color w:val="000000"/>
          <w:lang w:val="en-GB"/>
        </w:rPr>
        <w:t xml:space="preserve"> present was found to decrease and the </w:t>
      </w:r>
      <w:proofErr w:type="spellStart"/>
      <w:r w:rsidRPr="007F5613">
        <w:rPr>
          <w:color w:val="000000"/>
          <w:lang w:val="en-GB"/>
        </w:rPr>
        <w:t>mol</w:t>
      </w:r>
      <w:proofErr w:type="spellEnd"/>
      <w:r w:rsidRPr="007F5613">
        <w:rPr>
          <w:color w:val="000000"/>
          <w:lang w:val="en-GB"/>
        </w:rPr>
        <w:t xml:space="preserve">% of </w:t>
      </w:r>
      <w:r w:rsidRPr="007F5613">
        <w:rPr>
          <w:b/>
          <w:color w:val="000000"/>
          <w:lang w:val="en-GB"/>
        </w:rPr>
        <w:t>2</w:t>
      </w:r>
      <w:r w:rsidRPr="007F5613">
        <w:rPr>
          <w:color w:val="000000"/>
          <w:lang w:val="en-GB"/>
        </w:rPr>
        <w:t xml:space="preserve"> present correspondingly increased. Thus, Merrifield resin prefers to swell in a </w:t>
      </w:r>
      <w:r w:rsidRPr="007F5613">
        <w:rPr>
          <w:b/>
          <w:color w:val="000000"/>
          <w:lang w:val="en-GB"/>
        </w:rPr>
        <w:t>5:2</w:t>
      </w:r>
      <w:r w:rsidRPr="007F5613">
        <w:rPr>
          <w:color w:val="000000"/>
          <w:lang w:val="en-GB"/>
        </w:rPr>
        <w:t xml:space="preserve"> mixture which contains more TMO than is present in the bottom layer and which corresponds to that found in the top layer.</w:t>
      </w:r>
    </w:p>
    <w:tbl>
      <w:tblPr>
        <w:tblW w:w="0" w:type="auto"/>
        <w:tblLook w:val="01E0" w:firstRow="1" w:lastRow="1" w:firstColumn="1" w:lastColumn="1" w:noHBand="0" w:noVBand="0"/>
      </w:tblPr>
      <w:tblGrid>
        <w:gridCol w:w="656"/>
        <w:gridCol w:w="656"/>
        <w:gridCol w:w="1272"/>
        <w:gridCol w:w="1003"/>
        <w:gridCol w:w="1199"/>
      </w:tblGrid>
      <w:tr w:rsidR="00E27376" w:rsidRPr="007F5613" w:rsidTr="002B4C5E">
        <w:tc>
          <w:tcPr>
            <w:tcW w:w="4786" w:type="dxa"/>
            <w:gridSpan w:val="5"/>
            <w:tcBorders>
              <w:bottom w:val="single" w:sz="8" w:space="0" w:color="auto"/>
            </w:tcBorders>
            <w:shd w:val="clear" w:color="auto" w:fill="auto"/>
          </w:tcPr>
          <w:p w:rsidR="00E27376" w:rsidRPr="007F5613" w:rsidRDefault="00E27376" w:rsidP="00E27376">
            <w:pPr>
              <w:pStyle w:val="TableCaption"/>
            </w:pPr>
            <w:r w:rsidRPr="007F5613">
              <w:rPr>
                <w:b/>
              </w:rPr>
              <w:lastRenderedPageBreak/>
              <w:t>Table 3.</w:t>
            </w:r>
            <w:r w:rsidRPr="007F5613">
              <w:t xml:space="preserve"> GC analysis of mixtures of propylene carbonate </w:t>
            </w:r>
            <w:r w:rsidRPr="007F5613">
              <w:rPr>
                <w:b/>
              </w:rPr>
              <w:t>2</w:t>
            </w:r>
            <w:r w:rsidRPr="007F5613">
              <w:t xml:space="preserve"> and TMO</w:t>
            </w:r>
            <w:r w:rsidR="0016703C" w:rsidRPr="007F5613">
              <w:t xml:space="preserve"> </w:t>
            </w:r>
            <w:r w:rsidR="0016703C" w:rsidRPr="007F5613">
              <w:rPr>
                <w:b/>
              </w:rPr>
              <w:t>5</w:t>
            </w:r>
            <w:r w:rsidRPr="007F5613">
              <w:t>.</w:t>
            </w:r>
          </w:p>
        </w:tc>
      </w:tr>
      <w:tr w:rsidR="007F7910" w:rsidRPr="007F5613" w:rsidTr="004E14AB">
        <w:tc>
          <w:tcPr>
            <w:tcW w:w="0" w:type="auto"/>
            <w:tcBorders>
              <w:top w:val="single" w:sz="8" w:space="0" w:color="auto"/>
              <w:bottom w:val="single" w:sz="8" w:space="0" w:color="auto"/>
            </w:tcBorders>
          </w:tcPr>
          <w:p w:rsidR="00E27376" w:rsidRPr="007F5613" w:rsidRDefault="0016703C" w:rsidP="00E27376">
            <w:pPr>
              <w:pStyle w:val="TableHead"/>
            </w:pPr>
            <w:r w:rsidRPr="007F5613">
              <w:rPr>
                <w:b/>
              </w:rPr>
              <w:t>5</w:t>
            </w:r>
            <w:r w:rsidR="00E27376" w:rsidRPr="007F5613">
              <w:t xml:space="preserve"> (v%)</w:t>
            </w:r>
          </w:p>
        </w:tc>
        <w:tc>
          <w:tcPr>
            <w:tcW w:w="0" w:type="auto"/>
            <w:tcBorders>
              <w:top w:val="single" w:sz="8" w:space="0" w:color="auto"/>
              <w:bottom w:val="single" w:sz="8" w:space="0" w:color="auto"/>
            </w:tcBorders>
          </w:tcPr>
          <w:p w:rsidR="00E27376" w:rsidRPr="007F5613" w:rsidRDefault="00E27376" w:rsidP="00E27376">
            <w:pPr>
              <w:pStyle w:val="TableHead"/>
            </w:pPr>
            <w:r w:rsidRPr="007F5613">
              <w:rPr>
                <w:b/>
              </w:rPr>
              <w:t>2</w:t>
            </w:r>
            <w:r w:rsidRPr="007F5613">
              <w:t xml:space="preserve"> (v%)</w:t>
            </w:r>
          </w:p>
        </w:tc>
        <w:tc>
          <w:tcPr>
            <w:tcW w:w="0" w:type="auto"/>
            <w:tcBorders>
              <w:top w:val="single" w:sz="8" w:space="0" w:color="auto"/>
              <w:bottom w:val="single" w:sz="8" w:space="0" w:color="auto"/>
            </w:tcBorders>
          </w:tcPr>
          <w:p w:rsidR="00E27376" w:rsidRPr="007F5613" w:rsidRDefault="00F2435C" w:rsidP="00E27376">
            <w:pPr>
              <w:pStyle w:val="TableHead"/>
              <w:rPr>
                <w:vertAlign w:val="superscript"/>
              </w:rPr>
            </w:pPr>
            <w:r w:rsidRPr="007F5613">
              <w:t>L</w:t>
            </w:r>
            <w:r w:rsidR="00E27376" w:rsidRPr="007F5613">
              <w:t>ayer</w:t>
            </w:r>
            <w:r w:rsidRPr="007F5613">
              <w:rPr>
                <w:vertAlign w:val="superscript"/>
              </w:rPr>
              <w:t>[a]</w:t>
            </w:r>
          </w:p>
        </w:tc>
        <w:tc>
          <w:tcPr>
            <w:tcW w:w="0" w:type="auto"/>
            <w:tcBorders>
              <w:top w:val="single" w:sz="8" w:space="0" w:color="auto"/>
              <w:bottom w:val="single" w:sz="8" w:space="0" w:color="auto"/>
            </w:tcBorders>
          </w:tcPr>
          <w:p w:rsidR="00E27376" w:rsidRPr="007F5613" w:rsidRDefault="0016703C" w:rsidP="00F2435C">
            <w:pPr>
              <w:pStyle w:val="TableHead"/>
              <w:rPr>
                <w:vertAlign w:val="superscript"/>
              </w:rPr>
            </w:pPr>
            <w:r w:rsidRPr="007F5613">
              <w:rPr>
                <w:b/>
              </w:rPr>
              <w:t>5</w:t>
            </w:r>
            <w:r w:rsidR="00E27376" w:rsidRPr="007F5613">
              <w:t xml:space="preserve"> (</w:t>
            </w:r>
            <w:proofErr w:type="spellStart"/>
            <w:r w:rsidR="00E27376" w:rsidRPr="007F5613">
              <w:t>mol</w:t>
            </w:r>
            <w:proofErr w:type="spellEnd"/>
            <w:r w:rsidR="00E27376" w:rsidRPr="007F5613">
              <w:t>%)</w:t>
            </w:r>
            <w:r w:rsidR="00E27376" w:rsidRPr="007F5613">
              <w:rPr>
                <w:vertAlign w:val="superscript"/>
              </w:rPr>
              <w:t>[</w:t>
            </w:r>
            <w:r w:rsidR="00F2435C" w:rsidRPr="007F5613">
              <w:rPr>
                <w:vertAlign w:val="superscript"/>
              </w:rPr>
              <w:t>b</w:t>
            </w:r>
            <w:r w:rsidR="00E27376" w:rsidRPr="007F5613">
              <w:rPr>
                <w:vertAlign w:val="superscript"/>
              </w:rPr>
              <w:t>]</w:t>
            </w:r>
          </w:p>
        </w:tc>
        <w:tc>
          <w:tcPr>
            <w:tcW w:w="1136" w:type="dxa"/>
            <w:tcBorders>
              <w:top w:val="single" w:sz="8" w:space="0" w:color="auto"/>
              <w:bottom w:val="single" w:sz="8" w:space="0" w:color="auto"/>
            </w:tcBorders>
          </w:tcPr>
          <w:p w:rsidR="00E27376" w:rsidRPr="007F5613" w:rsidRDefault="00E27376" w:rsidP="00F2435C">
            <w:pPr>
              <w:pStyle w:val="TableHead"/>
              <w:rPr>
                <w:vertAlign w:val="superscript"/>
              </w:rPr>
            </w:pPr>
            <w:r w:rsidRPr="007F5613">
              <w:rPr>
                <w:b/>
              </w:rPr>
              <w:t>2</w:t>
            </w:r>
            <w:r w:rsidRPr="007F5613">
              <w:t xml:space="preserve"> (</w:t>
            </w:r>
            <w:proofErr w:type="spellStart"/>
            <w:r w:rsidRPr="007F5613">
              <w:t>mol</w:t>
            </w:r>
            <w:proofErr w:type="spellEnd"/>
            <w:r w:rsidRPr="007F5613">
              <w:t>%)</w:t>
            </w:r>
            <w:r w:rsidRPr="007F5613">
              <w:rPr>
                <w:vertAlign w:val="superscript"/>
              </w:rPr>
              <w:t>[</w:t>
            </w:r>
            <w:r w:rsidR="00F2435C" w:rsidRPr="007F5613">
              <w:rPr>
                <w:vertAlign w:val="superscript"/>
              </w:rPr>
              <w:t>b</w:t>
            </w:r>
            <w:r w:rsidRPr="007F5613">
              <w:rPr>
                <w:vertAlign w:val="superscript"/>
              </w:rPr>
              <w:t>]</w:t>
            </w:r>
          </w:p>
        </w:tc>
      </w:tr>
      <w:tr w:rsidR="007F7910" w:rsidRPr="007F5613" w:rsidTr="004E14AB">
        <w:tc>
          <w:tcPr>
            <w:tcW w:w="0" w:type="auto"/>
            <w:tcBorders>
              <w:top w:val="single" w:sz="8" w:space="0" w:color="auto"/>
            </w:tcBorders>
          </w:tcPr>
          <w:p w:rsidR="00E27376" w:rsidRPr="007F5613" w:rsidRDefault="00E27376" w:rsidP="00E27376">
            <w:pPr>
              <w:pStyle w:val="TableBody"/>
            </w:pPr>
            <w:r w:rsidRPr="007F5613">
              <w:t>10</w:t>
            </w:r>
          </w:p>
        </w:tc>
        <w:tc>
          <w:tcPr>
            <w:tcW w:w="0" w:type="auto"/>
            <w:tcBorders>
              <w:top w:val="single" w:sz="8" w:space="0" w:color="auto"/>
            </w:tcBorders>
          </w:tcPr>
          <w:p w:rsidR="00E27376" w:rsidRPr="007F5613" w:rsidRDefault="00E27376" w:rsidP="00E27376">
            <w:pPr>
              <w:pStyle w:val="TableBody"/>
            </w:pPr>
            <w:r w:rsidRPr="007F5613">
              <w:t>90</w:t>
            </w:r>
          </w:p>
        </w:tc>
        <w:tc>
          <w:tcPr>
            <w:tcW w:w="0" w:type="auto"/>
            <w:tcBorders>
              <w:top w:val="single" w:sz="8" w:space="0" w:color="auto"/>
            </w:tcBorders>
          </w:tcPr>
          <w:p w:rsidR="00E27376" w:rsidRPr="007F5613" w:rsidRDefault="00E27376" w:rsidP="00E27376">
            <w:pPr>
              <w:pStyle w:val="TableBody"/>
            </w:pPr>
            <w:r w:rsidRPr="007F5613">
              <w:t>miscible</w:t>
            </w:r>
          </w:p>
        </w:tc>
        <w:tc>
          <w:tcPr>
            <w:tcW w:w="0" w:type="auto"/>
            <w:tcBorders>
              <w:top w:val="single" w:sz="8" w:space="0" w:color="auto"/>
            </w:tcBorders>
          </w:tcPr>
          <w:p w:rsidR="00E27376" w:rsidRPr="007F5613" w:rsidRDefault="00E27376" w:rsidP="00E27376">
            <w:pPr>
              <w:pStyle w:val="TableBody"/>
            </w:pPr>
            <w:r w:rsidRPr="007F5613">
              <w:t>6</w:t>
            </w:r>
          </w:p>
        </w:tc>
        <w:tc>
          <w:tcPr>
            <w:tcW w:w="1136" w:type="dxa"/>
            <w:tcBorders>
              <w:top w:val="single" w:sz="8" w:space="0" w:color="auto"/>
            </w:tcBorders>
          </w:tcPr>
          <w:p w:rsidR="00E27376" w:rsidRPr="007F5613" w:rsidRDefault="00E27376" w:rsidP="00E27376">
            <w:pPr>
              <w:pStyle w:val="TableBody"/>
            </w:pPr>
            <w:r w:rsidRPr="007F5613">
              <w:t>94</w:t>
            </w:r>
          </w:p>
        </w:tc>
      </w:tr>
      <w:tr w:rsidR="007F7910" w:rsidRPr="007F5613" w:rsidTr="004E14AB">
        <w:tc>
          <w:tcPr>
            <w:tcW w:w="0" w:type="auto"/>
          </w:tcPr>
          <w:p w:rsidR="00E27376" w:rsidRPr="007F5613" w:rsidRDefault="00E27376" w:rsidP="00E27376">
            <w:pPr>
              <w:pStyle w:val="TableBody"/>
            </w:pPr>
            <w:r w:rsidRPr="007F5613">
              <w:t>20</w:t>
            </w:r>
          </w:p>
        </w:tc>
        <w:tc>
          <w:tcPr>
            <w:tcW w:w="0" w:type="auto"/>
          </w:tcPr>
          <w:p w:rsidR="00E27376" w:rsidRPr="007F5613" w:rsidRDefault="00E27376" w:rsidP="00E27376">
            <w:pPr>
              <w:pStyle w:val="TableBody"/>
            </w:pPr>
            <w:r w:rsidRPr="007F5613">
              <w:t>80</w:t>
            </w:r>
          </w:p>
        </w:tc>
        <w:tc>
          <w:tcPr>
            <w:tcW w:w="0" w:type="auto"/>
          </w:tcPr>
          <w:p w:rsidR="00E27376" w:rsidRPr="007F5613" w:rsidRDefault="00E27376" w:rsidP="00E27376">
            <w:pPr>
              <w:pStyle w:val="TableBody"/>
            </w:pPr>
            <w:r w:rsidRPr="007F5613">
              <w:t>miscible</w:t>
            </w:r>
          </w:p>
        </w:tc>
        <w:tc>
          <w:tcPr>
            <w:tcW w:w="0" w:type="auto"/>
          </w:tcPr>
          <w:p w:rsidR="00E27376" w:rsidRPr="007F5613" w:rsidRDefault="00E27376" w:rsidP="00E27376">
            <w:pPr>
              <w:pStyle w:val="TableBody"/>
            </w:pPr>
            <w:r w:rsidRPr="007F5613">
              <w:t>12</w:t>
            </w:r>
          </w:p>
        </w:tc>
        <w:tc>
          <w:tcPr>
            <w:tcW w:w="1136" w:type="dxa"/>
          </w:tcPr>
          <w:p w:rsidR="00E27376" w:rsidRPr="007F5613" w:rsidRDefault="00E27376" w:rsidP="00E27376">
            <w:pPr>
              <w:pStyle w:val="TableBody"/>
            </w:pPr>
            <w:r w:rsidRPr="007F5613">
              <w:t>88</w:t>
            </w:r>
          </w:p>
        </w:tc>
      </w:tr>
      <w:tr w:rsidR="007F7910" w:rsidRPr="007F5613" w:rsidTr="004E14AB">
        <w:tc>
          <w:tcPr>
            <w:tcW w:w="0" w:type="auto"/>
          </w:tcPr>
          <w:p w:rsidR="00E27376" w:rsidRPr="007F5613" w:rsidRDefault="00E27376" w:rsidP="00E27376">
            <w:pPr>
              <w:pStyle w:val="TableBody"/>
            </w:pPr>
            <w:r w:rsidRPr="007F5613">
              <w:t>30</w:t>
            </w:r>
          </w:p>
        </w:tc>
        <w:tc>
          <w:tcPr>
            <w:tcW w:w="0" w:type="auto"/>
          </w:tcPr>
          <w:p w:rsidR="00E27376" w:rsidRPr="007F5613" w:rsidRDefault="00E27376" w:rsidP="00E27376">
            <w:pPr>
              <w:pStyle w:val="TableBody"/>
            </w:pPr>
            <w:r w:rsidRPr="007F5613">
              <w:t>70</w:t>
            </w:r>
          </w:p>
        </w:tc>
        <w:tc>
          <w:tcPr>
            <w:tcW w:w="0" w:type="auto"/>
          </w:tcPr>
          <w:p w:rsidR="00E27376" w:rsidRPr="007F5613" w:rsidRDefault="00E27376" w:rsidP="00E27376">
            <w:pPr>
              <w:pStyle w:val="TableBody"/>
            </w:pPr>
            <w:r w:rsidRPr="007F5613">
              <w:t>miscible</w:t>
            </w:r>
          </w:p>
        </w:tc>
        <w:tc>
          <w:tcPr>
            <w:tcW w:w="0" w:type="auto"/>
          </w:tcPr>
          <w:p w:rsidR="00E27376" w:rsidRPr="007F5613" w:rsidRDefault="00E27376" w:rsidP="00E27376">
            <w:pPr>
              <w:pStyle w:val="TableBody"/>
            </w:pPr>
            <w:r w:rsidRPr="007F5613">
              <w:t>19</w:t>
            </w:r>
          </w:p>
        </w:tc>
        <w:tc>
          <w:tcPr>
            <w:tcW w:w="1136" w:type="dxa"/>
          </w:tcPr>
          <w:p w:rsidR="00E27376" w:rsidRPr="007F5613" w:rsidRDefault="00E27376" w:rsidP="00E27376">
            <w:pPr>
              <w:pStyle w:val="TableBody"/>
            </w:pPr>
            <w:r w:rsidRPr="007F5613">
              <w:t>81</w:t>
            </w:r>
          </w:p>
        </w:tc>
      </w:tr>
      <w:tr w:rsidR="007F7910" w:rsidRPr="007F5613" w:rsidTr="004E14AB">
        <w:tc>
          <w:tcPr>
            <w:tcW w:w="0" w:type="auto"/>
          </w:tcPr>
          <w:p w:rsidR="00E27376" w:rsidRPr="007F5613" w:rsidRDefault="00E27376" w:rsidP="00E27376">
            <w:pPr>
              <w:pStyle w:val="TableBody"/>
            </w:pPr>
            <w:r w:rsidRPr="007F5613">
              <w:t>35</w:t>
            </w:r>
          </w:p>
        </w:tc>
        <w:tc>
          <w:tcPr>
            <w:tcW w:w="0" w:type="auto"/>
          </w:tcPr>
          <w:p w:rsidR="00E27376" w:rsidRPr="007F5613" w:rsidRDefault="00E27376" w:rsidP="00E27376">
            <w:pPr>
              <w:pStyle w:val="TableBody"/>
            </w:pPr>
            <w:r w:rsidRPr="007F5613">
              <w:t>65</w:t>
            </w:r>
          </w:p>
        </w:tc>
        <w:tc>
          <w:tcPr>
            <w:tcW w:w="0" w:type="auto"/>
          </w:tcPr>
          <w:p w:rsidR="00E27376" w:rsidRPr="007F5613" w:rsidRDefault="00E27376" w:rsidP="00E27376">
            <w:pPr>
              <w:pStyle w:val="TableBody"/>
            </w:pPr>
            <w:r w:rsidRPr="007F5613">
              <w:t>miscible</w:t>
            </w:r>
          </w:p>
        </w:tc>
        <w:tc>
          <w:tcPr>
            <w:tcW w:w="0" w:type="auto"/>
          </w:tcPr>
          <w:p w:rsidR="00E27376" w:rsidRPr="007F5613" w:rsidRDefault="00E27376" w:rsidP="00E27376">
            <w:pPr>
              <w:pStyle w:val="TableBody"/>
            </w:pPr>
            <w:r w:rsidRPr="007F5613">
              <w:t>22</w:t>
            </w:r>
          </w:p>
        </w:tc>
        <w:tc>
          <w:tcPr>
            <w:tcW w:w="1136" w:type="dxa"/>
          </w:tcPr>
          <w:p w:rsidR="00E27376" w:rsidRPr="007F5613" w:rsidRDefault="00E27376" w:rsidP="00E27376">
            <w:pPr>
              <w:pStyle w:val="TableBody"/>
            </w:pPr>
            <w:r w:rsidRPr="007F5613">
              <w:t>78</w:t>
            </w:r>
          </w:p>
        </w:tc>
      </w:tr>
      <w:tr w:rsidR="007F7910" w:rsidRPr="007F5613" w:rsidTr="004E14AB">
        <w:tc>
          <w:tcPr>
            <w:tcW w:w="0" w:type="auto"/>
          </w:tcPr>
          <w:p w:rsidR="00E27376" w:rsidRPr="007F5613" w:rsidRDefault="002D4FB7" w:rsidP="00E27376">
            <w:pPr>
              <w:pStyle w:val="TableBody"/>
              <w:rPr>
                <w:vertAlign w:val="superscript"/>
              </w:rPr>
            </w:pPr>
            <w:r w:rsidRPr="007F5613">
              <w:t>40</w:t>
            </w:r>
          </w:p>
        </w:tc>
        <w:tc>
          <w:tcPr>
            <w:tcW w:w="0" w:type="auto"/>
          </w:tcPr>
          <w:p w:rsidR="00E27376" w:rsidRPr="007F5613" w:rsidRDefault="002D4FB7" w:rsidP="00E27376">
            <w:pPr>
              <w:pStyle w:val="TableBody"/>
            </w:pPr>
            <w:r w:rsidRPr="007F5613">
              <w:t>60</w:t>
            </w:r>
          </w:p>
        </w:tc>
        <w:tc>
          <w:tcPr>
            <w:tcW w:w="0" w:type="auto"/>
          </w:tcPr>
          <w:p w:rsidR="00E27376" w:rsidRPr="007F5613" w:rsidRDefault="002D4FB7" w:rsidP="00E27376">
            <w:pPr>
              <w:pStyle w:val="TableBody"/>
            </w:pPr>
            <w:r w:rsidRPr="007F5613">
              <w:t>top</w:t>
            </w:r>
            <w:r w:rsidR="00F2435C" w:rsidRPr="007F5613">
              <w:t xml:space="preserve"> (0.8 mL)</w:t>
            </w:r>
          </w:p>
        </w:tc>
        <w:tc>
          <w:tcPr>
            <w:tcW w:w="0" w:type="auto"/>
          </w:tcPr>
          <w:p w:rsidR="00E27376" w:rsidRPr="007F5613" w:rsidRDefault="002D4FB7" w:rsidP="00E27376">
            <w:pPr>
              <w:pStyle w:val="TableBody"/>
            </w:pPr>
            <w:r w:rsidRPr="007F5613">
              <w:t>84</w:t>
            </w:r>
          </w:p>
        </w:tc>
        <w:tc>
          <w:tcPr>
            <w:tcW w:w="1136" w:type="dxa"/>
          </w:tcPr>
          <w:p w:rsidR="00E27376" w:rsidRPr="007F5613" w:rsidRDefault="002D4FB7" w:rsidP="00E27376">
            <w:pPr>
              <w:pStyle w:val="TableBody"/>
            </w:pPr>
            <w:r w:rsidRPr="007F5613">
              <w:t>16</w:t>
            </w:r>
          </w:p>
        </w:tc>
      </w:tr>
      <w:tr w:rsidR="007F7910" w:rsidRPr="007F5613" w:rsidTr="004E14AB">
        <w:tc>
          <w:tcPr>
            <w:tcW w:w="0" w:type="auto"/>
          </w:tcPr>
          <w:p w:rsidR="002D4FB7" w:rsidRPr="007F5613" w:rsidRDefault="002D4FB7" w:rsidP="002D4FB7">
            <w:pPr>
              <w:pStyle w:val="TableBody"/>
            </w:pPr>
            <w:r w:rsidRPr="007F5613">
              <w:t>40</w:t>
            </w:r>
          </w:p>
        </w:tc>
        <w:tc>
          <w:tcPr>
            <w:tcW w:w="0" w:type="auto"/>
          </w:tcPr>
          <w:p w:rsidR="002D4FB7" w:rsidRPr="007F5613" w:rsidRDefault="002D4FB7" w:rsidP="002D4FB7">
            <w:pPr>
              <w:pStyle w:val="TableBody"/>
            </w:pPr>
            <w:r w:rsidRPr="007F5613">
              <w:t>60</w:t>
            </w:r>
          </w:p>
        </w:tc>
        <w:tc>
          <w:tcPr>
            <w:tcW w:w="0" w:type="auto"/>
          </w:tcPr>
          <w:p w:rsidR="002D4FB7" w:rsidRPr="007F5613" w:rsidRDefault="002D4FB7" w:rsidP="00F2435C">
            <w:pPr>
              <w:pStyle w:val="TableBody"/>
            </w:pPr>
            <w:r w:rsidRPr="007F5613">
              <w:t>bottom</w:t>
            </w:r>
            <w:r w:rsidR="00F2435C" w:rsidRPr="007F5613">
              <w:t xml:space="preserve"> (9.2 mL)</w:t>
            </w:r>
          </w:p>
        </w:tc>
        <w:tc>
          <w:tcPr>
            <w:tcW w:w="0" w:type="auto"/>
          </w:tcPr>
          <w:p w:rsidR="002D4FB7" w:rsidRPr="007F5613" w:rsidRDefault="002D4FB7" w:rsidP="002D4FB7">
            <w:pPr>
              <w:pStyle w:val="TableBody"/>
            </w:pPr>
            <w:r w:rsidRPr="007F5613">
              <w:t>24</w:t>
            </w:r>
          </w:p>
        </w:tc>
        <w:tc>
          <w:tcPr>
            <w:tcW w:w="1136" w:type="dxa"/>
          </w:tcPr>
          <w:p w:rsidR="002D4FB7" w:rsidRPr="007F5613" w:rsidRDefault="002D4FB7" w:rsidP="002D4FB7">
            <w:pPr>
              <w:pStyle w:val="TableBody"/>
            </w:pPr>
            <w:r w:rsidRPr="007F5613">
              <w:t>76</w:t>
            </w:r>
          </w:p>
        </w:tc>
      </w:tr>
      <w:tr w:rsidR="007F7910" w:rsidRPr="007F5613" w:rsidTr="004E14AB">
        <w:tc>
          <w:tcPr>
            <w:tcW w:w="0" w:type="auto"/>
          </w:tcPr>
          <w:p w:rsidR="002D4FB7" w:rsidRPr="007F5613" w:rsidRDefault="002D4FB7" w:rsidP="002D4FB7">
            <w:pPr>
              <w:pStyle w:val="TableBody"/>
            </w:pPr>
            <w:r w:rsidRPr="007F5613">
              <w:t>50</w:t>
            </w:r>
          </w:p>
        </w:tc>
        <w:tc>
          <w:tcPr>
            <w:tcW w:w="0" w:type="auto"/>
          </w:tcPr>
          <w:p w:rsidR="002D4FB7" w:rsidRPr="007F5613" w:rsidRDefault="002D4FB7" w:rsidP="002D4FB7">
            <w:pPr>
              <w:pStyle w:val="TableBody"/>
            </w:pPr>
            <w:r w:rsidRPr="007F5613">
              <w:t>50</w:t>
            </w:r>
          </w:p>
        </w:tc>
        <w:tc>
          <w:tcPr>
            <w:tcW w:w="0" w:type="auto"/>
          </w:tcPr>
          <w:p w:rsidR="002D4FB7" w:rsidRPr="007F5613" w:rsidRDefault="00F2435C" w:rsidP="00F2435C">
            <w:pPr>
              <w:pStyle w:val="TableBody"/>
            </w:pPr>
            <w:r w:rsidRPr="007F5613">
              <w:t>top (2.6 mL)</w:t>
            </w:r>
          </w:p>
        </w:tc>
        <w:tc>
          <w:tcPr>
            <w:tcW w:w="0" w:type="auto"/>
          </w:tcPr>
          <w:p w:rsidR="002D4FB7" w:rsidRPr="007F5613" w:rsidRDefault="002D4FB7" w:rsidP="00F2435C">
            <w:pPr>
              <w:pStyle w:val="TableBody"/>
              <w:rPr>
                <w:vertAlign w:val="superscript"/>
              </w:rPr>
            </w:pPr>
            <w:r w:rsidRPr="007F5613">
              <w:t>86</w:t>
            </w:r>
            <w:r w:rsidR="001443E8" w:rsidRPr="007F5613">
              <w:t xml:space="preserve"> (85,87)</w:t>
            </w:r>
            <w:r w:rsidR="001443E8" w:rsidRPr="007F5613">
              <w:rPr>
                <w:vertAlign w:val="superscript"/>
              </w:rPr>
              <w:t>[</w:t>
            </w:r>
            <w:r w:rsidR="00F2435C" w:rsidRPr="007F5613">
              <w:rPr>
                <w:vertAlign w:val="superscript"/>
              </w:rPr>
              <w:t>c</w:t>
            </w:r>
            <w:r w:rsidR="001443E8" w:rsidRPr="007F5613">
              <w:rPr>
                <w:vertAlign w:val="superscript"/>
              </w:rPr>
              <w:t>]</w:t>
            </w:r>
          </w:p>
        </w:tc>
        <w:tc>
          <w:tcPr>
            <w:tcW w:w="1136" w:type="dxa"/>
          </w:tcPr>
          <w:p w:rsidR="002D4FB7" w:rsidRPr="007F5613" w:rsidRDefault="002D4FB7" w:rsidP="00F2435C">
            <w:pPr>
              <w:pStyle w:val="TableBody"/>
              <w:rPr>
                <w:vertAlign w:val="superscript"/>
              </w:rPr>
            </w:pPr>
            <w:r w:rsidRPr="007F5613">
              <w:t>14</w:t>
            </w:r>
            <w:r w:rsidR="001443E8" w:rsidRPr="007F5613">
              <w:t xml:space="preserve"> (15,13)</w:t>
            </w:r>
            <w:r w:rsidR="001443E8" w:rsidRPr="007F5613">
              <w:rPr>
                <w:vertAlign w:val="superscript"/>
              </w:rPr>
              <w:t>[</w:t>
            </w:r>
            <w:r w:rsidR="00F2435C" w:rsidRPr="007F5613">
              <w:rPr>
                <w:vertAlign w:val="superscript"/>
              </w:rPr>
              <w:t>c</w:t>
            </w:r>
            <w:r w:rsidR="001443E8" w:rsidRPr="007F5613">
              <w:rPr>
                <w:vertAlign w:val="superscript"/>
              </w:rPr>
              <w:t>]</w:t>
            </w:r>
          </w:p>
        </w:tc>
      </w:tr>
      <w:tr w:rsidR="007F7910" w:rsidRPr="007F5613" w:rsidTr="004E14AB">
        <w:tc>
          <w:tcPr>
            <w:tcW w:w="0" w:type="auto"/>
          </w:tcPr>
          <w:p w:rsidR="002D4FB7" w:rsidRPr="007F5613" w:rsidRDefault="002D4FB7" w:rsidP="002D4FB7">
            <w:pPr>
              <w:pStyle w:val="TableBody"/>
            </w:pPr>
            <w:r w:rsidRPr="007F5613">
              <w:t>50</w:t>
            </w:r>
          </w:p>
        </w:tc>
        <w:tc>
          <w:tcPr>
            <w:tcW w:w="0" w:type="auto"/>
          </w:tcPr>
          <w:p w:rsidR="002D4FB7" w:rsidRPr="007F5613" w:rsidRDefault="002D4FB7" w:rsidP="002D4FB7">
            <w:pPr>
              <w:pStyle w:val="TableBody"/>
            </w:pPr>
            <w:r w:rsidRPr="007F5613">
              <w:t>50</w:t>
            </w:r>
          </w:p>
        </w:tc>
        <w:tc>
          <w:tcPr>
            <w:tcW w:w="0" w:type="auto"/>
          </w:tcPr>
          <w:p w:rsidR="002D4FB7" w:rsidRPr="007F5613" w:rsidRDefault="00F2435C" w:rsidP="00F2435C">
            <w:pPr>
              <w:pStyle w:val="TableBody"/>
            </w:pPr>
            <w:r w:rsidRPr="007F5613">
              <w:t>b</w:t>
            </w:r>
            <w:r w:rsidR="002D4FB7" w:rsidRPr="007F5613">
              <w:t>ottom</w:t>
            </w:r>
            <w:r w:rsidRPr="007F5613">
              <w:t xml:space="preserve"> (7.4 mL)</w:t>
            </w:r>
          </w:p>
        </w:tc>
        <w:tc>
          <w:tcPr>
            <w:tcW w:w="0" w:type="auto"/>
          </w:tcPr>
          <w:p w:rsidR="002D4FB7" w:rsidRPr="007F5613" w:rsidRDefault="002D4FB7" w:rsidP="00F2435C">
            <w:pPr>
              <w:pStyle w:val="TableBody"/>
            </w:pPr>
            <w:r w:rsidRPr="007F5613">
              <w:t>23</w:t>
            </w:r>
            <w:r w:rsidR="003967FF" w:rsidRPr="007F5613">
              <w:t xml:space="preserve"> (22,14)</w:t>
            </w:r>
            <w:r w:rsidR="003967FF" w:rsidRPr="007F5613">
              <w:rPr>
                <w:vertAlign w:val="superscript"/>
              </w:rPr>
              <w:t>[</w:t>
            </w:r>
            <w:r w:rsidR="00F2435C" w:rsidRPr="007F5613">
              <w:rPr>
                <w:vertAlign w:val="superscript"/>
              </w:rPr>
              <w:t>c</w:t>
            </w:r>
            <w:r w:rsidR="003967FF" w:rsidRPr="007F5613">
              <w:rPr>
                <w:vertAlign w:val="superscript"/>
              </w:rPr>
              <w:t>]</w:t>
            </w:r>
          </w:p>
        </w:tc>
        <w:tc>
          <w:tcPr>
            <w:tcW w:w="1136" w:type="dxa"/>
          </w:tcPr>
          <w:p w:rsidR="002D4FB7" w:rsidRPr="007F5613" w:rsidRDefault="002D4FB7" w:rsidP="00F2435C">
            <w:pPr>
              <w:pStyle w:val="TableBody"/>
            </w:pPr>
            <w:r w:rsidRPr="007F5613">
              <w:t>77</w:t>
            </w:r>
            <w:r w:rsidR="003967FF" w:rsidRPr="007F5613">
              <w:t xml:space="preserve"> (78,86)</w:t>
            </w:r>
            <w:r w:rsidR="003967FF" w:rsidRPr="007F5613">
              <w:rPr>
                <w:vertAlign w:val="superscript"/>
              </w:rPr>
              <w:t>[</w:t>
            </w:r>
            <w:r w:rsidR="00F2435C" w:rsidRPr="007F5613">
              <w:rPr>
                <w:vertAlign w:val="superscript"/>
              </w:rPr>
              <w:t>c</w:t>
            </w:r>
            <w:r w:rsidR="003967FF" w:rsidRPr="007F5613">
              <w:rPr>
                <w:vertAlign w:val="superscript"/>
              </w:rPr>
              <w:t>]</w:t>
            </w:r>
          </w:p>
        </w:tc>
      </w:tr>
      <w:tr w:rsidR="007F7910" w:rsidRPr="007F5613" w:rsidTr="004E14AB">
        <w:tc>
          <w:tcPr>
            <w:tcW w:w="0" w:type="auto"/>
          </w:tcPr>
          <w:p w:rsidR="002D4FB7" w:rsidRPr="007F5613" w:rsidRDefault="002D4FB7" w:rsidP="002D4FB7">
            <w:pPr>
              <w:pStyle w:val="TableBody"/>
            </w:pPr>
            <w:r w:rsidRPr="007F5613">
              <w:t>60</w:t>
            </w:r>
          </w:p>
        </w:tc>
        <w:tc>
          <w:tcPr>
            <w:tcW w:w="0" w:type="auto"/>
          </w:tcPr>
          <w:p w:rsidR="002D4FB7" w:rsidRPr="007F5613" w:rsidRDefault="002D4FB7" w:rsidP="002D4FB7">
            <w:pPr>
              <w:pStyle w:val="TableBody"/>
            </w:pPr>
            <w:r w:rsidRPr="007F5613">
              <w:t>40</w:t>
            </w:r>
          </w:p>
        </w:tc>
        <w:tc>
          <w:tcPr>
            <w:tcW w:w="0" w:type="auto"/>
          </w:tcPr>
          <w:p w:rsidR="002D4FB7" w:rsidRPr="007F5613" w:rsidRDefault="00F2435C" w:rsidP="00F2435C">
            <w:pPr>
              <w:pStyle w:val="TableBody"/>
            </w:pPr>
            <w:r w:rsidRPr="007F5613">
              <w:t>t</w:t>
            </w:r>
            <w:r w:rsidR="002D4FB7" w:rsidRPr="007F5613">
              <w:t>op</w:t>
            </w:r>
            <w:r w:rsidRPr="007F5613">
              <w:t xml:space="preserve"> (4.4 mL)</w:t>
            </w:r>
          </w:p>
        </w:tc>
        <w:tc>
          <w:tcPr>
            <w:tcW w:w="0" w:type="auto"/>
          </w:tcPr>
          <w:p w:rsidR="002D4FB7" w:rsidRPr="007F5613" w:rsidRDefault="002D4FB7" w:rsidP="002D4FB7">
            <w:pPr>
              <w:pStyle w:val="TableBody"/>
            </w:pPr>
            <w:r w:rsidRPr="007F5613">
              <w:t>86</w:t>
            </w:r>
          </w:p>
        </w:tc>
        <w:tc>
          <w:tcPr>
            <w:tcW w:w="1136" w:type="dxa"/>
          </w:tcPr>
          <w:p w:rsidR="002D4FB7" w:rsidRPr="007F5613" w:rsidRDefault="002D4FB7" w:rsidP="002D4FB7">
            <w:pPr>
              <w:pStyle w:val="TableBody"/>
            </w:pPr>
            <w:r w:rsidRPr="007F5613">
              <w:t>14</w:t>
            </w:r>
          </w:p>
        </w:tc>
      </w:tr>
      <w:tr w:rsidR="007F7910" w:rsidRPr="007F5613" w:rsidTr="004E14AB">
        <w:tc>
          <w:tcPr>
            <w:tcW w:w="0" w:type="auto"/>
          </w:tcPr>
          <w:p w:rsidR="002D4FB7" w:rsidRPr="007F5613" w:rsidRDefault="002D4FB7" w:rsidP="002D4FB7">
            <w:pPr>
              <w:pStyle w:val="TableBody"/>
            </w:pPr>
            <w:r w:rsidRPr="007F5613">
              <w:t>60</w:t>
            </w:r>
          </w:p>
        </w:tc>
        <w:tc>
          <w:tcPr>
            <w:tcW w:w="0" w:type="auto"/>
          </w:tcPr>
          <w:p w:rsidR="002D4FB7" w:rsidRPr="007F5613" w:rsidRDefault="002D4FB7" w:rsidP="002D4FB7">
            <w:pPr>
              <w:pStyle w:val="TableBody"/>
            </w:pPr>
            <w:r w:rsidRPr="007F5613">
              <w:t>40</w:t>
            </w:r>
          </w:p>
        </w:tc>
        <w:tc>
          <w:tcPr>
            <w:tcW w:w="0" w:type="auto"/>
          </w:tcPr>
          <w:p w:rsidR="002D4FB7" w:rsidRPr="007F5613" w:rsidRDefault="002D4FB7" w:rsidP="00F2435C">
            <w:pPr>
              <w:pStyle w:val="TableBody"/>
            </w:pPr>
            <w:r w:rsidRPr="007F5613">
              <w:t>bottom</w:t>
            </w:r>
            <w:r w:rsidR="00F2435C" w:rsidRPr="007F5613">
              <w:t xml:space="preserve"> (5.6 mL)</w:t>
            </w:r>
          </w:p>
        </w:tc>
        <w:tc>
          <w:tcPr>
            <w:tcW w:w="0" w:type="auto"/>
          </w:tcPr>
          <w:p w:rsidR="002D4FB7" w:rsidRPr="007F5613" w:rsidRDefault="002D4FB7" w:rsidP="002D4FB7">
            <w:pPr>
              <w:pStyle w:val="TableBody"/>
            </w:pPr>
            <w:r w:rsidRPr="007F5613">
              <w:t>23</w:t>
            </w:r>
          </w:p>
        </w:tc>
        <w:tc>
          <w:tcPr>
            <w:tcW w:w="1136" w:type="dxa"/>
          </w:tcPr>
          <w:p w:rsidR="002D4FB7" w:rsidRPr="007F5613" w:rsidRDefault="002D4FB7" w:rsidP="002D4FB7">
            <w:pPr>
              <w:pStyle w:val="TableBody"/>
            </w:pPr>
            <w:r w:rsidRPr="007F5613">
              <w:t>77</w:t>
            </w:r>
          </w:p>
        </w:tc>
      </w:tr>
      <w:tr w:rsidR="007F7910" w:rsidRPr="007F5613" w:rsidTr="004E14AB">
        <w:tc>
          <w:tcPr>
            <w:tcW w:w="0" w:type="auto"/>
          </w:tcPr>
          <w:p w:rsidR="002D4FB7" w:rsidRPr="007F5613" w:rsidRDefault="002D4FB7" w:rsidP="002D4FB7">
            <w:pPr>
              <w:pStyle w:val="TableBody"/>
            </w:pPr>
            <w:r w:rsidRPr="007F5613">
              <w:t>70</w:t>
            </w:r>
          </w:p>
        </w:tc>
        <w:tc>
          <w:tcPr>
            <w:tcW w:w="0" w:type="auto"/>
          </w:tcPr>
          <w:p w:rsidR="002D4FB7" w:rsidRPr="007F5613" w:rsidRDefault="002D4FB7" w:rsidP="002D4FB7">
            <w:pPr>
              <w:pStyle w:val="TableBody"/>
            </w:pPr>
            <w:r w:rsidRPr="007F5613">
              <w:t>30</w:t>
            </w:r>
          </w:p>
        </w:tc>
        <w:tc>
          <w:tcPr>
            <w:tcW w:w="0" w:type="auto"/>
          </w:tcPr>
          <w:p w:rsidR="002D4FB7" w:rsidRPr="007F5613" w:rsidRDefault="002D4FB7" w:rsidP="00F2435C">
            <w:pPr>
              <w:pStyle w:val="TableBody"/>
            </w:pPr>
            <w:r w:rsidRPr="007F5613">
              <w:t>top</w:t>
            </w:r>
            <w:r w:rsidR="00F2435C" w:rsidRPr="007F5613">
              <w:t xml:space="preserve"> (6.4 mL)</w:t>
            </w:r>
          </w:p>
        </w:tc>
        <w:tc>
          <w:tcPr>
            <w:tcW w:w="0" w:type="auto"/>
          </w:tcPr>
          <w:p w:rsidR="002D4FB7" w:rsidRPr="007F5613" w:rsidRDefault="002D4FB7" w:rsidP="002D4FB7">
            <w:pPr>
              <w:pStyle w:val="TableBody"/>
            </w:pPr>
            <w:r w:rsidRPr="007F5613">
              <w:t>86</w:t>
            </w:r>
          </w:p>
        </w:tc>
        <w:tc>
          <w:tcPr>
            <w:tcW w:w="1136" w:type="dxa"/>
          </w:tcPr>
          <w:p w:rsidR="002D4FB7" w:rsidRPr="007F5613" w:rsidRDefault="002D4FB7" w:rsidP="002D4FB7">
            <w:pPr>
              <w:pStyle w:val="TableBody"/>
            </w:pPr>
            <w:r w:rsidRPr="007F5613">
              <w:t>14</w:t>
            </w:r>
          </w:p>
        </w:tc>
      </w:tr>
      <w:tr w:rsidR="007F7910" w:rsidRPr="007F5613" w:rsidTr="004E14AB">
        <w:tc>
          <w:tcPr>
            <w:tcW w:w="0" w:type="auto"/>
          </w:tcPr>
          <w:p w:rsidR="002D4FB7" w:rsidRPr="007F5613" w:rsidRDefault="002D4FB7" w:rsidP="002D4FB7">
            <w:pPr>
              <w:pStyle w:val="TableBody"/>
            </w:pPr>
            <w:r w:rsidRPr="007F5613">
              <w:t>70</w:t>
            </w:r>
          </w:p>
        </w:tc>
        <w:tc>
          <w:tcPr>
            <w:tcW w:w="0" w:type="auto"/>
          </w:tcPr>
          <w:p w:rsidR="002D4FB7" w:rsidRPr="007F5613" w:rsidRDefault="002D4FB7" w:rsidP="002D4FB7">
            <w:pPr>
              <w:pStyle w:val="TableBody"/>
            </w:pPr>
            <w:r w:rsidRPr="007F5613">
              <w:t>30</w:t>
            </w:r>
          </w:p>
        </w:tc>
        <w:tc>
          <w:tcPr>
            <w:tcW w:w="0" w:type="auto"/>
          </w:tcPr>
          <w:p w:rsidR="002D4FB7" w:rsidRPr="007F5613" w:rsidRDefault="002D4FB7" w:rsidP="00F2435C">
            <w:pPr>
              <w:pStyle w:val="TableBody"/>
            </w:pPr>
            <w:r w:rsidRPr="007F5613">
              <w:t>bottom</w:t>
            </w:r>
            <w:r w:rsidR="00F2435C" w:rsidRPr="007F5613">
              <w:t xml:space="preserve"> (3.6 mL)</w:t>
            </w:r>
          </w:p>
        </w:tc>
        <w:tc>
          <w:tcPr>
            <w:tcW w:w="0" w:type="auto"/>
          </w:tcPr>
          <w:p w:rsidR="002D4FB7" w:rsidRPr="007F5613" w:rsidRDefault="002D4FB7" w:rsidP="002D4FB7">
            <w:pPr>
              <w:pStyle w:val="TableBody"/>
            </w:pPr>
            <w:r w:rsidRPr="007F5613">
              <w:t>23</w:t>
            </w:r>
          </w:p>
        </w:tc>
        <w:tc>
          <w:tcPr>
            <w:tcW w:w="1136" w:type="dxa"/>
          </w:tcPr>
          <w:p w:rsidR="002D4FB7" w:rsidRPr="007F5613" w:rsidRDefault="002D4FB7" w:rsidP="002D4FB7">
            <w:pPr>
              <w:pStyle w:val="TableBody"/>
            </w:pPr>
            <w:r w:rsidRPr="007F5613">
              <w:t>77</w:t>
            </w:r>
          </w:p>
        </w:tc>
      </w:tr>
      <w:tr w:rsidR="007F7910" w:rsidRPr="007F5613" w:rsidTr="004E14AB">
        <w:tc>
          <w:tcPr>
            <w:tcW w:w="0" w:type="auto"/>
          </w:tcPr>
          <w:p w:rsidR="002D4FB7" w:rsidRPr="007F5613" w:rsidRDefault="002D4FB7" w:rsidP="002D4FB7">
            <w:pPr>
              <w:pStyle w:val="TableBody"/>
            </w:pPr>
            <w:r w:rsidRPr="007F5613">
              <w:t>80</w:t>
            </w:r>
          </w:p>
        </w:tc>
        <w:tc>
          <w:tcPr>
            <w:tcW w:w="0" w:type="auto"/>
          </w:tcPr>
          <w:p w:rsidR="002D4FB7" w:rsidRPr="007F5613" w:rsidRDefault="002D4FB7" w:rsidP="002D4FB7">
            <w:pPr>
              <w:pStyle w:val="TableBody"/>
            </w:pPr>
            <w:r w:rsidRPr="007F5613">
              <w:t>20</w:t>
            </w:r>
          </w:p>
        </w:tc>
        <w:tc>
          <w:tcPr>
            <w:tcW w:w="0" w:type="auto"/>
          </w:tcPr>
          <w:p w:rsidR="002D4FB7" w:rsidRPr="007F5613" w:rsidRDefault="002D4FB7" w:rsidP="00F2435C">
            <w:pPr>
              <w:pStyle w:val="TableBody"/>
            </w:pPr>
            <w:r w:rsidRPr="007F5613">
              <w:t>top</w:t>
            </w:r>
            <w:r w:rsidR="00F2435C" w:rsidRPr="007F5613">
              <w:t xml:space="preserve"> (8.1 mL)</w:t>
            </w:r>
          </w:p>
        </w:tc>
        <w:tc>
          <w:tcPr>
            <w:tcW w:w="0" w:type="auto"/>
          </w:tcPr>
          <w:p w:rsidR="002D4FB7" w:rsidRPr="007F5613" w:rsidRDefault="002D4FB7" w:rsidP="002D4FB7">
            <w:pPr>
              <w:pStyle w:val="TableBody"/>
            </w:pPr>
            <w:r w:rsidRPr="007F5613">
              <w:t>86</w:t>
            </w:r>
          </w:p>
        </w:tc>
        <w:tc>
          <w:tcPr>
            <w:tcW w:w="1136" w:type="dxa"/>
          </w:tcPr>
          <w:p w:rsidR="002D4FB7" w:rsidRPr="007F5613" w:rsidRDefault="002D4FB7" w:rsidP="002D4FB7">
            <w:pPr>
              <w:pStyle w:val="TableBody"/>
            </w:pPr>
            <w:r w:rsidRPr="007F5613">
              <w:t>14</w:t>
            </w:r>
          </w:p>
        </w:tc>
      </w:tr>
      <w:tr w:rsidR="007F7910" w:rsidRPr="007F5613" w:rsidTr="004E14AB">
        <w:tc>
          <w:tcPr>
            <w:tcW w:w="0" w:type="auto"/>
          </w:tcPr>
          <w:p w:rsidR="002D4FB7" w:rsidRPr="007F5613" w:rsidRDefault="002D4FB7" w:rsidP="002D4FB7">
            <w:pPr>
              <w:pStyle w:val="TableBody"/>
            </w:pPr>
            <w:r w:rsidRPr="007F5613">
              <w:t>80</w:t>
            </w:r>
          </w:p>
        </w:tc>
        <w:tc>
          <w:tcPr>
            <w:tcW w:w="0" w:type="auto"/>
          </w:tcPr>
          <w:p w:rsidR="002D4FB7" w:rsidRPr="007F5613" w:rsidRDefault="002D4FB7" w:rsidP="002D4FB7">
            <w:pPr>
              <w:pStyle w:val="TableBody"/>
            </w:pPr>
            <w:r w:rsidRPr="007F5613">
              <w:t>20</w:t>
            </w:r>
          </w:p>
        </w:tc>
        <w:tc>
          <w:tcPr>
            <w:tcW w:w="0" w:type="auto"/>
          </w:tcPr>
          <w:p w:rsidR="002D4FB7" w:rsidRPr="007F5613" w:rsidRDefault="002D4FB7" w:rsidP="00F2435C">
            <w:pPr>
              <w:pStyle w:val="TableBody"/>
            </w:pPr>
            <w:r w:rsidRPr="007F5613">
              <w:t>bottom</w:t>
            </w:r>
            <w:r w:rsidR="00F2435C" w:rsidRPr="007F5613">
              <w:t xml:space="preserve"> (1.9 mL)</w:t>
            </w:r>
          </w:p>
        </w:tc>
        <w:tc>
          <w:tcPr>
            <w:tcW w:w="0" w:type="auto"/>
          </w:tcPr>
          <w:p w:rsidR="002D4FB7" w:rsidRPr="007F5613" w:rsidRDefault="002D4FB7" w:rsidP="002D4FB7">
            <w:pPr>
              <w:pStyle w:val="TableBody"/>
            </w:pPr>
            <w:r w:rsidRPr="007F5613">
              <w:t>23</w:t>
            </w:r>
          </w:p>
        </w:tc>
        <w:tc>
          <w:tcPr>
            <w:tcW w:w="1136" w:type="dxa"/>
          </w:tcPr>
          <w:p w:rsidR="002D4FB7" w:rsidRPr="007F5613" w:rsidRDefault="002D4FB7" w:rsidP="002D4FB7">
            <w:pPr>
              <w:pStyle w:val="TableBody"/>
            </w:pPr>
            <w:r w:rsidRPr="007F5613">
              <w:t>77</w:t>
            </w:r>
          </w:p>
        </w:tc>
      </w:tr>
      <w:tr w:rsidR="007F7910" w:rsidRPr="007F5613" w:rsidTr="004E14AB">
        <w:tc>
          <w:tcPr>
            <w:tcW w:w="0" w:type="auto"/>
            <w:tcBorders>
              <w:bottom w:val="single" w:sz="8" w:space="0" w:color="auto"/>
            </w:tcBorders>
          </w:tcPr>
          <w:p w:rsidR="002D4FB7" w:rsidRPr="007F5613" w:rsidRDefault="002D4FB7" w:rsidP="002D4FB7">
            <w:pPr>
              <w:pStyle w:val="TableBody"/>
            </w:pPr>
            <w:r w:rsidRPr="007F5613">
              <w:t>90</w:t>
            </w:r>
          </w:p>
        </w:tc>
        <w:tc>
          <w:tcPr>
            <w:tcW w:w="0" w:type="auto"/>
            <w:tcBorders>
              <w:bottom w:val="single" w:sz="8" w:space="0" w:color="auto"/>
            </w:tcBorders>
          </w:tcPr>
          <w:p w:rsidR="002D4FB7" w:rsidRPr="007F5613" w:rsidRDefault="002D4FB7" w:rsidP="002D4FB7">
            <w:pPr>
              <w:pStyle w:val="TableBody"/>
            </w:pPr>
            <w:r w:rsidRPr="007F5613">
              <w:t>10</w:t>
            </w:r>
          </w:p>
        </w:tc>
        <w:tc>
          <w:tcPr>
            <w:tcW w:w="0" w:type="auto"/>
            <w:tcBorders>
              <w:bottom w:val="single" w:sz="8" w:space="0" w:color="auto"/>
            </w:tcBorders>
          </w:tcPr>
          <w:p w:rsidR="002D4FB7" w:rsidRPr="007F5613" w:rsidRDefault="002D4FB7" w:rsidP="002D4FB7">
            <w:pPr>
              <w:pStyle w:val="TableBody"/>
            </w:pPr>
            <w:r w:rsidRPr="007F5613">
              <w:t>miscible</w:t>
            </w:r>
          </w:p>
        </w:tc>
        <w:tc>
          <w:tcPr>
            <w:tcW w:w="0" w:type="auto"/>
            <w:tcBorders>
              <w:bottom w:val="single" w:sz="8" w:space="0" w:color="auto"/>
            </w:tcBorders>
          </w:tcPr>
          <w:p w:rsidR="002D4FB7" w:rsidRPr="007F5613" w:rsidRDefault="002D4FB7" w:rsidP="002D4FB7">
            <w:pPr>
              <w:pStyle w:val="TableBody"/>
            </w:pPr>
            <w:r w:rsidRPr="007F5613">
              <w:t>85</w:t>
            </w:r>
          </w:p>
        </w:tc>
        <w:tc>
          <w:tcPr>
            <w:tcW w:w="1136" w:type="dxa"/>
            <w:tcBorders>
              <w:bottom w:val="single" w:sz="8" w:space="0" w:color="auto"/>
            </w:tcBorders>
          </w:tcPr>
          <w:p w:rsidR="002D4FB7" w:rsidRPr="007F5613" w:rsidRDefault="002D4FB7" w:rsidP="002D4FB7">
            <w:pPr>
              <w:pStyle w:val="TableBody"/>
            </w:pPr>
            <w:r w:rsidRPr="007F5613">
              <w:t>15</w:t>
            </w:r>
          </w:p>
        </w:tc>
      </w:tr>
      <w:tr w:rsidR="002D4FB7" w:rsidRPr="007F5613" w:rsidTr="00F2435C">
        <w:tc>
          <w:tcPr>
            <w:tcW w:w="4786" w:type="dxa"/>
            <w:gridSpan w:val="5"/>
            <w:tcBorders>
              <w:top w:val="single" w:sz="8" w:space="0" w:color="auto"/>
            </w:tcBorders>
          </w:tcPr>
          <w:p w:rsidR="002D4FB7" w:rsidRPr="007F5613" w:rsidRDefault="00F2435C" w:rsidP="00F2435C">
            <w:pPr>
              <w:pStyle w:val="TableFoot"/>
            </w:pPr>
            <w:r w:rsidRPr="007F5613">
              <w:t xml:space="preserve">[a] The numbers in brackets are the volumes of the top and bottom layers (total volume of each mixture = 10 mL). </w:t>
            </w:r>
            <w:r w:rsidR="002D4FB7" w:rsidRPr="007F5613">
              <w:t>[</w:t>
            </w:r>
            <w:r w:rsidRPr="007F5613">
              <w:t>b</w:t>
            </w:r>
            <w:r w:rsidR="002D4FB7" w:rsidRPr="007F5613">
              <w:t>] Determined by GC</w:t>
            </w:r>
            <w:r w:rsidR="003967FF" w:rsidRPr="007F5613">
              <w:t>. [</w:t>
            </w:r>
            <w:r w:rsidRPr="007F5613">
              <w:t>c</w:t>
            </w:r>
            <w:r w:rsidR="003967FF" w:rsidRPr="007F5613">
              <w:t xml:space="preserve">] Numbers in brackets are from an experiment in which the layers were separated and used separately to swell Merrifield resin. The first number is before resin swelling and the second number is the </w:t>
            </w:r>
            <w:proofErr w:type="spellStart"/>
            <w:r w:rsidR="003967FF" w:rsidRPr="007F5613">
              <w:t>mol</w:t>
            </w:r>
            <w:proofErr w:type="spellEnd"/>
            <w:r w:rsidR="003967FF" w:rsidRPr="007F5613">
              <w:t>% present in the residual liquid after resin swelling.</w:t>
            </w:r>
          </w:p>
        </w:tc>
      </w:tr>
      <w:tr w:rsidR="002D4FB7" w:rsidRPr="007F5613" w:rsidTr="00F2435C">
        <w:tc>
          <w:tcPr>
            <w:tcW w:w="4786" w:type="dxa"/>
            <w:gridSpan w:val="5"/>
          </w:tcPr>
          <w:p w:rsidR="002D4FB7" w:rsidRPr="007F5613" w:rsidRDefault="002D4FB7" w:rsidP="007F7910">
            <w:pPr>
              <w:pStyle w:val="TableSpacer"/>
              <w:spacing w:before="240"/>
              <w:rPr>
                <w:noProof w:val="0"/>
              </w:rPr>
            </w:pPr>
          </w:p>
        </w:tc>
      </w:tr>
    </w:tbl>
    <w:p w:rsidR="001443E8" w:rsidRPr="007F5613" w:rsidRDefault="000A0B76" w:rsidP="001443E8">
      <w:pPr>
        <w:pStyle w:val="P1"/>
        <w:ind w:firstLine="425"/>
        <w:rPr>
          <w:lang w:val="en-GB"/>
        </w:rPr>
      </w:pPr>
      <w:r w:rsidRPr="007F5613">
        <w:rPr>
          <w:lang w:val="en-GB"/>
        </w:rPr>
        <w:t>A similar approach was adopted to investigate the swelling of HypoGel</w:t>
      </w:r>
      <w:r w:rsidRPr="007F5613">
        <w:rPr>
          <w:vertAlign w:val="superscript"/>
          <w:lang w:val="en-GB"/>
        </w:rPr>
        <w:t>TM</w:t>
      </w:r>
      <w:r w:rsidRPr="007F5613">
        <w:rPr>
          <w:lang w:val="en-GB"/>
        </w:rPr>
        <w:t xml:space="preserve">200 resin using the </w:t>
      </w:r>
      <w:r w:rsidRPr="007F5613">
        <w:rPr>
          <w:color w:val="000000"/>
          <w:lang w:val="en-GB"/>
        </w:rPr>
        <w:t>2</w:t>
      </w:r>
      <w:r w:rsidR="00A15DE1" w:rsidRPr="007F5613">
        <w:rPr>
          <w:color w:val="000000"/>
          <w:lang w:val="en-GB"/>
        </w:rPr>
        <w:t>0</w:t>
      </w:r>
      <w:r w:rsidRPr="007F5613">
        <w:rPr>
          <w:color w:val="000000"/>
          <w:lang w:val="en-GB"/>
        </w:rPr>
        <w:t xml:space="preserve"> pairs of solvents listed in Table 4 using the same four solvents as nexus points. </w:t>
      </w:r>
      <w:r w:rsidRPr="007F5613">
        <w:rPr>
          <w:lang w:val="en-GB"/>
        </w:rPr>
        <w:t>All the HypoGel</w:t>
      </w:r>
      <w:r w:rsidRPr="007F5613">
        <w:rPr>
          <w:vertAlign w:val="superscript"/>
          <w:lang w:val="en-GB"/>
        </w:rPr>
        <w:t>TM</w:t>
      </w:r>
      <w:r w:rsidRPr="007F5613">
        <w:rPr>
          <w:lang w:val="en-GB"/>
        </w:rPr>
        <w:t>200 resin swelling data and graphs for these 2</w:t>
      </w:r>
      <w:r w:rsidR="00A15DE1" w:rsidRPr="007F5613">
        <w:rPr>
          <w:lang w:val="en-GB"/>
        </w:rPr>
        <w:t>0</w:t>
      </w:r>
      <w:r w:rsidRPr="007F5613">
        <w:rPr>
          <w:lang w:val="en-GB"/>
        </w:rPr>
        <w:t xml:space="preserve"> pairs of solvents are given in the supporting information (Figure S</w:t>
      </w:r>
      <w:r w:rsidR="00F3277D" w:rsidRPr="007F5613">
        <w:rPr>
          <w:lang w:val="en-GB"/>
        </w:rPr>
        <w:t>5</w:t>
      </w:r>
      <w:r w:rsidRPr="007F5613">
        <w:rPr>
          <w:lang w:val="en-GB"/>
        </w:rPr>
        <w:t xml:space="preserve">). The combination of water and DMF was again a special case (Figure 8) for the same reasons discussed above for its swelling of </w:t>
      </w:r>
      <w:proofErr w:type="spellStart"/>
      <w:r w:rsidRPr="007F5613">
        <w:rPr>
          <w:lang w:val="en-GB"/>
        </w:rPr>
        <w:t>Merrified</w:t>
      </w:r>
      <w:proofErr w:type="spellEnd"/>
      <w:r w:rsidRPr="007F5613">
        <w:rPr>
          <w:lang w:val="en-GB"/>
        </w:rPr>
        <w:t xml:space="preserve"> resin. This shows that not even the hydrophilic PEG groups within HypoGel</w:t>
      </w:r>
      <w:r w:rsidRPr="007F5613">
        <w:rPr>
          <w:vertAlign w:val="superscript"/>
          <w:lang w:val="en-GB"/>
        </w:rPr>
        <w:t>TM</w:t>
      </w:r>
      <w:r w:rsidRPr="007F5613">
        <w:rPr>
          <w:lang w:val="en-GB"/>
        </w:rPr>
        <w:t xml:space="preserve">200 resin can disrupt the DMF-water hydrogen bonded complexes. </w:t>
      </w:r>
      <w:r w:rsidR="003601D1" w:rsidRPr="007F5613">
        <w:rPr>
          <w:lang w:val="en-GB"/>
        </w:rPr>
        <w:t xml:space="preserve">For </w:t>
      </w:r>
      <w:r w:rsidR="00A15DE1" w:rsidRPr="007F5613">
        <w:rPr>
          <w:lang w:val="en-GB"/>
        </w:rPr>
        <w:t>eleven</w:t>
      </w:r>
      <w:r w:rsidR="003601D1" w:rsidRPr="007F5613">
        <w:rPr>
          <w:lang w:val="en-GB"/>
        </w:rPr>
        <w:t xml:space="preserve"> of the 2</w:t>
      </w:r>
      <w:r w:rsidR="00A15DE1" w:rsidRPr="007F5613">
        <w:rPr>
          <w:lang w:val="en-GB"/>
        </w:rPr>
        <w:t>0</w:t>
      </w:r>
      <w:r w:rsidR="003601D1" w:rsidRPr="007F5613">
        <w:rPr>
          <w:lang w:val="en-GB"/>
        </w:rPr>
        <w:t xml:space="preserve"> solvent pairs, there is a mixture of the two solvents that has higher resin swelling ability than either pure solvent consistent with the two solvents lying on opposite sides of the resin swelling region (analogous to line A in Figure 6).</w:t>
      </w:r>
      <w:r w:rsidRPr="007F5613">
        <w:rPr>
          <w:lang w:val="en-GB"/>
        </w:rPr>
        <w:t xml:space="preserve"> </w:t>
      </w:r>
      <w:r w:rsidR="009A042D" w:rsidRPr="007F5613">
        <w:rPr>
          <w:lang w:val="en-GB"/>
        </w:rPr>
        <w:t>Five solvent pairs displayed an upward curve (without a mixture having better resin swelling ability than either of the two solvents) or a linear (non-horizontal) variation of resin swelling with solvent composition. This is consistent with the situation represented by line C in Figure 6. Mixtures of three solvent pairs showed little or no variation in resin swelling ability with solvent composition. These all corresponded to both solvents lying within the high resin swelling region (line D in Figure 6).</w:t>
      </w:r>
    </w:p>
    <w:tbl>
      <w:tblPr>
        <w:tblW w:w="5000" w:type="pct"/>
        <w:tblLook w:val="01E0" w:firstRow="1" w:lastRow="1" w:firstColumn="1" w:lastColumn="1" w:noHBand="0" w:noVBand="0"/>
      </w:tblPr>
      <w:tblGrid>
        <w:gridCol w:w="1856"/>
        <w:gridCol w:w="1859"/>
        <w:gridCol w:w="1377"/>
      </w:tblGrid>
      <w:tr w:rsidR="00440452" w:rsidRPr="007F5613" w:rsidTr="00E952DB">
        <w:tc>
          <w:tcPr>
            <w:tcW w:w="5000" w:type="pct"/>
            <w:gridSpan w:val="3"/>
            <w:tcBorders>
              <w:bottom w:val="single" w:sz="8" w:space="0" w:color="auto"/>
            </w:tcBorders>
            <w:shd w:val="clear" w:color="auto" w:fill="auto"/>
          </w:tcPr>
          <w:p w:rsidR="00440452" w:rsidRPr="007F5613" w:rsidRDefault="00440452" w:rsidP="000A0B76">
            <w:pPr>
              <w:pStyle w:val="TableCaption"/>
            </w:pPr>
            <w:r w:rsidRPr="007F5613">
              <w:rPr>
                <w:b/>
              </w:rPr>
              <w:t xml:space="preserve">Table </w:t>
            </w:r>
            <w:r w:rsidR="000A0B76" w:rsidRPr="007F5613">
              <w:rPr>
                <w:b/>
              </w:rPr>
              <w:t>4</w:t>
            </w:r>
            <w:r w:rsidRPr="007F5613">
              <w:rPr>
                <w:b/>
              </w:rPr>
              <w:t>.</w:t>
            </w:r>
            <w:r w:rsidRPr="007F5613">
              <w:t xml:space="preserve"> Solvent pairs used to investigate the swelling of HypoGel</w:t>
            </w:r>
            <w:r w:rsidRPr="007F5613">
              <w:rPr>
                <w:vertAlign w:val="superscript"/>
              </w:rPr>
              <w:t>TM</w:t>
            </w:r>
            <w:r w:rsidRPr="007F5613">
              <w:t>200 resin.</w:t>
            </w:r>
          </w:p>
        </w:tc>
      </w:tr>
      <w:tr w:rsidR="003E3848" w:rsidRPr="007F5613" w:rsidTr="00B36324">
        <w:tc>
          <w:tcPr>
            <w:tcW w:w="1823" w:type="pct"/>
            <w:tcBorders>
              <w:top w:val="single" w:sz="8" w:space="0" w:color="auto"/>
              <w:bottom w:val="single" w:sz="8" w:space="0" w:color="auto"/>
            </w:tcBorders>
          </w:tcPr>
          <w:p w:rsidR="00440452" w:rsidRPr="007F5613" w:rsidRDefault="00440452" w:rsidP="002D4FB7">
            <w:pPr>
              <w:pStyle w:val="TableHead"/>
            </w:pPr>
            <w:r w:rsidRPr="007F5613">
              <w:t>Solvent 1</w:t>
            </w:r>
          </w:p>
        </w:tc>
        <w:tc>
          <w:tcPr>
            <w:tcW w:w="1825" w:type="pct"/>
            <w:tcBorders>
              <w:top w:val="single" w:sz="8" w:space="0" w:color="auto"/>
              <w:bottom w:val="single" w:sz="8" w:space="0" w:color="auto"/>
            </w:tcBorders>
          </w:tcPr>
          <w:p w:rsidR="00440452" w:rsidRPr="007F5613" w:rsidRDefault="00440452" w:rsidP="002D4FB7">
            <w:pPr>
              <w:pStyle w:val="TableHead"/>
            </w:pPr>
            <w:r w:rsidRPr="007F5613">
              <w:t>Solvent 2</w:t>
            </w:r>
          </w:p>
        </w:tc>
        <w:tc>
          <w:tcPr>
            <w:tcW w:w="1351" w:type="pct"/>
            <w:tcBorders>
              <w:top w:val="single" w:sz="8" w:space="0" w:color="auto"/>
              <w:bottom w:val="single" w:sz="8" w:space="0" w:color="auto"/>
            </w:tcBorders>
          </w:tcPr>
          <w:p w:rsidR="00440452" w:rsidRPr="007F5613" w:rsidRDefault="00440452" w:rsidP="002D4FB7">
            <w:pPr>
              <w:pStyle w:val="TableHead"/>
            </w:pPr>
            <w:r w:rsidRPr="007F5613">
              <w:t>Resin swelling trend</w:t>
            </w:r>
          </w:p>
        </w:tc>
      </w:tr>
      <w:tr w:rsidR="003E3848" w:rsidRPr="007F5613" w:rsidTr="00B36324">
        <w:tc>
          <w:tcPr>
            <w:tcW w:w="1823" w:type="pct"/>
            <w:tcBorders>
              <w:top w:val="single" w:sz="8" w:space="0" w:color="auto"/>
            </w:tcBorders>
          </w:tcPr>
          <w:p w:rsidR="00440452" w:rsidRPr="007F5613" w:rsidRDefault="00440452" w:rsidP="002D4FB7">
            <w:pPr>
              <w:pStyle w:val="TableBody"/>
            </w:pPr>
            <w:proofErr w:type="spellStart"/>
            <w:r w:rsidRPr="007F5613">
              <w:t>cyclopentanone</w:t>
            </w:r>
            <w:proofErr w:type="spellEnd"/>
          </w:p>
        </w:tc>
        <w:tc>
          <w:tcPr>
            <w:tcW w:w="1825" w:type="pct"/>
            <w:tcBorders>
              <w:top w:val="single" w:sz="8" w:space="0" w:color="auto"/>
            </w:tcBorders>
          </w:tcPr>
          <w:p w:rsidR="00440452" w:rsidRPr="007F5613" w:rsidRDefault="00440452" w:rsidP="002D4FB7">
            <w:pPr>
              <w:pStyle w:val="TableBody"/>
            </w:pPr>
            <w:r w:rsidRPr="007F5613">
              <w:t>water</w:t>
            </w:r>
          </w:p>
        </w:tc>
        <w:tc>
          <w:tcPr>
            <w:tcW w:w="1351" w:type="pct"/>
            <w:tcBorders>
              <w:top w:val="single" w:sz="8" w:space="0" w:color="auto"/>
            </w:tcBorders>
          </w:tcPr>
          <w:p w:rsidR="00440452" w:rsidRPr="007F5613" w:rsidRDefault="00440452" w:rsidP="002D4FB7">
            <w:pPr>
              <w:pStyle w:val="TableBody"/>
            </w:pPr>
            <w:r w:rsidRPr="007F5613">
              <w:t>Maximum</w:t>
            </w:r>
            <w:r w:rsidRPr="007F5613">
              <w:rPr>
                <w:vertAlign w:val="superscript"/>
              </w:rPr>
              <w:t>[a]</w:t>
            </w:r>
            <w:r w:rsidRPr="007F5613">
              <w:t xml:space="preserve"> </w:t>
            </w:r>
            <w:r w:rsidR="00A00F11" w:rsidRPr="007F5613">
              <w:br/>
            </w:r>
            <w:r w:rsidRPr="007F5613">
              <w:t>(Figure 3)</w:t>
            </w:r>
          </w:p>
        </w:tc>
      </w:tr>
      <w:tr w:rsidR="003E3848" w:rsidRPr="007F5613" w:rsidTr="00B36324">
        <w:tc>
          <w:tcPr>
            <w:tcW w:w="1823" w:type="pct"/>
          </w:tcPr>
          <w:p w:rsidR="00440452" w:rsidRPr="007F5613" w:rsidRDefault="00440452" w:rsidP="00440452">
            <w:pPr>
              <w:pStyle w:val="TableBody"/>
              <w:rPr>
                <w:b/>
              </w:rPr>
            </w:pPr>
            <w:proofErr w:type="spellStart"/>
            <w:r w:rsidRPr="007F5613">
              <w:t>Cyclopentanone</w:t>
            </w:r>
            <w:proofErr w:type="spellEnd"/>
          </w:p>
        </w:tc>
        <w:tc>
          <w:tcPr>
            <w:tcW w:w="1825" w:type="pct"/>
          </w:tcPr>
          <w:p w:rsidR="00440452" w:rsidRPr="007F5613" w:rsidRDefault="00440452" w:rsidP="00440452">
            <w:pPr>
              <w:pStyle w:val="TableBody"/>
              <w:rPr>
                <w:vertAlign w:val="superscript"/>
              </w:rPr>
            </w:pPr>
            <w:proofErr w:type="spellStart"/>
            <w:r w:rsidRPr="007F5613">
              <w:t>FurOH</w:t>
            </w:r>
            <w:proofErr w:type="spellEnd"/>
            <w:r w:rsidRPr="007F5613">
              <w:rPr>
                <w:vertAlign w:val="superscript"/>
              </w:rPr>
              <w:t>[b]</w:t>
            </w:r>
          </w:p>
        </w:tc>
        <w:tc>
          <w:tcPr>
            <w:tcW w:w="1351" w:type="pct"/>
          </w:tcPr>
          <w:p w:rsidR="00440452" w:rsidRPr="007F5613" w:rsidRDefault="00E95CF6" w:rsidP="00440452">
            <w:pPr>
              <w:pStyle w:val="TableBody"/>
            </w:pPr>
            <w:r w:rsidRPr="007F5613">
              <w:rPr>
                <w:color w:val="000000"/>
              </w:rPr>
              <w:t>Linear almost flat</w:t>
            </w:r>
          </w:p>
        </w:tc>
      </w:tr>
      <w:tr w:rsidR="003E3848" w:rsidRPr="007F5613" w:rsidTr="00B36324">
        <w:tc>
          <w:tcPr>
            <w:tcW w:w="1823" w:type="pct"/>
          </w:tcPr>
          <w:p w:rsidR="00440452" w:rsidRPr="007F5613" w:rsidRDefault="00440452" w:rsidP="00440452">
            <w:pPr>
              <w:pStyle w:val="TableBody"/>
              <w:rPr>
                <w:b/>
              </w:rPr>
            </w:pPr>
            <w:proofErr w:type="spellStart"/>
            <w:r w:rsidRPr="007F5613">
              <w:t>Cyclopentanone</w:t>
            </w:r>
            <w:proofErr w:type="spellEnd"/>
          </w:p>
        </w:tc>
        <w:tc>
          <w:tcPr>
            <w:tcW w:w="1825" w:type="pct"/>
          </w:tcPr>
          <w:p w:rsidR="00440452" w:rsidRPr="007F5613" w:rsidRDefault="00440452" w:rsidP="00440452">
            <w:pPr>
              <w:pStyle w:val="TableBody"/>
              <w:rPr>
                <w:b/>
              </w:rPr>
            </w:pPr>
            <w:r w:rsidRPr="007F5613">
              <w:t>TMO</w:t>
            </w:r>
            <w:r w:rsidRPr="007F5613">
              <w:rPr>
                <w:vertAlign w:val="superscript"/>
              </w:rPr>
              <w:t>[c]</w:t>
            </w:r>
            <w:r w:rsidR="0016703C" w:rsidRPr="007F5613">
              <w:t xml:space="preserve"> </w:t>
            </w:r>
            <w:r w:rsidR="0016703C" w:rsidRPr="007F5613">
              <w:rPr>
                <w:b/>
              </w:rPr>
              <w:t>5</w:t>
            </w:r>
          </w:p>
        </w:tc>
        <w:tc>
          <w:tcPr>
            <w:tcW w:w="1351" w:type="pct"/>
          </w:tcPr>
          <w:p w:rsidR="00440452" w:rsidRPr="007F5613" w:rsidRDefault="00977C0E" w:rsidP="00440452">
            <w:pPr>
              <w:pStyle w:val="TableBody"/>
            </w:pPr>
            <w:r w:rsidRPr="007F5613">
              <w:rPr>
                <w:color w:val="000000"/>
              </w:rPr>
              <w:t>Curved upwards</w:t>
            </w:r>
          </w:p>
        </w:tc>
      </w:tr>
      <w:tr w:rsidR="002A25EE" w:rsidRPr="007F5613" w:rsidTr="00B36324">
        <w:tc>
          <w:tcPr>
            <w:tcW w:w="1823" w:type="pct"/>
          </w:tcPr>
          <w:p w:rsidR="002A25EE" w:rsidRPr="007F5613" w:rsidRDefault="002A25EE" w:rsidP="002A25EE">
            <w:pPr>
              <w:pStyle w:val="TableBody"/>
              <w:rPr>
                <w:b/>
              </w:rPr>
            </w:pPr>
            <w:r w:rsidRPr="007F5613">
              <w:rPr>
                <w:b/>
              </w:rPr>
              <w:t>2</w:t>
            </w:r>
          </w:p>
        </w:tc>
        <w:tc>
          <w:tcPr>
            <w:tcW w:w="1825" w:type="pct"/>
          </w:tcPr>
          <w:p w:rsidR="002A25EE" w:rsidRPr="007F5613" w:rsidRDefault="002A25EE" w:rsidP="002A25EE">
            <w:pPr>
              <w:pStyle w:val="TableBody"/>
            </w:pPr>
            <w:r w:rsidRPr="007F5613">
              <w:t>Diethyl carbonate</w:t>
            </w:r>
          </w:p>
        </w:tc>
        <w:tc>
          <w:tcPr>
            <w:tcW w:w="1351" w:type="pct"/>
          </w:tcPr>
          <w:p w:rsidR="002A25EE" w:rsidRPr="007F5613" w:rsidRDefault="00B21D38" w:rsidP="002A25EE">
            <w:pPr>
              <w:pStyle w:val="TableBody"/>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Ethyl acetate</w:t>
            </w:r>
          </w:p>
        </w:tc>
        <w:tc>
          <w:tcPr>
            <w:tcW w:w="1351" w:type="pct"/>
          </w:tcPr>
          <w:p w:rsidR="002A25EE" w:rsidRPr="007F5613" w:rsidRDefault="00483968" w:rsidP="002A25EE">
            <w:pPr>
              <w:pStyle w:val="TableBody"/>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Isobutyl acetate</w:t>
            </w:r>
          </w:p>
        </w:tc>
        <w:tc>
          <w:tcPr>
            <w:tcW w:w="1351" w:type="pct"/>
          </w:tcPr>
          <w:p w:rsidR="002A25EE" w:rsidRPr="007F5613" w:rsidRDefault="00D87879" w:rsidP="002A25EE">
            <w:pPr>
              <w:pStyle w:val="TableBody"/>
              <w:rPr>
                <w:color w:val="000000"/>
              </w:rPr>
            </w:pPr>
            <w:r w:rsidRPr="007F5613">
              <w:t>Maximum</w:t>
            </w:r>
          </w:p>
        </w:tc>
      </w:tr>
      <w:tr w:rsidR="002A25EE" w:rsidRPr="007F5613" w:rsidTr="00B36324">
        <w:tc>
          <w:tcPr>
            <w:tcW w:w="1823" w:type="pct"/>
          </w:tcPr>
          <w:p w:rsidR="002A25EE" w:rsidRPr="007F5613" w:rsidRDefault="002A25EE" w:rsidP="002A25EE">
            <w:pPr>
              <w:pStyle w:val="TableBody"/>
              <w:rPr>
                <w:b/>
              </w:rPr>
            </w:pPr>
            <w:r w:rsidRPr="007F5613">
              <w:rPr>
                <w:b/>
              </w:rPr>
              <w:t>2</w:t>
            </w:r>
          </w:p>
        </w:tc>
        <w:tc>
          <w:tcPr>
            <w:tcW w:w="1825" w:type="pct"/>
          </w:tcPr>
          <w:p w:rsidR="002A25EE" w:rsidRPr="007F5613" w:rsidRDefault="002A25EE" w:rsidP="002A25EE">
            <w:pPr>
              <w:pStyle w:val="TableBody"/>
            </w:pPr>
            <w:r w:rsidRPr="007F5613">
              <w:t>Acetonitrile</w:t>
            </w:r>
          </w:p>
        </w:tc>
        <w:tc>
          <w:tcPr>
            <w:tcW w:w="1351" w:type="pct"/>
          </w:tcPr>
          <w:p w:rsidR="002A25EE" w:rsidRPr="007F5613" w:rsidRDefault="00F367EE" w:rsidP="002A25EE">
            <w:pPr>
              <w:pStyle w:val="TableBody"/>
              <w:rPr>
                <w:color w:val="000000"/>
              </w:rPr>
            </w:pPr>
            <w:r w:rsidRPr="007F5613">
              <w:rPr>
                <w:color w:val="000000"/>
              </w:rPr>
              <w:t>Curved upwards</w:t>
            </w:r>
          </w:p>
        </w:tc>
      </w:tr>
      <w:tr w:rsidR="002A25EE" w:rsidRPr="007F5613" w:rsidTr="00B36324">
        <w:tc>
          <w:tcPr>
            <w:tcW w:w="1823" w:type="pct"/>
          </w:tcPr>
          <w:p w:rsidR="002A25EE" w:rsidRPr="007F5613" w:rsidRDefault="002A25EE" w:rsidP="002A25EE">
            <w:pPr>
              <w:pStyle w:val="TableBody"/>
              <w:rPr>
                <w:b/>
              </w:rPr>
            </w:pPr>
            <w:r w:rsidRPr="007F5613">
              <w:rPr>
                <w:b/>
              </w:rPr>
              <w:t>2</w:t>
            </w:r>
          </w:p>
        </w:tc>
        <w:tc>
          <w:tcPr>
            <w:tcW w:w="1825" w:type="pct"/>
          </w:tcPr>
          <w:p w:rsidR="002A25EE" w:rsidRPr="007F5613" w:rsidRDefault="002A25EE" w:rsidP="002A25EE">
            <w:pPr>
              <w:pStyle w:val="TableBody"/>
            </w:pPr>
            <w:r w:rsidRPr="007F5613">
              <w:t>CPME</w:t>
            </w:r>
            <w:r w:rsidRPr="007F5613">
              <w:rPr>
                <w:vertAlign w:val="superscript"/>
              </w:rPr>
              <w:t>[d]</w:t>
            </w:r>
          </w:p>
        </w:tc>
        <w:tc>
          <w:tcPr>
            <w:tcW w:w="1351" w:type="pct"/>
          </w:tcPr>
          <w:p w:rsidR="002A25EE" w:rsidRPr="007F5613" w:rsidRDefault="00D100D4" w:rsidP="002A25EE">
            <w:pPr>
              <w:pStyle w:val="TableBody"/>
              <w:rPr>
                <w:color w:val="000000"/>
              </w:rPr>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Methanol</w:t>
            </w:r>
          </w:p>
        </w:tc>
        <w:tc>
          <w:tcPr>
            <w:tcW w:w="1351" w:type="pct"/>
          </w:tcPr>
          <w:p w:rsidR="002A25EE" w:rsidRPr="007F5613" w:rsidRDefault="002E6A41" w:rsidP="002A25EE">
            <w:pPr>
              <w:pStyle w:val="TableBody"/>
              <w:rPr>
                <w:color w:val="000000"/>
              </w:rPr>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Ethanol</w:t>
            </w:r>
          </w:p>
        </w:tc>
        <w:tc>
          <w:tcPr>
            <w:tcW w:w="1351" w:type="pct"/>
          </w:tcPr>
          <w:p w:rsidR="002A25EE" w:rsidRPr="007F5613" w:rsidRDefault="00602837" w:rsidP="002A25EE">
            <w:pPr>
              <w:pStyle w:val="TableBody"/>
              <w:rPr>
                <w:color w:val="000000"/>
                <w:vertAlign w:val="superscript"/>
              </w:rPr>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Isopropanol</w:t>
            </w:r>
          </w:p>
        </w:tc>
        <w:tc>
          <w:tcPr>
            <w:tcW w:w="1351" w:type="pct"/>
          </w:tcPr>
          <w:p w:rsidR="002A25EE" w:rsidRPr="007F5613" w:rsidRDefault="00602837" w:rsidP="002A25EE">
            <w:pPr>
              <w:pStyle w:val="TableBody"/>
              <w:rPr>
                <w:color w:val="000000"/>
              </w:rPr>
            </w:pPr>
            <w:r w:rsidRPr="007F5613">
              <w:t>Maximum</w:t>
            </w:r>
          </w:p>
        </w:tc>
      </w:tr>
      <w:tr w:rsidR="002A25EE" w:rsidRPr="007F5613" w:rsidTr="00B36324">
        <w:tc>
          <w:tcPr>
            <w:tcW w:w="1823" w:type="pct"/>
          </w:tcPr>
          <w:p w:rsidR="002A25EE" w:rsidRPr="007F5613" w:rsidRDefault="002A25EE" w:rsidP="002A25EE">
            <w:pPr>
              <w:pStyle w:val="TableBody"/>
            </w:pPr>
            <w:r w:rsidRPr="007F5613">
              <w:rPr>
                <w:b/>
              </w:rPr>
              <w:t>2</w:t>
            </w:r>
          </w:p>
        </w:tc>
        <w:tc>
          <w:tcPr>
            <w:tcW w:w="1825" w:type="pct"/>
          </w:tcPr>
          <w:p w:rsidR="002A25EE" w:rsidRPr="007F5613" w:rsidRDefault="002A25EE" w:rsidP="002A25EE">
            <w:pPr>
              <w:pStyle w:val="TableBody"/>
            </w:pPr>
            <w:r w:rsidRPr="007F5613">
              <w:t>1,2-Dichlorobenzene</w:t>
            </w:r>
          </w:p>
        </w:tc>
        <w:tc>
          <w:tcPr>
            <w:tcW w:w="1351" w:type="pct"/>
          </w:tcPr>
          <w:p w:rsidR="002A25EE" w:rsidRPr="007F5613" w:rsidRDefault="002127E5" w:rsidP="002A25EE">
            <w:pPr>
              <w:pStyle w:val="TableBody"/>
              <w:rPr>
                <w:color w:val="000000"/>
              </w:rPr>
            </w:pPr>
            <w:r w:rsidRPr="007F5613">
              <w:rPr>
                <w:color w:val="000000"/>
              </w:rPr>
              <w:t>Linear</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1,2-Dichlorobenzene</w:t>
            </w:r>
          </w:p>
        </w:tc>
        <w:tc>
          <w:tcPr>
            <w:tcW w:w="1825" w:type="pct"/>
          </w:tcPr>
          <w:p w:rsidR="002A25EE" w:rsidRPr="007F5613" w:rsidRDefault="002A25EE" w:rsidP="002A25EE">
            <w:pPr>
              <w:pStyle w:val="TableBody"/>
              <w:rPr>
                <w:color w:val="000000"/>
              </w:rPr>
            </w:pPr>
            <w:r w:rsidRPr="007F5613">
              <w:rPr>
                <w:color w:val="000000"/>
              </w:rPr>
              <w:t>Dichloromethane</w:t>
            </w:r>
          </w:p>
        </w:tc>
        <w:tc>
          <w:tcPr>
            <w:tcW w:w="1351" w:type="pct"/>
          </w:tcPr>
          <w:p w:rsidR="002A25EE" w:rsidRPr="007F5613" w:rsidRDefault="007B0D02" w:rsidP="002A25EE">
            <w:pPr>
              <w:pStyle w:val="TableBody"/>
              <w:rPr>
                <w:color w:val="000000"/>
              </w:rPr>
            </w:pPr>
            <w:r w:rsidRPr="007F5613">
              <w:rPr>
                <w:color w:val="000000"/>
              </w:rPr>
              <w:t>Flat</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1,2-Dichlorobenzene</w:t>
            </w:r>
          </w:p>
        </w:tc>
        <w:tc>
          <w:tcPr>
            <w:tcW w:w="1825" w:type="pct"/>
          </w:tcPr>
          <w:p w:rsidR="002A25EE" w:rsidRPr="007F5613" w:rsidRDefault="002A25EE" w:rsidP="002A25EE">
            <w:pPr>
              <w:pStyle w:val="TableBody"/>
              <w:rPr>
                <w:color w:val="000000"/>
              </w:rPr>
            </w:pPr>
            <w:r w:rsidRPr="007F5613">
              <w:rPr>
                <w:color w:val="000000"/>
              </w:rPr>
              <w:t>DMF</w:t>
            </w:r>
          </w:p>
        </w:tc>
        <w:tc>
          <w:tcPr>
            <w:tcW w:w="1351" w:type="pct"/>
          </w:tcPr>
          <w:p w:rsidR="002A25EE" w:rsidRPr="007F5613" w:rsidRDefault="004350AA" w:rsidP="002A25EE">
            <w:pPr>
              <w:pStyle w:val="TableBody"/>
              <w:rPr>
                <w:color w:val="000000"/>
              </w:rPr>
            </w:pPr>
            <w:r w:rsidRPr="007F5613">
              <w:rPr>
                <w:color w:val="000000"/>
              </w:rPr>
              <w:t>Flat</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1,2-Dichlorobenzene</w:t>
            </w:r>
          </w:p>
        </w:tc>
        <w:tc>
          <w:tcPr>
            <w:tcW w:w="1825" w:type="pct"/>
          </w:tcPr>
          <w:p w:rsidR="002A25EE" w:rsidRPr="007F5613" w:rsidRDefault="002A25EE" w:rsidP="002A25EE">
            <w:pPr>
              <w:pStyle w:val="TableBody"/>
              <w:rPr>
                <w:color w:val="000000"/>
              </w:rPr>
            </w:pPr>
            <w:r w:rsidRPr="007F5613">
              <w:rPr>
                <w:color w:val="000000"/>
              </w:rPr>
              <w:t>Heptane</w:t>
            </w:r>
          </w:p>
        </w:tc>
        <w:tc>
          <w:tcPr>
            <w:tcW w:w="1351" w:type="pct"/>
          </w:tcPr>
          <w:p w:rsidR="002A25EE" w:rsidRPr="007F5613" w:rsidRDefault="00F6555E" w:rsidP="002A25EE">
            <w:pPr>
              <w:pStyle w:val="TableBody"/>
              <w:rPr>
                <w:color w:val="000000"/>
              </w:rPr>
            </w:pPr>
            <w:r w:rsidRPr="007F5613">
              <w:rPr>
                <w:color w:val="000000"/>
              </w:rPr>
              <w:t>Linear</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Acetonitrile</w:t>
            </w:r>
          </w:p>
        </w:tc>
        <w:tc>
          <w:tcPr>
            <w:tcW w:w="1825" w:type="pct"/>
          </w:tcPr>
          <w:p w:rsidR="002A25EE" w:rsidRPr="007F5613" w:rsidRDefault="002A25EE" w:rsidP="002A25EE">
            <w:pPr>
              <w:pStyle w:val="TableBody"/>
              <w:rPr>
                <w:color w:val="000000"/>
              </w:rPr>
            </w:pPr>
            <w:r w:rsidRPr="007F5613">
              <w:rPr>
                <w:color w:val="000000"/>
              </w:rPr>
              <w:t>Toluene</w:t>
            </w:r>
          </w:p>
        </w:tc>
        <w:tc>
          <w:tcPr>
            <w:tcW w:w="1351" w:type="pct"/>
          </w:tcPr>
          <w:p w:rsidR="002A25EE" w:rsidRPr="007F5613" w:rsidRDefault="00C877E2" w:rsidP="002A25EE">
            <w:pPr>
              <w:pStyle w:val="TableBody"/>
              <w:rPr>
                <w:color w:val="FF0000"/>
              </w:rPr>
            </w:pPr>
            <w:r w:rsidRPr="007F5613">
              <w:t>Maximum</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Acetonitrile</w:t>
            </w:r>
          </w:p>
        </w:tc>
        <w:tc>
          <w:tcPr>
            <w:tcW w:w="1825" w:type="pct"/>
          </w:tcPr>
          <w:p w:rsidR="002A25EE" w:rsidRPr="007F5613" w:rsidRDefault="002A25EE" w:rsidP="002A25EE">
            <w:pPr>
              <w:pStyle w:val="TableBody"/>
              <w:rPr>
                <w:color w:val="000000"/>
              </w:rPr>
            </w:pPr>
            <w:r w:rsidRPr="007F5613">
              <w:rPr>
                <w:color w:val="000000"/>
              </w:rPr>
              <w:t>Isopropyl acetate</w:t>
            </w:r>
          </w:p>
        </w:tc>
        <w:tc>
          <w:tcPr>
            <w:tcW w:w="1351" w:type="pct"/>
          </w:tcPr>
          <w:p w:rsidR="002A25EE" w:rsidRPr="007F5613" w:rsidRDefault="00E455C9" w:rsidP="002A25EE">
            <w:pPr>
              <w:pStyle w:val="TableBody"/>
              <w:rPr>
                <w:color w:val="FF0000"/>
              </w:rPr>
            </w:pPr>
            <w:r w:rsidRPr="007F5613">
              <w:t>Maximum</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Methanol</w:t>
            </w:r>
          </w:p>
        </w:tc>
        <w:tc>
          <w:tcPr>
            <w:tcW w:w="1825" w:type="pct"/>
          </w:tcPr>
          <w:p w:rsidR="002A25EE" w:rsidRPr="007F5613" w:rsidRDefault="002A25EE" w:rsidP="002A25EE">
            <w:pPr>
              <w:pStyle w:val="TableBody"/>
              <w:rPr>
                <w:color w:val="000000"/>
              </w:rPr>
            </w:pPr>
            <w:r w:rsidRPr="007F5613">
              <w:rPr>
                <w:color w:val="000000"/>
              </w:rPr>
              <w:t>Isobutyl acetate</w:t>
            </w:r>
          </w:p>
        </w:tc>
        <w:tc>
          <w:tcPr>
            <w:tcW w:w="1351" w:type="pct"/>
          </w:tcPr>
          <w:p w:rsidR="002A25EE" w:rsidRPr="007F5613" w:rsidRDefault="00E455C9" w:rsidP="002A25EE">
            <w:pPr>
              <w:pStyle w:val="TableBody"/>
              <w:rPr>
                <w:color w:val="FF0000"/>
              </w:rPr>
            </w:pPr>
            <w:r w:rsidRPr="007F5613">
              <w:t>Maximum</w:t>
            </w:r>
          </w:p>
        </w:tc>
      </w:tr>
      <w:tr w:rsidR="002A25EE" w:rsidRPr="007F5613" w:rsidTr="00B36324">
        <w:tc>
          <w:tcPr>
            <w:tcW w:w="1823" w:type="pct"/>
          </w:tcPr>
          <w:p w:rsidR="002A25EE" w:rsidRPr="007F5613" w:rsidRDefault="002A25EE" w:rsidP="002A25EE">
            <w:pPr>
              <w:pStyle w:val="TableBody"/>
              <w:rPr>
                <w:color w:val="000000"/>
              </w:rPr>
            </w:pPr>
            <w:r w:rsidRPr="007F5613">
              <w:rPr>
                <w:color w:val="000000"/>
              </w:rPr>
              <w:t>Methanol</w:t>
            </w:r>
          </w:p>
        </w:tc>
        <w:tc>
          <w:tcPr>
            <w:tcW w:w="1825" w:type="pct"/>
          </w:tcPr>
          <w:p w:rsidR="002A25EE" w:rsidRPr="007F5613" w:rsidRDefault="002A25EE" w:rsidP="002A25EE">
            <w:pPr>
              <w:pStyle w:val="TableBody"/>
              <w:rPr>
                <w:color w:val="000000"/>
              </w:rPr>
            </w:pPr>
            <w:r w:rsidRPr="007F5613">
              <w:rPr>
                <w:color w:val="000000"/>
              </w:rPr>
              <w:t xml:space="preserve">Dimethyl </w:t>
            </w:r>
            <w:proofErr w:type="spellStart"/>
            <w:r w:rsidRPr="007F5613">
              <w:rPr>
                <w:color w:val="000000"/>
              </w:rPr>
              <w:t>isosorbide</w:t>
            </w:r>
            <w:proofErr w:type="spellEnd"/>
          </w:p>
        </w:tc>
        <w:tc>
          <w:tcPr>
            <w:tcW w:w="1351" w:type="pct"/>
          </w:tcPr>
          <w:p w:rsidR="002A25EE" w:rsidRPr="007F5613" w:rsidRDefault="000339D6" w:rsidP="002A25EE">
            <w:pPr>
              <w:pStyle w:val="TableBody"/>
              <w:rPr>
                <w:color w:val="000000"/>
              </w:rPr>
            </w:pPr>
            <w:r w:rsidRPr="007F5613">
              <w:rPr>
                <w:color w:val="000000"/>
              </w:rPr>
              <w:t>Curved upwards</w:t>
            </w:r>
          </w:p>
        </w:tc>
      </w:tr>
      <w:tr w:rsidR="002A25EE" w:rsidRPr="007F5613" w:rsidTr="00B36324">
        <w:tc>
          <w:tcPr>
            <w:tcW w:w="1823" w:type="pct"/>
            <w:tcBorders>
              <w:bottom w:val="single" w:sz="8" w:space="0" w:color="auto"/>
            </w:tcBorders>
          </w:tcPr>
          <w:p w:rsidR="002A25EE" w:rsidRPr="007F5613" w:rsidRDefault="002A25EE" w:rsidP="002A25EE">
            <w:pPr>
              <w:pStyle w:val="TableBody"/>
              <w:rPr>
                <w:color w:val="000000"/>
              </w:rPr>
            </w:pPr>
            <w:r w:rsidRPr="007F5613">
              <w:rPr>
                <w:color w:val="000000"/>
              </w:rPr>
              <w:t>Water</w:t>
            </w:r>
          </w:p>
        </w:tc>
        <w:tc>
          <w:tcPr>
            <w:tcW w:w="1825" w:type="pct"/>
            <w:tcBorders>
              <w:bottom w:val="single" w:sz="8" w:space="0" w:color="auto"/>
            </w:tcBorders>
          </w:tcPr>
          <w:p w:rsidR="002A25EE" w:rsidRPr="007F5613" w:rsidRDefault="002A25EE" w:rsidP="002A25EE">
            <w:pPr>
              <w:pStyle w:val="TableBody"/>
              <w:rPr>
                <w:color w:val="000000"/>
              </w:rPr>
            </w:pPr>
            <w:r w:rsidRPr="007F5613">
              <w:rPr>
                <w:color w:val="000000"/>
              </w:rPr>
              <w:t>DMF</w:t>
            </w:r>
          </w:p>
        </w:tc>
        <w:tc>
          <w:tcPr>
            <w:tcW w:w="1351" w:type="pct"/>
            <w:tcBorders>
              <w:bottom w:val="single" w:sz="8" w:space="0" w:color="auto"/>
            </w:tcBorders>
          </w:tcPr>
          <w:p w:rsidR="002A25EE" w:rsidRPr="007F5613" w:rsidRDefault="002A25EE" w:rsidP="002A25EE">
            <w:pPr>
              <w:pStyle w:val="TableBody"/>
              <w:rPr>
                <w:color w:val="000000"/>
              </w:rPr>
            </w:pPr>
            <w:r w:rsidRPr="007F5613">
              <w:rPr>
                <w:color w:val="000000"/>
              </w:rPr>
              <w:t>Special</w:t>
            </w:r>
          </w:p>
        </w:tc>
      </w:tr>
      <w:tr w:rsidR="002A25EE" w:rsidRPr="007F5613" w:rsidTr="007F7910">
        <w:tc>
          <w:tcPr>
            <w:tcW w:w="5000" w:type="pct"/>
            <w:gridSpan w:val="3"/>
            <w:tcBorders>
              <w:top w:val="single" w:sz="8" w:space="0" w:color="auto"/>
            </w:tcBorders>
          </w:tcPr>
          <w:p w:rsidR="002A25EE" w:rsidRPr="007F5613" w:rsidRDefault="002A25EE" w:rsidP="00A00F11">
            <w:pPr>
              <w:pStyle w:val="TableFoot"/>
              <w:spacing w:before="0" w:after="0"/>
            </w:pPr>
            <w:r w:rsidRPr="007F5613">
              <w:t>[a] This pair of solvents w</w:t>
            </w:r>
            <w:r w:rsidR="00EA2FF6" w:rsidRPr="007F5613">
              <w:t>as</w:t>
            </w:r>
            <w:r w:rsidRPr="007F5613">
              <w:t xml:space="preserve"> immiscible in some proportions. [b] </w:t>
            </w:r>
            <w:proofErr w:type="spellStart"/>
            <w:r w:rsidRPr="007F5613">
              <w:t>FurOH</w:t>
            </w:r>
            <w:proofErr w:type="spellEnd"/>
            <w:r w:rsidRPr="007F5613">
              <w:t xml:space="preserve"> = 2-hydroxymethylfuran. [c] TMO = 2,2,5,5-tetramethyloxolane.</w:t>
            </w:r>
            <w:r w:rsidRPr="007F5613">
              <w:rPr>
                <w:vertAlign w:val="superscript"/>
              </w:rPr>
              <w:t>[</w:t>
            </w:r>
            <w:r w:rsidRPr="007F5613">
              <w:rPr>
                <w:vertAlign w:val="superscript"/>
              </w:rPr>
              <w:fldChar w:fldCharType="begin"/>
            </w:r>
            <w:r w:rsidRPr="007F5613">
              <w:rPr>
                <w:vertAlign w:val="superscript"/>
              </w:rPr>
              <w:instrText xml:space="preserve"> NOTEREF _Ref529448396 \h </w:instrText>
            </w:r>
            <w:r w:rsidRPr="007F5613">
              <w:rPr>
                <w:vertAlign w:val="superscript"/>
              </w:rPr>
            </w:r>
            <w:r w:rsidR="007F5613">
              <w:rPr>
                <w:vertAlign w:val="superscript"/>
              </w:rPr>
              <w:instrText xml:space="preserve"> \* MERGEFORMAT </w:instrText>
            </w:r>
            <w:r w:rsidRPr="007F5613">
              <w:rPr>
                <w:vertAlign w:val="superscript"/>
              </w:rPr>
              <w:fldChar w:fldCharType="separate"/>
            </w:r>
            <w:r w:rsidR="00F73B1E">
              <w:rPr>
                <w:vertAlign w:val="superscript"/>
              </w:rPr>
              <w:t>18</w:t>
            </w:r>
            <w:r w:rsidRPr="007F5613">
              <w:rPr>
                <w:vertAlign w:val="superscript"/>
              </w:rPr>
              <w:fldChar w:fldCharType="end"/>
            </w:r>
            <w:r w:rsidRPr="007F5613">
              <w:rPr>
                <w:vertAlign w:val="superscript"/>
              </w:rPr>
              <w:t>]</w:t>
            </w:r>
            <w:r w:rsidRPr="007F5613">
              <w:t xml:space="preserve"> [d] CPME = </w:t>
            </w:r>
            <w:proofErr w:type="spellStart"/>
            <w:r w:rsidRPr="007F5613">
              <w:t>cyclopentyl</w:t>
            </w:r>
            <w:proofErr w:type="spellEnd"/>
            <w:r w:rsidRPr="007F5613">
              <w:t xml:space="preserve"> methyl ether. </w:t>
            </w:r>
          </w:p>
        </w:tc>
      </w:tr>
      <w:tr w:rsidR="002A25EE" w:rsidRPr="007F5613" w:rsidTr="007F7910">
        <w:tc>
          <w:tcPr>
            <w:tcW w:w="5000" w:type="pct"/>
            <w:gridSpan w:val="3"/>
          </w:tcPr>
          <w:p w:rsidR="002A25EE" w:rsidRPr="007F5613" w:rsidRDefault="002A25EE" w:rsidP="002A25EE">
            <w:pPr>
              <w:pStyle w:val="TableSpacer"/>
              <w:rPr>
                <w:noProof w:val="0"/>
              </w:rPr>
            </w:pPr>
          </w:p>
        </w:tc>
      </w:tr>
    </w:tbl>
    <w:p w:rsidR="00B02C62" w:rsidRPr="007F5613" w:rsidRDefault="00B02C62" w:rsidP="00914E48">
      <w:pPr>
        <w:pStyle w:val="P1"/>
        <w:ind w:firstLine="425"/>
        <w:rPr>
          <w:color w:val="FF0000"/>
          <w:lang w:val="en-GB"/>
        </w:rPr>
      </w:pPr>
      <w:r w:rsidRPr="007F5613">
        <w:rPr>
          <w:lang w:val="en-GB"/>
        </w:rPr>
        <w:t>The mixed solvents provided far more data points to map out the resin swelling areas of Merrifield and Hypogel</w:t>
      </w:r>
      <w:r w:rsidRPr="007F5613">
        <w:rPr>
          <w:vertAlign w:val="superscript"/>
          <w:lang w:val="en-GB"/>
        </w:rPr>
        <w:t>TM</w:t>
      </w:r>
      <w:r w:rsidRPr="007F5613">
        <w:rPr>
          <w:lang w:val="en-GB"/>
        </w:rPr>
        <w:t>200 resins in HSP space as shown by Figures 10 and 11 respectively. The 3D scatter plots provide a 3D visualisation of the high and medium resin swelling areas. These plots are useful as binary mixtures of two solvents will always lie o</w:t>
      </w:r>
      <w:r w:rsidR="002B4C5E" w:rsidRPr="007F5613">
        <w:rPr>
          <w:lang w:val="en-GB"/>
        </w:rPr>
        <w:t>n</w:t>
      </w:r>
      <w:r w:rsidRPr="007F5613">
        <w:rPr>
          <w:lang w:val="en-GB"/>
        </w:rPr>
        <w:t xml:space="preserve"> a</w:t>
      </w:r>
      <w:r w:rsidR="00B36324" w:rsidRPr="007F5613">
        <w:rPr>
          <w:lang w:val="en-GB"/>
        </w:rPr>
        <w:t xml:space="preserve"> straight line joining the two parent solvents in 3D HSP space. This permits visualisation of which resin swelling regions the line will pass through as shown in Figures S3 and S5 for all solvent</w:t>
      </w:r>
      <w:r w:rsidRPr="007F5613">
        <w:rPr>
          <w:lang w:val="en-GB"/>
        </w:rPr>
        <w:t xml:space="preserve"> </w:t>
      </w:r>
      <w:r w:rsidR="00B36324" w:rsidRPr="007F5613">
        <w:rPr>
          <w:lang w:val="en-GB"/>
        </w:rPr>
        <w:t>mixtures studied with Merrifield and Hypogel</w:t>
      </w:r>
      <w:r w:rsidR="00B36324" w:rsidRPr="007F5613">
        <w:rPr>
          <w:vertAlign w:val="superscript"/>
          <w:lang w:val="en-GB"/>
        </w:rPr>
        <w:t>TM</w:t>
      </w:r>
      <w:r w:rsidR="00B36324" w:rsidRPr="007F5613">
        <w:rPr>
          <w:lang w:val="en-GB"/>
        </w:rPr>
        <w:t>200 resins. The 3D scatter plots also allow predictions to be made as to which mixtures of two solvents will result in high resin swelling. However, these plots are not easy to visualise on a static 2D surface, so alternative ways of presenting the data were also investigated. Teas plots</w:t>
      </w:r>
      <w:r w:rsidR="00B36324" w:rsidRPr="007F5613">
        <w:rPr>
          <w:vertAlign w:val="superscript"/>
          <w:lang w:val="en-GB"/>
        </w:rPr>
        <w:t>[</w:t>
      </w:r>
      <w:r w:rsidR="00B36324" w:rsidRPr="007F5613">
        <w:rPr>
          <w:rStyle w:val="EndnoteReference"/>
          <w:lang w:val="en-GB"/>
        </w:rPr>
        <w:endnoteReference w:id="21"/>
      </w:r>
      <w:r w:rsidR="00B36324" w:rsidRPr="007F5613">
        <w:rPr>
          <w:vertAlign w:val="superscript"/>
          <w:lang w:val="en-GB"/>
        </w:rPr>
        <w:t xml:space="preserve">] </w:t>
      </w:r>
      <w:r w:rsidR="00B36324" w:rsidRPr="007F5613">
        <w:rPr>
          <w:lang w:val="en-GB"/>
        </w:rPr>
        <w:t>provide a way of representing three</w:t>
      </w:r>
    </w:p>
    <w:p w:rsidR="002275C0" w:rsidRPr="007F5613" w:rsidRDefault="002275C0" w:rsidP="00B02C62">
      <w:pPr>
        <w:spacing w:before="360"/>
        <w:rPr>
          <w:rFonts w:ascii="Arial" w:hAnsi="Arial" w:cs="Arial"/>
          <w:color w:val="FF0000"/>
          <w:sz w:val="14"/>
          <w:szCs w:val="16"/>
        </w:rPr>
        <w:sectPr w:rsidR="002275C0" w:rsidRPr="007F5613" w:rsidSect="002275C0">
          <w:endnotePr>
            <w:numFmt w:val="decimal"/>
          </w:endnotePr>
          <w:type w:val="continuous"/>
          <w:pgSz w:w="11906" w:h="16838" w:code="9"/>
          <w:pgMar w:top="1673" w:right="936" w:bottom="1134" w:left="936" w:header="709" w:footer="709" w:gutter="0"/>
          <w:cols w:num="2" w:space="282"/>
          <w:docGrid w:linePitch="360"/>
        </w:sectPr>
      </w:pPr>
    </w:p>
    <w:p w:rsidR="00B02C62" w:rsidRPr="007F5613" w:rsidRDefault="007F5613" w:rsidP="00B02C62">
      <w:pPr>
        <w:spacing w:before="360"/>
        <w:rPr>
          <w:rFonts w:ascii="Arial" w:hAnsi="Arial" w:cs="Arial"/>
          <w:color w:val="FF0000"/>
          <w:sz w:val="14"/>
          <w:szCs w:val="16"/>
        </w:rPr>
      </w:pPr>
      <w:r w:rsidRPr="007F5613">
        <w:rPr>
          <w:rFonts w:ascii="Arial" w:hAnsi="Arial" w:cs="Arial"/>
          <w:color w:val="FF0000"/>
          <w:sz w:val="14"/>
          <w:szCs w:val="16"/>
        </w:rPr>
        <w:lastRenderedPageBreak/>
        <w:pict>
          <v:shape id="_x0000_i1036" type="#_x0000_t75" style="width:469.35pt;height:602.55pt;mso-position-vertical:absolute">
            <v:imagedata r:id="rId23" o:title="Figure 10"/>
          </v:shape>
        </w:pict>
      </w:r>
    </w:p>
    <w:p w:rsidR="002275C0" w:rsidRPr="007F5613" w:rsidRDefault="00B02C62" w:rsidP="002275C0">
      <w:pPr>
        <w:pStyle w:val="FigureCaption"/>
        <w:spacing w:before="120" w:after="360"/>
        <w:rPr>
          <w:color w:val="FF0000"/>
        </w:rPr>
      </w:pPr>
      <w:r w:rsidRPr="007F5613">
        <w:rPr>
          <w:b/>
          <w:color w:val="000000"/>
        </w:rPr>
        <w:t>Figure 10.</w:t>
      </w:r>
      <w:r w:rsidRPr="007F5613">
        <w:rPr>
          <w:color w:val="000000"/>
        </w:rPr>
        <w:t xml:space="preserve"> Representations of the high and medium resin swelling areas for Merrifield resin.</w:t>
      </w:r>
      <w:r w:rsidR="000E7283" w:rsidRPr="007F5613">
        <w:rPr>
          <w:color w:val="000000"/>
        </w:rPr>
        <w:t xml:space="preserve"> Top </w:t>
      </w:r>
      <w:r w:rsidR="00F82991" w:rsidRPr="007F5613">
        <w:rPr>
          <w:color w:val="000000"/>
        </w:rPr>
        <w:t>left 3D scatter plot;</w:t>
      </w:r>
      <w:r w:rsidR="000E7283" w:rsidRPr="007F5613">
        <w:rPr>
          <w:color w:val="000000"/>
        </w:rPr>
        <w:t xml:space="preserve"> bottom </w:t>
      </w:r>
      <w:r w:rsidR="00F82991" w:rsidRPr="007F5613">
        <w:rPr>
          <w:color w:val="000000"/>
        </w:rPr>
        <w:t xml:space="preserve">left </w:t>
      </w:r>
      <w:r w:rsidR="000E7283" w:rsidRPr="007F5613">
        <w:rPr>
          <w:color w:val="000000"/>
        </w:rPr>
        <w:t>Tea</w:t>
      </w:r>
      <w:r w:rsidRPr="007F5613">
        <w:rPr>
          <w:color w:val="000000"/>
        </w:rPr>
        <w:t>s plot</w:t>
      </w:r>
      <w:r w:rsidR="00F82991" w:rsidRPr="007F5613">
        <w:rPr>
          <w:color w:val="000000"/>
        </w:rPr>
        <w:t xml:space="preserve">; right hand side slices through the 3D scatter plot parallel to the </w:t>
      </w:r>
      <w:r w:rsidR="00F82991" w:rsidRPr="007F5613">
        <w:rPr>
          <w:rFonts w:ascii="Symbol" w:hAnsi="Symbol"/>
          <w:color w:val="000000"/>
        </w:rPr>
        <w:t></w:t>
      </w:r>
      <w:r w:rsidR="00F82991" w:rsidRPr="007F5613">
        <w:rPr>
          <w:color w:val="000000"/>
          <w:vertAlign w:val="subscript"/>
        </w:rPr>
        <w:t>d</w:t>
      </w:r>
      <w:r w:rsidR="00F82991" w:rsidRPr="007F5613">
        <w:rPr>
          <w:color w:val="000000"/>
        </w:rPr>
        <w:t>-</w:t>
      </w:r>
      <w:r w:rsidR="00F82991" w:rsidRPr="007F5613">
        <w:rPr>
          <w:rFonts w:ascii="Symbol" w:hAnsi="Symbol"/>
          <w:color w:val="000000"/>
        </w:rPr>
        <w:t></w:t>
      </w:r>
      <w:r w:rsidR="00F82991" w:rsidRPr="007F5613">
        <w:rPr>
          <w:color w:val="000000"/>
          <w:vertAlign w:val="subscript"/>
        </w:rPr>
        <w:t>p</w:t>
      </w:r>
      <w:r w:rsidR="00F82991" w:rsidRPr="007F5613">
        <w:rPr>
          <w:color w:val="000000"/>
        </w:rPr>
        <w:t xml:space="preserve"> plane</w:t>
      </w:r>
      <w:r w:rsidRPr="007F5613">
        <w:rPr>
          <w:color w:val="000000"/>
        </w:rPr>
        <w:t>.</w:t>
      </w:r>
    </w:p>
    <w:p w:rsidR="002275C0" w:rsidRPr="007F5613" w:rsidRDefault="007F5613" w:rsidP="00B02C62">
      <w:pPr>
        <w:spacing w:before="360"/>
        <w:rPr>
          <w:noProof/>
          <w:lang w:eastAsia="en-GB"/>
        </w:rPr>
      </w:pPr>
      <w:r w:rsidRPr="007F5613">
        <w:rPr>
          <w:noProof/>
          <w:lang w:eastAsia="en-GB"/>
        </w:rPr>
        <w:lastRenderedPageBreak/>
        <w:pict>
          <v:shape id="_x0000_i1037" type="#_x0000_t75" style="width:473.2pt;height:624.15pt;mso-position-horizontal:absolute">
            <v:imagedata r:id="rId24" o:title="Figure 11"/>
          </v:shape>
        </w:pict>
      </w:r>
    </w:p>
    <w:p w:rsidR="002275C0" w:rsidRPr="007F5613" w:rsidRDefault="002275C0" w:rsidP="002275C0">
      <w:pPr>
        <w:pStyle w:val="FigureCaption"/>
        <w:spacing w:before="120" w:after="360"/>
        <w:rPr>
          <w:color w:val="000000"/>
        </w:rPr>
      </w:pPr>
      <w:r w:rsidRPr="007F5613">
        <w:rPr>
          <w:b/>
          <w:color w:val="000000"/>
        </w:rPr>
        <w:t>Figure 11.</w:t>
      </w:r>
      <w:r w:rsidRPr="007F5613">
        <w:rPr>
          <w:color w:val="000000"/>
        </w:rPr>
        <w:t xml:space="preserve"> Representations of the high and medium resin swelling areas for HypogelTM200 resin. Top left 3D scatter plot; bottom left Teas plot; right hand side slices through the 3D scatter plot parallel to the </w:t>
      </w:r>
      <w:r w:rsidR="00884083" w:rsidRPr="007F5613">
        <w:rPr>
          <w:rFonts w:ascii="Symbol" w:hAnsi="Symbol"/>
          <w:color w:val="000000"/>
        </w:rPr>
        <w:t></w:t>
      </w:r>
      <w:r w:rsidR="00884083" w:rsidRPr="007F5613">
        <w:rPr>
          <w:color w:val="000000"/>
          <w:vertAlign w:val="subscript"/>
        </w:rPr>
        <w:t>d</w:t>
      </w:r>
      <w:r w:rsidR="00884083" w:rsidRPr="007F5613">
        <w:rPr>
          <w:color w:val="000000"/>
        </w:rPr>
        <w:t>-</w:t>
      </w:r>
      <w:r w:rsidR="00884083" w:rsidRPr="007F5613">
        <w:rPr>
          <w:rFonts w:ascii="Symbol" w:hAnsi="Symbol"/>
          <w:color w:val="000000"/>
        </w:rPr>
        <w:t></w:t>
      </w:r>
      <w:r w:rsidR="00884083" w:rsidRPr="007F5613">
        <w:rPr>
          <w:color w:val="000000"/>
          <w:vertAlign w:val="subscript"/>
        </w:rPr>
        <w:t>p</w:t>
      </w:r>
      <w:r w:rsidRPr="007F5613">
        <w:rPr>
          <w:color w:val="000000"/>
        </w:rPr>
        <w:t xml:space="preserve"> plane.</w:t>
      </w:r>
    </w:p>
    <w:p w:rsidR="002275C0" w:rsidRPr="007F5613" w:rsidRDefault="002275C0" w:rsidP="002275C0">
      <w:pPr>
        <w:pStyle w:val="FigureCaption"/>
        <w:spacing w:before="120" w:after="360"/>
        <w:rPr>
          <w:color w:val="000000"/>
        </w:rPr>
        <w:sectPr w:rsidR="002275C0" w:rsidRPr="007F5613" w:rsidSect="002275C0">
          <w:endnotePr>
            <w:numFmt w:val="decimal"/>
          </w:endnotePr>
          <w:type w:val="continuous"/>
          <w:pgSz w:w="11906" w:h="16838" w:code="9"/>
          <w:pgMar w:top="1673" w:right="936" w:bottom="1134" w:left="936" w:header="709" w:footer="709" w:gutter="0"/>
          <w:cols w:space="282"/>
          <w:docGrid w:linePitch="360"/>
        </w:sectPr>
      </w:pPr>
    </w:p>
    <w:p w:rsidR="00E952DB" w:rsidRPr="007F5613" w:rsidRDefault="00E952DB" w:rsidP="00914E48">
      <w:pPr>
        <w:pStyle w:val="P1"/>
        <w:rPr>
          <w:lang w:val="en-GB"/>
        </w:rPr>
      </w:pPr>
      <w:r w:rsidRPr="007F5613">
        <w:rPr>
          <w:lang w:val="en-GB"/>
        </w:rPr>
        <w:lastRenderedPageBreak/>
        <w:t>orthogonal dimensions in a 2D plot and these are also presented in Figures 10 and 11. Teas plots use fractional parameters (</w:t>
      </w:r>
      <w:proofErr w:type="spellStart"/>
      <w:r w:rsidRPr="007F5613">
        <w:rPr>
          <w:lang w:val="en-GB"/>
        </w:rPr>
        <w:t>f</w:t>
      </w:r>
      <w:r w:rsidRPr="007F5613">
        <w:rPr>
          <w:vertAlign w:val="subscript"/>
          <w:lang w:val="en-GB"/>
        </w:rPr>
        <w:t>d</w:t>
      </w:r>
      <w:proofErr w:type="spellEnd"/>
      <w:r w:rsidRPr="007F5613">
        <w:rPr>
          <w:lang w:val="en-GB"/>
        </w:rPr>
        <w:t xml:space="preserve">, </w:t>
      </w:r>
      <w:proofErr w:type="spellStart"/>
      <w:r w:rsidRPr="007F5613">
        <w:rPr>
          <w:lang w:val="en-GB"/>
        </w:rPr>
        <w:t>f</w:t>
      </w:r>
      <w:r w:rsidRPr="007F5613">
        <w:rPr>
          <w:vertAlign w:val="subscript"/>
          <w:lang w:val="en-GB"/>
        </w:rPr>
        <w:t>p</w:t>
      </w:r>
      <w:proofErr w:type="spellEnd"/>
      <w:r w:rsidRPr="007F5613">
        <w:rPr>
          <w:lang w:val="en-GB"/>
        </w:rPr>
        <w:t xml:space="preserve"> and </w:t>
      </w:r>
      <w:proofErr w:type="spellStart"/>
      <w:r w:rsidRPr="007F5613">
        <w:rPr>
          <w:lang w:val="en-GB"/>
        </w:rPr>
        <w:t>f</w:t>
      </w:r>
      <w:r w:rsidRPr="007F5613">
        <w:rPr>
          <w:vertAlign w:val="subscript"/>
          <w:lang w:val="en-GB"/>
        </w:rPr>
        <w:t>h</w:t>
      </w:r>
      <w:proofErr w:type="spellEnd"/>
      <w:r w:rsidRPr="007F5613">
        <w:rPr>
          <w:lang w:val="en-GB"/>
        </w:rPr>
        <w:t>) as axis which are related to the HSP parameters (</w:t>
      </w:r>
      <w:r w:rsidRPr="007F5613">
        <w:rPr>
          <w:rFonts w:ascii="Symbol" w:hAnsi="Symbol"/>
          <w:lang w:val="en-GB"/>
        </w:rPr>
        <w:t></w:t>
      </w:r>
      <w:r w:rsidRPr="007F5613">
        <w:rPr>
          <w:vertAlign w:val="subscript"/>
          <w:lang w:val="en-GB"/>
        </w:rPr>
        <w:t>d</w:t>
      </w:r>
      <w:r w:rsidRPr="007F5613">
        <w:rPr>
          <w:lang w:val="en-GB"/>
        </w:rPr>
        <w:t xml:space="preserve">, </w:t>
      </w:r>
      <w:r w:rsidRPr="007F5613">
        <w:rPr>
          <w:rFonts w:ascii="Symbol" w:hAnsi="Symbol"/>
          <w:lang w:val="en-GB"/>
        </w:rPr>
        <w:t></w:t>
      </w:r>
      <w:r w:rsidRPr="007F5613">
        <w:rPr>
          <w:vertAlign w:val="subscript"/>
          <w:lang w:val="en-GB"/>
        </w:rPr>
        <w:t>p</w:t>
      </w:r>
      <w:r w:rsidRPr="007F5613">
        <w:rPr>
          <w:lang w:val="en-GB"/>
        </w:rPr>
        <w:t xml:space="preserve"> and </w:t>
      </w:r>
      <w:r w:rsidRPr="007F5613">
        <w:rPr>
          <w:rFonts w:ascii="Symbol" w:hAnsi="Symbol"/>
          <w:lang w:val="en-GB"/>
        </w:rPr>
        <w:t></w:t>
      </w:r>
      <w:r w:rsidRPr="007F5613">
        <w:rPr>
          <w:vertAlign w:val="subscript"/>
          <w:lang w:val="en-GB"/>
        </w:rPr>
        <w:t>h</w:t>
      </w:r>
      <w:r w:rsidRPr="007F5613">
        <w:rPr>
          <w:lang w:val="en-GB"/>
        </w:rPr>
        <w:t>) as shown in Equation 1.</w:t>
      </w:r>
    </w:p>
    <w:p w:rsidR="00E952DB" w:rsidRPr="007F5613" w:rsidRDefault="00E952DB" w:rsidP="00914E48">
      <w:pPr>
        <w:pStyle w:val="P1"/>
        <w:rPr>
          <w:lang w:val="en-GB"/>
        </w:rPr>
      </w:pPr>
    </w:p>
    <w:p w:rsidR="00914E48" w:rsidRPr="007F5613" w:rsidRDefault="00914E48" w:rsidP="00914E48">
      <w:pPr>
        <w:pStyle w:val="P1"/>
        <w:rPr>
          <w:lang w:val="en-GB"/>
        </w:rPr>
      </w:pPr>
      <w:proofErr w:type="spellStart"/>
      <w:r w:rsidRPr="007F5613">
        <w:rPr>
          <w:lang w:val="en-GB"/>
        </w:rPr>
        <w:t>f</w:t>
      </w:r>
      <w:r w:rsidRPr="007F5613">
        <w:rPr>
          <w:vertAlign w:val="subscript"/>
          <w:lang w:val="en-GB"/>
        </w:rPr>
        <w:t>d</w:t>
      </w:r>
      <w:proofErr w:type="spellEnd"/>
      <w:r w:rsidRPr="007F5613">
        <w:rPr>
          <w:lang w:val="en-GB"/>
        </w:rPr>
        <w:t xml:space="preserve"> = </w:t>
      </w:r>
      <w:r w:rsidRPr="007F5613">
        <w:rPr>
          <w:u w:val="single"/>
          <w:lang w:val="en-GB"/>
        </w:rPr>
        <w:t xml:space="preserve">     </w:t>
      </w:r>
      <w:r w:rsidRPr="007F5613">
        <w:rPr>
          <w:rFonts w:ascii="Symbol" w:hAnsi="Symbol"/>
          <w:u w:val="single"/>
          <w:lang w:val="en-GB"/>
        </w:rPr>
        <w:t></w:t>
      </w:r>
      <w:r w:rsidRPr="007F5613">
        <w:rPr>
          <w:u w:val="single"/>
          <w:vertAlign w:val="subscript"/>
          <w:lang w:val="en-GB"/>
        </w:rPr>
        <w:t>d</w:t>
      </w:r>
      <w:r w:rsidRPr="007F5613">
        <w:rPr>
          <w:u w:val="single"/>
          <w:lang w:val="en-GB"/>
        </w:rPr>
        <w:t xml:space="preserve">     </w:t>
      </w:r>
      <w:r w:rsidRPr="007F5613">
        <w:rPr>
          <w:lang w:val="en-GB"/>
        </w:rPr>
        <w:t xml:space="preserve">     </w:t>
      </w:r>
      <w:proofErr w:type="spellStart"/>
      <w:r w:rsidRPr="007F5613">
        <w:rPr>
          <w:lang w:val="en-GB"/>
        </w:rPr>
        <w:t>f</w:t>
      </w:r>
      <w:r w:rsidRPr="007F5613">
        <w:rPr>
          <w:vertAlign w:val="subscript"/>
          <w:lang w:val="en-GB"/>
        </w:rPr>
        <w:t>p</w:t>
      </w:r>
      <w:proofErr w:type="spellEnd"/>
      <w:r w:rsidRPr="007F5613">
        <w:rPr>
          <w:lang w:val="en-GB"/>
        </w:rPr>
        <w:t xml:space="preserve"> = </w:t>
      </w:r>
      <w:r w:rsidRPr="007F5613">
        <w:rPr>
          <w:u w:val="single"/>
          <w:lang w:val="en-GB"/>
        </w:rPr>
        <w:t xml:space="preserve">     </w:t>
      </w:r>
      <w:r w:rsidRPr="007F5613">
        <w:rPr>
          <w:rFonts w:ascii="Symbol" w:hAnsi="Symbol"/>
          <w:u w:val="single"/>
          <w:lang w:val="en-GB"/>
        </w:rPr>
        <w:t></w:t>
      </w:r>
      <w:r w:rsidRPr="007F5613">
        <w:rPr>
          <w:u w:val="single"/>
          <w:vertAlign w:val="subscript"/>
          <w:lang w:val="en-GB"/>
        </w:rPr>
        <w:t>p</w:t>
      </w:r>
      <w:r w:rsidRPr="007F5613">
        <w:rPr>
          <w:u w:val="single"/>
          <w:lang w:val="en-GB"/>
        </w:rPr>
        <w:t xml:space="preserve">   </w:t>
      </w:r>
      <w:r w:rsidRPr="007F5613">
        <w:rPr>
          <w:u w:val="single"/>
          <w:lang w:val="en-GB"/>
        </w:rPr>
        <w:tab/>
      </w:r>
      <w:r w:rsidRPr="007F5613">
        <w:rPr>
          <w:lang w:val="en-GB"/>
        </w:rPr>
        <w:t xml:space="preserve">     </w:t>
      </w:r>
      <w:proofErr w:type="spellStart"/>
      <w:r w:rsidRPr="007F5613">
        <w:rPr>
          <w:lang w:val="en-GB"/>
        </w:rPr>
        <w:t>f</w:t>
      </w:r>
      <w:r w:rsidRPr="007F5613">
        <w:rPr>
          <w:vertAlign w:val="subscript"/>
          <w:lang w:val="en-GB"/>
        </w:rPr>
        <w:t>h</w:t>
      </w:r>
      <w:proofErr w:type="spellEnd"/>
      <w:r w:rsidRPr="007F5613">
        <w:rPr>
          <w:lang w:val="en-GB"/>
        </w:rPr>
        <w:t xml:space="preserve"> = </w:t>
      </w:r>
      <w:r w:rsidRPr="007F5613">
        <w:rPr>
          <w:u w:val="single"/>
          <w:lang w:val="en-GB"/>
        </w:rPr>
        <w:t xml:space="preserve">     </w:t>
      </w:r>
      <w:r w:rsidRPr="007F5613">
        <w:rPr>
          <w:rFonts w:ascii="Symbol" w:hAnsi="Symbol"/>
          <w:u w:val="single"/>
          <w:lang w:val="en-GB"/>
        </w:rPr>
        <w:t></w:t>
      </w:r>
      <w:r w:rsidRPr="007F5613">
        <w:rPr>
          <w:u w:val="single"/>
          <w:vertAlign w:val="subscript"/>
          <w:lang w:val="en-GB"/>
        </w:rPr>
        <w:t>h</w:t>
      </w:r>
      <w:r w:rsidRPr="007F5613">
        <w:rPr>
          <w:u w:val="single"/>
          <w:lang w:val="en-GB"/>
        </w:rPr>
        <w:t xml:space="preserve">   </w:t>
      </w:r>
      <w:r w:rsidRPr="007F5613">
        <w:rPr>
          <w:u w:val="single"/>
          <w:lang w:val="en-GB"/>
        </w:rPr>
        <w:tab/>
      </w:r>
      <w:r w:rsidRPr="007F5613">
        <w:rPr>
          <w:lang w:val="en-GB"/>
        </w:rPr>
        <w:tab/>
        <w:t>Equation 1</w:t>
      </w:r>
    </w:p>
    <w:p w:rsidR="00914E48" w:rsidRPr="007F5613" w:rsidRDefault="00914E48" w:rsidP="00914E48">
      <w:pPr>
        <w:pStyle w:val="P1"/>
        <w:rPr>
          <w:lang w:val="en-GB"/>
        </w:rPr>
      </w:pP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vertAlign w:val="subscript"/>
          <w:lang w:val="en-GB"/>
        </w:rPr>
        <w:t>d</w:t>
      </w:r>
      <w:r w:rsidRPr="007F5613">
        <w:rPr>
          <w:lang w:val="en-GB"/>
        </w:rPr>
        <w:t>+</w:t>
      </w:r>
      <w:r w:rsidRPr="007F5613">
        <w:rPr>
          <w:rFonts w:ascii="Symbol" w:hAnsi="Symbol"/>
          <w:lang w:val="en-GB"/>
        </w:rPr>
        <w:t></w:t>
      </w:r>
      <w:r w:rsidRPr="007F5613">
        <w:rPr>
          <w:vertAlign w:val="subscript"/>
          <w:lang w:val="en-GB"/>
        </w:rPr>
        <w:t>p</w:t>
      </w:r>
      <w:r w:rsidRPr="007F5613">
        <w:rPr>
          <w:lang w:val="en-GB"/>
        </w:rPr>
        <w:t>+</w:t>
      </w:r>
      <w:r w:rsidRPr="007F5613">
        <w:rPr>
          <w:rFonts w:ascii="Symbol" w:hAnsi="Symbol"/>
          <w:lang w:val="en-GB"/>
        </w:rPr>
        <w:t></w:t>
      </w:r>
      <w:r w:rsidRPr="007F5613">
        <w:rPr>
          <w:vertAlign w:val="subscript"/>
          <w:lang w:val="en-GB"/>
        </w:rPr>
        <w:t>h</w:t>
      </w:r>
      <w:r w:rsidRPr="007F5613">
        <w:rPr>
          <w:vertAlign w:val="subscript"/>
          <w:lang w:val="en-GB"/>
        </w:rPr>
        <w:tab/>
        <w:t xml:space="preserve"> </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vertAlign w:val="subscript"/>
          <w:lang w:val="en-GB"/>
        </w:rPr>
        <w:t>d</w:t>
      </w:r>
      <w:r w:rsidRPr="007F5613">
        <w:rPr>
          <w:lang w:val="en-GB"/>
        </w:rPr>
        <w:t>+</w:t>
      </w:r>
      <w:r w:rsidRPr="007F5613">
        <w:rPr>
          <w:rFonts w:ascii="Symbol" w:hAnsi="Symbol"/>
          <w:lang w:val="en-GB"/>
        </w:rPr>
        <w:t></w:t>
      </w:r>
      <w:r w:rsidRPr="007F5613">
        <w:rPr>
          <w:vertAlign w:val="subscript"/>
          <w:lang w:val="en-GB"/>
        </w:rPr>
        <w:t>p</w:t>
      </w:r>
      <w:r w:rsidRPr="007F5613">
        <w:rPr>
          <w:lang w:val="en-GB"/>
        </w:rPr>
        <w:t>+</w:t>
      </w:r>
      <w:r w:rsidRPr="007F5613">
        <w:rPr>
          <w:rFonts w:ascii="Symbol" w:hAnsi="Symbol"/>
          <w:lang w:val="en-GB"/>
        </w:rPr>
        <w:t></w:t>
      </w:r>
      <w:r w:rsidRPr="007F5613">
        <w:rPr>
          <w:vertAlign w:val="subscript"/>
          <w:lang w:val="en-GB"/>
        </w:rPr>
        <w:t>h</w:t>
      </w:r>
      <w:r w:rsidRPr="007F5613">
        <w:rPr>
          <w:vertAlign w:val="subscript"/>
          <w:lang w:val="en-GB"/>
        </w:rPr>
        <w:tab/>
      </w:r>
      <w:r w:rsidRPr="007F5613">
        <w:rPr>
          <w:vertAlign w:val="subscript"/>
          <w:lang w:val="en-GB"/>
        </w:rPr>
        <w:tab/>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rFonts w:ascii="Symbol" w:hAnsi="Symbol"/>
          <w:lang w:val="en-GB"/>
        </w:rPr>
        <w:t></w:t>
      </w:r>
      <w:r w:rsidRPr="007F5613">
        <w:rPr>
          <w:vertAlign w:val="subscript"/>
          <w:lang w:val="en-GB"/>
        </w:rPr>
        <w:t>d</w:t>
      </w:r>
      <w:r w:rsidRPr="007F5613">
        <w:rPr>
          <w:lang w:val="en-GB"/>
        </w:rPr>
        <w:t>+</w:t>
      </w:r>
      <w:r w:rsidRPr="007F5613">
        <w:rPr>
          <w:rFonts w:ascii="Symbol" w:hAnsi="Symbol"/>
          <w:lang w:val="en-GB"/>
        </w:rPr>
        <w:t></w:t>
      </w:r>
      <w:r w:rsidRPr="007F5613">
        <w:rPr>
          <w:vertAlign w:val="subscript"/>
          <w:lang w:val="en-GB"/>
        </w:rPr>
        <w:t>p</w:t>
      </w:r>
      <w:r w:rsidRPr="007F5613">
        <w:rPr>
          <w:lang w:val="en-GB"/>
        </w:rPr>
        <w:t>+</w:t>
      </w:r>
      <w:r w:rsidRPr="007F5613">
        <w:rPr>
          <w:rFonts w:ascii="Symbol" w:hAnsi="Symbol"/>
          <w:lang w:val="en-GB"/>
        </w:rPr>
        <w:t></w:t>
      </w:r>
      <w:r w:rsidRPr="007F5613">
        <w:rPr>
          <w:vertAlign w:val="subscript"/>
          <w:lang w:val="en-GB"/>
        </w:rPr>
        <w:t>h</w:t>
      </w:r>
    </w:p>
    <w:p w:rsidR="00914E48" w:rsidRPr="007F5613" w:rsidRDefault="00914E48" w:rsidP="00914E48">
      <w:pPr>
        <w:pStyle w:val="P1"/>
        <w:ind w:firstLine="425"/>
        <w:rPr>
          <w:lang w:val="en-GB"/>
        </w:rPr>
      </w:pPr>
    </w:p>
    <w:p w:rsidR="00914E48" w:rsidRPr="007F5613" w:rsidRDefault="00914E48" w:rsidP="00914E48">
      <w:pPr>
        <w:pStyle w:val="P1"/>
        <w:rPr>
          <w:lang w:val="en-GB"/>
        </w:rPr>
      </w:pPr>
      <w:r w:rsidRPr="007F5613">
        <w:rPr>
          <w:lang w:val="en-GB"/>
        </w:rPr>
        <w:t>As a result of the use of fractional axis parameters and the 60</w:t>
      </w:r>
      <w:r w:rsidRPr="007F5613">
        <w:rPr>
          <w:vertAlign w:val="superscript"/>
          <w:lang w:val="en-GB"/>
        </w:rPr>
        <w:t>o</w:t>
      </w:r>
      <w:r w:rsidRPr="007F5613">
        <w:rPr>
          <w:lang w:val="en-GB"/>
        </w:rPr>
        <w:t xml:space="preserve"> angles between axis, Teas plots, whilst being easy to visualise, do distort the resin swelling areas. In some cases with Hypogel</w:t>
      </w:r>
      <w:r w:rsidRPr="007F5613">
        <w:rPr>
          <w:vertAlign w:val="superscript"/>
          <w:lang w:val="en-GB"/>
        </w:rPr>
        <w:t>TM</w:t>
      </w:r>
      <w:r w:rsidRPr="007F5613">
        <w:rPr>
          <w:lang w:val="en-GB"/>
        </w:rPr>
        <w:t>200 resin, this distortion resulted in lower resin swelling points being folded into the high resin swelling area; in these case, 3D scatter plots are also given in Figure S</w:t>
      </w:r>
      <w:r w:rsidR="00F3277D" w:rsidRPr="007F5613">
        <w:rPr>
          <w:lang w:val="en-GB"/>
        </w:rPr>
        <w:t>5</w:t>
      </w:r>
      <w:r w:rsidRPr="007F5613">
        <w:rPr>
          <w:lang w:val="en-GB"/>
        </w:rPr>
        <w:t xml:space="preserve">. Hence, Teas plots should be used with care. A third type of plot is also included in Figures 10 and 11. This consists of slices through the 3D scatter plot corresponding to different ranges of </w:t>
      </w:r>
      <w:r w:rsidRPr="007F5613">
        <w:rPr>
          <w:rFonts w:ascii="Symbol" w:hAnsi="Symbol"/>
          <w:lang w:val="en-GB"/>
        </w:rPr>
        <w:t></w:t>
      </w:r>
      <w:r w:rsidRPr="007F5613">
        <w:rPr>
          <w:vertAlign w:val="subscript"/>
          <w:lang w:val="en-GB"/>
        </w:rPr>
        <w:t>H</w:t>
      </w:r>
      <w:r w:rsidRPr="007F5613">
        <w:rPr>
          <w:lang w:val="en-GB"/>
        </w:rPr>
        <w:t xml:space="preserve">. These wedding cake type plots provide very good undistorted visualisation of the high and medium resin swelling areas, but the resolution along the </w:t>
      </w:r>
      <w:r w:rsidRPr="007F5613">
        <w:rPr>
          <w:rFonts w:ascii="Symbol" w:hAnsi="Symbol"/>
          <w:lang w:val="en-GB"/>
        </w:rPr>
        <w:t></w:t>
      </w:r>
      <w:r w:rsidR="00E6475D" w:rsidRPr="007F5613">
        <w:rPr>
          <w:vertAlign w:val="subscript"/>
          <w:lang w:val="en-GB"/>
        </w:rPr>
        <w:t>h</w:t>
      </w:r>
      <w:r w:rsidRPr="007F5613">
        <w:rPr>
          <w:lang w:val="en-GB"/>
        </w:rPr>
        <w:t xml:space="preserve"> axis is limited by the number of slices (4 for the plots in Figures 10 and 11) and they take up a significant amount of space to display.</w:t>
      </w:r>
      <w:r w:rsidR="00047868" w:rsidRPr="007F5613">
        <w:rPr>
          <w:lang w:val="en-GB"/>
        </w:rPr>
        <w:t xml:space="preserve"> Another advantage of this type of plot is that the slices can be automatically coloured to clearly identify the high, medium and low resin swelling areas.</w:t>
      </w:r>
    </w:p>
    <w:p w:rsidR="009C2DBE" w:rsidRPr="007F5613" w:rsidRDefault="009C2DBE" w:rsidP="00914E48">
      <w:pPr>
        <w:pStyle w:val="P1"/>
        <w:rPr>
          <w:lang w:val="en-GB"/>
        </w:rPr>
      </w:pPr>
      <w:r w:rsidRPr="007F5613">
        <w:rPr>
          <w:lang w:val="en-GB"/>
        </w:rPr>
        <w:tab/>
        <w:t>Figures 10 and 11 show that for both Merrifield and Hypogel</w:t>
      </w:r>
      <w:r w:rsidRPr="007F5613">
        <w:rPr>
          <w:vertAlign w:val="superscript"/>
          <w:lang w:val="en-GB"/>
        </w:rPr>
        <w:t>TM</w:t>
      </w:r>
      <w:r w:rsidRPr="007F5613">
        <w:rPr>
          <w:lang w:val="en-GB"/>
        </w:rPr>
        <w:t xml:space="preserve">200 resins, the high resin swelling areas in HSP space are broadly pyramidal. This is particularly apparent in the contour plots as for both resins, the high resin swelling area is largest in the slice corresponding to </w:t>
      </w:r>
      <w:r w:rsidRPr="007F5613">
        <w:rPr>
          <w:rFonts w:ascii="Symbol" w:hAnsi="Symbol"/>
          <w:lang w:val="en-GB"/>
        </w:rPr>
        <w:t></w:t>
      </w:r>
      <w:r w:rsidRPr="007F5613">
        <w:rPr>
          <w:vertAlign w:val="subscript"/>
          <w:lang w:val="en-GB"/>
        </w:rPr>
        <w:t>h</w:t>
      </w:r>
      <w:r w:rsidRPr="007F5613">
        <w:rPr>
          <w:lang w:val="en-GB"/>
        </w:rPr>
        <w:t>&lt;5 and then gets smaller in each subsequent slice. For Merrifield resin, the high resin swelling area ends in the penultimate slice 10&lt;</w:t>
      </w:r>
      <w:r w:rsidRPr="007F5613">
        <w:rPr>
          <w:rFonts w:ascii="Symbol" w:hAnsi="Symbol"/>
          <w:lang w:val="en-GB"/>
        </w:rPr>
        <w:t></w:t>
      </w:r>
      <w:r w:rsidRPr="007F5613">
        <w:rPr>
          <w:vertAlign w:val="subscript"/>
          <w:lang w:val="en-GB"/>
        </w:rPr>
        <w:t>h</w:t>
      </w:r>
      <w:r w:rsidRPr="007F5613">
        <w:rPr>
          <w:lang w:val="en-GB"/>
        </w:rPr>
        <w:t>&lt;15</w:t>
      </w:r>
      <w:r w:rsidR="00D03EBB" w:rsidRPr="007F5613">
        <w:rPr>
          <w:lang w:val="en-GB"/>
        </w:rPr>
        <w:t>, but for Hypogel</w:t>
      </w:r>
      <w:r w:rsidR="00D03EBB" w:rsidRPr="007F5613">
        <w:rPr>
          <w:vertAlign w:val="superscript"/>
          <w:lang w:val="en-GB"/>
        </w:rPr>
        <w:t>TM</w:t>
      </w:r>
      <w:r w:rsidR="00D03EBB" w:rsidRPr="007F5613">
        <w:rPr>
          <w:lang w:val="en-GB"/>
        </w:rPr>
        <w:t xml:space="preserve">200 resin it extends into the top slice </w:t>
      </w:r>
      <w:r w:rsidR="00D03EBB" w:rsidRPr="007F5613">
        <w:rPr>
          <w:rFonts w:ascii="Symbol" w:hAnsi="Symbol"/>
          <w:lang w:val="en-GB"/>
        </w:rPr>
        <w:t></w:t>
      </w:r>
      <w:r w:rsidR="00D03EBB" w:rsidRPr="007F5613">
        <w:rPr>
          <w:vertAlign w:val="subscript"/>
          <w:lang w:val="en-GB"/>
        </w:rPr>
        <w:t>h</w:t>
      </w:r>
      <w:r w:rsidR="00D03EBB" w:rsidRPr="007F5613">
        <w:rPr>
          <w:lang w:val="en-GB"/>
        </w:rPr>
        <w:t>&gt;15.</w:t>
      </w:r>
      <w:r w:rsidR="004414C2" w:rsidRPr="007F5613">
        <w:rPr>
          <w:lang w:val="en-GB"/>
        </w:rPr>
        <w:t xml:space="preserve"> The plots for each solvent mixture (Figures S3 and S5) also show that each solvent mixture does go through the resin swelling areas that would be expected based on the variation of resin swelling with solvent composition and the analysis outlined in Figure 6.</w:t>
      </w:r>
    </w:p>
    <w:p w:rsidR="00C248ED" w:rsidRPr="007F5613" w:rsidRDefault="00820164" w:rsidP="00CB6C09">
      <w:pPr>
        <w:pStyle w:val="P1"/>
        <w:rPr>
          <w:lang w:val="en-GB"/>
        </w:rPr>
      </w:pPr>
      <w:r w:rsidRPr="007F5613">
        <w:rPr>
          <w:lang w:val="en-GB"/>
        </w:rPr>
        <w:tab/>
        <w:t>Figure 12 shows an overlay on a Teas plot of the high resin swelling regions for both Merrifield and Hypogel</w:t>
      </w:r>
      <w:r w:rsidRPr="007F5613">
        <w:rPr>
          <w:vertAlign w:val="superscript"/>
          <w:lang w:val="en-GB"/>
        </w:rPr>
        <w:t>TM</w:t>
      </w:r>
      <w:r w:rsidRPr="007F5613">
        <w:rPr>
          <w:lang w:val="en-GB"/>
        </w:rPr>
        <w:t>200 resins. It is apparent that the majority of the high resin swelling region is common to both resins, consistent with the fact that both have a polystyrene backbone. However, the tail towards very non-polar solvents (</w:t>
      </w:r>
      <w:proofErr w:type="spellStart"/>
      <w:r w:rsidRPr="007F5613">
        <w:rPr>
          <w:lang w:val="en-GB"/>
        </w:rPr>
        <w:t>f</w:t>
      </w:r>
      <w:r w:rsidRPr="007F5613">
        <w:rPr>
          <w:vertAlign w:val="subscript"/>
          <w:lang w:val="en-GB"/>
        </w:rPr>
        <w:t>p</w:t>
      </w:r>
      <w:proofErr w:type="spellEnd"/>
      <w:r w:rsidRPr="007F5613">
        <w:rPr>
          <w:lang w:val="en-GB"/>
        </w:rPr>
        <w:t xml:space="preserve"> = 0) that is apparent for Merrifield resin is considerably truncated for Hypogel</w:t>
      </w:r>
      <w:r w:rsidRPr="007F5613">
        <w:rPr>
          <w:vertAlign w:val="superscript"/>
          <w:lang w:val="en-GB"/>
        </w:rPr>
        <w:t>TM</w:t>
      </w:r>
      <w:r w:rsidRPr="007F5613">
        <w:rPr>
          <w:lang w:val="en-GB"/>
        </w:rPr>
        <w:t>200 resin which likely reflects the more polar nature of the PEG component of Hypogel</w:t>
      </w:r>
      <w:r w:rsidRPr="007F5613">
        <w:rPr>
          <w:vertAlign w:val="superscript"/>
          <w:lang w:val="en-GB"/>
        </w:rPr>
        <w:t>TM</w:t>
      </w:r>
      <w:r w:rsidRPr="007F5613">
        <w:rPr>
          <w:lang w:val="en-GB"/>
        </w:rPr>
        <w:t>200 resin. In contrast, the Hypogel</w:t>
      </w:r>
      <w:r w:rsidRPr="007F5613">
        <w:rPr>
          <w:vertAlign w:val="superscript"/>
          <w:lang w:val="en-GB"/>
        </w:rPr>
        <w:t>TM</w:t>
      </w:r>
      <w:r w:rsidRPr="007F5613">
        <w:rPr>
          <w:lang w:val="en-GB"/>
        </w:rPr>
        <w:t xml:space="preserve">200 resin high swelling region extends to solvents with greater hydrogen bonding ability (represented by </w:t>
      </w:r>
      <w:proofErr w:type="spellStart"/>
      <w:r w:rsidRPr="007F5613">
        <w:rPr>
          <w:lang w:val="en-GB"/>
        </w:rPr>
        <w:t>f</w:t>
      </w:r>
      <w:r w:rsidRPr="007F5613">
        <w:rPr>
          <w:vertAlign w:val="subscript"/>
          <w:lang w:val="en-GB"/>
        </w:rPr>
        <w:t>h</w:t>
      </w:r>
      <w:proofErr w:type="spellEnd"/>
      <w:r w:rsidRPr="007F5613">
        <w:rPr>
          <w:lang w:val="en-GB"/>
        </w:rPr>
        <w:t xml:space="preserve">), </w:t>
      </w:r>
      <w:r w:rsidR="004D691A" w:rsidRPr="007F5613">
        <w:rPr>
          <w:lang w:val="en-GB"/>
        </w:rPr>
        <w:t>which can be attributed to the ability of the PEG chains to act as hydrogen bond acceptors.</w:t>
      </w:r>
      <w:r w:rsidR="00C248ED" w:rsidRPr="007F5613">
        <w:rPr>
          <w:lang w:val="en-GB"/>
        </w:rPr>
        <w:t xml:space="preserve"> </w:t>
      </w:r>
    </w:p>
    <w:p w:rsidR="004D691A" w:rsidRPr="007F5613" w:rsidRDefault="00BB425E" w:rsidP="00BB425E">
      <w:pPr>
        <w:pStyle w:val="P1"/>
        <w:rPr>
          <w:color w:val="000000"/>
          <w:lang w:val="en-GB"/>
        </w:rPr>
      </w:pPr>
      <w:r w:rsidRPr="007F5613">
        <w:rPr>
          <w:lang w:val="en-GB"/>
        </w:rPr>
        <w:tab/>
      </w:r>
      <w:r w:rsidR="004D691A" w:rsidRPr="007F5613">
        <w:rPr>
          <w:color w:val="000000"/>
          <w:lang w:val="en-GB"/>
        </w:rPr>
        <w:t>The utility of using binary mixtur</w:t>
      </w:r>
      <w:r w:rsidR="00E6475D" w:rsidRPr="007F5613">
        <w:rPr>
          <w:color w:val="000000"/>
          <w:lang w:val="en-GB"/>
        </w:rPr>
        <w:t xml:space="preserve">es of solvents to swell resins </w:t>
      </w:r>
      <w:r w:rsidR="004D691A" w:rsidRPr="007F5613">
        <w:rPr>
          <w:color w:val="000000"/>
          <w:lang w:val="en-GB"/>
        </w:rPr>
        <w:t xml:space="preserve">was demonstrated by their use in solid phase peptide synthesis (SPPS). Peptide synthesis is currently undergoing increased interest as it has been recognised that peptides are both important pharmaceuticals in their own right and lead compounds for </w:t>
      </w:r>
      <w:proofErr w:type="spellStart"/>
      <w:r w:rsidR="004D691A" w:rsidRPr="007F5613">
        <w:t>peptidomimetic</w:t>
      </w:r>
      <w:proofErr w:type="spellEnd"/>
      <w:r w:rsidR="004D691A" w:rsidRPr="007F5613">
        <w:t xml:space="preserve"> or non-</w:t>
      </w:r>
      <w:proofErr w:type="spellStart"/>
      <w:r w:rsidR="004D691A" w:rsidRPr="007F5613">
        <w:t>peptidic</w:t>
      </w:r>
      <w:proofErr w:type="spellEnd"/>
      <w:r w:rsidR="004D691A" w:rsidRPr="007F5613">
        <w:t xml:space="preserve"> pharmac</w:t>
      </w:r>
      <w:r w:rsidR="006B7E66" w:rsidRPr="007F5613">
        <w:t>e</w:t>
      </w:r>
      <w:r w:rsidR="004D691A" w:rsidRPr="007F5613">
        <w:t>uticals.</w:t>
      </w:r>
      <w:r w:rsidR="004D691A" w:rsidRPr="007F5613">
        <w:rPr>
          <w:vertAlign w:val="superscript"/>
        </w:rPr>
        <w:t>[</w:t>
      </w:r>
      <w:r w:rsidR="004D691A" w:rsidRPr="007F5613">
        <w:rPr>
          <w:rStyle w:val="EndnoteReference"/>
        </w:rPr>
        <w:endnoteReference w:id="22"/>
      </w:r>
      <w:r w:rsidR="004D691A" w:rsidRPr="007F5613">
        <w:rPr>
          <w:vertAlign w:val="superscript"/>
        </w:rPr>
        <w:t>]</w:t>
      </w:r>
      <w:r w:rsidR="004D691A" w:rsidRPr="007F5613">
        <w:t xml:space="preserve"> </w:t>
      </w:r>
      <w:proofErr w:type="spellStart"/>
      <w:r w:rsidR="004D691A" w:rsidRPr="007F5613">
        <w:t>Peptidic</w:t>
      </w:r>
      <w:proofErr w:type="spellEnd"/>
      <w:r w:rsidR="004D691A" w:rsidRPr="007F5613">
        <w:t xml:space="preserve"> pharmaceuticals often exhibit high potency and specificity with few side effects.</w:t>
      </w:r>
      <w:r w:rsidR="004D691A" w:rsidRPr="007F5613">
        <w:rPr>
          <w:vertAlign w:val="superscript"/>
        </w:rPr>
        <w:t>[</w:t>
      </w:r>
      <w:r w:rsidR="004D691A" w:rsidRPr="007F5613">
        <w:rPr>
          <w:rStyle w:val="EndnoteReference"/>
        </w:rPr>
        <w:endnoteReference w:id="23"/>
      </w:r>
      <w:r w:rsidR="004D691A" w:rsidRPr="007F5613">
        <w:rPr>
          <w:vertAlign w:val="superscript"/>
        </w:rPr>
        <w:t>]</w:t>
      </w:r>
      <w:r w:rsidR="004D691A" w:rsidRPr="007F5613">
        <w:t xml:space="preserve"> However, SPPS is almost universally carried out on Merrifield resin using DMF or </w:t>
      </w:r>
      <w:r w:rsidR="004D691A" w:rsidRPr="007F5613">
        <w:t xml:space="preserve">NMP as </w:t>
      </w:r>
      <w:r w:rsidR="00480434" w:rsidRPr="007F5613">
        <w:t xml:space="preserve">reaction </w:t>
      </w:r>
      <w:r w:rsidR="004D691A" w:rsidRPr="007F5613">
        <w:t>solvent</w:t>
      </w:r>
      <w:r w:rsidR="00480434" w:rsidRPr="007F5613">
        <w:t xml:space="preserve"> along </w:t>
      </w:r>
      <w:proofErr w:type="spellStart"/>
      <w:r w:rsidR="00480434" w:rsidRPr="007F5613">
        <w:t>wth</w:t>
      </w:r>
      <w:proofErr w:type="spellEnd"/>
      <w:r w:rsidR="00480434" w:rsidRPr="007F5613">
        <w:t xml:space="preserve"> chlorinated solvents to wash and swell the resin. There are</w:t>
      </w:r>
      <w:r w:rsidR="004D691A" w:rsidRPr="007F5613">
        <w:t xml:space="preserve"> only a small number of reports of the use of other solvents.</w:t>
      </w:r>
      <w:r w:rsidR="004D691A" w:rsidRPr="007F5613">
        <w:rPr>
          <w:vertAlign w:val="superscript"/>
        </w:rPr>
        <w:t>[</w:t>
      </w:r>
      <w:r w:rsidR="004D691A" w:rsidRPr="007F5613">
        <w:rPr>
          <w:rStyle w:val="EndnoteReference"/>
        </w:rPr>
        <w:endnoteReference w:id="24"/>
      </w:r>
      <w:r w:rsidR="004D691A" w:rsidRPr="007F5613">
        <w:rPr>
          <w:vertAlign w:val="superscript"/>
        </w:rPr>
        <w:t>]</w:t>
      </w:r>
      <w:r w:rsidR="004D691A" w:rsidRPr="007F5613">
        <w:rPr>
          <w:color w:val="000000"/>
          <w:vertAlign w:val="superscript"/>
          <w:lang w:val="en-GB"/>
        </w:rPr>
        <w:t xml:space="preserve"> </w:t>
      </w:r>
      <w:r w:rsidR="004D691A" w:rsidRPr="007F5613">
        <w:rPr>
          <w:color w:val="000000"/>
          <w:lang w:val="en-GB"/>
        </w:rPr>
        <w:t>In our previous work on SPPS in green solvents,</w:t>
      </w:r>
      <w:r w:rsidR="004D691A" w:rsidRPr="007F5613">
        <w:rPr>
          <w:color w:val="000000"/>
          <w:vertAlign w:val="superscript"/>
          <w:lang w:val="en-GB"/>
        </w:rPr>
        <w:t>[</w:t>
      </w:r>
      <w:r w:rsidR="004D691A" w:rsidRPr="007F5613">
        <w:rPr>
          <w:color w:val="000000"/>
          <w:vertAlign w:val="superscript"/>
          <w:lang w:val="en-GB"/>
        </w:rPr>
        <w:fldChar w:fldCharType="begin"/>
      </w:r>
      <w:r w:rsidR="004D691A" w:rsidRPr="007F5613">
        <w:rPr>
          <w:color w:val="000000"/>
          <w:vertAlign w:val="superscript"/>
          <w:lang w:val="en-GB"/>
        </w:rPr>
        <w:instrText xml:space="preserve"> NOTEREF _Ref528679193 \h </w:instrText>
      </w:r>
      <w:r w:rsidR="004D691A" w:rsidRPr="007F5613">
        <w:rPr>
          <w:color w:val="000000"/>
          <w:vertAlign w:val="superscript"/>
          <w:lang w:val="en-GB"/>
        </w:rPr>
      </w:r>
      <w:r w:rsidR="007F5613">
        <w:rPr>
          <w:color w:val="000000"/>
          <w:vertAlign w:val="superscript"/>
          <w:lang w:val="en-GB"/>
        </w:rPr>
        <w:instrText xml:space="preserve"> \* MERGEFORMAT </w:instrText>
      </w:r>
      <w:r w:rsidR="004D691A" w:rsidRPr="007F5613">
        <w:rPr>
          <w:color w:val="000000"/>
          <w:vertAlign w:val="superscript"/>
          <w:lang w:val="en-GB"/>
        </w:rPr>
        <w:fldChar w:fldCharType="separate"/>
      </w:r>
      <w:r w:rsidR="00F73B1E">
        <w:rPr>
          <w:color w:val="000000"/>
          <w:vertAlign w:val="superscript"/>
          <w:lang w:val="en-GB"/>
        </w:rPr>
        <w:t>8</w:t>
      </w:r>
      <w:r w:rsidR="004D691A" w:rsidRPr="007F5613">
        <w:rPr>
          <w:color w:val="000000"/>
          <w:vertAlign w:val="superscript"/>
          <w:lang w:val="en-GB"/>
        </w:rPr>
        <w:fldChar w:fldCharType="end"/>
      </w:r>
      <w:r w:rsidR="004D691A" w:rsidRPr="007F5613">
        <w:rPr>
          <w:color w:val="000000"/>
          <w:vertAlign w:val="superscript"/>
          <w:lang w:val="en-GB"/>
        </w:rPr>
        <w:t>]</w:t>
      </w:r>
      <w:r w:rsidR="004D691A" w:rsidRPr="007F5613">
        <w:rPr>
          <w:color w:val="000000"/>
          <w:lang w:val="en-GB"/>
        </w:rPr>
        <w:t xml:space="preserve"> we had to use </w:t>
      </w:r>
      <w:proofErr w:type="spellStart"/>
      <w:r w:rsidR="004D691A" w:rsidRPr="007F5613">
        <w:rPr>
          <w:color w:val="000000"/>
          <w:lang w:val="en-GB"/>
        </w:rPr>
        <w:t>crosslinked</w:t>
      </w:r>
      <w:proofErr w:type="spellEnd"/>
      <w:r w:rsidR="004D691A" w:rsidRPr="007F5613">
        <w:rPr>
          <w:color w:val="000000"/>
          <w:lang w:val="en-GB"/>
        </w:rPr>
        <w:t xml:space="preserve">-PEG based </w:t>
      </w:r>
      <w:proofErr w:type="spellStart"/>
      <w:r w:rsidR="004D691A" w:rsidRPr="007F5613">
        <w:rPr>
          <w:color w:val="000000"/>
          <w:lang w:val="en-GB"/>
        </w:rPr>
        <w:t>ChemMatrix</w:t>
      </w:r>
      <w:proofErr w:type="spellEnd"/>
      <w:r w:rsidR="004D691A" w:rsidRPr="007F5613">
        <w:rPr>
          <w:color w:val="000000"/>
          <w:lang w:val="en-GB"/>
        </w:rPr>
        <w:t xml:space="preserve"> resin with propylene carbonate </w:t>
      </w:r>
      <w:r w:rsidR="004D691A" w:rsidRPr="007F5613">
        <w:rPr>
          <w:b/>
          <w:color w:val="000000"/>
          <w:lang w:val="en-GB"/>
        </w:rPr>
        <w:t xml:space="preserve">2 </w:t>
      </w:r>
      <w:r w:rsidR="004D691A" w:rsidRPr="007F5613">
        <w:rPr>
          <w:color w:val="000000"/>
          <w:lang w:val="en-GB"/>
        </w:rPr>
        <w:t xml:space="preserve">as no single green solvent was found which would swell Merrifield resin and be compatible with the chemicals used in SPPS. However, </w:t>
      </w:r>
      <w:proofErr w:type="spellStart"/>
      <w:r w:rsidR="004D691A" w:rsidRPr="007F5613">
        <w:rPr>
          <w:color w:val="000000"/>
          <w:lang w:val="en-GB"/>
        </w:rPr>
        <w:t>ChemMatrix</w:t>
      </w:r>
      <w:proofErr w:type="spellEnd"/>
      <w:r w:rsidR="004D691A" w:rsidRPr="007F5613">
        <w:rPr>
          <w:color w:val="000000"/>
          <w:lang w:val="en-GB"/>
        </w:rPr>
        <w:t xml:space="preserve"> resin is much more expensive than Merrifield resin and the peptides produced were contaminated with ethylene glycol arising from degradation of the </w:t>
      </w:r>
      <w:proofErr w:type="spellStart"/>
      <w:r w:rsidR="004D691A" w:rsidRPr="007F5613">
        <w:rPr>
          <w:color w:val="000000"/>
          <w:lang w:val="en-GB"/>
        </w:rPr>
        <w:t>ChemMatrix</w:t>
      </w:r>
      <w:proofErr w:type="spellEnd"/>
      <w:r w:rsidR="004D691A" w:rsidRPr="007F5613">
        <w:rPr>
          <w:color w:val="000000"/>
          <w:lang w:val="en-GB"/>
        </w:rPr>
        <w:t xml:space="preserve"> resin. Therefore, there is an unmet need for green solvents (or a mixture of green solvents) which will allow SPPS to be carried out on Merrifield resin.</w:t>
      </w:r>
    </w:p>
    <w:p w:rsidR="004D691A" w:rsidRPr="007F5613" w:rsidRDefault="007F5613" w:rsidP="004D691A">
      <w:pPr>
        <w:spacing w:before="360"/>
        <w:rPr>
          <w:rFonts w:ascii="Arial" w:hAnsi="Arial" w:cs="Arial"/>
          <w:color w:val="FF0000"/>
          <w:sz w:val="14"/>
          <w:szCs w:val="16"/>
        </w:rPr>
      </w:pPr>
      <w:r w:rsidRPr="007F5613">
        <w:pict>
          <v:shape id="_x0000_i1038" type="#_x0000_t75" style="width:240.65pt;height:229.85pt">
            <v:imagedata r:id="rId25" o:title="Figure 12" cropleft="6531f" cropright="11116f"/>
          </v:shape>
        </w:pict>
      </w:r>
    </w:p>
    <w:p w:rsidR="004D691A" w:rsidRPr="007F5613" w:rsidRDefault="004D691A" w:rsidP="004D691A">
      <w:pPr>
        <w:pStyle w:val="FigureCaption"/>
        <w:spacing w:after="360"/>
      </w:pPr>
      <w:r w:rsidRPr="007F5613">
        <w:rPr>
          <w:b/>
        </w:rPr>
        <w:t>Figure 12.</w:t>
      </w:r>
      <w:r w:rsidRPr="007F5613">
        <w:t xml:space="preserve"> Teas plot showing an overlay of the high resin swelling areas for Merrifield and Hypogel</w:t>
      </w:r>
      <w:r w:rsidRPr="007F5613">
        <w:rPr>
          <w:vertAlign w:val="superscript"/>
        </w:rPr>
        <w:t>TM</w:t>
      </w:r>
      <w:r w:rsidRPr="007F5613">
        <w:t>200 resins.</w:t>
      </w:r>
    </w:p>
    <w:p w:rsidR="00B56F86" w:rsidRPr="007F5613" w:rsidRDefault="00237903" w:rsidP="00B56F86">
      <w:pPr>
        <w:pStyle w:val="P1"/>
        <w:ind w:firstLine="425"/>
        <w:rPr>
          <w:color w:val="000000"/>
          <w:lang w:val="en-GB"/>
        </w:rPr>
      </w:pPr>
      <w:r w:rsidRPr="007F5613">
        <w:rPr>
          <w:color w:val="000000"/>
          <w:lang w:val="en-GB"/>
        </w:rPr>
        <w:t>Since propylene carbonate is a green solvent</w:t>
      </w:r>
      <w:r w:rsidRPr="007F5613">
        <w:rPr>
          <w:color w:val="000000"/>
          <w:vertAlign w:val="superscript"/>
          <w:lang w:val="en-GB"/>
        </w:rPr>
        <w:t>[</w:t>
      </w:r>
      <w:bookmarkStart w:id="4" w:name="_Ref530669104"/>
      <w:r w:rsidRPr="007F5613">
        <w:rPr>
          <w:rStyle w:val="EndnoteReference"/>
          <w:color w:val="000000"/>
          <w:lang w:val="en-GB"/>
        </w:rPr>
        <w:endnoteReference w:id="25"/>
      </w:r>
      <w:bookmarkEnd w:id="4"/>
      <w:r w:rsidRPr="007F5613">
        <w:rPr>
          <w:color w:val="000000"/>
          <w:vertAlign w:val="superscript"/>
          <w:lang w:val="en-GB"/>
        </w:rPr>
        <w:t>]</w:t>
      </w:r>
      <w:r w:rsidRPr="007F5613">
        <w:rPr>
          <w:color w:val="000000"/>
          <w:lang w:val="en-GB"/>
        </w:rPr>
        <w:t xml:space="preserve"> which has previously been shown to be suitable for </w:t>
      </w:r>
      <w:proofErr w:type="spellStart"/>
      <w:r w:rsidRPr="007F5613">
        <w:rPr>
          <w:color w:val="000000"/>
          <w:lang w:val="en-GB"/>
        </w:rPr>
        <w:t>Fmoc</w:t>
      </w:r>
      <w:proofErr w:type="spellEnd"/>
      <w:r w:rsidRPr="007F5613">
        <w:rPr>
          <w:color w:val="000000"/>
          <w:lang w:val="en-GB"/>
        </w:rPr>
        <w:t>-based SPPS on a different resin,</w:t>
      </w:r>
      <w:r w:rsidRPr="007F5613">
        <w:rPr>
          <w:color w:val="000000"/>
          <w:vertAlign w:val="superscript"/>
          <w:lang w:val="en-GB"/>
        </w:rPr>
        <w:t>[</w:t>
      </w:r>
      <w:r w:rsidRPr="007F5613">
        <w:rPr>
          <w:color w:val="000000"/>
          <w:vertAlign w:val="superscript"/>
          <w:lang w:val="en-GB"/>
        </w:rPr>
        <w:fldChar w:fldCharType="begin"/>
      </w:r>
      <w:r w:rsidRPr="007F5613">
        <w:rPr>
          <w:color w:val="000000"/>
          <w:vertAlign w:val="superscript"/>
          <w:lang w:val="en-GB"/>
        </w:rPr>
        <w:instrText xml:space="preserve"> NOTEREF _Ref528679193 \h </w:instrText>
      </w:r>
      <w:r w:rsidRPr="007F5613">
        <w:rPr>
          <w:color w:val="000000"/>
          <w:vertAlign w:val="superscript"/>
          <w:lang w:val="en-GB"/>
        </w:rPr>
      </w:r>
      <w:r w:rsidR="007F5613">
        <w:rPr>
          <w:color w:val="000000"/>
          <w:vertAlign w:val="superscript"/>
          <w:lang w:val="en-GB"/>
        </w:rPr>
        <w:instrText xml:space="preserve"> \* MERGEFORMAT </w:instrText>
      </w:r>
      <w:r w:rsidRPr="007F5613">
        <w:rPr>
          <w:color w:val="000000"/>
          <w:vertAlign w:val="superscript"/>
          <w:lang w:val="en-GB"/>
        </w:rPr>
        <w:fldChar w:fldCharType="separate"/>
      </w:r>
      <w:r w:rsidR="00F73B1E">
        <w:rPr>
          <w:color w:val="000000"/>
          <w:vertAlign w:val="superscript"/>
          <w:lang w:val="en-GB"/>
        </w:rPr>
        <w:t>8</w:t>
      </w:r>
      <w:r w:rsidRPr="007F5613">
        <w:rPr>
          <w:color w:val="000000"/>
          <w:vertAlign w:val="superscript"/>
          <w:lang w:val="en-GB"/>
        </w:rPr>
        <w:fldChar w:fldCharType="end"/>
      </w:r>
      <w:r w:rsidRPr="007F5613">
        <w:rPr>
          <w:color w:val="000000"/>
          <w:vertAlign w:val="superscript"/>
          <w:lang w:val="en-GB"/>
        </w:rPr>
        <w:t>]</w:t>
      </w:r>
      <w:r w:rsidRPr="007F5613">
        <w:rPr>
          <w:color w:val="000000"/>
          <w:lang w:val="en-GB"/>
        </w:rPr>
        <w:t xml:space="preserve"> the use of mixtures of </w:t>
      </w:r>
      <w:r w:rsidRPr="007F5613">
        <w:rPr>
          <w:b/>
          <w:color w:val="000000"/>
          <w:lang w:val="en-GB"/>
        </w:rPr>
        <w:t>2</w:t>
      </w:r>
      <w:r w:rsidRPr="007F5613">
        <w:rPr>
          <w:color w:val="000000"/>
          <w:lang w:val="en-GB"/>
        </w:rPr>
        <w:t xml:space="preserve"> and other green solve</w:t>
      </w:r>
      <w:r w:rsidR="00D74E16" w:rsidRPr="007F5613">
        <w:rPr>
          <w:color w:val="000000"/>
          <w:lang w:val="en-GB"/>
        </w:rPr>
        <w:t xml:space="preserve">nts </w:t>
      </w:r>
      <w:r w:rsidR="003C56E6" w:rsidRPr="007F5613">
        <w:rPr>
          <w:color w:val="000000"/>
          <w:lang w:val="en-GB"/>
        </w:rPr>
        <w:t xml:space="preserve">to replace both DMF/NMP and chlorinated solvents </w:t>
      </w:r>
      <w:r w:rsidR="00D74E16" w:rsidRPr="007F5613">
        <w:rPr>
          <w:color w:val="000000"/>
          <w:lang w:val="en-GB"/>
        </w:rPr>
        <w:t xml:space="preserve">for SPPS on Merrifield </w:t>
      </w:r>
      <w:r w:rsidRPr="007F5613">
        <w:rPr>
          <w:color w:val="000000"/>
          <w:lang w:val="en-GB"/>
        </w:rPr>
        <w:t xml:space="preserve">resin </w:t>
      </w:r>
      <w:r w:rsidR="00D74E16" w:rsidRPr="007F5613">
        <w:rPr>
          <w:color w:val="000000"/>
          <w:lang w:val="en-GB"/>
        </w:rPr>
        <w:t xml:space="preserve">(with a Wang linker) </w:t>
      </w:r>
      <w:r w:rsidRPr="007F5613">
        <w:rPr>
          <w:color w:val="000000"/>
          <w:lang w:val="en-GB"/>
        </w:rPr>
        <w:t>was investigated.</w:t>
      </w:r>
      <w:r w:rsidR="003C56E6" w:rsidRPr="007F5613">
        <w:rPr>
          <w:color w:val="000000"/>
          <w:lang w:val="en-GB"/>
        </w:rPr>
        <w:t xml:space="preserve"> </w:t>
      </w:r>
      <w:r w:rsidR="007C50C3" w:rsidRPr="007F5613">
        <w:rPr>
          <w:color w:val="000000"/>
          <w:lang w:val="en-GB"/>
        </w:rPr>
        <w:t>Propylene carbonate is itself a very poor solvent for swelling Merrifield resin (1.8 mL g</w:t>
      </w:r>
      <w:r w:rsidR="007C50C3" w:rsidRPr="007F5613">
        <w:rPr>
          <w:color w:val="000000"/>
          <w:vertAlign w:val="superscript"/>
          <w:lang w:val="en-GB"/>
        </w:rPr>
        <w:t>-1</w:t>
      </w:r>
      <w:r w:rsidR="007C50C3" w:rsidRPr="007F5613">
        <w:rPr>
          <w:color w:val="000000"/>
          <w:lang w:val="en-GB"/>
        </w:rPr>
        <w:t xml:space="preserve">) and we sought to combine it with other green solvents which also gave poor or moderate swelling of Merrifield resin, but which when mixed with </w:t>
      </w:r>
      <w:r w:rsidR="007C50C3" w:rsidRPr="007F5613">
        <w:rPr>
          <w:b/>
          <w:color w:val="000000"/>
          <w:lang w:val="en-GB"/>
        </w:rPr>
        <w:t>2</w:t>
      </w:r>
      <w:r w:rsidR="007C50C3" w:rsidRPr="007F5613">
        <w:rPr>
          <w:color w:val="000000"/>
          <w:lang w:val="en-GB"/>
        </w:rPr>
        <w:t xml:space="preserve"> would give higher swelling (ca 4 mL g</w:t>
      </w:r>
      <w:r w:rsidR="007C50C3" w:rsidRPr="007F5613">
        <w:rPr>
          <w:color w:val="000000"/>
          <w:vertAlign w:val="superscript"/>
          <w:lang w:val="en-GB"/>
        </w:rPr>
        <w:t>-1</w:t>
      </w:r>
      <w:r w:rsidR="007C50C3" w:rsidRPr="007F5613">
        <w:rPr>
          <w:color w:val="000000"/>
          <w:lang w:val="en-GB"/>
        </w:rPr>
        <w:t>). From the data in Table 2 and Figure S3, there were two possibilities. Ethyl acetate</w:t>
      </w:r>
      <w:r w:rsidR="00FB3BE7" w:rsidRPr="007F5613">
        <w:rPr>
          <w:color w:val="000000"/>
          <w:lang w:val="en-GB"/>
        </w:rPr>
        <w:t xml:space="preserve"> is a green solvent</w:t>
      </w:r>
      <w:r w:rsidR="00FB3BE7" w:rsidRPr="007F5613">
        <w:rPr>
          <w:color w:val="000000"/>
          <w:vertAlign w:val="superscript"/>
          <w:lang w:val="en-GB"/>
        </w:rPr>
        <w:t>[</w:t>
      </w:r>
      <w:r w:rsidR="00FB3BE7" w:rsidRPr="007F5613">
        <w:rPr>
          <w:color w:val="000000"/>
          <w:vertAlign w:val="superscript"/>
          <w:lang w:val="en-GB"/>
        </w:rPr>
        <w:fldChar w:fldCharType="begin"/>
      </w:r>
      <w:r w:rsidR="00FB3BE7" w:rsidRPr="007F5613">
        <w:rPr>
          <w:color w:val="000000"/>
          <w:vertAlign w:val="superscript"/>
          <w:lang w:val="en-GB"/>
        </w:rPr>
        <w:instrText xml:space="preserve"> NOTEREF _Ref530669104 \h </w:instrText>
      </w:r>
      <w:r w:rsidR="00FB3BE7" w:rsidRPr="007F5613">
        <w:rPr>
          <w:color w:val="000000"/>
          <w:vertAlign w:val="superscript"/>
          <w:lang w:val="en-GB"/>
        </w:rPr>
      </w:r>
      <w:r w:rsidR="007F5613">
        <w:rPr>
          <w:color w:val="000000"/>
          <w:vertAlign w:val="superscript"/>
          <w:lang w:val="en-GB"/>
        </w:rPr>
        <w:instrText xml:space="preserve"> \* MERGEFORMAT </w:instrText>
      </w:r>
      <w:r w:rsidR="00FB3BE7" w:rsidRPr="007F5613">
        <w:rPr>
          <w:color w:val="000000"/>
          <w:vertAlign w:val="superscript"/>
          <w:lang w:val="en-GB"/>
        </w:rPr>
        <w:fldChar w:fldCharType="separate"/>
      </w:r>
      <w:r w:rsidR="00F73B1E">
        <w:rPr>
          <w:color w:val="000000"/>
          <w:vertAlign w:val="superscript"/>
          <w:lang w:val="en-GB"/>
        </w:rPr>
        <w:t>24</w:t>
      </w:r>
      <w:r w:rsidR="00FB3BE7" w:rsidRPr="007F5613">
        <w:rPr>
          <w:color w:val="000000"/>
          <w:vertAlign w:val="superscript"/>
          <w:lang w:val="en-GB"/>
        </w:rPr>
        <w:fldChar w:fldCharType="end"/>
      </w:r>
      <w:r w:rsidR="00FB3BE7" w:rsidRPr="007F5613">
        <w:rPr>
          <w:color w:val="000000"/>
          <w:vertAlign w:val="superscript"/>
          <w:lang w:val="en-GB"/>
        </w:rPr>
        <w:t>]</w:t>
      </w:r>
      <w:r w:rsidR="00FB3BE7" w:rsidRPr="007F5613">
        <w:rPr>
          <w:color w:val="000000"/>
          <w:lang w:val="en-GB"/>
        </w:rPr>
        <w:t xml:space="preserve"> and gives moderate swelling of Merrifield resin (3.8 mL g</w:t>
      </w:r>
      <w:r w:rsidR="00FB3BE7" w:rsidRPr="007F5613">
        <w:rPr>
          <w:color w:val="000000"/>
          <w:vertAlign w:val="superscript"/>
          <w:lang w:val="en-GB"/>
        </w:rPr>
        <w:t>-1</w:t>
      </w:r>
      <w:r w:rsidR="00FB3BE7" w:rsidRPr="007F5613">
        <w:rPr>
          <w:color w:val="000000"/>
          <w:lang w:val="en-GB"/>
        </w:rPr>
        <w:t xml:space="preserve">). Mixtures of ethyl acetate and </w:t>
      </w:r>
      <w:r w:rsidR="00FB3BE7" w:rsidRPr="007F5613">
        <w:rPr>
          <w:b/>
          <w:color w:val="000000"/>
          <w:lang w:val="en-GB"/>
        </w:rPr>
        <w:t>2</w:t>
      </w:r>
      <w:r w:rsidR="00FB3BE7" w:rsidRPr="007F5613">
        <w:rPr>
          <w:color w:val="000000"/>
          <w:lang w:val="en-GB"/>
        </w:rPr>
        <w:t xml:space="preserve"> which contain at least 80% ethyl acetate swell Merrifield resin to more than 4 mL g</w:t>
      </w:r>
      <w:r w:rsidR="00FB3BE7" w:rsidRPr="007F5613">
        <w:rPr>
          <w:color w:val="000000"/>
          <w:vertAlign w:val="superscript"/>
          <w:lang w:val="en-GB"/>
        </w:rPr>
        <w:t>-1</w:t>
      </w:r>
      <w:r w:rsidR="00FB3BE7" w:rsidRPr="007F5613">
        <w:rPr>
          <w:color w:val="000000"/>
          <w:lang w:val="en-GB"/>
        </w:rPr>
        <w:t xml:space="preserve"> with the optimal swelling (4.6 mL g</w:t>
      </w:r>
      <w:r w:rsidR="00FB3BE7" w:rsidRPr="007F5613">
        <w:rPr>
          <w:color w:val="000000"/>
          <w:vertAlign w:val="superscript"/>
          <w:lang w:val="en-GB"/>
        </w:rPr>
        <w:t>-1</w:t>
      </w:r>
      <w:r w:rsidR="00FB3BE7" w:rsidRPr="007F5613">
        <w:rPr>
          <w:color w:val="000000"/>
          <w:lang w:val="en-GB"/>
        </w:rPr>
        <w:t xml:space="preserve">) obtained at a 90:10 ethyl acetate to </w:t>
      </w:r>
      <w:r w:rsidR="00FB3BE7" w:rsidRPr="007F5613">
        <w:rPr>
          <w:b/>
          <w:color w:val="000000"/>
          <w:lang w:val="en-GB"/>
        </w:rPr>
        <w:t>2</w:t>
      </w:r>
      <w:r w:rsidR="00FB3BE7" w:rsidRPr="007F5613">
        <w:rPr>
          <w:color w:val="000000"/>
          <w:lang w:val="en-GB"/>
        </w:rPr>
        <w:t xml:space="preserve"> ratio. Hence this ratio was chosen as one solvent to investigate for SPPS. </w:t>
      </w:r>
    </w:p>
    <w:p w:rsidR="00B56F86" w:rsidRPr="007F5613" w:rsidRDefault="00B56F86" w:rsidP="009A4063">
      <w:pPr>
        <w:pStyle w:val="P1"/>
        <w:ind w:firstLine="425"/>
        <w:rPr>
          <w:color w:val="000000"/>
          <w:lang w:val="en-GB"/>
        </w:rPr>
      </w:pPr>
      <w:r w:rsidRPr="007F5613">
        <w:rPr>
          <w:color w:val="000000"/>
          <w:lang w:val="en-GB"/>
        </w:rPr>
        <w:lastRenderedPageBreak/>
        <w:t xml:space="preserve">The second system chosen to study was propylene carbonate </w:t>
      </w:r>
      <w:r w:rsidRPr="007F5613">
        <w:rPr>
          <w:b/>
          <w:color w:val="000000"/>
          <w:lang w:val="en-GB"/>
        </w:rPr>
        <w:t>2</w:t>
      </w:r>
      <w:r w:rsidRPr="007F5613">
        <w:rPr>
          <w:color w:val="000000"/>
          <w:lang w:val="en-GB"/>
        </w:rPr>
        <w:t xml:space="preserve"> and TMO </w:t>
      </w:r>
      <w:r w:rsidRPr="007F5613">
        <w:rPr>
          <w:b/>
          <w:color w:val="000000"/>
          <w:lang w:val="en-GB"/>
        </w:rPr>
        <w:t>5</w:t>
      </w:r>
      <w:r w:rsidRPr="007F5613">
        <w:rPr>
          <w:color w:val="000000"/>
          <w:lang w:val="en-GB"/>
        </w:rPr>
        <w:t>. TMO is a recently reported green replacement for non-polar solvents such as toluene and hexane</w:t>
      </w:r>
      <w:r w:rsidRPr="007F5613">
        <w:rPr>
          <w:color w:val="000000"/>
          <w:vertAlign w:val="superscript"/>
          <w:lang w:val="en-GB"/>
        </w:rPr>
        <w:t>[</w:t>
      </w:r>
      <w:r w:rsidRPr="007F5613">
        <w:rPr>
          <w:color w:val="000000"/>
          <w:vertAlign w:val="superscript"/>
          <w:lang w:val="en-GB"/>
        </w:rPr>
        <w:fldChar w:fldCharType="begin"/>
      </w:r>
      <w:r w:rsidRPr="007F5613">
        <w:rPr>
          <w:color w:val="000000"/>
          <w:vertAlign w:val="superscript"/>
          <w:lang w:val="en-GB"/>
        </w:rPr>
        <w:instrText xml:space="preserve"> NOTEREF _Ref529448396 \h </w:instrText>
      </w:r>
      <w:r w:rsidRPr="007F5613">
        <w:rPr>
          <w:color w:val="000000"/>
          <w:vertAlign w:val="superscript"/>
          <w:lang w:val="en-GB"/>
        </w:rPr>
      </w:r>
      <w:r w:rsidR="007F5613">
        <w:rPr>
          <w:color w:val="000000"/>
          <w:vertAlign w:val="superscript"/>
          <w:lang w:val="en-GB"/>
        </w:rPr>
        <w:instrText xml:space="preserve"> \* MERGEFORMAT </w:instrText>
      </w:r>
      <w:r w:rsidRPr="007F5613">
        <w:rPr>
          <w:color w:val="000000"/>
          <w:vertAlign w:val="superscript"/>
          <w:lang w:val="en-GB"/>
        </w:rPr>
        <w:fldChar w:fldCharType="separate"/>
      </w:r>
      <w:r w:rsidR="00F73B1E">
        <w:rPr>
          <w:color w:val="000000"/>
          <w:vertAlign w:val="superscript"/>
          <w:lang w:val="en-GB"/>
        </w:rPr>
        <w:t>18</w:t>
      </w:r>
      <w:r w:rsidRPr="007F5613">
        <w:rPr>
          <w:color w:val="000000"/>
          <w:vertAlign w:val="superscript"/>
          <w:lang w:val="en-GB"/>
        </w:rPr>
        <w:fldChar w:fldCharType="end"/>
      </w:r>
      <w:r w:rsidRPr="007F5613">
        <w:rPr>
          <w:color w:val="000000"/>
          <w:vertAlign w:val="superscript"/>
          <w:lang w:val="en-GB"/>
        </w:rPr>
        <w:t>]</w:t>
      </w:r>
      <w:r w:rsidRPr="007F5613">
        <w:rPr>
          <w:color w:val="000000"/>
          <w:lang w:val="en-GB"/>
        </w:rPr>
        <w:t xml:space="preserve"> </w:t>
      </w:r>
      <w:r w:rsidRPr="007F5613">
        <w:rPr>
          <w:lang w:val="en-GB"/>
        </w:rPr>
        <w:t>both of which are suspected carcinogens</w:t>
      </w:r>
      <w:r w:rsidRPr="007F5613">
        <w:rPr>
          <w:vertAlign w:val="subscript"/>
          <w:lang w:val="en-GB"/>
        </w:rPr>
        <w:t>.</w:t>
      </w:r>
      <w:r w:rsidRPr="007F5613">
        <w:rPr>
          <w:vertAlign w:val="superscript"/>
          <w:lang w:val="en-GB"/>
        </w:rPr>
        <w:t>[</w:t>
      </w:r>
      <w:r w:rsidRPr="007F5613">
        <w:rPr>
          <w:rStyle w:val="EndnoteReference"/>
          <w:lang w:val="en-GB"/>
        </w:rPr>
        <w:endnoteReference w:id="26"/>
      </w:r>
      <w:r w:rsidRPr="007F5613">
        <w:rPr>
          <w:vertAlign w:val="superscript"/>
          <w:lang w:val="en-GB"/>
        </w:rPr>
        <w:t>]</w:t>
      </w:r>
      <w:r w:rsidRPr="007F5613">
        <w:rPr>
          <w:lang w:val="en-GB"/>
        </w:rPr>
        <w:t xml:space="preserve"> </w:t>
      </w:r>
      <w:r w:rsidRPr="007F5613">
        <w:rPr>
          <w:color w:val="000000"/>
          <w:lang w:val="en-GB"/>
        </w:rPr>
        <w:t>Both it and propylene carbonate are poor solvents for swelling Merrifield resin (1.8 mL g</w:t>
      </w:r>
      <w:r w:rsidRPr="007F5613">
        <w:rPr>
          <w:color w:val="000000"/>
          <w:vertAlign w:val="superscript"/>
          <w:lang w:val="en-GB"/>
        </w:rPr>
        <w:t>-1</w:t>
      </w:r>
      <w:r w:rsidRPr="007F5613">
        <w:rPr>
          <w:color w:val="000000"/>
          <w:lang w:val="en-GB"/>
        </w:rPr>
        <w:t xml:space="preserve">) and these two solvents are only miscible at certain compositions. However, as shown in Figure 9 both miscible and immiscible mixtures of </w:t>
      </w:r>
      <w:r w:rsidRPr="007F5613">
        <w:rPr>
          <w:b/>
          <w:color w:val="000000"/>
          <w:lang w:val="en-GB"/>
        </w:rPr>
        <w:t>2</w:t>
      </w:r>
      <w:r w:rsidRPr="007F5613">
        <w:rPr>
          <w:color w:val="000000"/>
          <w:lang w:val="en-GB"/>
        </w:rPr>
        <w:t xml:space="preserve"> and </w:t>
      </w:r>
      <w:r w:rsidRPr="007F5613">
        <w:rPr>
          <w:b/>
          <w:color w:val="000000"/>
          <w:lang w:val="en-GB"/>
        </w:rPr>
        <w:t xml:space="preserve">5 </w:t>
      </w:r>
      <w:r w:rsidRPr="007F5613">
        <w:rPr>
          <w:color w:val="000000"/>
          <w:lang w:val="en-GB"/>
        </w:rPr>
        <w:t>are capable of swelling Merrifield resin to just under 4 mL g</w:t>
      </w:r>
      <w:r w:rsidRPr="007F5613">
        <w:rPr>
          <w:color w:val="000000"/>
          <w:vertAlign w:val="superscript"/>
          <w:lang w:val="en-GB"/>
        </w:rPr>
        <w:t>-1</w:t>
      </w:r>
      <w:r w:rsidRPr="007F5613">
        <w:rPr>
          <w:color w:val="000000"/>
          <w:lang w:val="en-GB"/>
        </w:rPr>
        <w:t xml:space="preserve">. Therefore, it was decided to investigate the use of 10:90, 70:30 and 60:40 mixtures of </w:t>
      </w:r>
      <w:r w:rsidRPr="007F5613">
        <w:rPr>
          <w:b/>
          <w:color w:val="000000"/>
          <w:lang w:val="en-GB"/>
        </w:rPr>
        <w:t>2</w:t>
      </w:r>
      <w:r w:rsidRPr="007F5613">
        <w:rPr>
          <w:color w:val="000000"/>
          <w:lang w:val="en-GB"/>
        </w:rPr>
        <w:t xml:space="preserve"> and </w:t>
      </w:r>
      <w:r w:rsidRPr="007F5613">
        <w:rPr>
          <w:b/>
          <w:color w:val="000000"/>
          <w:lang w:val="en-GB"/>
        </w:rPr>
        <w:t>5</w:t>
      </w:r>
      <w:r w:rsidRPr="007F5613">
        <w:rPr>
          <w:color w:val="000000"/>
          <w:lang w:val="en-GB"/>
        </w:rPr>
        <w:t>. The 10:90 is homogeneous and swells Merrifield resin to almost 4 mL g</w:t>
      </w:r>
      <w:r w:rsidRPr="007F5613">
        <w:rPr>
          <w:color w:val="000000"/>
          <w:vertAlign w:val="superscript"/>
          <w:lang w:val="en-GB"/>
        </w:rPr>
        <w:t>-1</w:t>
      </w:r>
      <w:r w:rsidRPr="007F5613">
        <w:rPr>
          <w:color w:val="000000"/>
          <w:lang w:val="en-GB"/>
        </w:rPr>
        <w:t>, the 70:30 mixture is also homogeneous but gives a Merrifield resin swelling of only 2.9 mL g</w:t>
      </w:r>
      <w:r w:rsidRPr="007F5613">
        <w:rPr>
          <w:color w:val="000000"/>
          <w:vertAlign w:val="superscript"/>
          <w:lang w:val="en-GB"/>
        </w:rPr>
        <w:t>-1</w:t>
      </w:r>
      <w:r w:rsidRPr="007F5613">
        <w:rPr>
          <w:color w:val="000000"/>
          <w:lang w:val="en-GB"/>
        </w:rPr>
        <w:t xml:space="preserve"> and the 60:40 mixture is immiscible but swells Merrifield resin to almost 4 mL g</w:t>
      </w:r>
      <w:r w:rsidRPr="007F5613">
        <w:rPr>
          <w:color w:val="000000"/>
          <w:vertAlign w:val="superscript"/>
          <w:lang w:val="en-GB"/>
        </w:rPr>
        <w:noBreakHyphen/>
        <w:t>1</w:t>
      </w:r>
      <w:r w:rsidRPr="007F5613">
        <w:rPr>
          <w:color w:val="000000"/>
          <w:lang w:val="en-GB"/>
        </w:rPr>
        <w:t>. This gave a total of four solvent mixtures to be studied for SPPS and for comparison, the three parent solvents (</w:t>
      </w:r>
      <w:r w:rsidRPr="007F5613">
        <w:rPr>
          <w:b/>
          <w:color w:val="000000"/>
          <w:lang w:val="en-GB"/>
        </w:rPr>
        <w:t>2</w:t>
      </w:r>
      <w:r w:rsidRPr="007F5613">
        <w:rPr>
          <w:color w:val="000000"/>
          <w:lang w:val="en-GB"/>
        </w:rPr>
        <w:t xml:space="preserve">, </w:t>
      </w:r>
      <w:r w:rsidRPr="007F5613">
        <w:rPr>
          <w:b/>
          <w:color w:val="000000"/>
          <w:lang w:val="en-GB"/>
        </w:rPr>
        <w:t>5</w:t>
      </w:r>
      <w:r w:rsidRPr="007F5613">
        <w:rPr>
          <w:color w:val="000000"/>
          <w:lang w:val="en-GB"/>
        </w:rPr>
        <w:t xml:space="preserve"> and ethyl acetate) were also included in the study.</w:t>
      </w:r>
    </w:p>
    <w:tbl>
      <w:tblPr>
        <w:tblW w:w="5000" w:type="pct"/>
        <w:tblLook w:val="01E0" w:firstRow="1" w:lastRow="1" w:firstColumn="1" w:lastColumn="1" w:noHBand="0" w:noVBand="0"/>
      </w:tblPr>
      <w:tblGrid>
        <w:gridCol w:w="2672"/>
        <w:gridCol w:w="806"/>
        <w:gridCol w:w="806"/>
        <w:gridCol w:w="808"/>
      </w:tblGrid>
      <w:tr w:rsidR="00E6475D" w:rsidRPr="007F5613" w:rsidTr="006070E5">
        <w:tc>
          <w:tcPr>
            <w:tcW w:w="5000" w:type="pct"/>
            <w:gridSpan w:val="4"/>
          </w:tcPr>
          <w:p w:rsidR="00E6475D" w:rsidRPr="007F5613" w:rsidRDefault="00E6475D" w:rsidP="00E6475D">
            <w:pPr>
              <w:pStyle w:val="TableSpacer"/>
              <w:spacing w:before="240"/>
              <w:rPr>
                <w:noProof w:val="0"/>
              </w:rPr>
            </w:pPr>
          </w:p>
        </w:tc>
      </w:tr>
      <w:tr w:rsidR="00E6475D" w:rsidRPr="007F5613" w:rsidTr="006070E5">
        <w:tc>
          <w:tcPr>
            <w:tcW w:w="5000" w:type="pct"/>
            <w:gridSpan w:val="4"/>
            <w:tcBorders>
              <w:bottom w:val="single" w:sz="8" w:space="0" w:color="auto"/>
            </w:tcBorders>
          </w:tcPr>
          <w:p w:rsidR="00E6475D" w:rsidRPr="007F5613" w:rsidRDefault="00E6475D" w:rsidP="00E6475D">
            <w:pPr>
              <w:pStyle w:val="TableCaption"/>
            </w:pPr>
            <w:r w:rsidRPr="007F5613">
              <w:rPr>
                <w:b/>
              </w:rPr>
              <w:t>Table 5.</w:t>
            </w:r>
            <w:r w:rsidRPr="007F5613">
              <w:t xml:space="preserve"> HSP’s for solvents used in SPPS.</w:t>
            </w:r>
          </w:p>
        </w:tc>
      </w:tr>
      <w:tr w:rsidR="00E6475D" w:rsidRPr="007F5613" w:rsidTr="009A4063">
        <w:tc>
          <w:tcPr>
            <w:tcW w:w="2625" w:type="pct"/>
            <w:tcBorders>
              <w:bottom w:val="single" w:sz="8" w:space="0" w:color="auto"/>
            </w:tcBorders>
          </w:tcPr>
          <w:p w:rsidR="00E6475D" w:rsidRPr="007F5613" w:rsidRDefault="00E6475D" w:rsidP="00E6475D">
            <w:pPr>
              <w:pStyle w:val="TableHead"/>
            </w:pPr>
            <w:r w:rsidRPr="007F5613">
              <w:t>Solvent</w:t>
            </w:r>
          </w:p>
        </w:tc>
        <w:tc>
          <w:tcPr>
            <w:tcW w:w="791" w:type="pct"/>
            <w:tcBorders>
              <w:bottom w:val="single" w:sz="8" w:space="0" w:color="auto"/>
            </w:tcBorders>
          </w:tcPr>
          <w:p w:rsidR="00E6475D" w:rsidRPr="007F5613" w:rsidRDefault="00E6475D" w:rsidP="00E6475D">
            <w:pPr>
              <w:pStyle w:val="TableHead"/>
            </w:pPr>
            <w:proofErr w:type="spellStart"/>
            <w:r w:rsidRPr="007F5613">
              <w:t>δ</w:t>
            </w:r>
            <w:r w:rsidRPr="007F5613">
              <w:rPr>
                <w:vertAlign w:val="subscript"/>
              </w:rPr>
              <w:t>d</w:t>
            </w:r>
            <w:proofErr w:type="spellEnd"/>
          </w:p>
        </w:tc>
        <w:tc>
          <w:tcPr>
            <w:tcW w:w="791" w:type="pct"/>
            <w:tcBorders>
              <w:bottom w:val="single" w:sz="8" w:space="0" w:color="auto"/>
            </w:tcBorders>
          </w:tcPr>
          <w:p w:rsidR="00E6475D" w:rsidRPr="007F5613" w:rsidRDefault="00E6475D" w:rsidP="00E6475D">
            <w:pPr>
              <w:pStyle w:val="TableHead"/>
            </w:pPr>
            <w:proofErr w:type="spellStart"/>
            <w:r w:rsidRPr="007F5613">
              <w:t>δ</w:t>
            </w:r>
            <w:r w:rsidRPr="007F5613">
              <w:rPr>
                <w:vertAlign w:val="subscript"/>
              </w:rPr>
              <w:t>p</w:t>
            </w:r>
            <w:proofErr w:type="spellEnd"/>
          </w:p>
        </w:tc>
        <w:tc>
          <w:tcPr>
            <w:tcW w:w="792" w:type="pct"/>
            <w:tcBorders>
              <w:bottom w:val="single" w:sz="8" w:space="0" w:color="auto"/>
            </w:tcBorders>
          </w:tcPr>
          <w:p w:rsidR="00E6475D" w:rsidRPr="007F5613" w:rsidRDefault="00E6475D" w:rsidP="00E6475D">
            <w:pPr>
              <w:pStyle w:val="TableHead"/>
            </w:pPr>
            <w:proofErr w:type="spellStart"/>
            <w:r w:rsidRPr="007F5613">
              <w:t>δ</w:t>
            </w:r>
            <w:r w:rsidRPr="007F5613">
              <w:rPr>
                <w:vertAlign w:val="subscript"/>
              </w:rPr>
              <w:t>h</w:t>
            </w:r>
            <w:proofErr w:type="spellEnd"/>
          </w:p>
        </w:tc>
      </w:tr>
      <w:tr w:rsidR="00E6475D" w:rsidRPr="007F5613" w:rsidTr="009A4063">
        <w:tc>
          <w:tcPr>
            <w:tcW w:w="2625" w:type="pct"/>
            <w:tcBorders>
              <w:top w:val="single" w:sz="8" w:space="0" w:color="auto"/>
            </w:tcBorders>
            <w:vAlign w:val="center"/>
          </w:tcPr>
          <w:p w:rsidR="00E6475D" w:rsidRPr="007F5613" w:rsidRDefault="00E6475D" w:rsidP="006070E5">
            <w:pPr>
              <w:pStyle w:val="TableBody"/>
              <w:jc w:val="center"/>
              <w:rPr>
                <w:b/>
              </w:rPr>
            </w:pPr>
            <w:r w:rsidRPr="007F5613">
              <w:t>Propylene carbonate</w:t>
            </w:r>
            <w:r w:rsidRPr="007F5613">
              <w:rPr>
                <w:b/>
              </w:rPr>
              <w:t xml:space="preserve"> 2</w:t>
            </w:r>
          </w:p>
        </w:tc>
        <w:tc>
          <w:tcPr>
            <w:tcW w:w="791" w:type="pct"/>
            <w:tcBorders>
              <w:top w:val="single" w:sz="8" w:space="0" w:color="auto"/>
            </w:tcBorders>
            <w:vAlign w:val="center"/>
          </w:tcPr>
          <w:p w:rsidR="00E6475D" w:rsidRPr="007F5613" w:rsidRDefault="00E6475D" w:rsidP="006070E5">
            <w:pPr>
              <w:pStyle w:val="TableBody"/>
              <w:jc w:val="center"/>
            </w:pPr>
            <w:r w:rsidRPr="007F5613">
              <w:t>20</w:t>
            </w:r>
          </w:p>
        </w:tc>
        <w:tc>
          <w:tcPr>
            <w:tcW w:w="791" w:type="pct"/>
            <w:tcBorders>
              <w:top w:val="single" w:sz="8" w:space="0" w:color="auto"/>
            </w:tcBorders>
            <w:vAlign w:val="center"/>
          </w:tcPr>
          <w:p w:rsidR="00E6475D" w:rsidRPr="007F5613" w:rsidRDefault="00E6475D" w:rsidP="006070E5">
            <w:pPr>
              <w:pStyle w:val="TableBody"/>
              <w:jc w:val="center"/>
            </w:pPr>
            <w:r w:rsidRPr="007F5613">
              <w:t>18</w:t>
            </w:r>
          </w:p>
        </w:tc>
        <w:tc>
          <w:tcPr>
            <w:tcW w:w="792" w:type="pct"/>
            <w:tcBorders>
              <w:top w:val="single" w:sz="8" w:space="0" w:color="auto"/>
            </w:tcBorders>
            <w:vAlign w:val="center"/>
          </w:tcPr>
          <w:p w:rsidR="00E6475D" w:rsidRPr="007F5613" w:rsidRDefault="00E6475D" w:rsidP="006070E5">
            <w:pPr>
              <w:pStyle w:val="TableBody"/>
              <w:jc w:val="center"/>
            </w:pPr>
            <w:r w:rsidRPr="007F5613">
              <w:t>4.1</w:t>
            </w:r>
          </w:p>
        </w:tc>
      </w:tr>
      <w:tr w:rsidR="00E6475D" w:rsidRPr="007F5613" w:rsidTr="009A4063">
        <w:tc>
          <w:tcPr>
            <w:tcW w:w="2625" w:type="pct"/>
            <w:vAlign w:val="center"/>
          </w:tcPr>
          <w:p w:rsidR="00E6475D" w:rsidRPr="007F5613" w:rsidRDefault="00E6475D" w:rsidP="006070E5">
            <w:pPr>
              <w:pStyle w:val="TableBody"/>
              <w:jc w:val="center"/>
            </w:pPr>
            <w:r w:rsidRPr="007F5613">
              <w:t>NMP</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18</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12.3</w:t>
            </w:r>
          </w:p>
        </w:tc>
        <w:tc>
          <w:tcPr>
            <w:tcW w:w="792"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7.2</w:t>
            </w:r>
          </w:p>
        </w:tc>
      </w:tr>
      <w:tr w:rsidR="00E6475D" w:rsidRPr="007F5613" w:rsidTr="009A4063">
        <w:tc>
          <w:tcPr>
            <w:tcW w:w="2625" w:type="pct"/>
            <w:vAlign w:val="center"/>
          </w:tcPr>
          <w:p w:rsidR="00E6475D" w:rsidRPr="007F5613" w:rsidRDefault="00E6475D" w:rsidP="006070E5">
            <w:pPr>
              <w:pStyle w:val="TableBody"/>
              <w:jc w:val="center"/>
            </w:pPr>
            <w:r w:rsidRPr="007F5613">
              <w:t>DMF</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17.4</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13.7</w:t>
            </w:r>
          </w:p>
        </w:tc>
        <w:tc>
          <w:tcPr>
            <w:tcW w:w="792"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11.3</w:t>
            </w:r>
          </w:p>
        </w:tc>
      </w:tr>
      <w:tr w:rsidR="00E6475D" w:rsidRPr="007F5613" w:rsidTr="009A4063">
        <w:tc>
          <w:tcPr>
            <w:tcW w:w="2625" w:type="pct"/>
            <w:vAlign w:val="center"/>
          </w:tcPr>
          <w:p w:rsidR="00E6475D" w:rsidRPr="007F5613" w:rsidRDefault="00E6475D" w:rsidP="006070E5">
            <w:pPr>
              <w:pStyle w:val="TableBody"/>
              <w:jc w:val="center"/>
            </w:pPr>
            <w:r w:rsidRPr="007F5613">
              <w:t>CH</w:t>
            </w:r>
            <w:r w:rsidRPr="007F5613">
              <w:rPr>
                <w:vertAlign w:val="subscript"/>
              </w:rPr>
              <w:t>2</w:t>
            </w:r>
            <w:r w:rsidRPr="007F5613">
              <w:t>Cl</w:t>
            </w:r>
            <w:r w:rsidRPr="007F5613">
              <w:rPr>
                <w:vertAlign w:val="subscript"/>
              </w:rPr>
              <w:t>2</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17</w:t>
            </w:r>
          </w:p>
        </w:tc>
        <w:tc>
          <w:tcPr>
            <w:tcW w:w="791"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7.3</w:t>
            </w:r>
          </w:p>
        </w:tc>
        <w:tc>
          <w:tcPr>
            <w:tcW w:w="792" w:type="pct"/>
            <w:vAlign w:val="center"/>
          </w:tcPr>
          <w:p w:rsidR="00E6475D" w:rsidRPr="007F5613" w:rsidRDefault="00E6475D" w:rsidP="006070E5">
            <w:pPr>
              <w:pStyle w:val="TableBody"/>
              <w:pBdr>
                <w:top w:val="none" w:sz="0" w:space="0" w:color="auto"/>
                <w:left w:val="none" w:sz="0" w:space="0" w:color="auto"/>
                <w:bottom w:val="none" w:sz="0" w:space="0" w:color="auto"/>
                <w:right w:val="none" w:sz="0" w:space="0" w:color="auto"/>
              </w:pBdr>
              <w:jc w:val="center"/>
            </w:pPr>
            <w:r w:rsidRPr="007F5613">
              <w:t>7.1</w:t>
            </w:r>
          </w:p>
        </w:tc>
      </w:tr>
      <w:tr w:rsidR="006070E5" w:rsidRPr="007F5613" w:rsidTr="009A4063">
        <w:tc>
          <w:tcPr>
            <w:tcW w:w="2625" w:type="pct"/>
            <w:vAlign w:val="center"/>
          </w:tcPr>
          <w:p w:rsidR="006070E5" w:rsidRPr="007F5613" w:rsidRDefault="006070E5" w:rsidP="006070E5">
            <w:pPr>
              <w:pStyle w:val="TableBody"/>
              <w:jc w:val="center"/>
            </w:pPr>
            <w:proofErr w:type="spellStart"/>
            <w:r w:rsidRPr="007F5613">
              <w:t>EtOAc</w:t>
            </w:r>
            <w:proofErr w:type="spellEnd"/>
          </w:p>
        </w:tc>
        <w:tc>
          <w:tcPr>
            <w:tcW w:w="791" w:type="pct"/>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15.8</w:t>
            </w:r>
          </w:p>
        </w:tc>
        <w:tc>
          <w:tcPr>
            <w:tcW w:w="791" w:type="pct"/>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5.3</w:t>
            </w:r>
          </w:p>
        </w:tc>
        <w:tc>
          <w:tcPr>
            <w:tcW w:w="792" w:type="pct"/>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7.2</w:t>
            </w:r>
          </w:p>
        </w:tc>
      </w:tr>
      <w:tr w:rsidR="006070E5" w:rsidRPr="007F5613" w:rsidTr="009A4063">
        <w:tc>
          <w:tcPr>
            <w:tcW w:w="2625" w:type="pct"/>
            <w:tcBorders>
              <w:bottom w:val="single" w:sz="8" w:space="0" w:color="auto"/>
            </w:tcBorders>
            <w:vAlign w:val="center"/>
          </w:tcPr>
          <w:p w:rsidR="006070E5" w:rsidRPr="007F5613" w:rsidRDefault="006070E5" w:rsidP="006070E5">
            <w:pPr>
              <w:pStyle w:val="TableBody"/>
              <w:jc w:val="center"/>
              <w:rPr>
                <w:b/>
              </w:rPr>
            </w:pPr>
            <w:r w:rsidRPr="007F5613">
              <w:t xml:space="preserve">TMO </w:t>
            </w:r>
            <w:r w:rsidRPr="007F5613">
              <w:rPr>
                <w:b/>
              </w:rPr>
              <w:t>5</w:t>
            </w:r>
          </w:p>
        </w:tc>
        <w:tc>
          <w:tcPr>
            <w:tcW w:w="791" w:type="pct"/>
            <w:tcBorders>
              <w:bottom w:val="single" w:sz="8" w:space="0" w:color="auto"/>
            </w:tcBorders>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15.4</w:t>
            </w:r>
          </w:p>
        </w:tc>
        <w:tc>
          <w:tcPr>
            <w:tcW w:w="791" w:type="pct"/>
            <w:tcBorders>
              <w:bottom w:val="single" w:sz="8" w:space="0" w:color="auto"/>
            </w:tcBorders>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2.4</w:t>
            </w:r>
          </w:p>
        </w:tc>
        <w:tc>
          <w:tcPr>
            <w:tcW w:w="792" w:type="pct"/>
            <w:tcBorders>
              <w:bottom w:val="single" w:sz="8" w:space="0" w:color="auto"/>
            </w:tcBorders>
            <w:vAlign w:val="center"/>
          </w:tcPr>
          <w:p w:rsidR="006070E5" w:rsidRPr="007F5613" w:rsidRDefault="006070E5" w:rsidP="006070E5">
            <w:pPr>
              <w:pStyle w:val="TableBody"/>
              <w:pBdr>
                <w:top w:val="none" w:sz="0" w:space="0" w:color="auto"/>
                <w:left w:val="none" w:sz="0" w:space="0" w:color="auto"/>
                <w:bottom w:val="none" w:sz="0" w:space="0" w:color="auto"/>
                <w:right w:val="none" w:sz="0" w:space="0" w:color="auto"/>
              </w:pBdr>
              <w:jc w:val="center"/>
            </w:pPr>
            <w:r w:rsidRPr="007F5613">
              <w:t>2.1</w:t>
            </w:r>
          </w:p>
        </w:tc>
      </w:tr>
      <w:tr w:rsidR="002A3187" w:rsidRPr="007F5613" w:rsidTr="002A3187">
        <w:tc>
          <w:tcPr>
            <w:tcW w:w="5000" w:type="pct"/>
            <w:gridSpan w:val="4"/>
            <w:tcBorders>
              <w:top w:val="single" w:sz="8" w:space="0" w:color="auto"/>
            </w:tcBorders>
            <w:vAlign w:val="center"/>
          </w:tcPr>
          <w:p w:rsidR="002A3187" w:rsidRPr="007F5613" w:rsidRDefault="002A3187" w:rsidP="002A3187">
            <w:pPr>
              <w:pStyle w:val="TableSpacer"/>
            </w:pPr>
          </w:p>
        </w:tc>
      </w:tr>
    </w:tbl>
    <w:p w:rsidR="009A4063" w:rsidRPr="007F5613" w:rsidRDefault="009A4063" w:rsidP="009A4063">
      <w:pPr>
        <w:pStyle w:val="P1"/>
        <w:ind w:firstLine="425"/>
      </w:pPr>
      <w:r w:rsidRPr="007F5613">
        <w:t>Chlorinated solvents are challenging to replace with greener alternatives due to their high polarizability (</w:t>
      </w:r>
      <w:proofErr w:type="spellStart"/>
      <w:r w:rsidRPr="007F5613">
        <w:t>δ</w:t>
      </w:r>
      <w:r w:rsidRPr="007F5613">
        <w:rPr>
          <w:vertAlign w:val="subscript"/>
        </w:rPr>
        <w:t>d</w:t>
      </w:r>
      <w:proofErr w:type="spellEnd"/>
      <w:r w:rsidRPr="007F5613">
        <w:t xml:space="preserve">) but low </w:t>
      </w:r>
      <w:proofErr w:type="spellStart"/>
      <w:r w:rsidRPr="007F5613">
        <w:t>dipolarity</w:t>
      </w:r>
      <w:proofErr w:type="spellEnd"/>
      <w:r w:rsidRPr="007F5613">
        <w:t xml:space="preserve"> (</w:t>
      </w:r>
      <w:proofErr w:type="spellStart"/>
      <w:r w:rsidRPr="007F5613">
        <w:t>δ</w:t>
      </w:r>
      <w:r w:rsidRPr="007F5613">
        <w:rPr>
          <w:vertAlign w:val="subscript"/>
        </w:rPr>
        <w:t>p</w:t>
      </w:r>
      <w:proofErr w:type="spellEnd"/>
      <w:r w:rsidRPr="007F5613">
        <w:t xml:space="preserve">) (Table 5). This is very difficult to mimic with other single compounds containing only carbon hydrogen and oxygen. </w:t>
      </w:r>
    </w:p>
    <w:p w:rsidR="009A4063" w:rsidRPr="007F5613" w:rsidRDefault="009A4063" w:rsidP="009A4063">
      <w:pPr>
        <w:pStyle w:val="P1"/>
      </w:pPr>
      <w:r w:rsidRPr="007F5613">
        <w:t xml:space="preserve">Propylene carbonate is potentially interesting in this respect due to its very high values for </w:t>
      </w:r>
      <w:proofErr w:type="spellStart"/>
      <w:r w:rsidRPr="007F5613">
        <w:t>δ</w:t>
      </w:r>
      <w:r w:rsidRPr="007F5613">
        <w:rPr>
          <w:vertAlign w:val="subscript"/>
        </w:rPr>
        <w:t>d</w:t>
      </w:r>
      <w:proofErr w:type="spellEnd"/>
      <w:r w:rsidRPr="007F5613">
        <w:t xml:space="preserve"> and </w:t>
      </w:r>
      <w:proofErr w:type="spellStart"/>
      <w:r w:rsidRPr="007F5613">
        <w:t>δ</w:t>
      </w:r>
      <w:r w:rsidRPr="007F5613">
        <w:rPr>
          <w:vertAlign w:val="subscript"/>
        </w:rPr>
        <w:t>p</w:t>
      </w:r>
      <w:proofErr w:type="spellEnd"/>
      <w:r w:rsidRPr="007F5613">
        <w:t xml:space="preserve">. Its </w:t>
      </w:r>
      <w:proofErr w:type="spellStart"/>
      <w:r w:rsidRPr="007F5613">
        <w:t>δ</w:t>
      </w:r>
      <w:r w:rsidRPr="007F5613">
        <w:rPr>
          <w:vertAlign w:val="subscript"/>
        </w:rPr>
        <w:t>d</w:t>
      </w:r>
      <w:proofErr w:type="spellEnd"/>
      <w:r w:rsidRPr="007F5613">
        <w:t xml:space="preserve"> value is only slightly higher than that of dichloromethane and the polar aprotic solvents DMF and NMP, whilst its </w:t>
      </w:r>
      <w:proofErr w:type="spellStart"/>
      <w:r w:rsidRPr="007F5613">
        <w:t>δ</w:t>
      </w:r>
      <w:r w:rsidRPr="007F5613">
        <w:rPr>
          <w:vertAlign w:val="subscript"/>
        </w:rPr>
        <w:t>p</w:t>
      </w:r>
      <w:proofErr w:type="spellEnd"/>
      <w:r w:rsidRPr="007F5613">
        <w:t xml:space="preserve"> is very much larger than that of dichloromethane and even significantly larger than that of DMF and NMP. In contrast, ethyl acetate and TMO have lower </w:t>
      </w:r>
      <w:proofErr w:type="spellStart"/>
      <w:r w:rsidRPr="007F5613">
        <w:t>δ</w:t>
      </w:r>
      <w:r w:rsidRPr="007F5613">
        <w:rPr>
          <w:vertAlign w:val="subscript"/>
        </w:rPr>
        <w:t>d</w:t>
      </w:r>
      <w:proofErr w:type="spellEnd"/>
      <w:r w:rsidRPr="007F5613">
        <w:t xml:space="preserve"> and </w:t>
      </w:r>
      <w:proofErr w:type="spellStart"/>
      <w:r w:rsidRPr="007F5613">
        <w:t>δ</w:t>
      </w:r>
      <w:r w:rsidRPr="007F5613">
        <w:rPr>
          <w:vertAlign w:val="subscript"/>
        </w:rPr>
        <w:t>p</w:t>
      </w:r>
      <w:proofErr w:type="spellEnd"/>
      <w:r w:rsidRPr="007F5613">
        <w:t xml:space="preserve"> values than dichloromethane, DMF and NMP.</w:t>
      </w:r>
      <w:r w:rsidRPr="007F5613">
        <w:rPr>
          <w:color w:val="000000"/>
          <w:lang w:val="en-GB"/>
        </w:rPr>
        <w:t xml:space="preserve"> </w:t>
      </w:r>
      <w:r w:rsidRPr="007F5613">
        <w:t xml:space="preserve">Therefore, in this work, we aimed to take advantage of propylene carbonate’s unusually high </w:t>
      </w:r>
      <w:proofErr w:type="spellStart"/>
      <w:r w:rsidRPr="007F5613">
        <w:t>δ</w:t>
      </w:r>
      <w:r w:rsidRPr="007F5613">
        <w:rPr>
          <w:vertAlign w:val="subscript"/>
        </w:rPr>
        <w:t>d</w:t>
      </w:r>
      <w:proofErr w:type="spellEnd"/>
      <w:r w:rsidRPr="007F5613">
        <w:t xml:space="preserve"> and </w:t>
      </w:r>
      <w:proofErr w:type="spellStart"/>
      <w:r w:rsidRPr="007F5613">
        <w:t>δ</w:t>
      </w:r>
      <w:r w:rsidRPr="007F5613">
        <w:rPr>
          <w:vertAlign w:val="subscript"/>
        </w:rPr>
        <w:t>p</w:t>
      </w:r>
      <w:proofErr w:type="spellEnd"/>
      <w:r w:rsidRPr="007F5613">
        <w:t xml:space="preserve"> to be able to mimic chlorinated and dipolar aprotic solvents by mixing it with lower polarity TMO </w:t>
      </w:r>
      <w:r w:rsidRPr="007F5613">
        <w:rPr>
          <w:b/>
        </w:rPr>
        <w:t xml:space="preserve">5 </w:t>
      </w:r>
      <w:r w:rsidRPr="007F5613">
        <w:t>or ethyl acetate. This is the first time that such a substitution has been achieved with green solvents.</w:t>
      </w:r>
    </w:p>
    <w:p w:rsidR="00C3137E" w:rsidRPr="007F5613" w:rsidRDefault="00D353B0" w:rsidP="009A4063">
      <w:pPr>
        <w:pStyle w:val="P1"/>
        <w:ind w:firstLine="425"/>
        <w:rPr>
          <w:lang w:val="en-GB"/>
        </w:rPr>
      </w:pPr>
      <w:r w:rsidRPr="007F5613">
        <w:rPr>
          <w:color w:val="000000"/>
          <w:lang w:val="en-GB"/>
        </w:rPr>
        <w:t>To assess the suitability of the solvent mixtures for SPPS, the synthesis of the tripeptide H-</w:t>
      </w:r>
      <w:proofErr w:type="spellStart"/>
      <w:r w:rsidRPr="007F5613">
        <w:rPr>
          <w:color w:val="000000"/>
          <w:lang w:val="en-GB"/>
        </w:rPr>
        <w:t>Leu</w:t>
      </w:r>
      <w:proofErr w:type="spellEnd"/>
      <w:r w:rsidRPr="007F5613">
        <w:rPr>
          <w:color w:val="000000"/>
          <w:lang w:val="en-GB"/>
        </w:rPr>
        <w:t>-Ala-</w:t>
      </w:r>
      <w:proofErr w:type="spellStart"/>
      <w:r w:rsidRPr="007F5613">
        <w:rPr>
          <w:color w:val="000000"/>
          <w:lang w:val="en-GB"/>
        </w:rPr>
        <w:t>Phe</w:t>
      </w:r>
      <w:proofErr w:type="spellEnd"/>
      <w:r w:rsidRPr="007F5613">
        <w:rPr>
          <w:color w:val="000000"/>
          <w:lang w:val="en-GB"/>
        </w:rPr>
        <w:t>-OH (</w:t>
      </w:r>
      <w:r w:rsidRPr="007F5613">
        <w:rPr>
          <w:b/>
          <w:color w:val="000000"/>
          <w:lang w:val="en-GB"/>
        </w:rPr>
        <w:t>6</w:t>
      </w:r>
      <w:r w:rsidRPr="007F5613">
        <w:rPr>
          <w:color w:val="000000"/>
          <w:lang w:val="en-GB"/>
        </w:rPr>
        <w:t>) was undertaken as shown in Scheme 1. This sequence was also used in our previous work on SPPS in single component green solvents.</w:t>
      </w:r>
      <w:r w:rsidRPr="007F5613">
        <w:rPr>
          <w:color w:val="000000"/>
          <w:vertAlign w:val="superscript"/>
          <w:lang w:val="en-GB"/>
        </w:rPr>
        <w:t>[</w:t>
      </w:r>
      <w:r w:rsidRPr="007F5613">
        <w:rPr>
          <w:color w:val="000000"/>
          <w:vertAlign w:val="superscript"/>
          <w:lang w:val="en-GB"/>
        </w:rPr>
        <w:fldChar w:fldCharType="begin"/>
      </w:r>
      <w:r w:rsidRPr="007F5613">
        <w:rPr>
          <w:color w:val="000000"/>
          <w:vertAlign w:val="superscript"/>
          <w:lang w:val="en-GB"/>
        </w:rPr>
        <w:instrText xml:space="preserve"> NOTEREF _Ref528679193 \h </w:instrText>
      </w:r>
      <w:r w:rsidRPr="007F5613">
        <w:rPr>
          <w:color w:val="000000"/>
          <w:vertAlign w:val="superscript"/>
          <w:lang w:val="en-GB"/>
        </w:rPr>
      </w:r>
      <w:r w:rsidR="007F5613">
        <w:rPr>
          <w:color w:val="000000"/>
          <w:vertAlign w:val="superscript"/>
          <w:lang w:val="en-GB"/>
        </w:rPr>
        <w:instrText xml:space="preserve"> \* MERGEFORMAT </w:instrText>
      </w:r>
      <w:r w:rsidRPr="007F5613">
        <w:rPr>
          <w:color w:val="000000"/>
          <w:vertAlign w:val="superscript"/>
          <w:lang w:val="en-GB"/>
        </w:rPr>
        <w:fldChar w:fldCharType="separate"/>
      </w:r>
      <w:r w:rsidR="00F73B1E">
        <w:rPr>
          <w:color w:val="000000"/>
          <w:vertAlign w:val="superscript"/>
          <w:lang w:val="en-GB"/>
        </w:rPr>
        <w:t>8</w:t>
      </w:r>
      <w:r w:rsidRPr="007F5613">
        <w:rPr>
          <w:color w:val="000000"/>
          <w:vertAlign w:val="superscript"/>
          <w:lang w:val="en-GB"/>
        </w:rPr>
        <w:fldChar w:fldCharType="end"/>
      </w:r>
      <w:r w:rsidRPr="007F5613">
        <w:rPr>
          <w:color w:val="000000"/>
          <w:vertAlign w:val="superscript"/>
          <w:lang w:val="en-GB"/>
        </w:rPr>
        <w:t>]</w:t>
      </w:r>
      <w:r w:rsidR="00E63CCA" w:rsidRPr="007F5613">
        <w:rPr>
          <w:color w:val="000000"/>
          <w:lang w:val="en-GB"/>
        </w:rPr>
        <w:t xml:space="preserve"> After each step shown in Scheme 1, the resin was washed three times only with the solvent being used for the synthesis. The final tripeptide (</w:t>
      </w:r>
      <w:r w:rsidR="00E63CCA" w:rsidRPr="007F5613">
        <w:rPr>
          <w:b/>
          <w:color w:val="000000"/>
          <w:lang w:val="en-GB"/>
        </w:rPr>
        <w:t>6</w:t>
      </w:r>
      <w:r w:rsidR="00E63CCA" w:rsidRPr="007F5613">
        <w:rPr>
          <w:color w:val="000000"/>
          <w:lang w:val="en-GB"/>
        </w:rPr>
        <w:t xml:space="preserve">.TFA) was precipitated from cold </w:t>
      </w:r>
      <w:r w:rsidR="00E63CCA" w:rsidRPr="007F5613">
        <w:rPr>
          <w:color w:val="000000"/>
          <w:lang w:val="en-GB"/>
        </w:rPr>
        <w:t xml:space="preserve">diethyl ether, dried under vacuum and </w:t>
      </w:r>
      <w:r w:rsidR="002F0B59" w:rsidRPr="007F5613">
        <w:rPr>
          <w:color w:val="000000"/>
          <w:lang w:val="en-GB"/>
        </w:rPr>
        <w:t xml:space="preserve">then analysed by </w:t>
      </w:r>
      <w:r w:rsidR="002F0B59" w:rsidRPr="007F5613">
        <w:rPr>
          <w:color w:val="000000"/>
          <w:vertAlign w:val="superscript"/>
          <w:lang w:val="en-GB"/>
        </w:rPr>
        <w:t>1</w:t>
      </w:r>
      <w:r w:rsidR="002F0B59" w:rsidRPr="007F5613">
        <w:rPr>
          <w:color w:val="000000"/>
          <w:lang w:val="en-GB"/>
        </w:rPr>
        <w:t xml:space="preserve">H NMR spectroscopy, reverse phase HPLC and </w:t>
      </w:r>
      <w:r w:rsidR="002C7F7D" w:rsidRPr="007F5613">
        <w:rPr>
          <w:color w:val="000000"/>
          <w:lang w:val="en-GB"/>
        </w:rPr>
        <w:t>high-resolution</w:t>
      </w:r>
      <w:r w:rsidR="002F0B59" w:rsidRPr="007F5613">
        <w:rPr>
          <w:color w:val="000000"/>
          <w:lang w:val="en-GB"/>
        </w:rPr>
        <w:t xml:space="preserve"> mass spectrometry. </w:t>
      </w:r>
      <w:r w:rsidR="002C7F7D" w:rsidRPr="007F5613">
        <w:rPr>
          <w:color w:val="000000"/>
          <w:lang w:val="en-GB"/>
        </w:rPr>
        <w:t xml:space="preserve">All peptide syntheses were carried out </w:t>
      </w:r>
      <w:r w:rsidR="00C3137E" w:rsidRPr="007F5613">
        <w:rPr>
          <w:color w:val="000000"/>
          <w:lang w:val="en-GB"/>
        </w:rPr>
        <w:t>in triplicate</w:t>
      </w:r>
      <w:r w:rsidR="002C7F7D" w:rsidRPr="007F5613">
        <w:rPr>
          <w:color w:val="000000"/>
          <w:lang w:val="en-GB"/>
        </w:rPr>
        <w:t xml:space="preserve"> to ensure that the results were reproducible.</w:t>
      </w:r>
      <w:r w:rsidR="00C3137E" w:rsidRPr="007F5613">
        <w:rPr>
          <w:lang w:val="en-GB"/>
        </w:rPr>
        <w:t xml:space="preserve"> </w:t>
      </w:r>
    </w:p>
    <w:p w:rsidR="00D353B0" w:rsidRPr="007F5613" w:rsidRDefault="00E63CCA" w:rsidP="00D353B0">
      <w:pPr>
        <w:spacing w:before="360"/>
        <w:rPr>
          <w:rFonts w:ascii="Arial" w:hAnsi="Arial" w:cs="Arial"/>
          <w:color w:val="FF0000"/>
          <w:sz w:val="14"/>
          <w:szCs w:val="16"/>
        </w:rPr>
      </w:pPr>
      <w:r w:rsidRPr="007F5613">
        <w:object w:dxaOrig="7263" w:dyaOrig="5232">
          <v:shape id="_x0000_i1039" type="#_x0000_t75" style="width:239.5pt;height:171.7pt;mso-position-vertical:absolute" o:ole="">
            <v:imagedata r:id="rId26" o:title=""/>
          </v:shape>
          <o:OLEObject Type="Embed" ProgID="ChemDraw.Document.6.0" ShapeID="_x0000_i1039" DrawAspect="Content" ObjectID="_1611644187" r:id="rId27"/>
        </w:object>
      </w:r>
    </w:p>
    <w:p w:rsidR="001060D1" w:rsidRPr="007F5613" w:rsidRDefault="00D353B0" w:rsidP="00EC24A2">
      <w:pPr>
        <w:pStyle w:val="FigureCaption"/>
        <w:spacing w:before="120" w:after="360"/>
      </w:pPr>
      <w:r w:rsidRPr="007F5613">
        <w:rPr>
          <w:b/>
        </w:rPr>
        <w:t>Scheme 1.</w:t>
      </w:r>
      <w:r w:rsidRPr="007F5613">
        <w:t xml:space="preserve"> Methodology used for the solid phase synthesis of tripeptide </w:t>
      </w:r>
      <w:r w:rsidRPr="007F5613">
        <w:rPr>
          <w:b/>
        </w:rPr>
        <w:t>6</w:t>
      </w:r>
      <w:r w:rsidRPr="007F5613">
        <w:t>.</w:t>
      </w:r>
    </w:p>
    <w:p w:rsidR="00F17EEB" w:rsidRPr="007F5613" w:rsidRDefault="006070E5" w:rsidP="00E808F7">
      <w:pPr>
        <w:pStyle w:val="FigureCaption"/>
        <w:spacing w:before="0" w:after="0" w:line="225" w:lineRule="exact"/>
        <w:ind w:firstLine="425"/>
        <w:rPr>
          <w:sz w:val="17"/>
          <w:szCs w:val="17"/>
        </w:rPr>
      </w:pPr>
      <w:r w:rsidRPr="007F5613">
        <w:rPr>
          <w:sz w:val="17"/>
          <w:szCs w:val="17"/>
        </w:rPr>
        <w:t xml:space="preserve">Since propylene carbonate is a component of all the solvent mixtures selected, it was first used as the sole solvent to attempt the synthesis of tripeptide </w:t>
      </w:r>
      <w:r w:rsidRPr="007F5613">
        <w:rPr>
          <w:b/>
          <w:sz w:val="17"/>
          <w:szCs w:val="17"/>
        </w:rPr>
        <w:t>6</w:t>
      </w:r>
      <w:r w:rsidRPr="007F5613">
        <w:rPr>
          <w:sz w:val="17"/>
          <w:szCs w:val="17"/>
        </w:rPr>
        <w:t xml:space="preserve">. However, only a very small amount of product was obtained (Table 6, entry 1) and </w:t>
      </w:r>
      <w:r w:rsidRPr="007F5613">
        <w:rPr>
          <w:sz w:val="17"/>
          <w:szCs w:val="17"/>
          <w:vertAlign w:val="superscript"/>
        </w:rPr>
        <w:t>1</w:t>
      </w:r>
      <w:r w:rsidRPr="007F5613">
        <w:rPr>
          <w:sz w:val="17"/>
          <w:szCs w:val="17"/>
        </w:rPr>
        <w:t xml:space="preserve">H NMR analysis (Figure S6) showed that this was highly impure. HPLC and mass spectrometry (Figure S6) did show that some product was present, but only as a minor component of the solid that was obtained. The almost complete failure of this synthesis was not unexpected given the very low swelling of Merrifield resin in propylene carbonate. In contrast, when ethyl acetate was used as the solvent, 38 times as much product was obtained (Table 6, entry 2) and the </w:t>
      </w:r>
      <w:r w:rsidRPr="007F5613">
        <w:rPr>
          <w:sz w:val="17"/>
          <w:szCs w:val="17"/>
          <w:vertAlign w:val="superscript"/>
        </w:rPr>
        <w:t>1</w:t>
      </w:r>
      <w:r w:rsidRPr="007F5613">
        <w:rPr>
          <w:sz w:val="17"/>
          <w:szCs w:val="17"/>
        </w:rPr>
        <w:t xml:space="preserve">H NMR and mass spectra and HPLC chromatogram (Figure S7) all showed that tripeptide </w:t>
      </w:r>
      <w:r w:rsidRPr="007F5613">
        <w:rPr>
          <w:b/>
          <w:sz w:val="17"/>
          <w:szCs w:val="17"/>
        </w:rPr>
        <w:t>6</w:t>
      </w:r>
      <w:r w:rsidRPr="007F5613">
        <w:rPr>
          <w:sz w:val="17"/>
          <w:szCs w:val="17"/>
        </w:rPr>
        <w:t xml:space="preserve"> with high purity had been obtained. When a 90:10 mixture of ethyl acetate and propylene carbonate was used as solvent, tripeptide </w:t>
      </w:r>
      <w:r w:rsidRPr="007F5613">
        <w:rPr>
          <w:b/>
          <w:sz w:val="17"/>
          <w:szCs w:val="17"/>
        </w:rPr>
        <w:t>6</w:t>
      </w:r>
      <w:r w:rsidRPr="007F5613">
        <w:rPr>
          <w:sz w:val="17"/>
          <w:szCs w:val="17"/>
        </w:rPr>
        <w:t xml:space="preserve"> was obtained in even higher yield Table 6, entry 3) and the spectra and chromatogram again showed that it was formed with high purity (Figure S8). Thus, the results showed that the use of a binary mixture of two green solvents could give better results in SPPS than either pure solvent.</w:t>
      </w:r>
    </w:p>
    <w:p w:rsidR="000D56DE" w:rsidRPr="007F5613" w:rsidRDefault="000D56DE" w:rsidP="007A0376">
      <w:pPr>
        <w:pStyle w:val="P1"/>
        <w:ind w:firstLine="425"/>
        <w:rPr>
          <w:lang w:val="en-GB"/>
        </w:rPr>
      </w:pPr>
      <w:r w:rsidRPr="007F5613">
        <w:rPr>
          <w:lang w:val="en-GB"/>
        </w:rPr>
        <w:t xml:space="preserve">The solvent system of propylene carbonate </w:t>
      </w:r>
      <w:r w:rsidRPr="007F5613">
        <w:rPr>
          <w:b/>
          <w:lang w:val="en-GB"/>
        </w:rPr>
        <w:t>2</w:t>
      </w:r>
      <w:r w:rsidRPr="007F5613">
        <w:rPr>
          <w:lang w:val="en-GB"/>
        </w:rPr>
        <w:t xml:space="preserve"> and TMO </w:t>
      </w:r>
      <w:r w:rsidRPr="007F5613">
        <w:rPr>
          <w:b/>
          <w:lang w:val="en-GB"/>
        </w:rPr>
        <w:t>5</w:t>
      </w:r>
      <w:r w:rsidRPr="007F5613">
        <w:rPr>
          <w:lang w:val="en-GB"/>
        </w:rPr>
        <w:t xml:space="preserve"> was felt to provide a more severe test of the ability of mixed solvents to facilitate </w:t>
      </w:r>
      <w:r w:rsidR="00E6475D" w:rsidRPr="007F5613">
        <w:rPr>
          <w:lang w:val="en-GB"/>
        </w:rPr>
        <w:t>SPPS</w:t>
      </w:r>
      <w:r w:rsidRPr="007F5613">
        <w:rPr>
          <w:lang w:val="en-GB"/>
        </w:rPr>
        <w:t xml:space="preserve"> as both </w:t>
      </w:r>
      <w:r w:rsidRPr="007F5613">
        <w:rPr>
          <w:b/>
          <w:lang w:val="en-GB"/>
        </w:rPr>
        <w:t>2</w:t>
      </w:r>
      <w:r w:rsidRPr="007F5613">
        <w:rPr>
          <w:lang w:val="en-GB"/>
        </w:rPr>
        <w:t xml:space="preserve"> and </w:t>
      </w:r>
      <w:r w:rsidRPr="007F5613">
        <w:rPr>
          <w:b/>
          <w:lang w:val="en-GB"/>
        </w:rPr>
        <w:t>5</w:t>
      </w:r>
      <w:r w:rsidRPr="007F5613">
        <w:rPr>
          <w:lang w:val="en-GB"/>
        </w:rPr>
        <w:t xml:space="preserve"> </w:t>
      </w:r>
      <w:r w:rsidR="002A3E13" w:rsidRPr="007F5613">
        <w:rPr>
          <w:lang w:val="en-GB"/>
        </w:rPr>
        <w:t>are very poor solvents for s</w:t>
      </w:r>
      <w:r w:rsidR="00C3137E" w:rsidRPr="007F5613">
        <w:rPr>
          <w:lang w:val="en-GB"/>
        </w:rPr>
        <w:t>w</w:t>
      </w:r>
      <w:r w:rsidR="002A3E13" w:rsidRPr="007F5613">
        <w:rPr>
          <w:lang w:val="en-GB"/>
        </w:rPr>
        <w:t xml:space="preserve">elling Merrifield resin (Figure 9 and Table </w:t>
      </w:r>
      <w:r w:rsidR="00F17EEB" w:rsidRPr="007F5613">
        <w:rPr>
          <w:lang w:val="en-GB"/>
        </w:rPr>
        <w:t>6</w:t>
      </w:r>
      <w:r w:rsidR="002A3E13" w:rsidRPr="007F5613">
        <w:rPr>
          <w:lang w:val="en-GB"/>
        </w:rPr>
        <w:t xml:space="preserve">). When the synthesis of tripeptide </w:t>
      </w:r>
      <w:r w:rsidR="002A3E13" w:rsidRPr="007F5613">
        <w:rPr>
          <w:b/>
          <w:lang w:val="en-GB"/>
        </w:rPr>
        <w:t>6</w:t>
      </w:r>
      <w:r w:rsidR="002A3E13" w:rsidRPr="007F5613">
        <w:rPr>
          <w:lang w:val="en-GB"/>
        </w:rPr>
        <w:t xml:space="preserve"> was undertaken in pure TMO using </w:t>
      </w:r>
      <w:proofErr w:type="spellStart"/>
      <w:r w:rsidR="002A3E13" w:rsidRPr="007F5613">
        <w:rPr>
          <w:lang w:val="en-GB"/>
        </w:rPr>
        <w:t>HOBt</w:t>
      </w:r>
      <w:proofErr w:type="spellEnd"/>
      <w:r w:rsidR="002A3E13" w:rsidRPr="007F5613">
        <w:rPr>
          <w:lang w:val="en-GB"/>
        </w:rPr>
        <w:t xml:space="preserve">/HBTU as coupling agents, no product was obtained (Table </w:t>
      </w:r>
      <w:r w:rsidR="00F17EEB" w:rsidRPr="007F5613">
        <w:rPr>
          <w:lang w:val="en-GB"/>
        </w:rPr>
        <w:t>6</w:t>
      </w:r>
      <w:r w:rsidR="002A3E13" w:rsidRPr="007F5613">
        <w:rPr>
          <w:lang w:val="en-GB"/>
        </w:rPr>
        <w:t xml:space="preserve"> entry 4 and Figure S9). Whilst this failed synthesis could be attributed to lack of swelling of the resin, it was also noticed that </w:t>
      </w:r>
      <w:proofErr w:type="spellStart"/>
      <w:r w:rsidR="002A3E13" w:rsidRPr="007F5613">
        <w:rPr>
          <w:lang w:val="en-GB"/>
        </w:rPr>
        <w:t>HOBt</w:t>
      </w:r>
      <w:proofErr w:type="spellEnd"/>
      <w:r w:rsidR="002A3E13" w:rsidRPr="007F5613">
        <w:rPr>
          <w:lang w:val="en-GB"/>
        </w:rPr>
        <w:t xml:space="preserve"> and HBTU were totally insoluble in TMO which could have inhibited activation of the amino acids. Therefore, the synthesis was repeated using </w:t>
      </w:r>
      <w:proofErr w:type="spellStart"/>
      <w:r w:rsidR="002A3E13" w:rsidRPr="007F5613">
        <w:rPr>
          <w:lang w:val="en-GB"/>
        </w:rPr>
        <w:t>Oxyma</w:t>
      </w:r>
      <w:proofErr w:type="spellEnd"/>
      <w:r w:rsidR="000608C3" w:rsidRPr="007F5613">
        <w:rPr>
          <w:lang w:val="en-GB"/>
        </w:rPr>
        <w:t xml:space="preserve"> P</w:t>
      </w:r>
      <w:r w:rsidR="002A3E13" w:rsidRPr="007F5613">
        <w:rPr>
          <w:lang w:val="en-GB"/>
        </w:rPr>
        <w:t xml:space="preserve">ure/EDC as coupling agents as both of these species were soluble in TMO. This synthesis also failed to give any yield of tripeptide </w:t>
      </w:r>
      <w:r w:rsidR="002A3E13" w:rsidRPr="007F5613">
        <w:rPr>
          <w:b/>
          <w:lang w:val="en-GB"/>
        </w:rPr>
        <w:t>6</w:t>
      </w:r>
      <w:r w:rsidR="005D62CA" w:rsidRPr="007F5613">
        <w:rPr>
          <w:lang w:val="en-GB"/>
        </w:rPr>
        <w:t xml:space="preserve"> </w:t>
      </w:r>
      <w:r w:rsidR="005D62CA" w:rsidRPr="007F5613">
        <w:rPr>
          <w:lang w:val="en-GB"/>
        </w:rPr>
        <w:lastRenderedPageBreak/>
        <w:t>(Figure S10)</w:t>
      </w:r>
      <w:r w:rsidR="002A3E13" w:rsidRPr="007F5613">
        <w:rPr>
          <w:lang w:val="en-GB"/>
        </w:rPr>
        <w:t>, indicating that lack of swelling of Merrifield resin was an important reason for the synthesis failing.</w:t>
      </w:r>
    </w:p>
    <w:tbl>
      <w:tblPr>
        <w:tblW w:w="5092" w:type="dxa"/>
        <w:tblInd w:w="-108" w:type="dxa"/>
        <w:tblLook w:val="01E0" w:firstRow="1" w:lastRow="1" w:firstColumn="1" w:lastColumn="1" w:noHBand="0" w:noVBand="0"/>
      </w:tblPr>
      <w:tblGrid>
        <w:gridCol w:w="737"/>
        <w:gridCol w:w="1252"/>
        <w:gridCol w:w="1160"/>
        <w:gridCol w:w="1943"/>
      </w:tblGrid>
      <w:tr w:rsidR="00BD0C97" w:rsidRPr="007F5613" w:rsidTr="00BD0C97">
        <w:tc>
          <w:tcPr>
            <w:tcW w:w="0" w:type="auto"/>
            <w:gridSpan w:val="4"/>
            <w:shd w:val="clear" w:color="auto" w:fill="auto"/>
          </w:tcPr>
          <w:p w:rsidR="00BD0C97" w:rsidRPr="007F5613" w:rsidRDefault="00BD0C97" w:rsidP="009A4063">
            <w:pPr>
              <w:pStyle w:val="TableCaption"/>
              <w:rPr>
                <w:b/>
              </w:rPr>
            </w:pPr>
          </w:p>
        </w:tc>
      </w:tr>
      <w:tr w:rsidR="009A4063" w:rsidRPr="007F5613" w:rsidTr="00BD0C97">
        <w:tc>
          <w:tcPr>
            <w:tcW w:w="0" w:type="auto"/>
            <w:gridSpan w:val="4"/>
            <w:tcBorders>
              <w:bottom w:val="single" w:sz="8" w:space="0" w:color="auto"/>
            </w:tcBorders>
            <w:shd w:val="clear" w:color="auto" w:fill="auto"/>
          </w:tcPr>
          <w:p w:rsidR="009A4063" w:rsidRPr="007F5613" w:rsidRDefault="009A4063" w:rsidP="009A4063">
            <w:pPr>
              <w:pStyle w:val="TableCaption"/>
            </w:pPr>
            <w:r w:rsidRPr="007F5613">
              <w:rPr>
                <w:b/>
              </w:rPr>
              <w:t>Table 6.</w:t>
            </w:r>
            <w:r w:rsidRPr="007F5613">
              <w:t xml:space="preserve"> Resin swelling and product yields for tripeptide </w:t>
            </w:r>
            <w:r w:rsidRPr="007F5613">
              <w:rPr>
                <w:b/>
              </w:rPr>
              <w:t>6</w:t>
            </w:r>
            <w:r w:rsidRPr="007F5613">
              <w:t>.TFA synthesis in various solvents.</w:t>
            </w:r>
          </w:p>
        </w:tc>
      </w:tr>
      <w:tr w:rsidR="009A4063" w:rsidRPr="007F5613" w:rsidTr="009A4063">
        <w:tc>
          <w:tcPr>
            <w:tcW w:w="0" w:type="auto"/>
            <w:tcBorders>
              <w:top w:val="single" w:sz="8" w:space="0" w:color="auto"/>
              <w:bottom w:val="single" w:sz="8" w:space="0" w:color="auto"/>
            </w:tcBorders>
          </w:tcPr>
          <w:p w:rsidR="009A4063" w:rsidRPr="007F5613" w:rsidRDefault="009A4063" w:rsidP="009A4063">
            <w:pPr>
              <w:pStyle w:val="TableHead"/>
            </w:pPr>
            <w:r w:rsidRPr="007F5613">
              <w:t>Entry</w:t>
            </w:r>
          </w:p>
        </w:tc>
        <w:tc>
          <w:tcPr>
            <w:tcW w:w="0" w:type="auto"/>
            <w:tcBorders>
              <w:top w:val="single" w:sz="8" w:space="0" w:color="auto"/>
              <w:bottom w:val="single" w:sz="8" w:space="0" w:color="auto"/>
            </w:tcBorders>
          </w:tcPr>
          <w:p w:rsidR="009A4063" w:rsidRPr="007F5613" w:rsidRDefault="009A4063" w:rsidP="009A4063">
            <w:pPr>
              <w:pStyle w:val="TableHead"/>
            </w:pPr>
            <w:r w:rsidRPr="007F5613">
              <w:t>Solvent</w:t>
            </w:r>
          </w:p>
        </w:tc>
        <w:tc>
          <w:tcPr>
            <w:tcW w:w="0" w:type="auto"/>
            <w:tcBorders>
              <w:top w:val="single" w:sz="8" w:space="0" w:color="auto"/>
              <w:bottom w:val="single" w:sz="8" w:space="0" w:color="auto"/>
            </w:tcBorders>
          </w:tcPr>
          <w:p w:rsidR="009A4063" w:rsidRPr="007F5613" w:rsidRDefault="009A4063" w:rsidP="009A4063">
            <w:pPr>
              <w:pStyle w:val="TableHead"/>
            </w:pPr>
            <w:r w:rsidRPr="007F5613">
              <w:t xml:space="preserve">Resin swelling </w:t>
            </w:r>
            <w:r w:rsidRPr="007F5613">
              <w:br/>
              <w:t>(</w:t>
            </w:r>
            <w:r w:rsidRPr="007F5613">
              <w:rPr>
                <w:color w:val="000000"/>
              </w:rPr>
              <w:t>mL g</w:t>
            </w:r>
            <w:r w:rsidRPr="007F5613">
              <w:rPr>
                <w:color w:val="000000"/>
                <w:vertAlign w:val="superscript"/>
              </w:rPr>
              <w:t>-1</w:t>
            </w:r>
            <w:r w:rsidRPr="007F5613">
              <w:t>)</w:t>
            </w:r>
          </w:p>
        </w:tc>
        <w:tc>
          <w:tcPr>
            <w:tcW w:w="0" w:type="auto"/>
            <w:tcBorders>
              <w:top w:val="single" w:sz="8" w:space="0" w:color="auto"/>
              <w:bottom w:val="single" w:sz="8" w:space="0" w:color="auto"/>
            </w:tcBorders>
          </w:tcPr>
          <w:p w:rsidR="009A4063" w:rsidRPr="007F5613" w:rsidRDefault="009A4063" w:rsidP="009A4063">
            <w:pPr>
              <w:pStyle w:val="TableHead"/>
              <w:rPr>
                <w:vertAlign w:val="superscript"/>
              </w:rPr>
            </w:pPr>
            <w:r w:rsidRPr="007F5613">
              <w:t xml:space="preserve">Yield of tripeptide </w:t>
            </w:r>
            <w:r w:rsidRPr="007F5613">
              <w:rPr>
                <w:b/>
              </w:rPr>
              <w:t>6</w:t>
            </w:r>
            <w:r w:rsidRPr="007F5613">
              <w:t>.TFA (mg/g resin)</w:t>
            </w:r>
            <w:r w:rsidRPr="007F5613">
              <w:rPr>
                <w:vertAlign w:val="superscript"/>
              </w:rPr>
              <w:t>[a]</w:t>
            </w:r>
          </w:p>
        </w:tc>
      </w:tr>
      <w:tr w:rsidR="009A4063" w:rsidRPr="007F5613" w:rsidTr="009A4063">
        <w:tc>
          <w:tcPr>
            <w:tcW w:w="0" w:type="auto"/>
            <w:tcBorders>
              <w:top w:val="single" w:sz="8" w:space="0" w:color="auto"/>
            </w:tcBorders>
          </w:tcPr>
          <w:p w:rsidR="009A4063" w:rsidRPr="007F5613" w:rsidRDefault="009A4063" w:rsidP="009A4063">
            <w:pPr>
              <w:pStyle w:val="TableBody"/>
            </w:pPr>
            <w:r w:rsidRPr="007F5613">
              <w:t>1</w:t>
            </w:r>
          </w:p>
        </w:tc>
        <w:tc>
          <w:tcPr>
            <w:tcW w:w="0" w:type="auto"/>
            <w:tcBorders>
              <w:top w:val="single" w:sz="8" w:space="0" w:color="auto"/>
            </w:tcBorders>
          </w:tcPr>
          <w:p w:rsidR="009A4063" w:rsidRPr="007F5613" w:rsidRDefault="009A4063" w:rsidP="009A4063">
            <w:pPr>
              <w:pStyle w:val="TableBody"/>
              <w:rPr>
                <w:b/>
              </w:rPr>
            </w:pPr>
            <w:r w:rsidRPr="007F5613">
              <w:rPr>
                <w:b/>
              </w:rPr>
              <w:t>2</w:t>
            </w:r>
          </w:p>
        </w:tc>
        <w:tc>
          <w:tcPr>
            <w:tcW w:w="0" w:type="auto"/>
            <w:tcBorders>
              <w:top w:val="single" w:sz="8" w:space="0" w:color="auto"/>
            </w:tcBorders>
          </w:tcPr>
          <w:p w:rsidR="009A4063" w:rsidRPr="007F5613" w:rsidRDefault="009A4063" w:rsidP="009A4063">
            <w:pPr>
              <w:pStyle w:val="TableBody"/>
            </w:pPr>
            <w:r w:rsidRPr="007F5613">
              <w:rPr>
                <w:color w:val="000000"/>
              </w:rPr>
              <w:t xml:space="preserve">1.8 </w:t>
            </w:r>
          </w:p>
        </w:tc>
        <w:tc>
          <w:tcPr>
            <w:tcW w:w="0" w:type="auto"/>
            <w:tcBorders>
              <w:top w:val="single" w:sz="8" w:space="0" w:color="auto"/>
            </w:tcBorders>
          </w:tcPr>
          <w:p w:rsidR="009A4063" w:rsidRPr="007F5613" w:rsidRDefault="009A4063" w:rsidP="009A4063">
            <w:pPr>
              <w:pStyle w:val="TableBody"/>
            </w:pPr>
            <w:r w:rsidRPr="007F5613">
              <w:t>8</w:t>
            </w:r>
          </w:p>
        </w:tc>
      </w:tr>
      <w:tr w:rsidR="009A4063" w:rsidRPr="007F5613" w:rsidTr="009A4063">
        <w:tc>
          <w:tcPr>
            <w:tcW w:w="0" w:type="auto"/>
          </w:tcPr>
          <w:p w:rsidR="009A4063" w:rsidRPr="007F5613" w:rsidRDefault="009A4063" w:rsidP="009A4063">
            <w:pPr>
              <w:pStyle w:val="TableBody"/>
            </w:pPr>
            <w:r w:rsidRPr="007F5613">
              <w:t>2</w:t>
            </w:r>
          </w:p>
        </w:tc>
        <w:tc>
          <w:tcPr>
            <w:tcW w:w="0" w:type="auto"/>
          </w:tcPr>
          <w:p w:rsidR="009A4063" w:rsidRPr="007F5613" w:rsidRDefault="009A4063" w:rsidP="009A4063">
            <w:pPr>
              <w:pStyle w:val="TableBody"/>
            </w:pPr>
            <w:proofErr w:type="spellStart"/>
            <w:r w:rsidRPr="007F5613">
              <w:t>EtOAc</w:t>
            </w:r>
            <w:proofErr w:type="spellEnd"/>
          </w:p>
        </w:tc>
        <w:tc>
          <w:tcPr>
            <w:tcW w:w="0" w:type="auto"/>
          </w:tcPr>
          <w:p w:rsidR="009A4063" w:rsidRPr="007F5613" w:rsidRDefault="009A4063" w:rsidP="009A4063">
            <w:pPr>
              <w:pStyle w:val="TableBody"/>
            </w:pPr>
            <w:r w:rsidRPr="007F5613">
              <w:t>3.8</w:t>
            </w:r>
          </w:p>
        </w:tc>
        <w:tc>
          <w:tcPr>
            <w:tcW w:w="0" w:type="auto"/>
          </w:tcPr>
          <w:p w:rsidR="009A4063" w:rsidRPr="007F5613" w:rsidRDefault="009A4063" w:rsidP="009A4063">
            <w:pPr>
              <w:pStyle w:val="TableBody"/>
            </w:pPr>
            <w:r w:rsidRPr="007F5613">
              <w:t>292</w:t>
            </w:r>
          </w:p>
        </w:tc>
      </w:tr>
      <w:tr w:rsidR="009A4063" w:rsidRPr="007F5613" w:rsidTr="009A4063">
        <w:tc>
          <w:tcPr>
            <w:tcW w:w="0" w:type="auto"/>
          </w:tcPr>
          <w:p w:rsidR="009A4063" w:rsidRPr="007F5613" w:rsidRDefault="009A4063" w:rsidP="009A4063">
            <w:pPr>
              <w:pStyle w:val="TableBody"/>
            </w:pPr>
            <w:r w:rsidRPr="007F5613">
              <w:t>3</w:t>
            </w:r>
          </w:p>
        </w:tc>
        <w:tc>
          <w:tcPr>
            <w:tcW w:w="0" w:type="auto"/>
          </w:tcPr>
          <w:p w:rsidR="009A4063" w:rsidRPr="007F5613" w:rsidRDefault="009A4063" w:rsidP="009A4063">
            <w:pPr>
              <w:pStyle w:val="TableBody"/>
            </w:pPr>
            <w:r w:rsidRPr="007F5613">
              <w:t>EtOAc:</w:t>
            </w:r>
            <w:r w:rsidRPr="007F5613">
              <w:rPr>
                <w:b/>
              </w:rPr>
              <w:t>2</w:t>
            </w:r>
            <w:r w:rsidRPr="007F5613">
              <w:t xml:space="preserve"> (90:10)</w:t>
            </w:r>
          </w:p>
        </w:tc>
        <w:tc>
          <w:tcPr>
            <w:tcW w:w="0" w:type="auto"/>
          </w:tcPr>
          <w:p w:rsidR="009A4063" w:rsidRPr="007F5613" w:rsidRDefault="009A4063" w:rsidP="009A4063">
            <w:pPr>
              <w:pStyle w:val="TableBody"/>
            </w:pPr>
            <w:r w:rsidRPr="007F5613">
              <w:t>4.6</w:t>
            </w:r>
          </w:p>
        </w:tc>
        <w:tc>
          <w:tcPr>
            <w:tcW w:w="0" w:type="auto"/>
          </w:tcPr>
          <w:p w:rsidR="009A4063" w:rsidRPr="007F5613" w:rsidRDefault="009A4063" w:rsidP="009A4063">
            <w:pPr>
              <w:pStyle w:val="TableBody"/>
            </w:pPr>
            <w:r w:rsidRPr="007F5613">
              <w:t>307</w:t>
            </w:r>
          </w:p>
        </w:tc>
      </w:tr>
      <w:tr w:rsidR="009A4063" w:rsidRPr="007F5613" w:rsidTr="009A4063">
        <w:tc>
          <w:tcPr>
            <w:tcW w:w="0" w:type="auto"/>
          </w:tcPr>
          <w:p w:rsidR="009A4063" w:rsidRPr="007F5613" w:rsidRDefault="009A4063" w:rsidP="009A4063">
            <w:pPr>
              <w:pStyle w:val="TableBody"/>
            </w:pPr>
            <w:r w:rsidRPr="007F5613">
              <w:t>4</w:t>
            </w:r>
          </w:p>
        </w:tc>
        <w:tc>
          <w:tcPr>
            <w:tcW w:w="0" w:type="auto"/>
          </w:tcPr>
          <w:p w:rsidR="009A4063" w:rsidRPr="007F5613" w:rsidRDefault="009A4063" w:rsidP="009A4063">
            <w:pPr>
              <w:pStyle w:val="TableBody"/>
              <w:rPr>
                <w:b/>
              </w:rPr>
            </w:pPr>
            <w:r w:rsidRPr="007F5613">
              <w:rPr>
                <w:b/>
              </w:rPr>
              <w:t>5</w:t>
            </w:r>
          </w:p>
        </w:tc>
        <w:tc>
          <w:tcPr>
            <w:tcW w:w="0" w:type="auto"/>
          </w:tcPr>
          <w:p w:rsidR="009A4063" w:rsidRPr="007F5613" w:rsidRDefault="009A4063" w:rsidP="009A4063">
            <w:pPr>
              <w:pStyle w:val="TableBody"/>
            </w:pPr>
            <w:r w:rsidRPr="007F5613">
              <w:t>1.8</w:t>
            </w:r>
          </w:p>
        </w:tc>
        <w:tc>
          <w:tcPr>
            <w:tcW w:w="0" w:type="auto"/>
          </w:tcPr>
          <w:p w:rsidR="009A4063" w:rsidRPr="007F5613" w:rsidRDefault="009A4063" w:rsidP="009A4063">
            <w:pPr>
              <w:pStyle w:val="TableBody"/>
            </w:pPr>
            <w:r w:rsidRPr="007F5613">
              <w:t>0</w:t>
            </w:r>
          </w:p>
        </w:tc>
      </w:tr>
      <w:tr w:rsidR="009A4063" w:rsidRPr="007F5613" w:rsidTr="009A4063">
        <w:tc>
          <w:tcPr>
            <w:tcW w:w="0" w:type="auto"/>
          </w:tcPr>
          <w:p w:rsidR="009A4063" w:rsidRPr="007F5613" w:rsidRDefault="009A4063" w:rsidP="009A4063">
            <w:pPr>
              <w:pStyle w:val="TableBody"/>
            </w:pPr>
            <w:r w:rsidRPr="007F5613">
              <w:t>5</w:t>
            </w:r>
          </w:p>
        </w:tc>
        <w:tc>
          <w:tcPr>
            <w:tcW w:w="0" w:type="auto"/>
          </w:tcPr>
          <w:p w:rsidR="009A4063" w:rsidRPr="007F5613" w:rsidRDefault="009A4063" w:rsidP="009A4063">
            <w:pPr>
              <w:pStyle w:val="TableBody"/>
              <w:rPr>
                <w:b/>
              </w:rPr>
            </w:pPr>
            <w:r w:rsidRPr="007F5613">
              <w:rPr>
                <w:b/>
              </w:rPr>
              <w:t>5</w:t>
            </w:r>
            <w:r w:rsidRPr="007F5613">
              <w:t>:</w:t>
            </w:r>
            <w:r w:rsidRPr="007F5613">
              <w:rPr>
                <w:b/>
              </w:rPr>
              <w:t xml:space="preserve">2 </w:t>
            </w:r>
            <w:r w:rsidRPr="007F5613">
              <w:t>(90:10)</w:t>
            </w:r>
          </w:p>
        </w:tc>
        <w:tc>
          <w:tcPr>
            <w:tcW w:w="0" w:type="auto"/>
          </w:tcPr>
          <w:p w:rsidR="009A4063" w:rsidRPr="007F5613" w:rsidRDefault="009A4063" w:rsidP="009A4063">
            <w:pPr>
              <w:pStyle w:val="TableBody"/>
            </w:pPr>
            <w:r w:rsidRPr="007F5613">
              <w:t>3.8</w:t>
            </w:r>
          </w:p>
        </w:tc>
        <w:tc>
          <w:tcPr>
            <w:tcW w:w="0" w:type="auto"/>
          </w:tcPr>
          <w:p w:rsidR="009A4063" w:rsidRPr="007F5613" w:rsidRDefault="009A4063" w:rsidP="009A4063">
            <w:pPr>
              <w:pStyle w:val="TableBody"/>
              <w:rPr>
                <w:color w:val="000000"/>
                <w:vertAlign w:val="superscript"/>
              </w:rPr>
            </w:pPr>
            <w:r w:rsidRPr="007F5613">
              <w:rPr>
                <w:color w:val="000000"/>
              </w:rPr>
              <w:t>124</w:t>
            </w:r>
          </w:p>
        </w:tc>
      </w:tr>
      <w:tr w:rsidR="009A4063" w:rsidRPr="007F5613" w:rsidTr="009A4063">
        <w:tc>
          <w:tcPr>
            <w:tcW w:w="0" w:type="auto"/>
          </w:tcPr>
          <w:p w:rsidR="009A4063" w:rsidRPr="007F5613" w:rsidRDefault="009A4063" w:rsidP="009A4063">
            <w:pPr>
              <w:pStyle w:val="TableBody"/>
            </w:pPr>
            <w:r w:rsidRPr="007F5613">
              <w:t>6</w:t>
            </w:r>
          </w:p>
        </w:tc>
        <w:tc>
          <w:tcPr>
            <w:tcW w:w="0" w:type="auto"/>
          </w:tcPr>
          <w:p w:rsidR="009A4063" w:rsidRPr="007F5613" w:rsidRDefault="009A4063" w:rsidP="009A4063">
            <w:pPr>
              <w:pStyle w:val="TableBody"/>
              <w:rPr>
                <w:vertAlign w:val="superscript"/>
              </w:rPr>
            </w:pPr>
            <w:r w:rsidRPr="007F5613">
              <w:rPr>
                <w:b/>
              </w:rPr>
              <w:t>5</w:t>
            </w:r>
            <w:r w:rsidRPr="007F5613">
              <w:t>:</w:t>
            </w:r>
            <w:r w:rsidRPr="007F5613">
              <w:rPr>
                <w:b/>
              </w:rPr>
              <w:t xml:space="preserve">2 </w:t>
            </w:r>
            <w:r w:rsidRPr="007F5613">
              <w:t>(30:70)</w:t>
            </w:r>
          </w:p>
        </w:tc>
        <w:tc>
          <w:tcPr>
            <w:tcW w:w="0" w:type="auto"/>
          </w:tcPr>
          <w:p w:rsidR="009A4063" w:rsidRPr="007F5613" w:rsidRDefault="009A4063" w:rsidP="009A4063">
            <w:pPr>
              <w:pStyle w:val="TableBody"/>
            </w:pPr>
            <w:r w:rsidRPr="007F5613">
              <w:t>2.9</w:t>
            </w:r>
          </w:p>
        </w:tc>
        <w:tc>
          <w:tcPr>
            <w:tcW w:w="0" w:type="auto"/>
          </w:tcPr>
          <w:p w:rsidR="009A4063" w:rsidRPr="007F5613" w:rsidRDefault="009A4063" w:rsidP="009A4063">
            <w:pPr>
              <w:pStyle w:val="TableBody"/>
            </w:pPr>
            <w:r w:rsidRPr="007F5613">
              <w:t>132</w:t>
            </w:r>
          </w:p>
        </w:tc>
      </w:tr>
      <w:tr w:rsidR="009A4063" w:rsidRPr="007F5613" w:rsidTr="009A4063">
        <w:tc>
          <w:tcPr>
            <w:tcW w:w="0" w:type="auto"/>
            <w:tcBorders>
              <w:bottom w:val="single" w:sz="8" w:space="0" w:color="auto"/>
            </w:tcBorders>
          </w:tcPr>
          <w:p w:rsidR="009A4063" w:rsidRPr="007F5613" w:rsidRDefault="009A4063" w:rsidP="009A4063">
            <w:pPr>
              <w:pStyle w:val="TableBody"/>
            </w:pPr>
            <w:r w:rsidRPr="007F5613">
              <w:t>7</w:t>
            </w:r>
          </w:p>
        </w:tc>
        <w:tc>
          <w:tcPr>
            <w:tcW w:w="0" w:type="auto"/>
            <w:tcBorders>
              <w:bottom w:val="single" w:sz="8" w:space="0" w:color="auto"/>
            </w:tcBorders>
          </w:tcPr>
          <w:p w:rsidR="009A4063" w:rsidRPr="007F5613" w:rsidRDefault="009A4063" w:rsidP="009A4063">
            <w:pPr>
              <w:pStyle w:val="TableBody"/>
            </w:pPr>
            <w:r w:rsidRPr="007F5613">
              <w:rPr>
                <w:b/>
              </w:rPr>
              <w:t>5</w:t>
            </w:r>
            <w:r w:rsidRPr="007F5613">
              <w:t>:</w:t>
            </w:r>
            <w:r w:rsidRPr="007F5613">
              <w:rPr>
                <w:b/>
              </w:rPr>
              <w:t xml:space="preserve">2 </w:t>
            </w:r>
            <w:r w:rsidRPr="007F5613">
              <w:t>(40:60)</w:t>
            </w:r>
            <w:r w:rsidRPr="007F5613">
              <w:rPr>
                <w:vertAlign w:val="superscript"/>
              </w:rPr>
              <w:t>[b]</w:t>
            </w:r>
          </w:p>
        </w:tc>
        <w:tc>
          <w:tcPr>
            <w:tcW w:w="0" w:type="auto"/>
            <w:tcBorders>
              <w:bottom w:val="single" w:sz="8" w:space="0" w:color="auto"/>
            </w:tcBorders>
          </w:tcPr>
          <w:p w:rsidR="009A4063" w:rsidRPr="007F5613" w:rsidRDefault="009A4063" w:rsidP="009A4063">
            <w:pPr>
              <w:pStyle w:val="TableBody"/>
            </w:pPr>
            <w:r w:rsidRPr="007F5613">
              <w:t>3.8</w:t>
            </w:r>
          </w:p>
        </w:tc>
        <w:tc>
          <w:tcPr>
            <w:tcW w:w="0" w:type="auto"/>
            <w:tcBorders>
              <w:bottom w:val="single" w:sz="8" w:space="0" w:color="auto"/>
            </w:tcBorders>
          </w:tcPr>
          <w:p w:rsidR="009A4063" w:rsidRPr="007F5613" w:rsidRDefault="009A4063" w:rsidP="009A4063">
            <w:pPr>
              <w:pStyle w:val="TableBody"/>
            </w:pPr>
            <w:r w:rsidRPr="007F5613">
              <w:t>200</w:t>
            </w:r>
          </w:p>
        </w:tc>
      </w:tr>
      <w:tr w:rsidR="009A4063" w:rsidRPr="007F5613" w:rsidTr="009A4063">
        <w:tc>
          <w:tcPr>
            <w:tcW w:w="0" w:type="auto"/>
            <w:gridSpan w:val="4"/>
            <w:tcBorders>
              <w:top w:val="single" w:sz="8" w:space="0" w:color="auto"/>
            </w:tcBorders>
          </w:tcPr>
          <w:p w:rsidR="009A4063" w:rsidRPr="007F5613" w:rsidRDefault="009A4063" w:rsidP="009A4063">
            <w:pPr>
              <w:pStyle w:val="TableFoot"/>
            </w:pPr>
            <w:r w:rsidRPr="007F5613">
              <w:t xml:space="preserve">[a] Yields are given as mg/g of resin as the loading of </w:t>
            </w:r>
            <w:proofErr w:type="spellStart"/>
            <w:r w:rsidRPr="007F5613">
              <w:t>Fmoc-Phe</w:t>
            </w:r>
            <w:proofErr w:type="spellEnd"/>
            <w:r w:rsidRPr="007F5613">
              <w:t xml:space="preserve"> on the Merrifield resin was only specified as 0.4-0.8 </w:t>
            </w:r>
            <w:proofErr w:type="spellStart"/>
            <w:r w:rsidRPr="007F5613">
              <w:t>mmol</w:t>
            </w:r>
            <w:proofErr w:type="spellEnd"/>
            <w:r w:rsidRPr="007F5613">
              <w:t xml:space="preserve"> g</w:t>
            </w:r>
            <w:r w:rsidRPr="007F5613">
              <w:rPr>
                <w:vertAlign w:val="superscript"/>
              </w:rPr>
              <w:t>-1</w:t>
            </w:r>
            <w:r w:rsidRPr="007F5613">
              <w:t xml:space="preserve"> so an accurate % yield could not be calculated. All syntheses of peptide </w:t>
            </w:r>
            <w:r w:rsidRPr="007F5613">
              <w:rPr>
                <w:b/>
              </w:rPr>
              <w:t>6</w:t>
            </w:r>
            <w:r w:rsidRPr="007F5613">
              <w:t xml:space="preserve"> were carried out using the same batch of resin. [b] This mixture is immiscible and stays immiscible in the presence of the peptide synthesis reagents.</w:t>
            </w:r>
          </w:p>
        </w:tc>
      </w:tr>
      <w:tr w:rsidR="009A4063" w:rsidRPr="007F5613" w:rsidTr="009A4063">
        <w:tc>
          <w:tcPr>
            <w:tcW w:w="0" w:type="auto"/>
            <w:gridSpan w:val="4"/>
          </w:tcPr>
          <w:p w:rsidR="009A4063" w:rsidRPr="007F5613" w:rsidRDefault="009A4063" w:rsidP="009A4063">
            <w:pPr>
              <w:pStyle w:val="TableSpacer"/>
              <w:rPr>
                <w:noProof w:val="0"/>
              </w:rPr>
            </w:pPr>
          </w:p>
        </w:tc>
      </w:tr>
    </w:tbl>
    <w:p w:rsidR="00DE5CCA" w:rsidRPr="007F5613" w:rsidRDefault="00DB688E" w:rsidP="00D63C7F">
      <w:pPr>
        <w:pStyle w:val="P1"/>
        <w:ind w:firstLine="425"/>
        <w:rPr>
          <w:lang w:val="en-GB"/>
        </w:rPr>
      </w:pPr>
      <w:r w:rsidRPr="007F5613">
        <w:rPr>
          <w:lang w:val="en-GB"/>
        </w:rPr>
        <w:t xml:space="preserve">When a miscible and high resin swelling 90:10 mixture of TMO </w:t>
      </w:r>
      <w:r w:rsidRPr="007F5613">
        <w:rPr>
          <w:b/>
          <w:lang w:val="en-GB"/>
        </w:rPr>
        <w:t>5</w:t>
      </w:r>
      <w:r w:rsidRPr="007F5613">
        <w:rPr>
          <w:lang w:val="en-GB"/>
        </w:rPr>
        <w:t xml:space="preserve"> and propylene carbonate </w:t>
      </w:r>
      <w:r w:rsidRPr="007F5613">
        <w:rPr>
          <w:b/>
          <w:lang w:val="en-GB"/>
        </w:rPr>
        <w:t>2</w:t>
      </w:r>
      <w:r w:rsidR="00D63C7F" w:rsidRPr="007F5613">
        <w:rPr>
          <w:lang w:val="en-GB"/>
        </w:rPr>
        <w:t xml:space="preserve"> was </w:t>
      </w:r>
      <w:r w:rsidRPr="007F5613">
        <w:rPr>
          <w:lang w:val="en-GB"/>
        </w:rPr>
        <w:t xml:space="preserve">used as solvent, tripeptide </w:t>
      </w:r>
      <w:r w:rsidRPr="007F5613">
        <w:rPr>
          <w:b/>
          <w:lang w:val="en-GB"/>
        </w:rPr>
        <w:t>6</w:t>
      </w:r>
      <w:r w:rsidRPr="007F5613">
        <w:rPr>
          <w:lang w:val="en-GB"/>
        </w:rPr>
        <w:t xml:space="preserve"> was obtained in </w:t>
      </w:r>
      <w:r w:rsidR="0097038F" w:rsidRPr="007F5613">
        <w:rPr>
          <w:lang w:val="en-GB"/>
        </w:rPr>
        <w:t>moderate</w:t>
      </w:r>
      <w:r w:rsidRPr="007F5613">
        <w:rPr>
          <w:lang w:val="en-GB"/>
        </w:rPr>
        <w:t xml:space="preserve"> yield (Table </w:t>
      </w:r>
      <w:r w:rsidR="00F17EEB" w:rsidRPr="007F5613">
        <w:rPr>
          <w:lang w:val="en-GB"/>
        </w:rPr>
        <w:t>6</w:t>
      </w:r>
      <w:r w:rsidRPr="007F5613">
        <w:rPr>
          <w:lang w:val="en-GB"/>
        </w:rPr>
        <w:t>, entry 5).</w:t>
      </w:r>
      <w:r w:rsidR="00DE5CCA" w:rsidRPr="007F5613">
        <w:rPr>
          <w:lang w:val="en-GB"/>
        </w:rPr>
        <w:t xml:space="preserve"> </w:t>
      </w:r>
      <w:r w:rsidR="00D63C7F" w:rsidRPr="007F5613">
        <w:rPr>
          <w:lang w:val="en-GB"/>
        </w:rPr>
        <w:t>T</w:t>
      </w:r>
      <w:r w:rsidR="00DE5CCA" w:rsidRPr="007F5613">
        <w:rPr>
          <w:lang w:val="en-GB"/>
        </w:rPr>
        <w:t xml:space="preserve">he mass spectrum showed that the desired tripeptide was present and the HPLC trace </w:t>
      </w:r>
      <w:r w:rsidR="00D63C7F" w:rsidRPr="007F5613">
        <w:rPr>
          <w:lang w:val="en-GB"/>
        </w:rPr>
        <w:t>and</w:t>
      </w:r>
      <w:r w:rsidR="00DE5CCA" w:rsidRPr="007F5613">
        <w:rPr>
          <w:lang w:val="en-GB"/>
        </w:rPr>
        <w:t xml:space="preserve"> </w:t>
      </w:r>
      <w:r w:rsidR="00DE5CCA" w:rsidRPr="007F5613">
        <w:rPr>
          <w:vertAlign w:val="superscript"/>
          <w:lang w:val="en-GB"/>
        </w:rPr>
        <w:t>1</w:t>
      </w:r>
      <w:r w:rsidR="00DE5CCA" w:rsidRPr="007F5613">
        <w:rPr>
          <w:lang w:val="en-GB"/>
        </w:rPr>
        <w:t xml:space="preserve">H NMR spectrum showed </w:t>
      </w:r>
      <w:r w:rsidR="00D63C7F" w:rsidRPr="007F5613">
        <w:rPr>
          <w:lang w:val="en-GB"/>
        </w:rPr>
        <w:t>it to be highly pure</w:t>
      </w:r>
      <w:r w:rsidR="00DE5CCA" w:rsidRPr="007F5613">
        <w:rPr>
          <w:lang w:val="en-GB"/>
        </w:rPr>
        <w:t xml:space="preserve"> (Figure S11). </w:t>
      </w:r>
      <w:proofErr w:type="spellStart"/>
      <w:r w:rsidR="00DE5CCA" w:rsidRPr="007F5613">
        <w:rPr>
          <w:lang w:val="en-GB"/>
        </w:rPr>
        <w:t>HOBt</w:t>
      </w:r>
      <w:proofErr w:type="spellEnd"/>
      <w:r w:rsidR="00DE5CCA" w:rsidRPr="007F5613">
        <w:rPr>
          <w:lang w:val="en-GB"/>
        </w:rPr>
        <w:t xml:space="preserve"> and HBTU </w:t>
      </w:r>
      <w:r w:rsidR="007463E8" w:rsidRPr="007F5613">
        <w:rPr>
          <w:lang w:val="en-GB"/>
        </w:rPr>
        <w:t>are only slightly soluble</w:t>
      </w:r>
      <w:r w:rsidR="00D63C7F" w:rsidRPr="007F5613">
        <w:rPr>
          <w:lang w:val="en-GB"/>
        </w:rPr>
        <w:t xml:space="preserve"> in this solvent mixture, </w:t>
      </w:r>
      <w:r w:rsidR="007463E8" w:rsidRPr="007F5613">
        <w:rPr>
          <w:lang w:val="en-GB"/>
        </w:rPr>
        <w:t xml:space="preserve">which may have resulted in the relatively low yield compared to those obtained in ethyl acetate containing solvents (Table </w:t>
      </w:r>
      <w:r w:rsidR="00F17EEB" w:rsidRPr="007F5613">
        <w:rPr>
          <w:lang w:val="en-GB"/>
        </w:rPr>
        <w:t>6</w:t>
      </w:r>
      <w:r w:rsidR="007463E8" w:rsidRPr="007F5613">
        <w:rPr>
          <w:lang w:val="en-GB"/>
        </w:rPr>
        <w:t>, entries 2 and 3)</w:t>
      </w:r>
      <w:r w:rsidR="00D63C7F" w:rsidRPr="007F5613">
        <w:rPr>
          <w:lang w:val="en-GB"/>
        </w:rPr>
        <w:t xml:space="preserve">. </w:t>
      </w:r>
      <w:r w:rsidR="00DE5CCA" w:rsidRPr="007F5613">
        <w:rPr>
          <w:lang w:val="en-GB"/>
        </w:rPr>
        <w:t xml:space="preserve">In contrast, </w:t>
      </w:r>
      <w:proofErr w:type="spellStart"/>
      <w:r w:rsidR="00DE5CCA" w:rsidRPr="007F5613">
        <w:rPr>
          <w:lang w:val="en-GB"/>
        </w:rPr>
        <w:t>HOBt</w:t>
      </w:r>
      <w:proofErr w:type="spellEnd"/>
      <w:r w:rsidR="00DE5CCA" w:rsidRPr="007F5613">
        <w:rPr>
          <w:lang w:val="en-GB"/>
        </w:rPr>
        <w:t xml:space="preserve"> and HBTU were </w:t>
      </w:r>
      <w:r w:rsidR="007463E8" w:rsidRPr="007F5613">
        <w:rPr>
          <w:lang w:val="en-GB"/>
        </w:rPr>
        <w:t>highly</w:t>
      </w:r>
      <w:r w:rsidR="00DE5CCA" w:rsidRPr="007F5613">
        <w:rPr>
          <w:lang w:val="en-GB"/>
        </w:rPr>
        <w:t xml:space="preserve"> soluble in a miscible 30:70 mixture of solvents </w:t>
      </w:r>
      <w:r w:rsidR="00DE5CCA" w:rsidRPr="007F5613">
        <w:rPr>
          <w:b/>
          <w:lang w:val="en-GB"/>
        </w:rPr>
        <w:t>5</w:t>
      </w:r>
      <w:r w:rsidR="00DE5CCA" w:rsidRPr="007F5613">
        <w:rPr>
          <w:lang w:val="en-GB"/>
        </w:rPr>
        <w:t xml:space="preserve"> and </w:t>
      </w:r>
      <w:r w:rsidR="00DE5CCA" w:rsidRPr="007F5613">
        <w:rPr>
          <w:b/>
          <w:lang w:val="en-GB"/>
        </w:rPr>
        <w:t>2</w:t>
      </w:r>
      <w:r w:rsidR="00DE5CCA" w:rsidRPr="007F5613">
        <w:rPr>
          <w:lang w:val="en-GB"/>
        </w:rPr>
        <w:t xml:space="preserve">, though this solvent mixture gives only moderate swelling of Merrifield resin (Figure 9 and Table </w:t>
      </w:r>
      <w:r w:rsidR="00F17EEB" w:rsidRPr="007F5613">
        <w:rPr>
          <w:lang w:val="en-GB"/>
        </w:rPr>
        <w:t>6</w:t>
      </w:r>
      <w:r w:rsidR="00DE5CCA" w:rsidRPr="007F5613">
        <w:rPr>
          <w:lang w:val="en-GB"/>
        </w:rPr>
        <w:t xml:space="preserve">). </w:t>
      </w:r>
      <w:r w:rsidR="007463E8" w:rsidRPr="007F5613">
        <w:rPr>
          <w:lang w:val="en-GB"/>
        </w:rPr>
        <w:t>T</w:t>
      </w:r>
      <w:r w:rsidR="00DE5CCA" w:rsidRPr="007F5613">
        <w:rPr>
          <w:lang w:val="en-GB"/>
        </w:rPr>
        <w:t xml:space="preserve">his synthesis was </w:t>
      </w:r>
      <w:r w:rsidR="007463E8" w:rsidRPr="007F5613">
        <w:rPr>
          <w:lang w:val="en-GB"/>
        </w:rPr>
        <w:t xml:space="preserve">also moderately successful, giving a similar yield of tripeptide </w:t>
      </w:r>
      <w:r w:rsidR="007463E8" w:rsidRPr="007F5613">
        <w:rPr>
          <w:b/>
          <w:lang w:val="en-GB"/>
        </w:rPr>
        <w:t>6</w:t>
      </w:r>
      <w:r w:rsidR="007463E8" w:rsidRPr="007F5613">
        <w:rPr>
          <w:lang w:val="en-GB"/>
        </w:rPr>
        <w:t xml:space="preserve"> to that obtained in the 90:10 solvent mixture</w:t>
      </w:r>
      <w:r w:rsidR="00DE5CCA" w:rsidRPr="007F5613">
        <w:rPr>
          <w:lang w:val="en-GB"/>
        </w:rPr>
        <w:t xml:space="preserve"> (Table </w:t>
      </w:r>
      <w:r w:rsidR="00F17EEB" w:rsidRPr="007F5613">
        <w:rPr>
          <w:lang w:val="en-GB"/>
        </w:rPr>
        <w:t>6</w:t>
      </w:r>
      <w:r w:rsidR="00DE5CCA" w:rsidRPr="007F5613">
        <w:rPr>
          <w:lang w:val="en-GB"/>
        </w:rPr>
        <w:t xml:space="preserve">, entry 6 and Figure S12). Finally, the use of an immiscible 40:60 mixture of </w:t>
      </w:r>
      <w:r w:rsidR="00DE5CCA" w:rsidRPr="007F5613">
        <w:rPr>
          <w:b/>
          <w:lang w:val="en-GB"/>
        </w:rPr>
        <w:t>5</w:t>
      </w:r>
      <w:r w:rsidR="00DE5CCA" w:rsidRPr="007F5613">
        <w:rPr>
          <w:lang w:val="en-GB"/>
        </w:rPr>
        <w:t xml:space="preserve"> and </w:t>
      </w:r>
      <w:r w:rsidR="00DE5CCA" w:rsidRPr="007F5613">
        <w:rPr>
          <w:b/>
          <w:lang w:val="en-GB"/>
        </w:rPr>
        <w:t>2</w:t>
      </w:r>
      <w:r w:rsidR="00DE5CCA" w:rsidRPr="007F5613">
        <w:rPr>
          <w:lang w:val="en-GB"/>
        </w:rPr>
        <w:t xml:space="preserve"> was investigated. This mixed solvent gave high swelling of Merrifield resin (Figure 9 and Table </w:t>
      </w:r>
      <w:r w:rsidR="00F17EEB" w:rsidRPr="007F5613">
        <w:rPr>
          <w:lang w:val="en-GB"/>
        </w:rPr>
        <w:t>6</w:t>
      </w:r>
      <w:r w:rsidR="00DE5CCA" w:rsidRPr="007F5613">
        <w:rPr>
          <w:lang w:val="en-GB"/>
        </w:rPr>
        <w:t xml:space="preserve">) and despite its immiscible nature, was also successful for the synthesis of tripeptide </w:t>
      </w:r>
      <w:r w:rsidR="00DE5CCA" w:rsidRPr="007F5613">
        <w:rPr>
          <w:b/>
          <w:lang w:val="en-GB"/>
        </w:rPr>
        <w:t>6</w:t>
      </w:r>
      <w:r w:rsidR="00DE5CCA" w:rsidRPr="007F5613">
        <w:rPr>
          <w:lang w:val="en-GB"/>
        </w:rPr>
        <w:t xml:space="preserve">. Thus, tripeptide </w:t>
      </w:r>
      <w:r w:rsidR="00DE5CCA" w:rsidRPr="007F5613">
        <w:rPr>
          <w:b/>
          <w:lang w:val="en-GB"/>
        </w:rPr>
        <w:t>6</w:t>
      </w:r>
      <w:r w:rsidR="00DE5CCA" w:rsidRPr="007F5613">
        <w:rPr>
          <w:lang w:val="en-GB"/>
        </w:rPr>
        <w:t xml:space="preserve"> was obtained with high purity (Figure S13) and in 50% higher yield (Table </w:t>
      </w:r>
      <w:r w:rsidR="00F17EEB" w:rsidRPr="007F5613">
        <w:rPr>
          <w:lang w:val="en-GB"/>
        </w:rPr>
        <w:t>6</w:t>
      </w:r>
      <w:r w:rsidR="00DE5CCA" w:rsidRPr="007F5613">
        <w:rPr>
          <w:lang w:val="en-GB"/>
        </w:rPr>
        <w:t xml:space="preserve">, entry 7) than that obtained using the miscible </w:t>
      </w:r>
      <w:r w:rsidR="007463E8" w:rsidRPr="007F5613">
        <w:rPr>
          <w:lang w:val="en-GB"/>
        </w:rPr>
        <w:t xml:space="preserve">90;10 or </w:t>
      </w:r>
      <w:r w:rsidR="00DE5CCA" w:rsidRPr="007F5613">
        <w:rPr>
          <w:lang w:val="en-GB"/>
        </w:rPr>
        <w:t>30:70 ratio</w:t>
      </w:r>
      <w:r w:rsidR="007463E8" w:rsidRPr="007F5613">
        <w:rPr>
          <w:lang w:val="en-GB"/>
        </w:rPr>
        <w:t>s</w:t>
      </w:r>
      <w:r w:rsidR="00DE5CCA" w:rsidRPr="007F5613">
        <w:rPr>
          <w:lang w:val="en-GB"/>
        </w:rPr>
        <w:t xml:space="preserve"> of solvents </w:t>
      </w:r>
      <w:r w:rsidR="00DE5CCA" w:rsidRPr="007F5613">
        <w:rPr>
          <w:b/>
          <w:lang w:val="en-GB"/>
        </w:rPr>
        <w:t>5</w:t>
      </w:r>
      <w:r w:rsidR="00DE5CCA" w:rsidRPr="007F5613">
        <w:rPr>
          <w:lang w:val="en-GB"/>
        </w:rPr>
        <w:t xml:space="preserve"> and </w:t>
      </w:r>
      <w:r w:rsidR="00DE5CCA" w:rsidRPr="007F5613">
        <w:rPr>
          <w:b/>
          <w:lang w:val="en-GB"/>
        </w:rPr>
        <w:t>2</w:t>
      </w:r>
      <w:r w:rsidR="00DE5CCA" w:rsidRPr="007F5613">
        <w:rPr>
          <w:lang w:val="en-GB"/>
        </w:rPr>
        <w:t>.</w:t>
      </w:r>
      <w:r w:rsidR="00F17EEB" w:rsidRPr="007F5613">
        <w:rPr>
          <w:lang w:val="en-GB"/>
        </w:rPr>
        <w:t xml:space="preserve"> The 40:60 mixture of solvents </w:t>
      </w:r>
      <w:r w:rsidR="00F17EEB" w:rsidRPr="007F5613">
        <w:rPr>
          <w:b/>
          <w:lang w:val="en-GB"/>
        </w:rPr>
        <w:t>5</w:t>
      </w:r>
      <w:r w:rsidR="00F17EEB" w:rsidRPr="007F5613">
        <w:rPr>
          <w:lang w:val="en-GB"/>
        </w:rPr>
        <w:t xml:space="preserve"> and </w:t>
      </w:r>
      <w:r w:rsidR="00F17EEB" w:rsidRPr="007F5613">
        <w:rPr>
          <w:b/>
          <w:lang w:val="en-GB"/>
        </w:rPr>
        <w:t>2</w:t>
      </w:r>
      <w:r w:rsidR="00F17EEB" w:rsidRPr="007F5613">
        <w:rPr>
          <w:lang w:val="en-GB"/>
        </w:rPr>
        <w:t xml:space="preserve"> remained immiscible even in the presence of the various peptide synthesis reagents. </w:t>
      </w:r>
    </w:p>
    <w:p w:rsidR="003C0EBE" w:rsidRPr="007F5613" w:rsidRDefault="00DE5CCA" w:rsidP="009A4063">
      <w:pPr>
        <w:pStyle w:val="P1"/>
        <w:ind w:firstLine="425"/>
        <w:rPr>
          <w:color w:val="000000"/>
          <w:lang w:val="en-GB"/>
        </w:rPr>
      </w:pPr>
      <w:r w:rsidRPr="007F5613">
        <w:rPr>
          <w:lang w:val="en-GB"/>
        </w:rPr>
        <w:t>Overall the SPPS results using mixtures of propylene carbonate and either ethyl acetate or TMO clearly illustrate that a mixture of two solvents that gives optimal resin swelling can give better results in SPPS than either pure solvent, even if the mixture is not miscible.</w:t>
      </w:r>
      <w:r w:rsidR="007477F4" w:rsidRPr="007F5613">
        <w:rPr>
          <w:color w:val="FF0000"/>
          <w:lang w:val="en-GB"/>
        </w:rPr>
        <w:t xml:space="preserve"> </w:t>
      </w:r>
      <w:r w:rsidR="007477F4" w:rsidRPr="007F5613">
        <w:rPr>
          <w:color w:val="000000"/>
          <w:lang w:val="en-GB"/>
        </w:rPr>
        <w:t xml:space="preserve">The ability to use immiscible solvent mixtures may allow interesting possibilities for further enhancing </w:t>
      </w:r>
      <w:r w:rsidR="007477F4" w:rsidRPr="007F5613">
        <w:rPr>
          <w:color w:val="000000"/>
          <w:lang w:val="en-GB"/>
        </w:rPr>
        <w:t>the greenness of reactions</w:t>
      </w:r>
      <w:r w:rsidR="00FB26FA" w:rsidRPr="007F5613">
        <w:rPr>
          <w:color w:val="000000"/>
          <w:lang w:val="en-GB"/>
        </w:rPr>
        <w:t>;</w:t>
      </w:r>
      <w:r w:rsidR="007477F4" w:rsidRPr="007F5613">
        <w:rPr>
          <w:color w:val="000000"/>
          <w:lang w:val="en-GB"/>
        </w:rPr>
        <w:t xml:space="preserve"> for example by using reagents which are only soluble in one of the immiscible layers or which g</w:t>
      </w:r>
      <w:r w:rsidR="00FB26FA" w:rsidRPr="007F5613">
        <w:rPr>
          <w:color w:val="000000"/>
          <w:lang w:val="en-GB"/>
        </w:rPr>
        <w:t>i</w:t>
      </w:r>
      <w:r w:rsidR="007477F4" w:rsidRPr="007F5613">
        <w:rPr>
          <w:color w:val="000000"/>
          <w:lang w:val="en-GB"/>
        </w:rPr>
        <w:t xml:space="preserve">ve by-products which are selectively soluble in one of the two layers. This </w:t>
      </w:r>
      <w:r w:rsidR="00FB26FA" w:rsidRPr="007F5613">
        <w:rPr>
          <w:color w:val="000000"/>
          <w:lang w:val="en-GB"/>
        </w:rPr>
        <w:t>could</w:t>
      </w:r>
      <w:r w:rsidR="007477F4" w:rsidRPr="007F5613">
        <w:rPr>
          <w:color w:val="000000"/>
          <w:lang w:val="en-GB"/>
        </w:rPr>
        <w:t xml:space="preserve"> facilitate reaction work-up and solvent recycling.</w:t>
      </w:r>
    </w:p>
    <w:p w:rsidR="00366987" w:rsidRPr="007F5613" w:rsidRDefault="00366987" w:rsidP="009A4063">
      <w:pPr>
        <w:pStyle w:val="P1"/>
        <w:ind w:firstLine="425"/>
        <w:rPr>
          <w:lang w:val="en-GB"/>
        </w:rPr>
      </w:pPr>
      <w:r w:rsidRPr="007F5613">
        <w:rPr>
          <w:lang w:val="en-GB"/>
        </w:rPr>
        <w:t xml:space="preserve">As a second application for mixtures of green solvents, their ability to dissolve linear </w:t>
      </w:r>
      <w:proofErr w:type="spellStart"/>
      <w:r w:rsidRPr="007F5613">
        <w:rPr>
          <w:lang w:val="en-GB"/>
        </w:rPr>
        <w:t>unfunctionalised</w:t>
      </w:r>
      <w:proofErr w:type="spellEnd"/>
      <w:r w:rsidRPr="007F5613">
        <w:rPr>
          <w:lang w:val="en-GB"/>
        </w:rPr>
        <w:t xml:space="preserve"> polystyrene was investigated. Polystyrene is a widely used polymer, particularly familiar as the expanded polystyrene foam used as packaging to protect household and electronic goods. Dissolving polystyrene is important to facilitate its recycling.</w:t>
      </w:r>
      <w:r w:rsidRPr="007F5613">
        <w:rPr>
          <w:vertAlign w:val="superscript"/>
          <w:lang w:val="en-GB"/>
        </w:rPr>
        <w:t>[</w:t>
      </w:r>
      <w:r w:rsidRPr="007F5613">
        <w:rPr>
          <w:rStyle w:val="EndnoteReference"/>
          <w:lang w:val="en-GB"/>
        </w:rPr>
        <w:endnoteReference w:id="27"/>
      </w:r>
      <w:r w:rsidRPr="007F5613">
        <w:rPr>
          <w:vertAlign w:val="superscript"/>
          <w:lang w:val="en-GB"/>
        </w:rPr>
        <w:t>]</w:t>
      </w:r>
      <w:r w:rsidRPr="007F5613">
        <w:rPr>
          <w:lang w:val="en-GB"/>
        </w:rPr>
        <w:t xml:space="preserve"> Whilst Merrifield resin is polystyrene based, it is </w:t>
      </w:r>
      <w:proofErr w:type="spellStart"/>
      <w:r w:rsidRPr="007F5613">
        <w:rPr>
          <w:lang w:val="en-GB"/>
        </w:rPr>
        <w:t>crosslinked</w:t>
      </w:r>
      <w:proofErr w:type="spellEnd"/>
      <w:r w:rsidRPr="007F5613">
        <w:rPr>
          <w:lang w:val="en-GB"/>
        </w:rPr>
        <w:t xml:space="preserve"> and functionalised to permit the attachment of an amino acid. Thus, investigating the dissolution of linear </w:t>
      </w:r>
      <w:proofErr w:type="spellStart"/>
      <w:r w:rsidRPr="007F5613">
        <w:rPr>
          <w:lang w:val="en-GB"/>
        </w:rPr>
        <w:t>unfunctionalised</w:t>
      </w:r>
      <w:proofErr w:type="spellEnd"/>
      <w:r w:rsidRPr="007F5613">
        <w:rPr>
          <w:lang w:val="en-GB"/>
        </w:rPr>
        <w:t xml:space="preserve"> polystyrene would extend the applicability of the resin swelling area data.</w:t>
      </w:r>
    </w:p>
    <w:tbl>
      <w:tblPr>
        <w:tblW w:w="5143" w:type="pct"/>
        <w:tblLook w:val="01E0" w:firstRow="1" w:lastRow="1" w:firstColumn="1" w:lastColumn="1" w:noHBand="0" w:noVBand="0"/>
      </w:tblPr>
      <w:tblGrid>
        <w:gridCol w:w="1197"/>
        <w:gridCol w:w="792"/>
        <w:gridCol w:w="462"/>
        <w:gridCol w:w="544"/>
        <w:gridCol w:w="544"/>
        <w:gridCol w:w="544"/>
        <w:gridCol w:w="544"/>
        <w:gridCol w:w="611"/>
      </w:tblGrid>
      <w:tr w:rsidR="00914E48" w:rsidRPr="007F5613" w:rsidTr="00831E2A">
        <w:tc>
          <w:tcPr>
            <w:tcW w:w="5000" w:type="pct"/>
            <w:gridSpan w:val="8"/>
          </w:tcPr>
          <w:p w:rsidR="00914E48" w:rsidRPr="007F5613" w:rsidRDefault="00914E48" w:rsidP="00FB26FA">
            <w:pPr>
              <w:pStyle w:val="TableSpacer"/>
              <w:spacing w:before="220"/>
              <w:rPr>
                <w:noProof w:val="0"/>
              </w:rPr>
            </w:pPr>
          </w:p>
        </w:tc>
      </w:tr>
      <w:tr w:rsidR="00914E48" w:rsidRPr="007F5613" w:rsidTr="00831E2A">
        <w:tc>
          <w:tcPr>
            <w:tcW w:w="5000" w:type="pct"/>
            <w:gridSpan w:val="8"/>
            <w:tcBorders>
              <w:bottom w:val="single" w:sz="8" w:space="0" w:color="auto"/>
            </w:tcBorders>
          </w:tcPr>
          <w:p w:rsidR="00914E48" w:rsidRPr="007F5613" w:rsidRDefault="00914E48" w:rsidP="00F17EEB">
            <w:pPr>
              <w:pStyle w:val="TableCaption"/>
            </w:pPr>
            <w:r w:rsidRPr="007F5613">
              <w:rPr>
                <w:b/>
              </w:rPr>
              <w:t xml:space="preserve">Table </w:t>
            </w:r>
            <w:r w:rsidR="00F17EEB" w:rsidRPr="007F5613">
              <w:rPr>
                <w:b/>
              </w:rPr>
              <w:t>7</w:t>
            </w:r>
            <w:r w:rsidRPr="007F5613">
              <w:rPr>
                <w:b/>
              </w:rPr>
              <w:t>.</w:t>
            </w:r>
            <w:r w:rsidRPr="007F5613">
              <w:t xml:space="preserve"> Comparison of Merrifield resin swelling and rate of polystyrene dissolution times.</w:t>
            </w:r>
          </w:p>
        </w:tc>
      </w:tr>
      <w:tr w:rsidR="00914E48" w:rsidRPr="007F5613" w:rsidTr="00831E2A">
        <w:tc>
          <w:tcPr>
            <w:tcW w:w="1143" w:type="pct"/>
            <w:vMerge w:val="restart"/>
            <w:tcBorders>
              <w:top w:val="single" w:sz="8" w:space="0" w:color="auto"/>
            </w:tcBorders>
            <w:vAlign w:val="center"/>
          </w:tcPr>
          <w:p w:rsidR="00914E48" w:rsidRPr="007F5613" w:rsidRDefault="00914E48" w:rsidP="00831E2A">
            <w:pPr>
              <w:pStyle w:val="TableHead"/>
              <w:jc w:val="center"/>
            </w:pPr>
            <w:r w:rsidRPr="007F5613">
              <w:t>Solvent</w:t>
            </w:r>
          </w:p>
        </w:tc>
        <w:tc>
          <w:tcPr>
            <w:tcW w:w="756" w:type="pct"/>
            <w:vMerge w:val="restart"/>
            <w:tcBorders>
              <w:top w:val="single" w:sz="8" w:space="0" w:color="auto"/>
            </w:tcBorders>
          </w:tcPr>
          <w:p w:rsidR="00914E48" w:rsidRPr="007F5613" w:rsidRDefault="00914E48" w:rsidP="00831E2A">
            <w:pPr>
              <w:pStyle w:val="TableHead"/>
            </w:pPr>
            <w:r w:rsidRPr="007F5613">
              <w:t xml:space="preserve">Merrifield resin </w:t>
            </w:r>
          </w:p>
          <w:p w:rsidR="00914E48" w:rsidRPr="007F5613" w:rsidRDefault="00914E48" w:rsidP="00831E2A">
            <w:pPr>
              <w:pStyle w:val="TableHead"/>
            </w:pPr>
            <w:r w:rsidRPr="007F5613">
              <w:t xml:space="preserve">swelling </w:t>
            </w:r>
            <w:r w:rsidRPr="007F5613">
              <w:br/>
              <w:t>(</w:t>
            </w:r>
            <w:r w:rsidRPr="007F5613">
              <w:rPr>
                <w:color w:val="000000"/>
              </w:rPr>
              <w:t>mL g</w:t>
            </w:r>
            <w:r w:rsidRPr="007F5613">
              <w:rPr>
                <w:color w:val="000000"/>
                <w:vertAlign w:val="superscript"/>
              </w:rPr>
              <w:t>-1</w:t>
            </w:r>
            <w:r w:rsidRPr="007F5613">
              <w:t>)</w:t>
            </w:r>
          </w:p>
        </w:tc>
        <w:tc>
          <w:tcPr>
            <w:tcW w:w="3101" w:type="pct"/>
            <w:gridSpan w:val="6"/>
            <w:tcBorders>
              <w:top w:val="single" w:sz="8" w:space="0" w:color="auto"/>
            </w:tcBorders>
          </w:tcPr>
          <w:p w:rsidR="00914E48" w:rsidRPr="007F5613" w:rsidRDefault="00914E48" w:rsidP="00831E2A">
            <w:pPr>
              <w:pStyle w:val="TableHead"/>
              <w:jc w:val="center"/>
              <w:rPr>
                <w:vertAlign w:val="superscript"/>
              </w:rPr>
            </w:pPr>
            <w:r w:rsidRPr="007F5613">
              <w:t>Dissolution time (min.)</w:t>
            </w:r>
            <w:r w:rsidRPr="007F5613">
              <w:rPr>
                <w:vertAlign w:val="superscript"/>
              </w:rPr>
              <w:t>[a]</w:t>
            </w:r>
          </w:p>
        </w:tc>
      </w:tr>
      <w:tr w:rsidR="00914E48" w:rsidRPr="007F5613" w:rsidTr="004414C2">
        <w:tc>
          <w:tcPr>
            <w:tcW w:w="1143" w:type="pct"/>
            <w:vMerge/>
            <w:tcBorders>
              <w:bottom w:val="single" w:sz="8" w:space="0" w:color="auto"/>
            </w:tcBorders>
          </w:tcPr>
          <w:p w:rsidR="00914E48" w:rsidRPr="007F5613" w:rsidRDefault="00914E48" w:rsidP="00831E2A">
            <w:pPr>
              <w:pStyle w:val="TableHead"/>
            </w:pPr>
          </w:p>
        </w:tc>
        <w:tc>
          <w:tcPr>
            <w:tcW w:w="756" w:type="pct"/>
            <w:vMerge/>
            <w:tcBorders>
              <w:bottom w:val="single" w:sz="8" w:space="0" w:color="auto"/>
            </w:tcBorders>
          </w:tcPr>
          <w:p w:rsidR="00914E48" w:rsidRPr="007F5613" w:rsidRDefault="00914E48" w:rsidP="00831E2A">
            <w:pPr>
              <w:pStyle w:val="TableHead"/>
            </w:pPr>
          </w:p>
        </w:tc>
        <w:tc>
          <w:tcPr>
            <w:tcW w:w="441" w:type="pct"/>
            <w:tcBorders>
              <w:bottom w:val="single" w:sz="8" w:space="0" w:color="auto"/>
            </w:tcBorders>
          </w:tcPr>
          <w:p w:rsidR="00914E48" w:rsidRPr="007F5613" w:rsidRDefault="00914E48" w:rsidP="00831E2A">
            <w:pPr>
              <w:pStyle w:val="TableHead"/>
            </w:pPr>
            <w:r w:rsidRPr="007F5613">
              <w:t>30</w:t>
            </w:r>
          </w:p>
        </w:tc>
        <w:tc>
          <w:tcPr>
            <w:tcW w:w="519" w:type="pct"/>
            <w:tcBorders>
              <w:bottom w:val="single" w:sz="8" w:space="0" w:color="auto"/>
            </w:tcBorders>
          </w:tcPr>
          <w:p w:rsidR="00914E48" w:rsidRPr="007F5613" w:rsidRDefault="00914E48" w:rsidP="00831E2A">
            <w:pPr>
              <w:pStyle w:val="TableHead"/>
            </w:pPr>
            <w:r w:rsidRPr="007F5613">
              <w:t>60</w:t>
            </w:r>
          </w:p>
        </w:tc>
        <w:tc>
          <w:tcPr>
            <w:tcW w:w="519" w:type="pct"/>
            <w:tcBorders>
              <w:bottom w:val="single" w:sz="8" w:space="0" w:color="auto"/>
            </w:tcBorders>
          </w:tcPr>
          <w:p w:rsidR="00914E48" w:rsidRPr="007F5613" w:rsidRDefault="00914E48" w:rsidP="00831E2A">
            <w:pPr>
              <w:pStyle w:val="TableHead"/>
            </w:pPr>
            <w:r w:rsidRPr="007F5613">
              <w:t>90</w:t>
            </w:r>
          </w:p>
        </w:tc>
        <w:tc>
          <w:tcPr>
            <w:tcW w:w="519" w:type="pct"/>
            <w:tcBorders>
              <w:bottom w:val="single" w:sz="8" w:space="0" w:color="auto"/>
            </w:tcBorders>
          </w:tcPr>
          <w:p w:rsidR="00914E48" w:rsidRPr="007F5613" w:rsidRDefault="00914E48" w:rsidP="00831E2A">
            <w:pPr>
              <w:pStyle w:val="TableHead"/>
            </w:pPr>
            <w:r w:rsidRPr="007F5613">
              <w:t>120</w:t>
            </w:r>
          </w:p>
        </w:tc>
        <w:tc>
          <w:tcPr>
            <w:tcW w:w="519" w:type="pct"/>
            <w:tcBorders>
              <w:bottom w:val="single" w:sz="8" w:space="0" w:color="auto"/>
            </w:tcBorders>
          </w:tcPr>
          <w:p w:rsidR="00914E48" w:rsidRPr="007F5613" w:rsidRDefault="00914E48" w:rsidP="00831E2A">
            <w:pPr>
              <w:pStyle w:val="TableHead"/>
            </w:pPr>
            <w:r w:rsidRPr="007F5613">
              <w:t>&gt;120</w:t>
            </w:r>
          </w:p>
        </w:tc>
        <w:tc>
          <w:tcPr>
            <w:tcW w:w="583" w:type="pct"/>
            <w:tcBorders>
              <w:bottom w:val="single" w:sz="8" w:space="0" w:color="auto"/>
            </w:tcBorders>
          </w:tcPr>
          <w:p w:rsidR="00914E48" w:rsidRPr="007F5613" w:rsidRDefault="00914E48" w:rsidP="00831E2A">
            <w:pPr>
              <w:pStyle w:val="TableHead"/>
            </w:pPr>
            <w:r w:rsidRPr="007F5613">
              <w:t>&gt;1440</w:t>
            </w:r>
          </w:p>
        </w:tc>
      </w:tr>
      <w:tr w:rsidR="00914E48" w:rsidRPr="007F5613" w:rsidTr="004414C2">
        <w:trPr>
          <w:trHeight w:val="232"/>
        </w:trPr>
        <w:tc>
          <w:tcPr>
            <w:tcW w:w="1143" w:type="pct"/>
            <w:tcBorders>
              <w:top w:val="single" w:sz="8" w:space="0" w:color="auto"/>
            </w:tcBorders>
          </w:tcPr>
          <w:p w:rsidR="00914E48" w:rsidRPr="007F5613" w:rsidRDefault="00914E48" w:rsidP="00831E2A">
            <w:pPr>
              <w:pStyle w:val="TableBody"/>
              <w:rPr>
                <w:b/>
              </w:rPr>
            </w:pPr>
            <w:r w:rsidRPr="007F5613">
              <w:rPr>
                <w:b/>
              </w:rPr>
              <w:t>2</w:t>
            </w:r>
          </w:p>
        </w:tc>
        <w:tc>
          <w:tcPr>
            <w:tcW w:w="756" w:type="pct"/>
            <w:tcBorders>
              <w:top w:val="single" w:sz="8" w:space="0" w:color="auto"/>
            </w:tcBorders>
          </w:tcPr>
          <w:p w:rsidR="00914E48" w:rsidRPr="007F5613" w:rsidRDefault="00914E48" w:rsidP="00831E2A">
            <w:pPr>
              <w:pStyle w:val="TableBody"/>
            </w:pPr>
            <w:r w:rsidRPr="007F5613">
              <w:t>1.8</w:t>
            </w:r>
          </w:p>
        </w:tc>
        <w:tc>
          <w:tcPr>
            <w:tcW w:w="441" w:type="pct"/>
            <w:tcBorders>
              <w:top w:val="single" w:sz="8" w:space="0" w:color="auto"/>
            </w:tcBorders>
          </w:tcPr>
          <w:p w:rsidR="00914E48" w:rsidRPr="007F5613" w:rsidRDefault="00914E48" w:rsidP="00831E2A">
            <w:pPr>
              <w:pStyle w:val="TableBody"/>
              <w:jc w:val="center"/>
            </w:pPr>
            <w:r w:rsidRPr="007F5613">
              <w:t>-</w:t>
            </w:r>
          </w:p>
        </w:tc>
        <w:tc>
          <w:tcPr>
            <w:tcW w:w="519" w:type="pct"/>
            <w:tcBorders>
              <w:top w:val="single" w:sz="8" w:space="0" w:color="auto"/>
            </w:tcBorders>
          </w:tcPr>
          <w:p w:rsidR="00914E48" w:rsidRPr="007F5613" w:rsidRDefault="00914E48" w:rsidP="00831E2A">
            <w:pPr>
              <w:pStyle w:val="TableBody"/>
              <w:jc w:val="center"/>
            </w:pPr>
            <w:r w:rsidRPr="007F5613">
              <w:t>-</w:t>
            </w:r>
          </w:p>
        </w:tc>
        <w:tc>
          <w:tcPr>
            <w:tcW w:w="519" w:type="pct"/>
            <w:tcBorders>
              <w:top w:val="single" w:sz="8" w:space="0" w:color="auto"/>
            </w:tcBorders>
          </w:tcPr>
          <w:p w:rsidR="00914E48" w:rsidRPr="007F5613" w:rsidRDefault="00914E48" w:rsidP="00831E2A">
            <w:pPr>
              <w:pStyle w:val="TableBody"/>
              <w:jc w:val="center"/>
            </w:pPr>
            <w:r w:rsidRPr="007F5613">
              <w:t>-</w:t>
            </w:r>
          </w:p>
        </w:tc>
        <w:tc>
          <w:tcPr>
            <w:tcW w:w="519" w:type="pct"/>
            <w:tcBorders>
              <w:top w:val="single" w:sz="8" w:space="0" w:color="auto"/>
            </w:tcBorders>
          </w:tcPr>
          <w:p w:rsidR="00914E48" w:rsidRPr="007F5613" w:rsidRDefault="00914E48" w:rsidP="00831E2A">
            <w:pPr>
              <w:pStyle w:val="TableBody"/>
              <w:jc w:val="center"/>
            </w:pPr>
            <w:r w:rsidRPr="007F5613">
              <w:t>-</w:t>
            </w:r>
          </w:p>
        </w:tc>
        <w:tc>
          <w:tcPr>
            <w:tcW w:w="519" w:type="pct"/>
            <w:tcBorders>
              <w:top w:val="single" w:sz="8" w:space="0" w:color="auto"/>
            </w:tcBorders>
          </w:tcPr>
          <w:p w:rsidR="00914E48" w:rsidRPr="007F5613" w:rsidRDefault="00914E48" w:rsidP="00831E2A">
            <w:pPr>
              <w:pStyle w:val="TableBody"/>
              <w:jc w:val="center"/>
            </w:pPr>
            <w:r w:rsidRPr="007F5613">
              <w:t>-</w:t>
            </w:r>
          </w:p>
        </w:tc>
        <w:tc>
          <w:tcPr>
            <w:tcW w:w="583" w:type="pct"/>
            <w:tcBorders>
              <w:top w:val="single" w:sz="8" w:space="0" w:color="auto"/>
            </w:tcBorders>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rPr>
                <w:b/>
              </w:rPr>
            </w:pPr>
            <w:r w:rsidRPr="007F5613">
              <w:rPr>
                <w:b/>
              </w:rPr>
              <w:t>3</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rPr>
                <w:b/>
              </w:rPr>
            </w:pPr>
            <w:r w:rsidRPr="007F5613">
              <w:rPr>
                <w:b/>
              </w:rPr>
              <w:t>5</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water</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methanol</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ethanol</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isopropanol</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heptan-1ol</w:t>
            </w:r>
          </w:p>
        </w:tc>
        <w:tc>
          <w:tcPr>
            <w:tcW w:w="756" w:type="pct"/>
          </w:tcPr>
          <w:p w:rsidR="00914E48" w:rsidRPr="007F5613" w:rsidRDefault="00914E48" w:rsidP="00831E2A">
            <w:pPr>
              <w:pStyle w:val="TableBody"/>
            </w:pPr>
            <w:r w:rsidRPr="007F5613">
              <w:t>1.8</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heptane</w:t>
            </w:r>
          </w:p>
        </w:tc>
        <w:tc>
          <w:tcPr>
            <w:tcW w:w="756" w:type="pct"/>
          </w:tcPr>
          <w:p w:rsidR="00914E48" w:rsidRPr="007F5613" w:rsidRDefault="00914E48" w:rsidP="00831E2A">
            <w:pPr>
              <w:pStyle w:val="TableBody"/>
            </w:pPr>
            <w:r w:rsidRPr="007F5613">
              <w:t>1.9</w:t>
            </w:r>
          </w:p>
        </w:tc>
        <w:tc>
          <w:tcPr>
            <w:tcW w:w="441"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19" w:type="pct"/>
          </w:tcPr>
          <w:p w:rsidR="00914E48" w:rsidRPr="007F5613" w:rsidRDefault="00914E48" w:rsidP="00831E2A">
            <w:pPr>
              <w:pStyle w:val="TableBody"/>
              <w:jc w:val="center"/>
            </w:pPr>
            <w:r w:rsidRPr="007F5613">
              <w:t>-</w:t>
            </w:r>
          </w:p>
        </w:tc>
        <w:tc>
          <w:tcPr>
            <w:tcW w:w="583" w:type="pct"/>
          </w:tcPr>
          <w:p w:rsidR="00914E48" w:rsidRPr="007F5613" w:rsidRDefault="00914E48" w:rsidP="00831E2A">
            <w:pPr>
              <w:pStyle w:val="TableBody"/>
              <w:jc w:val="center"/>
            </w:pPr>
            <w:r w:rsidRPr="007F5613">
              <w:t>-</w:t>
            </w:r>
          </w:p>
        </w:tc>
      </w:tr>
      <w:tr w:rsidR="00914E48" w:rsidRPr="007F5613" w:rsidTr="004414C2">
        <w:trPr>
          <w:trHeight w:val="232"/>
        </w:trPr>
        <w:tc>
          <w:tcPr>
            <w:tcW w:w="1143" w:type="pct"/>
          </w:tcPr>
          <w:p w:rsidR="00914E48" w:rsidRPr="007F5613" w:rsidRDefault="00914E48" w:rsidP="00831E2A">
            <w:pPr>
              <w:pStyle w:val="TableBody"/>
            </w:pPr>
            <w:r w:rsidRPr="007F5613">
              <w:t>acetonitrile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2.4</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83" w:type="pct"/>
            <w:vAlign w:val="center"/>
          </w:tcPr>
          <w:p w:rsidR="00914E48" w:rsidRPr="007F5613" w:rsidRDefault="00914E48" w:rsidP="00831E2A">
            <w:pPr>
              <w:spacing w:line="180" w:lineRule="exact"/>
              <w:jc w:val="center"/>
              <w:rPr>
                <w:rFonts w:ascii="Arial" w:hAnsi="Arial"/>
                <w:sz w:val="14"/>
                <w:szCs w:val="14"/>
              </w:rPr>
            </w:pPr>
            <w:r w:rsidRPr="007F5613">
              <w:rPr>
                <w:rFonts w:ascii="Arial" w:hAnsi="Arial"/>
                <w:sz w:val="14"/>
                <w:szCs w:val="14"/>
              </w:rPr>
              <w:t>-</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D-limonene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2.7</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proofErr w:type="spellStart"/>
            <w:r w:rsidRPr="007F5613">
              <w:t>furfuryl</w:t>
            </w:r>
            <w:proofErr w:type="spellEnd"/>
            <w:r w:rsidRPr="007F5613">
              <w:t xml:space="preserve"> alcohol</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3.0</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83" w:type="pct"/>
            <w:vAlign w:val="center"/>
          </w:tcPr>
          <w:p w:rsidR="00914E48" w:rsidRPr="007F5613" w:rsidRDefault="00914E48" w:rsidP="00831E2A">
            <w:pPr>
              <w:pStyle w:val="TableBody"/>
              <w:jc w:val="center"/>
            </w:pPr>
            <w:r w:rsidRPr="007F5613">
              <w:t>-</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diethyl carbonate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3.0</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rPr>
                <w:i/>
              </w:rPr>
              <w:t>para</w:t>
            </w:r>
            <w:r w:rsidRPr="007F5613">
              <w:t>-cymene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3.2</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acetone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3.7</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dimethyl carbonate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3.8</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83" w:type="pct"/>
            <w:vAlign w:val="center"/>
          </w:tcPr>
          <w:p w:rsidR="00914E48" w:rsidRPr="007F5613" w:rsidRDefault="00914E48" w:rsidP="00831E2A">
            <w:pPr>
              <w:pStyle w:val="TableBody"/>
              <w:jc w:val="center"/>
            </w:pPr>
            <w:r w:rsidRPr="007F5613">
              <w:t>++++</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ethyl acetate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3.8</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Isopropyl acetate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4.2</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4414C2">
        <w:trPr>
          <w:trHeight w:val="232"/>
        </w:trPr>
        <w:tc>
          <w:tcPr>
            <w:tcW w:w="1143"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toluene</w:t>
            </w:r>
          </w:p>
        </w:tc>
        <w:tc>
          <w:tcPr>
            <w:tcW w:w="756"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5.4</w:t>
            </w:r>
          </w:p>
        </w:tc>
        <w:tc>
          <w:tcPr>
            <w:tcW w:w="441"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vAlign w:val="center"/>
          </w:tcPr>
          <w:p w:rsidR="00914E48" w:rsidRPr="007F5613" w:rsidRDefault="00914E48" w:rsidP="00831E2A">
            <w:pPr>
              <w:pStyle w:val="TableBody"/>
              <w:jc w:val="center"/>
            </w:pPr>
            <w:r w:rsidRPr="007F5613">
              <w:t>O</w:t>
            </w:r>
          </w:p>
        </w:tc>
      </w:tr>
      <w:tr w:rsidR="00914E48" w:rsidRPr="007F5613" w:rsidTr="00F94AB5">
        <w:trPr>
          <w:trHeight w:val="232"/>
        </w:trPr>
        <w:tc>
          <w:tcPr>
            <w:tcW w:w="1143"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proofErr w:type="spellStart"/>
            <w:r w:rsidRPr="007F5613">
              <w:t>cyclopentanone</w:t>
            </w:r>
            <w:proofErr w:type="spellEnd"/>
          </w:p>
        </w:tc>
        <w:tc>
          <w:tcPr>
            <w:tcW w:w="756"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left"/>
            </w:pPr>
            <w:r w:rsidRPr="007F5613">
              <w:t>5.8</w:t>
            </w:r>
          </w:p>
        </w:tc>
        <w:tc>
          <w:tcPr>
            <w:tcW w:w="441"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w:t>
            </w:r>
          </w:p>
        </w:tc>
        <w:tc>
          <w:tcPr>
            <w:tcW w:w="519"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19" w:type="pct"/>
            <w:tcBorders>
              <w:bottom w:val="single" w:sz="8" w:space="0" w:color="auto"/>
            </w:tcBorders>
            <w:vAlign w:val="center"/>
          </w:tcPr>
          <w:p w:rsidR="00914E48" w:rsidRPr="007F5613" w:rsidRDefault="00914E48" w:rsidP="00831E2A">
            <w:pPr>
              <w:pStyle w:val="TableBody"/>
              <w:pBdr>
                <w:top w:val="none" w:sz="0" w:space="0" w:color="auto"/>
                <w:left w:val="none" w:sz="0" w:space="0" w:color="auto"/>
                <w:bottom w:val="none" w:sz="0" w:space="0" w:color="auto"/>
                <w:right w:val="none" w:sz="0" w:space="0" w:color="auto"/>
              </w:pBdr>
              <w:jc w:val="center"/>
            </w:pPr>
            <w:r w:rsidRPr="007F5613">
              <w:t>O</w:t>
            </w:r>
          </w:p>
        </w:tc>
        <w:tc>
          <w:tcPr>
            <w:tcW w:w="583" w:type="pct"/>
            <w:tcBorders>
              <w:bottom w:val="single" w:sz="8" w:space="0" w:color="auto"/>
            </w:tcBorders>
            <w:vAlign w:val="center"/>
          </w:tcPr>
          <w:p w:rsidR="00914E48" w:rsidRPr="007F5613" w:rsidRDefault="00914E48" w:rsidP="00831E2A">
            <w:pPr>
              <w:pStyle w:val="TableBody"/>
              <w:jc w:val="center"/>
            </w:pPr>
            <w:r w:rsidRPr="007F5613">
              <w:t>O</w:t>
            </w:r>
          </w:p>
        </w:tc>
      </w:tr>
      <w:tr w:rsidR="00914E48" w:rsidRPr="007F5613" w:rsidTr="00F94AB5">
        <w:tc>
          <w:tcPr>
            <w:tcW w:w="5000" w:type="pct"/>
            <w:gridSpan w:val="8"/>
            <w:tcBorders>
              <w:top w:val="single" w:sz="8" w:space="0" w:color="auto"/>
            </w:tcBorders>
          </w:tcPr>
          <w:p w:rsidR="00914E48" w:rsidRPr="007F5613" w:rsidRDefault="00914E48" w:rsidP="00FB26FA">
            <w:pPr>
              <w:pStyle w:val="TableFoot"/>
              <w:spacing w:after="0"/>
            </w:pPr>
            <w:r w:rsidRPr="007F5613">
              <w:t>[a] A 20 mg bead of polystyrene was added to 1 mL of solvent at room temperature: - = no dissolution; + = slight dissolution; ++ = about 33% dissolved; +++ =about 50% dissolved; ++++ = mostly dissolved; O = totally dissolved.</w:t>
            </w:r>
          </w:p>
        </w:tc>
      </w:tr>
    </w:tbl>
    <w:p w:rsidR="00366987" w:rsidRPr="007F5613" w:rsidRDefault="006F4058" w:rsidP="00366987">
      <w:pPr>
        <w:pStyle w:val="P1"/>
        <w:ind w:firstLine="425"/>
        <w:rPr>
          <w:color w:val="000000"/>
          <w:lang w:val="en-GB"/>
        </w:rPr>
      </w:pPr>
      <w:r w:rsidRPr="007F5613">
        <w:rPr>
          <w:lang w:val="en-GB"/>
        </w:rPr>
        <w:lastRenderedPageBreak/>
        <w:t xml:space="preserve">As shown in Table </w:t>
      </w:r>
      <w:r w:rsidR="00EC7569" w:rsidRPr="007F5613">
        <w:rPr>
          <w:lang w:val="en-GB"/>
        </w:rPr>
        <w:t>7</w:t>
      </w:r>
      <w:r w:rsidRPr="007F5613">
        <w:rPr>
          <w:lang w:val="en-GB"/>
        </w:rPr>
        <w:t xml:space="preserve">, there is a clear correlation between the ability of a solvent to swell Merrifield resin and the rate at which it will dissolve polystyrene. Thus, none of the solvents that swelled Merrifield </w:t>
      </w:r>
      <w:r w:rsidRPr="007F5613">
        <w:rPr>
          <w:color w:val="000000"/>
          <w:lang w:val="en-GB"/>
        </w:rPr>
        <w:t>resin to less than 2 mL g</w:t>
      </w:r>
      <w:r w:rsidRPr="007F5613">
        <w:rPr>
          <w:color w:val="000000"/>
          <w:vertAlign w:val="superscript"/>
          <w:lang w:val="en-GB"/>
        </w:rPr>
        <w:t>-1</w:t>
      </w:r>
      <w:r w:rsidRPr="007F5613">
        <w:rPr>
          <w:color w:val="000000"/>
          <w:lang w:val="en-GB"/>
        </w:rPr>
        <w:t xml:space="preserve"> showed any dissolution of polystyrene at all, even after 24 hours. The solvents that showed moderate resin swelling (2-4 mL g</w:t>
      </w:r>
      <w:r w:rsidRPr="007F5613">
        <w:rPr>
          <w:color w:val="000000"/>
          <w:vertAlign w:val="superscript"/>
          <w:lang w:val="en-GB"/>
        </w:rPr>
        <w:t>-1</w:t>
      </w:r>
      <w:r w:rsidRPr="007F5613">
        <w:rPr>
          <w:color w:val="000000"/>
          <w:lang w:val="en-GB"/>
        </w:rPr>
        <w:t xml:space="preserve">) gave mixed results with acetonitrile and </w:t>
      </w:r>
      <w:proofErr w:type="spellStart"/>
      <w:r w:rsidRPr="007F5613">
        <w:rPr>
          <w:color w:val="000000"/>
          <w:lang w:val="en-GB"/>
        </w:rPr>
        <w:t>furfuryl</w:t>
      </w:r>
      <w:proofErr w:type="spellEnd"/>
      <w:r w:rsidRPr="007F5613">
        <w:rPr>
          <w:color w:val="000000"/>
          <w:lang w:val="en-GB"/>
        </w:rPr>
        <w:t xml:space="preserve"> alcohol giving no dissolution of polystyrene after 24 hours; dimethyl carbonate dissolving most but not all of the polystyrene and the other five solvents in this class completely dissolving the polystyrene on a timescale of 1-24 hours. The three solvents that induced high resin swelling (greater than 4 mL g</w:t>
      </w:r>
      <w:r w:rsidRPr="007F5613">
        <w:rPr>
          <w:color w:val="000000"/>
          <w:vertAlign w:val="superscript"/>
          <w:lang w:val="en-GB"/>
        </w:rPr>
        <w:t>-1</w:t>
      </w:r>
      <w:r w:rsidRPr="007F5613">
        <w:rPr>
          <w:color w:val="000000"/>
          <w:lang w:val="en-GB"/>
        </w:rPr>
        <w:t xml:space="preserve">) of Merrifield resin all completely dissolved the polystyrene in 30-90 minutes. </w:t>
      </w:r>
    </w:p>
    <w:p w:rsidR="00366987" w:rsidRPr="007F5613" w:rsidRDefault="00366987" w:rsidP="00366987">
      <w:pPr>
        <w:pStyle w:val="P1"/>
        <w:ind w:firstLine="425"/>
        <w:rPr>
          <w:color w:val="000000"/>
          <w:lang w:val="en-GB"/>
        </w:rPr>
      </w:pPr>
      <w:r w:rsidRPr="007F5613">
        <w:rPr>
          <w:color w:val="000000"/>
          <w:lang w:val="en-GB"/>
        </w:rPr>
        <w:t>Having analysed the single solvents, propylene carbonate-ethyl acetate and propylene carbonate-TMO mixtures were again chosen to investigate for their ability to dissolve polystyrene and the results are given in Tables 8 and 9. In the case of a 90:10 ethyl acetate to propylene carbonate mixture (Table 8), there was an increase in the rate of dissolution for the mixed solvent compared to either pure solvent, but the increase in rate compared to use of just pure ethyl acetate was moderate. This is probably because ethyl acetate is itself capable of dissolving polystyrene quite rapidly.</w:t>
      </w:r>
    </w:p>
    <w:tbl>
      <w:tblPr>
        <w:tblW w:w="0" w:type="auto"/>
        <w:tblLook w:val="01E0" w:firstRow="1" w:lastRow="1" w:firstColumn="1" w:lastColumn="1" w:noHBand="0" w:noVBand="0"/>
      </w:tblPr>
      <w:tblGrid>
        <w:gridCol w:w="1668"/>
        <w:gridCol w:w="90"/>
        <w:gridCol w:w="1185"/>
        <w:gridCol w:w="7"/>
        <w:gridCol w:w="835"/>
        <w:gridCol w:w="412"/>
        <w:gridCol w:w="412"/>
        <w:gridCol w:w="483"/>
      </w:tblGrid>
      <w:tr w:rsidR="00D81B22" w:rsidRPr="007F5613" w:rsidTr="002275C0">
        <w:tc>
          <w:tcPr>
            <w:tcW w:w="0" w:type="auto"/>
            <w:gridSpan w:val="8"/>
          </w:tcPr>
          <w:p w:rsidR="00D81B22" w:rsidRPr="007F5613" w:rsidRDefault="00D81B22" w:rsidP="00BA4213">
            <w:pPr>
              <w:pStyle w:val="TableSpacer"/>
              <w:spacing w:before="240"/>
              <w:rPr>
                <w:noProof w:val="0"/>
              </w:rPr>
            </w:pPr>
          </w:p>
        </w:tc>
      </w:tr>
      <w:tr w:rsidR="00D81B22" w:rsidRPr="007F5613" w:rsidTr="00D81B22">
        <w:tc>
          <w:tcPr>
            <w:tcW w:w="0" w:type="auto"/>
            <w:gridSpan w:val="8"/>
            <w:tcBorders>
              <w:bottom w:val="single" w:sz="8" w:space="0" w:color="auto"/>
            </w:tcBorders>
          </w:tcPr>
          <w:p w:rsidR="00D81B22" w:rsidRPr="007F5613" w:rsidRDefault="00D81B22" w:rsidP="00EC7569">
            <w:pPr>
              <w:pStyle w:val="TableCaption"/>
            </w:pPr>
            <w:r w:rsidRPr="007F5613">
              <w:rPr>
                <w:b/>
              </w:rPr>
              <w:t xml:space="preserve">Table </w:t>
            </w:r>
            <w:r w:rsidR="00EC7569" w:rsidRPr="007F5613">
              <w:rPr>
                <w:b/>
              </w:rPr>
              <w:t>8</w:t>
            </w:r>
            <w:r w:rsidRPr="007F5613">
              <w:rPr>
                <w:b/>
              </w:rPr>
              <w:t>.</w:t>
            </w:r>
            <w:r w:rsidRPr="007F5613">
              <w:t xml:space="preserve"> Dissolution of polystyrene in propylene carbonate and ethyl acetate.</w:t>
            </w:r>
          </w:p>
        </w:tc>
      </w:tr>
      <w:tr w:rsidR="00D81B22" w:rsidRPr="007F5613" w:rsidTr="00E808F7">
        <w:tc>
          <w:tcPr>
            <w:tcW w:w="1758" w:type="dxa"/>
            <w:gridSpan w:val="2"/>
            <w:vMerge w:val="restart"/>
            <w:tcBorders>
              <w:top w:val="single" w:sz="8" w:space="0" w:color="auto"/>
            </w:tcBorders>
            <w:vAlign w:val="center"/>
          </w:tcPr>
          <w:p w:rsidR="00D81B22" w:rsidRPr="007F5613" w:rsidRDefault="00D81B22" w:rsidP="00D81B22">
            <w:pPr>
              <w:pStyle w:val="TableHead"/>
              <w:jc w:val="center"/>
            </w:pPr>
            <w:r w:rsidRPr="007F5613">
              <w:t>Solvent</w:t>
            </w:r>
          </w:p>
        </w:tc>
        <w:tc>
          <w:tcPr>
            <w:tcW w:w="1192" w:type="dxa"/>
            <w:gridSpan w:val="2"/>
            <w:vMerge w:val="restart"/>
            <w:tcBorders>
              <w:top w:val="single" w:sz="8" w:space="0" w:color="auto"/>
            </w:tcBorders>
            <w:vAlign w:val="center"/>
          </w:tcPr>
          <w:p w:rsidR="00D81B22" w:rsidRPr="007F5613" w:rsidRDefault="00821CFD" w:rsidP="00D81B22">
            <w:pPr>
              <w:pStyle w:val="TableHead"/>
              <w:jc w:val="center"/>
            </w:pPr>
            <w:r w:rsidRPr="007F5613">
              <w:t>Merrifield r</w:t>
            </w:r>
            <w:r w:rsidR="00D81B22" w:rsidRPr="007F5613">
              <w:t xml:space="preserve">esin swelling </w:t>
            </w:r>
            <w:r w:rsidR="00D81B22" w:rsidRPr="007F5613">
              <w:br/>
              <w:t>(</w:t>
            </w:r>
            <w:r w:rsidR="00D81B22" w:rsidRPr="007F5613">
              <w:rPr>
                <w:color w:val="000000"/>
              </w:rPr>
              <w:t>mL g</w:t>
            </w:r>
            <w:r w:rsidR="00D81B22" w:rsidRPr="007F5613">
              <w:rPr>
                <w:color w:val="000000"/>
                <w:vertAlign w:val="superscript"/>
              </w:rPr>
              <w:t>-1</w:t>
            </w:r>
            <w:r w:rsidR="00D81B22" w:rsidRPr="007F5613">
              <w:t>)</w:t>
            </w:r>
          </w:p>
        </w:tc>
        <w:tc>
          <w:tcPr>
            <w:tcW w:w="2142" w:type="dxa"/>
            <w:gridSpan w:val="4"/>
            <w:tcBorders>
              <w:top w:val="single" w:sz="8" w:space="0" w:color="auto"/>
            </w:tcBorders>
          </w:tcPr>
          <w:p w:rsidR="00D81B22" w:rsidRPr="007F5613" w:rsidRDefault="00D81B22" w:rsidP="00D81B22">
            <w:pPr>
              <w:pStyle w:val="TableHead"/>
              <w:jc w:val="center"/>
            </w:pPr>
            <w:r w:rsidRPr="007F5613">
              <w:t>Polystyrene dissolution (minutes)</w:t>
            </w:r>
          </w:p>
        </w:tc>
      </w:tr>
      <w:tr w:rsidR="00821CFD" w:rsidRPr="007F5613" w:rsidTr="00F20478">
        <w:tc>
          <w:tcPr>
            <w:tcW w:w="1758" w:type="dxa"/>
            <w:gridSpan w:val="2"/>
            <w:vMerge/>
            <w:tcBorders>
              <w:bottom w:val="single" w:sz="8" w:space="0" w:color="auto"/>
            </w:tcBorders>
          </w:tcPr>
          <w:p w:rsidR="00D81B22" w:rsidRPr="007F5613" w:rsidRDefault="00D81B22" w:rsidP="00BA4213">
            <w:pPr>
              <w:pStyle w:val="TableHead"/>
            </w:pPr>
          </w:p>
        </w:tc>
        <w:tc>
          <w:tcPr>
            <w:tcW w:w="1192" w:type="dxa"/>
            <w:gridSpan w:val="2"/>
            <w:vMerge/>
            <w:tcBorders>
              <w:bottom w:val="single" w:sz="8" w:space="0" w:color="auto"/>
            </w:tcBorders>
          </w:tcPr>
          <w:p w:rsidR="00D81B22" w:rsidRPr="007F5613" w:rsidRDefault="00D81B22" w:rsidP="00BA4213">
            <w:pPr>
              <w:pStyle w:val="TableHead"/>
            </w:pPr>
          </w:p>
        </w:tc>
        <w:tc>
          <w:tcPr>
            <w:tcW w:w="832" w:type="dxa"/>
            <w:tcBorders>
              <w:bottom w:val="single" w:sz="8" w:space="0" w:color="auto"/>
            </w:tcBorders>
          </w:tcPr>
          <w:p w:rsidR="00D81B22" w:rsidRPr="007F5613" w:rsidRDefault="00D81B22" w:rsidP="00BA4213">
            <w:pPr>
              <w:pStyle w:val="TableHead"/>
            </w:pPr>
            <w:r w:rsidRPr="007F5613">
              <w:t>10</w:t>
            </w:r>
          </w:p>
        </w:tc>
        <w:tc>
          <w:tcPr>
            <w:tcW w:w="0" w:type="auto"/>
            <w:tcBorders>
              <w:bottom w:val="single" w:sz="8" w:space="0" w:color="auto"/>
            </w:tcBorders>
          </w:tcPr>
          <w:p w:rsidR="00D81B22" w:rsidRPr="007F5613" w:rsidRDefault="00D81B22" w:rsidP="00BA4213">
            <w:pPr>
              <w:pStyle w:val="TableHead"/>
            </w:pPr>
            <w:r w:rsidRPr="007F5613">
              <w:t>20</w:t>
            </w:r>
          </w:p>
        </w:tc>
        <w:tc>
          <w:tcPr>
            <w:tcW w:w="0" w:type="auto"/>
            <w:tcBorders>
              <w:bottom w:val="single" w:sz="8" w:space="0" w:color="auto"/>
            </w:tcBorders>
          </w:tcPr>
          <w:p w:rsidR="00D81B22" w:rsidRPr="007F5613" w:rsidRDefault="00D81B22" w:rsidP="00BA4213">
            <w:pPr>
              <w:pStyle w:val="TableHead"/>
            </w:pPr>
            <w:r w:rsidRPr="007F5613">
              <w:t>30</w:t>
            </w:r>
          </w:p>
        </w:tc>
        <w:tc>
          <w:tcPr>
            <w:tcW w:w="0" w:type="auto"/>
            <w:tcBorders>
              <w:bottom w:val="single" w:sz="8" w:space="0" w:color="auto"/>
            </w:tcBorders>
          </w:tcPr>
          <w:p w:rsidR="00D81B22" w:rsidRPr="007F5613" w:rsidRDefault="00D81B22" w:rsidP="00BA4213">
            <w:pPr>
              <w:pStyle w:val="TableHead"/>
            </w:pPr>
            <w:r w:rsidRPr="007F5613">
              <w:t>60</w:t>
            </w:r>
          </w:p>
        </w:tc>
      </w:tr>
      <w:tr w:rsidR="00D81B22" w:rsidRPr="007F5613" w:rsidTr="00F20478">
        <w:tc>
          <w:tcPr>
            <w:tcW w:w="1758" w:type="dxa"/>
            <w:gridSpan w:val="2"/>
            <w:tcBorders>
              <w:top w:val="single" w:sz="8" w:space="0" w:color="auto"/>
            </w:tcBorders>
          </w:tcPr>
          <w:p w:rsidR="00D81B22" w:rsidRPr="007F5613" w:rsidRDefault="00D81B22" w:rsidP="00BA4213">
            <w:pPr>
              <w:pStyle w:val="TableBody"/>
              <w:rPr>
                <w:b/>
              </w:rPr>
            </w:pPr>
            <w:r w:rsidRPr="007F5613">
              <w:t xml:space="preserve">Propylene carbonate </w:t>
            </w:r>
            <w:r w:rsidRPr="007F5613">
              <w:rPr>
                <w:b/>
              </w:rPr>
              <w:t>2</w:t>
            </w:r>
          </w:p>
        </w:tc>
        <w:tc>
          <w:tcPr>
            <w:tcW w:w="1192" w:type="dxa"/>
            <w:gridSpan w:val="2"/>
            <w:tcBorders>
              <w:top w:val="single" w:sz="8" w:space="0" w:color="auto"/>
            </w:tcBorders>
          </w:tcPr>
          <w:p w:rsidR="00D81B22" w:rsidRPr="007F5613" w:rsidRDefault="00D81B22" w:rsidP="00BA4213">
            <w:pPr>
              <w:pStyle w:val="TableBody"/>
            </w:pPr>
            <w:r w:rsidRPr="007F5613">
              <w:t>1.8</w:t>
            </w:r>
          </w:p>
        </w:tc>
        <w:tc>
          <w:tcPr>
            <w:tcW w:w="832" w:type="dxa"/>
            <w:tcBorders>
              <w:top w:val="single" w:sz="8" w:space="0" w:color="auto"/>
            </w:tcBorders>
          </w:tcPr>
          <w:p w:rsidR="00D81B22" w:rsidRPr="007F5613" w:rsidRDefault="00D81B22" w:rsidP="00BA4213">
            <w:pPr>
              <w:pStyle w:val="TableBody"/>
            </w:pPr>
            <w:r w:rsidRPr="007F5613">
              <w:t>-</w:t>
            </w:r>
          </w:p>
        </w:tc>
        <w:tc>
          <w:tcPr>
            <w:tcW w:w="0" w:type="auto"/>
            <w:tcBorders>
              <w:top w:val="single" w:sz="8" w:space="0" w:color="auto"/>
            </w:tcBorders>
          </w:tcPr>
          <w:p w:rsidR="00D81B22" w:rsidRPr="007F5613" w:rsidRDefault="00D81B22" w:rsidP="00BA4213">
            <w:pPr>
              <w:pStyle w:val="TableBody"/>
            </w:pPr>
            <w:r w:rsidRPr="007F5613">
              <w:t>-</w:t>
            </w:r>
          </w:p>
        </w:tc>
        <w:tc>
          <w:tcPr>
            <w:tcW w:w="0" w:type="auto"/>
            <w:tcBorders>
              <w:top w:val="single" w:sz="8" w:space="0" w:color="auto"/>
            </w:tcBorders>
          </w:tcPr>
          <w:p w:rsidR="00D81B22" w:rsidRPr="007F5613" w:rsidRDefault="00D81B22" w:rsidP="00BA4213">
            <w:pPr>
              <w:pStyle w:val="TableBody"/>
            </w:pPr>
            <w:r w:rsidRPr="007F5613">
              <w:t>-</w:t>
            </w:r>
          </w:p>
        </w:tc>
        <w:tc>
          <w:tcPr>
            <w:tcW w:w="0" w:type="auto"/>
            <w:tcBorders>
              <w:top w:val="single" w:sz="8" w:space="0" w:color="auto"/>
            </w:tcBorders>
          </w:tcPr>
          <w:p w:rsidR="00D81B22" w:rsidRPr="007F5613" w:rsidRDefault="00D81B22" w:rsidP="00BA4213">
            <w:pPr>
              <w:pStyle w:val="TableBody"/>
            </w:pPr>
            <w:r w:rsidRPr="007F5613">
              <w:t>-</w:t>
            </w:r>
          </w:p>
        </w:tc>
      </w:tr>
      <w:tr w:rsidR="00D81B22" w:rsidRPr="007F5613" w:rsidTr="00F20478">
        <w:tc>
          <w:tcPr>
            <w:tcW w:w="1758" w:type="dxa"/>
            <w:gridSpan w:val="2"/>
          </w:tcPr>
          <w:p w:rsidR="00D81B22" w:rsidRPr="007F5613" w:rsidRDefault="00D81B22" w:rsidP="00BA4213">
            <w:pPr>
              <w:pStyle w:val="TableBody"/>
            </w:pPr>
            <w:r w:rsidRPr="007F5613">
              <w:t>Ethyl acetate</w:t>
            </w:r>
          </w:p>
        </w:tc>
        <w:tc>
          <w:tcPr>
            <w:tcW w:w="1192" w:type="dxa"/>
            <w:gridSpan w:val="2"/>
          </w:tcPr>
          <w:p w:rsidR="00D81B22" w:rsidRPr="007F5613" w:rsidRDefault="00D81B22" w:rsidP="00BA4213">
            <w:pPr>
              <w:pStyle w:val="TableBody"/>
            </w:pPr>
            <w:r w:rsidRPr="007F5613">
              <w:t>3.8</w:t>
            </w:r>
          </w:p>
        </w:tc>
        <w:tc>
          <w:tcPr>
            <w:tcW w:w="832" w:type="dxa"/>
          </w:tcPr>
          <w:p w:rsidR="00D81B22" w:rsidRPr="007F5613" w:rsidRDefault="001060D1" w:rsidP="00BA4213">
            <w:pPr>
              <w:pStyle w:val="TableBody"/>
            </w:pPr>
            <w:r w:rsidRPr="007F5613">
              <w:t>a</w:t>
            </w:r>
            <w:r w:rsidR="00D81B22" w:rsidRPr="007F5613">
              <w:t xml:space="preserve"> little</w:t>
            </w:r>
          </w:p>
        </w:tc>
        <w:tc>
          <w:tcPr>
            <w:tcW w:w="0" w:type="auto"/>
          </w:tcPr>
          <w:p w:rsidR="00D81B22" w:rsidRPr="007F5613" w:rsidRDefault="00D81B22" w:rsidP="00BA4213">
            <w:pPr>
              <w:pStyle w:val="TableBody"/>
            </w:pPr>
            <w:r w:rsidRPr="007F5613">
              <w:t>1/3</w:t>
            </w:r>
          </w:p>
        </w:tc>
        <w:tc>
          <w:tcPr>
            <w:tcW w:w="0" w:type="auto"/>
          </w:tcPr>
          <w:p w:rsidR="00D81B22" w:rsidRPr="007F5613" w:rsidRDefault="00D81B22" w:rsidP="00BA4213">
            <w:pPr>
              <w:pStyle w:val="TableBody"/>
            </w:pPr>
            <w:r w:rsidRPr="007F5613">
              <w:t>1/2</w:t>
            </w:r>
          </w:p>
        </w:tc>
        <w:tc>
          <w:tcPr>
            <w:tcW w:w="0" w:type="auto"/>
          </w:tcPr>
          <w:p w:rsidR="00D81B22" w:rsidRPr="007F5613" w:rsidRDefault="00D81B22" w:rsidP="00BA4213">
            <w:pPr>
              <w:pStyle w:val="TableBody"/>
            </w:pPr>
            <w:r w:rsidRPr="007F5613">
              <w:t>total</w:t>
            </w:r>
          </w:p>
        </w:tc>
      </w:tr>
      <w:tr w:rsidR="00D81B22" w:rsidRPr="007F5613" w:rsidTr="00F20478">
        <w:tc>
          <w:tcPr>
            <w:tcW w:w="1758" w:type="dxa"/>
            <w:gridSpan w:val="2"/>
            <w:tcBorders>
              <w:bottom w:val="single" w:sz="8" w:space="0" w:color="auto"/>
            </w:tcBorders>
          </w:tcPr>
          <w:p w:rsidR="00D81B22" w:rsidRPr="007F5613" w:rsidRDefault="00963458" w:rsidP="00BA4213">
            <w:pPr>
              <w:pStyle w:val="TableBody"/>
            </w:pPr>
            <w:r w:rsidRPr="007F5613">
              <w:rPr>
                <w:b/>
              </w:rPr>
              <w:t>2</w:t>
            </w:r>
            <w:r w:rsidRPr="007F5613">
              <w:t>:ethyl acetate (10:90)</w:t>
            </w:r>
          </w:p>
        </w:tc>
        <w:tc>
          <w:tcPr>
            <w:tcW w:w="1192" w:type="dxa"/>
            <w:gridSpan w:val="2"/>
            <w:tcBorders>
              <w:bottom w:val="single" w:sz="8" w:space="0" w:color="auto"/>
            </w:tcBorders>
          </w:tcPr>
          <w:p w:rsidR="00D81B22" w:rsidRPr="007F5613" w:rsidRDefault="00963458" w:rsidP="00BA4213">
            <w:pPr>
              <w:pStyle w:val="TableBody"/>
            </w:pPr>
            <w:r w:rsidRPr="007F5613">
              <w:t>4.6</w:t>
            </w:r>
          </w:p>
        </w:tc>
        <w:tc>
          <w:tcPr>
            <w:tcW w:w="832" w:type="dxa"/>
            <w:tcBorders>
              <w:bottom w:val="single" w:sz="8" w:space="0" w:color="auto"/>
            </w:tcBorders>
          </w:tcPr>
          <w:p w:rsidR="00D81B22" w:rsidRPr="007F5613" w:rsidRDefault="001060D1" w:rsidP="00BA4213">
            <w:pPr>
              <w:pStyle w:val="TableBody"/>
            </w:pPr>
            <w:r w:rsidRPr="007F5613">
              <w:t>a</w:t>
            </w:r>
            <w:r w:rsidR="00963458" w:rsidRPr="007F5613">
              <w:t xml:space="preserve"> little</w:t>
            </w:r>
          </w:p>
        </w:tc>
        <w:tc>
          <w:tcPr>
            <w:tcW w:w="0" w:type="auto"/>
            <w:tcBorders>
              <w:bottom w:val="single" w:sz="8" w:space="0" w:color="auto"/>
            </w:tcBorders>
          </w:tcPr>
          <w:p w:rsidR="00D81B22" w:rsidRPr="007F5613" w:rsidRDefault="00963458" w:rsidP="00BA4213">
            <w:pPr>
              <w:pStyle w:val="TableBody"/>
            </w:pPr>
            <w:r w:rsidRPr="007F5613">
              <w:t>1/2</w:t>
            </w:r>
          </w:p>
        </w:tc>
        <w:tc>
          <w:tcPr>
            <w:tcW w:w="0" w:type="auto"/>
            <w:tcBorders>
              <w:bottom w:val="single" w:sz="8" w:space="0" w:color="auto"/>
            </w:tcBorders>
          </w:tcPr>
          <w:p w:rsidR="00D81B22" w:rsidRPr="007F5613" w:rsidRDefault="00963458" w:rsidP="00BA4213">
            <w:pPr>
              <w:pStyle w:val="TableBody"/>
            </w:pPr>
            <w:r w:rsidRPr="007F5613">
              <w:t>2/3</w:t>
            </w:r>
          </w:p>
        </w:tc>
        <w:tc>
          <w:tcPr>
            <w:tcW w:w="0" w:type="auto"/>
            <w:tcBorders>
              <w:bottom w:val="single" w:sz="8" w:space="0" w:color="auto"/>
            </w:tcBorders>
          </w:tcPr>
          <w:p w:rsidR="00D81B22" w:rsidRPr="007F5613" w:rsidRDefault="00963458" w:rsidP="00BA4213">
            <w:pPr>
              <w:pStyle w:val="TableBody"/>
            </w:pPr>
            <w:r w:rsidRPr="007F5613">
              <w:t>total</w:t>
            </w:r>
          </w:p>
        </w:tc>
      </w:tr>
      <w:tr w:rsidR="00D81B22" w:rsidRPr="007F5613" w:rsidTr="002275C0">
        <w:tc>
          <w:tcPr>
            <w:tcW w:w="0" w:type="auto"/>
            <w:gridSpan w:val="8"/>
          </w:tcPr>
          <w:p w:rsidR="00D81B22" w:rsidRPr="007F5613" w:rsidRDefault="00D81B22" w:rsidP="00BA4213">
            <w:pPr>
              <w:pStyle w:val="TableSpacer"/>
              <w:rPr>
                <w:noProof w:val="0"/>
              </w:rPr>
            </w:pPr>
          </w:p>
        </w:tc>
      </w:tr>
      <w:tr w:rsidR="00821CFD" w:rsidRPr="007F5613" w:rsidTr="00EC7569">
        <w:tc>
          <w:tcPr>
            <w:tcW w:w="0" w:type="auto"/>
            <w:gridSpan w:val="8"/>
            <w:tcBorders>
              <w:bottom w:val="single" w:sz="8" w:space="0" w:color="auto"/>
            </w:tcBorders>
          </w:tcPr>
          <w:p w:rsidR="00821CFD" w:rsidRPr="007F5613" w:rsidRDefault="00821CFD" w:rsidP="00EC7569">
            <w:pPr>
              <w:pStyle w:val="TableCaption"/>
            </w:pPr>
            <w:r w:rsidRPr="007F5613">
              <w:rPr>
                <w:b/>
              </w:rPr>
              <w:t xml:space="preserve">Table </w:t>
            </w:r>
            <w:r w:rsidR="00EC7569" w:rsidRPr="007F5613">
              <w:rPr>
                <w:b/>
              </w:rPr>
              <w:t>9</w:t>
            </w:r>
            <w:r w:rsidRPr="007F5613">
              <w:rPr>
                <w:b/>
              </w:rPr>
              <w:t>.</w:t>
            </w:r>
            <w:r w:rsidRPr="007F5613">
              <w:t xml:space="preserve"> Dissolution of polystyrene in propylene carbonate and TMO.</w:t>
            </w:r>
          </w:p>
        </w:tc>
      </w:tr>
      <w:tr w:rsidR="00821CFD" w:rsidRPr="007F5613" w:rsidTr="00821CFD">
        <w:tc>
          <w:tcPr>
            <w:tcW w:w="1668" w:type="dxa"/>
            <w:vMerge w:val="restart"/>
            <w:tcBorders>
              <w:top w:val="single" w:sz="8" w:space="0" w:color="auto"/>
            </w:tcBorders>
            <w:vAlign w:val="center"/>
          </w:tcPr>
          <w:p w:rsidR="00821CFD" w:rsidRPr="007F5613" w:rsidRDefault="00821CFD" w:rsidP="002275C0">
            <w:pPr>
              <w:pStyle w:val="TableHead"/>
              <w:jc w:val="center"/>
            </w:pPr>
            <w:r w:rsidRPr="007F5613">
              <w:t>Solvent</w:t>
            </w:r>
          </w:p>
        </w:tc>
        <w:tc>
          <w:tcPr>
            <w:tcW w:w="1275" w:type="dxa"/>
            <w:gridSpan w:val="2"/>
            <w:vMerge w:val="restart"/>
            <w:tcBorders>
              <w:top w:val="single" w:sz="8" w:space="0" w:color="auto"/>
            </w:tcBorders>
            <w:vAlign w:val="center"/>
          </w:tcPr>
          <w:p w:rsidR="00821CFD" w:rsidRPr="007F5613" w:rsidRDefault="00821CFD" w:rsidP="002275C0">
            <w:pPr>
              <w:pStyle w:val="TableHead"/>
              <w:jc w:val="center"/>
            </w:pPr>
            <w:r w:rsidRPr="007F5613">
              <w:t xml:space="preserve">Merrifield resin swelling </w:t>
            </w:r>
            <w:r w:rsidRPr="007F5613">
              <w:br/>
              <w:t>(</w:t>
            </w:r>
            <w:r w:rsidRPr="007F5613">
              <w:rPr>
                <w:color w:val="000000"/>
              </w:rPr>
              <w:t>mL g</w:t>
            </w:r>
            <w:r w:rsidRPr="007F5613">
              <w:rPr>
                <w:color w:val="000000"/>
                <w:vertAlign w:val="superscript"/>
              </w:rPr>
              <w:t>-1</w:t>
            </w:r>
            <w:r w:rsidRPr="007F5613">
              <w:t>)</w:t>
            </w:r>
          </w:p>
        </w:tc>
        <w:tc>
          <w:tcPr>
            <w:tcW w:w="2148" w:type="dxa"/>
            <w:gridSpan w:val="5"/>
            <w:tcBorders>
              <w:top w:val="single" w:sz="8" w:space="0" w:color="auto"/>
            </w:tcBorders>
          </w:tcPr>
          <w:p w:rsidR="00821CFD" w:rsidRPr="007F5613" w:rsidRDefault="00821CFD" w:rsidP="002275C0">
            <w:pPr>
              <w:pStyle w:val="TableHead"/>
              <w:jc w:val="center"/>
            </w:pPr>
            <w:r w:rsidRPr="007F5613">
              <w:t>Polystyrene dissolution (hours)</w:t>
            </w:r>
          </w:p>
        </w:tc>
      </w:tr>
      <w:tr w:rsidR="00821CFD" w:rsidRPr="007F5613" w:rsidTr="00821CFD">
        <w:tc>
          <w:tcPr>
            <w:tcW w:w="1668" w:type="dxa"/>
            <w:vMerge/>
            <w:tcBorders>
              <w:bottom w:val="single" w:sz="8" w:space="0" w:color="auto"/>
            </w:tcBorders>
          </w:tcPr>
          <w:p w:rsidR="00821CFD" w:rsidRPr="007F5613" w:rsidRDefault="00821CFD" w:rsidP="002275C0">
            <w:pPr>
              <w:pStyle w:val="TableHead"/>
            </w:pPr>
          </w:p>
        </w:tc>
        <w:tc>
          <w:tcPr>
            <w:tcW w:w="1275" w:type="dxa"/>
            <w:gridSpan w:val="2"/>
            <w:vMerge/>
            <w:tcBorders>
              <w:bottom w:val="single" w:sz="8" w:space="0" w:color="auto"/>
            </w:tcBorders>
          </w:tcPr>
          <w:p w:rsidR="00821CFD" w:rsidRPr="007F5613" w:rsidRDefault="00821CFD" w:rsidP="002275C0">
            <w:pPr>
              <w:pStyle w:val="TableHead"/>
            </w:pPr>
          </w:p>
        </w:tc>
        <w:tc>
          <w:tcPr>
            <w:tcW w:w="1134" w:type="dxa"/>
            <w:gridSpan w:val="3"/>
            <w:tcBorders>
              <w:bottom w:val="single" w:sz="8" w:space="0" w:color="auto"/>
            </w:tcBorders>
          </w:tcPr>
          <w:p w:rsidR="00821CFD" w:rsidRPr="007F5613" w:rsidRDefault="00821CFD" w:rsidP="002275C0">
            <w:pPr>
              <w:pStyle w:val="TableHead"/>
            </w:pPr>
            <w:r w:rsidRPr="007F5613">
              <w:t>5</w:t>
            </w:r>
          </w:p>
        </w:tc>
        <w:tc>
          <w:tcPr>
            <w:tcW w:w="1014" w:type="dxa"/>
            <w:gridSpan w:val="2"/>
            <w:tcBorders>
              <w:bottom w:val="single" w:sz="8" w:space="0" w:color="auto"/>
            </w:tcBorders>
          </w:tcPr>
          <w:p w:rsidR="00821CFD" w:rsidRPr="007F5613" w:rsidRDefault="00821CFD" w:rsidP="002275C0">
            <w:pPr>
              <w:pStyle w:val="TableHead"/>
            </w:pPr>
            <w:r w:rsidRPr="007F5613">
              <w:t>24</w:t>
            </w:r>
          </w:p>
        </w:tc>
      </w:tr>
      <w:tr w:rsidR="00821CFD" w:rsidRPr="007F5613" w:rsidTr="00821CFD">
        <w:tc>
          <w:tcPr>
            <w:tcW w:w="1668" w:type="dxa"/>
            <w:tcBorders>
              <w:top w:val="single" w:sz="8" w:space="0" w:color="auto"/>
            </w:tcBorders>
          </w:tcPr>
          <w:p w:rsidR="00821CFD" w:rsidRPr="007F5613" w:rsidRDefault="00821CFD" w:rsidP="002275C0">
            <w:pPr>
              <w:pStyle w:val="TableBody"/>
              <w:rPr>
                <w:b/>
              </w:rPr>
            </w:pPr>
            <w:r w:rsidRPr="007F5613">
              <w:t xml:space="preserve">Propylene carbonate </w:t>
            </w:r>
            <w:r w:rsidRPr="007F5613">
              <w:rPr>
                <w:b/>
              </w:rPr>
              <w:t>2</w:t>
            </w:r>
          </w:p>
        </w:tc>
        <w:tc>
          <w:tcPr>
            <w:tcW w:w="1275" w:type="dxa"/>
            <w:gridSpan w:val="2"/>
            <w:tcBorders>
              <w:top w:val="single" w:sz="8" w:space="0" w:color="auto"/>
            </w:tcBorders>
          </w:tcPr>
          <w:p w:rsidR="00821CFD" w:rsidRPr="007F5613" w:rsidRDefault="00821CFD" w:rsidP="002275C0">
            <w:pPr>
              <w:pStyle w:val="TableBody"/>
            </w:pPr>
            <w:r w:rsidRPr="007F5613">
              <w:t>1.8</w:t>
            </w:r>
          </w:p>
        </w:tc>
        <w:tc>
          <w:tcPr>
            <w:tcW w:w="1134" w:type="dxa"/>
            <w:gridSpan w:val="3"/>
            <w:tcBorders>
              <w:top w:val="single" w:sz="8" w:space="0" w:color="auto"/>
            </w:tcBorders>
          </w:tcPr>
          <w:p w:rsidR="00821CFD" w:rsidRPr="007F5613" w:rsidRDefault="00821CFD" w:rsidP="002275C0">
            <w:pPr>
              <w:pStyle w:val="TableBody"/>
            </w:pPr>
            <w:r w:rsidRPr="007F5613">
              <w:t>-</w:t>
            </w:r>
          </w:p>
        </w:tc>
        <w:tc>
          <w:tcPr>
            <w:tcW w:w="1014" w:type="dxa"/>
            <w:gridSpan w:val="2"/>
            <w:tcBorders>
              <w:top w:val="single" w:sz="8" w:space="0" w:color="auto"/>
            </w:tcBorders>
          </w:tcPr>
          <w:p w:rsidR="00821CFD" w:rsidRPr="007F5613" w:rsidRDefault="00821CFD" w:rsidP="002275C0">
            <w:pPr>
              <w:pStyle w:val="TableBody"/>
            </w:pPr>
            <w:r w:rsidRPr="007F5613">
              <w:t>-</w:t>
            </w:r>
          </w:p>
        </w:tc>
      </w:tr>
      <w:tr w:rsidR="00821CFD" w:rsidRPr="007F5613" w:rsidTr="00821CFD">
        <w:tc>
          <w:tcPr>
            <w:tcW w:w="1668" w:type="dxa"/>
          </w:tcPr>
          <w:p w:rsidR="00821CFD" w:rsidRPr="007F5613" w:rsidRDefault="00821CFD" w:rsidP="002275C0">
            <w:pPr>
              <w:pStyle w:val="TableBody"/>
              <w:rPr>
                <w:b/>
              </w:rPr>
            </w:pPr>
            <w:r w:rsidRPr="007F5613">
              <w:t xml:space="preserve">TMO </w:t>
            </w:r>
            <w:r w:rsidRPr="007F5613">
              <w:rPr>
                <w:b/>
              </w:rPr>
              <w:t>5</w:t>
            </w:r>
          </w:p>
        </w:tc>
        <w:tc>
          <w:tcPr>
            <w:tcW w:w="1275" w:type="dxa"/>
            <w:gridSpan w:val="2"/>
          </w:tcPr>
          <w:p w:rsidR="00821CFD" w:rsidRPr="007F5613" w:rsidRDefault="00821CFD" w:rsidP="002275C0">
            <w:pPr>
              <w:pStyle w:val="TableBody"/>
            </w:pPr>
            <w:r w:rsidRPr="007F5613">
              <w:t>1.8</w:t>
            </w:r>
          </w:p>
        </w:tc>
        <w:tc>
          <w:tcPr>
            <w:tcW w:w="1134" w:type="dxa"/>
            <w:gridSpan w:val="3"/>
          </w:tcPr>
          <w:p w:rsidR="00821CFD" w:rsidRPr="007F5613" w:rsidRDefault="00821CFD" w:rsidP="002275C0">
            <w:pPr>
              <w:pStyle w:val="TableBody"/>
            </w:pPr>
            <w:r w:rsidRPr="007F5613">
              <w:t>-</w:t>
            </w:r>
          </w:p>
        </w:tc>
        <w:tc>
          <w:tcPr>
            <w:tcW w:w="1014" w:type="dxa"/>
            <w:gridSpan w:val="2"/>
          </w:tcPr>
          <w:p w:rsidR="00821CFD" w:rsidRPr="007F5613" w:rsidRDefault="00821CFD" w:rsidP="002275C0">
            <w:pPr>
              <w:pStyle w:val="TableBody"/>
            </w:pPr>
            <w:r w:rsidRPr="007F5613">
              <w:t>-</w:t>
            </w:r>
          </w:p>
        </w:tc>
      </w:tr>
      <w:tr w:rsidR="00821CFD" w:rsidRPr="007F5613" w:rsidTr="00821CFD">
        <w:tc>
          <w:tcPr>
            <w:tcW w:w="1668" w:type="dxa"/>
          </w:tcPr>
          <w:p w:rsidR="00821CFD" w:rsidRPr="007F5613" w:rsidRDefault="00821CFD" w:rsidP="002275C0">
            <w:pPr>
              <w:pStyle w:val="TableBody"/>
            </w:pPr>
            <w:r w:rsidRPr="007F5613">
              <w:rPr>
                <w:b/>
              </w:rPr>
              <w:t>2:5</w:t>
            </w:r>
            <w:r w:rsidRPr="007F5613">
              <w:t xml:space="preserve"> (70:30)</w:t>
            </w:r>
          </w:p>
        </w:tc>
        <w:tc>
          <w:tcPr>
            <w:tcW w:w="1275" w:type="dxa"/>
            <w:gridSpan w:val="2"/>
          </w:tcPr>
          <w:p w:rsidR="00821CFD" w:rsidRPr="007F5613" w:rsidRDefault="00821CFD" w:rsidP="002275C0">
            <w:pPr>
              <w:pStyle w:val="TableBody"/>
            </w:pPr>
            <w:r w:rsidRPr="007F5613">
              <w:t>2.8</w:t>
            </w:r>
          </w:p>
        </w:tc>
        <w:tc>
          <w:tcPr>
            <w:tcW w:w="1134" w:type="dxa"/>
            <w:gridSpan w:val="3"/>
          </w:tcPr>
          <w:p w:rsidR="00821CFD" w:rsidRPr="007F5613" w:rsidRDefault="00821CFD" w:rsidP="002275C0">
            <w:pPr>
              <w:pStyle w:val="TableBody"/>
            </w:pPr>
            <w:r w:rsidRPr="007F5613">
              <w:t>1/3</w:t>
            </w:r>
          </w:p>
        </w:tc>
        <w:tc>
          <w:tcPr>
            <w:tcW w:w="1014" w:type="dxa"/>
            <w:gridSpan w:val="2"/>
          </w:tcPr>
          <w:p w:rsidR="00821CFD" w:rsidRPr="007F5613" w:rsidRDefault="00821CFD" w:rsidP="002275C0">
            <w:pPr>
              <w:pStyle w:val="TableBody"/>
            </w:pPr>
            <w:r w:rsidRPr="007F5613">
              <w:t>2/3</w:t>
            </w:r>
          </w:p>
        </w:tc>
      </w:tr>
      <w:tr w:rsidR="00821CFD" w:rsidRPr="007F5613" w:rsidTr="00821CFD">
        <w:tc>
          <w:tcPr>
            <w:tcW w:w="1668" w:type="dxa"/>
            <w:tcBorders>
              <w:bottom w:val="single" w:sz="8" w:space="0" w:color="auto"/>
            </w:tcBorders>
          </w:tcPr>
          <w:p w:rsidR="00821CFD" w:rsidRPr="007F5613" w:rsidRDefault="00821CFD" w:rsidP="00821CFD">
            <w:pPr>
              <w:pStyle w:val="TableBody"/>
              <w:rPr>
                <w:vertAlign w:val="superscript"/>
              </w:rPr>
            </w:pPr>
            <w:r w:rsidRPr="007F5613">
              <w:rPr>
                <w:b/>
              </w:rPr>
              <w:t>2:5</w:t>
            </w:r>
            <w:r w:rsidRPr="007F5613">
              <w:t xml:space="preserve"> (60:40)</w:t>
            </w:r>
            <w:r w:rsidRPr="007F5613">
              <w:rPr>
                <w:vertAlign w:val="superscript"/>
              </w:rPr>
              <w:t>[a]</w:t>
            </w:r>
          </w:p>
        </w:tc>
        <w:tc>
          <w:tcPr>
            <w:tcW w:w="1275" w:type="dxa"/>
            <w:gridSpan w:val="2"/>
            <w:tcBorders>
              <w:bottom w:val="single" w:sz="8" w:space="0" w:color="auto"/>
            </w:tcBorders>
          </w:tcPr>
          <w:p w:rsidR="00821CFD" w:rsidRPr="007F5613" w:rsidRDefault="00821CFD" w:rsidP="002275C0">
            <w:pPr>
              <w:pStyle w:val="TableBody"/>
            </w:pPr>
            <w:r w:rsidRPr="007F5613">
              <w:t>3.8</w:t>
            </w:r>
          </w:p>
        </w:tc>
        <w:tc>
          <w:tcPr>
            <w:tcW w:w="1134" w:type="dxa"/>
            <w:gridSpan w:val="3"/>
            <w:tcBorders>
              <w:bottom w:val="single" w:sz="8" w:space="0" w:color="auto"/>
            </w:tcBorders>
          </w:tcPr>
          <w:p w:rsidR="00821CFD" w:rsidRPr="007F5613" w:rsidRDefault="00821CFD" w:rsidP="002275C0">
            <w:pPr>
              <w:pStyle w:val="TableBody"/>
            </w:pPr>
            <w:r w:rsidRPr="007F5613">
              <w:t>2/3</w:t>
            </w:r>
          </w:p>
        </w:tc>
        <w:tc>
          <w:tcPr>
            <w:tcW w:w="1014" w:type="dxa"/>
            <w:gridSpan w:val="2"/>
            <w:tcBorders>
              <w:bottom w:val="single" w:sz="8" w:space="0" w:color="auto"/>
            </w:tcBorders>
          </w:tcPr>
          <w:p w:rsidR="00821CFD" w:rsidRPr="007F5613" w:rsidRDefault="00821CFD" w:rsidP="002275C0">
            <w:pPr>
              <w:pStyle w:val="TableBody"/>
            </w:pPr>
            <w:r w:rsidRPr="007F5613">
              <w:t>total</w:t>
            </w:r>
          </w:p>
        </w:tc>
      </w:tr>
      <w:tr w:rsidR="00821CFD" w:rsidRPr="007F5613" w:rsidTr="002275C0">
        <w:tc>
          <w:tcPr>
            <w:tcW w:w="0" w:type="auto"/>
            <w:gridSpan w:val="8"/>
          </w:tcPr>
          <w:p w:rsidR="00821CFD" w:rsidRPr="007F5613" w:rsidRDefault="00821CFD" w:rsidP="00C96DC4">
            <w:pPr>
              <w:pStyle w:val="TableSpacer"/>
              <w:spacing w:before="60" w:after="60" w:line="180" w:lineRule="exact"/>
              <w:rPr>
                <w:noProof w:val="0"/>
              </w:rPr>
            </w:pPr>
            <w:r w:rsidRPr="007F5613">
              <w:rPr>
                <w:noProof w:val="0"/>
              </w:rPr>
              <w:t>[a] This mix</w:t>
            </w:r>
            <w:r w:rsidR="00C96DC4" w:rsidRPr="007F5613">
              <w:rPr>
                <w:noProof w:val="0"/>
              </w:rPr>
              <w:t>ture is immiscible</w:t>
            </w:r>
            <w:r w:rsidR="00EC7569" w:rsidRPr="007F5613">
              <w:rPr>
                <w:noProof w:val="0"/>
              </w:rPr>
              <w:t xml:space="preserve"> before and after dissolving the polystyrene.</w:t>
            </w:r>
          </w:p>
        </w:tc>
      </w:tr>
      <w:tr w:rsidR="005760E6" w:rsidRPr="007F5613" w:rsidTr="002275C0">
        <w:tc>
          <w:tcPr>
            <w:tcW w:w="0" w:type="auto"/>
            <w:gridSpan w:val="8"/>
          </w:tcPr>
          <w:p w:rsidR="005760E6" w:rsidRPr="007F5613" w:rsidRDefault="005760E6" w:rsidP="005760E6">
            <w:pPr>
              <w:pStyle w:val="TableSpacer"/>
            </w:pPr>
          </w:p>
        </w:tc>
      </w:tr>
    </w:tbl>
    <w:p w:rsidR="00366987" w:rsidRPr="007F5613" w:rsidRDefault="00366987" w:rsidP="00366987">
      <w:pPr>
        <w:pStyle w:val="P1"/>
        <w:ind w:firstLine="425"/>
        <w:rPr>
          <w:lang w:val="en-GB"/>
        </w:rPr>
      </w:pPr>
      <w:r w:rsidRPr="007F5613">
        <w:rPr>
          <w:lang w:val="en-GB"/>
        </w:rPr>
        <w:t xml:space="preserve">The propylene carbonate-TMO mixtures provided much more definitive results (Table 9). Neither propylene carbonate nor TMO was capable of dissolving polystyrene at all even after 24 hours. However, a miscible 70:30 mixture of these two </w:t>
      </w:r>
      <w:r w:rsidRPr="007F5613">
        <w:rPr>
          <w:lang w:val="en-GB"/>
        </w:rPr>
        <w:t>solvents did dissolve the polystyrene, with one third dissolving after 5 hours and two thirds dissolving after 24 hours. The immiscible 60:40 mixture performed even better with two thirds of the polystyrene dissolved after 5 hours and total dissolution after 24 hours. The solvents remained immiscible even after dissolving the polystyrene. These results correlate very well with the ability of the solvents to swell Merrifield resin.</w:t>
      </w:r>
    </w:p>
    <w:p w:rsidR="00854A3E" w:rsidRPr="007F5613" w:rsidRDefault="00854A3E" w:rsidP="00854A3E">
      <w:pPr>
        <w:pStyle w:val="H1"/>
      </w:pPr>
      <w:r w:rsidRPr="007F5613">
        <w:t>Conclusions</w:t>
      </w:r>
    </w:p>
    <w:p w:rsidR="00EC7569" w:rsidRPr="007F5613" w:rsidRDefault="00AB2049" w:rsidP="00D80821">
      <w:pPr>
        <w:pStyle w:val="P1"/>
        <w:rPr>
          <w:color w:val="000000"/>
          <w:lang w:val="en-GB"/>
        </w:rPr>
      </w:pPr>
      <w:r w:rsidRPr="007F5613">
        <w:rPr>
          <w:color w:val="000000"/>
          <w:lang w:val="en-GB"/>
        </w:rPr>
        <w:t>In this work, we have shown</w:t>
      </w:r>
      <w:r w:rsidR="00EC7569" w:rsidRPr="007F5613">
        <w:rPr>
          <w:color w:val="000000"/>
          <w:lang w:val="en-GB"/>
        </w:rPr>
        <w:t xml:space="preserve"> for the first time</w:t>
      </w:r>
      <w:r w:rsidRPr="007F5613">
        <w:rPr>
          <w:color w:val="000000"/>
          <w:lang w:val="en-GB"/>
        </w:rPr>
        <w:t xml:space="preserve"> that </w:t>
      </w:r>
      <w:r w:rsidR="00EC7569" w:rsidRPr="007F5613">
        <w:rPr>
          <w:color w:val="000000"/>
          <w:lang w:val="en-GB"/>
        </w:rPr>
        <w:t xml:space="preserve">by judicial consideration of HSP parameters, </w:t>
      </w:r>
      <w:r w:rsidRPr="007F5613">
        <w:rPr>
          <w:color w:val="000000"/>
          <w:lang w:val="en-GB"/>
        </w:rPr>
        <w:t>mixtures of two green solvents can be used to mimic the properties of conventional solvents such as dichloromethane and DMF</w:t>
      </w:r>
      <w:r w:rsidR="00EC7569" w:rsidRPr="007F5613">
        <w:rPr>
          <w:color w:val="000000"/>
          <w:lang w:val="en-GB"/>
        </w:rPr>
        <w:t>, both of</w:t>
      </w:r>
      <w:r w:rsidRPr="007F5613">
        <w:rPr>
          <w:color w:val="000000"/>
          <w:lang w:val="en-GB"/>
        </w:rPr>
        <w:t xml:space="preserve"> which have problematical </w:t>
      </w:r>
      <w:r w:rsidR="00EC7569" w:rsidRPr="007F5613">
        <w:rPr>
          <w:color w:val="000000"/>
          <w:lang w:val="en-GB"/>
        </w:rPr>
        <w:t>toxicological</w:t>
      </w:r>
      <w:r w:rsidRPr="007F5613">
        <w:rPr>
          <w:color w:val="000000"/>
          <w:lang w:val="en-GB"/>
        </w:rPr>
        <w:t xml:space="preserve"> properties. </w:t>
      </w:r>
    </w:p>
    <w:p w:rsidR="00D80821" w:rsidRPr="007F5613" w:rsidRDefault="00AB2049" w:rsidP="00EC7569">
      <w:pPr>
        <w:pStyle w:val="P1"/>
        <w:ind w:firstLine="425"/>
        <w:rPr>
          <w:color w:val="000000"/>
          <w:lang w:val="en-GB"/>
        </w:rPr>
      </w:pPr>
      <w:r w:rsidRPr="007F5613">
        <w:rPr>
          <w:color w:val="000000"/>
          <w:lang w:val="en-GB"/>
        </w:rPr>
        <w:t>The ability of one- and two-component solvents to swell Merrifield and Hypogel</w:t>
      </w:r>
      <w:r w:rsidRPr="007F5613">
        <w:rPr>
          <w:color w:val="000000"/>
          <w:vertAlign w:val="superscript"/>
          <w:lang w:val="en-GB"/>
        </w:rPr>
        <w:t>TM</w:t>
      </w:r>
      <w:r w:rsidRPr="007F5613">
        <w:rPr>
          <w:color w:val="000000"/>
          <w:lang w:val="en-GB"/>
        </w:rPr>
        <w:t>200 resins was investigated and it is shown that the swelling of the resins does not vary linearly with the mole fraction of the two solvents</w:t>
      </w:r>
      <w:r w:rsidR="00D80821" w:rsidRPr="007F5613">
        <w:rPr>
          <w:color w:val="000000"/>
          <w:lang w:val="en-GB"/>
        </w:rPr>
        <w:t>.</w:t>
      </w:r>
      <w:r w:rsidRPr="007F5613">
        <w:rPr>
          <w:color w:val="000000"/>
          <w:lang w:val="en-GB"/>
        </w:rPr>
        <w:t xml:space="preserve"> By plotting the data on 3D Hansen solubility parameter space, it became apparent that there are high, moderate and low swelling regions for each resin. If the line joining two poor solvents bisects the high resin swelling space, then there will be mixtures of the two poor solvents </w:t>
      </w:r>
      <w:r w:rsidR="002833A5" w:rsidRPr="007F5613">
        <w:rPr>
          <w:color w:val="000000"/>
          <w:lang w:val="en-GB"/>
        </w:rPr>
        <w:t>which behave as high resin swelling solvents and so can mimic conventional solvents such as dichloromethane and DMF which are also high resin swelling solvents. A number of special cases of solvent mixtures were included in the study including those (such as propylene carbonate and TMO) which are only miscible in certain proportions and those (DMF and water) where very strong solvent-solvent interactions mask the solvent-resin interactions.</w:t>
      </w:r>
    </w:p>
    <w:p w:rsidR="002833A5" w:rsidRPr="007F5613" w:rsidRDefault="002833A5" w:rsidP="00D80821">
      <w:pPr>
        <w:pStyle w:val="P1"/>
        <w:rPr>
          <w:color w:val="000000"/>
          <w:lang w:val="en-GB"/>
        </w:rPr>
      </w:pPr>
      <w:r w:rsidRPr="007F5613">
        <w:rPr>
          <w:color w:val="000000"/>
          <w:lang w:val="en-GB"/>
        </w:rPr>
        <w:tab/>
        <w:t xml:space="preserve">The applicability of the methodology has been demonstrated in two ways. Firstly, the high resin swelling area of Merrifield resin was used to predict a number of mixtures of two green solvents which would be suitable for use in </w:t>
      </w:r>
      <w:r w:rsidR="00E6475D" w:rsidRPr="007F5613">
        <w:rPr>
          <w:color w:val="000000"/>
          <w:lang w:val="en-GB"/>
        </w:rPr>
        <w:t>SPPS</w:t>
      </w:r>
      <w:r w:rsidR="00ED57DF" w:rsidRPr="007F5613">
        <w:rPr>
          <w:color w:val="000000"/>
          <w:lang w:val="en-GB"/>
        </w:rPr>
        <w:t>. T</w:t>
      </w:r>
      <w:r w:rsidRPr="007F5613">
        <w:rPr>
          <w:color w:val="000000"/>
          <w:lang w:val="en-GB"/>
        </w:rPr>
        <w:t>he suitability of these solvents has been experimentally verified</w:t>
      </w:r>
      <w:r w:rsidR="00EC7569" w:rsidRPr="007F5613">
        <w:rPr>
          <w:color w:val="000000"/>
          <w:lang w:val="en-GB"/>
        </w:rPr>
        <w:t xml:space="preserve"> by their ability to replace both the </w:t>
      </w:r>
      <w:r w:rsidR="00ED57DF" w:rsidRPr="007F5613">
        <w:rPr>
          <w:color w:val="000000"/>
          <w:lang w:val="en-GB"/>
        </w:rPr>
        <w:t xml:space="preserve">chlorinated and </w:t>
      </w:r>
      <w:r w:rsidR="00EC7569" w:rsidRPr="007F5613">
        <w:rPr>
          <w:color w:val="000000"/>
          <w:lang w:val="en-GB"/>
        </w:rPr>
        <w:t>polar aprotic and solvents used to</w:t>
      </w:r>
      <w:r w:rsidR="00ED57DF" w:rsidRPr="007F5613">
        <w:rPr>
          <w:color w:val="000000"/>
          <w:lang w:val="en-GB"/>
        </w:rPr>
        <w:t xml:space="preserve"> swell the resin and dissolve peptide synthesis reagents respectively</w:t>
      </w:r>
      <w:r w:rsidRPr="007F5613">
        <w:rPr>
          <w:color w:val="000000"/>
          <w:lang w:val="en-GB"/>
        </w:rPr>
        <w:t xml:space="preserve">. Secondly, the same high resin swelling area was used to predict solvents which would dissolve linear, </w:t>
      </w:r>
      <w:proofErr w:type="spellStart"/>
      <w:r w:rsidRPr="007F5613">
        <w:rPr>
          <w:color w:val="000000"/>
          <w:lang w:val="en-GB"/>
        </w:rPr>
        <w:t>unfunctionalised</w:t>
      </w:r>
      <w:proofErr w:type="spellEnd"/>
      <w:r w:rsidRPr="007F5613">
        <w:rPr>
          <w:color w:val="000000"/>
          <w:lang w:val="en-GB"/>
        </w:rPr>
        <w:t xml:space="preserve"> polystyrene and again the predictions were experimentally verified.</w:t>
      </w:r>
    </w:p>
    <w:p w:rsidR="00E808F7" w:rsidRPr="007F5613" w:rsidRDefault="002833A5" w:rsidP="00D80821">
      <w:pPr>
        <w:pStyle w:val="P1"/>
        <w:rPr>
          <w:color w:val="000000"/>
          <w:lang w:val="en-GB"/>
        </w:rPr>
      </w:pPr>
      <w:r w:rsidRPr="007F5613">
        <w:rPr>
          <w:color w:val="000000"/>
          <w:lang w:val="en-GB"/>
        </w:rPr>
        <w:tab/>
        <w:t>The methodology used here should have wide applicability to many other resins and polymers and can provide a general method for developing greener replacements for undesirable conventional solvents, based on the combination of two (or more) green solvents.</w:t>
      </w:r>
    </w:p>
    <w:p w:rsidR="007D2ED9" w:rsidRPr="007F5613" w:rsidRDefault="000E76B8" w:rsidP="000E76B8">
      <w:pPr>
        <w:pStyle w:val="HExperimentalSection"/>
      </w:pPr>
      <w:r w:rsidRPr="007F5613">
        <w:t>Experimental Section</w:t>
      </w:r>
    </w:p>
    <w:p w:rsidR="00A245D5" w:rsidRPr="007F5613" w:rsidRDefault="00A245D5" w:rsidP="001F45C3">
      <w:pPr>
        <w:pStyle w:val="ExperimentalSection"/>
        <w:rPr>
          <w:color w:val="000000"/>
        </w:rPr>
      </w:pPr>
      <w:r w:rsidRPr="007F5613">
        <w:rPr>
          <w:color w:val="000000"/>
        </w:rPr>
        <w:t xml:space="preserve">Gas chromatography was carried out on an Agilent 6890N or Agilent 7890B instrument. For the Agilent 6890N, the following parameters were used: </w:t>
      </w:r>
      <w:proofErr w:type="spellStart"/>
      <w:r w:rsidRPr="007F5613">
        <w:rPr>
          <w:color w:val="000000"/>
        </w:rPr>
        <w:t>Restek</w:t>
      </w:r>
      <w:proofErr w:type="spellEnd"/>
      <w:r w:rsidRPr="007F5613">
        <w:rPr>
          <w:color w:val="000000"/>
        </w:rPr>
        <w:t xml:space="preserve"> </w:t>
      </w:r>
      <w:r w:rsidR="00BF4085" w:rsidRPr="007F5613">
        <w:rPr>
          <w:color w:val="000000"/>
        </w:rPr>
        <w:t>Rxi-5HT column (diameter: 250</w:t>
      </w:r>
      <w:r w:rsidRPr="007F5613">
        <w:rPr>
          <w:color w:val="000000"/>
        </w:rPr>
        <w:t xml:space="preserve"> </w:t>
      </w:r>
      <w:r w:rsidRPr="007F5613">
        <w:rPr>
          <w:rFonts w:cs="Arial"/>
          <w:color w:val="000000"/>
        </w:rPr>
        <w:t>µ</w:t>
      </w:r>
      <w:r w:rsidRPr="007F5613">
        <w:rPr>
          <w:color w:val="000000"/>
        </w:rPr>
        <w:t>m, length: 30.0 m, film thickness: 0.25</w:t>
      </w:r>
      <w:r w:rsidRPr="007F5613">
        <w:rPr>
          <w:rFonts w:cs="Arial"/>
          <w:color w:val="000000"/>
        </w:rPr>
        <w:t>µ</w:t>
      </w:r>
      <w:r w:rsidRPr="007F5613">
        <w:rPr>
          <w:color w:val="000000"/>
        </w:rPr>
        <w:t>m)</w:t>
      </w:r>
      <w:r w:rsidR="00FE390C" w:rsidRPr="007F5613">
        <w:rPr>
          <w:color w:val="000000"/>
        </w:rPr>
        <w:t>, constant</w:t>
      </w:r>
      <w:r w:rsidRPr="007F5613">
        <w:rPr>
          <w:color w:val="000000"/>
        </w:rPr>
        <w:t xml:space="preserve"> flow rate</w:t>
      </w:r>
      <w:r w:rsidR="00FE390C" w:rsidRPr="007F5613">
        <w:rPr>
          <w:color w:val="000000"/>
        </w:rPr>
        <w:t xml:space="preserve"> of</w:t>
      </w:r>
      <w:r w:rsidRPr="007F5613">
        <w:rPr>
          <w:color w:val="000000"/>
        </w:rPr>
        <w:t xml:space="preserve"> 2 mL min</w:t>
      </w:r>
      <w:r w:rsidRPr="007F5613">
        <w:rPr>
          <w:color w:val="000000"/>
          <w:vertAlign w:val="superscript"/>
        </w:rPr>
        <w:t xml:space="preserve">-1 </w:t>
      </w:r>
      <w:r w:rsidRPr="007F5613">
        <w:rPr>
          <w:color w:val="000000"/>
        </w:rPr>
        <w:t>and initial pressure 20.2 psi; oven equilibration time 1 min,</w:t>
      </w:r>
      <w:r w:rsidR="00BF4085" w:rsidRPr="007F5613">
        <w:rPr>
          <w:color w:val="000000"/>
        </w:rPr>
        <w:t xml:space="preserve"> initial temperature: 50 °C</w:t>
      </w:r>
      <w:r w:rsidRPr="007F5613">
        <w:rPr>
          <w:color w:val="000000"/>
        </w:rPr>
        <w:t>, ramp rate 30 °C min</w:t>
      </w:r>
      <w:r w:rsidRPr="007F5613">
        <w:rPr>
          <w:color w:val="000000"/>
          <w:vertAlign w:val="superscript"/>
        </w:rPr>
        <w:t>-1</w:t>
      </w:r>
      <w:r w:rsidRPr="007F5613">
        <w:rPr>
          <w:color w:val="000000"/>
        </w:rPr>
        <w:t xml:space="preserve"> to 300 °C and final time 5 min; inlet initial temperature </w:t>
      </w:r>
      <w:r w:rsidRPr="007F5613">
        <w:rPr>
          <w:color w:val="000000"/>
        </w:rPr>
        <w:lastRenderedPageBreak/>
        <w:t>300 °C, pressure: 20.2 psi, split ratio 30:1; split flow 60.0 mL min</w:t>
      </w:r>
      <w:r w:rsidRPr="007F5613">
        <w:rPr>
          <w:color w:val="000000"/>
          <w:vertAlign w:val="superscript"/>
        </w:rPr>
        <w:t>-1</w:t>
      </w:r>
      <w:r w:rsidRPr="007F5613">
        <w:rPr>
          <w:color w:val="000000"/>
        </w:rPr>
        <w:t>; gas helium, flow-rate 2.0 mL min</w:t>
      </w:r>
      <w:r w:rsidRPr="007F5613">
        <w:rPr>
          <w:color w:val="000000"/>
          <w:vertAlign w:val="superscript"/>
        </w:rPr>
        <w:t>-1</w:t>
      </w:r>
      <w:r w:rsidRPr="007F5613">
        <w:rPr>
          <w:color w:val="000000"/>
        </w:rPr>
        <w:t>; detector temperature 340 °C, hydrogen flow 35 mL min</w:t>
      </w:r>
      <w:r w:rsidRPr="007F5613">
        <w:rPr>
          <w:color w:val="000000"/>
          <w:vertAlign w:val="superscript"/>
        </w:rPr>
        <w:t>-1</w:t>
      </w:r>
      <w:r w:rsidRPr="007F5613">
        <w:rPr>
          <w:color w:val="000000"/>
        </w:rPr>
        <w:t>, air flow: 350.0 mL min</w:t>
      </w:r>
      <w:r w:rsidRPr="007F5613">
        <w:rPr>
          <w:color w:val="000000"/>
          <w:vertAlign w:val="superscript"/>
        </w:rPr>
        <w:t>-1</w:t>
      </w:r>
      <w:r w:rsidRPr="007F5613">
        <w:rPr>
          <w:color w:val="000000"/>
        </w:rPr>
        <w:t xml:space="preserve">, makeup gas nitrogen; injection volume 1 </w:t>
      </w:r>
      <w:r w:rsidRPr="007F5613">
        <w:rPr>
          <w:rFonts w:cs="Arial"/>
          <w:color w:val="000000"/>
        </w:rPr>
        <w:t>µ</w:t>
      </w:r>
      <w:r w:rsidRPr="007F5613">
        <w:rPr>
          <w:color w:val="000000"/>
        </w:rPr>
        <w:t>L. The Agilent 7890B parameters were the same as the Agilent 6890N except for the parameters of the inlet and detector which were: heater 310 °C; split ratio 50:1; split flow 100 mL min</w:t>
      </w:r>
      <w:r w:rsidRPr="007F5613">
        <w:rPr>
          <w:color w:val="000000"/>
          <w:vertAlign w:val="superscript"/>
        </w:rPr>
        <w:t>-1</w:t>
      </w:r>
      <w:r w:rsidRPr="007F5613">
        <w:rPr>
          <w:color w:val="000000"/>
        </w:rPr>
        <w:t>; detector temperature 340 °C.</w:t>
      </w:r>
    </w:p>
    <w:p w:rsidR="00F33F71" w:rsidRPr="007F5613" w:rsidRDefault="00F33F71" w:rsidP="001F45C3">
      <w:pPr>
        <w:pStyle w:val="ExperimentalSection"/>
        <w:rPr>
          <w:color w:val="000000"/>
        </w:rPr>
      </w:pPr>
      <w:r w:rsidRPr="007F5613">
        <w:rPr>
          <w:color w:val="000000"/>
        </w:rPr>
        <w:t xml:space="preserve">HPLC was carried out on an Agilent 1260 Infinity </w:t>
      </w:r>
      <w:r w:rsidRPr="007F5613">
        <w:rPr>
          <w:rFonts w:cs="Arial"/>
          <w:color w:val="000000"/>
        </w:rPr>
        <w:t>‖</w:t>
      </w:r>
      <w:r w:rsidRPr="007F5613">
        <w:rPr>
          <w:color w:val="000000"/>
        </w:rPr>
        <w:t xml:space="preserve"> system fitted </w:t>
      </w:r>
      <w:r w:rsidR="00BF4085" w:rsidRPr="007F5613">
        <w:rPr>
          <w:color w:val="000000"/>
        </w:rPr>
        <w:t>with a C18 column (length: 250</w:t>
      </w:r>
      <w:r w:rsidRPr="007F5613">
        <w:rPr>
          <w:color w:val="000000"/>
        </w:rPr>
        <w:t xml:space="preserve"> mm, diameter: 4.6 mm, void volume: 60.0%, particle size: 5.0 </w:t>
      </w:r>
      <w:r w:rsidRPr="007F5613">
        <w:rPr>
          <w:rFonts w:cs="Arial"/>
          <w:color w:val="000000"/>
        </w:rPr>
        <w:t>µ</w:t>
      </w:r>
      <w:r w:rsidRPr="007F5613">
        <w:rPr>
          <w:color w:val="000000"/>
        </w:rPr>
        <w:t>m) at a flow rate of 0.4 mL min</w:t>
      </w:r>
      <w:r w:rsidRPr="007F5613">
        <w:rPr>
          <w:color w:val="000000"/>
          <w:vertAlign w:val="superscript"/>
        </w:rPr>
        <w:t xml:space="preserve">-1 </w:t>
      </w:r>
      <w:r w:rsidRPr="007F5613">
        <w:rPr>
          <w:color w:val="000000"/>
        </w:rPr>
        <w:t xml:space="preserve">at 40 °C. The injection volume was 10 </w:t>
      </w:r>
      <w:r w:rsidRPr="007F5613">
        <w:rPr>
          <w:rFonts w:cs="Arial"/>
          <w:color w:val="000000"/>
        </w:rPr>
        <w:t>µ</w:t>
      </w:r>
      <w:r w:rsidR="00BF4085" w:rsidRPr="007F5613">
        <w:rPr>
          <w:color w:val="000000"/>
        </w:rPr>
        <w:t>L. The pressure was 600</w:t>
      </w:r>
      <w:r w:rsidRPr="007F5613">
        <w:rPr>
          <w:color w:val="000000"/>
        </w:rPr>
        <w:t xml:space="preserve"> bar. The eluents were A (water + 0.1% formic acid) and B (acetonitrile + 0.1% formic acid). For the first 5 min, the solvent system was 90% A and 10% B, then 50% A and 50% B for the next 15 minutes.</w:t>
      </w:r>
    </w:p>
    <w:p w:rsidR="00A245D5" w:rsidRPr="007F5613" w:rsidRDefault="00A245D5" w:rsidP="00A245D5">
      <w:pPr>
        <w:pStyle w:val="ExperimentalSection"/>
        <w:rPr>
          <w:color w:val="000000"/>
        </w:rPr>
      </w:pPr>
      <w:r w:rsidRPr="007F5613">
        <w:rPr>
          <w:color w:val="000000"/>
        </w:rPr>
        <w:t xml:space="preserve">Electrospray mass spectra (ESI) were recorded on a </w:t>
      </w:r>
      <w:r w:rsidRPr="007F5613">
        <w:t>Bruker compact</w:t>
      </w:r>
      <w:r w:rsidRPr="007F5613">
        <w:rPr>
          <w:vertAlign w:val="superscript"/>
        </w:rPr>
        <w:t>®</w:t>
      </w:r>
      <w:r w:rsidRPr="007F5613">
        <w:t xml:space="preserve"> time of flight mass spectrometer coupled to an Agilent 1260 Infinity series LC system. </w:t>
      </w:r>
      <w:r w:rsidRPr="007F5613">
        <w:rPr>
          <w:vertAlign w:val="superscript"/>
        </w:rPr>
        <w:t>1</w:t>
      </w:r>
      <w:r w:rsidRPr="007F5613">
        <w:t xml:space="preserve">HNMR spectra were recorded on a JEOL ECS 400MHz </w:t>
      </w:r>
      <w:r w:rsidR="00F33F71" w:rsidRPr="007F5613">
        <w:t>spectrometer</w:t>
      </w:r>
      <w:r w:rsidRPr="007F5613">
        <w:t xml:space="preserve"> and were referenced to the </w:t>
      </w:r>
      <w:r w:rsidRPr="007F5613">
        <w:rPr>
          <w:color w:val="000000"/>
        </w:rPr>
        <w:t>residual</w:t>
      </w:r>
      <w:r w:rsidRPr="007F5613">
        <w:t xml:space="preserve"> </w:t>
      </w:r>
      <w:r w:rsidRPr="007F5613">
        <w:rPr>
          <w:color w:val="000000"/>
        </w:rPr>
        <w:t>solvent peak</w:t>
      </w:r>
      <w:r w:rsidR="00F33F71" w:rsidRPr="007F5613">
        <w:t>.</w:t>
      </w:r>
    </w:p>
    <w:p w:rsidR="002B1597" w:rsidRPr="007F5613" w:rsidRDefault="002B1597" w:rsidP="002B1597">
      <w:pPr>
        <w:pStyle w:val="ExperimentalSection"/>
      </w:pPr>
      <w:r w:rsidRPr="007F5613">
        <w:t xml:space="preserve">For sources and purities of chemicals used see supporting information. Solvent mixtures (total volume = 15 mL) were prepared using a Gilson pipette. The two solvents were then mixed in a 15 mL screw-topped vial and well shaken. Some mixtures, such as </w:t>
      </w:r>
      <w:proofErr w:type="spellStart"/>
      <w:r w:rsidRPr="007F5613">
        <w:t>cyclopentanone</w:t>
      </w:r>
      <w:proofErr w:type="spellEnd"/>
      <w:r w:rsidRPr="007F5613">
        <w:t xml:space="preserve"> and water, were also sonicated to promote efficient mixing. Ethylene carbonate was melted at 35 °C before mixing with the appropriate co-solvent and gently heated to promote mixing.</w:t>
      </w:r>
    </w:p>
    <w:p w:rsidR="00F91F83" w:rsidRPr="007F5613" w:rsidRDefault="00F33F71" w:rsidP="001F45C3">
      <w:pPr>
        <w:pStyle w:val="ExperimentalSection"/>
        <w:rPr>
          <w:b/>
          <w:color w:val="000000"/>
        </w:rPr>
      </w:pPr>
      <w:r w:rsidRPr="007F5613">
        <w:rPr>
          <w:b/>
          <w:color w:val="000000"/>
        </w:rPr>
        <w:t>G</w:t>
      </w:r>
      <w:r w:rsidR="00F91F83" w:rsidRPr="007F5613">
        <w:rPr>
          <w:b/>
          <w:color w:val="000000"/>
        </w:rPr>
        <w:t xml:space="preserve">eneral </w:t>
      </w:r>
      <w:r w:rsidRPr="007F5613">
        <w:rPr>
          <w:b/>
          <w:color w:val="000000"/>
        </w:rPr>
        <w:t xml:space="preserve">method for </w:t>
      </w:r>
      <w:r w:rsidR="00F91F83" w:rsidRPr="007F5613">
        <w:rPr>
          <w:b/>
          <w:color w:val="000000"/>
        </w:rPr>
        <w:t>resin swelling</w:t>
      </w:r>
    </w:p>
    <w:p w:rsidR="00F33F71" w:rsidRPr="007F5613" w:rsidRDefault="00F33F71" w:rsidP="001F45C3">
      <w:pPr>
        <w:pStyle w:val="ExperimentalSection"/>
      </w:pPr>
      <w:r w:rsidRPr="007F5613">
        <w:t xml:space="preserve">Resin swelling experiments were carried out using the method developed by </w:t>
      </w:r>
      <w:proofErr w:type="spellStart"/>
      <w:r w:rsidRPr="007F5613">
        <w:t>Santini</w:t>
      </w:r>
      <w:proofErr w:type="spellEnd"/>
      <w:r w:rsidRPr="007F5613">
        <w:t xml:space="preserve"> </w:t>
      </w:r>
      <w:r w:rsidRPr="007F5613">
        <w:rPr>
          <w:i/>
        </w:rPr>
        <w:t>et al</w:t>
      </w:r>
      <w:r w:rsidRPr="007F5613">
        <w:t>.</w:t>
      </w:r>
      <w:r w:rsidRPr="007F5613">
        <w:rPr>
          <w:vertAlign w:val="superscript"/>
        </w:rPr>
        <w:t>[</w:t>
      </w:r>
      <w:r w:rsidRPr="007F5613">
        <w:rPr>
          <w:vertAlign w:val="superscript"/>
        </w:rPr>
        <w:fldChar w:fldCharType="begin"/>
      </w:r>
      <w:r w:rsidRPr="007F5613">
        <w:rPr>
          <w:vertAlign w:val="superscript"/>
        </w:rPr>
        <w:instrText xml:space="preserve"> NOTEREF _Ref528679321 \h </w:instrText>
      </w:r>
      <w:r w:rsidRPr="007F5613">
        <w:rPr>
          <w:vertAlign w:val="superscript"/>
        </w:rPr>
      </w:r>
      <w:r w:rsidR="007F5613">
        <w:rPr>
          <w:vertAlign w:val="superscript"/>
        </w:rPr>
        <w:instrText xml:space="preserve"> \* MERGEFORMAT </w:instrText>
      </w:r>
      <w:r w:rsidRPr="007F5613">
        <w:rPr>
          <w:vertAlign w:val="superscript"/>
        </w:rPr>
        <w:fldChar w:fldCharType="separate"/>
      </w:r>
      <w:r w:rsidR="00F73B1E">
        <w:rPr>
          <w:vertAlign w:val="superscript"/>
        </w:rPr>
        <w:t>16</w:t>
      </w:r>
      <w:r w:rsidRPr="007F5613">
        <w:rPr>
          <w:vertAlign w:val="superscript"/>
        </w:rPr>
        <w:fldChar w:fldCharType="end"/>
      </w:r>
      <w:r w:rsidRPr="007F5613">
        <w:rPr>
          <w:vertAlign w:val="superscript"/>
        </w:rPr>
        <w:t>]</w:t>
      </w:r>
      <w:r w:rsidRPr="007F5613">
        <w:t xml:space="preserve"> Resin (0.1 g) was weighed into a 2mL syringe which had been fitted with a polystyrene frit at the bottom (the dead volume of the frit was 0.12 mL). The resin was washed three times with the chosen single solvent or solvent mixture. The target solvent (2 mL) was added and the syringe was sealed with a syringe pressure cap and placed on a roller mixer to rotate for one hour at room temperature. Then, the plunger of the syringe was compressed to remove excess solvent and fully loosened to allow the resin volume to be read. After recording the volume of the resin, the plunger was taken off and the resin was washed three times with CH</w:t>
      </w:r>
      <w:r w:rsidRPr="007F5613">
        <w:rPr>
          <w:vertAlign w:val="subscript"/>
        </w:rPr>
        <w:t>2</w:t>
      </w:r>
      <w:r w:rsidRPr="007F5613">
        <w:t>Cl</w:t>
      </w:r>
      <w:r w:rsidRPr="007F5613">
        <w:rPr>
          <w:vertAlign w:val="subscript"/>
        </w:rPr>
        <w:t>2</w:t>
      </w:r>
      <w:r w:rsidRPr="007F5613">
        <w:t xml:space="preserve"> to remove all target solvent. Next, the resin was dried using vacuum to pull air through it. This process was repeated three times to get the average resin swelling volume. Swelling the resin for times longer than one hour were observed to have no impact on the magnitude of swelling. Resin swelling was calculated using the formula:</w:t>
      </w:r>
    </w:p>
    <w:p w:rsidR="002B1597" w:rsidRPr="007F5613" w:rsidRDefault="002B1597" w:rsidP="002B1597">
      <w:pPr>
        <w:pStyle w:val="ExperimentalSection"/>
        <w:spacing w:after="0"/>
        <w:rPr>
          <w:u w:val="single"/>
        </w:rPr>
      </w:pPr>
      <w:r w:rsidRPr="007F5613">
        <w:t>Swelling (mL g</w:t>
      </w:r>
      <w:r w:rsidRPr="007F5613">
        <w:rPr>
          <w:vertAlign w:val="superscript"/>
        </w:rPr>
        <w:t>-1</w:t>
      </w:r>
      <w:r w:rsidRPr="007F5613">
        <w:t xml:space="preserve">) = </w:t>
      </w:r>
      <w:r w:rsidRPr="007F5613">
        <w:rPr>
          <w:u w:val="single"/>
        </w:rPr>
        <w:t>Measured volume – Frit volume</w:t>
      </w:r>
    </w:p>
    <w:p w:rsidR="002B1597" w:rsidRPr="007F5613" w:rsidRDefault="002B1597" w:rsidP="002B1597">
      <w:pPr>
        <w:pStyle w:val="ExperimentalSection"/>
        <w:ind w:left="1275" w:firstLine="425"/>
      </w:pPr>
      <w:r w:rsidRPr="007F5613">
        <w:t>Resin weight</w:t>
      </w:r>
    </w:p>
    <w:p w:rsidR="00F33F71" w:rsidRPr="007F5613" w:rsidRDefault="00F33F71" w:rsidP="001F45C3">
      <w:pPr>
        <w:pStyle w:val="ExperimentalSection"/>
      </w:pPr>
      <w:r w:rsidRPr="007F5613">
        <w:t>Solvents were divided into three categories: swelling below 2 mL g</w:t>
      </w:r>
      <w:r w:rsidRPr="007F5613">
        <w:rPr>
          <w:vertAlign w:val="superscript"/>
        </w:rPr>
        <w:t>-1</w:t>
      </w:r>
      <w:r w:rsidRPr="007F5613">
        <w:t xml:space="preserve"> is deemed a bad solvent; from 2–4 mL g</w:t>
      </w:r>
      <w:r w:rsidRPr="007F5613">
        <w:rPr>
          <w:vertAlign w:val="superscript"/>
        </w:rPr>
        <w:t>-1</w:t>
      </w:r>
      <w:r w:rsidRPr="007F5613">
        <w:t xml:space="preserve"> is a moderate solvent and higher than 4 mL g</w:t>
      </w:r>
      <w:r w:rsidRPr="007F5613">
        <w:rPr>
          <w:vertAlign w:val="superscript"/>
        </w:rPr>
        <w:t>-1</w:t>
      </w:r>
      <w:r w:rsidRPr="007F5613">
        <w:t xml:space="preserve"> is a good solvent. </w:t>
      </w:r>
    </w:p>
    <w:p w:rsidR="00E63CCA" w:rsidRPr="007F5613" w:rsidRDefault="00F147A7" w:rsidP="00E63CCA">
      <w:pPr>
        <w:pStyle w:val="ExperimentalSection"/>
        <w:rPr>
          <w:b/>
          <w:color w:val="000000"/>
        </w:rPr>
      </w:pPr>
      <w:r w:rsidRPr="007F5613">
        <w:rPr>
          <w:b/>
          <w:color w:val="000000"/>
        </w:rPr>
        <w:t>General methodology for solid phase peptide synthesis (SPPS)</w:t>
      </w:r>
    </w:p>
    <w:p w:rsidR="00F147A7" w:rsidRPr="007F5613" w:rsidRDefault="00F147A7" w:rsidP="00E63CCA">
      <w:pPr>
        <w:pStyle w:val="ExperimentalSection"/>
      </w:pPr>
      <w:proofErr w:type="spellStart"/>
      <w:r w:rsidRPr="007F5613">
        <w:t>Fmoc</w:t>
      </w:r>
      <w:proofErr w:type="spellEnd"/>
      <w:r w:rsidRPr="007F5613">
        <w:t>-</w:t>
      </w:r>
      <w:proofErr w:type="spellStart"/>
      <w:r w:rsidRPr="007F5613">
        <w:t>Phe</w:t>
      </w:r>
      <w:proofErr w:type="spellEnd"/>
      <w:r w:rsidRPr="007F5613">
        <w:t xml:space="preserve">-Wang resin (200 mg, loading 0.4-0.8 </w:t>
      </w:r>
      <w:proofErr w:type="spellStart"/>
      <w:r w:rsidRPr="007F5613">
        <w:t>mmol</w:t>
      </w:r>
      <w:proofErr w:type="spellEnd"/>
      <w:r w:rsidRPr="007F5613">
        <w:t xml:space="preserve"> g</w:t>
      </w:r>
      <w:r w:rsidRPr="007F5613">
        <w:rPr>
          <w:vertAlign w:val="superscript"/>
        </w:rPr>
        <w:t>-1</w:t>
      </w:r>
      <w:r w:rsidRPr="007F5613">
        <w:t xml:space="preserve">) was accurately weighed into a 6 mL filtration tube which had a polyethylene frit fixed so that the resin could be prevented from leaking out. The weighed resin was first washed (3x5 mL) with the solvent (or solvent mixture) to be used for the peptide synthesis. Then, a further batch of solvent (5 mL) was added, and a cap for a 6 mL SPE tube and syringe pressure cap were then used to seal the tube. The tube was then put on a roller mixer for 1 hour to swell the resin. For all </w:t>
      </w:r>
      <w:proofErr w:type="spellStart"/>
      <w:r w:rsidRPr="007F5613">
        <w:t>Fmoc-deprotections</w:t>
      </w:r>
      <w:proofErr w:type="spellEnd"/>
      <w:r w:rsidRPr="007F5613">
        <w:t xml:space="preserve">, a freshly prepared solution (5 mL) of 20% (v/v) </w:t>
      </w:r>
      <w:proofErr w:type="spellStart"/>
      <w:r w:rsidRPr="007F5613">
        <w:t>piperidine</w:t>
      </w:r>
      <w:proofErr w:type="spellEnd"/>
      <w:r w:rsidRPr="007F5613">
        <w:t xml:space="preserve"> in synthesis solvent was used for 20 min. For couplings, </w:t>
      </w:r>
      <w:proofErr w:type="spellStart"/>
      <w:r w:rsidRPr="007F5613">
        <w:rPr>
          <w:color w:val="000000"/>
        </w:rPr>
        <w:t>Fmoc</w:t>
      </w:r>
      <w:proofErr w:type="spellEnd"/>
      <w:r w:rsidRPr="007F5613">
        <w:rPr>
          <w:color w:val="000000"/>
        </w:rPr>
        <w:t xml:space="preserve">-amino acid (firstly </w:t>
      </w:r>
      <w:proofErr w:type="spellStart"/>
      <w:r w:rsidRPr="007F5613">
        <w:rPr>
          <w:color w:val="000000"/>
        </w:rPr>
        <w:t>Fmoc</w:t>
      </w:r>
      <w:proofErr w:type="spellEnd"/>
      <w:r w:rsidRPr="007F5613">
        <w:rPr>
          <w:color w:val="000000"/>
        </w:rPr>
        <w:t xml:space="preserve">-Ala-OH, then </w:t>
      </w:r>
      <w:proofErr w:type="spellStart"/>
      <w:r w:rsidRPr="007F5613">
        <w:rPr>
          <w:color w:val="000000"/>
        </w:rPr>
        <w:t>Fmoc</w:t>
      </w:r>
      <w:proofErr w:type="spellEnd"/>
      <w:r w:rsidRPr="007F5613">
        <w:rPr>
          <w:color w:val="000000"/>
        </w:rPr>
        <w:t>-</w:t>
      </w:r>
      <w:proofErr w:type="spellStart"/>
      <w:r w:rsidRPr="007F5613">
        <w:rPr>
          <w:color w:val="000000"/>
        </w:rPr>
        <w:t>Leu</w:t>
      </w:r>
      <w:proofErr w:type="spellEnd"/>
      <w:r w:rsidRPr="007F5613">
        <w:rPr>
          <w:color w:val="000000"/>
        </w:rPr>
        <w:t xml:space="preserve">-OH) (0.36 </w:t>
      </w:r>
      <w:proofErr w:type="spellStart"/>
      <w:r w:rsidRPr="007F5613">
        <w:rPr>
          <w:color w:val="000000"/>
        </w:rPr>
        <w:t>mmol</w:t>
      </w:r>
      <w:proofErr w:type="spellEnd"/>
      <w:r w:rsidRPr="007F5613">
        <w:rPr>
          <w:color w:val="000000"/>
        </w:rPr>
        <w:t xml:space="preserve">, 3.0 eq.), HBTU (137 mg, 0.36 </w:t>
      </w:r>
      <w:proofErr w:type="spellStart"/>
      <w:r w:rsidRPr="007F5613">
        <w:rPr>
          <w:color w:val="000000"/>
        </w:rPr>
        <w:t>mmol</w:t>
      </w:r>
      <w:proofErr w:type="spellEnd"/>
      <w:r w:rsidRPr="007F5613">
        <w:rPr>
          <w:color w:val="000000"/>
        </w:rPr>
        <w:t xml:space="preserve">, 3.0 eq.), </w:t>
      </w:r>
      <w:proofErr w:type="spellStart"/>
      <w:r w:rsidRPr="007F5613">
        <w:rPr>
          <w:color w:val="000000"/>
        </w:rPr>
        <w:t>HOBt</w:t>
      </w:r>
      <w:proofErr w:type="spellEnd"/>
      <w:r w:rsidRPr="007F5613">
        <w:rPr>
          <w:color w:val="000000"/>
        </w:rPr>
        <w:t xml:space="preserve"> (49 mg, 0.36 </w:t>
      </w:r>
      <w:proofErr w:type="spellStart"/>
      <w:r w:rsidRPr="007F5613">
        <w:rPr>
          <w:color w:val="000000"/>
        </w:rPr>
        <w:t>mmol</w:t>
      </w:r>
      <w:proofErr w:type="spellEnd"/>
      <w:r w:rsidRPr="007F5613">
        <w:rPr>
          <w:color w:val="000000"/>
        </w:rPr>
        <w:t xml:space="preserve">, 3.0 eq.) and DIPEA (125 </w:t>
      </w:r>
      <w:proofErr w:type="spellStart"/>
      <w:r w:rsidRPr="007F5613">
        <w:rPr>
          <w:color w:val="000000"/>
        </w:rPr>
        <w:t>μL</w:t>
      </w:r>
      <w:proofErr w:type="spellEnd"/>
      <w:r w:rsidRPr="007F5613">
        <w:rPr>
          <w:color w:val="000000"/>
        </w:rPr>
        <w:t xml:space="preserve">, 0.72 </w:t>
      </w:r>
      <w:proofErr w:type="spellStart"/>
      <w:r w:rsidRPr="007F5613">
        <w:rPr>
          <w:color w:val="000000"/>
        </w:rPr>
        <w:t>mmol</w:t>
      </w:r>
      <w:proofErr w:type="spellEnd"/>
      <w:r w:rsidRPr="007F5613">
        <w:rPr>
          <w:color w:val="000000"/>
        </w:rPr>
        <w:t xml:space="preserve">, 6.0 eq.) </w:t>
      </w:r>
      <w:r w:rsidRPr="007F5613">
        <w:t xml:space="preserve">were weighed into a 5 mL vial which containing the chosen solvent (3.6 mL) and stirred for 20 min. to pre-activate the amino acid before adding this mixture to the resin. The coupling reaction then occurred at room temperature for 1 h. After each step, the resin was washed </w:t>
      </w:r>
      <w:r w:rsidR="002B7878" w:rsidRPr="007F5613">
        <w:t>with the synthesis solvent (3x5 mL)</w:t>
      </w:r>
      <w:r w:rsidRPr="007F5613">
        <w:t xml:space="preserve">. For the synthesis in propylene carbonate, </w:t>
      </w:r>
      <w:r w:rsidR="002B7878" w:rsidRPr="007F5613">
        <w:t xml:space="preserve">after the final </w:t>
      </w:r>
      <w:proofErr w:type="spellStart"/>
      <w:r w:rsidR="002B7878" w:rsidRPr="007F5613">
        <w:t>Fmoc-deprotection</w:t>
      </w:r>
      <w:proofErr w:type="spellEnd"/>
      <w:r w:rsidR="002B7878" w:rsidRPr="007F5613">
        <w:t xml:space="preserve">, the </w:t>
      </w:r>
      <w:r w:rsidRPr="007F5613">
        <w:t xml:space="preserve">resin was </w:t>
      </w:r>
      <w:r w:rsidR="002B7878" w:rsidRPr="007F5613">
        <w:t xml:space="preserve">additionally </w:t>
      </w:r>
      <w:r w:rsidRPr="007F5613">
        <w:t xml:space="preserve">washed with </w:t>
      </w:r>
      <w:proofErr w:type="spellStart"/>
      <w:r w:rsidR="002B7878" w:rsidRPr="007F5613">
        <w:t>EOAc</w:t>
      </w:r>
      <w:proofErr w:type="spellEnd"/>
      <w:r w:rsidR="002B7878" w:rsidRPr="007F5613">
        <w:t xml:space="preserve"> (5 mL)</w:t>
      </w:r>
      <w:r w:rsidRPr="007F5613">
        <w:t xml:space="preserve"> to ensure removal of all </w:t>
      </w:r>
      <w:r w:rsidR="002B7878" w:rsidRPr="007F5613">
        <w:t>propylene carbonate</w:t>
      </w:r>
      <w:r w:rsidRPr="007F5613">
        <w:t>. Then</w:t>
      </w:r>
      <w:r w:rsidR="002B7878" w:rsidRPr="007F5613">
        <w:t>,</w:t>
      </w:r>
      <w:r w:rsidRPr="007F5613">
        <w:t xml:space="preserve"> the peptide chain </w:t>
      </w:r>
      <w:r w:rsidR="002B7878" w:rsidRPr="007F5613">
        <w:t>was</w:t>
      </w:r>
      <w:r w:rsidRPr="007F5613">
        <w:t xml:space="preserve"> cleaved from the resin by </w:t>
      </w:r>
      <w:r w:rsidR="002B7878" w:rsidRPr="007F5613">
        <w:t xml:space="preserve">treatment with 95:2.5:2.5 </w:t>
      </w:r>
      <w:r w:rsidRPr="007F5613">
        <w:t>TFA:TIPS:H</w:t>
      </w:r>
      <w:r w:rsidRPr="007F5613">
        <w:rPr>
          <w:vertAlign w:val="subscript"/>
        </w:rPr>
        <w:t>2</w:t>
      </w:r>
      <w:r w:rsidR="002B7878" w:rsidRPr="007F5613">
        <w:t>O</w:t>
      </w:r>
      <w:r w:rsidRPr="007F5613">
        <w:t xml:space="preserve"> </w:t>
      </w:r>
      <w:r w:rsidR="002B7878" w:rsidRPr="007F5613">
        <w:t xml:space="preserve">(5 mL) </w:t>
      </w:r>
      <w:r w:rsidRPr="007F5613">
        <w:t xml:space="preserve">for 2 h. </w:t>
      </w:r>
      <w:r w:rsidR="002B7878" w:rsidRPr="007F5613">
        <w:t>T</w:t>
      </w:r>
      <w:r w:rsidRPr="007F5613">
        <w:t xml:space="preserve">he solution </w:t>
      </w:r>
      <w:r w:rsidR="002B7878" w:rsidRPr="007F5613">
        <w:t>was then</w:t>
      </w:r>
      <w:r w:rsidRPr="007F5613">
        <w:t xml:space="preserve"> separated from resin by filtration, concentrated </w:t>
      </w:r>
      <w:r w:rsidR="002B7878" w:rsidRPr="007F5613">
        <w:t xml:space="preserve">in </w:t>
      </w:r>
      <w:proofErr w:type="spellStart"/>
      <w:r w:rsidR="002B7878" w:rsidRPr="007F5613">
        <w:t>vacuo</w:t>
      </w:r>
      <w:proofErr w:type="spellEnd"/>
      <w:r w:rsidRPr="007F5613">
        <w:t xml:space="preserve"> and the peptide precipitated in cold </w:t>
      </w:r>
      <w:r w:rsidR="002B7878" w:rsidRPr="007F5613">
        <w:t>Et</w:t>
      </w:r>
      <w:r w:rsidR="002B7878" w:rsidRPr="007F5613">
        <w:rPr>
          <w:vertAlign w:val="subscript"/>
        </w:rPr>
        <w:t>2</w:t>
      </w:r>
      <w:r w:rsidR="002B7878" w:rsidRPr="007F5613">
        <w:t>O</w:t>
      </w:r>
      <w:r w:rsidRPr="007F5613">
        <w:t xml:space="preserve">.  Finally, the peptide was washed with cold </w:t>
      </w:r>
      <w:r w:rsidR="002B7878" w:rsidRPr="007F5613">
        <w:t>Et</w:t>
      </w:r>
      <w:r w:rsidR="002B7878" w:rsidRPr="007F5613">
        <w:rPr>
          <w:vertAlign w:val="subscript"/>
        </w:rPr>
        <w:t>2</w:t>
      </w:r>
      <w:r w:rsidR="002B7878" w:rsidRPr="007F5613">
        <w:t>O</w:t>
      </w:r>
      <w:r w:rsidRPr="007F5613">
        <w:t>, dried under vacuum and lyophilised.</w:t>
      </w:r>
    </w:p>
    <w:p w:rsidR="008201B2" w:rsidRPr="007F5613" w:rsidRDefault="008201B2" w:rsidP="008201B2">
      <w:pPr>
        <w:pStyle w:val="ExperimentalSection"/>
      </w:pPr>
      <w:r w:rsidRPr="007F5613">
        <w:t xml:space="preserve">For peptide synthesis using </w:t>
      </w:r>
      <w:proofErr w:type="spellStart"/>
      <w:r w:rsidRPr="007F5613">
        <w:t>Oxyma</w:t>
      </w:r>
      <w:proofErr w:type="spellEnd"/>
      <w:r w:rsidRPr="007F5613">
        <w:t xml:space="preserve"> Pure/EDC, the above procedure was followed using </w:t>
      </w:r>
      <w:proofErr w:type="spellStart"/>
      <w:r w:rsidRPr="007F5613">
        <w:t>Oxyma</w:t>
      </w:r>
      <w:proofErr w:type="spellEnd"/>
      <w:r w:rsidRPr="007F5613">
        <w:t xml:space="preserve"> Pure (51.2 mg, 0.36 </w:t>
      </w:r>
      <w:proofErr w:type="spellStart"/>
      <w:r w:rsidRPr="007F5613">
        <w:t>mmol</w:t>
      </w:r>
      <w:proofErr w:type="spellEnd"/>
      <w:r w:rsidRPr="007F5613">
        <w:t xml:space="preserve">, 3.0 eq.) and EDC (63.74 µL, 0.36 </w:t>
      </w:r>
      <w:proofErr w:type="spellStart"/>
      <w:r w:rsidRPr="007F5613">
        <w:t>mmol</w:t>
      </w:r>
      <w:proofErr w:type="spellEnd"/>
      <w:r w:rsidRPr="007F5613">
        <w:t xml:space="preserve">, 3.0 eq.) in place of HBTU and </w:t>
      </w:r>
      <w:proofErr w:type="spellStart"/>
      <w:r w:rsidRPr="007F5613">
        <w:t>HOBt</w:t>
      </w:r>
      <w:proofErr w:type="spellEnd"/>
      <w:r w:rsidRPr="007F5613">
        <w:t>.</w:t>
      </w:r>
    </w:p>
    <w:p w:rsidR="000E1352" w:rsidRPr="007F5613" w:rsidRDefault="000E1352" w:rsidP="008201B2">
      <w:pPr>
        <w:pStyle w:val="ExperimentalSection"/>
      </w:pPr>
      <w:r w:rsidRPr="007F5613">
        <w:rPr>
          <w:b/>
          <w:color w:val="000000"/>
        </w:rPr>
        <w:t>Method for studying polystyrene dissolution</w:t>
      </w:r>
    </w:p>
    <w:p w:rsidR="000E1352" w:rsidRPr="007F5613" w:rsidRDefault="000E1352" w:rsidP="008201B2">
      <w:pPr>
        <w:pStyle w:val="ExperimentalSection"/>
      </w:pPr>
      <w:r w:rsidRPr="007F5613">
        <w:t>One pellet of standard polystyrene (20 mg per pellet</w:t>
      </w:r>
      <w:r w:rsidR="00524175" w:rsidRPr="007F5613">
        <w:t xml:space="preserve"> with a molecular weight of ca </w:t>
      </w:r>
      <w:r w:rsidRPr="007F5613">
        <w:t xml:space="preserve">19,200) was added to pure or mixed solvent (1 mL) at room temperature. The </w:t>
      </w:r>
      <w:r w:rsidR="00BF4085" w:rsidRPr="007F5613">
        <w:t>degree of dissolution of the</w:t>
      </w:r>
      <w:r w:rsidRPr="007F5613">
        <w:t xml:space="preserve"> pellet was noted after 30, 60, 90 120 and 1440 minutes.</w:t>
      </w:r>
    </w:p>
    <w:p w:rsidR="004556E1" w:rsidRPr="007F5613" w:rsidRDefault="00F45722" w:rsidP="00F45722">
      <w:pPr>
        <w:pStyle w:val="Keywords"/>
      </w:pPr>
      <w:r w:rsidRPr="007F5613">
        <w:rPr>
          <w:b/>
        </w:rPr>
        <w:t>Keywords:</w:t>
      </w:r>
      <w:r w:rsidRPr="007F5613">
        <w:t xml:space="preserve"> </w:t>
      </w:r>
      <w:r w:rsidR="00DE6B13" w:rsidRPr="007F5613">
        <w:t>resin-swelling</w:t>
      </w:r>
      <w:r w:rsidRPr="007F5613">
        <w:t xml:space="preserve"> • </w:t>
      </w:r>
      <w:r w:rsidR="00DE6B13" w:rsidRPr="007F5613">
        <w:t>solvent</w:t>
      </w:r>
      <w:r w:rsidRPr="007F5613">
        <w:t xml:space="preserve"> • </w:t>
      </w:r>
      <w:r w:rsidR="00DE6B13" w:rsidRPr="007F5613">
        <w:t>binary-mixture</w:t>
      </w:r>
      <w:r w:rsidRPr="007F5613">
        <w:t xml:space="preserve"> • </w:t>
      </w:r>
      <w:r w:rsidR="00DE6B13" w:rsidRPr="007F5613">
        <w:t>Hansen solubility parameters</w:t>
      </w:r>
      <w:r w:rsidRPr="007F5613">
        <w:t xml:space="preserve"> • </w:t>
      </w:r>
      <w:r w:rsidR="00DE6B13" w:rsidRPr="007F5613">
        <w:t>solid phase peptide synthesis</w:t>
      </w:r>
    </w:p>
    <w:p w:rsidR="00707D6E" w:rsidRPr="007F5613" w:rsidRDefault="00707D6E" w:rsidP="00707D6E">
      <w:pPr>
        <w:rPr>
          <w:bCs/>
        </w:rPr>
        <w:sectPr w:rsidR="00707D6E" w:rsidRPr="007F5613" w:rsidSect="002275C0">
          <w:endnotePr>
            <w:numFmt w:val="decimal"/>
          </w:endnotePr>
          <w:type w:val="continuous"/>
          <w:pgSz w:w="11906" w:h="16838" w:code="9"/>
          <w:pgMar w:top="1673" w:right="936" w:bottom="1134" w:left="936" w:header="709" w:footer="709" w:gutter="0"/>
          <w:cols w:num="2" w:space="282"/>
          <w:docGrid w:linePitch="360"/>
        </w:sectPr>
      </w:pPr>
    </w:p>
    <w:p w:rsidR="00ED57DF" w:rsidRPr="007F5613" w:rsidRDefault="00ED57DF" w:rsidP="00707D6E">
      <w:pPr>
        <w:rPr>
          <w:bCs/>
        </w:rPr>
      </w:pPr>
    </w:p>
    <w:p w:rsidR="00823641" w:rsidRPr="007F5613" w:rsidRDefault="00823641" w:rsidP="00707D6E">
      <w:pPr>
        <w:rPr>
          <w:bCs/>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F20478" w:rsidRPr="007F5613" w:rsidRDefault="00F20478" w:rsidP="00707D6E">
      <w:pPr>
        <w:rPr>
          <w:b/>
        </w:rPr>
      </w:pPr>
    </w:p>
    <w:p w:rsidR="00707D6E" w:rsidRPr="007F5613" w:rsidRDefault="00707D6E" w:rsidP="00707D6E">
      <w:pPr>
        <w:rPr>
          <w:b/>
        </w:rPr>
      </w:pPr>
      <w:r w:rsidRPr="007F5613">
        <w:rPr>
          <w:b/>
        </w:rPr>
        <w:lastRenderedPageBreak/>
        <w:t>Entry for the Table of Contents</w:t>
      </w:r>
      <w:r w:rsidRPr="007F5613">
        <w:t xml:space="preserve"> </w:t>
      </w:r>
    </w:p>
    <w:p w:rsidR="00707D6E" w:rsidRPr="007F5613" w:rsidRDefault="00707D6E" w:rsidP="00707D6E"/>
    <w:tbl>
      <w:tblPr>
        <w:tblW w:w="10093" w:type="dxa"/>
        <w:tblLook w:val="01E0" w:firstRow="1" w:lastRow="1" w:firstColumn="1" w:lastColumn="1" w:noHBand="0" w:noVBand="0"/>
      </w:tblPr>
      <w:tblGrid>
        <w:gridCol w:w="3089"/>
        <w:gridCol w:w="283"/>
        <w:gridCol w:w="3186"/>
        <w:gridCol w:w="283"/>
        <w:gridCol w:w="3252"/>
      </w:tblGrid>
      <w:tr w:rsidR="00707D6E" w:rsidRPr="007F5613" w:rsidTr="00A50A16">
        <w:trPr>
          <w:trHeight w:hRule="exact" w:val="340"/>
        </w:trPr>
        <w:tc>
          <w:tcPr>
            <w:tcW w:w="10093" w:type="dxa"/>
            <w:gridSpan w:val="5"/>
            <w:tcBorders>
              <w:bottom w:val="single" w:sz="36" w:space="0" w:color="BFBFBF"/>
            </w:tcBorders>
            <w:shd w:val="clear" w:color="auto" w:fill="auto"/>
          </w:tcPr>
          <w:p w:rsidR="00707D6E" w:rsidRPr="007F5613" w:rsidRDefault="00707D6E" w:rsidP="00A50A16">
            <w:pPr>
              <w:pStyle w:val="ColumnTitleTOC"/>
            </w:pPr>
            <w:r w:rsidRPr="007F5613">
              <w:t>FULL PAPER</w:t>
            </w:r>
          </w:p>
        </w:tc>
      </w:tr>
      <w:tr w:rsidR="00707D6E" w:rsidRPr="00DE26BA" w:rsidTr="00A50A16">
        <w:trPr>
          <w:trHeight w:val="340"/>
        </w:trPr>
        <w:tc>
          <w:tcPr>
            <w:tcW w:w="3118" w:type="dxa"/>
            <w:vMerge w:val="restart"/>
            <w:tcBorders>
              <w:top w:val="single" w:sz="36" w:space="0" w:color="BFBFBF"/>
            </w:tcBorders>
            <w:shd w:val="clear" w:color="auto" w:fill="auto"/>
          </w:tcPr>
          <w:p w:rsidR="00707D6E" w:rsidRPr="007F5613" w:rsidRDefault="00707D6E" w:rsidP="00A50A16">
            <w:pPr>
              <w:pStyle w:val="TableOfContentText"/>
              <w:rPr>
                <w:b/>
              </w:rPr>
            </w:pPr>
            <w:r w:rsidRPr="007F5613">
              <w:rPr>
                <w:b/>
              </w:rPr>
              <w:t>All swell that end swell.</w:t>
            </w:r>
            <w:r w:rsidRPr="007F5613">
              <w:t xml:space="preserve"> 3D Hansen solubility space is used to explain why the ability of binary mixtures of two solvents to swell </w:t>
            </w:r>
            <w:proofErr w:type="spellStart"/>
            <w:r w:rsidRPr="007F5613">
              <w:t>crosslinked</w:t>
            </w:r>
            <w:proofErr w:type="spellEnd"/>
            <w:r w:rsidRPr="007F5613">
              <w:t xml:space="preserve"> resins does not vary linearly with the solvent mole fractions. The applicability of this methodology to both solid phase peptide synthesis and linear polymer dissolution is demonstrated. </w:t>
            </w:r>
          </w:p>
        </w:tc>
        <w:tc>
          <w:tcPr>
            <w:tcW w:w="284" w:type="dxa"/>
            <w:tcBorders>
              <w:top w:val="single" w:sz="36" w:space="0" w:color="BFBFBF"/>
            </w:tcBorders>
            <w:shd w:val="clear" w:color="auto" w:fill="auto"/>
          </w:tcPr>
          <w:p w:rsidR="00707D6E" w:rsidRPr="007F5613" w:rsidRDefault="00707D6E" w:rsidP="00A50A16"/>
        </w:tc>
        <w:tc>
          <w:tcPr>
            <w:tcW w:w="3118" w:type="dxa"/>
            <w:vMerge w:val="restart"/>
            <w:tcBorders>
              <w:top w:val="single" w:sz="36" w:space="0" w:color="BFBFBF"/>
            </w:tcBorders>
            <w:shd w:val="clear" w:color="auto" w:fill="auto"/>
          </w:tcPr>
          <w:p w:rsidR="00707D6E" w:rsidRPr="007F5613" w:rsidRDefault="002272E3" w:rsidP="00A50A16">
            <w:r w:rsidRPr="007F5613">
              <w:object w:dxaOrig="13080" w:dyaOrig="13296">
                <v:shape id="_x0000_i1040" type="#_x0000_t75" style="width:148.6pt;height:152.1pt" o:ole="">
                  <v:imagedata r:id="rId28" o:title=""/>
                </v:shape>
                <o:OLEObject Type="Embed" ProgID="PBrush" ShapeID="_x0000_i1040" DrawAspect="Content" ObjectID="_1611644188" r:id="rId29"/>
              </w:object>
            </w:r>
          </w:p>
        </w:tc>
        <w:tc>
          <w:tcPr>
            <w:tcW w:w="284" w:type="dxa"/>
            <w:tcBorders>
              <w:top w:val="single" w:sz="36" w:space="0" w:color="BFBFBF"/>
            </w:tcBorders>
            <w:shd w:val="clear" w:color="auto" w:fill="auto"/>
          </w:tcPr>
          <w:p w:rsidR="00707D6E" w:rsidRPr="007F5613" w:rsidRDefault="00707D6E" w:rsidP="00A50A16"/>
        </w:tc>
        <w:tc>
          <w:tcPr>
            <w:tcW w:w="3289" w:type="dxa"/>
            <w:vMerge w:val="restart"/>
            <w:tcBorders>
              <w:top w:val="single" w:sz="36" w:space="0" w:color="BFBFBF"/>
            </w:tcBorders>
            <w:shd w:val="clear" w:color="auto" w:fill="auto"/>
          </w:tcPr>
          <w:p w:rsidR="00707D6E" w:rsidRPr="007F5613" w:rsidRDefault="00707D6E" w:rsidP="00A50A16">
            <w:pPr>
              <w:pStyle w:val="AuthorsTOC"/>
            </w:pPr>
            <w:proofErr w:type="spellStart"/>
            <w:r w:rsidRPr="007F5613">
              <w:t>Yanrui</w:t>
            </w:r>
            <w:proofErr w:type="spellEnd"/>
            <w:r w:rsidRPr="007F5613">
              <w:t xml:space="preserve"> Ran, </w:t>
            </w:r>
            <w:r w:rsidR="00DB028A" w:rsidRPr="007F5613">
              <w:rPr>
                <w:color w:val="000000"/>
              </w:rPr>
              <w:t>Fergal Byrne,</w:t>
            </w:r>
            <w:r w:rsidR="00DB028A" w:rsidRPr="007F5613">
              <w:t xml:space="preserve"> </w:t>
            </w:r>
            <w:r w:rsidRPr="007F5613">
              <w:t>Ian Ingram and Michael North*</w:t>
            </w:r>
          </w:p>
          <w:p w:rsidR="00707D6E" w:rsidRPr="007F5613" w:rsidRDefault="00707D6E" w:rsidP="00A50A16">
            <w:pPr>
              <w:pStyle w:val="PageNumbers"/>
            </w:pPr>
            <w:r w:rsidRPr="007F5613">
              <w:t>Page No. – Page No.</w:t>
            </w:r>
          </w:p>
          <w:p w:rsidR="00707D6E" w:rsidRPr="00DE26BA" w:rsidRDefault="00707D6E" w:rsidP="00A50A16">
            <w:pPr>
              <w:pStyle w:val="TitleTOC"/>
              <w:framePr w:hSpace="141" w:wrap="around" w:vAnchor="page" w:hAnchor="margin" w:y="1504"/>
            </w:pPr>
            <w:r w:rsidRPr="007F5613">
              <w:t>Resin swelling in mixed solvents analysed using Hansen solubility parameter space</w:t>
            </w:r>
            <w:bookmarkStart w:id="5" w:name="_GoBack"/>
            <w:bookmarkEnd w:id="5"/>
          </w:p>
          <w:p w:rsidR="00707D6E" w:rsidRPr="00DE26BA" w:rsidRDefault="00707D6E" w:rsidP="00A50A16">
            <w:pPr>
              <w:framePr w:hSpace="141" w:wrap="around" w:vAnchor="page" w:hAnchor="margin" w:y="1504"/>
            </w:pPr>
          </w:p>
        </w:tc>
      </w:tr>
      <w:tr w:rsidR="00707D6E" w:rsidRPr="00DE26BA" w:rsidTr="00A50A16">
        <w:trPr>
          <w:trHeight w:hRule="exact" w:val="2796"/>
        </w:trPr>
        <w:tc>
          <w:tcPr>
            <w:tcW w:w="3118" w:type="dxa"/>
            <w:vMerge/>
            <w:shd w:val="clear" w:color="auto" w:fill="auto"/>
          </w:tcPr>
          <w:p w:rsidR="00707D6E" w:rsidRPr="00DE26BA" w:rsidRDefault="00707D6E" w:rsidP="00A50A16"/>
        </w:tc>
        <w:tc>
          <w:tcPr>
            <w:tcW w:w="284" w:type="dxa"/>
            <w:shd w:val="clear" w:color="auto" w:fill="auto"/>
          </w:tcPr>
          <w:p w:rsidR="00707D6E" w:rsidRPr="00DE26BA" w:rsidRDefault="00707D6E" w:rsidP="00A50A16"/>
        </w:tc>
        <w:tc>
          <w:tcPr>
            <w:tcW w:w="3118" w:type="dxa"/>
            <w:vMerge/>
            <w:shd w:val="clear" w:color="auto" w:fill="auto"/>
          </w:tcPr>
          <w:p w:rsidR="00707D6E" w:rsidRPr="00DE26BA" w:rsidRDefault="00707D6E" w:rsidP="00A50A16"/>
        </w:tc>
        <w:tc>
          <w:tcPr>
            <w:tcW w:w="284" w:type="dxa"/>
            <w:shd w:val="clear" w:color="auto" w:fill="auto"/>
          </w:tcPr>
          <w:p w:rsidR="00707D6E" w:rsidRPr="00DE26BA" w:rsidRDefault="00707D6E" w:rsidP="00A50A16"/>
        </w:tc>
        <w:tc>
          <w:tcPr>
            <w:tcW w:w="3289" w:type="dxa"/>
            <w:vMerge/>
            <w:shd w:val="clear" w:color="auto" w:fill="auto"/>
          </w:tcPr>
          <w:p w:rsidR="00707D6E" w:rsidRPr="00DE26BA" w:rsidRDefault="00707D6E" w:rsidP="00A50A16"/>
        </w:tc>
      </w:tr>
    </w:tbl>
    <w:p w:rsidR="00707D6E" w:rsidRDefault="00707D6E" w:rsidP="00F45722">
      <w:pPr>
        <w:pStyle w:val="Keywords"/>
        <w:sectPr w:rsidR="00707D6E" w:rsidSect="00707D6E">
          <w:endnotePr>
            <w:numFmt w:val="decimal"/>
          </w:endnotePr>
          <w:type w:val="continuous"/>
          <w:pgSz w:w="11906" w:h="16838" w:code="9"/>
          <w:pgMar w:top="1673" w:right="936" w:bottom="1134" w:left="936" w:header="709" w:footer="709" w:gutter="0"/>
          <w:cols w:space="282"/>
          <w:docGrid w:linePitch="360"/>
        </w:sectPr>
      </w:pPr>
    </w:p>
    <w:p w:rsidR="00773C4B" w:rsidRPr="00DE26BA" w:rsidRDefault="00773C4B" w:rsidP="00A50A16">
      <w:pPr>
        <w:rPr>
          <w:bCs/>
        </w:rPr>
      </w:pPr>
    </w:p>
    <w:sectPr w:rsidR="00773C4B" w:rsidRPr="00DE26BA" w:rsidSect="00707D6E">
      <w:endnotePr>
        <w:numFmt w:val="decimal"/>
      </w:endnotePr>
      <w:pgSz w:w="11906" w:h="16838" w:code="9"/>
      <w:pgMar w:top="1134" w:right="936" w:bottom="1134" w:left="936" w:header="1021"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584" w:rsidRPr="00DB3F95" w:rsidRDefault="00B91584" w:rsidP="00DB3F95">
      <w:pPr>
        <w:pStyle w:val="Footer"/>
        <w:spacing w:line="20" w:lineRule="exact"/>
      </w:pPr>
    </w:p>
  </w:endnote>
  <w:endnote w:type="continuationSeparator" w:id="0">
    <w:p w:rsidR="00B91584" w:rsidRPr="00DB3F95" w:rsidRDefault="00B91584" w:rsidP="00DB3F95">
      <w:pPr>
        <w:pStyle w:val="Footer"/>
        <w:spacing w:line="20" w:lineRule="exact"/>
      </w:pPr>
    </w:p>
  </w:endnote>
  <w:endnote w:type="continuationNotice" w:id="1">
    <w:p w:rsidR="00B91584" w:rsidRPr="00DB3F95" w:rsidRDefault="00B91584" w:rsidP="00DB3F95">
      <w:pPr>
        <w:pStyle w:val="Footer"/>
        <w:spacing w:line="20" w:lineRule="exact"/>
      </w:pPr>
    </w:p>
  </w:endnote>
  <w:endnote w:id="2">
    <w:p w:rsidR="007477F4" w:rsidRPr="003F25F4" w:rsidRDefault="007477F4" w:rsidP="003F25F4">
      <w:pPr>
        <w:pStyle w:val="References"/>
      </w:pPr>
      <w:r>
        <w:t>[</w:t>
      </w:r>
      <w:r w:rsidRPr="003F25F4">
        <w:endnoteRef/>
      </w:r>
      <w:r>
        <w:t xml:space="preserve">] </w:t>
      </w:r>
      <w:r>
        <w:tab/>
        <w:t>D. J. C. Constable, C.</w:t>
      </w:r>
      <w:r w:rsidRPr="0026641D">
        <w:t xml:space="preserve"> Jimenez</w:t>
      </w:r>
      <w:r>
        <w:t>–Gonzalez, R.</w:t>
      </w:r>
      <w:r w:rsidRPr="0026641D">
        <w:t xml:space="preserve"> K. Henderson</w:t>
      </w:r>
      <w:r>
        <w:t xml:space="preserve">, </w:t>
      </w:r>
      <w:r w:rsidRPr="003F25F4">
        <w:rPr>
          <w:i/>
        </w:rPr>
        <w:t>Org. Process Res. Dev.</w:t>
      </w:r>
      <w:r w:rsidRPr="000A2343">
        <w:t xml:space="preserve"> </w:t>
      </w:r>
      <w:r w:rsidRPr="003F25F4">
        <w:rPr>
          <w:b/>
        </w:rPr>
        <w:t>2007</w:t>
      </w:r>
      <w:r w:rsidRPr="000A2343">
        <w:t xml:space="preserve">, </w:t>
      </w:r>
      <w:r w:rsidRPr="003F25F4">
        <w:rPr>
          <w:i/>
        </w:rPr>
        <w:t>11</w:t>
      </w:r>
      <w:r w:rsidRPr="000A2343">
        <w:t>, 133</w:t>
      </w:r>
      <w:r>
        <w:t>–</w:t>
      </w:r>
      <w:r w:rsidRPr="000A2343">
        <w:t>137</w:t>
      </w:r>
      <w:r>
        <w:t>.</w:t>
      </w:r>
    </w:p>
  </w:endnote>
  <w:endnote w:id="3">
    <w:p w:rsidR="007477F4" w:rsidRPr="00B9510F" w:rsidRDefault="007477F4" w:rsidP="00B205F8">
      <w:pPr>
        <w:pStyle w:val="References"/>
      </w:pPr>
      <w:r w:rsidRPr="00B205F8">
        <w:t>[</w:t>
      </w:r>
      <w:r w:rsidRPr="00B205F8">
        <w:endnoteRef/>
      </w:r>
      <w:r w:rsidRPr="00B205F8">
        <w:t xml:space="preserve">] </w:t>
      </w:r>
      <w:r w:rsidRPr="00B205F8">
        <w:tab/>
        <w:t>European Chemicals Agency, Regulation (EC) No 1907/2006 of</w:t>
      </w:r>
      <w:r>
        <w:t xml:space="preserve"> </w:t>
      </w:r>
      <w:r w:rsidRPr="00B205F8">
        <w:t>the European Parliament and of the Council on the Registration,</w:t>
      </w:r>
      <w:r>
        <w:t xml:space="preserve"> </w:t>
      </w:r>
      <w:r w:rsidRPr="00B205F8">
        <w:t>Evaluation, Authorisation and Restriction of Chemicals</w:t>
      </w:r>
      <w:r>
        <w:t xml:space="preserve"> </w:t>
      </w:r>
      <w:r w:rsidRPr="00B205F8">
        <w:t>(REACH), https://echa.europa.eu/regulations/reach/understanding-reach</w:t>
      </w:r>
      <w:r>
        <w:t xml:space="preserve"> </w:t>
      </w:r>
      <w:r w:rsidRPr="00B205F8">
        <w:t xml:space="preserve">(accessed </w:t>
      </w:r>
      <w:r>
        <w:t>November</w:t>
      </w:r>
      <w:r w:rsidRPr="00B205F8">
        <w:t xml:space="preserve"> 1, 2018).</w:t>
      </w:r>
    </w:p>
  </w:endnote>
  <w:endnote w:id="4">
    <w:p w:rsidR="007477F4" w:rsidRPr="00B205F8" w:rsidRDefault="007477F4" w:rsidP="00B205F8">
      <w:pPr>
        <w:pStyle w:val="References"/>
        <w:rPr>
          <w:rFonts w:cs="Arial"/>
        </w:rPr>
      </w:pPr>
      <w:r>
        <w:rPr>
          <w:rFonts w:cs="Arial"/>
        </w:rPr>
        <w:t>[</w:t>
      </w:r>
      <w:r w:rsidRPr="00B205F8">
        <w:rPr>
          <w:rFonts w:cs="Arial"/>
        </w:rPr>
        <w:endnoteRef/>
      </w:r>
      <w:r>
        <w:rPr>
          <w:rFonts w:cs="Arial"/>
        </w:rPr>
        <w:t>]</w:t>
      </w:r>
      <w:r w:rsidRPr="00B205F8">
        <w:rPr>
          <w:rFonts w:cs="Arial"/>
        </w:rPr>
        <w:t xml:space="preserve"> </w:t>
      </w:r>
      <w:r w:rsidRPr="00B205F8">
        <w:rPr>
          <w:rFonts w:cs="Arial"/>
        </w:rPr>
        <w:tab/>
        <w:t xml:space="preserve">A. </w:t>
      </w:r>
      <w:proofErr w:type="spellStart"/>
      <w:r w:rsidRPr="00B205F8">
        <w:rPr>
          <w:rFonts w:cs="Arial"/>
        </w:rPr>
        <w:t>Benazzouz</w:t>
      </w:r>
      <w:proofErr w:type="spellEnd"/>
      <w:r w:rsidRPr="00B205F8">
        <w:rPr>
          <w:rFonts w:cs="Arial"/>
        </w:rPr>
        <w:t xml:space="preserve">, L. </w:t>
      </w:r>
      <w:proofErr w:type="spellStart"/>
      <w:r w:rsidRPr="00B205F8">
        <w:rPr>
          <w:rFonts w:cs="Arial"/>
        </w:rPr>
        <w:t>Moity</w:t>
      </w:r>
      <w:proofErr w:type="spellEnd"/>
      <w:r w:rsidRPr="00B205F8">
        <w:rPr>
          <w:rFonts w:cs="Arial"/>
        </w:rPr>
        <w:t xml:space="preserve">, C. </w:t>
      </w:r>
      <w:proofErr w:type="spellStart"/>
      <w:r w:rsidRPr="00B205F8">
        <w:rPr>
          <w:rFonts w:cs="Arial"/>
        </w:rPr>
        <w:t>Pierlot</w:t>
      </w:r>
      <w:proofErr w:type="spellEnd"/>
      <w:r w:rsidRPr="00B205F8">
        <w:rPr>
          <w:rFonts w:cs="Arial"/>
        </w:rPr>
        <w:t xml:space="preserve">, M. </w:t>
      </w:r>
      <w:proofErr w:type="spellStart"/>
      <w:r w:rsidRPr="00B205F8">
        <w:rPr>
          <w:rFonts w:cs="Arial"/>
        </w:rPr>
        <w:t>Sergent</w:t>
      </w:r>
      <w:proofErr w:type="spellEnd"/>
      <w:r w:rsidRPr="00B205F8">
        <w:rPr>
          <w:rFonts w:cs="Arial"/>
        </w:rPr>
        <w:t xml:space="preserve">, V. </w:t>
      </w:r>
      <w:proofErr w:type="spellStart"/>
      <w:r>
        <w:rPr>
          <w:rFonts w:cs="Arial"/>
        </w:rPr>
        <w:t>Molinier</w:t>
      </w:r>
      <w:proofErr w:type="spellEnd"/>
      <w:r>
        <w:rPr>
          <w:rFonts w:cs="Arial"/>
        </w:rPr>
        <w:t>,</w:t>
      </w:r>
      <w:r w:rsidRPr="00B205F8">
        <w:rPr>
          <w:rFonts w:cs="Arial"/>
        </w:rPr>
        <w:t xml:space="preserve"> J.-M. </w:t>
      </w:r>
      <w:proofErr w:type="spellStart"/>
      <w:r w:rsidRPr="00B205F8">
        <w:rPr>
          <w:rFonts w:cs="Arial"/>
        </w:rPr>
        <w:t>Aubry</w:t>
      </w:r>
      <w:proofErr w:type="spellEnd"/>
      <w:r w:rsidRPr="00B205F8">
        <w:rPr>
          <w:rFonts w:cs="Arial"/>
        </w:rPr>
        <w:t xml:space="preserve">, </w:t>
      </w:r>
      <w:r w:rsidRPr="00B205F8">
        <w:rPr>
          <w:rFonts w:cs="Arial"/>
          <w:i/>
        </w:rPr>
        <w:t>Ind. Eng. Chem. Res.</w:t>
      </w:r>
      <w:r w:rsidRPr="00B205F8">
        <w:rPr>
          <w:rFonts w:cs="Arial"/>
        </w:rPr>
        <w:t xml:space="preserve"> </w:t>
      </w:r>
      <w:r w:rsidRPr="00B205F8">
        <w:rPr>
          <w:rFonts w:cs="Arial"/>
          <w:b/>
        </w:rPr>
        <w:t>2013</w:t>
      </w:r>
      <w:r w:rsidRPr="00B205F8">
        <w:rPr>
          <w:rFonts w:cs="Arial"/>
        </w:rPr>
        <w:t xml:space="preserve">, </w:t>
      </w:r>
      <w:r w:rsidRPr="00B205F8">
        <w:rPr>
          <w:rFonts w:cs="Arial"/>
          <w:i/>
        </w:rPr>
        <w:t>52</w:t>
      </w:r>
      <w:r w:rsidRPr="00B205F8">
        <w:rPr>
          <w:rFonts w:cs="Arial"/>
        </w:rPr>
        <w:t>, 16585</w:t>
      </w:r>
      <w:r>
        <w:rPr>
          <w:rFonts w:cs="Arial"/>
        </w:rPr>
        <w:t>–</w:t>
      </w:r>
      <w:r w:rsidRPr="00B205F8">
        <w:rPr>
          <w:rFonts w:cs="Arial"/>
        </w:rPr>
        <w:t>16597.</w:t>
      </w:r>
    </w:p>
  </w:endnote>
  <w:endnote w:id="5">
    <w:p w:rsidR="007477F4" w:rsidRPr="0005779E" w:rsidRDefault="007477F4" w:rsidP="007A5BF2">
      <w:pPr>
        <w:pStyle w:val="References"/>
        <w:rPr>
          <w:rFonts w:cs="Arial"/>
        </w:rPr>
      </w:pPr>
      <w:r w:rsidRPr="00B205F8">
        <w:rPr>
          <w:rFonts w:cs="Arial"/>
        </w:rPr>
        <w:t>[</w:t>
      </w:r>
      <w:r w:rsidRPr="00B205F8">
        <w:rPr>
          <w:rFonts w:cs="Arial"/>
        </w:rPr>
        <w:endnoteRef/>
      </w:r>
      <w:r w:rsidRPr="00B205F8">
        <w:rPr>
          <w:rFonts w:cs="Arial"/>
        </w:rPr>
        <w:t xml:space="preserve">] </w:t>
      </w:r>
      <w:r w:rsidRPr="00B205F8">
        <w:rPr>
          <w:rFonts w:cs="Arial"/>
        </w:rPr>
        <w:tab/>
      </w:r>
      <w:r>
        <w:rPr>
          <w:rFonts w:cs="Arial"/>
        </w:rPr>
        <w:t xml:space="preserve">a) </w:t>
      </w:r>
      <w:r w:rsidRPr="00B205F8">
        <w:rPr>
          <w:rFonts w:cs="Arial"/>
        </w:rPr>
        <w:t>European Chemicals Agency, list of substances included in</w:t>
      </w:r>
      <w:r>
        <w:rPr>
          <w:rFonts w:cs="Arial"/>
        </w:rPr>
        <w:t xml:space="preserve"> </w:t>
      </w:r>
      <w:r w:rsidRPr="00B205F8">
        <w:rPr>
          <w:rFonts w:cs="Arial"/>
        </w:rPr>
        <w:t xml:space="preserve">Annex XIV of REACH (“Authorisation List”), https://echa.europa.eu/authorisation-list (accessed </w:t>
      </w:r>
      <w:r>
        <w:rPr>
          <w:rFonts w:cs="Arial"/>
        </w:rPr>
        <w:t xml:space="preserve">November 1, 2018); b) J. </w:t>
      </w:r>
      <w:r w:rsidRPr="0005779E">
        <w:rPr>
          <w:rFonts w:cs="Arial"/>
        </w:rPr>
        <w:t xml:space="preserve">Sherwood, </w:t>
      </w:r>
      <w:proofErr w:type="spellStart"/>
      <w:r w:rsidRPr="0005779E">
        <w:rPr>
          <w:rFonts w:cs="Arial"/>
          <w:i/>
          <w:lang w:eastAsia="en-GB"/>
        </w:rPr>
        <w:t>Angew</w:t>
      </w:r>
      <w:proofErr w:type="spellEnd"/>
      <w:r w:rsidRPr="0005779E">
        <w:rPr>
          <w:rFonts w:cs="Arial"/>
          <w:i/>
          <w:lang w:eastAsia="en-GB"/>
        </w:rPr>
        <w:t>. Chem. Int. Ed.</w:t>
      </w:r>
      <w:r w:rsidRPr="0005779E">
        <w:rPr>
          <w:rFonts w:cs="Arial"/>
          <w:lang w:eastAsia="en-GB"/>
        </w:rPr>
        <w:t xml:space="preserve"> </w:t>
      </w:r>
      <w:r w:rsidRPr="0005779E">
        <w:rPr>
          <w:rFonts w:cs="Arial"/>
          <w:b/>
          <w:lang w:eastAsia="en-GB"/>
        </w:rPr>
        <w:t>2018</w:t>
      </w:r>
      <w:r w:rsidRPr="0005779E">
        <w:rPr>
          <w:rFonts w:cs="Arial"/>
          <w:lang w:eastAsia="en-GB"/>
        </w:rPr>
        <w:t xml:space="preserve">, </w:t>
      </w:r>
      <w:r w:rsidRPr="0005779E">
        <w:rPr>
          <w:rFonts w:cs="Arial"/>
          <w:i/>
          <w:lang w:eastAsia="en-GB"/>
        </w:rPr>
        <w:t>57</w:t>
      </w:r>
      <w:r w:rsidRPr="0005779E">
        <w:rPr>
          <w:rFonts w:cs="Arial"/>
          <w:lang w:eastAsia="en-GB"/>
        </w:rPr>
        <w:t>, 14286–14290.</w:t>
      </w:r>
      <w:r w:rsidRPr="0005779E">
        <w:rPr>
          <w:rFonts w:cs="Arial"/>
        </w:rPr>
        <w:t xml:space="preserve"> </w:t>
      </w:r>
    </w:p>
  </w:endnote>
  <w:endnote w:id="6">
    <w:p w:rsidR="007477F4" w:rsidRPr="00727500" w:rsidRDefault="007477F4" w:rsidP="009D268D">
      <w:pPr>
        <w:pStyle w:val="References"/>
        <w:rPr>
          <w:rFonts w:cs="Arial"/>
        </w:rPr>
      </w:pPr>
      <w:r w:rsidRPr="0005779E">
        <w:rPr>
          <w:rFonts w:cs="Arial"/>
        </w:rPr>
        <w:t>[</w:t>
      </w:r>
      <w:r w:rsidRPr="0005779E">
        <w:rPr>
          <w:rFonts w:cs="Arial"/>
        </w:rPr>
        <w:endnoteRef/>
      </w:r>
      <w:r w:rsidRPr="0005779E">
        <w:rPr>
          <w:rFonts w:cs="Arial"/>
        </w:rPr>
        <w:t xml:space="preserve">] </w:t>
      </w:r>
      <w:r w:rsidRPr="0005779E">
        <w:rPr>
          <w:rFonts w:cs="Arial"/>
        </w:rPr>
        <w:tab/>
        <w:t>M. C. Bryan, P. J. Du</w:t>
      </w:r>
      <w:r w:rsidRPr="009D268D">
        <w:rPr>
          <w:rFonts w:cs="Arial"/>
        </w:rPr>
        <w:t xml:space="preserve">nn, </w:t>
      </w:r>
      <w:r>
        <w:rPr>
          <w:rFonts w:cs="Arial"/>
        </w:rPr>
        <w:t xml:space="preserve">D. </w:t>
      </w:r>
      <w:proofErr w:type="spellStart"/>
      <w:r>
        <w:rPr>
          <w:rFonts w:cs="Arial"/>
        </w:rPr>
        <w:t>Entwistle</w:t>
      </w:r>
      <w:proofErr w:type="spellEnd"/>
      <w:r>
        <w:rPr>
          <w:rFonts w:cs="Arial"/>
        </w:rPr>
        <w:t>,</w:t>
      </w:r>
      <w:r w:rsidRPr="009D268D">
        <w:rPr>
          <w:rFonts w:cs="Arial"/>
        </w:rPr>
        <w:t xml:space="preserve"> </w:t>
      </w:r>
      <w:r>
        <w:rPr>
          <w:rFonts w:cs="Arial"/>
        </w:rPr>
        <w:t xml:space="preserve">F. </w:t>
      </w:r>
      <w:proofErr w:type="spellStart"/>
      <w:r>
        <w:rPr>
          <w:rFonts w:cs="Arial"/>
        </w:rPr>
        <w:t>Gallou</w:t>
      </w:r>
      <w:proofErr w:type="spellEnd"/>
      <w:r>
        <w:rPr>
          <w:rFonts w:cs="Arial"/>
        </w:rPr>
        <w:t>, S. G. Koenig,</w:t>
      </w:r>
      <w:r w:rsidRPr="009D268D">
        <w:rPr>
          <w:rFonts w:cs="Arial"/>
        </w:rPr>
        <w:t xml:space="preserve"> </w:t>
      </w:r>
      <w:r>
        <w:rPr>
          <w:rFonts w:cs="Arial"/>
        </w:rPr>
        <w:t>J. D. Hayler,</w:t>
      </w:r>
      <w:r w:rsidRPr="009D268D">
        <w:rPr>
          <w:rFonts w:cs="Arial"/>
        </w:rPr>
        <w:t xml:space="preserve"> </w:t>
      </w:r>
      <w:r>
        <w:rPr>
          <w:rFonts w:cs="Arial"/>
        </w:rPr>
        <w:t>M. R. Hickey,</w:t>
      </w:r>
      <w:r w:rsidRPr="009D268D">
        <w:rPr>
          <w:rFonts w:cs="Arial"/>
        </w:rPr>
        <w:t xml:space="preserve"> </w:t>
      </w:r>
      <w:r>
        <w:rPr>
          <w:rFonts w:cs="Arial"/>
        </w:rPr>
        <w:t>S.</w:t>
      </w:r>
      <w:r w:rsidRPr="009D268D">
        <w:rPr>
          <w:rFonts w:cs="Arial"/>
        </w:rPr>
        <w:t xml:space="preserve"> Hughes,</w:t>
      </w:r>
      <w:r>
        <w:rPr>
          <w:rFonts w:cs="Arial"/>
        </w:rPr>
        <w:t xml:space="preserve"> M.</w:t>
      </w:r>
      <w:r w:rsidRPr="009D268D">
        <w:rPr>
          <w:rFonts w:cs="Arial"/>
        </w:rPr>
        <w:t xml:space="preserve"> E. </w:t>
      </w:r>
      <w:proofErr w:type="spellStart"/>
      <w:r w:rsidRPr="009D268D">
        <w:rPr>
          <w:rFonts w:cs="Arial"/>
        </w:rPr>
        <w:t>Kopach</w:t>
      </w:r>
      <w:proofErr w:type="spellEnd"/>
      <w:r w:rsidRPr="009D268D">
        <w:rPr>
          <w:rFonts w:cs="Arial"/>
        </w:rPr>
        <w:t xml:space="preserve">, </w:t>
      </w:r>
      <w:r>
        <w:rPr>
          <w:rFonts w:cs="Arial"/>
        </w:rPr>
        <w:t>G.</w:t>
      </w:r>
      <w:r w:rsidRPr="009D268D">
        <w:rPr>
          <w:rFonts w:cs="Arial"/>
        </w:rPr>
        <w:t xml:space="preserve"> </w:t>
      </w:r>
      <w:proofErr w:type="spellStart"/>
      <w:r w:rsidRPr="009D268D">
        <w:rPr>
          <w:rFonts w:cs="Arial"/>
        </w:rPr>
        <w:t>Moine</w:t>
      </w:r>
      <w:proofErr w:type="spellEnd"/>
      <w:r w:rsidRPr="009D268D">
        <w:rPr>
          <w:rFonts w:cs="Arial"/>
        </w:rPr>
        <w:t xml:space="preserve">, </w:t>
      </w:r>
      <w:r>
        <w:rPr>
          <w:rFonts w:cs="Arial"/>
        </w:rPr>
        <w:t>P. Richardson,</w:t>
      </w:r>
      <w:r w:rsidRPr="009D268D">
        <w:rPr>
          <w:rFonts w:cs="Arial"/>
        </w:rPr>
        <w:t xml:space="preserve"> </w:t>
      </w:r>
      <w:r>
        <w:rPr>
          <w:rFonts w:cs="Arial"/>
        </w:rPr>
        <w:t xml:space="preserve">F. </w:t>
      </w:r>
      <w:proofErr w:type="spellStart"/>
      <w:r>
        <w:rPr>
          <w:rFonts w:cs="Arial"/>
        </w:rPr>
        <w:t>Roschangar</w:t>
      </w:r>
      <w:proofErr w:type="spellEnd"/>
      <w:r>
        <w:rPr>
          <w:rFonts w:cs="Arial"/>
        </w:rPr>
        <w:t>, A. Steven, F.</w:t>
      </w:r>
      <w:r w:rsidRPr="009D268D">
        <w:rPr>
          <w:rFonts w:cs="Arial"/>
        </w:rPr>
        <w:t xml:space="preserve"> J. </w:t>
      </w:r>
      <w:proofErr w:type="spellStart"/>
      <w:r w:rsidRPr="009D268D">
        <w:rPr>
          <w:rFonts w:cs="Arial"/>
        </w:rPr>
        <w:t>Weiberth</w:t>
      </w:r>
      <w:proofErr w:type="spellEnd"/>
      <w:r>
        <w:rPr>
          <w:rFonts w:cs="Arial"/>
        </w:rPr>
        <w:t xml:space="preserve">, </w:t>
      </w:r>
      <w:r w:rsidRPr="00827BC3">
        <w:rPr>
          <w:rFonts w:cs="Arial"/>
          <w:i/>
        </w:rPr>
        <w:t>Green Chem.</w:t>
      </w:r>
      <w:r w:rsidRPr="00827BC3">
        <w:rPr>
          <w:rFonts w:cs="Arial"/>
        </w:rPr>
        <w:t xml:space="preserve"> </w:t>
      </w:r>
      <w:r w:rsidRPr="00827BC3">
        <w:rPr>
          <w:rFonts w:cs="Arial"/>
          <w:b/>
        </w:rPr>
        <w:t>20</w:t>
      </w:r>
      <w:r>
        <w:rPr>
          <w:rFonts w:cs="Arial"/>
          <w:b/>
        </w:rPr>
        <w:t>18</w:t>
      </w:r>
      <w:r w:rsidRPr="00827BC3">
        <w:rPr>
          <w:rFonts w:cs="Arial"/>
        </w:rPr>
        <w:t xml:space="preserve">, </w:t>
      </w:r>
      <w:r>
        <w:rPr>
          <w:rFonts w:cs="Arial"/>
          <w:i/>
        </w:rPr>
        <w:t>20</w:t>
      </w:r>
      <w:r w:rsidRPr="00827BC3">
        <w:rPr>
          <w:rFonts w:cs="Arial"/>
        </w:rPr>
        <w:t xml:space="preserve">, </w:t>
      </w:r>
      <w:r>
        <w:rPr>
          <w:rFonts w:cs="Arial"/>
        </w:rPr>
        <w:t>5082–5103.</w:t>
      </w:r>
    </w:p>
  </w:endnote>
  <w:endnote w:id="7">
    <w:p w:rsidR="007477F4" w:rsidRPr="00827BC3" w:rsidRDefault="007477F4" w:rsidP="00827BC3">
      <w:pPr>
        <w:pStyle w:val="References"/>
        <w:rPr>
          <w:rFonts w:cs="Arial"/>
        </w:rPr>
      </w:pPr>
      <w:r>
        <w:rPr>
          <w:rFonts w:cs="Arial"/>
        </w:rPr>
        <w:t>[</w:t>
      </w:r>
      <w:r w:rsidRPr="00827BC3">
        <w:rPr>
          <w:rFonts w:cs="Arial"/>
        </w:rPr>
        <w:endnoteRef/>
      </w:r>
      <w:r>
        <w:rPr>
          <w:rFonts w:cs="Arial"/>
        </w:rPr>
        <w:t>]</w:t>
      </w:r>
      <w:r w:rsidRPr="00827BC3">
        <w:rPr>
          <w:rFonts w:cs="Arial"/>
        </w:rPr>
        <w:t xml:space="preserve"> </w:t>
      </w:r>
      <w:r>
        <w:rPr>
          <w:rFonts w:cs="Arial"/>
        </w:rPr>
        <w:tab/>
        <w:t xml:space="preserve">a) C. </w:t>
      </w:r>
      <w:proofErr w:type="spellStart"/>
      <w:r>
        <w:rPr>
          <w:rFonts w:cs="Arial"/>
        </w:rPr>
        <w:t>Capello</w:t>
      </w:r>
      <w:proofErr w:type="spellEnd"/>
      <w:r>
        <w:rPr>
          <w:rFonts w:cs="Arial"/>
        </w:rPr>
        <w:t>, U.</w:t>
      </w:r>
      <w:r w:rsidRPr="00827BC3">
        <w:rPr>
          <w:rFonts w:cs="Arial"/>
        </w:rPr>
        <w:t xml:space="preserve"> Fischer</w:t>
      </w:r>
      <w:r>
        <w:rPr>
          <w:rFonts w:cs="Arial"/>
        </w:rPr>
        <w:t xml:space="preserve">, K. </w:t>
      </w:r>
      <w:proofErr w:type="spellStart"/>
      <w:r>
        <w:rPr>
          <w:rFonts w:cs="Arial"/>
        </w:rPr>
        <w:t>Hungerbü</w:t>
      </w:r>
      <w:r w:rsidRPr="00827BC3">
        <w:rPr>
          <w:rFonts w:cs="Arial"/>
        </w:rPr>
        <w:t>hler</w:t>
      </w:r>
      <w:proofErr w:type="spellEnd"/>
      <w:r>
        <w:rPr>
          <w:rFonts w:cs="Arial"/>
        </w:rPr>
        <w:t xml:space="preserve">, </w:t>
      </w:r>
      <w:r w:rsidRPr="00827BC3">
        <w:rPr>
          <w:rFonts w:cs="Arial"/>
          <w:i/>
        </w:rPr>
        <w:t>Green Chem.</w:t>
      </w:r>
      <w:r w:rsidRPr="00827BC3">
        <w:rPr>
          <w:rFonts w:cs="Arial"/>
        </w:rPr>
        <w:t xml:space="preserve"> </w:t>
      </w:r>
      <w:r w:rsidRPr="00827BC3">
        <w:rPr>
          <w:rFonts w:cs="Arial"/>
          <w:b/>
        </w:rPr>
        <w:t>2007</w:t>
      </w:r>
      <w:r w:rsidRPr="00827BC3">
        <w:rPr>
          <w:rFonts w:cs="Arial"/>
        </w:rPr>
        <w:t xml:space="preserve">, </w:t>
      </w:r>
      <w:r w:rsidRPr="00827BC3">
        <w:rPr>
          <w:rFonts w:cs="Arial"/>
          <w:i/>
        </w:rPr>
        <w:t>9</w:t>
      </w:r>
      <w:r w:rsidRPr="00827BC3">
        <w:rPr>
          <w:rFonts w:cs="Arial"/>
        </w:rPr>
        <w:t>, 927–934</w:t>
      </w:r>
      <w:r>
        <w:rPr>
          <w:rFonts w:cs="Arial"/>
        </w:rPr>
        <w:t xml:space="preserve">; b) P. G. Jessop, </w:t>
      </w:r>
      <w:r w:rsidRPr="00827BC3">
        <w:rPr>
          <w:rFonts w:cs="Arial"/>
          <w:i/>
        </w:rPr>
        <w:t>Green Chem.</w:t>
      </w:r>
      <w:r w:rsidRPr="005B040E">
        <w:rPr>
          <w:rFonts w:cs="Arial"/>
        </w:rPr>
        <w:t xml:space="preserve"> </w:t>
      </w:r>
      <w:r w:rsidRPr="005B040E">
        <w:rPr>
          <w:rFonts w:cs="Arial"/>
          <w:b/>
        </w:rPr>
        <w:t>201</w:t>
      </w:r>
      <w:r>
        <w:rPr>
          <w:rFonts w:cs="Arial"/>
          <w:b/>
        </w:rPr>
        <w:t>1</w:t>
      </w:r>
      <w:r w:rsidRPr="005B040E">
        <w:rPr>
          <w:rFonts w:cs="Arial"/>
        </w:rPr>
        <w:t xml:space="preserve">, </w:t>
      </w:r>
      <w:r w:rsidRPr="005B040E">
        <w:rPr>
          <w:rFonts w:cs="Arial"/>
          <w:i/>
        </w:rPr>
        <w:t>1</w:t>
      </w:r>
      <w:r>
        <w:rPr>
          <w:rFonts w:cs="Arial"/>
          <w:i/>
        </w:rPr>
        <w:t>3</w:t>
      </w:r>
      <w:r w:rsidRPr="005B040E">
        <w:rPr>
          <w:rFonts w:cs="Arial"/>
        </w:rPr>
        <w:t xml:space="preserve">, </w:t>
      </w:r>
      <w:r>
        <w:rPr>
          <w:rFonts w:cs="Arial"/>
        </w:rPr>
        <w:t>1391</w:t>
      </w:r>
      <w:r w:rsidRPr="005B040E">
        <w:rPr>
          <w:rFonts w:cs="Arial"/>
        </w:rPr>
        <w:t>–</w:t>
      </w:r>
      <w:r>
        <w:rPr>
          <w:rFonts w:cs="Arial"/>
        </w:rPr>
        <w:t>1398.</w:t>
      </w:r>
    </w:p>
  </w:endnote>
  <w:endnote w:id="8">
    <w:p w:rsidR="007477F4" w:rsidRPr="00F527CC" w:rsidRDefault="007477F4" w:rsidP="00F527CC">
      <w:pPr>
        <w:pStyle w:val="References"/>
        <w:rPr>
          <w:color w:val="000000"/>
        </w:rPr>
      </w:pPr>
      <w:r>
        <w:rPr>
          <w:rFonts w:cs="Arial"/>
        </w:rPr>
        <w:t>[</w:t>
      </w:r>
      <w:r w:rsidRPr="008225FF">
        <w:rPr>
          <w:rFonts w:cs="Arial"/>
        </w:rPr>
        <w:endnoteRef/>
      </w:r>
      <w:r>
        <w:rPr>
          <w:rFonts w:cs="Arial"/>
        </w:rPr>
        <w:t>]</w:t>
      </w:r>
      <w:r>
        <w:rPr>
          <w:rFonts w:cs="Arial"/>
        </w:rPr>
        <w:tab/>
        <w:t xml:space="preserve">a) B. </w:t>
      </w:r>
      <w:proofErr w:type="spellStart"/>
      <w:r>
        <w:rPr>
          <w:rFonts w:cs="Arial"/>
        </w:rPr>
        <w:t>Schäffner</w:t>
      </w:r>
      <w:proofErr w:type="spellEnd"/>
      <w:r>
        <w:rPr>
          <w:rFonts w:cs="Arial"/>
        </w:rPr>
        <w:t>,</w:t>
      </w:r>
      <w:r w:rsidRPr="006D3DED">
        <w:rPr>
          <w:rFonts w:cs="Arial"/>
        </w:rPr>
        <w:t xml:space="preserve"> </w:t>
      </w:r>
      <w:r>
        <w:rPr>
          <w:rFonts w:cs="Arial"/>
        </w:rPr>
        <w:t xml:space="preserve">F. </w:t>
      </w:r>
      <w:proofErr w:type="spellStart"/>
      <w:r>
        <w:rPr>
          <w:rFonts w:cs="Arial"/>
        </w:rPr>
        <w:t>Schäffner</w:t>
      </w:r>
      <w:proofErr w:type="spellEnd"/>
      <w:r>
        <w:rPr>
          <w:rFonts w:cs="Arial"/>
        </w:rPr>
        <w:t xml:space="preserve">, S. P. </w:t>
      </w:r>
      <w:proofErr w:type="spellStart"/>
      <w:r>
        <w:rPr>
          <w:rFonts w:cs="Arial"/>
        </w:rPr>
        <w:t>Verevkin</w:t>
      </w:r>
      <w:proofErr w:type="spellEnd"/>
      <w:r>
        <w:rPr>
          <w:rFonts w:cs="Arial"/>
        </w:rPr>
        <w:t xml:space="preserve">, A. </w:t>
      </w:r>
      <w:proofErr w:type="spellStart"/>
      <w:r>
        <w:rPr>
          <w:rFonts w:cs="Arial"/>
        </w:rPr>
        <w:t>Börner</w:t>
      </w:r>
      <w:proofErr w:type="spellEnd"/>
      <w:r>
        <w:rPr>
          <w:rFonts w:cs="Arial"/>
        </w:rPr>
        <w:t xml:space="preserve">, </w:t>
      </w:r>
      <w:r>
        <w:rPr>
          <w:rFonts w:cs="Arial"/>
          <w:i/>
        </w:rPr>
        <w:t>Chem. Rev.</w:t>
      </w:r>
      <w:r>
        <w:rPr>
          <w:rFonts w:cs="Arial"/>
        </w:rPr>
        <w:t xml:space="preserve"> </w:t>
      </w:r>
      <w:r w:rsidRPr="006D3DED">
        <w:rPr>
          <w:rFonts w:cs="Arial"/>
          <w:b/>
        </w:rPr>
        <w:t>2010</w:t>
      </w:r>
      <w:r>
        <w:rPr>
          <w:rFonts w:cs="Arial"/>
        </w:rPr>
        <w:t xml:space="preserve">, </w:t>
      </w:r>
      <w:r w:rsidRPr="006D3DED">
        <w:rPr>
          <w:rFonts w:cs="Arial"/>
          <w:i/>
        </w:rPr>
        <w:t>110</w:t>
      </w:r>
      <w:r>
        <w:rPr>
          <w:rFonts w:cs="Arial"/>
        </w:rPr>
        <w:t xml:space="preserve">, 4554–4581; b) </w:t>
      </w:r>
      <w:r>
        <w:rPr>
          <w:color w:val="000000"/>
        </w:rPr>
        <w:t>M. North,</w:t>
      </w:r>
      <w:r w:rsidRPr="00F527CC">
        <w:rPr>
          <w:color w:val="000000"/>
        </w:rPr>
        <w:t xml:space="preserve"> R. Pasquale, </w:t>
      </w:r>
      <w:proofErr w:type="spellStart"/>
      <w:r w:rsidRPr="00F527CC">
        <w:rPr>
          <w:i/>
          <w:color w:val="000000"/>
        </w:rPr>
        <w:t>Angew</w:t>
      </w:r>
      <w:proofErr w:type="spellEnd"/>
      <w:r w:rsidRPr="00F527CC">
        <w:rPr>
          <w:i/>
          <w:color w:val="000000"/>
        </w:rPr>
        <w:t>. Chem. Int. Ed.,</w:t>
      </w:r>
      <w:r w:rsidRPr="00F527CC">
        <w:rPr>
          <w:color w:val="000000"/>
        </w:rPr>
        <w:t xml:space="preserve"> </w:t>
      </w:r>
      <w:r w:rsidRPr="00F527CC">
        <w:rPr>
          <w:b/>
          <w:color w:val="000000"/>
        </w:rPr>
        <w:t>2009</w:t>
      </w:r>
      <w:r w:rsidRPr="00F527CC">
        <w:rPr>
          <w:color w:val="000000"/>
        </w:rPr>
        <w:t xml:space="preserve">, </w:t>
      </w:r>
      <w:r w:rsidRPr="00F527CC">
        <w:rPr>
          <w:i/>
          <w:color w:val="000000"/>
        </w:rPr>
        <w:t>48</w:t>
      </w:r>
      <w:r w:rsidRPr="00F527CC">
        <w:rPr>
          <w:color w:val="000000"/>
        </w:rPr>
        <w:t xml:space="preserve">, 2946–2948; </w:t>
      </w:r>
      <w:r>
        <w:rPr>
          <w:color w:val="000000"/>
        </w:rPr>
        <w:t>c) M. North,</w:t>
      </w:r>
      <w:r w:rsidRPr="00F527CC">
        <w:rPr>
          <w:color w:val="000000"/>
        </w:rPr>
        <w:t xml:space="preserve"> M. </w:t>
      </w:r>
      <w:proofErr w:type="spellStart"/>
      <w:r w:rsidRPr="00F527CC">
        <w:rPr>
          <w:color w:val="000000"/>
        </w:rPr>
        <w:t>Omedes-Pujol</w:t>
      </w:r>
      <w:proofErr w:type="spellEnd"/>
      <w:r w:rsidRPr="00F527CC">
        <w:rPr>
          <w:color w:val="000000"/>
        </w:rPr>
        <w:t xml:space="preserve">, </w:t>
      </w:r>
      <w:r w:rsidRPr="00F527CC">
        <w:rPr>
          <w:i/>
          <w:color w:val="000000"/>
        </w:rPr>
        <w:t xml:space="preserve">Tetrahedron Lett., </w:t>
      </w:r>
      <w:r w:rsidRPr="00F527CC">
        <w:rPr>
          <w:b/>
          <w:color w:val="000000"/>
        </w:rPr>
        <w:t>2009</w:t>
      </w:r>
      <w:r w:rsidRPr="00F527CC">
        <w:rPr>
          <w:color w:val="000000"/>
        </w:rPr>
        <w:t xml:space="preserve">, </w:t>
      </w:r>
      <w:r w:rsidRPr="00F527CC">
        <w:rPr>
          <w:i/>
          <w:color w:val="000000"/>
        </w:rPr>
        <w:t>50</w:t>
      </w:r>
      <w:r w:rsidRPr="00F527CC">
        <w:rPr>
          <w:color w:val="000000"/>
        </w:rPr>
        <w:t>, 4452–4454;</w:t>
      </w:r>
      <w:r>
        <w:rPr>
          <w:rFonts w:cs="Arial"/>
        </w:rPr>
        <w:t xml:space="preserve"> </w:t>
      </w:r>
      <w:r>
        <w:rPr>
          <w:color w:val="000000"/>
        </w:rPr>
        <w:t xml:space="preserve">d) M. North, F. </w:t>
      </w:r>
      <w:proofErr w:type="spellStart"/>
      <w:r>
        <w:rPr>
          <w:color w:val="000000"/>
        </w:rPr>
        <w:t>Pizzato</w:t>
      </w:r>
      <w:proofErr w:type="spellEnd"/>
      <w:r>
        <w:rPr>
          <w:color w:val="000000"/>
        </w:rPr>
        <w:t>,</w:t>
      </w:r>
      <w:r w:rsidRPr="0051458B">
        <w:rPr>
          <w:color w:val="000000"/>
        </w:rPr>
        <w:t xml:space="preserve"> P. </w:t>
      </w:r>
      <w:proofErr w:type="spellStart"/>
      <w:r w:rsidRPr="0051458B">
        <w:rPr>
          <w:color w:val="000000"/>
        </w:rPr>
        <w:t>Villuendas</w:t>
      </w:r>
      <w:proofErr w:type="spellEnd"/>
      <w:r w:rsidRPr="0051458B">
        <w:rPr>
          <w:color w:val="000000"/>
        </w:rPr>
        <w:t xml:space="preserve">, </w:t>
      </w:r>
      <w:proofErr w:type="spellStart"/>
      <w:r w:rsidRPr="0051458B">
        <w:rPr>
          <w:i/>
          <w:color w:val="000000"/>
        </w:rPr>
        <w:t>ChemSusChem</w:t>
      </w:r>
      <w:proofErr w:type="spellEnd"/>
      <w:r w:rsidRPr="0051458B">
        <w:rPr>
          <w:color w:val="000000"/>
        </w:rPr>
        <w:t xml:space="preserve"> </w:t>
      </w:r>
      <w:r w:rsidRPr="0051458B">
        <w:rPr>
          <w:b/>
          <w:color w:val="000000"/>
        </w:rPr>
        <w:t>2009</w:t>
      </w:r>
      <w:r w:rsidRPr="0051458B">
        <w:rPr>
          <w:color w:val="000000"/>
        </w:rPr>
        <w:t xml:space="preserve">, </w:t>
      </w:r>
      <w:r w:rsidRPr="0051458B">
        <w:rPr>
          <w:i/>
          <w:color w:val="000000"/>
        </w:rPr>
        <w:t>2</w:t>
      </w:r>
      <w:r w:rsidRPr="0051458B">
        <w:rPr>
          <w:color w:val="000000"/>
        </w:rPr>
        <w:t xml:space="preserve">, 862–865; </w:t>
      </w:r>
      <w:r>
        <w:rPr>
          <w:color w:val="000000"/>
        </w:rPr>
        <w:t>e</w:t>
      </w:r>
      <w:r w:rsidRPr="0051458B">
        <w:rPr>
          <w:color w:val="000000"/>
        </w:rPr>
        <w:t xml:space="preserve">) </w:t>
      </w:r>
      <w:r>
        <w:rPr>
          <w:color w:val="000000"/>
        </w:rPr>
        <w:t>M. North,</w:t>
      </w:r>
      <w:r w:rsidRPr="0051458B">
        <w:rPr>
          <w:color w:val="000000"/>
        </w:rPr>
        <w:t xml:space="preserve"> P. </w:t>
      </w:r>
      <w:proofErr w:type="spellStart"/>
      <w:r w:rsidRPr="0051458B">
        <w:rPr>
          <w:color w:val="000000"/>
        </w:rPr>
        <w:t>Villuendas</w:t>
      </w:r>
      <w:proofErr w:type="spellEnd"/>
      <w:r w:rsidRPr="0051458B">
        <w:rPr>
          <w:color w:val="000000"/>
        </w:rPr>
        <w:t xml:space="preserve">, </w:t>
      </w:r>
      <w:r w:rsidRPr="0051458B">
        <w:rPr>
          <w:i/>
          <w:color w:val="000000"/>
        </w:rPr>
        <w:t>Org. Lett.</w:t>
      </w:r>
      <w:r w:rsidRPr="0051458B">
        <w:rPr>
          <w:color w:val="000000"/>
        </w:rPr>
        <w:t xml:space="preserve"> </w:t>
      </w:r>
      <w:r w:rsidRPr="0051458B">
        <w:rPr>
          <w:b/>
          <w:color w:val="000000"/>
        </w:rPr>
        <w:t>2010</w:t>
      </w:r>
      <w:r w:rsidRPr="0051458B">
        <w:rPr>
          <w:color w:val="000000"/>
        </w:rPr>
        <w:t xml:space="preserve">, </w:t>
      </w:r>
      <w:r w:rsidRPr="0051458B">
        <w:rPr>
          <w:i/>
          <w:color w:val="000000"/>
        </w:rPr>
        <w:t>12</w:t>
      </w:r>
      <w:r w:rsidRPr="0051458B">
        <w:rPr>
          <w:color w:val="000000"/>
        </w:rPr>
        <w:t xml:space="preserve">, 2378–2381; </w:t>
      </w:r>
      <w:r>
        <w:rPr>
          <w:color w:val="000000"/>
        </w:rPr>
        <w:t>f</w:t>
      </w:r>
      <w:r w:rsidRPr="0051458B">
        <w:rPr>
          <w:color w:val="000000"/>
        </w:rPr>
        <w:t>) W. Clegg, R. W. Harri</w:t>
      </w:r>
      <w:r>
        <w:rPr>
          <w:color w:val="000000"/>
        </w:rPr>
        <w:t xml:space="preserve">ngton, M. North, F. </w:t>
      </w:r>
      <w:proofErr w:type="spellStart"/>
      <w:r>
        <w:rPr>
          <w:color w:val="000000"/>
        </w:rPr>
        <w:t>Pizzato</w:t>
      </w:r>
      <w:proofErr w:type="spellEnd"/>
      <w:r>
        <w:rPr>
          <w:color w:val="000000"/>
        </w:rPr>
        <w:t xml:space="preserve">, </w:t>
      </w:r>
      <w:r w:rsidRPr="0051458B">
        <w:rPr>
          <w:color w:val="000000"/>
        </w:rPr>
        <w:t xml:space="preserve">P. </w:t>
      </w:r>
      <w:proofErr w:type="spellStart"/>
      <w:r w:rsidRPr="0051458B">
        <w:rPr>
          <w:color w:val="000000"/>
        </w:rPr>
        <w:t>Villuendas</w:t>
      </w:r>
      <w:proofErr w:type="spellEnd"/>
      <w:r w:rsidRPr="0051458B">
        <w:rPr>
          <w:color w:val="000000"/>
        </w:rPr>
        <w:t xml:space="preserve">, </w:t>
      </w:r>
      <w:r w:rsidRPr="0051458B">
        <w:rPr>
          <w:i/>
          <w:color w:val="000000"/>
        </w:rPr>
        <w:t>Tetrahedron: Asymmetry</w:t>
      </w:r>
      <w:r w:rsidRPr="0051458B">
        <w:rPr>
          <w:color w:val="000000"/>
        </w:rPr>
        <w:t xml:space="preserve"> </w:t>
      </w:r>
      <w:r w:rsidRPr="0051458B">
        <w:rPr>
          <w:b/>
          <w:color w:val="000000"/>
        </w:rPr>
        <w:t>2010</w:t>
      </w:r>
      <w:r w:rsidRPr="0051458B">
        <w:rPr>
          <w:color w:val="000000"/>
        </w:rPr>
        <w:t xml:space="preserve">, </w:t>
      </w:r>
      <w:r w:rsidRPr="0051458B">
        <w:rPr>
          <w:i/>
          <w:color w:val="000000"/>
        </w:rPr>
        <w:t>21</w:t>
      </w:r>
      <w:r w:rsidRPr="0051458B">
        <w:rPr>
          <w:color w:val="000000"/>
        </w:rPr>
        <w:t>, 1262–1271</w:t>
      </w:r>
      <w:r>
        <w:rPr>
          <w:color w:val="000000"/>
        </w:rPr>
        <w:t xml:space="preserve">; g) </w:t>
      </w:r>
      <w:r w:rsidRPr="00F527CC">
        <w:rPr>
          <w:color w:val="000000"/>
        </w:rPr>
        <w:t xml:space="preserve">P. </w:t>
      </w:r>
      <w:proofErr w:type="spellStart"/>
      <w:r w:rsidRPr="00F527CC">
        <w:rPr>
          <w:color w:val="000000"/>
        </w:rPr>
        <w:t>Lenden</w:t>
      </w:r>
      <w:proofErr w:type="spellEnd"/>
      <w:r w:rsidRPr="00F527CC">
        <w:rPr>
          <w:color w:val="000000"/>
        </w:rPr>
        <w:t xml:space="preserve">, P. M. </w:t>
      </w:r>
      <w:proofErr w:type="spellStart"/>
      <w:r w:rsidRPr="00F527CC">
        <w:rPr>
          <w:color w:val="000000"/>
        </w:rPr>
        <w:t>Ylioja</w:t>
      </w:r>
      <w:proofErr w:type="spellEnd"/>
      <w:r w:rsidRPr="00F527CC">
        <w:rPr>
          <w:color w:val="000000"/>
        </w:rPr>
        <w:t xml:space="preserve">, C. González-Rodríguez, D. A. </w:t>
      </w:r>
      <w:proofErr w:type="spellStart"/>
      <w:r w:rsidRPr="00F527CC">
        <w:rPr>
          <w:color w:val="000000"/>
        </w:rPr>
        <w:t>Entwistle</w:t>
      </w:r>
      <w:proofErr w:type="spellEnd"/>
      <w:r w:rsidRPr="00F527CC">
        <w:rPr>
          <w:color w:val="000000"/>
        </w:rPr>
        <w:t xml:space="preserve"> and M. C. Willis, </w:t>
      </w:r>
      <w:r>
        <w:rPr>
          <w:i/>
          <w:color w:val="000000"/>
        </w:rPr>
        <w:t>Green Chem.</w:t>
      </w:r>
      <w:r w:rsidRPr="00F527CC">
        <w:rPr>
          <w:i/>
          <w:color w:val="000000"/>
        </w:rPr>
        <w:t xml:space="preserve"> </w:t>
      </w:r>
      <w:r w:rsidRPr="00F527CC">
        <w:rPr>
          <w:b/>
          <w:color w:val="000000"/>
        </w:rPr>
        <w:t>2011</w:t>
      </w:r>
      <w:r w:rsidRPr="00F527CC">
        <w:rPr>
          <w:color w:val="000000"/>
        </w:rPr>
        <w:t xml:space="preserve">, </w:t>
      </w:r>
      <w:r w:rsidRPr="00F527CC">
        <w:rPr>
          <w:i/>
          <w:color w:val="000000"/>
        </w:rPr>
        <w:t>13</w:t>
      </w:r>
      <w:r w:rsidRPr="00F527CC">
        <w:rPr>
          <w:color w:val="000000"/>
        </w:rPr>
        <w:t>, 1980–1982</w:t>
      </w:r>
      <w:r>
        <w:rPr>
          <w:color w:val="000000"/>
        </w:rPr>
        <w:t xml:space="preserve">; h) M. </w:t>
      </w:r>
      <w:proofErr w:type="spellStart"/>
      <w:r>
        <w:rPr>
          <w:color w:val="000000"/>
        </w:rPr>
        <w:t>Morcillo</w:t>
      </w:r>
      <w:proofErr w:type="spellEnd"/>
      <w:r>
        <w:rPr>
          <w:color w:val="000000"/>
        </w:rPr>
        <w:t xml:space="preserve">, M. North, </w:t>
      </w:r>
      <w:r w:rsidRPr="0051458B">
        <w:rPr>
          <w:color w:val="000000"/>
        </w:rPr>
        <w:t xml:space="preserve">P. </w:t>
      </w:r>
      <w:proofErr w:type="spellStart"/>
      <w:r w:rsidRPr="0051458B">
        <w:rPr>
          <w:color w:val="000000"/>
        </w:rPr>
        <w:t>Villuendas</w:t>
      </w:r>
      <w:proofErr w:type="spellEnd"/>
      <w:r w:rsidRPr="0051458B">
        <w:rPr>
          <w:color w:val="000000"/>
        </w:rPr>
        <w:t xml:space="preserve">, </w:t>
      </w:r>
      <w:r w:rsidRPr="0051458B">
        <w:rPr>
          <w:i/>
          <w:color w:val="000000"/>
        </w:rPr>
        <w:t>Synthesis</w:t>
      </w:r>
      <w:r w:rsidRPr="0051458B">
        <w:rPr>
          <w:color w:val="000000"/>
        </w:rPr>
        <w:t xml:space="preserve"> </w:t>
      </w:r>
      <w:r w:rsidRPr="0051458B">
        <w:rPr>
          <w:b/>
          <w:color w:val="000000"/>
        </w:rPr>
        <w:t>2011</w:t>
      </w:r>
      <w:r w:rsidRPr="0051458B">
        <w:rPr>
          <w:color w:val="000000"/>
        </w:rPr>
        <w:t>, 1918–19</w:t>
      </w:r>
      <w:r>
        <w:rPr>
          <w:color w:val="000000"/>
        </w:rPr>
        <w:t xml:space="preserve">25; </w:t>
      </w:r>
      <w:proofErr w:type="spellStart"/>
      <w:r>
        <w:rPr>
          <w:color w:val="000000"/>
        </w:rPr>
        <w:t>i</w:t>
      </w:r>
      <w:proofErr w:type="spellEnd"/>
      <w:r>
        <w:rPr>
          <w:color w:val="000000"/>
        </w:rPr>
        <w:t>) C. Beattie, M. North,</w:t>
      </w:r>
      <w:r w:rsidRPr="0051458B">
        <w:rPr>
          <w:color w:val="000000"/>
        </w:rPr>
        <w:t xml:space="preserve"> P. </w:t>
      </w:r>
      <w:proofErr w:type="spellStart"/>
      <w:r w:rsidRPr="0051458B">
        <w:rPr>
          <w:color w:val="000000"/>
        </w:rPr>
        <w:t>Villuendas</w:t>
      </w:r>
      <w:proofErr w:type="spellEnd"/>
      <w:r w:rsidRPr="0051458B">
        <w:rPr>
          <w:color w:val="000000"/>
        </w:rPr>
        <w:t xml:space="preserve">, </w:t>
      </w:r>
      <w:r w:rsidRPr="0051458B">
        <w:rPr>
          <w:i/>
          <w:color w:val="000000"/>
        </w:rPr>
        <w:t>Molecule</w:t>
      </w:r>
      <w:r w:rsidRPr="0051458B">
        <w:rPr>
          <w:color w:val="000000"/>
        </w:rPr>
        <w:t xml:space="preserve">s </w:t>
      </w:r>
      <w:r w:rsidRPr="0051458B">
        <w:rPr>
          <w:b/>
          <w:color w:val="000000"/>
        </w:rPr>
        <w:t>2011</w:t>
      </w:r>
      <w:r w:rsidRPr="0051458B">
        <w:rPr>
          <w:color w:val="000000"/>
        </w:rPr>
        <w:t xml:space="preserve">, </w:t>
      </w:r>
      <w:r w:rsidRPr="0051458B">
        <w:rPr>
          <w:i/>
          <w:color w:val="000000"/>
        </w:rPr>
        <w:t>16</w:t>
      </w:r>
      <w:r w:rsidRPr="0051458B">
        <w:rPr>
          <w:color w:val="000000"/>
        </w:rPr>
        <w:t>, 3420–3432</w:t>
      </w:r>
      <w:r>
        <w:rPr>
          <w:rFonts w:cs="Arial"/>
        </w:rPr>
        <w:t xml:space="preserve">; </w:t>
      </w:r>
      <w:r>
        <w:rPr>
          <w:color w:val="000000"/>
        </w:rPr>
        <w:t xml:space="preserve">j) C. E. P. </w:t>
      </w:r>
      <w:proofErr w:type="spellStart"/>
      <w:r>
        <w:rPr>
          <w:color w:val="000000"/>
        </w:rPr>
        <w:t>Galvis</w:t>
      </w:r>
      <w:proofErr w:type="spellEnd"/>
      <w:r>
        <w:rPr>
          <w:color w:val="000000"/>
        </w:rPr>
        <w:t xml:space="preserve">, </w:t>
      </w:r>
      <w:r w:rsidRPr="00D77415">
        <w:rPr>
          <w:color w:val="000000"/>
        </w:rPr>
        <w:t xml:space="preserve">V. V. </w:t>
      </w:r>
      <w:proofErr w:type="spellStart"/>
      <w:r w:rsidRPr="00D77415">
        <w:rPr>
          <w:color w:val="000000"/>
        </w:rPr>
        <w:t>Kouznetsov</w:t>
      </w:r>
      <w:proofErr w:type="spellEnd"/>
      <w:r w:rsidRPr="00D77415">
        <w:rPr>
          <w:color w:val="000000"/>
        </w:rPr>
        <w:t xml:space="preserve">, </w:t>
      </w:r>
      <w:r w:rsidRPr="00D77415">
        <w:rPr>
          <w:i/>
          <w:color w:val="000000"/>
        </w:rPr>
        <w:t xml:space="preserve">Org. </w:t>
      </w:r>
      <w:proofErr w:type="spellStart"/>
      <w:r w:rsidRPr="00D77415">
        <w:rPr>
          <w:i/>
          <w:color w:val="000000"/>
        </w:rPr>
        <w:t>Biomol</w:t>
      </w:r>
      <w:proofErr w:type="spellEnd"/>
      <w:r w:rsidRPr="00D77415">
        <w:rPr>
          <w:i/>
          <w:color w:val="000000"/>
        </w:rPr>
        <w:t>. Chem.</w:t>
      </w:r>
      <w:r w:rsidRPr="00D77415">
        <w:rPr>
          <w:color w:val="000000"/>
        </w:rPr>
        <w:t xml:space="preserve"> </w:t>
      </w:r>
      <w:r w:rsidRPr="00D77415">
        <w:rPr>
          <w:b/>
          <w:color w:val="000000"/>
        </w:rPr>
        <w:t>2013</w:t>
      </w:r>
      <w:r w:rsidRPr="00D77415">
        <w:rPr>
          <w:color w:val="000000"/>
        </w:rPr>
        <w:t xml:space="preserve">, </w:t>
      </w:r>
      <w:r w:rsidRPr="00D77415">
        <w:rPr>
          <w:i/>
          <w:color w:val="000000"/>
        </w:rPr>
        <w:t>11</w:t>
      </w:r>
      <w:r w:rsidRPr="00D77415">
        <w:rPr>
          <w:color w:val="000000"/>
        </w:rPr>
        <w:t>, 7372</w:t>
      </w:r>
      <w:r w:rsidRPr="00D77415">
        <w:rPr>
          <w:color w:val="000000"/>
        </w:rPr>
        <w:softHyphen/>
        <w:t>–7386;</w:t>
      </w:r>
      <w:r>
        <w:rPr>
          <w:color w:val="000000"/>
        </w:rPr>
        <w:t xml:space="preserve"> k) </w:t>
      </w:r>
      <w:r w:rsidRPr="00F527CC">
        <w:rPr>
          <w:color w:val="000000"/>
        </w:rPr>
        <w:t xml:space="preserve">B. Yu, Z.-F </w:t>
      </w:r>
      <w:proofErr w:type="spellStart"/>
      <w:r w:rsidRPr="00F527CC">
        <w:rPr>
          <w:color w:val="000000"/>
        </w:rPr>
        <w:t>Diao</w:t>
      </w:r>
      <w:proofErr w:type="spellEnd"/>
      <w:r w:rsidRPr="00F527CC">
        <w:rPr>
          <w:color w:val="000000"/>
        </w:rPr>
        <w:t xml:space="preserve">, C.-X. </w:t>
      </w:r>
      <w:proofErr w:type="spellStart"/>
      <w:r w:rsidRPr="00F527CC">
        <w:rPr>
          <w:color w:val="000000"/>
        </w:rPr>
        <w:t>Guo</w:t>
      </w:r>
      <w:proofErr w:type="spellEnd"/>
      <w:r w:rsidRPr="00F527CC">
        <w:rPr>
          <w:color w:val="000000"/>
        </w:rPr>
        <w:t xml:space="preserve">, C.-L. </w:t>
      </w:r>
      <w:proofErr w:type="spellStart"/>
      <w:r w:rsidRPr="00F527CC">
        <w:rPr>
          <w:color w:val="000000"/>
        </w:rPr>
        <w:t>Zhong</w:t>
      </w:r>
      <w:proofErr w:type="spellEnd"/>
      <w:r w:rsidRPr="00F527CC">
        <w:rPr>
          <w:color w:val="000000"/>
        </w:rPr>
        <w:t>, L.-N. He, Y.-N.</w:t>
      </w:r>
      <w:r>
        <w:rPr>
          <w:color w:val="000000"/>
        </w:rPr>
        <w:t xml:space="preserve"> Zhao, Q.-W. Song, A.-H. Liu,</w:t>
      </w:r>
      <w:r w:rsidRPr="00F527CC">
        <w:rPr>
          <w:color w:val="000000"/>
        </w:rPr>
        <w:t xml:space="preserve"> J.-Q. Wang, </w:t>
      </w:r>
      <w:r w:rsidRPr="00F527CC">
        <w:rPr>
          <w:i/>
          <w:color w:val="000000"/>
        </w:rPr>
        <w:t>Green Chem.</w:t>
      </w:r>
      <w:r w:rsidRPr="00F527CC">
        <w:rPr>
          <w:color w:val="000000"/>
        </w:rPr>
        <w:t xml:space="preserve"> </w:t>
      </w:r>
      <w:r w:rsidRPr="00F527CC">
        <w:rPr>
          <w:b/>
          <w:color w:val="000000"/>
        </w:rPr>
        <w:t>2013</w:t>
      </w:r>
      <w:r w:rsidRPr="00F527CC">
        <w:rPr>
          <w:color w:val="000000"/>
        </w:rPr>
        <w:t xml:space="preserve">, </w:t>
      </w:r>
      <w:r w:rsidRPr="00F527CC">
        <w:rPr>
          <w:i/>
          <w:color w:val="000000"/>
        </w:rPr>
        <w:t>15</w:t>
      </w:r>
      <w:r w:rsidRPr="00F527CC">
        <w:rPr>
          <w:color w:val="000000"/>
        </w:rPr>
        <w:t>, 2401–2407</w:t>
      </w:r>
      <w:r>
        <w:rPr>
          <w:color w:val="000000"/>
        </w:rPr>
        <w:t xml:space="preserve">; l) B. </w:t>
      </w:r>
      <w:proofErr w:type="spellStart"/>
      <w:r>
        <w:rPr>
          <w:color w:val="000000"/>
        </w:rPr>
        <w:t>Pieber</w:t>
      </w:r>
      <w:proofErr w:type="spellEnd"/>
      <w:r>
        <w:rPr>
          <w:color w:val="000000"/>
        </w:rPr>
        <w:t>,</w:t>
      </w:r>
      <w:r w:rsidRPr="00F527CC">
        <w:rPr>
          <w:color w:val="000000"/>
        </w:rPr>
        <w:t xml:space="preserve"> C. O. </w:t>
      </w:r>
      <w:proofErr w:type="spellStart"/>
      <w:r w:rsidRPr="00F527CC">
        <w:rPr>
          <w:color w:val="000000"/>
        </w:rPr>
        <w:t>Kappe</w:t>
      </w:r>
      <w:proofErr w:type="spellEnd"/>
      <w:r w:rsidRPr="00F527CC">
        <w:rPr>
          <w:color w:val="000000"/>
        </w:rPr>
        <w:t xml:space="preserve">, </w:t>
      </w:r>
      <w:r w:rsidRPr="00F527CC">
        <w:rPr>
          <w:i/>
          <w:color w:val="000000"/>
        </w:rPr>
        <w:t>Green Chem.</w:t>
      </w:r>
      <w:r w:rsidRPr="00F527CC">
        <w:rPr>
          <w:color w:val="000000"/>
        </w:rPr>
        <w:t xml:space="preserve"> </w:t>
      </w:r>
      <w:r w:rsidRPr="00F527CC">
        <w:rPr>
          <w:b/>
          <w:color w:val="000000"/>
        </w:rPr>
        <w:t>2013</w:t>
      </w:r>
      <w:r w:rsidRPr="00F527CC">
        <w:rPr>
          <w:color w:val="000000"/>
        </w:rPr>
        <w:t xml:space="preserve">, </w:t>
      </w:r>
      <w:r w:rsidRPr="00F527CC">
        <w:rPr>
          <w:i/>
          <w:color w:val="000000"/>
        </w:rPr>
        <w:t>15</w:t>
      </w:r>
      <w:r w:rsidRPr="00F527CC">
        <w:rPr>
          <w:color w:val="000000"/>
        </w:rPr>
        <w:t>, 320–324</w:t>
      </w:r>
      <w:r>
        <w:rPr>
          <w:color w:val="000000"/>
        </w:rPr>
        <w:t xml:space="preserve">; m) </w:t>
      </w:r>
      <w:r w:rsidRPr="00F527CC">
        <w:rPr>
          <w:color w:val="000000"/>
        </w:rPr>
        <w:t>H. L. Par</w:t>
      </w:r>
      <w:r>
        <w:rPr>
          <w:color w:val="000000"/>
        </w:rPr>
        <w:t>ker, J. Sherwood, A. J. Hunt,</w:t>
      </w:r>
      <w:r w:rsidRPr="00F527CC">
        <w:rPr>
          <w:color w:val="000000"/>
        </w:rPr>
        <w:t xml:space="preserve"> J. H. Clark, </w:t>
      </w:r>
      <w:r w:rsidRPr="00F527CC">
        <w:rPr>
          <w:i/>
          <w:color w:val="000000"/>
        </w:rPr>
        <w:t>ACS Sustainable Chem. Eng.</w:t>
      </w:r>
      <w:r w:rsidRPr="00F527CC">
        <w:rPr>
          <w:color w:val="000000"/>
        </w:rPr>
        <w:t xml:space="preserve"> </w:t>
      </w:r>
      <w:r w:rsidRPr="00F527CC">
        <w:rPr>
          <w:b/>
          <w:color w:val="000000"/>
        </w:rPr>
        <w:t>2014</w:t>
      </w:r>
      <w:r w:rsidRPr="00F527CC">
        <w:rPr>
          <w:color w:val="000000"/>
        </w:rPr>
        <w:t xml:space="preserve">, </w:t>
      </w:r>
      <w:r w:rsidRPr="00F527CC">
        <w:rPr>
          <w:i/>
          <w:color w:val="000000"/>
        </w:rPr>
        <w:t>2</w:t>
      </w:r>
      <w:r w:rsidRPr="00F527CC">
        <w:rPr>
          <w:color w:val="000000"/>
        </w:rPr>
        <w:t>, 1739–1742</w:t>
      </w:r>
      <w:r>
        <w:rPr>
          <w:color w:val="000000"/>
        </w:rPr>
        <w:t xml:space="preserve">; n) P. </w:t>
      </w:r>
      <w:proofErr w:type="spellStart"/>
      <w:r>
        <w:rPr>
          <w:color w:val="000000"/>
        </w:rPr>
        <w:t>Neubert</w:t>
      </w:r>
      <w:proofErr w:type="spellEnd"/>
      <w:r>
        <w:rPr>
          <w:color w:val="000000"/>
        </w:rPr>
        <w:t>, S. Fuchs,</w:t>
      </w:r>
      <w:r w:rsidRPr="00F527CC">
        <w:rPr>
          <w:color w:val="000000"/>
        </w:rPr>
        <w:t xml:space="preserve"> A. Behr, </w:t>
      </w:r>
      <w:r w:rsidRPr="00F527CC">
        <w:rPr>
          <w:i/>
          <w:color w:val="000000"/>
        </w:rPr>
        <w:t>Green Chem.</w:t>
      </w:r>
      <w:r w:rsidRPr="00F527CC">
        <w:rPr>
          <w:color w:val="000000"/>
        </w:rPr>
        <w:t xml:space="preserve">, </w:t>
      </w:r>
      <w:r w:rsidRPr="00F527CC">
        <w:rPr>
          <w:b/>
          <w:color w:val="000000"/>
        </w:rPr>
        <w:t>2015</w:t>
      </w:r>
      <w:r w:rsidRPr="00F527CC">
        <w:rPr>
          <w:color w:val="000000"/>
        </w:rPr>
        <w:t xml:space="preserve">, </w:t>
      </w:r>
      <w:r w:rsidRPr="00F527CC">
        <w:rPr>
          <w:i/>
          <w:color w:val="000000"/>
        </w:rPr>
        <w:t>17</w:t>
      </w:r>
      <w:r w:rsidRPr="00F527CC">
        <w:rPr>
          <w:color w:val="000000"/>
        </w:rPr>
        <w:t>, 4045-4052</w:t>
      </w:r>
      <w:r>
        <w:rPr>
          <w:color w:val="000000"/>
        </w:rPr>
        <w:t>; o</w:t>
      </w:r>
      <w:r w:rsidRPr="00D77415">
        <w:rPr>
          <w:color w:val="000000"/>
        </w:rPr>
        <w:t xml:space="preserve">) J. S. B. </w:t>
      </w:r>
      <w:proofErr w:type="spellStart"/>
      <w:r w:rsidRPr="00D77415">
        <w:rPr>
          <w:color w:val="000000"/>
        </w:rPr>
        <w:t>Forero</w:t>
      </w:r>
      <w:proofErr w:type="spellEnd"/>
      <w:r w:rsidRPr="00D77415">
        <w:rPr>
          <w:color w:val="000000"/>
        </w:rPr>
        <w:t xml:space="preserve">, E. </w:t>
      </w:r>
      <w:r>
        <w:rPr>
          <w:color w:val="000000"/>
        </w:rPr>
        <w:t xml:space="preserve">M. D. </w:t>
      </w:r>
      <w:proofErr w:type="spellStart"/>
      <w:r>
        <w:rPr>
          <w:color w:val="000000"/>
        </w:rPr>
        <w:t>Carvalho</w:t>
      </w:r>
      <w:proofErr w:type="spellEnd"/>
      <w:r>
        <w:rPr>
          <w:color w:val="000000"/>
        </w:rPr>
        <w:t>, J. J. Junior,</w:t>
      </w:r>
      <w:r w:rsidRPr="00D77415">
        <w:rPr>
          <w:color w:val="000000"/>
        </w:rPr>
        <w:t xml:space="preserve"> F. M. Silva, </w:t>
      </w:r>
      <w:proofErr w:type="spellStart"/>
      <w:r w:rsidRPr="00D77415">
        <w:rPr>
          <w:i/>
          <w:color w:val="000000"/>
        </w:rPr>
        <w:t>Curr</w:t>
      </w:r>
      <w:proofErr w:type="spellEnd"/>
      <w:r w:rsidRPr="00D77415">
        <w:rPr>
          <w:i/>
          <w:color w:val="000000"/>
        </w:rPr>
        <w:t>. Org. Synth.</w:t>
      </w:r>
      <w:r w:rsidRPr="00D77415">
        <w:rPr>
          <w:color w:val="000000"/>
        </w:rPr>
        <w:t xml:space="preserve"> </w:t>
      </w:r>
      <w:r w:rsidRPr="00D77415">
        <w:rPr>
          <w:b/>
          <w:color w:val="000000"/>
        </w:rPr>
        <w:t>2015</w:t>
      </w:r>
      <w:r w:rsidRPr="00D77415">
        <w:rPr>
          <w:color w:val="000000"/>
        </w:rPr>
        <w:t>, 102–107</w:t>
      </w:r>
      <w:r>
        <w:rPr>
          <w:color w:val="000000"/>
        </w:rPr>
        <w:t>.</w:t>
      </w:r>
    </w:p>
  </w:endnote>
  <w:endnote w:id="9">
    <w:p w:rsidR="007477F4" w:rsidRPr="00674DF6" w:rsidRDefault="007477F4" w:rsidP="00674DF6">
      <w:pPr>
        <w:pStyle w:val="References"/>
        <w:rPr>
          <w:rFonts w:cs="Arial"/>
        </w:rPr>
      </w:pPr>
      <w:r w:rsidRPr="00674DF6">
        <w:rPr>
          <w:rFonts w:cs="Arial"/>
        </w:rPr>
        <w:t>[</w:t>
      </w:r>
      <w:r w:rsidRPr="00674DF6">
        <w:rPr>
          <w:rFonts w:cs="Arial"/>
        </w:rPr>
        <w:endnoteRef/>
      </w:r>
      <w:r w:rsidRPr="00674DF6">
        <w:rPr>
          <w:rFonts w:cs="Arial"/>
        </w:rPr>
        <w:t xml:space="preserve">] </w:t>
      </w:r>
      <w:r>
        <w:rPr>
          <w:rFonts w:cs="Arial"/>
        </w:rPr>
        <w:tab/>
        <w:t xml:space="preserve">S. </w:t>
      </w:r>
      <w:proofErr w:type="spellStart"/>
      <w:r>
        <w:rPr>
          <w:rFonts w:cs="Arial"/>
        </w:rPr>
        <w:t>B.Lawrenson</w:t>
      </w:r>
      <w:proofErr w:type="spellEnd"/>
      <w:r>
        <w:rPr>
          <w:rFonts w:cs="Arial"/>
        </w:rPr>
        <w:t xml:space="preserve">, R. </w:t>
      </w:r>
      <w:proofErr w:type="spellStart"/>
      <w:r>
        <w:rPr>
          <w:rFonts w:cs="Arial"/>
        </w:rPr>
        <w:t>Arav</w:t>
      </w:r>
      <w:proofErr w:type="spellEnd"/>
      <w:r>
        <w:rPr>
          <w:rFonts w:cs="Arial"/>
        </w:rPr>
        <w:t xml:space="preserve">, M. North, </w:t>
      </w:r>
      <w:r w:rsidRPr="0051458B">
        <w:rPr>
          <w:rFonts w:cs="Arial"/>
          <w:i/>
        </w:rPr>
        <w:t>Green Chem.</w:t>
      </w:r>
      <w:r w:rsidRPr="0051458B">
        <w:rPr>
          <w:rFonts w:cs="Arial"/>
        </w:rPr>
        <w:t xml:space="preserve"> </w:t>
      </w:r>
      <w:r w:rsidRPr="0051458B">
        <w:rPr>
          <w:rFonts w:cs="Arial"/>
          <w:b/>
        </w:rPr>
        <w:t>2017</w:t>
      </w:r>
      <w:r w:rsidRPr="0051458B">
        <w:rPr>
          <w:rFonts w:cs="Arial"/>
        </w:rPr>
        <w:t xml:space="preserve">, </w:t>
      </w:r>
      <w:r w:rsidRPr="0051458B">
        <w:rPr>
          <w:rFonts w:cs="Arial"/>
          <w:i/>
        </w:rPr>
        <w:t>19</w:t>
      </w:r>
      <w:r w:rsidRPr="0051458B">
        <w:rPr>
          <w:rFonts w:cs="Arial"/>
        </w:rPr>
        <w:t>, 1685–1691</w:t>
      </w:r>
      <w:r>
        <w:rPr>
          <w:rFonts w:cs="Arial"/>
        </w:rPr>
        <w:t>.</w:t>
      </w:r>
    </w:p>
  </w:endnote>
  <w:endnote w:id="10">
    <w:p w:rsidR="007477F4" w:rsidRPr="008C25DB" w:rsidRDefault="007477F4" w:rsidP="006D3DED">
      <w:pPr>
        <w:pStyle w:val="References"/>
        <w:rPr>
          <w:rFonts w:cs="Arial"/>
          <w:noProof/>
          <w:szCs w:val="24"/>
        </w:rPr>
      </w:pPr>
      <w:r w:rsidRPr="008225FF">
        <w:rPr>
          <w:rFonts w:cs="Arial"/>
        </w:rPr>
        <w:t>[</w:t>
      </w:r>
      <w:r w:rsidRPr="008225FF">
        <w:rPr>
          <w:rFonts w:cs="Arial"/>
        </w:rPr>
        <w:endnoteRef/>
      </w:r>
      <w:r w:rsidRPr="008225FF">
        <w:rPr>
          <w:rFonts w:cs="Arial"/>
        </w:rPr>
        <w:t>]</w:t>
      </w:r>
      <w:r w:rsidRPr="008225FF">
        <w:rPr>
          <w:rFonts w:cs="Arial"/>
        </w:rPr>
        <w:tab/>
      </w:r>
      <w:r>
        <w:rPr>
          <w:rFonts w:cs="Arial"/>
        </w:rPr>
        <w:t>a) J.</w:t>
      </w:r>
      <w:r w:rsidRPr="005B040E">
        <w:rPr>
          <w:rFonts w:cs="Arial"/>
        </w:rPr>
        <w:t xml:space="preserve"> Sherwood, </w:t>
      </w:r>
      <w:r>
        <w:rPr>
          <w:rFonts w:cs="Arial"/>
        </w:rPr>
        <w:t>M.</w:t>
      </w:r>
      <w:r w:rsidRPr="005B040E">
        <w:rPr>
          <w:rFonts w:cs="Arial"/>
        </w:rPr>
        <w:t xml:space="preserve"> De </w:t>
      </w:r>
      <w:proofErr w:type="spellStart"/>
      <w:r w:rsidRPr="005B040E">
        <w:rPr>
          <w:rFonts w:cs="Arial"/>
        </w:rPr>
        <w:t>bruyn</w:t>
      </w:r>
      <w:proofErr w:type="spellEnd"/>
      <w:r w:rsidRPr="005B040E">
        <w:rPr>
          <w:rFonts w:cs="Arial"/>
        </w:rPr>
        <w:t xml:space="preserve">, </w:t>
      </w:r>
      <w:r>
        <w:rPr>
          <w:rFonts w:cs="Arial"/>
        </w:rPr>
        <w:t>A.</w:t>
      </w:r>
      <w:r w:rsidRPr="005B040E">
        <w:rPr>
          <w:rFonts w:cs="Arial"/>
        </w:rPr>
        <w:t xml:space="preserve"> </w:t>
      </w:r>
      <w:proofErr w:type="spellStart"/>
      <w:r w:rsidRPr="005B040E">
        <w:rPr>
          <w:rFonts w:cs="Arial"/>
        </w:rPr>
        <w:t>Constantinou</w:t>
      </w:r>
      <w:proofErr w:type="spellEnd"/>
      <w:r w:rsidRPr="005B040E">
        <w:rPr>
          <w:rFonts w:cs="Arial"/>
        </w:rPr>
        <w:t xml:space="preserve">, </w:t>
      </w:r>
      <w:r>
        <w:rPr>
          <w:rFonts w:cs="Arial"/>
        </w:rPr>
        <w:t>L.</w:t>
      </w:r>
      <w:r w:rsidRPr="005B040E">
        <w:rPr>
          <w:rFonts w:cs="Arial"/>
        </w:rPr>
        <w:t xml:space="preserve"> </w:t>
      </w:r>
      <w:proofErr w:type="spellStart"/>
      <w:r w:rsidRPr="005B040E">
        <w:rPr>
          <w:rFonts w:cs="Arial"/>
        </w:rPr>
        <w:t>Moity</w:t>
      </w:r>
      <w:proofErr w:type="spellEnd"/>
      <w:r w:rsidRPr="005B040E">
        <w:rPr>
          <w:rFonts w:cs="Arial"/>
        </w:rPr>
        <w:t>,</w:t>
      </w:r>
      <w:r>
        <w:rPr>
          <w:rFonts w:cs="Arial"/>
        </w:rPr>
        <w:t xml:space="preserve"> C. R.</w:t>
      </w:r>
      <w:r w:rsidRPr="005B040E">
        <w:rPr>
          <w:rFonts w:cs="Arial"/>
        </w:rPr>
        <w:t xml:space="preserve"> McElroy, </w:t>
      </w:r>
      <w:r>
        <w:rPr>
          <w:rFonts w:cs="Arial"/>
        </w:rPr>
        <w:t>T.</w:t>
      </w:r>
      <w:r w:rsidRPr="005B040E">
        <w:rPr>
          <w:rFonts w:cs="Arial"/>
        </w:rPr>
        <w:t xml:space="preserve"> J. Farmer, </w:t>
      </w:r>
      <w:r>
        <w:rPr>
          <w:rFonts w:cs="Arial"/>
        </w:rPr>
        <w:t>T.</w:t>
      </w:r>
      <w:r w:rsidRPr="005B040E">
        <w:rPr>
          <w:rFonts w:cs="Arial"/>
        </w:rPr>
        <w:t xml:space="preserve"> Duncan, </w:t>
      </w:r>
      <w:r>
        <w:rPr>
          <w:rFonts w:cs="Arial"/>
        </w:rPr>
        <w:t>W.</w:t>
      </w:r>
      <w:r w:rsidRPr="005B040E">
        <w:rPr>
          <w:rFonts w:cs="Arial"/>
        </w:rPr>
        <w:t xml:space="preserve"> </w:t>
      </w:r>
      <w:proofErr w:type="spellStart"/>
      <w:r w:rsidRPr="005B040E">
        <w:rPr>
          <w:rFonts w:cs="Arial"/>
        </w:rPr>
        <w:t>Raverty</w:t>
      </w:r>
      <w:proofErr w:type="spellEnd"/>
      <w:r w:rsidRPr="005B040E">
        <w:rPr>
          <w:rFonts w:cs="Arial"/>
        </w:rPr>
        <w:t>,</w:t>
      </w:r>
      <w:r>
        <w:rPr>
          <w:rFonts w:cs="Arial"/>
        </w:rPr>
        <w:t xml:space="preserve"> A.</w:t>
      </w:r>
      <w:r w:rsidRPr="005B040E">
        <w:rPr>
          <w:rFonts w:cs="Arial"/>
        </w:rPr>
        <w:t xml:space="preserve"> J. Hunt</w:t>
      </w:r>
      <w:r>
        <w:rPr>
          <w:rFonts w:cs="Arial"/>
        </w:rPr>
        <w:t>, J.</w:t>
      </w:r>
      <w:r w:rsidRPr="005B040E">
        <w:rPr>
          <w:rFonts w:cs="Arial"/>
        </w:rPr>
        <w:t xml:space="preserve"> H. Clark</w:t>
      </w:r>
      <w:r>
        <w:rPr>
          <w:rFonts w:cs="Arial"/>
        </w:rPr>
        <w:t xml:space="preserve">, </w:t>
      </w:r>
      <w:r w:rsidRPr="005B040E">
        <w:rPr>
          <w:rFonts w:cs="Arial"/>
          <w:i/>
        </w:rPr>
        <w:t xml:space="preserve">Chem. </w:t>
      </w:r>
      <w:proofErr w:type="spellStart"/>
      <w:r w:rsidRPr="005B040E">
        <w:rPr>
          <w:rFonts w:cs="Arial"/>
          <w:i/>
        </w:rPr>
        <w:t>Commun</w:t>
      </w:r>
      <w:proofErr w:type="spellEnd"/>
      <w:r>
        <w:rPr>
          <w:rFonts w:cs="Arial"/>
        </w:rPr>
        <w:t>.</w:t>
      </w:r>
      <w:r w:rsidRPr="005B040E">
        <w:rPr>
          <w:rFonts w:cs="Arial"/>
        </w:rPr>
        <w:t xml:space="preserve"> </w:t>
      </w:r>
      <w:r w:rsidRPr="005B040E">
        <w:rPr>
          <w:rFonts w:cs="Arial"/>
          <w:b/>
        </w:rPr>
        <w:t>2014</w:t>
      </w:r>
      <w:r w:rsidRPr="005B040E">
        <w:rPr>
          <w:rFonts w:cs="Arial"/>
        </w:rPr>
        <w:t xml:space="preserve">, </w:t>
      </w:r>
      <w:r w:rsidRPr="005B040E">
        <w:rPr>
          <w:rFonts w:cs="Arial"/>
          <w:i/>
        </w:rPr>
        <w:t>50</w:t>
      </w:r>
      <w:r>
        <w:rPr>
          <w:rFonts w:cs="Arial"/>
        </w:rPr>
        <w:t>, 9650–</w:t>
      </w:r>
      <w:r w:rsidRPr="005B040E">
        <w:rPr>
          <w:rFonts w:cs="Arial"/>
        </w:rPr>
        <w:t>9652</w:t>
      </w:r>
      <w:r>
        <w:rPr>
          <w:rFonts w:cs="Arial"/>
        </w:rPr>
        <w:t>; b) J.</w:t>
      </w:r>
      <w:r w:rsidRPr="005B040E">
        <w:rPr>
          <w:rFonts w:cs="Arial"/>
        </w:rPr>
        <w:t xml:space="preserve"> Zhang, </w:t>
      </w:r>
      <w:r>
        <w:rPr>
          <w:rFonts w:cs="Arial"/>
        </w:rPr>
        <w:t>G.</w:t>
      </w:r>
      <w:r w:rsidRPr="005B040E">
        <w:rPr>
          <w:rFonts w:cs="Arial"/>
        </w:rPr>
        <w:t xml:space="preserve"> B. White, </w:t>
      </w:r>
      <w:r>
        <w:rPr>
          <w:rFonts w:cs="Arial"/>
        </w:rPr>
        <w:t>M.</w:t>
      </w:r>
      <w:r w:rsidRPr="005B040E">
        <w:rPr>
          <w:rFonts w:cs="Arial"/>
        </w:rPr>
        <w:t xml:space="preserve"> D. Ryan, </w:t>
      </w:r>
      <w:r>
        <w:rPr>
          <w:rFonts w:cs="Arial"/>
        </w:rPr>
        <w:t>A.</w:t>
      </w:r>
      <w:r w:rsidRPr="005B040E">
        <w:rPr>
          <w:rFonts w:cs="Arial"/>
        </w:rPr>
        <w:t xml:space="preserve"> J. Hunt, </w:t>
      </w:r>
      <w:r>
        <w:rPr>
          <w:rFonts w:cs="Arial"/>
        </w:rPr>
        <w:t>M.</w:t>
      </w:r>
      <w:r w:rsidRPr="005B040E">
        <w:rPr>
          <w:rFonts w:cs="Arial"/>
        </w:rPr>
        <w:t xml:space="preserve"> J. Katz</w:t>
      </w:r>
      <w:r>
        <w:rPr>
          <w:rFonts w:cs="Arial"/>
        </w:rPr>
        <w:t>,</w:t>
      </w:r>
      <w:r w:rsidRPr="005B040E">
        <w:rPr>
          <w:rFonts w:cs="Arial"/>
        </w:rPr>
        <w:t xml:space="preserve"> </w:t>
      </w:r>
      <w:r w:rsidRPr="005B040E">
        <w:rPr>
          <w:rFonts w:cs="Arial"/>
          <w:i/>
        </w:rPr>
        <w:t>ACS Sustainable Chem. Eng.</w:t>
      </w:r>
      <w:r w:rsidRPr="005B040E">
        <w:rPr>
          <w:rFonts w:cs="Arial"/>
        </w:rPr>
        <w:t xml:space="preserve"> </w:t>
      </w:r>
      <w:r w:rsidRPr="005B040E">
        <w:rPr>
          <w:rFonts w:cs="Arial"/>
          <w:b/>
        </w:rPr>
        <w:t>2016</w:t>
      </w:r>
      <w:r w:rsidRPr="005B040E">
        <w:rPr>
          <w:rFonts w:cs="Arial"/>
        </w:rPr>
        <w:t xml:space="preserve">, </w:t>
      </w:r>
      <w:r w:rsidRPr="005B040E">
        <w:rPr>
          <w:rFonts w:cs="Arial"/>
          <w:i/>
        </w:rPr>
        <w:t>4</w:t>
      </w:r>
      <w:r w:rsidRPr="005B040E">
        <w:rPr>
          <w:rFonts w:cs="Arial"/>
        </w:rPr>
        <w:t xml:space="preserve">, </w:t>
      </w:r>
      <w:r w:rsidRPr="008C25DB">
        <w:rPr>
          <w:rFonts w:cs="Arial"/>
          <w:noProof/>
          <w:szCs w:val="24"/>
        </w:rPr>
        <w:t xml:space="preserve">7186−7192; c) K. L. Wilson, A. R. Kennedy, J. Murray, B. Greatrex, C. Jamieson, A. J. B. Watson, </w:t>
      </w:r>
      <w:r w:rsidRPr="008C25DB">
        <w:rPr>
          <w:rFonts w:cs="Arial"/>
          <w:i/>
          <w:noProof/>
          <w:szCs w:val="24"/>
        </w:rPr>
        <w:t>Beilstein J. Org. Chem.</w:t>
      </w:r>
      <w:r w:rsidRPr="008C25DB">
        <w:rPr>
          <w:rFonts w:cs="Arial"/>
          <w:noProof/>
          <w:szCs w:val="24"/>
        </w:rPr>
        <w:t xml:space="preserve"> </w:t>
      </w:r>
      <w:r w:rsidRPr="008C25DB">
        <w:rPr>
          <w:rFonts w:cs="Arial"/>
          <w:b/>
          <w:noProof/>
          <w:szCs w:val="24"/>
        </w:rPr>
        <w:t>2016</w:t>
      </w:r>
      <w:r w:rsidRPr="008C25DB">
        <w:rPr>
          <w:rFonts w:cs="Arial"/>
          <w:noProof/>
          <w:szCs w:val="24"/>
        </w:rPr>
        <w:t xml:space="preserve">, </w:t>
      </w:r>
      <w:r w:rsidRPr="008C25DB">
        <w:rPr>
          <w:rFonts w:cs="Arial"/>
          <w:i/>
          <w:noProof/>
          <w:szCs w:val="24"/>
        </w:rPr>
        <w:t>12</w:t>
      </w:r>
      <w:r w:rsidRPr="008C25DB">
        <w:rPr>
          <w:rFonts w:cs="Arial"/>
          <w:noProof/>
          <w:szCs w:val="24"/>
        </w:rPr>
        <w:t xml:space="preserve">, 2005–2011; d) H. J. Salavagione, J. Sherwood, M. De bruyn, V. L. Budarin, G. J. Ellis, J. H. Clark, P. S. Shuttleworth, </w:t>
      </w:r>
      <w:r w:rsidRPr="008C25DB">
        <w:rPr>
          <w:rFonts w:cs="Arial"/>
          <w:i/>
          <w:noProof/>
          <w:szCs w:val="24"/>
        </w:rPr>
        <w:t>Green Chem.</w:t>
      </w:r>
      <w:r w:rsidRPr="008C25DB">
        <w:rPr>
          <w:rFonts w:cs="Arial"/>
          <w:noProof/>
          <w:szCs w:val="24"/>
        </w:rPr>
        <w:t xml:space="preserve"> </w:t>
      </w:r>
      <w:r w:rsidRPr="008C25DB">
        <w:rPr>
          <w:rFonts w:cs="Arial"/>
          <w:b/>
          <w:noProof/>
          <w:szCs w:val="24"/>
        </w:rPr>
        <w:t>2017</w:t>
      </w:r>
      <w:r w:rsidRPr="008C25DB">
        <w:rPr>
          <w:rFonts w:cs="Arial"/>
          <w:noProof/>
          <w:szCs w:val="24"/>
        </w:rPr>
        <w:t xml:space="preserve">, </w:t>
      </w:r>
      <w:r w:rsidRPr="008C25DB">
        <w:rPr>
          <w:rFonts w:cs="Arial"/>
          <w:i/>
          <w:noProof/>
          <w:szCs w:val="24"/>
        </w:rPr>
        <w:t>19</w:t>
      </w:r>
      <w:r w:rsidRPr="008C25DB">
        <w:rPr>
          <w:rFonts w:cs="Arial"/>
          <w:noProof/>
          <w:szCs w:val="24"/>
        </w:rPr>
        <w:t xml:space="preserve">, 2550–2560; e) L. Mistry, K. Mapesa, T. W. Bousfield, J. E. Camp, </w:t>
      </w:r>
      <w:r w:rsidRPr="008C25DB">
        <w:rPr>
          <w:rFonts w:cs="Arial"/>
          <w:i/>
          <w:noProof/>
          <w:szCs w:val="24"/>
        </w:rPr>
        <w:t>Green Chem.</w:t>
      </w:r>
      <w:r w:rsidRPr="008C25DB">
        <w:rPr>
          <w:rFonts w:cs="Arial"/>
          <w:noProof/>
          <w:szCs w:val="24"/>
        </w:rPr>
        <w:t xml:space="preserve"> </w:t>
      </w:r>
      <w:r w:rsidRPr="008C25DB">
        <w:rPr>
          <w:rFonts w:cs="Arial"/>
          <w:b/>
          <w:noProof/>
          <w:szCs w:val="24"/>
        </w:rPr>
        <w:t>2017</w:t>
      </w:r>
      <w:r w:rsidRPr="008C25DB">
        <w:rPr>
          <w:rFonts w:cs="Arial"/>
          <w:noProof/>
          <w:szCs w:val="24"/>
        </w:rPr>
        <w:t xml:space="preserve">, </w:t>
      </w:r>
      <w:r w:rsidRPr="008C25DB">
        <w:rPr>
          <w:rFonts w:cs="Arial"/>
          <w:i/>
          <w:noProof/>
          <w:szCs w:val="24"/>
        </w:rPr>
        <w:t>19</w:t>
      </w:r>
      <w:r w:rsidRPr="008C25DB">
        <w:rPr>
          <w:rFonts w:cs="Arial"/>
          <w:noProof/>
          <w:szCs w:val="24"/>
        </w:rPr>
        <w:t xml:space="preserve">, 2123–2128; f) K. L. Wilson, J. Murray, C. Jamieson, A. J. B. Watson, </w:t>
      </w:r>
      <w:r w:rsidRPr="008C25DB">
        <w:rPr>
          <w:rFonts w:cs="Arial"/>
          <w:i/>
          <w:noProof/>
          <w:szCs w:val="24"/>
        </w:rPr>
        <w:t>Synlett</w:t>
      </w:r>
      <w:r w:rsidRPr="008C25DB">
        <w:rPr>
          <w:rFonts w:cs="Arial"/>
          <w:noProof/>
          <w:szCs w:val="24"/>
        </w:rPr>
        <w:t xml:space="preserve"> </w:t>
      </w:r>
      <w:r w:rsidRPr="008C25DB">
        <w:rPr>
          <w:rFonts w:cs="Arial"/>
          <w:b/>
          <w:noProof/>
          <w:szCs w:val="24"/>
        </w:rPr>
        <w:t>2018</w:t>
      </w:r>
      <w:r w:rsidRPr="008C25DB">
        <w:rPr>
          <w:rFonts w:cs="Arial"/>
          <w:noProof/>
          <w:szCs w:val="24"/>
        </w:rPr>
        <w:t xml:space="preserve">, </w:t>
      </w:r>
      <w:r w:rsidRPr="008C25DB">
        <w:rPr>
          <w:rFonts w:cs="Arial"/>
          <w:i/>
          <w:noProof/>
          <w:szCs w:val="24"/>
        </w:rPr>
        <w:t>29</w:t>
      </w:r>
      <w:r w:rsidRPr="008C25DB">
        <w:rPr>
          <w:rFonts w:cs="Arial"/>
          <w:noProof/>
          <w:szCs w:val="24"/>
        </w:rPr>
        <w:t xml:space="preserve">, 650–654; g) K. L. Wilson, J. Murray, C. Jamieson, A. J. B. Watson, </w:t>
      </w:r>
      <w:r w:rsidRPr="008C25DB">
        <w:rPr>
          <w:rFonts w:cs="Arial"/>
          <w:i/>
          <w:noProof/>
          <w:szCs w:val="24"/>
        </w:rPr>
        <w:t>Org. Biomol. Chem.</w:t>
      </w:r>
      <w:r w:rsidRPr="008C25DB">
        <w:rPr>
          <w:rFonts w:cs="Arial"/>
          <w:noProof/>
          <w:szCs w:val="24"/>
        </w:rPr>
        <w:t xml:space="preserve"> </w:t>
      </w:r>
      <w:r w:rsidRPr="008C25DB">
        <w:rPr>
          <w:rFonts w:cs="Arial"/>
          <w:b/>
          <w:noProof/>
          <w:szCs w:val="24"/>
        </w:rPr>
        <w:t>2018</w:t>
      </w:r>
      <w:r w:rsidRPr="008C25DB">
        <w:rPr>
          <w:rFonts w:cs="Arial"/>
          <w:noProof/>
          <w:szCs w:val="24"/>
        </w:rPr>
        <w:t xml:space="preserve">, </w:t>
      </w:r>
      <w:r w:rsidRPr="008C25DB">
        <w:rPr>
          <w:rFonts w:cs="Arial"/>
          <w:i/>
          <w:noProof/>
          <w:szCs w:val="24"/>
        </w:rPr>
        <w:t>16</w:t>
      </w:r>
      <w:r w:rsidRPr="008C25DB">
        <w:rPr>
          <w:rFonts w:cs="Arial"/>
          <w:noProof/>
          <w:szCs w:val="24"/>
        </w:rPr>
        <w:t>, 2851–2854.</w:t>
      </w:r>
    </w:p>
  </w:endnote>
  <w:endnote w:id="11">
    <w:p w:rsidR="007477F4" w:rsidRPr="008C25DB" w:rsidRDefault="007477F4" w:rsidP="00DB3F95">
      <w:pPr>
        <w:pStyle w:val="References"/>
        <w:rPr>
          <w:rFonts w:cs="Arial"/>
          <w:noProof/>
          <w:szCs w:val="24"/>
        </w:rPr>
      </w:pPr>
      <w:r w:rsidRPr="008C25DB">
        <w:rPr>
          <w:rFonts w:cs="Arial"/>
          <w:noProof/>
          <w:szCs w:val="24"/>
        </w:rPr>
        <w:t>[</w:t>
      </w:r>
      <w:r w:rsidRPr="008C25DB">
        <w:rPr>
          <w:rFonts w:cs="Arial"/>
          <w:noProof/>
          <w:szCs w:val="24"/>
        </w:rPr>
        <w:endnoteRef/>
      </w:r>
      <w:r w:rsidRPr="008C25DB">
        <w:rPr>
          <w:rFonts w:cs="Arial"/>
          <w:noProof/>
          <w:szCs w:val="24"/>
        </w:rPr>
        <w:t>]</w:t>
      </w:r>
      <w:r w:rsidRPr="008C25DB">
        <w:rPr>
          <w:rFonts w:cs="Arial"/>
          <w:noProof/>
          <w:szCs w:val="24"/>
        </w:rPr>
        <w:tab/>
        <w:t xml:space="preserve">a) J. Sherwood, H. L. Parker, K. Moonen, T. J. Farmer, A. J. Hunt, </w:t>
      </w:r>
      <w:r w:rsidRPr="008C25DB">
        <w:rPr>
          <w:rFonts w:cs="Arial"/>
          <w:i/>
          <w:noProof/>
          <w:szCs w:val="24"/>
        </w:rPr>
        <w:t>Green Chem.</w:t>
      </w:r>
      <w:r w:rsidRPr="008C25DB">
        <w:rPr>
          <w:rFonts w:cs="Arial"/>
          <w:noProof/>
          <w:szCs w:val="24"/>
        </w:rPr>
        <w:t xml:space="preserve"> </w:t>
      </w:r>
      <w:r w:rsidRPr="008C25DB">
        <w:rPr>
          <w:rFonts w:cs="Arial"/>
          <w:b/>
          <w:noProof/>
          <w:szCs w:val="24"/>
        </w:rPr>
        <w:t>2016</w:t>
      </w:r>
      <w:r w:rsidRPr="008C25DB">
        <w:rPr>
          <w:rFonts w:cs="Arial"/>
          <w:noProof/>
          <w:szCs w:val="24"/>
        </w:rPr>
        <w:t xml:space="preserve">, </w:t>
      </w:r>
      <w:r w:rsidRPr="008C25DB">
        <w:rPr>
          <w:rFonts w:cs="Arial"/>
          <w:i/>
          <w:noProof/>
          <w:szCs w:val="24"/>
        </w:rPr>
        <w:t>18</w:t>
      </w:r>
      <w:r w:rsidRPr="008C25DB">
        <w:rPr>
          <w:rFonts w:cs="Arial"/>
          <w:noProof/>
          <w:szCs w:val="24"/>
        </w:rPr>
        <w:t xml:space="preserve">, 3990–3996; b) J. Lopez, S. Pletscher, A. Aemissegger, C. Bucher, F. Gallou, </w:t>
      </w:r>
      <w:r w:rsidRPr="008C25DB">
        <w:rPr>
          <w:rFonts w:cs="Arial"/>
          <w:i/>
          <w:noProof/>
          <w:szCs w:val="24"/>
        </w:rPr>
        <w:t>Org. Process Res. Dev.</w:t>
      </w:r>
      <w:r w:rsidRPr="008C25DB">
        <w:rPr>
          <w:rFonts w:cs="Arial"/>
          <w:noProof/>
          <w:szCs w:val="24"/>
        </w:rPr>
        <w:t xml:space="preserve"> </w:t>
      </w:r>
      <w:r w:rsidRPr="008C25DB">
        <w:rPr>
          <w:rFonts w:cs="Arial"/>
          <w:b/>
          <w:noProof/>
          <w:szCs w:val="24"/>
        </w:rPr>
        <w:t>2018</w:t>
      </w:r>
      <w:r w:rsidRPr="008C25DB">
        <w:rPr>
          <w:rFonts w:cs="Arial"/>
          <w:noProof/>
          <w:szCs w:val="24"/>
        </w:rPr>
        <w:t xml:space="preserve">, </w:t>
      </w:r>
      <w:r w:rsidRPr="008C25DB">
        <w:rPr>
          <w:rFonts w:cs="Arial"/>
          <w:i/>
          <w:noProof/>
          <w:szCs w:val="24"/>
        </w:rPr>
        <w:t>22</w:t>
      </w:r>
      <w:r w:rsidRPr="008C25DB">
        <w:rPr>
          <w:rFonts w:cs="Arial"/>
          <w:noProof/>
          <w:szCs w:val="24"/>
        </w:rPr>
        <w:t xml:space="preserve">, 494−503. </w:t>
      </w:r>
    </w:p>
  </w:endnote>
  <w:endnote w:id="12">
    <w:p w:rsidR="007477F4" w:rsidRPr="008C25DB" w:rsidRDefault="007477F4" w:rsidP="007158C5">
      <w:pPr>
        <w:pStyle w:val="References"/>
        <w:rPr>
          <w:rFonts w:cs="Arial"/>
          <w:noProof/>
          <w:szCs w:val="24"/>
        </w:rPr>
      </w:pPr>
      <w:r w:rsidRPr="008C25DB">
        <w:rPr>
          <w:rFonts w:cs="Arial"/>
          <w:noProof/>
          <w:szCs w:val="24"/>
        </w:rPr>
        <w:t>[</w:t>
      </w:r>
      <w:r w:rsidRPr="008C25DB">
        <w:rPr>
          <w:rFonts w:cs="Arial"/>
          <w:noProof/>
          <w:szCs w:val="24"/>
        </w:rPr>
        <w:endnoteRef/>
      </w:r>
      <w:r w:rsidRPr="008C25DB">
        <w:rPr>
          <w:rFonts w:cs="Arial"/>
          <w:noProof/>
          <w:szCs w:val="24"/>
        </w:rPr>
        <w:t xml:space="preserve">] </w:t>
      </w:r>
      <w:r w:rsidRPr="008C25DB">
        <w:rPr>
          <w:rFonts w:cs="Arial"/>
          <w:noProof/>
          <w:szCs w:val="24"/>
        </w:rPr>
        <w:tab/>
        <w:t xml:space="preserve">S. B. Lawrenson, </w:t>
      </w:r>
      <w:r w:rsidRPr="008C25DB">
        <w:rPr>
          <w:rFonts w:cs="Arial"/>
          <w:i/>
          <w:noProof/>
          <w:szCs w:val="24"/>
        </w:rPr>
        <w:t>Pure Appl. Chem.</w:t>
      </w:r>
      <w:r w:rsidRPr="008C25DB">
        <w:rPr>
          <w:rFonts w:cs="Arial"/>
          <w:noProof/>
          <w:szCs w:val="24"/>
        </w:rPr>
        <w:t xml:space="preserve"> </w:t>
      </w:r>
      <w:r w:rsidRPr="008C25DB">
        <w:rPr>
          <w:rFonts w:cs="Arial"/>
          <w:b/>
          <w:noProof/>
          <w:szCs w:val="24"/>
        </w:rPr>
        <w:t>2018</w:t>
      </w:r>
      <w:r w:rsidRPr="008C25DB">
        <w:rPr>
          <w:rFonts w:cs="Arial"/>
          <w:noProof/>
          <w:szCs w:val="24"/>
        </w:rPr>
        <w:t xml:space="preserve">, </w:t>
      </w:r>
      <w:r w:rsidRPr="008C25DB">
        <w:rPr>
          <w:rFonts w:cs="Arial"/>
          <w:i/>
          <w:noProof/>
          <w:szCs w:val="24"/>
        </w:rPr>
        <w:t>90</w:t>
      </w:r>
      <w:r w:rsidRPr="008C25DB">
        <w:rPr>
          <w:rFonts w:cs="Arial"/>
          <w:noProof/>
          <w:szCs w:val="24"/>
        </w:rPr>
        <w:t>, 157–165</w:t>
      </w:r>
    </w:p>
  </w:endnote>
  <w:endnote w:id="13">
    <w:p w:rsidR="007477F4" w:rsidRPr="008C25DB" w:rsidRDefault="007477F4" w:rsidP="00A92916">
      <w:pPr>
        <w:pStyle w:val="References"/>
        <w:rPr>
          <w:rFonts w:cs="Arial"/>
          <w:noProof/>
          <w:szCs w:val="24"/>
        </w:rPr>
      </w:pPr>
      <w:r w:rsidRPr="008C25DB">
        <w:rPr>
          <w:rFonts w:cs="Arial"/>
          <w:noProof/>
          <w:szCs w:val="24"/>
        </w:rPr>
        <w:t>[</w:t>
      </w:r>
      <w:r w:rsidRPr="008C25DB">
        <w:rPr>
          <w:rFonts w:cs="Arial"/>
          <w:noProof/>
          <w:szCs w:val="24"/>
        </w:rPr>
        <w:endnoteRef/>
      </w:r>
      <w:r w:rsidRPr="008C25DB">
        <w:rPr>
          <w:rFonts w:cs="Arial"/>
          <w:noProof/>
          <w:szCs w:val="24"/>
        </w:rPr>
        <w:t xml:space="preserve">] </w:t>
      </w:r>
      <w:r w:rsidRPr="008C25DB">
        <w:rPr>
          <w:rFonts w:cs="Arial"/>
          <w:noProof/>
          <w:szCs w:val="24"/>
        </w:rPr>
        <w:tab/>
        <w:t xml:space="preserve">S. Lawrenson, M. North, F. Peigneguy, A. Routledge, </w:t>
      </w:r>
      <w:r w:rsidRPr="008C25DB">
        <w:rPr>
          <w:rFonts w:cs="Arial"/>
          <w:i/>
          <w:noProof/>
          <w:szCs w:val="24"/>
        </w:rPr>
        <w:t>Green Chem.</w:t>
      </w:r>
      <w:r w:rsidRPr="008C25DB">
        <w:rPr>
          <w:rFonts w:cs="Arial"/>
          <w:noProof/>
          <w:szCs w:val="24"/>
        </w:rPr>
        <w:t xml:space="preserve"> </w:t>
      </w:r>
      <w:r w:rsidRPr="008C25DB">
        <w:rPr>
          <w:rFonts w:cs="Arial"/>
          <w:b/>
          <w:noProof/>
          <w:szCs w:val="24"/>
        </w:rPr>
        <w:t>2017</w:t>
      </w:r>
      <w:r w:rsidRPr="008C25DB">
        <w:rPr>
          <w:rFonts w:cs="Arial"/>
          <w:noProof/>
          <w:szCs w:val="24"/>
        </w:rPr>
        <w:t xml:space="preserve">, </w:t>
      </w:r>
      <w:r w:rsidRPr="008C25DB">
        <w:rPr>
          <w:rFonts w:cs="Arial"/>
          <w:i/>
          <w:noProof/>
          <w:szCs w:val="24"/>
        </w:rPr>
        <w:t>19</w:t>
      </w:r>
      <w:r w:rsidRPr="008C25DB">
        <w:rPr>
          <w:rFonts w:cs="Arial"/>
          <w:noProof/>
          <w:szCs w:val="24"/>
        </w:rPr>
        <w:t>, 952–962.</w:t>
      </w:r>
    </w:p>
  </w:endnote>
  <w:endnote w:id="14">
    <w:p w:rsidR="007477F4" w:rsidRPr="008C25DB" w:rsidRDefault="007477F4" w:rsidP="006B7D71">
      <w:pPr>
        <w:pStyle w:val="References"/>
        <w:rPr>
          <w:rFonts w:cs="Arial"/>
          <w:noProof/>
          <w:szCs w:val="24"/>
        </w:rPr>
      </w:pPr>
      <w:r w:rsidRPr="008C25DB">
        <w:rPr>
          <w:rFonts w:cs="Arial"/>
          <w:noProof/>
          <w:szCs w:val="24"/>
        </w:rPr>
        <w:t>[</w:t>
      </w:r>
      <w:r w:rsidRPr="008C25DB">
        <w:rPr>
          <w:rFonts w:cs="Arial"/>
          <w:noProof/>
          <w:szCs w:val="24"/>
        </w:rPr>
        <w:endnoteRef/>
      </w:r>
      <w:r w:rsidRPr="008C25DB">
        <w:rPr>
          <w:rFonts w:cs="Arial"/>
          <w:noProof/>
          <w:szCs w:val="24"/>
        </w:rPr>
        <w:t xml:space="preserve">] </w:t>
      </w:r>
      <w:r w:rsidRPr="008C25DB">
        <w:rPr>
          <w:rFonts w:cs="Arial"/>
          <w:noProof/>
          <w:szCs w:val="24"/>
        </w:rPr>
        <w:tab/>
      </w:r>
      <w:r w:rsidRPr="006B7D71">
        <w:rPr>
          <w:rFonts w:cs="Arial"/>
          <w:noProof/>
          <w:szCs w:val="24"/>
        </w:rPr>
        <w:t xml:space="preserve">R. B. Merrifield, </w:t>
      </w:r>
      <w:r w:rsidRPr="008C25DB">
        <w:rPr>
          <w:rFonts w:cs="Arial"/>
          <w:i/>
          <w:noProof/>
          <w:szCs w:val="24"/>
        </w:rPr>
        <w:t>J. Am. Chem. Soc.</w:t>
      </w:r>
      <w:r w:rsidRPr="006B7D71">
        <w:rPr>
          <w:rFonts w:cs="Arial"/>
          <w:noProof/>
          <w:szCs w:val="24"/>
        </w:rPr>
        <w:t xml:space="preserve"> </w:t>
      </w:r>
      <w:r w:rsidRPr="008C25DB">
        <w:rPr>
          <w:rFonts w:cs="Arial"/>
          <w:b/>
          <w:noProof/>
          <w:szCs w:val="24"/>
        </w:rPr>
        <w:t>1963</w:t>
      </w:r>
      <w:r w:rsidRPr="006B7D71">
        <w:rPr>
          <w:rFonts w:cs="Arial"/>
          <w:noProof/>
          <w:szCs w:val="24"/>
        </w:rPr>
        <w:t xml:space="preserve">, </w:t>
      </w:r>
      <w:r w:rsidRPr="008C25DB">
        <w:rPr>
          <w:rFonts w:cs="Arial"/>
          <w:i/>
          <w:noProof/>
          <w:szCs w:val="24"/>
        </w:rPr>
        <w:t>85</w:t>
      </w:r>
      <w:r w:rsidRPr="006B7D71">
        <w:rPr>
          <w:rFonts w:cs="Arial"/>
          <w:noProof/>
          <w:szCs w:val="24"/>
        </w:rPr>
        <w:t>, 2149–2154.</w:t>
      </w:r>
    </w:p>
  </w:endnote>
  <w:endnote w:id="15">
    <w:p w:rsidR="007477F4" w:rsidRPr="006B7D71" w:rsidRDefault="007477F4" w:rsidP="006B7D71">
      <w:pPr>
        <w:pStyle w:val="References"/>
        <w:rPr>
          <w:rFonts w:cs="Arial"/>
          <w:noProof/>
          <w:szCs w:val="24"/>
        </w:rPr>
      </w:pPr>
      <w:r>
        <w:rPr>
          <w:rFonts w:cs="Arial"/>
          <w:noProof/>
          <w:szCs w:val="24"/>
        </w:rPr>
        <w:t>[</w:t>
      </w:r>
      <w:r w:rsidRPr="006B7D71">
        <w:rPr>
          <w:rFonts w:cs="Arial"/>
          <w:noProof/>
          <w:szCs w:val="24"/>
        </w:rPr>
        <w:endnoteRef/>
      </w:r>
      <w:r>
        <w:rPr>
          <w:rFonts w:cs="Arial"/>
          <w:noProof/>
          <w:szCs w:val="24"/>
        </w:rPr>
        <w:t>]</w:t>
      </w:r>
      <w:r>
        <w:rPr>
          <w:rFonts w:cs="Arial"/>
          <w:noProof/>
          <w:szCs w:val="24"/>
        </w:rPr>
        <w:tab/>
      </w:r>
      <w:r w:rsidRPr="006B7D71">
        <w:rPr>
          <w:rFonts w:cs="Arial"/>
          <w:noProof/>
          <w:szCs w:val="24"/>
        </w:rPr>
        <w:t xml:space="preserve">S.-S. Wang, </w:t>
      </w:r>
      <w:r w:rsidRPr="008C25DB">
        <w:rPr>
          <w:rFonts w:cs="Arial"/>
          <w:i/>
          <w:noProof/>
          <w:szCs w:val="24"/>
        </w:rPr>
        <w:t>J. Am. Chem. Soc.</w:t>
      </w:r>
      <w:r w:rsidRPr="006B7D71">
        <w:rPr>
          <w:rFonts w:cs="Arial"/>
          <w:noProof/>
          <w:szCs w:val="24"/>
        </w:rPr>
        <w:t xml:space="preserve"> </w:t>
      </w:r>
      <w:r w:rsidRPr="008C25DB">
        <w:rPr>
          <w:rFonts w:cs="Arial"/>
          <w:b/>
          <w:noProof/>
          <w:szCs w:val="24"/>
        </w:rPr>
        <w:t>1973</w:t>
      </w:r>
      <w:r w:rsidRPr="006B7D71">
        <w:rPr>
          <w:rFonts w:cs="Arial"/>
          <w:noProof/>
          <w:szCs w:val="24"/>
        </w:rPr>
        <w:t xml:space="preserve">, </w:t>
      </w:r>
      <w:r w:rsidRPr="008C25DB">
        <w:rPr>
          <w:rFonts w:cs="Arial"/>
          <w:i/>
          <w:noProof/>
          <w:szCs w:val="24"/>
        </w:rPr>
        <w:t>95</w:t>
      </w:r>
      <w:r w:rsidRPr="006B7D71">
        <w:rPr>
          <w:rFonts w:cs="Arial"/>
          <w:noProof/>
          <w:szCs w:val="24"/>
        </w:rPr>
        <w:t xml:space="preserve">, 1328–1333. </w:t>
      </w:r>
    </w:p>
  </w:endnote>
  <w:endnote w:id="16">
    <w:p w:rsidR="007477F4" w:rsidRPr="008C25DB" w:rsidRDefault="007477F4" w:rsidP="000C178F">
      <w:pPr>
        <w:pStyle w:val="References"/>
        <w:rPr>
          <w:rFonts w:cs="Arial"/>
          <w:noProof/>
          <w:szCs w:val="24"/>
        </w:rPr>
      </w:pPr>
      <w:r w:rsidRPr="000C178F">
        <w:rPr>
          <w:rFonts w:cs="Arial"/>
          <w:noProof/>
          <w:szCs w:val="24"/>
        </w:rPr>
        <w:t>[</w:t>
      </w:r>
      <w:r w:rsidRPr="000C178F">
        <w:rPr>
          <w:rFonts w:cs="Arial"/>
          <w:noProof/>
          <w:szCs w:val="24"/>
        </w:rPr>
        <w:endnoteRef/>
      </w:r>
      <w:r>
        <w:rPr>
          <w:rFonts w:cs="Arial"/>
          <w:noProof/>
          <w:szCs w:val="24"/>
        </w:rPr>
        <w:t xml:space="preserve">] </w:t>
      </w:r>
      <w:r>
        <w:rPr>
          <w:rFonts w:cs="Arial"/>
          <w:noProof/>
          <w:szCs w:val="24"/>
        </w:rPr>
        <w:tab/>
        <w:t>M. Bagheri, M. Beyermann,</w:t>
      </w:r>
      <w:r w:rsidRPr="000C178F">
        <w:rPr>
          <w:rFonts w:cs="Arial"/>
          <w:noProof/>
          <w:szCs w:val="24"/>
        </w:rPr>
        <w:t xml:space="preserve"> M. Dathe, </w:t>
      </w:r>
      <w:r w:rsidRPr="008C25DB">
        <w:rPr>
          <w:rFonts w:cs="Arial"/>
          <w:i/>
          <w:noProof/>
          <w:szCs w:val="24"/>
        </w:rPr>
        <w:t>Antimicrob. Agents Chemother.</w:t>
      </w:r>
      <w:r w:rsidRPr="000C178F">
        <w:rPr>
          <w:rFonts w:cs="Arial"/>
          <w:noProof/>
          <w:szCs w:val="24"/>
        </w:rPr>
        <w:t xml:space="preserve"> </w:t>
      </w:r>
      <w:r w:rsidRPr="008C25DB">
        <w:rPr>
          <w:rFonts w:cs="Arial"/>
          <w:b/>
          <w:noProof/>
          <w:szCs w:val="24"/>
        </w:rPr>
        <w:t>2009</w:t>
      </w:r>
      <w:r w:rsidRPr="000C178F">
        <w:rPr>
          <w:rFonts w:cs="Arial"/>
          <w:noProof/>
          <w:szCs w:val="24"/>
        </w:rPr>
        <w:t xml:space="preserve">, </w:t>
      </w:r>
      <w:r w:rsidRPr="008C25DB">
        <w:rPr>
          <w:rFonts w:cs="Arial"/>
          <w:i/>
          <w:noProof/>
          <w:szCs w:val="24"/>
        </w:rPr>
        <w:t>53</w:t>
      </w:r>
      <w:r w:rsidRPr="000C178F">
        <w:rPr>
          <w:rFonts w:cs="Arial"/>
          <w:noProof/>
          <w:szCs w:val="24"/>
        </w:rPr>
        <w:t>, 1132–1141.</w:t>
      </w:r>
    </w:p>
  </w:endnote>
  <w:endnote w:id="17">
    <w:p w:rsidR="007477F4" w:rsidRPr="008C25DB" w:rsidRDefault="007477F4" w:rsidP="00674DF6">
      <w:pPr>
        <w:pStyle w:val="References"/>
        <w:rPr>
          <w:rFonts w:cs="Arial"/>
          <w:noProof/>
          <w:szCs w:val="24"/>
        </w:rPr>
      </w:pPr>
      <w:r>
        <w:rPr>
          <w:rFonts w:cs="Arial"/>
          <w:noProof/>
          <w:szCs w:val="24"/>
        </w:rPr>
        <w:t>[</w:t>
      </w:r>
      <w:r w:rsidRPr="00674DF6">
        <w:rPr>
          <w:rFonts w:cs="Arial"/>
          <w:noProof/>
          <w:szCs w:val="24"/>
        </w:rPr>
        <w:endnoteRef/>
      </w:r>
      <w:r>
        <w:rPr>
          <w:rFonts w:cs="Arial"/>
          <w:noProof/>
          <w:szCs w:val="24"/>
        </w:rPr>
        <w:t>]</w:t>
      </w:r>
      <w:r w:rsidRPr="00674DF6">
        <w:rPr>
          <w:rFonts w:cs="Arial"/>
          <w:noProof/>
          <w:szCs w:val="24"/>
        </w:rPr>
        <w:t xml:space="preserve"> </w:t>
      </w:r>
      <w:r w:rsidRPr="00674DF6">
        <w:rPr>
          <w:rFonts w:cs="Arial"/>
          <w:noProof/>
          <w:szCs w:val="24"/>
        </w:rPr>
        <w:tab/>
        <w:t xml:space="preserve">R. Santini, M. C. Griffith and M. Qi, </w:t>
      </w:r>
      <w:r w:rsidRPr="008C25DB">
        <w:rPr>
          <w:rFonts w:cs="Arial"/>
          <w:i/>
          <w:noProof/>
          <w:szCs w:val="24"/>
        </w:rPr>
        <w:t>Tetrahedron Lett.</w:t>
      </w:r>
      <w:r w:rsidRPr="00674DF6">
        <w:rPr>
          <w:rFonts w:cs="Arial"/>
          <w:noProof/>
          <w:szCs w:val="24"/>
        </w:rPr>
        <w:t xml:space="preserve"> </w:t>
      </w:r>
      <w:r w:rsidRPr="008C25DB">
        <w:rPr>
          <w:rFonts w:cs="Arial"/>
          <w:b/>
          <w:noProof/>
          <w:szCs w:val="24"/>
        </w:rPr>
        <w:t>1998</w:t>
      </w:r>
      <w:r w:rsidRPr="00674DF6">
        <w:rPr>
          <w:rFonts w:cs="Arial"/>
          <w:noProof/>
          <w:szCs w:val="24"/>
        </w:rPr>
        <w:t xml:space="preserve">, </w:t>
      </w:r>
      <w:r w:rsidRPr="008C25DB">
        <w:rPr>
          <w:rFonts w:cs="Arial"/>
          <w:i/>
          <w:noProof/>
          <w:szCs w:val="24"/>
        </w:rPr>
        <w:t>39</w:t>
      </w:r>
      <w:r w:rsidRPr="00674DF6">
        <w:rPr>
          <w:rFonts w:cs="Arial"/>
          <w:noProof/>
          <w:szCs w:val="24"/>
        </w:rPr>
        <w:t>, 8951–8954.</w:t>
      </w:r>
    </w:p>
  </w:endnote>
  <w:endnote w:id="18">
    <w:p w:rsidR="007477F4" w:rsidRPr="00724E82" w:rsidRDefault="007477F4" w:rsidP="008F7FB7">
      <w:pPr>
        <w:pStyle w:val="References"/>
        <w:rPr>
          <w:rFonts w:cs="Arial"/>
          <w:noProof/>
          <w:szCs w:val="24"/>
        </w:rPr>
      </w:pPr>
      <w:r>
        <w:rPr>
          <w:rFonts w:cs="Arial"/>
          <w:noProof/>
          <w:szCs w:val="24"/>
        </w:rPr>
        <w:t>[</w:t>
      </w:r>
      <w:r w:rsidRPr="00724E82">
        <w:rPr>
          <w:rFonts w:cs="Arial"/>
          <w:noProof/>
          <w:szCs w:val="24"/>
        </w:rPr>
        <w:endnoteRef/>
      </w:r>
      <w:r>
        <w:rPr>
          <w:rFonts w:cs="Arial"/>
          <w:noProof/>
          <w:szCs w:val="24"/>
        </w:rPr>
        <w:t>]</w:t>
      </w:r>
      <w:r>
        <w:rPr>
          <w:rFonts w:cs="Arial"/>
          <w:noProof/>
          <w:szCs w:val="24"/>
        </w:rPr>
        <w:tab/>
      </w:r>
      <w:r w:rsidRPr="008C25DB">
        <w:rPr>
          <w:rFonts w:cs="Arial"/>
          <w:noProof/>
          <w:szCs w:val="24"/>
        </w:rPr>
        <w:t>HSPiP software (4th Edition 4.1.04, developed by Abbott, Hansen and Yamamoto): http://www.hansen-solubility.com/index.php?id=11.</w:t>
      </w:r>
      <w:r w:rsidRPr="00724E82">
        <w:rPr>
          <w:rFonts w:cs="Arial"/>
          <w:noProof/>
          <w:szCs w:val="24"/>
        </w:rPr>
        <w:t xml:space="preserve"> </w:t>
      </w:r>
    </w:p>
  </w:endnote>
  <w:endnote w:id="19">
    <w:p w:rsidR="007477F4" w:rsidRPr="008C25DB" w:rsidRDefault="007477F4" w:rsidP="008C25DB">
      <w:pPr>
        <w:pStyle w:val="References"/>
        <w:rPr>
          <w:rFonts w:cs="Arial"/>
          <w:noProof/>
        </w:rPr>
      </w:pPr>
      <w:r>
        <w:rPr>
          <w:rFonts w:cs="Arial"/>
          <w:noProof/>
          <w:szCs w:val="24"/>
        </w:rPr>
        <w:t>[</w:t>
      </w:r>
      <w:r w:rsidRPr="008C25DB">
        <w:rPr>
          <w:rFonts w:cs="Arial"/>
          <w:noProof/>
          <w:szCs w:val="24"/>
        </w:rPr>
        <w:endnoteRef/>
      </w:r>
      <w:r>
        <w:rPr>
          <w:rFonts w:cs="Arial"/>
          <w:noProof/>
          <w:szCs w:val="24"/>
        </w:rPr>
        <w:t>]</w:t>
      </w:r>
      <w:r>
        <w:rPr>
          <w:rFonts w:cs="Arial"/>
          <w:noProof/>
          <w:szCs w:val="24"/>
        </w:rPr>
        <w:tab/>
        <w:t>F.</w:t>
      </w:r>
      <w:r w:rsidRPr="008C25DB">
        <w:rPr>
          <w:rFonts w:cs="Arial"/>
          <w:noProof/>
          <w:szCs w:val="24"/>
        </w:rPr>
        <w:t xml:space="preserve"> Byrne, </w:t>
      </w:r>
      <w:r>
        <w:rPr>
          <w:rFonts w:cs="Arial"/>
          <w:noProof/>
          <w:szCs w:val="24"/>
        </w:rPr>
        <w:t>B.</w:t>
      </w:r>
      <w:r w:rsidRPr="008C25DB">
        <w:rPr>
          <w:rFonts w:cs="Arial"/>
          <w:noProof/>
          <w:szCs w:val="24"/>
        </w:rPr>
        <w:t xml:space="preserve"> Forier, </w:t>
      </w:r>
      <w:r>
        <w:rPr>
          <w:rFonts w:cs="Arial"/>
          <w:noProof/>
          <w:szCs w:val="24"/>
        </w:rPr>
        <w:t>G.</w:t>
      </w:r>
      <w:r w:rsidRPr="008C25DB">
        <w:rPr>
          <w:rFonts w:cs="Arial"/>
          <w:noProof/>
          <w:szCs w:val="24"/>
        </w:rPr>
        <w:t xml:space="preserve"> Bossaert, </w:t>
      </w:r>
      <w:r>
        <w:rPr>
          <w:rFonts w:cs="Arial"/>
          <w:noProof/>
          <w:szCs w:val="24"/>
        </w:rPr>
        <w:t>C.</w:t>
      </w:r>
      <w:r w:rsidRPr="008C25DB">
        <w:rPr>
          <w:rFonts w:cs="Arial"/>
          <w:noProof/>
          <w:szCs w:val="24"/>
        </w:rPr>
        <w:t xml:space="preserve"> Hoebers, </w:t>
      </w:r>
      <w:r>
        <w:rPr>
          <w:rFonts w:cs="Arial"/>
          <w:noProof/>
          <w:szCs w:val="24"/>
        </w:rPr>
        <w:t>T. J. Farmer, J.</w:t>
      </w:r>
      <w:r w:rsidRPr="008C25DB">
        <w:rPr>
          <w:rFonts w:cs="Arial"/>
          <w:noProof/>
          <w:szCs w:val="24"/>
        </w:rPr>
        <w:t xml:space="preserve"> H. Clark</w:t>
      </w:r>
      <w:r>
        <w:rPr>
          <w:rFonts w:cs="Arial"/>
          <w:noProof/>
          <w:szCs w:val="24"/>
        </w:rPr>
        <w:t>,</w:t>
      </w:r>
      <w:r w:rsidRPr="008C25DB">
        <w:rPr>
          <w:rFonts w:cs="Arial"/>
          <w:noProof/>
          <w:szCs w:val="24"/>
        </w:rPr>
        <w:t xml:space="preserve"> </w:t>
      </w:r>
      <w:r>
        <w:rPr>
          <w:rFonts w:cs="Arial"/>
          <w:noProof/>
          <w:szCs w:val="24"/>
        </w:rPr>
        <w:t xml:space="preserve"> A.</w:t>
      </w:r>
      <w:r w:rsidRPr="008C25DB">
        <w:rPr>
          <w:rFonts w:cs="Arial"/>
          <w:noProof/>
          <w:szCs w:val="24"/>
        </w:rPr>
        <w:t xml:space="preserve"> J. </w:t>
      </w:r>
      <w:r w:rsidRPr="008C25DB">
        <w:rPr>
          <w:rFonts w:cs="Arial"/>
          <w:noProof/>
        </w:rPr>
        <w:t xml:space="preserve">Hunt, </w:t>
      </w:r>
      <w:r w:rsidRPr="008C25DB">
        <w:rPr>
          <w:rFonts w:cs="Arial"/>
          <w:i/>
          <w:lang w:eastAsia="en-GB"/>
        </w:rPr>
        <w:t>Green Chem.</w:t>
      </w:r>
      <w:r w:rsidRPr="008C25DB">
        <w:rPr>
          <w:rFonts w:cs="Arial"/>
          <w:lang w:eastAsia="en-GB"/>
        </w:rPr>
        <w:t xml:space="preserve"> </w:t>
      </w:r>
      <w:r w:rsidRPr="008C25DB">
        <w:rPr>
          <w:rFonts w:cs="Arial"/>
          <w:b/>
          <w:lang w:eastAsia="en-GB"/>
        </w:rPr>
        <w:t>2017</w:t>
      </w:r>
      <w:r w:rsidRPr="008C25DB">
        <w:rPr>
          <w:rFonts w:cs="Arial"/>
          <w:lang w:eastAsia="en-GB"/>
        </w:rPr>
        <w:t xml:space="preserve">, </w:t>
      </w:r>
      <w:r w:rsidRPr="008C25DB">
        <w:rPr>
          <w:rFonts w:cs="Arial"/>
          <w:i/>
          <w:lang w:eastAsia="en-GB"/>
        </w:rPr>
        <w:t>19</w:t>
      </w:r>
      <w:r w:rsidRPr="008C25DB">
        <w:rPr>
          <w:rFonts w:cs="Arial"/>
          <w:lang w:eastAsia="en-GB"/>
        </w:rPr>
        <w:t>, 3671–3678</w:t>
      </w:r>
      <w:r>
        <w:rPr>
          <w:rFonts w:cs="Arial"/>
          <w:lang w:eastAsia="en-GB"/>
        </w:rPr>
        <w:t>.</w:t>
      </w:r>
      <w:r w:rsidRPr="008C25DB">
        <w:rPr>
          <w:rFonts w:cs="Arial"/>
          <w:noProof/>
        </w:rPr>
        <w:t xml:space="preserve"> </w:t>
      </w:r>
    </w:p>
  </w:endnote>
  <w:endnote w:id="20">
    <w:p w:rsidR="007477F4" w:rsidRPr="00265A28" w:rsidRDefault="007477F4" w:rsidP="009B6069">
      <w:pPr>
        <w:pStyle w:val="References"/>
      </w:pPr>
      <w:r>
        <w:t>[</w:t>
      </w:r>
      <w:r w:rsidRPr="00265A28">
        <w:rPr>
          <w:rStyle w:val="EndnoteReference"/>
          <w:vertAlign w:val="baseline"/>
        </w:rPr>
        <w:endnoteRef/>
      </w:r>
      <w:r>
        <w:t xml:space="preserve">] </w:t>
      </w:r>
      <w:r>
        <w:tab/>
        <w:t xml:space="preserve">K. </w:t>
      </w:r>
      <w:proofErr w:type="spellStart"/>
      <w:r>
        <w:t>Herodes</w:t>
      </w:r>
      <w:proofErr w:type="spellEnd"/>
      <w:r>
        <w:t xml:space="preserve">, I. </w:t>
      </w:r>
      <w:proofErr w:type="spellStart"/>
      <w:r>
        <w:t>Leito</w:t>
      </w:r>
      <w:proofErr w:type="spellEnd"/>
      <w:r>
        <w:t>, I. Koppel, M. Ros</w:t>
      </w:r>
      <w:r>
        <w:rPr>
          <w:rFonts w:cs="Arial"/>
        </w:rPr>
        <w:t>é</w:t>
      </w:r>
      <w:r>
        <w:t xml:space="preserve">s, </w:t>
      </w:r>
      <w:r>
        <w:rPr>
          <w:i/>
        </w:rPr>
        <w:t>J. Phys. Org. Chem.</w:t>
      </w:r>
      <w:r>
        <w:t xml:space="preserve"> </w:t>
      </w:r>
      <w:r>
        <w:rPr>
          <w:b/>
        </w:rPr>
        <w:t>1999</w:t>
      </w:r>
      <w:r>
        <w:t xml:space="preserve">, </w:t>
      </w:r>
      <w:r>
        <w:rPr>
          <w:i/>
        </w:rPr>
        <w:t>12</w:t>
      </w:r>
      <w:r>
        <w:t>, 109–115.</w:t>
      </w:r>
    </w:p>
  </w:endnote>
  <w:endnote w:id="21">
    <w:p w:rsidR="007477F4" w:rsidRPr="001A3F72" w:rsidRDefault="007477F4" w:rsidP="00B36324">
      <w:pPr>
        <w:pStyle w:val="References"/>
      </w:pPr>
      <w:r>
        <w:t>[</w:t>
      </w:r>
      <w:r w:rsidRPr="000E7283">
        <w:endnoteRef/>
      </w:r>
      <w:r>
        <w:t xml:space="preserve">] </w:t>
      </w:r>
      <w:r>
        <w:tab/>
      </w:r>
      <w:r w:rsidRPr="001A3F72">
        <w:t xml:space="preserve">J. P. Teas, </w:t>
      </w:r>
      <w:r w:rsidRPr="001A3F72">
        <w:rPr>
          <w:i/>
          <w:iCs/>
        </w:rPr>
        <w:t>J. Paint Technol.</w:t>
      </w:r>
      <w:r w:rsidRPr="001A3F72">
        <w:t xml:space="preserve"> </w:t>
      </w:r>
      <w:r w:rsidRPr="001A3F72">
        <w:rPr>
          <w:b/>
        </w:rPr>
        <w:t>1968</w:t>
      </w:r>
      <w:r w:rsidRPr="001A3F72">
        <w:t xml:space="preserve">, </w:t>
      </w:r>
      <w:r w:rsidRPr="001A3F72">
        <w:rPr>
          <w:bCs/>
          <w:i/>
        </w:rPr>
        <w:t>40</w:t>
      </w:r>
      <w:r w:rsidRPr="001A3F72">
        <w:t>, 19–25.</w:t>
      </w:r>
    </w:p>
  </w:endnote>
  <w:endnote w:id="22">
    <w:p w:rsidR="007477F4" w:rsidRDefault="007477F4" w:rsidP="004D691A">
      <w:pPr>
        <w:pStyle w:val="References"/>
      </w:pPr>
      <w:r>
        <w:t>[</w:t>
      </w:r>
      <w:r w:rsidRPr="002D1925">
        <w:endnoteRef/>
      </w:r>
      <w:r>
        <w:t xml:space="preserve">] </w:t>
      </w:r>
      <w:r>
        <w:tab/>
      </w:r>
      <w:r w:rsidRPr="003422A7">
        <w:t xml:space="preserve">a) Y. </w:t>
      </w:r>
      <w:r>
        <w:rPr>
          <w:color w:val="000000"/>
        </w:rPr>
        <w:t xml:space="preserve">Liu, </w:t>
      </w:r>
      <w:r w:rsidRPr="002D1925">
        <w:rPr>
          <w:color w:val="000000"/>
        </w:rPr>
        <w:t xml:space="preserve">T. Liu, </w:t>
      </w:r>
      <w:proofErr w:type="spellStart"/>
      <w:r w:rsidRPr="002D1925">
        <w:rPr>
          <w:i/>
          <w:color w:val="000000"/>
        </w:rPr>
        <w:t>Curr</w:t>
      </w:r>
      <w:proofErr w:type="spellEnd"/>
      <w:r w:rsidRPr="002D1925">
        <w:rPr>
          <w:i/>
          <w:color w:val="000000"/>
        </w:rPr>
        <w:t>. Med. Chem.</w:t>
      </w:r>
      <w:r w:rsidRPr="002D1925">
        <w:rPr>
          <w:color w:val="000000"/>
        </w:rPr>
        <w:t xml:space="preserve"> </w:t>
      </w:r>
      <w:r w:rsidRPr="002D1925">
        <w:rPr>
          <w:b/>
          <w:color w:val="000000"/>
        </w:rPr>
        <w:t>2012</w:t>
      </w:r>
      <w:r w:rsidRPr="002D1925">
        <w:rPr>
          <w:color w:val="000000"/>
        </w:rPr>
        <w:t xml:space="preserve">, </w:t>
      </w:r>
      <w:r w:rsidRPr="002D1925">
        <w:rPr>
          <w:i/>
          <w:color w:val="000000"/>
        </w:rPr>
        <w:t>19</w:t>
      </w:r>
      <w:r>
        <w:rPr>
          <w:color w:val="000000"/>
        </w:rPr>
        <w:t>, 3982–3999; b) S. Lohan,</w:t>
      </w:r>
      <w:r w:rsidRPr="002D1925">
        <w:rPr>
          <w:color w:val="000000"/>
        </w:rPr>
        <w:t xml:space="preserve"> G. S. </w:t>
      </w:r>
      <w:proofErr w:type="spellStart"/>
      <w:r w:rsidRPr="002D1925">
        <w:rPr>
          <w:color w:val="000000"/>
        </w:rPr>
        <w:t>Bisht</w:t>
      </w:r>
      <w:proofErr w:type="spellEnd"/>
      <w:r w:rsidRPr="002D1925">
        <w:rPr>
          <w:color w:val="000000"/>
        </w:rPr>
        <w:t xml:space="preserve">, </w:t>
      </w:r>
      <w:r w:rsidRPr="002D1925">
        <w:rPr>
          <w:i/>
          <w:color w:val="000000"/>
        </w:rPr>
        <w:t>Mini-Rev. Med. Chem.</w:t>
      </w:r>
      <w:r w:rsidRPr="002D1925">
        <w:rPr>
          <w:color w:val="000000"/>
        </w:rPr>
        <w:t xml:space="preserve"> </w:t>
      </w:r>
      <w:r w:rsidRPr="002D1925">
        <w:rPr>
          <w:b/>
          <w:color w:val="000000"/>
        </w:rPr>
        <w:t>2013</w:t>
      </w:r>
      <w:r w:rsidRPr="002D1925">
        <w:rPr>
          <w:color w:val="000000"/>
        </w:rPr>
        <w:t xml:space="preserve">, </w:t>
      </w:r>
      <w:r w:rsidRPr="002D1925">
        <w:rPr>
          <w:i/>
          <w:color w:val="000000"/>
        </w:rPr>
        <w:t>13</w:t>
      </w:r>
      <w:r w:rsidRPr="002D1925">
        <w:rPr>
          <w:color w:val="000000"/>
        </w:rPr>
        <w:t>, 1073–10</w:t>
      </w:r>
      <w:r>
        <w:rPr>
          <w:color w:val="000000"/>
        </w:rPr>
        <w:t xml:space="preserve">88; c) J. </w:t>
      </w:r>
      <w:proofErr w:type="spellStart"/>
      <w:r>
        <w:rPr>
          <w:color w:val="000000"/>
        </w:rPr>
        <w:t>Vabeno</w:t>
      </w:r>
      <w:proofErr w:type="spellEnd"/>
      <w:r>
        <w:rPr>
          <w:color w:val="000000"/>
        </w:rPr>
        <w:t xml:space="preserve">, B. E. </w:t>
      </w:r>
      <w:proofErr w:type="spellStart"/>
      <w:r>
        <w:rPr>
          <w:color w:val="000000"/>
        </w:rPr>
        <w:t>Haug</w:t>
      </w:r>
      <w:proofErr w:type="spellEnd"/>
      <w:r>
        <w:rPr>
          <w:color w:val="000000"/>
        </w:rPr>
        <w:t>,</w:t>
      </w:r>
      <w:r w:rsidRPr="002D1925">
        <w:rPr>
          <w:color w:val="000000"/>
        </w:rPr>
        <w:t xml:space="preserve"> M. M. </w:t>
      </w:r>
      <w:proofErr w:type="spellStart"/>
      <w:r w:rsidRPr="002D1925">
        <w:rPr>
          <w:color w:val="000000"/>
        </w:rPr>
        <w:t>Rosenkilde</w:t>
      </w:r>
      <w:proofErr w:type="spellEnd"/>
      <w:r w:rsidRPr="002D1925">
        <w:rPr>
          <w:color w:val="000000"/>
        </w:rPr>
        <w:t xml:space="preserve">, </w:t>
      </w:r>
      <w:r w:rsidRPr="002D1925">
        <w:rPr>
          <w:i/>
          <w:color w:val="000000"/>
        </w:rPr>
        <w:t>Future Med. Chem.</w:t>
      </w:r>
      <w:r w:rsidRPr="002D1925">
        <w:rPr>
          <w:color w:val="000000"/>
        </w:rPr>
        <w:t xml:space="preserve"> </w:t>
      </w:r>
      <w:r w:rsidRPr="002D1925">
        <w:rPr>
          <w:b/>
          <w:color w:val="000000"/>
        </w:rPr>
        <w:t>2015</w:t>
      </w:r>
      <w:r w:rsidRPr="002D1925">
        <w:rPr>
          <w:color w:val="000000"/>
        </w:rPr>
        <w:t xml:space="preserve">, </w:t>
      </w:r>
      <w:r w:rsidRPr="002D1925">
        <w:rPr>
          <w:i/>
          <w:color w:val="000000"/>
        </w:rPr>
        <w:t>7</w:t>
      </w:r>
      <w:r w:rsidRPr="002D1925">
        <w:rPr>
          <w:color w:val="000000"/>
        </w:rPr>
        <w:t xml:space="preserve">, 1261–1283; </w:t>
      </w:r>
      <w:r>
        <w:rPr>
          <w:color w:val="000000"/>
        </w:rPr>
        <w:t xml:space="preserve">d) R. </w:t>
      </w:r>
      <w:proofErr w:type="spellStart"/>
      <w:r>
        <w:rPr>
          <w:color w:val="000000"/>
        </w:rPr>
        <w:t>Domalaon</w:t>
      </w:r>
      <w:proofErr w:type="spellEnd"/>
      <w:r>
        <w:rPr>
          <w:color w:val="000000"/>
        </w:rPr>
        <w:t xml:space="preserve">, G. G. </w:t>
      </w:r>
      <w:proofErr w:type="spellStart"/>
      <w:r>
        <w:rPr>
          <w:color w:val="000000"/>
        </w:rPr>
        <w:t>Zhanel</w:t>
      </w:r>
      <w:proofErr w:type="spellEnd"/>
      <w:r>
        <w:rPr>
          <w:color w:val="000000"/>
        </w:rPr>
        <w:t>,</w:t>
      </w:r>
      <w:r w:rsidRPr="002D1925">
        <w:rPr>
          <w:color w:val="000000"/>
        </w:rPr>
        <w:t xml:space="preserve"> F. </w:t>
      </w:r>
      <w:proofErr w:type="spellStart"/>
      <w:r w:rsidRPr="002D1925">
        <w:rPr>
          <w:color w:val="000000"/>
        </w:rPr>
        <w:t>Schweizer</w:t>
      </w:r>
      <w:proofErr w:type="spellEnd"/>
      <w:r w:rsidRPr="002D1925">
        <w:rPr>
          <w:color w:val="000000"/>
        </w:rPr>
        <w:t xml:space="preserve">, </w:t>
      </w:r>
      <w:proofErr w:type="spellStart"/>
      <w:r w:rsidRPr="002D1925">
        <w:rPr>
          <w:i/>
          <w:color w:val="000000"/>
        </w:rPr>
        <w:t>Curr</w:t>
      </w:r>
      <w:proofErr w:type="spellEnd"/>
      <w:r w:rsidRPr="002D1925">
        <w:rPr>
          <w:i/>
          <w:color w:val="000000"/>
        </w:rPr>
        <w:t>. Topic. Med. Chem.</w:t>
      </w:r>
      <w:r w:rsidRPr="002D1925">
        <w:rPr>
          <w:color w:val="000000"/>
        </w:rPr>
        <w:t xml:space="preserve"> </w:t>
      </w:r>
      <w:r w:rsidRPr="002D1925">
        <w:rPr>
          <w:b/>
          <w:color w:val="000000"/>
        </w:rPr>
        <w:t>2016</w:t>
      </w:r>
      <w:r w:rsidRPr="002D1925">
        <w:rPr>
          <w:color w:val="000000"/>
        </w:rPr>
        <w:t xml:space="preserve">, </w:t>
      </w:r>
      <w:r w:rsidRPr="002D1925">
        <w:rPr>
          <w:i/>
          <w:color w:val="000000"/>
        </w:rPr>
        <w:t>16</w:t>
      </w:r>
      <w:r w:rsidRPr="002D1925">
        <w:rPr>
          <w:color w:val="000000"/>
        </w:rPr>
        <w:t>, 141–155.</w:t>
      </w:r>
    </w:p>
  </w:endnote>
  <w:endnote w:id="23">
    <w:p w:rsidR="007477F4" w:rsidRDefault="007477F4" w:rsidP="004D691A">
      <w:pPr>
        <w:pStyle w:val="References"/>
      </w:pPr>
      <w:r>
        <w:t>[</w:t>
      </w:r>
      <w:r w:rsidRPr="002D1925">
        <w:endnoteRef/>
      </w:r>
      <w:r>
        <w:t xml:space="preserve">] </w:t>
      </w:r>
      <w:r>
        <w:tab/>
        <w:t xml:space="preserve">a) </w:t>
      </w:r>
      <w:r w:rsidRPr="002D1925">
        <w:rPr>
          <w:color w:val="000000"/>
        </w:rPr>
        <w:t xml:space="preserve">J. P. Tam, </w:t>
      </w:r>
      <w:r w:rsidRPr="002D1925">
        <w:rPr>
          <w:i/>
          <w:color w:val="000000"/>
        </w:rPr>
        <w:t>Proc. Natl. Acad. Sci.</w:t>
      </w:r>
      <w:r w:rsidRPr="002D1925">
        <w:rPr>
          <w:color w:val="000000"/>
        </w:rPr>
        <w:t xml:space="preserve"> </w:t>
      </w:r>
      <w:r w:rsidRPr="002D1925">
        <w:rPr>
          <w:i/>
          <w:color w:val="000000"/>
        </w:rPr>
        <w:t>USA</w:t>
      </w:r>
      <w:r w:rsidRPr="002D1925">
        <w:rPr>
          <w:color w:val="000000"/>
        </w:rPr>
        <w:t xml:space="preserve"> </w:t>
      </w:r>
      <w:r w:rsidRPr="002D1925">
        <w:rPr>
          <w:b/>
          <w:color w:val="000000"/>
        </w:rPr>
        <w:t>1988</w:t>
      </w:r>
      <w:r w:rsidRPr="002D1925">
        <w:rPr>
          <w:color w:val="000000"/>
        </w:rPr>
        <w:t xml:space="preserve">, </w:t>
      </w:r>
      <w:r w:rsidRPr="002D1925">
        <w:rPr>
          <w:i/>
          <w:color w:val="000000"/>
        </w:rPr>
        <w:t>85</w:t>
      </w:r>
      <w:r w:rsidRPr="002D1925">
        <w:rPr>
          <w:color w:val="000000"/>
        </w:rPr>
        <w:t>, 5409–</w:t>
      </w:r>
      <w:r w:rsidRPr="002D1925">
        <w:rPr>
          <w:color w:val="000000"/>
        </w:rPr>
        <w:softHyphen/>
        <w:t>5413</w:t>
      </w:r>
      <w:r>
        <w:rPr>
          <w:color w:val="000000"/>
        </w:rPr>
        <w:t>; b)</w:t>
      </w:r>
      <w:r w:rsidRPr="0021270B">
        <w:rPr>
          <w:color w:val="000000"/>
        </w:rPr>
        <w:t xml:space="preserve"> </w:t>
      </w:r>
      <w:r>
        <w:rPr>
          <w:color w:val="000000"/>
        </w:rPr>
        <w:t xml:space="preserve">A. A. </w:t>
      </w:r>
      <w:proofErr w:type="spellStart"/>
      <w:r>
        <w:rPr>
          <w:color w:val="000000"/>
        </w:rPr>
        <w:t>Kaspar</w:t>
      </w:r>
      <w:proofErr w:type="spellEnd"/>
      <w:r>
        <w:rPr>
          <w:color w:val="000000"/>
        </w:rPr>
        <w:t>,</w:t>
      </w:r>
      <w:r w:rsidRPr="002D1925">
        <w:rPr>
          <w:color w:val="000000"/>
        </w:rPr>
        <w:t xml:space="preserve"> J. M. Reichert, </w:t>
      </w:r>
      <w:r w:rsidRPr="002D1925">
        <w:rPr>
          <w:i/>
          <w:color w:val="000000"/>
        </w:rPr>
        <w:t xml:space="preserve">Drug </w:t>
      </w:r>
      <w:proofErr w:type="spellStart"/>
      <w:r w:rsidRPr="002D1925">
        <w:rPr>
          <w:i/>
          <w:color w:val="000000"/>
        </w:rPr>
        <w:t>Discov</w:t>
      </w:r>
      <w:proofErr w:type="spellEnd"/>
      <w:r w:rsidRPr="002D1925">
        <w:rPr>
          <w:i/>
          <w:color w:val="000000"/>
        </w:rPr>
        <w:t>. Today</w:t>
      </w:r>
      <w:r w:rsidRPr="002D1925">
        <w:rPr>
          <w:color w:val="000000"/>
        </w:rPr>
        <w:t xml:space="preserve"> </w:t>
      </w:r>
      <w:r w:rsidRPr="002D1925">
        <w:rPr>
          <w:b/>
          <w:color w:val="000000"/>
        </w:rPr>
        <w:t>2013</w:t>
      </w:r>
      <w:r w:rsidRPr="002D1925">
        <w:rPr>
          <w:color w:val="000000"/>
        </w:rPr>
        <w:t xml:space="preserve">, </w:t>
      </w:r>
      <w:r w:rsidRPr="002D1925">
        <w:rPr>
          <w:i/>
          <w:color w:val="000000"/>
        </w:rPr>
        <w:t>18</w:t>
      </w:r>
      <w:r w:rsidRPr="002D1925">
        <w:rPr>
          <w:color w:val="000000"/>
        </w:rPr>
        <w:t>, 807–817</w:t>
      </w:r>
      <w:r>
        <w:rPr>
          <w:color w:val="000000"/>
        </w:rPr>
        <w:t xml:space="preserve">; c) K. </w:t>
      </w:r>
      <w:proofErr w:type="spellStart"/>
      <w:r>
        <w:rPr>
          <w:color w:val="000000"/>
        </w:rPr>
        <w:t>Fosgerau</w:t>
      </w:r>
      <w:proofErr w:type="spellEnd"/>
      <w:r>
        <w:rPr>
          <w:color w:val="000000"/>
        </w:rPr>
        <w:t>,</w:t>
      </w:r>
      <w:r w:rsidRPr="002D1925">
        <w:rPr>
          <w:color w:val="000000"/>
        </w:rPr>
        <w:t xml:space="preserve"> T. Hoffmann, </w:t>
      </w:r>
      <w:r w:rsidRPr="002D1925">
        <w:rPr>
          <w:i/>
          <w:color w:val="000000"/>
        </w:rPr>
        <w:t xml:space="preserve">Drug </w:t>
      </w:r>
      <w:proofErr w:type="spellStart"/>
      <w:r w:rsidRPr="002D1925">
        <w:rPr>
          <w:i/>
          <w:color w:val="000000"/>
        </w:rPr>
        <w:t>Discov</w:t>
      </w:r>
      <w:proofErr w:type="spellEnd"/>
      <w:r w:rsidRPr="002D1925">
        <w:rPr>
          <w:i/>
          <w:color w:val="000000"/>
        </w:rPr>
        <w:t>. Today</w:t>
      </w:r>
      <w:r w:rsidRPr="002D1925">
        <w:rPr>
          <w:color w:val="000000"/>
        </w:rPr>
        <w:t xml:space="preserve"> </w:t>
      </w:r>
      <w:r w:rsidRPr="002D1925">
        <w:rPr>
          <w:b/>
          <w:color w:val="000000"/>
        </w:rPr>
        <w:t>2015</w:t>
      </w:r>
      <w:r w:rsidRPr="002D1925">
        <w:rPr>
          <w:color w:val="000000"/>
        </w:rPr>
        <w:t xml:space="preserve">, </w:t>
      </w:r>
      <w:r w:rsidRPr="002D1925">
        <w:rPr>
          <w:i/>
          <w:color w:val="000000"/>
        </w:rPr>
        <w:t>20</w:t>
      </w:r>
      <w:r w:rsidRPr="002D1925">
        <w:rPr>
          <w:color w:val="000000"/>
        </w:rPr>
        <w:t>, 122–128.</w:t>
      </w:r>
    </w:p>
  </w:endnote>
  <w:endnote w:id="24">
    <w:p w:rsidR="007477F4" w:rsidRPr="002D1925" w:rsidRDefault="007477F4" w:rsidP="004D691A">
      <w:pPr>
        <w:pStyle w:val="References"/>
        <w:rPr>
          <w:color w:val="000000"/>
        </w:rPr>
      </w:pPr>
      <w:r>
        <w:t>[</w:t>
      </w:r>
      <w:r w:rsidRPr="002D1925">
        <w:endnoteRef/>
      </w:r>
      <w:r>
        <w:t xml:space="preserve">] </w:t>
      </w:r>
      <w:r>
        <w:tab/>
        <w:t xml:space="preserve">a) </w:t>
      </w:r>
      <w:r w:rsidRPr="002D1925">
        <w:rPr>
          <w:color w:val="000000"/>
        </w:rPr>
        <w:t xml:space="preserve">a) R. V. </w:t>
      </w:r>
      <w:proofErr w:type="spellStart"/>
      <w:r w:rsidRPr="002D1925">
        <w:rPr>
          <w:color w:val="000000"/>
        </w:rPr>
        <w:t>Ulijn</w:t>
      </w:r>
      <w:proofErr w:type="spellEnd"/>
      <w:r>
        <w:rPr>
          <w:color w:val="000000"/>
        </w:rPr>
        <w:t xml:space="preserve">, B. </w:t>
      </w:r>
      <w:proofErr w:type="spellStart"/>
      <w:r>
        <w:rPr>
          <w:color w:val="000000"/>
        </w:rPr>
        <w:t>Baragaña</w:t>
      </w:r>
      <w:proofErr w:type="spellEnd"/>
      <w:r>
        <w:rPr>
          <w:color w:val="000000"/>
        </w:rPr>
        <w:t xml:space="preserve">, P. J. </w:t>
      </w:r>
      <w:proofErr w:type="spellStart"/>
      <w:r>
        <w:rPr>
          <w:color w:val="000000"/>
        </w:rPr>
        <w:t>Halling</w:t>
      </w:r>
      <w:proofErr w:type="spellEnd"/>
      <w:r>
        <w:rPr>
          <w:color w:val="000000"/>
        </w:rPr>
        <w:t>,</w:t>
      </w:r>
      <w:r w:rsidRPr="002D1925">
        <w:rPr>
          <w:color w:val="000000"/>
        </w:rPr>
        <w:t xml:space="preserve"> S. L. </w:t>
      </w:r>
      <w:proofErr w:type="spellStart"/>
      <w:r w:rsidRPr="002D1925">
        <w:rPr>
          <w:color w:val="000000"/>
        </w:rPr>
        <w:t>Flitsch</w:t>
      </w:r>
      <w:proofErr w:type="spellEnd"/>
      <w:r w:rsidRPr="002D1925">
        <w:rPr>
          <w:color w:val="000000"/>
        </w:rPr>
        <w:t xml:space="preserve">, </w:t>
      </w:r>
      <w:r w:rsidRPr="002D1925">
        <w:rPr>
          <w:i/>
          <w:color w:val="000000"/>
        </w:rPr>
        <w:t>J. Am. Chem. Soc.</w:t>
      </w:r>
      <w:r w:rsidRPr="002D1925">
        <w:rPr>
          <w:color w:val="000000"/>
        </w:rPr>
        <w:t xml:space="preserve"> </w:t>
      </w:r>
      <w:r w:rsidRPr="002D1925">
        <w:rPr>
          <w:b/>
          <w:color w:val="000000"/>
        </w:rPr>
        <w:t>2002</w:t>
      </w:r>
      <w:r w:rsidRPr="002D1925">
        <w:rPr>
          <w:color w:val="000000"/>
        </w:rPr>
        <w:t xml:space="preserve">, </w:t>
      </w:r>
      <w:r w:rsidRPr="002D1925">
        <w:rPr>
          <w:i/>
          <w:color w:val="000000"/>
        </w:rPr>
        <w:t>124</w:t>
      </w:r>
      <w:r w:rsidRPr="002D1925">
        <w:rPr>
          <w:color w:val="000000"/>
        </w:rPr>
        <w:t xml:space="preserve">, 10988–10989; b) R. </w:t>
      </w:r>
      <w:proofErr w:type="spellStart"/>
      <w:r w:rsidRPr="002D1925">
        <w:rPr>
          <w:color w:val="000000"/>
        </w:rPr>
        <w:t>Haddoub</w:t>
      </w:r>
      <w:proofErr w:type="spellEnd"/>
      <w:r w:rsidRPr="002D1925">
        <w:rPr>
          <w:color w:val="000000"/>
        </w:rPr>
        <w:t xml:space="preserve">, M. </w:t>
      </w:r>
      <w:proofErr w:type="spellStart"/>
      <w:r w:rsidRPr="002D1925">
        <w:rPr>
          <w:color w:val="000000"/>
        </w:rPr>
        <w:t>Dauner</w:t>
      </w:r>
      <w:proofErr w:type="spellEnd"/>
      <w:r w:rsidRPr="002D1925">
        <w:rPr>
          <w:color w:val="000000"/>
        </w:rPr>
        <w:t xml:space="preserve">, F. A. </w:t>
      </w:r>
      <w:proofErr w:type="spellStart"/>
      <w:r w:rsidRPr="002D1925">
        <w:rPr>
          <w:color w:val="000000"/>
        </w:rPr>
        <w:t>Stefanowi</w:t>
      </w:r>
      <w:r>
        <w:rPr>
          <w:color w:val="000000"/>
        </w:rPr>
        <w:t>cz</w:t>
      </w:r>
      <w:proofErr w:type="spellEnd"/>
      <w:r>
        <w:rPr>
          <w:color w:val="000000"/>
        </w:rPr>
        <w:t xml:space="preserve">, V. </w:t>
      </w:r>
      <w:proofErr w:type="spellStart"/>
      <w:r>
        <w:rPr>
          <w:color w:val="000000"/>
        </w:rPr>
        <w:t>Barattini</w:t>
      </w:r>
      <w:proofErr w:type="spellEnd"/>
      <w:r>
        <w:rPr>
          <w:color w:val="000000"/>
        </w:rPr>
        <w:t>, N. Laurent,</w:t>
      </w:r>
      <w:r w:rsidRPr="002D1925">
        <w:rPr>
          <w:color w:val="000000"/>
        </w:rPr>
        <w:t xml:space="preserve"> S. L. </w:t>
      </w:r>
      <w:proofErr w:type="spellStart"/>
      <w:r w:rsidRPr="002D1925">
        <w:rPr>
          <w:color w:val="000000"/>
        </w:rPr>
        <w:t>Flitsch</w:t>
      </w:r>
      <w:proofErr w:type="spellEnd"/>
      <w:r w:rsidRPr="002D1925">
        <w:rPr>
          <w:color w:val="000000"/>
        </w:rPr>
        <w:t xml:space="preserve">, </w:t>
      </w:r>
      <w:r w:rsidRPr="002D1925">
        <w:rPr>
          <w:i/>
          <w:color w:val="000000"/>
        </w:rPr>
        <w:t xml:space="preserve">Org. </w:t>
      </w:r>
      <w:proofErr w:type="spellStart"/>
      <w:r w:rsidRPr="002D1925">
        <w:rPr>
          <w:i/>
          <w:color w:val="000000"/>
        </w:rPr>
        <w:t>Biomol</w:t>
      </w:r>
      <w:proofErr w:type="spellEnd"/>
      <w:r w:rsidRPr="002D1925">
        <w:rPr>
          <w:i/>
          <w:color w:val="000000"/>
        </w:rPr>
        <w:t>. Chem.</w:t>
      </w:r>
      <w:r w:rsidRPr="002D1925">
        <w:rPr>
          <w:color w:val="000000"/>
        </w:rPr>
        <w:t xml:space="preserve"> </w:t>
      </w:r>
      <w:r w:rsidRPr="002D1925">
        <w:rPr>
          <w:b/>
          <w:color w:val="000000"/>
        </w:rPr>
        <w:t>2009</w:t>
      </w:r>
      <w:r w:rsidRPr="002D1925">
        <w:rPr>
          <w:color w:val="000000"/>
        </w:rPr>
        <w:t xml:space="preserve">, </w:t>
      </w:r>
      <w:r w:rsidRPr="002D1925">
        <w:rPr>
          <w:i/>
          <w:color w:val="000000"/>
        </w:rPr>
        <w:t>7</w:t>
      </w:r>
      <w:r w:rsidRPr="002D1925">
        <w:rPr>
          <w:color w:val="000000"/>
        </w:rPr>
        <w:t>, 665–670</w:t>
      </w:r>
      <w:r>
        <w:rPr>
          <w:color w:val="000000"/>
        </w:rPr>
        <w:t xml:space="preserve">; c) </w:t>
      </w:r>
      <w:r w:rsidRPr="002D1925">
        <w:rPr>
          <w:color w:val="000000"/>
        </w:rPr>
        <w:t xml:space="preserve">G. A. Acosta, M. del Fresno, M. </w:t>
      </w:r>
      <w:proofErr w:type="spellStart"/>
      <w:r w:rsidRPr="002D1925">
        <w:rPr>
          <w:color w:val="000000"/>
        </w:rPr>
        <w:t>Paradis</w:t>
      </w:r>
      <w:proofErr w:type="spellEnd"/>
      <w:r w:rsidRPr="002D1925">
        <w:rPr>
          <w:color w:val="000000"/>
        </w:rPr>
        <w:t xml:space="preserve">-Bas, M. </w:t>
      </w:r>
      <w:proofErr w:type="spellStart"/>
      <w:r w:rsidRPr="002D1925">
        <w:rPr>
          <w:color w:val="000000"/>
        </w:rPr>
        <w:t>Riga</w:t>
      </w:r>
      <w:r>
        <w:rPr>
          <w:color w:val="000000"/>
        </w:rPr>
        <w:t>u-DeLlobet</w:t>
      </w:r>
      <w:proofErr w:type="spellEnd"/>
      <w:r>
        <w:rPr>
          <w:color w:val="000000"/>
        </w:rPr>
        <w:t xml:space="preserve">, S. </w:t>
      </w:r>
      <w:proofErr w:type="spellStart"/>
      <w:r>
        <w:rPr>
          <w:color w:val="000000"/>
        </w:rPr>
        <w:t>Côté</w:t>
      </w:r>
      <w:proofErr w:type="spellEnd"/>
      <w:r>
        <w:rPr>
          <w:color w:val="000000"/>
        </w:rPr>
        <w:t xml:space="preserve">, M. </w:t>
      </w:r>
      <w:proofErr w:type="spellStart"/>
      <w:r>
        <w:rPr>
          <w:color w:val="000000"/>
        </w:rPr>
        <w:t>Royo</w:t>
      </w:r>
      <w:proofErr w:type="spellEnd"/>
      <w:r>
        <w:rPr>
          <w:color w:val="000000"/>
        </w:rPr>
        <w:t>,</w:t>
      </w:r>
      <w:r w:rsidRPr="002D1925">
        <w:rPr>
          <w:color w:val="000000"/>
        </w:rPr>
        <w:t xml:space="preserve"> F. </w:t>
      </w:r>
      <w:proofErr w:type="spellStart"/>
      <w:r w:rsidRPr="002D1925">
        <w:rPr>
          <w:color w:val="000000"/>
        </w:rPr>
        <w:t>Albericio</w:t>
      </w:r>
      <w:proofErr w:type="spellEnd"/>
      <w:r w:rsidRPr="002D1925">
        <w:rPr>
          <w:color w:val="000000"/>
        </w:rPr>
        <w:t xml:space="preserve">, </w:t>
      </w:r>
      <w:r w:rsidRPr="002D1925">
        <w:rPr>
          <w:i/>
          <w:color w:val="000000"/>
        </w:rPr>
        <w:t xml:space="preserve">J. </w:t>
      </w:r>
      <w:proofErr w:type="spellStart"/>
      <w:r w:rsidRPr="002D1925">
        <w:rPr>
          <w:i/>
          <w:color w:val="000000"/>
        </w:rPr>
        <w:t>Pept</w:t>
      </w:r>
      <w:proofErr w:type="spellEnd"/>
      <w:r w:rsidRPr="002D1925">
        <w:rPr>
          <w:i/>
          <w:color w:val="000000"/>
        </w:rPr>
        <w:t>. Sci.</w:t>
      </w:r>
      <w:r w:rsidRPr="002D1925">
        <w:rPr>
          <w:color w:val="000000"/>
        </w:rPr>
        <w:t xml:space="preserve"> </w:t>
      </w:r>
      <w:r w:rsidRPr="002D1925">
        <w:rPr>
          <w:b/>
          <w:color w:val="000000"/>
        </w:rPr>
        <w:t>2009</w:t>
      </w:r>
      <w:r w:rsidRPr="002D1925">
        <w:rPr>
          <w:color w:val="000000"/>
        </w:rPr>
        <w:t xml:space="preserve">, </w:t>
      </w:r>
      <w:r w:rsidRPr="002D1925">
        <w:rPr>
          <w:i/>
          <w:color w:val="000000"/>
        </w:rPr>
        <w:t>15</w:t>
      </w:r>
      <w:r w:rsidRPr="002D1925">
        <w:rPr>
          <w:color w:val="000000"/>
        </w:rPr>
        <w:t>, 629–633</w:t>
      </w:r>
      <w:r>
        <w:rPr>
          <w:color w:val="000000"/>
        </w:rPr>
        <w:t xml:space="preserve">; d) A. S. </w:t>
      </w:r>
      <w:proofErr w:type="spellStart"/>
      <w:r>
        <w:rPr>
          <w:color w:val="000000"/>
        </w:rPr>
        <w:t>Galanis</w:t>
      </w:r>
      <w:proofErr w:type="spellEnd"/>
      <w:r>
        <w:rPr>
          <w:color w:val="000000"/>
        </w:rPr>
        <w:t xml:space="preserve">, F. </w:t>
      </w:r>
      <w:proofErr w:type="spellStart"/>
      <w:r>
        <w:rPr>
          <w:color w:val="000000"/>
        </w:rPr>
        <w:t>Albericio</w:t>
      </w:r>
      <w:proofErr w:type="spellEnd"/>
      <w:r>
        <w:rPr>
          <w:color w:val="000000"/>
        </w:rPr>
        <w:t>,</w:t>
      </w:r>
      <w:r w:rsidRPr="00AA70D7">
        <w:rPr>
          <w:color w:val="000000"/>
        </w:rPr>
        <w:t xml:space="preserve"> M. </w:t>
      </w:r>
      <w:proofErr w:type="spellStart"/>
      <w:r w:rsidRPr="00AA70D7">
        <w:rPr>
          <w:color w:val="000000"/>
        </w:rPr>
        <w:t>Grøtli</w:t>
      </w:r>
      <w:proofErr w:type="spellEnd"/>
      <w:r w:rsidRPr="00AA70D7">
        <w:rPr>
          <w:color w:val="000000"/>
        </w:rPr>
        <w:t xml:space="preserve">, </w:t>
      </w:r>
      <w:r w:rsidRPr="00AA70D7">
        <w:rPr>
          <w:i/>
          <w:color w:val="000000"/>
        </w:rPr>
        <w:t>Org. Lett.</w:t>
      </w:r>
      <w:r w:rsidRPr="00AA70D7">
        <w:rPr>
          <w:color w:val="000000"/>
        </w:rPr>
        <w:t xml:space="preserve"> </w:t>
      </w:r>
      <w:r w:rsidRPr="00AA70D7">
        <w:rPr>
          <w:b/>
          <w:color w:val="000000"/>
        </w:rPr>
        <w:t>2009</w:t>
      </w:r>
      <w:r w:rsidRPr="00AA70D7">
        <w:rPr>
          <w:color w:val="000000"/>
        </w:rPr>
        <w:t xml:space="preserve">, </w:t>
      </w:r>
      <w:r w:rsidRPr="00AA70D7">
        <w:rPr>
          <w:i/>
          <w:color w:val="000000"/>
        </w:rPr>
        <w:t>11</w:t>
      </w:r>
      <w:r w:rsidRPr="00AA70D7">
        <w:rPr>
          <w:color w:val="000000"/>
        </w:rPr>
        <w:t xml:space="preserve">, 4488–4491; </w:t>
      </w:r>
      <w:r>
        <w:rPr>
          <w:color w:val="000000"/>
        </w:rPr>
        <w:t>e</w:t>
      </w:r>
      <w:r w:rsidRPr="00AA70D7">
        <w:rPr>
          <w:color w:val="000000"/>
        </w:rPr>
        <w:t xml:space="preserve">) K. </w:t>
      </w:r>
      <w:proofErr w:type="spellStart"/>
      <w:r w:rsidRPr="00AA70D7">
        <w:rPr>
          <w:color w:val="000000"/>
        </w:rPr>
        <w:t>Hojo</w:t>
      </w:r>
      <w:proofErr w:type="spellEnd"/>
      <w:r w:rsidRPr="00AA70D7">
        <w:rPr>
          <w:color w:val="000000"/>
        </w:rPr>
        <w:t xml:space="preserve">, A. Hara, H. </w:t>
      </w:r>
      <w:proofErr w:type="spellStart"/>
      <w:r w:rsidRPr="00AA70D7">
        <w:rPr>
          <w:color w:val="000000"/>
        </w:rPr>
        <w:t>Kitai</w:t>
      </w:r>
      <w:proofErr w:type="spellEnd"/>
      <w:r w:rsidRPr="00AA70D7">
        <w:rPr>
          <w:color w:val="000000"/>
        </w:rPr>
        <w:t xml:space="preserve">, M. </w:t>
      </w:r>
      <w:proofErr w:type="spellStart"/>
      <w:r w:rsidRPr="00AA70D7">
        <w:rPr>
          <w:color w:val="000000"/>
        </w:rPr>
        <w:t>Onis</w:t>
      </w:r>
      <w:r>
        <w:rPr>
          <w:color w:val="000000"/>
        </w:rPr>
        <w:t>hi</w:t>
      </w:r>
      <w:proofErr w:type="spellEnd"/>
      <w:r>
        <w:rPr>
          <w:color w:val="000000"/>
        </w:rPr>
        <w:t xml:space="preserve">, H. Ichikawa, Y. </w:t>
      </w:r>
      <w:proofErr w:type="spellStart"/>
      <w:r>
        <w:rPr>
          <w:color w:val="000000"/>
        </w:rPr>
        <w:t>Fukumori</w:t>
      </w:r>
      <w:proofErr w:type="spellEnd"/>
      <w:r>
        <w:rPr>
          <w:color w:val="000000"/>
        </w:rPr>
        <w:t>,</w:t>
      </w:r>
      <w:r w:rsidRPr="00AA70D7">
        <w:rPr>
          <w:color w:val="000000"/>
        </w:rPr>
        <w:t xml:space="preserve"> K. Kawasaki, </w:t>
      </w:r>
      <w:r w:rsidRPr="00AA70D7">
        <w:rPr>
          <w:i/>
          <w:color w:val="000000"/>
        </w:rPr>
        <w:t>Chem. Central J.</w:t>
      </w:r>
      <w:r w:rsidRPr="00AA70D7">
        <w:rPr>
          <w:color w:val="000000"/>
        </w:rPr>
        <w:t xml:space="preserve"> </w:t>
      </w:r>
      <w:r w:rsidRPr="00AA70D7">
        <w:rPr>
          <w:b/>
          <w:color w:val="000000"/>
        </w:rPr>
        <w:t>2011</w:t>
      </w:r>
      <w:r w:rsidRPr="00AA70D7">
        <w:rPr>
          <w:color w:val="000000"/>
        </w:rPr>
        <w:t xml:space="preserve">, </w:t>
      </w:r>
      <w:r w:rsidRPr="00AA70D7">
        <w:rPr>
          <w:i/>
          <w:color w:val="000000"/>
        </w:rPr>
        <w:t>5</w:t>
      </w:r>
      <w:r w:rsidRPr="00AA70D7">
        <w:rPr>
          <w:color w:val="000000"/>
        </w:rPr>
        <w:t xml:space="preserve">, 49; </w:t>
      </w:r>
      <w:r w:rsidRPr="0005779E">
        <w:rPr>
          <w:rFonts w:cs="Arial"/>
          <w:color w:val="000000"/>
        </w:rPr>
        <w:t xml:space="preserve">f) R. De Marco, A. </w:t>
      </w:r>
      <w:proofErr w:type="spellStart"/>
      <w:r w:rsidRPr="0005779E">
        <w:rPr>
          <w:rFonts w:cs="Arial"/>
          <w:color w:val="000000"/>
        </w:rPr>
        <w:t>Tolomelli</w:t>
      </w:r>
      <w:proofErr w:type="spellEnd"/>
      <w:r w:rsidRPr="0005779E">
        <w:rPr>
          <w:rFonts w:cs="Arial"/>
          <w:color w:val="000000"/>
        </w:rPr>
        <w:t xml:space="preserve">, A. Greco, L. </w:t>
      </w:r>
      <w:proofErr w:type="spellStart"/>
      <w:r w:rsidRPr="0005779E">
        <w:rPr>
          <w:rFonts w:cs="Arial"/>
          <w:color w:val="000000"/>
        </w:rPr>
        <w:t>Gentilucci</w:t>
      </w:r>
      <w:proofErr w:type="spellEnd"/>
      <w:r w:rsidRPr="0005779E">
        <w:rPr>
          <w:rFonts w:cs="Arial"/>
          <w:color w:val="000000"/>
        </w:rPr>
        <w:t xml:space="preserve">, </w:t>
      </w:r>
      <w:r w:rsidRPr="0005779E">
        <w:rPr>
          <w:rFonts w:cs="Arial"/>
          <w:i/>
          <w:color w:val="000000"/>
        </w:rPr>
        <w:t>ACS Sustainable Chem. Eng.</w:t>
      </w:r>
      <w:r w:rsidRPr="0005779E">
        <w:rPr>
          <w:rFonts w:cs="Arial"/>
          <w:color w:val="000000"/>
        </w:rPr>
        <w:t xml:space="preserve"> </w:t>
      </w:r>
      <w:r w:rsidRPr="0005779E">
        <w:rPr>
          <w:rFonts w:cs="Arial"/>
          <w:b/>
          <w:color w:val="000000"/>
        </w:rPr>
        <w:t>2013</w:t>
      </w:r>
      <w:r w:rsidRPr="0005779E">
        <w:rPr>
          <w:rFonts w:cs="Arial"/>
          <w:color w:val="000000"/>
        </w:rPr>
        <w:t xml:space="preserve">, </w:t>
      </w:r>
      <w:r w:rsidRPr="0005779E">
        <w:rPr>
          <w:rFonts w:cs="Arial"/>
          <w:i/>
          <w:color w:val="000000"/>
        </w:rPr>
        <w:t>1</w:t>
      </w:r>
      <w:r w:rsidRPr="0005779E">
        <w:rPr>
          <w:rFonts w:cs="Arial"/>
          <w:color w:val="000000"/>
        </w:rPr>
        <w:t xml:space="preserve">, 566−569; </w:t>
      </w:r>
      <w:r>
        <w:rPr>
          <w:color w:val="000000"/>
        </w:rPr>
        <w:t>g</w:t>
      </w:r>
      <w:r w:rsidRPr="00AA70D7">
        <w:rPr>
          <w:color w:val="000000"/>
        </w:rPr>
        <w:t xml:space="preserve">) K. </w:t>
      </w:r>
      <w:proofErr w:type="spellStart"/>
      <w:r w:rsidRPr="00AA70D7">
        <w:rPr>
          <w:color w:val="000000"/>
        </w:rPr>
        <w:t>Hojo</w:t>
      </w:r>
      <w:proofErr w:type="spellEnd"/>
      <w:r w:rsidRPr="00AA70D7">
        <w:rPr>
          <w:color w:val="000000"/>
        </w:rPr>
        <w:t xml:space="preserve">, N. Shinozaki, K. Hidaka, Y. </w:t>
      </w:r>
      <w:proofErr w:type="spellStart"/>
      <w:r w:rsidRPr="00AA70D7">
        <w:rPr>
          <w:color w:val="000000"/>
        </w:rPr>
        <w:t>Tsu</w:t>
      </w:r>
      <w:r>
        <w:rPr>
          <w:color w:val="000000"/>
        </w:rPr>
        <w:t>da</w:t>
      </w:r>
      <w:proofErr w:type="spellEnd"/>
      <w:r>
        <w:rPr>
          <w:color w:val="000000"/>
        </w:rPr>
        <w:t xml:space="preserve">, Y. </w:t>
      </w:r>
      <w:proofErr w:type="spellStart"/>
      <w:r>
        <w:rPr>
          <w:color w:val="000000"/>
        </w:rPr>
        <w:t>Fukumori</w:t>
      </w:r>
      <w:proofErr w:type="spellEnd"/>
      <w:r>
        <w:rPr>
          <w:color w:val="000000"/>
        </w:rPr>
        <w:t>, H. Ichikawa,</w:t>
      </w:r>
      <w:r w:rsidRPr="00AA70D7">
        <w:rPr>
          <w:color w:val="000000"/>
        </w:rPr>
        <w:t xml:space="preserve"> J. D. Wade, </w:t>
      </w:r>
      <w:r w:rsidRPr="00AA70D7">
        <w:rPr>
          <w:i/>
          <w:color w:val="000000"/>
        </w:rPr>
        <w:t>Amino Acids</w:t>
      </w:r>
      <w:r w:rsidRPr="00AA70D7">
        <w:rPr>
          <w:color w:val="000000"/>
        </w:rPr>
        <w:t xml:space="preserve"> </w:t>
      </w:r>
      <w:r w:rsidRPr="00AA70D7">
        <w:rPr>
          <w:b/>
          <w:color w:val="000000"/>
        </w:rPr>
        <w:t>2014</w:t>
      </w:r>
      <w:r w:rsidRPr="00AA70D7">
        <w:rPr>
          <w:color w:val="000000"/>
        </w:rPr>
        <w:t xml:space="preserve">, </w:t>
      </w:r>
      <w:r w:rsidRPr="00AA70D7">
        <w:rPr>
          <w:i/>
          <w:color w:val="000000"/>
        </w:rPr>
        <w:t>46</w:t>
      </w:r>
      <w:r w:rsidRPr="00AA70D7">
        <w:rPr>
          <w:color w:val="000000"/>
        </w:rPr>
        <w:t>, 2347–2354</w:t>
      </w:r>
      <w:r>
        <w:rPr>
          <w:color w:val="000000"/>
        </w:rPr>
        <w:t xml:space="preserve">; h) </w:t>
      </w:r>
      <w:r w:rsidRPr="002D1925">
        <w:rPr>
          <w:color w:val="000000"/>
        </w:rPr>
        <w:t xml:space="preserve">Y. E. </w:t>
      </w:r>
      <w:proofErr w:type="spellStart"/>
      <w:r w:rsidRPr="002D1925">
        <w:rPr>
          <w:color w:val="000000"/>
        </w:rPr>
        <w:t>Jad</w:t>
      </w:r>
      <w:proofErr w:type="spellEnd"/>
      <w:r w:rsidRPr="002D1925">
        <w:rPr>
          <w:color w:val="000000"/>
        </w:rPr>
        <w:t xml:space="preserve">, G. A. Acosta, S. N. </w:t>
      </w:r>
      <w:proofErr w:type="spellStart"/>
      <w:r w:rsidRPr="002D1925">
        <w:rPr>
          <w:color w:val="000000"/>
        </w:rPr>
        <w:t>Khattab</w:t>
      </w:r>
      <w:proofErr w:type="spellEnd"/>
      <w:r w:rsidRPr="002D1925">
        <w:rPr>
          <w:color w:val="000000"/>
        </w:rPr>
        <w:t xml:space="preserve">, B. G. de la Torre, T. </w:t>
      </w:r>
      <w:proofErr w:type="spellStart"/>
      <w:r w:rsidRPr="002D1925">
        <w:rPr>
          <w:color w:val="000000"/>
        </w:rPr>
        <w:t>Govende</w:t>
      </w:r>
      <w:r>
        <w:rPr>
          <w:color w:val="000000"/>
        </w:rPr>
        <w:t>r</w:t>
      </w:r>
      <w:proofErr w:type="spellEnd"/>
      <w:r>
        <w:rPr>
          <w:color w:val="000000"/>
        </w:rPr>
        <w:t>, H. G. Kruger, A. El-</w:t>
      </w:r>
      <w:proofErr w:type="spellStart"/>
      <w:r>
        <w:rPr>
          <w:color w:val="000000"/>
        </w:rPr>
        <w:t>Faham</w:t>
      </w:r>
      <w:proofErr w:type="spellEnd"/>
      <w:r>
        <w:rPr>
          <w:color w:val="000000"/>
        </w:rPr>
        <w:t>,</w:t>
      </w:r>
      <w:r w:rsidRPr="002D1925">
        <w:rPr>
          <w:color w:val="000000"/>
        </w:rPr>
        <w:t xml:space="preserve"> F. </w:t>
      </w:r>
      <w:proofErr w:type="spellStart"/>
      <w:r w:rsidRPr="002D1925">
        <w:rPr>
          <w:color w:val="000000"/>
        </w:rPr>
        <w:t>Albericio</w:t>
      </w:r>
      <w:proofErr w:type="spellEnd"/>
      <w:r w:rsidRPr="002D1925">
        <w:rPr>
          <w:color w:val="000000"/>
        </w:rPr>
        <w:t xml:space="preserve">, </w:t>
      </w:r>
      <w:r w:rsidRPr="002D1925">
        <w:rPr>
          <w:i/>
          <w:color w:val="000000"/>
        </w:rPr>
        <w:t xml:space="preserve">Org. </w:t>
      </w:r>
      <w:proofErr w:type="spellStart"/>
      <w:r w:rsidRPr="002D1925">
        <w:rPr>
          <w:i/>
          <w:color w:val="000000"/>
        </w:rPr>
        <w:t>Biomol</w:t>
      </w:r>
      <w:proofErr w:type="spellEnd"/>
      <w:r w:rsidRPr="002D1925">
        <w:rPr>
          <w:i/>
          <w:color w:val="000000"/>
        </w:rPr>
        <w:t>. Chem.</w:t>
      </w:r>
      <w:r w:rsidRPr="002D1925">
        <w:rPr>
          <w:color w:val="000000"/>
        </w:rPr>
        <w:t xml:space="preserve"> </w:t>
      </w:r>
      <w:r w:rsidRPr="002D1925">
        <w:rPr>
          <w:b/>
          <w:color w:val="000000"/>
        </w:rPr>
        <w:t>2015</w:t>
      </w:r>
      <w:r w:rsidRPr="002D1925">
        <w:rPr>
          <w:color w:val="000000"/>
        </w:rPr>
        <w:t xml:space="preserve">, </w:t>
      </w:r>
      <w:r w:rsidRPr="002D1925">
        <w:rPr>
          <w:i/>
          <w:color w:val="000000"/>
        </w:rPr>
        <w:t>13</w:t>
      </w:r>
      <w:r w:rsidRPr="002D1925">
        <w:rPr>
          <w:color w:val="000000"/>
        </w:rPr>
        <w:t>, 2393–2398</w:t>
      </w:r>
      <w:r>
        <w:rPr>
          <w:color w:val="000000"/>
        </w:rPr>
        <w:t xml:space="preserve">; </w:t>
      </w:r>
      <w:proofErr w:type="spellStart"/>
      <w:r>
        <w:rPr>
          <w:color w:val="000000"/>
        </w:rPr>
        <w:t>i</w:t>
      </w:r>
      <w:proofErr w:type="spellEnd"/>
      <w:r>
        <w:rPr>
          <w:color w:val="000000"/>
        </w:rPr>
        <w:t xml:space="preserve">) </w:t>
      </w:r>
      <w:r w:rsidRPr="002D1925">
        <w:rPr>
          <w:color w:val="000000"/>
        </w:rPr>
        <w:t xml:space="preserve">Y. E. </w:t>
      </w:r>
      <w:proofErr w:type="spellStart"/>
      <w:r w:rsidRPr="002D1925">
        <w:rPr>
          <w:color w:val="000000"/>
        </w:rPr>
        <w:t>Jad</w:t>
      </w:r>
      <w:proofErr w:type="spellEnd"/>
      <w:r w:rsidRPr="002D1925">
        <w:rPr>
          <w:color w:val="000000"/>
        </w:rPr>
        <w:t xml:space="preserve">, G. A. Acosta, T. </w:t>
      </w:r>
      <w:proofErr w:type="spellStart"/>
      <w:r w:rsidRPr="002D1925">
        <w:rPr>
          <w:color w:val="000000"/>
        </w:rPr>
        <w:t>Govender</w:t>
      </w:r>
      <w:proofErr w:type="spellEnd"/>
      <w:r w:rsidRPr="002D1925">
        <w:rPr>
          <w:color w:val="000000"/>
        </w:rPr>
        <w:t>, H. G. Kruger, A.</w:t>
      </w:r>
      <w:r>
        <w:rPr>
          <w:color w:val="000000"/>
        </w:rPr>
        <w:t xml:space="preserve"> El-</w:t>
      </w:r>
      <w:proofErr w:type="spellStart"/>
      <w:r>
        <w:rPr>
          <w:color w:val="000000"/>
        </w:rPr>
        <w:t>Faham</w:t>
      </w:r>
      <w:proofErr w:type="spellEnd"/>
      <w:r>
        <w:rPr>
          <w:color w:val="000000"/>
        </w:rPr>
        <w:t>, B. G. de la Torre,</w:t>
      </w:r>
      <w:r w:rsidRPr="002D1925">
        <w:rPr>
          <w:color w:val="000000"/>
        </w:rPr>
        <w:t xml:space="preserve"> F. </w:t>
      </w:r>
      <w:proofErr w:type="spellStart"/>
      <w:r w:rsidRPr="002D1925">
        <w:rPr>
          <w:color w:val="000000"/>
        </w:rPr>
        <w:t>Albericio</w:t>
      </w:r>
      <w:proofErr w:type="spellEnd"/>
      <w:r w:rsidRPr="002D1925">
        <w:rPr>
          <w:color w:val="000000"/>
        </w:rPr>
        <w:t xml:space="preserve">, </w:t>
      </w:r>
      <w:r w:rsidRPr="002D1925">
        <w:rPr>
          <w:i/>
          <w:color w:val="000000"/>
        </w:rPr>
        <w:t xml:space="preserve">ACS </w:t>
      </w:r>
      <w:proofErr w:type="spellStart"/>
      <w:r w:rsidRPr="002D1925">
        <w:rPr>
          <w:i/>
          <w:color w:val="000000"/>
        </w:rPr>
        <w:t>Sust</w:t>
      </w:r>
      <w:proofErr w:type="spellEnd"/>
      <w:r w:rsidRPr="002D1925">
        <w:rPr>
          <w:i/>
          <w:color w:val="000000"/>
        </w:rPr>
        <w:t>. Chem. Eng.</w:t>
      </w:r>
      <w:r w:rsidRPr="002D1925">
        <w:rPr>
          <w:color w:val="000000"/>
        </w:rPr>
        <w:t xml:space="preserve"> </w:t>
      </w:r>
      <w:r w:rsidRPr="002D1925">
        <w:rPr>
          <w:b/>
          <w:color w:val="000000"/>
        </w:rPr>
        <w:t>2016</w:t>
      </w:r>
      <w:r w:rsidRPr="002D1925">
        <w:rPr>
          <w:color w:val="000000"/>
        </w:rPr>
        <w:t xml:space="preserve">, </w:t>
      </w:r>
      <w:r w:rsidRPr="002D1925">
        <w:rPr>
          <w:i/>
          <w:color w:val="000000"/>
        </w:rPr>
        <w:t>4</w:t>
      </w:r>
      <w:r w:rsidRPr="002D1925">
        <w:rPr>
          <w:color w:val="000000"/>
        </w:rPr>
        <w:t>, 6809–6814.</w:t>
      </w:r>
    </w:p>
  </w:endnote>
  <w:endnote w:id="25">
    <w:p w:rsidR="007477F4" w:rsidRPr="00237903" w:rsidRDefault="007477F4" w:rsidP="00237903">
      <w:pPr>
        <w:pStyle w:val="References"/>
        <w:rPr>
          <w:color w:val="000000"/>
        </w:rPr>
      </w:pPr>
      <w:r w:rsidRPr="00237903">
        <w:rPr>
          <w:color w:val="000000"/>
        </w:rPr>
        <w:t>[</w:t>
      </w:r>
      <w:r w:rsidRPr="00237903">
        <w:rPr>
          <w:color w:val="000000"/>
        </w:rPr>
        <w:endnoteRef/>
      </w:r>
      <w:r>
        <w:rPr>
          <w:color w:val="000000"/>
        </w:rPr>
        <w:t xml:space="preserve">] </w:t>
      </w:r>
      <w:r>
        <w:rPr>
          <w:color w:val="000000"/>
        </w:rPr>
        <w:tab/>
      </w:r>
      <w:r w:rsidRPr="00237903">
        <w:rPr>
          <w:color w:val="000000"/>
        </w:rPr>
        <w:t>C. M. Alder, J. D. Hayler, R. K. Henderson, A. M. Redm</w:t>
      </w:r>
      <w:r>
        <w:rPr>
          <w:color w:val="000000"/>
        </w:rPr>
        <w:t>an, L. Shukla, L. E. Shuster,</w:t>
      </w:r>
      <w:r w:rsidRPr="00237903">
        <w:rPr>
          <w:color w:val="000000"/>
        </w:rPr>
        <w:t xml:space="preserve"> H. F. Sneddon, </w:t>
      </w:r>
      <w:r w:rsidRPr="00237903">
        <w:rPr>
          <w:i/>
          <w:color w:val="000000"/>
        </w:rPr>
        <w:t>Green Chem.</w:t>
      </w:r>
      <w:r w:rsidRPr="00237903">
        <w:rPr>
          <w:color w:val="000000"/>
        </w:rPr>
        <w:t xml:space="preserve"> </w:t>
      </w:r>
      <w:r w:rsidRPr="00237903">
        <w:rPr>
          <w:b/>
          <w:color w:val="000000"/>
        </w:rPr>
        <w:t>2016</w:t>
      </w:r>
      <w:r w:rsidRPr="00237903">
        <w:rPr>
          <w:color w:val="000000"/>
        </w:rPr>
        <w:t xml:space="preserve">, </w:t>
      </w:r>
      <w:r w:rsidRPr="00237903">
        <w:rPr>
          <w:i/>
          <w:color w:val="000000"/>
        </w:rPr>
        <w:t>18</w:t>
      </w:r>
      <w:r w:rsidRPr="00237903">
        <w:rPr>
          <w:color w:val="000000"/>
        </w:rPr>
        <w:t xml:space="preserve">, 3879–3890. </w:t>
      </w:r>
    </w:p>
  </w:endnote>
  <w:endnote w:id="26">
    <w:p w:rsidR="007477F4" w:rsidRPr="002B4C5E" w:rsidRDefault="007477F4" w:rsidP="00DE02FC">
      <w:pPr>
        <w:pStyle w:val="References"/>
        <w:rPr>
          <w:color w:val="000000"/>
        </w:rPr>
      </w:pPr>
      <w:r w:rsidRPr="002B4C5E">
        <w:rPr>
          <w:color w:val="000000"/>
        </w:rPr>
        <w:t>[</w:t>
      </w:r>
      <w:r w:rsidRPr="002B4C5E">
        <w:rPr>
          <w:color w:val="000000"/>
        </w:rPr>
        <w:endnoteRef/>
      </w:r>
      <w:r w:rsidRPr="002B4C5E">
        <w:rPr>
          <w:color w:val="000000"/>
        </w:rPr>
        <w:t>]</w:t>
      </w:r>
      <w:r w:rsidRPr="002B4C5E">
        <w:rPr>
          <w:color w:val="000000"/>
        </w:rPr>
        <w:tab/>
      </w:r>
      <w:r>
        <w:rPr>
          <w:color w:val="000000"/>
        </w:rPr>
        <w:t xml:space="preserve">a) </w:t>
      </w:r>
      <w:hyperlink r:id="rId1" w:history="1">
        <w:r w:rsidRPr="00DE02FC">
          <w:rPr>
            <w:color w:val="000000"/>
          </w:rPr>
          <w:t>https://echa.europa.eu/substance-information/-/substanceinfo/ 100.003.297</w:t>
        </w:r>
      </w:hyperlink>
      <w:r>
        <w:rPr>
          <w:color w:val="000000"/>
        </w:rPr>
        <w:t xml:space="preserve">; b) </w:t>
      </w:r>
      <w:hyperlink r:id="rId2" w:tgtFrame="_blank" w:history="1">
        <w:r w:rsidRPr="00DE02FC">
          <w:rPr>
            <w:color w:val="000000"/>
          </w:rPr>
          <w:t>https://echa.europa.eu/substance-information/-/substanceinfo/100.003.435</w:t>
        </w:r>
      </w:hyperlink>
      <w:r>
        <w:rPr>
          <w:color w:val="000000"/>
        </w:rPr>
        <w:t>.</w:t>
      </w:r>
    </w:p>
  </w:endnote>
  <w:endnote w:id="27">
    <w:p w:rsidR="007477F4" w:rsidRDefault="007477F4" w:rsidP="00366987">
      <w:pPr>
        <w:pStyle w:val="References"/>
        <w:rPr>
          <w:color w:val="000000"/>
        </w:rPr>
      </w:pPr>
      <w:r>
        <w:rPr>
          <w:color w:val="000000"/>
        </w:rPr>
        <w:t>[</w:t>
      </w:r>
      <w:r w:rsidRPr="00483EE1">
        <w:rPr>
          <w:color w:val="000000"/>
        </w:rPr>
        <w:endnoteRef/>
      </w:r>
      <w:r>
        <w:rPr>
          <w:color w:val="000000"/>
        </w:rPr>
        <w:t>]</w:t>
      </w:r>
      <w:r>
        <w:rPr>
          <w:color w:val="000000"/>
        </w:rPr>
        <w:tab/>
        <w:t xml:space="preserve">a) T. </w:t>
      </w:r>
      <w:proofErr w:type="spellStart"/>
      <w:r>
        <w:rPr>
          <w:color w:val="000000"/>
        </w:rPr>
        <w:t>Maharana</w:t>
      </w:r>
      <w:proofErr w:type="spellEnd"/>
      <w:r>
        <w:rPr>
          <w:color w:val="000000"/>
        </w:rPr>
        <w:t xml:space="preserve">, Y. S. </w:t>
      </w:r>
      <w:proofErr w:type="spellStart"/>
      <w:r>
        <w:rPr>
          <w:color w:val="000000"/>
        </w:rPr>
        <w:t>Negi</w:t>
      </w:r>
      <w:proofErr w:type="spellEnd"/>
      <w:r>
        <w:rPr>
          <w:color w:val="000000"/>
        </w:rPr>
        <w:t xml:space="preserve">, B. </w:t>
      </w:r>
      <w:proofErr w:type="spellStart"/>
      <w:r>
        <w:rPr>
          <w:color w:val="000000"/>
        </w:rPr>
        <w:t>Mohanty</w:t>
      </w:r>
      <w:proofErr w:type="spellEnd"/>
      <w:r>
        <w:rPr>
          <w:color w:val="000000"/>
        </w:rPr>
        <w:t xml:space="preserve">, </w:t>
      </w:r>
      <w:r w:rsidRPr="008B5994">
        <w:rPr>
          <w:i/>
          <w:color w:val="000000"/>
        </w:rPr>
        <w:t xml:space="preserve">Polymer-Plastics Technol. </w:t>
      </w:r>
      <w:proofErr w:type="spellStart"/>
      <w:r w:rsidRPr="008B5994">
        <w:rPr>
          <w:i/>
          <w:color w:val="000000"/>
        </w:rPr>
        <w:t>Engin</w:t>
      </w:r>
      <w:proofErr w:type="spellEnd"/>
      <w:r w:rsidRPr="008B5994">
        <w:rPr>
          <w:i/>
          <w:color w:val="000000"/>
        </w:rPr>
        <w:t>.</w:t>
      </w:r>
      <w:r>
        <w:rPr>
          <w:color w:val="000000"/>
        </w:rPr>
        <w:t xml:space="preserve"> </w:t>
      </w:r>
      <w:r>
        <w:rPr>
          <w:b/>
          <w:color w:val="000000"/>
        </w:rPr>
        <w:t>2007</w:t>
      </w:r>
      <w:r>
        <w:rPr>
          <w:color w:val="000000"/>
        </w:rPr>
        <w:t xml:space="preserve">, </w:t>
      </w:r>
      <w:r>
        <w:rPr>
          <w:i/>
          <w:color w:val="000000"/>
        </w:rPr>
        <w:t>46</w:t>
      </w:r>
      <w:r>
        <w:rPr>
          <w:color w:val="000000"/>
        </w:rPr>
        <w:t xml:space="preserve">, 729–736; b) </w:t>
      </w:r>
      <w:r>
        <w:t xml:space="preserve">M. T. </w:t>
      </w:r>
      <w:proofErr w:type="spellStart"/>
      <w:r>
        <w:t>García</w:t>
      </w:r>
      <w:proofErr w:type="spellEnd"/>
      <w:r>
        <w:t xml:space="preserve">, I. </w:t>
      </w:r>
      <w:proofErr w:type="spellStart"/>
      <w:r>
        <w:t>Gracia</w:t>
      </w:r>
      <w:proofErr w:type="spellEnd"/>
      <w:r>
        <w:t xml:space="preserve">, G. Duque, A. de Lucas, J. F. Rodríguez, </w:t>
      </w:r>
      <w:r>
        <w:rPr>
          <w:i/>
        </w:rPr>
        <w:t>Waste Management</w:t>
      </w:r>
      <w:r>
        <w:t xml:space="preserve"> </w:t>
      </w:r>
      <w:r>
        <w:rPr>
          <w:b/>
        </w:rPr>
        <w:t>2009</w:t>
      </w:r>
      <w:r>
        <w:t xml:space="preserve">, </w:t>
      </w:r>
      <w:r w:rsidRPr="005F66A6">
        <w:rPr>
          <w:i/>
        </w:rPr>
        <w:t>29</w:t>
      </w:r>
      <w:r>
        <w:rPr>
          <w:i/>
        </w:rPr>
        <w:t xml:space="preserve">, </w:t>
      </w:r>
      <w:r>
        <w:t>1814–1818</w:t>
      </w:r>
      <w:r>
        <w:rPr>
          <w:color w:val="000000"/>
        </w:rPr>
        <w:t>; c) P. G. Jessop,</w:t>
      </w:r>
      <w:r w:rsidRPr="00483EE1">
        <w:rPr>
          <w:color w:val="000000"/>
        </w:rPr>
        <w:t xml:space="preserve"> </w:t>
      </w:r>
      <w:r>
        <w:rPr>
          <w:color w:val="000000"/>
        </w:rPr>
        <w:t>L.</w:t>
      </w:r>
      <w:r w:rsidRPr="00483EE1">
        <w:rPr>
          <w:color w:val="000000"/>
        </w:rPr>
        <w:t xml:space="preserve"> </w:t>
      </w:r>
      <w:proofErr w:type="spellStart"/>
      <w:r w:rsidRPr="00483EE1">
        <w:rPr>
          <w:color w:val="000000"/>
        </w:rPr>
        <w:t>Kozycz</w:t>
      </w:r>
      <w:proofErr w:type="spellEnd"/>
      <w:r w:rsidRPr="00483EE1">
        <w:rPr>
          <w:color w:val="000000"/>
        </w:rPr>
        <w:t xml:space="preserve">, </w:t>
      </w:r>
      <w:r>
        <w:rPr>
          <w:color w:val="000000"/>
        </w:rPr>
        <w:t>Z. G.</w:t>
      </w:r>
      <w:r w:rsidRPr="00483EE1">
        <w:rPr>
          <w:color w:val="000000"/>
        </w:rPr>
        <w:t xml:space="preserve"> </w:t>
      </w:r>
      <w:proofErr w:type="spellStart"/>
      <w:r w:rsidRPr="00483EE1">
        <w:rPr>
          <w:color w:val="000000"/>
        </w:rPr>
        <w:t>Rahami</w:t>
      </w:r>
      <w:proofErr w:type="spellEnd"/>
      <w:r w:rsidRPr="00483EE1">
        <w:rPr>
          <w:color w:val="000000"/>
        </w:rPr>
        <w:t xml:space="preserve">, </w:t>
      </w:r>
      <w:r>
        <w:rPr>
          <w:color w:val="000000"/>
        </w:rPr>
        <w:t>D.</w:t>
      </w:r>
      <w:r w:rsidRPr="00483EE1">
        <w:rPr>
          <w:color w:val="000000"/>
        </w:rPr>
        <w:t xml:space="preserve"> </w:t>
      </w:r>
      <w:proofErr w:type="spellStart"/>
      <w:r w:rsidRPr="00483EE1">
        <w:rPr>
          <w:color w:val="000000"/>
        </w:rPr>
        <w:t>Schoenmakers</w:t>
      </w:r>
      <w:proofErr w:type="spellEnd"/>
      <w:r w:rsidRPr="00483EE1">
        <w:rPr>
          <w:color w:val="000000"/>
        </w:rPr>
        <w:t xml:space="preserve">, </w:t>
      </w:r>
      <w:r>
        <w:rPr>
          <w:color w:val="000000"/>
        </w:rPr>
        <w:t>A.</w:t>
      </w:r>
      <w:r w:rsidRPr="00483EE1">
        <w:rPr>
          <w:color w:val="000000"/>
        </w:rPr>
        <w:t xml:space="preserve"> R. Boyd,</w:t>
      </w:r>
      <w:r>
        <w:rPr>
          <w:color w:val="000000"/>
        </w:rPr>
        <w:t xml:space="preserve"> D.</w:t>
      </w:r>
      <w:r w:rsidRPr="00483EE1">
        <w:rPr>
          <w:color w:val="000000"/>
        </w:rPr>
        <w:t xml:space="preserve"> Wechsler</w:t>
      </w:r>
      <w:r>
        <w:rPr>
          <w:color w:val="000000"/>
        </w:rPr>
        <w:t>, A.</w:t>
      </w:r>
      <w:r w:rsidRPr="00483EE1">
        <w:rPr>
          <w:color w:val="000000"/>
        </w:rPr>
        <w:t xml:space="preserve"> M. Holland</w:t>
      </w:r>
      <w:r>
        <w:rPr>
          <w:color w:val="000000"/>
        </w:rPr>
        <w:t xml:space="preserve">, </w:t>
      </w:r>
      <w:r w:rsidRPr="00237903">
        <w:rPr>
          <w:i/>
          <w:color w:val="000000"/>
        </w:rPr>
        <w:t>Green Chem.</w:t>
      </w:r>
      <w:r w:rsidRPr="00237903">
        <w:rPr>
          <w:color w:val="000000"/>
        </w:rPr>
        <w:t xml:space="preserve"> </w:t>
      </w:r>
      <w:r w:rsidRPr="00237903">
        <w:rPr>
          <w:b/>
          <w:color w:val="000000"/>
        </w:rPr>
        <w:t>201</w:t>
      </w:r>
      <w:r>
        <w:rPr>
          <w:b/>
          <w:color w:val="000000"/>
        </w:rPr>
        <w:t>1</w:t>
      </w:r>
      <w:r w:rsidRPr="00237903">
        <w:rPr>
          <w:color w:val="000000"/>
        </w:rPr>
        <w:t xml:space="preserve">, </w:t>
      </w:r>
      <w:r w:rsidRPr="00237903">
        <w:rPr>
          <w:i/>
          <w:color w:val="000000"/>
        </w:rPr>
        <w:t>1</w:t>
      </w:r>
      <w:r>
        <w:rPr>
          <w:i/>
          <w:color w:val="000000"/>
        </w:rPr>
        <w:t>3</w:t>
      </w:r>
      <w:r w:rsidRPr="00237903">
        <w:rPr>
          <w:color w:val="000000"/>
        </w:rPr>
        <w:t xml:space="preserve">, </w:t>
      </w:r>
      <w:r>
        <w:rPr>
          <w:color w:val="000000"/>
        </w:rPr>
        <w:t>619</w:t>
      </w:r>
      <w:r w:rsidRPr="00237903">
        <w:rPr>
          <w:color w:val="000000"/>
        </w:rPr>
        <w:t>–</w:t>
      </w:r>
      <w:r>
        <w:rPr>
          <w:color w:val="000000"/>
        </w:rPr>
        <w:t>623</w:t>
      </w:r>
      <w:r w:rsidRPr="00237903">
        <w:rPr>
          <w:color w:val="000000"/>
        </w:rPr>
        <w:t>.</w:t>
      </w:r>
    </w:p>
    <w:p w:rsidR="007477F4" w:rsidRDefault="007477F4" w:rsidP="00366987">
      <w:pPr>
        <w:pStyle w:val="References"/>
        <w:rPr>
          <w:color w:val="000000"/>
        </w:rPr>
      </w:pPr>
    </w:p>
    <w:p w:rsidR="007477F4" w:rsidRDefault="007477F4" w:rsidP="00366987">
      <w:pPr>
        <w:pStyle w:val="References"/>
        <w:rPr>
          <w:color w:val="000000"/>
        </w:rPr>
      </w:pPr>
    </w:p>
    <w:p w:rsidR="007477F4" w:rsidRPr="00483EE1" w:rsidRDefault="007477F4" w:rsidP="00366987">
      <w:pPr>
        <w:pStyle w:val="References"/>
        <w:rPr>
          <w:color w:val="00000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7F4" w:rsidRDefault="007477F4" w:rsidP="0095126A">
    <w:pPr>
      <w:pStyle w:val="Footer"/>
      <w:pBdr>
        <w:top w:val="single" w:sz="18" w:space="1" w:color="C0C0C0"/>
      </w:pBdr>
    </w:pPr>
  </w:p>
  <w:p w:rsidR="007477F4" w:rsidRDefault="007477F4" w:rsidP="0095126A">
    <w:pPr>
      <w:pStyle w:val="Footer"/>
    </w:pPr>
  </w:p>
  <w:p w:rsidR="007477F4" w:rsidRDefault="007477F4" w:rsidP="0095126A">
    <w:pPr>
      <w:pStyle w:val="Footer"/>
    </w:pPr>
  </w:p>
  <w:p w:rsidR="007477F4" w:rsidRPr="00205632" w:rsidRDefault="007477F4" w:rsidP="0095126A">
    <w:pPr>
      <w:pStyle w:val="Footer"/>
    </w:pPr>
  </w:p>
  <w:p w:rsidR="007477F4" w:rsidRPr="0095126A" w:rsidRDefault="007477F4"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584" w:rsidRDefault="00B91584">
      <w:r>
        <w:separator/>
      </w:r>
    </w:p>
  </w:footnote>
  <w:footnote w:type="continuationSeparator" w:id="0">
    <w:p w:rsidR="00B91584" w:rsidRDefault="00B91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7F4" w:rsidRPr="00C8278A" w:rsidRDefault="00B91584"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de-DE"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color w:val="C0C0C0"/>
        <w:sz w:val="40"/>
        <w:szCs w:val="36"/>
      </w:rPr>
      <w:pict>
        <v:shape id="_x0000_i1026" type="#_x0000_t75" style="width:113.95pt;height:34.25pt" o:ole="">
          <v:imagedata r:id="rId2" o:title=""/>
        </v:shape>
      </w:pict>
    </w:r>
    <w:r w:rsidR="007477F4">
      <w:rPr>
        <w:rFonts w:ascii="Arial Narrow" w:hAnsi="Arial Narrow" w:cs="Arial"/>
        <w:b/>
        <w:bCs/>
        <w:color w:val="C0C0C0"/>
        <w:sz w:val="40"/>
        <w:szCs w:val="36"/>
      </w:rPr>
      <w:tab/>
    </w:r>
    <w:r w:rsidR="007477F4">
      <w:rPr>
        <w:rFonts w:ascii="Arial Narrow" w:hAnsi="Arial Narrow" w:cs="Arial"/>
        <w:b/>
        <w:bCs/>
        <w:color w:val="C0C0C0"/>
        <w:sz w:val="40"/>
        <w:szCs w:val="36"/>
      </w:rPr>
      <w:tab/>
      <w:t xml:space="preserve">                            </w:t>
    </w:r>
    <w:r w:rsidR="007477F4"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7F4" w:rsidRPr="00863DFC" w:rsidRDefault="00B91584" w:rsidP="00863DFC">
    <w:pPr>
      <w:pStyle w:val="Header"/>
      <w:pBdr>
        <w:bottom w:val="single" w:sz="18" w:space="1" w:color="C0C0C0"/>
      </w:pBdr>
    </w:pPr>
    <w:r>
      <w:rPr>
        <w:rFonts w:ascii="Arial Narrow" w:hAnsi="Arial Narrow" w:cs="Arial"/>
        <w:b/>
        <w:bCs/>
        <w:noProof/>
        <w:color w:val="C0C0C0"/>
        <w:sz w:val="32"/>
        <w:szCs w:val="36"/>
        <w:lang w:val="de-DE"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1;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32"/>
        <w:szCs w:val="36"/>
        <w:lang w:val="de-DE" w:eastAsia="zh-CN"/>
      </w:rPr>
      <w:pict>
        <v:shape id="Grafik 1" o:spid="_x0000_s2050" type="#_x0000_t75" style="position:absolute;margin-left:420.8pt;margin-top:-3.15pt;width:85pt;height:21.5pt;z-index:1;visibility:visible">
          <v:imagedata r:id="rId2" o:title=""/>
          <w10:wrap type="topAndBottom"/>
        </v:shape>
      </w:pict>
    </w:r>
    <w:r w:rsidR="007477F4">
      <w:rPr>
        <w:rFonts w:ascii="Arial Narrow" w:hAnsi="Arial Narrow" w:cs="Arial"/>
        <w:b/>
        <w:bCs/>
        <w:color w:val="C0C0C0"/>
        <w:sz w:val="32"/>
        <w:szCs w:val="36"/>
      </w:rPr>
      <w:t>FULL PAPER</w:t>
    </w:r>
    <w:r w:rsidR="007477F4" w:rsidRPr="00971FC5">
      <w:rPr>
        <w:rFonts w:ascii="Arial Narrow" w:hAnsi="Arial Narrow" w:cs="Arial"/>
        <w:sz w:val="32"/>
        <w:szCs w:val="36"/>
      </w:rPr>
      <w:tab/>
    </w:r>
    <w:r w:rsidR="007477F4" w:rsidRPr="00971FC5">
      <w:rPr>
        <w:rFonts w:ascii="Arial Narrow" w:hAnsi="Arial Narrow" w:cs="Arial"/>
        <w:sz w:val="32"/>
        <w:szCs w:val="36"/>
      </w:rPr>
      <w:tab/>
    </w:r>
    <w:r w:rsidR="007477F4">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7F4" w:rsidRDefault="00B91584">
    <w:pPr>
      <w:pStyle w:val="Header"/>
    </w:pPr>
    <w:r>
      <w:rPr>
        <w:noProof/>
        <w:lang w:val="de-DE"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3;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1pt;height:15.8pt" o:bullet="t">
        <v:imagedata r:id="rId1" o:title=""/>
      </v:shape>
    </w:pict>
  </w:numPicBullet>
  <w:abstractNum w:abstractNumId="0" w15:restartNumberingAfterBreak="0">
    <w:nsid w:val="27F653D7"/>
    <w:multiLevelType w:val="multilevel"/>
    <w:tmpl w:val="FAE4BC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6"/>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numFmt w:val="decimal"/>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7196"/>
    <w:rsid w:val="0000214A"/>
    <w:rsid w:val="00002DBC"/>
    <w:rsid w:val="00003927"/>
    <w:rsid w:val="0000457A"/>
    <w:rsid w:val="00006DBD"/>
    <w:rsid w:val="00010410"/>
    <w:rsid w:val="00011D51"/>
    <w:rsid w:val="00013DD7"/>
    <w:rsid w:val="000208F6"/>
    <w:rsid w:val="00022DB4"/>
    <w:rsid w:val="000339D6"/>
    <w:rsid w:val="00033C26"/>
    <w:rsid w:val="00033D1A"/>
    <w:rsid w:val="00033F43"/>
    <w:rsid w:val="00036490"/>
    <w:rsid w:val="0004091A"/>
    <w:rsid w:val="00042BF0"/>
    <w:rsid w:val="00044773"/>
    <w:rsid w:val="00045427"/>
    <w:rsid w:val="00045AB9"/>
    <w:rsid w:val="00047868"/>
    <w:rsid w:val="0005096E"/>
    <w:rsid w:val="0005140E"/>
    <w:rsid w:val="00052BCE"/>
    <w:rsid w:val="00055485"/>
    <w:rsid w:val="0005779E"/>
    <w:rsid w:val="000608C3"/>
    <w:rsid w:val="000612C1"/>
    <w:rsid w:val="0006281D"/>
    <w:rsid w:val="00063E0F"/>
    <w:rsid w:val="0006489B"/>
    <w:rsid w:val="000650AB"/>
    <w:rsid w:val="0006694D"/>
    <w:rsid w:val="000669E3"/>
    <w:rsid w:val="00066B8E"/>
    <w:rsid w:val="00070B55"/>
    <w:rsid w:val="00070E0D"/>
    <w:rsid w:val="0007315F"/>
    <w:rsid w:val="00077560"/>
    <w:rsid w:val="000806F8"/>
    <w:rsid w:val="0008077D"/>
    <w:rsid w:val="00092D26"/>
    <w:rsid w:val="000937B3"/>
    <w:rsid w:val="0009539C"/>
    <w:rsid w:val="00095C2F"/>
    <w:rsid w:val="000A0B76"/>
    <w:rsid w:val="000A37F3"/>
    <w:rsid w:val="000A39E0"/>
    <w:rsid w:val="000A77DC"/>
    <w:rsid w:val="000B393E"/>
    <w:rsid w:val="000B6DF3"/>
    <w:rsid w:val="000C178F"/>
    <w:rsid w:val="000C1DBD"/>
    <w:rsid w:val="000C53F1"/>
    <w:rsid w:val="000D56DE"/>
    <w:rsid w:val="000D70F8"/>
    <w:rsid w:val="000D75B7"/>
    <w:rsid w:val="000D7701"/>
    <w:rsid w:val="000E0815"/>
    <w:rsid w:val="000E0CEA"/>
    <w:rsid w:val="000E0EC4"/>
    <w:rsid w:val="000E1352"/>
    <w:rsid w:val="000E1C81"/>
    <w:rsid w:val="000E4C3E"/>
    <w:rsid w:val="000E517A"/>
    <w:rsid w:val="000E5FDC"/>
    <w:rsid w:val="000E7283"/>
    <w:rsid w:val="000E748F"/>
    <w:rsid w:val="000E76B8"/>
    <w:rsid w:val="000F2153"/>
    <w:rsid w:val="000F29A4"/>
    <w:rsid w:val="000F2C63"/>
    <w:rsid w:val="000F2EA1"/>
    <w:rsid w:val="000F408E"/>
    <w:rsid w:val="000F5BD1"/>
    <w:rsid w:val="000F60AD"/>
    <w:rsid w:val="000F6364"/>
    <w:rsid w:val="000F72FC"/>
    <w:rsid w:val="000F7847"/>
    <w:rsid w:val="001018DF"/>
    <w:rsid w:val="00102487"/>
    <w:rsid w:val="001037A1"/>
    <w:rsid w:val="00103EF7"/>
    <w:rsid w:val="00104119"/>
    <w:rsid w:val="0010543E"/>
    <w:rsid w:val="00105F97"/>
    <w:rsid w:val="001060D1"/>
    <w:rsid w:val="00107E8C"/>
    <w:rsid w:val="001158DE"/>
    <w:rsid w:val="00120F2E"/>
    <w:rsid w:val="001211CA"/>
    <w:rsid w:val="001237B3"/>
    <w:rsid w:val="0012381E"/>
    <w:rsid w:val="001322FF"/>
    <w:rsid w:val="0013316F"/>
    <w:rsid w:val="001344F7"/>
    <w:rsid w:val="001348CD"/>
    <w:rsid w:val="00136CFE"/>
    <w:rsid w:val="0014043E"/>
    <w:rsid w:val="00141356"/>
    <w:rsid w:val="001427D4"/>
    <w:rsid w:val="00143551"/>
    <w:rsid w:val="0014374D"/>
    <w:rsid w:val="00143B89"/>
    <w:rsid w:val="001443E8"/>
    <w:rsid w:val="001475BF"/>
    <w:rsid w:val="00152E6D"/>
    <w:rsid w:val="00155DB4"/>
    <w:rsid w:val="00155FB7"/>
    <w:rsid w:val="0015631F"/>
    <w:rsid w:val="00157C67"/>
    <w:rsid w:val="00160689"/>
    <w:rsid w:val="00160A7D"/>
    <w:rsid w:val="0016203E"/>
    <w:rsid w:val="001639AE"/>
    <w:rsid w:val="001654DF"/>
    <w:rsid w:val="00166BEB"/>
    <w:rsid w:val="00166D41"/>
    <w:rsid w:val="0016703C"/>
    <w:rsid w:val="001678B6"/>
    <w:rsid w:val="0017048F"/>
    <w:rsid w:val="00170D5C"/>
    <w:rsid w:val="00172B86"/>
    <w:rsid w:val="00172F48"/>
    <w:rsid w:val="001732A4"/>
    <w:rsid w:val="00174F30"/>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3F72"/>
    <w:rsid w:val="001A438D"/>
    <w:rsid w:val="001B0DFC"/>
    <w:rsid w:val="001B1375"/>
    <w:rsid w:val="001B286E"/>
    <w:rsid w:val="001B73B9"/>
    <w:rsid w:val="001B7620"/>
    <w:rsid w:val="001C09EE"/>
    <w:rsid w:val="001C1039"/>
    <w:rsid w:val="001C11B2"/>
    <w:rsid w:val="001C21E3"/>
    <w:rsid w:val="001C26A7"/>
    <w:rsid w:val="001C4C50"/>
    <w:rsid w:val="001D1155"/>
    <w:rsid w:val="001D13EA"/>
    <w:rsid w:val="001D216B"/>
    <w:rsid w:val="001D29CA"/>
    <w:rsid w:val="001D54CA"/>
    <w:rsid w:val="001D7ECC"/>
    <w:rsid w:val="001E107C"/>
    <w:rsid w:val="001E164A"/>
    <w:rsid w:val="001E2F1C"/>
    <w:rsid w:val="001E7E85"/>
    <w:rsid w:val="001F16EF"/>
    <w:rsid w:val="001F1A2D"/>
    <w:rsid w:val="001F252B"/>
    <w:rsid w:val="001F3ACC"/>
    <w:rsid w:val="001F4235"/>
    <w:rsid w:val="001F45C3"/>
    <w:rsid w:val="001F4EE4"/>
    <w:rsid w:val="0020306E"/>
    <w:rsid w:val="00206F8E"/>
    <w:rsid w:val="002124FA"/>
    <w:rsid w:val="0021270B"/>
    <w:rsid w:val="002127E5"/>
    <w:rsid w:val="00213D0E"/>
    <w:rsid w:val="002145C9"/>
    <w:rsid w:val="0022006F"/>
    <w:rsid w:val="00221370"/>
    <w:rsid w:val="002221BA"/>
    <w:rsid w:val="00222D97"/>
    <w:rsid w:val="0022537E"/>
    <w:rsid w:val="0022582C"/>
    <w:rsid w:val="002272E3"/>
    <w:rsid w:val="002275C0"/>
    <w:rsid w:val="00232C14"/>
    <w:rsid w:val="002362C7"/>
    <w:rsid w:val="00237504"/>
    <w:rsid w:val="00237903"/>
    <w:rsid w:val="00241D85"/>
    <w:rsid w:val="00242E54"/>
    <w:rsid w:val="002433F0"/>
    <w:rsid w:val="00243927"/>
    <w:rsid w:val="00260EDA"/>
    <w:rsid w:val="00261387"/>
    <w:rsid w:val="00261882"/>
    <w:rsid w:val="00264679"/>
    <w:rsid w:val="00265A28"/>
    <w:rsid w:val="00265DCA"/>
    <w:rsid w:val="00267513"/>
    <w:rsid w:val="00267F8A"/>
    <w:rsid w:val="002702BC"/>
    <w:rsid w:val="0027068B"/>
    <w:rsid w:val="00277B97"/>
    <w:rsid w:val="002833A5"/>
    <w:rsid w:val="00285695"/>
    <w:rsid w:val="00287256"/>
    <w:rsid w:val="00287B32"/>
    <w:rsid w:val="00291C93"/>
    <w:rsid w:val="00291F89"/>
    <w:rsid w:val="002A25EE"/>
    <w:rsid w:val="002A3187"/>
    <w:rsid w:val="002A36FA"/>
    <w:rsid w:val="002A3E13"/>
    <w:rsid w:val="002A561E"/>
    <w:rsid w:val="002A69D1"/>
    <w:rsid w:val="002B1597"/>
    <w:rsid w:val="002B16E2"/>
    <w:rsid w:val="002B22BA"/>
    <w:rsid w:val="002B25E2"/>
    <w:rsid w:val="002B453B"/>
    <w:rsid w:val="002B4C5E"/>
    <w:rsid w:val="002B56C9"/>
    <w:rsid w:val="002B7878"/>
    <w:rsid w:val="002B7CA9"/>
    <w:rsid w:val="002C36E0"/>
    <w:rsid w:val="002C57F5"/>
    <w:rsid w:val="002C7F7D"/>
    <w:rsid w:val="002D0B17"/>
    <w:rsid w:val="002D1925"/>
    <w:rsid w:val="002D1DB8"/>
    <w:rsid w:val="002D24CB"/>
    <w:rsid w:val="002D42FF"/>
    <w:rsid w:val="002D4FB7"/>
    <w:rsid w:val="002D5148"/>
    <w:rsid w:val="002E066F"/>
    <w:rsid w:val="002E2CA8"/>
    <w:rsid w:val="002E3FFF"/>
    <w:rsid w:val="002E6A41"/>
    <w:rsid w:val="002F0269"/>
    <w:rsid w:val="002F0B59"/>
    <w:rsid w:val="002F111C"/>
    <w:rsid w:val="002F1479"/>
    <w:rsid w:val="002F17FB"/>
    <w:rsid w:val="002F56D6"/>
    <w:rsid w:val="002F6A4C"/>
    <w:rsid w:val="002F73A5"/>
    <w:rsid w:val="003006A7"/>
    <w:rsid w:val="00301167"/>
    <w:rsid w:val="00301D1E"/>
    <w:rsid w:val="00302803"/>
    <w:rsid w:val="00303FBE"/>
    <w:rsid w:val="003040CB"/>
    <w:rsid w:val="003079D2"/>
    <w:rsid w:val="00307C5A"/>
    <w:rsid w:val="003116F4"/>
    <w:rsid w:val="00312ED2"/>
    <w:rsid w:val="0032022A"/>
    <w:rsid w:val="0032048F"/>
    <w:rsid w:val="003219A5"/>
    <w:rsid w:val="003222CF"/>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01D1"/>
    <w:rsid w:val="00360812"/>
    <w:rsid w:val="00364753"/>
    <w:rsid w:val="00364A2A"/>
    <w:rsid w:val="003657B6"/>
    <w:rsid w:val="00366676"/>
    <w:rsid w:val="00366987"/>
    <w:rsid w:val="003674A7"/>
    <w:rsid w:val="003725E8"/>
    <w:rsid w:val="00375415"/>
    <w:rsid w:val="00375B24"/>
    <w:rsid w:val="00376792"/>
    <w:rsid w:val="00376F37"/>
    <w:rsid w:val="0038506F"/>
    <w:rsid w:val="00386C45"/>
    <w:rsid w:val="00390DD7"/>
    <w:rsid w:val="003967FF"/>
    <w:rsid w:val="00396BE2"/>
    <w:rsid w:val="003A6168"/>
    <w:rsid w:val="003B04BA"/>
    <w:rsid w:val="003B05CA"/>
    <w:rsid w:val="003B0FC4"/>
    <w:rsid w:val="003B4A89"/>
    <w:rsid w:val="003B6C60"/>
    <w:rsid w:val="003B70C8"/>
    <w:rsid w:val="003C0EBE"/>
    <w:rsid w:val="003C134A"/>
    <w:rsid w:val="003C1CCA"/>
    <w:rsid w:val="003C2972"/>
    <w:rsid w:val="003C2C9C"/>
    <w:rsid w:val="003C56E6"/>
    <w:rsid w:val="003C65A9"/>
    <w:rsid w:val="003C6E1A"/>
    <w:rsid w:val="003D0F51"/>
    <w:rsid w:val="003D1C1A"/>
    <w:rsid w:val="003D2905"/>
    <w:rsid w:val="003D3F9A"/>
    <w:rsid w:val="003E3848"/>
    <w:rsid w:val="003E44C4"/>
    <w:rsid w:val="003E54CD"/>
    <w:rsid w:val="003E7319"/>
    <w:rsid w:val="003F1223"/>
    <w:rsid w:val="003F2556"/>
    <w:rsid w:val="003F25F4"/>
    <w:rsid w:val="003F4B55"/>
    <w:rsid w:val="003F50D4"/>
    <w:rsid w:val="003F5FAB"/>
    <w:rsid w:val="00400458"/>
    <w:rsid w:val="0040080D"/>
    <w:rsid w:val="0040270E"/>
    <w:rsid w:val="00403876"/>
    <w:rsid w:val="004062B1"/>
    <w:rsid w:val="004070B6"/>
    <w:rsid w:val="004072DD"/>
    <w:rsid w:val="00411AA6"/>
    <w:rsid w:val="00411B62"/>
    <w:rsid w:val="00414412"/>
    <w:rsid w:val="00415971"/>
    <w:rsid w:val="00416B05"/>
    <w:rsid w:val="00422AFE"/>
    <w:rsid w:val="00423593"/>
    <w:rsid w:val="00424978"/>
    <w:rsid w:val="00425228"/>
    <w:rsid w:val="0042545B"/>
    <w:rsid w:val="00427CBD"/>
    <w:rsid w:val="004310AD"/>
    <w:rsid w:val="00431151"/>
    <w:rsid w:val="00432307"/>
    <w:rsid w:val="0043364D"/>
    <w:rsid w:val="004344FB"/>
    <w:rsid w:val="004350AA"/>
    <w:rsid w:val="00435D6F"/>
    <w:rsid w:val="00436338"/>
    <w:rsid w:val="00437B5A"/>
    <w:rsid w:val="00440452"/>
    <w:rsid w:val="004414C2"/>
    <w:rsid w:val="00444E3C"/>
    <w:rsid w:val="00445D5C"/>
    <w:rsid w:val="004465F9"/>
    <w:rsid w:val="004466B0"/>
    <w:rsid w:val="0044675D"/>
    <w:rsid w:val="00454A2D"/>
    <w:rsid w:val="004556E1"/>
    <w:rsid w:val="004609E1"/>
    <w:rsid w:val="00460C28"/>
    <w:rsid w:val="00461BD2"/>
    <w:rsid w:val="00462A09"/>
    <w:rsid w:val="00464071"/>
    <w:rsid w:val="004644E1"/>
    <w:rsid w:val="0046574E"/>
    <w:rsid w:val="004657E8"/>
    <w:rsid w:val="00467E99"/>
    <w:rsid w:val="00470790"/>
    <w:rsid w:val="00473029"/>
    <w:rsid w:val="00473EE4"/>
    <w:rsid w:val="00477B4C"/>
    <w:rsid w:val="00477B99"/>
    <w:rsid w:val="00480434"/>
    <w:rsid w:val="00480523"/>
    <w:rsid w:val="004823EF"/>
    <w:rsid w:val="00483968"/>
    <w:rsid w:val="00483EE1"/>
    <w:rsid w:val="004841CA"/>
    <w:rsid w:val="00485C84"/>
    <w:rsid w:val="00486215"/>
    <w:rsid w:val="0048630D"/>
    <w:rsid w:val="004921CF"/>
    <w:rsid w:val="004930F0"/>
    <w:rsid w:val="004952D8"/>
    <w:rsid w:val="004968AD"/>
    <w:rsid w:val="004A0BA8"/>
    <w:rsid w:val="004A489D"/>
    <w:rsid w:val="004A4A2E"/>
    <w:rsid w:val="004A4CD0"/>
    <w:rsid w:val="004A73A8"/>
    <w:rsid w:val="004A75D5"/>
    <w:rsid w:val="004A771F"/>
    <w:rsid w:val="004A78AE"/>
    <w:rsid w:val="004B004E"/>
    <w:rsid w:val="004B0589"/>
    <w:rsid w:val="004B0B74"/>
    <w:rsid w:val="004B1783"/>
    <w:rsid w:val="004B5ECC"/>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91A"/>
    <w:rsid w:val="004D6DB8"/>
    <w:rsid w:val="004E1346"/>
    <w:rsid w:val="004E14AB"/>
    <w:rsid w:val="004E3010"/>
    <w:rsid w:val="004E3F83"/>
    <w:rsid w:val="004E43F3"/>
    <w:rsid w:val="004E4A53"/>
    <w:rsid w:val="004E4DFF"/>
    <w:rsid w:val="004E5278"/>
    <w:rsid w:val="004E74F4"/>
    <w:rsid w:val="004F0129"/>
    <w:rsid w:val="004F042C"/>
    <w:rsid w:val="004F257F"/>
    <w:rsid w:val="004F2CD8"/>
    <w:rsid w:val="004F35CD"/>
    <w:rsid w:val="004F7F41"/>
    <w:rsid w:val="00501639"/>
    <w:rsid w:val="00501EFF"/>
    <w:rsid w:val="0050244E"/>
    <w:rsid w:val="0050277D"/>
    <w:rsid w:val="005035EB"/>
    <w:rsid w:val="0050689B"/>
    <w:rsid w:val="005068AA"/>
    <w:rsid w:val="00506EDB"/>
    <w:rsid w:val="00511093"/>
    <w:rsid w:val="00511656"/>
    <w:rsid w:val="00512A8E"/>
    <w:rsid w:val="0051458B"/>
    <w:rsid w:val="00520422"/>
    <w:rsid w:val="0052085F"/>
    <w:rsid w:val="0052404D"/>
    <w:rsid w:val="00524175"/>
    <w:rsid w:val="005277E7"/>
    <w:rsid w:val="00530284"/>
    <w:rsid w:val="005321B0"/>
    <w:rsid w:val="0053418A"/>
    <w:rsid w:val="005349D6"/>
    <w:rsid w:val="00534DCE"/>
    <w:rsid w:val="00536BC1"/>
    <w:rsid w:val="00537F36"/>
    <w:rsid w:val="00541205"/>
    <w:rsid w:val="005433DE"/>
    <w:rsid w:val="00544060"/>
    <w:rsid w:val="0054420E"/>
    <w:rsid w:val="005472E5"/>
    <w:rsid w:val="0055057E"/>
    <w:rsid w:val="00550B0C"/>
    <w:rsid w:val="0055113D"/>
    <w:rsid w:val="005551F3"/>
    <w:rsid w:val="00556A65"/>
    <w:rsid w:val="00561C0E"/>
    <w:rsid w:val="00564458"/>
    <w:rsid w:val="005662EA"/>
    <w:rsid w:val="00567B5A"/>
    <w:rsid w:val="00567C18"/>
    <w:rsid w:val="0057009B"/>
    <w:rsid w:val="005735B3"/>
    <w:rsid w:val="005760E6"/>
    <w:rsid w:val="00576203"/>
    <w:rsid w:val="005801F0"/>
    <w:rsid w:val="005826CC"/>
    <w:rsid w:val="005839B9"/>
    <w:rsid w:val="00586DF8"/>
    <w:rsid w:val="0058749C"/>
    <w:rsid w:val="00591262"/>
    <w:rsid w:val="00591AB8"/>
    <w:rsid w:val="00597954"/>
    <w:rsid w:val="005B040E"/>
    <w:rsid w:val="005B10C2"/>
    <w:rsid w:val="005B15A7"/>
    <w:rsid w:val="005B3509"/>
    <w:rsid w:val="005B430B"/>
    <w:rsid w:val="005B43B7"/>
    <w:rsid w:val="005B5D4F"/>
    <w:rsid w:val="005B6716"/>
    <w:rsid w:val="005B6C80"/>
    <w:rsid w:val="005B71FC"/>
    <w:rsid w:val="005C08BF"/>
    <w:rsid w:val="005C4CEE"/>
    <w:rsid w:val="005C4F38"/>
    <w:rsid w:val="005C50F6"/>
    <w:rsid w:val="005C5196"/>
    <w:rsid w:val="005D1EBB"/>
    <w:rsid w:val="005D22DF"/>
    <w:rsid w:val="005D43FD"/>
    <w:rsid w:val="005D62CA"/>
    <w:rsid w:val="005D65E6"/>
    <w:rsid w:val="005E63D3"/>
    <w:rsid w:val="005F19CB"/>
    <w:rsid w:val="005F5348"/>
    <w:rsid w:val="005F66A6"/>
    <w:rsid w:val="005F74E7"/>
    <w:rsid w:val="006011C8"/>
    <w:rsid w:val="006024FD"/>
    <w:rsid w:val="00602837"/>
    <w:rsid w:val="0060310C"/>
    <w:rsid w:val="00605FAC"/>
    <w:rsid w:val="006070E5"/>
    <w:rsid w:val="006134A3"/>
    <w:rsid w:val="006150DB"/>
    <w:rsid w:val="006200AB"/>
    <w:rsid w:val="00620450"/>
    <w:rsid w:val="00620753"/>
    <w:rsid w:val="00620911"/>
    <w:rsid w:val="00620C61"/>
    <w:rsid w:val="006254FD"/>
    <w:rsid w:val="00627F57"/>
    <w:rsid w:val="0063286D"/>
    <w:rsid w:val="00636481"/>
    <w:rsid w:val="00642170"/>
    <w:rsid w:val="00643D79"/>
    <w:rsid w:val="00644209"/>
    <w:rsid w:val="00647525"/>
    <w:rsid w:val="006479FE"/>
    <w:rsid w:val="006506E6"/>
    <w:rsid w:val="00654908"/>
    <w:rsid w:val="00654E17"/>
    <w:rsid w:val="00656634"/>
    <w:rsid w:val="0066216C"/>
    <w:rsid w:val="00665E34"/>
    <w:rsid w:val="006666C6"/>
    <w:rsid w:val="006675EA"/>
    <w:rsid w:val="00671CB6"/>
    <w:rsid w:val="00671E1E"/>
    <w:rsid w:val="006722A0"/>
    <w:rsid w:val="006724B9"/>
    <w:rsid w:val="00672587"/>
    <w:rsid w:val="00673A44"/>
    <w:rsid w:val="00674DF6"/>
    <w:rsid w:val="0067512C"/>
    <w:rsid w:val="00677AB5"/>
    <w:rsid w:val="00677D6F"/>
    <w:rsid w:val="006812E2"/>
    <w:rsid w:val="00681A96"/>
    <w:rsid w:val="00685DA5"/>
    <w:rsid w:val="0068673B"/>
    <w:rsid w:val="006879A2"/>
    <w:rsid w:val="00694EC1"/>
    <w:rsid w:val="006956E5"/>
    <w:rsid w:val="0069644B"/>
    <w:rsid w:val="006976AD"/>
    <w:rsid w:val="00697E3B"/>
    <w:rsid w:val="006A108F"/>
    <w:rsid w:val="006A2254"/>
    <w:rsid w:val="006A6116"/>
    <w:rsid w:val="006A782F"/>
    <w:rsid w:val="006A7E4F"/>
    <w:rsid w:val="006B04A7"/>
    <w:rsid w:val="006B369F"/>
    <w:rsid w:val="006B4DC6"/>
    <w:rsid w:val="006B4E8D"/>
    <w:rsid w:val="006B5DE9"/>
    <w:rsid w:val="006B6806"/>
    <w:rsid w:val="006B72C2"/>
    <w:rsid w:val="006B7C3F"/>
    <w:rsid w:val="006B7D71"/>
    <w:rsid w:val="006B7E66"/>
    <w:rsid w:val="006C1123"/>
    <w:rsid w:val="006C2DBE"/>
    <w:rsid w:val="006C5C46"/>
    <w:rsid w:val="006C5F03"/>
    <w:rsid w:val="006C643D"/>
    <w:rsid w:val="006C6BFE"/>
    <w:rsid w:val="006C6D39"/>
    <w:rsid w:val="006C725A"/>
    <w:rsid w:val="006C7F18"/>
    <w:rsid w:val="006D02C0"/>
    <w:rsid w:val="006D184F"/>
    <w:rsid w:val="006D2D7B"/>
    <w:rsid w:val="006D3595"/>
    <w:rsid w:val="006D3DED"/>
    <w:rsid w:val="006D4AF3"/>
    <w:rsid w:val="006D4F77"/>
    <w:rsid w:val="006D6793"/>
    <w:rsid w:val="006E041E"/>
    <w:rsid w:val="006E5BEA"/>
    <w:rsid w:val="006F0EB7"/>
    <w:rsid w:val="006F4058"/>
    <w:rsid w:val="006F6671"/>
    <w:rsid w:val="00700F72"/>
    <w:rsid w:val="007013DE"/>
    <w:rsid w:val="00701830"/>
    <w:rsid w:val="00702F63"/>
    <w:rsid w:val="00707D6E"/>
    <w:rsid w:val="00710812"/>
    <w:rsid w:val="00711E9D"/>
    <w:rsid w:val="007130CE"/>
    <w:rsid w:val="00713548"/>
    <w:rsid w:val="00713555"/>
    <w:rsid w:val="00713B1C"/>
    <w:rsid w:val="00714DB9"/>
    <w:rsid w:val="00714DC9"/>
    <w:rsid w:val="007158C5"/>
    <w:rsid w:val="0071700B"/>
    <w:rsid w:val="00717BD5"/>
    <w:rsid w:val="00720CC1"/>
    <w:rsid w:val="00720FED"/>
    <w:rsid w:val="007249D7"/>
    <w:rsid w:val="00724E82"/>
    <w:rsid w:val="007252DA"/>
    <w:rsid w:val="00727500"/>
    <w:rsid w:val="00732798"/>
    <w:rsid w:val="00735680"/>
    <w:rsid w:val="00737264"/>
    <w:rsid w:val="0073787D"/>
    <w:rsid w:val="007406C2"/>
    <w:rsid w:val="007407AE"/>
    <w:rsid w:val="00740CE1"/>
    <w:rsid w:val="0074126C"/>
    <w:rsid w:val="007414E8"/>
    <w:rsid w:val="0074197A"/>
    <w:rsid w:val="00741B47"/>
    <w:rsid w:val="00745DE7"/>
    <w:rsid w:val="007463E8"/>
    <w:rsid w:val="00746C0D"/>
    <w:rsid w:val="007477F4"/>
    <w:rsid w:val="00747EFD"/>
    <w:rsid w:val="00750326"/>
    <w:rsid w:val="0075278E"/>
    <w:rsid w:val="00754F5F"/>
    <w:rsid w:val="00757401"/>
    <w:rsid w:val="00757673"/>
    <w:rsid w:val="007576FA"/>
    <w:rsid w:val="00757C71"/>
    <w:rsid w:val="00763D77"/>
    <w:rsid w:val="00763EDE"/>
    <w:rsid w:val="00764F01"/>
    <w:rsid w:val="00765C4D"/>
    <w:rsid w:val="007663E0"/>
    <w:rsid w:val="0077260D"/>
    <w:rsid w:val="00773904"/>
    <w:rsid w:val="00773C4B"/>
    <w:rsid w:val="00773D16"/>
    <w:rsid w:val="00773D5B"/>
    <w:rsid w:val="007740A8"/>
    <w:rsid w:val="00775C8A"/>
    <w:rsid w:val="00775F73"/>
    <w:rsid w:val="007776E8"/>
    <w:rsid w:val="007815C4"/>
    <w:rsid w:val="00783FB4"/>
    <w:rsid w:val="00783FBE"/>
    <w:rsid w:val="0078628B"/>
    <w:rsid w:val="0078784C"/>
    <w:rsid w:val="007958BF"/>
    <w:rsid w:val="007A0376"/>
    <w:rsid w:val="007A0D98"/>
    <w:rsid w:val="007A5BF2"/>
    <w:rsid w:val="007A6D99"/>
    <w:rsid w:val="007A7E01"/>
    <w:rsid w:val="007B05F5"/>
    <w:rsid w:val="007B0D02"/>
    <w:rsid w:val="007B236C"/>
    <w:rsid w:val="007B6A97"/>
    <w:rsid w:val="007C2805"/>
    <w:rsid w:val="007C3D60"/>
    <w:rsid w:val="007C50C3"/>
    <w:rsid w:val="007C5712"/>
    <w:rsid w:val="007C672F"/>
    <w:rsid w:val="007D0337"/>
    <w:rsid w:val="007D0701"/>
    <w:rsid w:val="007D29B1"/>
    <w:rsid w:val="007D2ED9"/>
    <w:rsid w:val="007D3BEF"/>
    <w:rsid w:val="007D6355"/>
    <w:rsid w:val="007D71E6"/>
    <w:rsid w:val="007E2CB8"/>
    <w:rsid w:val="007E3A49"/>
    <w:rsid w:val="007E52D5"/>
    <w:rsid w:val="007E6725"/>
    <w:rsid w:val="007E6A73"/>
    <w:rsid w:val="007E7187"/>
    <w:rsid w:val="007E773A"/>
    <w:rsid w:val="007F00BA"/>
    <w:rsid w:val="007F202F"/>
    <w:rsid w:val="007F20D9"/>
    <w:rsid w:val="007F46F6"/>
    <w:rsid w:val="007F5613"/>
    <w:rsid w:val="007F664A"/>
    <w:rsid w:val="007F66E6"/>
    <w:rsid w:val="007F68CC"/>
    <w:rsid w:val="007F7910"/>
    <w:rsid w:val="00804822"/>
    <w:rsid w:val="00805699"/>
    <w:rsid w:val="00807096"/>
    <w:rsid w:val="00813005"/>
    <w:rsid w:val="00813FEF"/>
    <w:rsid w:val="00816397"/>
    <w:rsid w:val="00817ACD"/>
    <w:rsid w:val="00820164"/>
    <w:rsid w:val="008201B2"/>
    <w:rsid w:val="008207F7"/>
    <w:rsid w:val="00821CFD"/>
    <w:rsid w:val="008225FF"/>
    <w:rsid w:val="00823310"/>
    <w:rsid w:val="00823641"/>
    <w:rsid w:val="008249B7"/>
    <w:rsid w:val="00826879"/>
    <w:rsid w:val="00826C63"/>
    <w:rsid w:val="008272FD"/>
    <w:rsid w:val="00827A4E"/>
    <w:rsid w:val="00827BC3"/>
    <w:rsid w:val="00831E2A"/>
    <w:rsid w:val="00832891"/>
    <w:rsid w:val="008339A8"/>
    <w:rsid w:val="00836959"/>
    <w:rsid w:val="00847D4E"/>
    <w:rsid w:val="00851D03"/>
    <w:rsid w:val="008536CE"/>
    <w:rsid w:val="00854A3E"/>
    <w:rsid w:val="00854C3B"/>
    <w:rsid w:val="00855988"/>
    <w:rsid w:val="00856D80"/>
    <w:rsid w:val="0085764B"/>
    <w:rsid w:val="00860C40"/>
    <w:rsid w:val="00862A5B"/>
    <w:rsid w:val="00862D4C"/>
    <w:rsid w:val="00863DFC"/>
    <w:rsid w:val="00864088"/>
    <w:rsid w:val="0086441B"/>
    <w:rsid w:val="00865C7C"/>
    <w:rsid w:val="00870558"/>
    <w:rsid w:val="00873E64"/>
    <w:rsid w:val="00875FFC"/>
    <w:rsid w:val="00876162"/>
    <w:rsid w:val="008773A8"/>
    <w:rsid w:val="00880861"/>
    <w:rsid w:val="00883037"/>
    <w:rsid w:val="00884083"/>
    <w:rsid w:val="00884733"/>
    <w:rsid w:val="00886901"/>
    <w:rsid w:val="0089069D"/>
    <w:rsid w:val="00891693"/>
    <w:rsid w:val="008935DC"/>
    <w:rsid w:val="00895167"/>
    <w:rsid w:val="00895DB2"/>
    <w:rsid w:val="00896252"/>
    <w:rsid w:val="00896253"/>
    <w:rsid w:val="0089651C"/>
    <w:rsid w:val="00896608"/>
    <w:rsid w:val="008A0A04"/>
    <w:rsid w:val="008A19EF"/>
    <w:rsid w:val="008A75A2"/>
    <w:rsid w:val="008B4ACE"/>
    <w:rsid w:val="008B5994"/>
    <w:rsid w:val="008C0905"/>
    <w:rsid w:val="008C25DB"/>
    <w:rsid w:val="008C26A3"/>
    <w:rsid w:val="008C4A56"/>
    <w:rsid w:val="008D05CC"/>
    <w:rsid w:val="008D0D68"/>
    <w:rsid w:val="008D306F"/>
    <w:rsid w:val="008D3292"/>
    <w:rsid w:val="008D3912"/>
    <w:rsid w:val="008E1877"/>
    <w:rsid w:val="008E240F"/>
    <w:rsid w:val="008E4C32"/>
    <w:rsid w:val="008F195C"/>
    <w:rsid w:val="008F3789"/>
    <w:rsid w:val="008F525A"/>
    <w:rsid w:val="008F5663"/>
    <w:rsid w:val="008F6D3F"/>
    <w:rsid w:val="008F71A1"/>
    <w:rsid w:val="008F7FB7"/>
    <w:rsid w:val="008F7FE1"/>
    <w:rsid w:val="00900A9D"/>
    <w:rsid w:val="00900B9E"/>
    <w:rsid w:val="00901A45"/>
    <w:rsid w:val="00902AF3"/>
    <w:rsid w:val="00903D01"/>
    <w:rsid w:val="00903FBF"/>
    <w:rsid w:val="00914E48"/>
    <w:rsid w:val="00915214"/>
    <w:rsid w:val="00915FA4"/>
    <w:rsid w:val="009179FB"/>
    <w:rsid w:val="009203FD"/>
    <w:rsid w:val="0092459B"/>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573C6"/>
    <w:rsid w:val="00961A30"/>
    <w:rsid w:val="0096219B"/>
    <w:rsid w:val="00963289"/>
    <w:rsid w:val="00963458"/>
    <w:rsid w:val="00963607"/>
    <w:rsid w:val="0096492E"/>
    <w:rsid w:val="009658DA"/>
    <w:rsid w:val="0096675F"/>
    <w:rsid w:val="00966884"/>
    <w:rsid w:val="0097038F"/>
    <w:rsid w:val="00971D8C"/>
    <w:rsid w:val="00972425"/>
    <w:rsid w:val="009733F5"/>
    <w:rsid w:val="0097560B"/>
    <w:rsid w:val="009767DE"/>
    <w:rsid w:val="00977C0E"/>
    <w:rsid w:val="00982831"/>
    <w:rsid w:val="0098401D"/>
    <w:rsid w:val="009849E5"/>
    <w:rsid w:val="00985D3C"/>
    <w:rsid w:val="0098683C"/>
    <w:rsid w:val="0098753E"/>
    <w:rsid w:val="00991B02"/>
    <w:rsid w:val="00992020"/>
    <w:rsid w:val="009923A9"/>
    <w:rsid w:val="00996071"/>
    <w:rsid w:val="009964CD"/>
    <w:rsid w:val="00997637"/>
    <w:rsid w:val="009A042D"/>
    <w:rsid w:val="009A1050"/>
    <w:rsid w:val="009A27D2"/>
    <w:rsid w:val="009A4063"/>
    <w:rsid w:val="009A53C8"/>
    <w:rsid w:val="009A6414"/>
    <w:rsid w:val="009A7FD8"/>
    <w:rsid w:val="009B3D65"/>
    <w:rsid w:val="009B426B"/>
    <w:rsid w:val="009B5513"/>
    <w:rsid w:val="009B6069"/>
    <w:rsid w:val="009B626F"/>
    <w:rsid w:val="009B7251"/>
    <w:rsid w:val="009C0ABF"/>
    <w:rsid w:val="009C2DBE"/>
    <w:rsid w:val="009C40CD"/>
    <w:rsid w:val="009C43E7"/>
    <w:rsid w:val="009D14CA"/>
    <w:rsid w:val="009D268D"/>
    <w:rsid w:val="009D5757"/>
    <w:rsid w:val="009D7DB0"/>
    <w:rsid w:val="009E1D78"/>
    <w:rsid w:val="009E20AB"/>
    <w:rsid w:val="009E295D"/>
    <w:rsid w:val="009E5B17"/>
    <w:rsid w:val="009E78B5"/>
    <w:rsid w:val="009E7925"/>
    <w:rsid w:val="009E798E"/>
    <w:rsid w:val="009F1127"/>
    <w:rsid w:val="009F123D"/>
    <w:rsid w:val="009F4D3D"/>
    <w:rsid w:val="009F54AE"/>
    <w:rsid w:val="009F6FBF"/>
    <w:rsid w:val="009F70DC"/>
    <w:rsid w:val="00A001C3"/>
    <w:rsid w:val="00A00F11"/>
    <w:rsid w:val="00A02C15"/>
    <w:rsid w:val="00A0349A"/>
    <w:rsid w:val="00A03ACB"/>
    <w:rsid w:val="00A04427"/>
    <w:rsid w:val="00A04B91"/>
    <w:rsid w:val="00A04D83"/>
    <w:rsid w:val="00A054B0"/>
    <w:rsid w:val="00A069E1"/>
    <w:rsid w:val="00A1019C"/>
    <w:rsid w:val="00A1019E"/>
    <w:rsid w:val="00A11648"/>
    <w:rsid w:val="00A15DE1"/>
    <w:rsid w:val="00A2029A"/>
    <w:rsid w:val="00A245D5"/>
    <w:rsid w:val="00A24878"/>
    <w:rsid w:val="00A25ED4"/>
    <w:rsid w:val="00A26E89"/>
    <w:rsid w:val="00A30A0C"/>
    <w:rsid w:val="00A30DC0"/>
    <w:rsid w:val="00A32D0C"/>
    <w:rsid w:val="00A33868"/>
    <w:rsid w:val="00A3587B"/>
    <w:rsid w:val="00A41956"/>
    <w:rsid w:val="00A42756"/>
    <w:rsid w:val="00A43EB3"/>
    <w:rsid w:val="00A44DD4"/>
    <w:rsid w:val="00A45B1C"/>
    <w:rsid w:val="00A47DD9"/>
    <w:rsid w:val="00A50A16"/>
    <w:rsid w:val="00A50FB9"/>
    <w:rsid w:val="00A51F4E"/>
    <w:rsid w:val="00A5397B"/>
    <w:rsid w:val="00A54BE8"/>
    <w:rsid w:val="00A54DA6"/>
    <w:rsid w:val="00A57D58"/>
    <w:rsid w:val="00A6116D"/>
    <w:rsid w:val="00A61A91"/>
    <w:rsid w:val="00A65F2C"/>
    <w:rsid w:val="00A71DC3"/>
    <w:rsid w:val="00A72188"/>
    <w:rsid w:val="00A734EF"/>
    <w:rsid w:val="00A737D3"/>
    <w:rsid w:val="00A73873"/>
    <w:rsid w:val="00A8041F"/>
    <w:rsid w:val="00A8062A"/>
    <w:rsid w:val="00A807A5"/>
    <w:rsid w:val="00A842F8"/>
    <w:rsid w:val="00A8458D"/>
    <w:rsid w:val="00A87B0A"/>
    <w:rsid w:val="00A92916"/>
    <w:rsid w:val="00A93198"/>
    <w:rsid w:val="00A9524C"/>
    <w:rsid w:val="00A9668D"/>
    <w:rsid w:val="00A97137"/>
    <w:rsid w:val="00AA154E"/>
    <w:rsid w:val="00AA1BF0"/>
    <w:rsid w:val="00AA3B39"/>
    <w:rsid w:val="00AA4441"/>
    <w:rsid w:val="00AA5045"/>
    <w:rsid w:val="00AA70D7"/>
    <w:rsid w:val="00AA73FE"/>
    <w:rsid w:val="00AA7D8F"/>
    <w:rsid w:val="00AB14AF"/>
    <w:rsid w:val="00AB2049"/>
    <w:rsid w:val="00AB7F41"/>
    <w:rsid w:val="00AC1396"/>
    <w:rsid w:val="00AC390C"/>
    <w:rsid w:val="00AC51F3"/>
    <w:rsid w:val="00AC532F"/>
    <w:rsid w:val="00AC5DA1"/>
    <w:rsid w:val="00AC5DFA"/>
    <w:rsid w:val="00AC710B"/>
    <w:rsid w:val="00AC768E"/>
    <w:rsid w:val="00AC7B67"/>
    <w:rsid w:val="00AD0B89"/>
    <w:rsid w:val="00AD47D4"/>
    <w:rsid w:val="00AD62D8"/>
    <w:rsid w:val="00AD78DA"/>
    <w:rsid w:val="00AE1546"/>
    <w:rsid w:val="00AE33D9"/>
    <w:rsid w:val="00AE3423"/>
    <w:rsid w:val="00AE6AC9"/>
    <w:rsid w:val="00AE7A63"/>
    <w:rsid w:val="00AF267E"/>
    <w:rsid w:val="00AF63C3"/>
    <w:rsid w:val="00AF7CE1"/>
    <w:rsid w:val="00B00E7C"/>
    <w:rsid w:val="00B011E3"/>
    <w:rsid w:val="00B02C62"/>
    <w:rsid w:val="00B0301F"/>
    <w:rsid w:val="00B0351C"/>
    <w:rsid w:val="00B03934"/>
    <w:rsid w:val="00B03D2D"/>
    <w:rsid w:val="00B048B1"/>
    <w:rsid w:val="00B10CC9"/>
    <w:rsid w:val="00B11686"/>
    <w:rsid w:val="00B12C6B"/>
    <w:rsid w:val="00B13276"/>
    <w:rsid w:val="00B139D9"/>
    <w:rsid w:val="00B14EAD"/>
    <w:rsid w:val="00B205F8"/>
    <w:rsid w:val="00B21D38"/>
    <w:rsid w:val="00B22DD8"/>
    <w:rsid w:val="00B26826"/>
    <w:rsid w:val="00B27284"/>
    <w:rsid w:val="00B31D15"/>
    <w:rsid w:val="00B31D8E"/>
    <w:rsid w:val="00B31F5B"/>
    <w:rsid w:val="00B32E81"/>
    <w:rsid w:val="00B332BB"/>
    <w:rsid w:val="00B34146"/>
    <w:rsid w:val="00B351C5"/>
    <w:rsid w:val="00B36324"/>
    <w:rsid w:val="00B40A11"/>
    <w:rsid w:val="00B437D7"/>
    <w:rsid w:val="00B43C10"/>
    <w:rsid w:val="00B44A5C"/>
    <w:rsid w:val="00B46318"/>
    <w:rsid w:val="00B46744"/>
    <w:rsid w:val="00B477DB"/>
    <w:rsid w:val="00B50307"/>
    <w:rsid w:val="00B5050B"/>
    <w:rsid w:val="00B50EBF"/>
    <w:rsid w:val="00B53556"/>
    <w:rsid w:val="00B53ED3"/>
    <w:rsid w:val="00B54E3D"/>
    <w:rsid w:val="00B55214"/>
    <w:rsid w:val="00B55FAF"/>
    <w:rsid w:val="00B56F86"/>
    <w:rsid w:val="00B60D30"/>
    <w:rsid w:val="00B64AEB"/>
    <w:rsid w:val="00B64D08"/>
    <w:rsid w:val="00B70A39"/>
    <w:rsid w:val="00B70AB2"/>
    <w:rsid w:val="00B72EEE"/>
    <w:rsid w:val="00B74289"/>
    <w:rsid w:val="00B76F72"/>
    <w:rsid w:val="00B809B1"/>
    <w:rsid w:val="00B824F1"/>
    <w:rsid w:val="00B85764"/>
    <w:rsid w:val="00B87183"/>
    <w:rsid w:val="00B91584"/>
    <w:rsid w:val="00B92AD4"/>
    <w:rsid w:val="00B97B74"/>
    <w:rsid w:val="00BA1684"/>
    <w:rsid w:val="00BA4213"/>
    <w:rsid w:val="00BA6941"/>
    <w:rsid w:val="00BB1819"/>
    <w:rsid w:val="00BB425E"/>
    <w:rsid w:val="00BB42DF"/>
    <w:rsid w:val="00BB4EBA"/>
    <w:rsid w:val="00BB5DA9"/>
    <w:rsid w:val="00BC014F"/>
    <w:rsid w:val="00BC0164"/>
    <w:rsid w:val="00BC05D0"/>
    <w:rsid w:val="00BC28D4"/>
    <w:rsid w:val="00BC5B54"/>
    <w:rsid w:val="00BC78A2"/>
    <w:rsid w:val="00BD0C97"/>
    <w:rsid w:val="00BD142D"/>
    <w:rsid w:val="00BD505D"/>
    <w:rsid w:val="00BD61A7"/>
    <w:rsid w:val="00BE09CA"/>
    <w:rsid w:val="00BE114C"/>
    <w:rsid w:val="00BE7761"/>
    <w:rsid w:val="00BF03A9"/>
    <w:rsid w:val="00BF0F57"/>
    <w:rsid w:val="00BF1289"/>
    <w:rsid w:val="00BF14BC"/>
    <w:rsid w:val="00BF4085"/>
    <w:rsid w:val="00C00948"/>
    <w:rsid w:val="00C00B45"/>
    <w:rsid w:val="00C01A2C"/>
    <w:rsid w:val="00C047F9"/>
    <w:rsid w:val="00C06CDB"/>
    <w:rsid w:val="00C06D0F"/>
    <w:rsid w:val="00C070FB"/>
    <w:rsid w:val="00C13799"/>
    <w:rsid w:val="00C2460C"/>
    <w:rsid w:val="00C248ED"/>
    <w:rsid w:val="00C2552A"/>
    <w:rsid w:val="00C3004E"/>
    <w:rsid w:val="00C308BE"/>
    <w:rsid w:val="00C3137E"/>
    <w:rsid w:val="00C31F5F"/>
    <w:rsid w:val="00C32053"/>
    <w:rsid w:val="00C374FD"/>
    <w:rsid w:val="00C40FD8"/>
    <w:rsid w:val="00C41730"/>
    <w:rsid w:val="00C41733"/>
    <w:rsid w:val="00C42FB8"/>
    <w:rsid w:val="00C43D44"/>
    <w:rsid w:val="00C462C4"/>
    <w:rsid w:val="00C46E5D"/>
    <w:rsid w:val="00C55A65"/>
    <w:rsid w:val="00C60C71"/>
    <w:rsid w:val="00C632B3"/>
    <w:rsid w:val="00C6340A"/>
    <w:rsid w:val="00C63B7C"/>
    <w:rsid w:val="00C647F4"/>
    <w:rsid w:val="00C70D48"/>
    <w:rsid w:val="00C71038"/>
    <w:rsid w:val="00C7650C"/>
    <w:rsid w:val="00C77158"/>
    <w:rsid w:val="00C77DFE"/>
    <w:rsid w:val="00C80D4B"/>
    <w:rsid w:val="00C8278A"/>
    <w:rsid w:val="00C83D0E"/>
    <w:rsid w:val="00C8558C"/>
    <w:rsid w:val="00C85ABE"/>
    <w:rsid w:val="00C877E2"/>
    <w:rsid w:val="00C90826"/>
    <w:rsid w:val="00C90A57"/>
    <w:rsid w:val="00C91F07"/>
    <w:rsid w:val="00C92120"/>
    <w:rsid w:val="00C942FC"/>
    <w:rsid w:val="00C9457B"/>
    <w:rsid w:val="00C94B65"/>
    <w:rsid w:val="00C966DA"/>
    <w:rsid w:val="00C96DC4"/>
    <w:rsid w:val="00C976B2"/>
    <w:rsid w:val="00CA037E"/>
    <w:rsid w:val="00CA1213"/>
    <w:rsid w:val="00CA16E3"/>
    <w:rsid w:val="00CA2E29"/>
    <w:rsid w:val="00CA3607"/>
    <w:rsid w:val="00CA574A"/>
    <w:rsid w:val="00CA5BD9"/>
    <w:rsid w:val="00CA64AF"/>
    <w:rsid w:val="00CA72F1"/>
    <w:rsid w:val="00CA7D55"/>
    <w:rsid w:val="00CB2DCB"/>
    <w:rsid w:val="00CB4591"/>
    <w:rsid w:val="00CB6C09"/>
    <w:rsid w:val="00CB6F85"/>
    <w:rsid w:val="00CB775C"/>
    <w:rsid w:val="00CC0473"/>
    <w:rsid w:val="00CC1E8D"/>
    <w:rsid w:val="00CC3970"/>
    <w:rsid w:val="00CC3ED1"/>
    <w:rsid w:val="00CC4988"/>
    <w:rsid w:val="00CD66D5"/>
    <w:rsid w:val="00CE0A40"/>
    <w:rsid w:val="00CE0FA2"/>
    <w:rsid w:val="00CE1852"/>
    <w:rsid w:val="00CE2946"/>
    <w:rsid w:val="00CE3A58"/>
    <w:rsid w:val="00CE4329"/>
    <w:rsid w:val="00CE7003"/>
    <w:rsid w:val="00CF1014"/>
    <w:rsid w:val="00CF7619"/>
    <w:rsid w:val="00D00EA0"/>
    <w:rsid w:val="00D012D2"/>
    <w:rsid w:val="00D01999"/>
    <w:rsid w:val="00D01A50"/>
    <w:rsid w:val="00D03C4D"/>
    <w:rsid w:val="00D03EBB"/>
    <w:rsid w:val="00D05D33"/>
    <w:rsid w:val="00D100D4"/>
    <w:rsid w:val="00D105B0"/>
    <w:rsid w:val="00D160F3"/>
    <w:rsid w:val="00D17B72"/>
    <w:rsid w:val="00D17E86"/>
    <w:rsid w:val="00D201E6"/>
    <w:rsid w:val="00D20FFB"/>
    <w:rsid w:val="00D23118"/>
    <w:rsid w:val="00D243BE"/>
    <w:rsid w:val="00D2517E"/>
    <w:rsid w:val="00D25CD7"/>
    <w:rsid w:val="00D3261D"/>
    <w:rsid w:val="00D33A08"/>
    <w:rsid w:val="00D353B0"/>
    <w:rsid w:val="00D35F06"/>
    <w:rsid w:val="00D36226"/>
    <w:rsid w:val="00D43886"/>
    <w:rsid w:val="00D455D4"/>
    <w:rsid w:val="00D45E62"/>
    <w:rsid w:val="00D46DC4"/>
    <w:rsid w:val="00D5062B"/>
    <w:rsid w:val="00D53541"/>
    <w:rsid w:val="00D542B9"/>
    <w:rsid w:val="00D55E39"/>
    <w:rsid w:val="00D60633"/>
    <w:rsid w:val="00D617D6"/>
    <w:rsid w:val="00D620FF"/>
    <w:rsid w:val="00D63C4E"/>
    <w:rsid w:val="00D63C7F"/>
    <w:rsid w:val="00D63E1C"/>
    <w:rsid w:val="00D65A90"/>
    <w:rsid w:val="00D65BF3"/>
    <w:rsid w:val="00D725F5"/>
    <w:rsid w:val="00D72602"/>
    <w:rsid w:val="00D73D35"/>
    <w:rsid w:val="00D74C34"/>
    <w:rsid w:val="00D74E16"/>
    <w:rsid w:val="00D7679A"/>
    <w:rsid w:val="00D76A3B"/>
    <w:rsid w:val="00D77415"/>
    <w:rsid w:val="00D80821"/>
    <w:rsid w:val="00D81B22"/>
    <w:rsid w:val="00D83505"/>
    <w:rsid w:val="00D8554D"/>
    <w:rsid w:val="00D872B1"/>
    <w:rsid w:val="00D87879"/>
    <w:rsid w:val="00D87A63"/>
    <w:rsid w:val="00D91D07"/>
    <w:rsid w:val="00D946AB"/>
    <w:rsid w:val="00D955CE"/>
    <w:rsid w:val="00DA05E5"/>
    <w:rsid w:val="00DA2B38"/>
    <w:rsid w:val="00DA353F"/>
    <w:rsid w:val="00DB028A"/>
    <w:rsid w:val="00DB0AC3"/>
    <w:rsid w:val="00DB3F95"/>
    <w:rsid w:val="00DB688E"/>
    <w:rsid w:val="00DC1CC0"/>
    <w:rsid w:val="00DC273F"/>
    <w:rsid w:val="00DC38B8"/>
    <w:rsid w:val="00DC4475"/>
    <w:rsid w:val="00DC58C0"/>
    <w:rsid w:val="00DC7ADA"/>
    <w:rsid w:val="00DD3A2B"/>
    <w:rsid w:val="00DD61DE"/>
    <w:rsid w:val="00DD62E0"/>
    <w:rsid w:val="00DE02FC"/>
    <w:rsid w:val="00DE11A5"/>
    <w:rsid w:val="00DE25A0"/>
    <w:rsid w:val="00DE26BA"/>
    <w:rsid w:val="00DE4E91"/>
    <w:rsid w:val="00DE5CCA"/>
    <w:rsid w:val="00DE6880"/>
    <w:rsid w:val="00DE6B13"/>
    <w:rsid w:val="00DF0B35"/>
    <w:rsid w:val="00DF39D2"/>
    <w:rsid w:val="00DF56A7"/>
    <w:rsid w:val="00DF6BBB"/>
    <w:rsid w:val="00DF7125"/>
    <w:rsid w:val="00E017F3"/>
    <w:rsid w:val="00E01912"/>
    <w:rsid w:val="00E04749"/>
    <w:rsid w:val="00E07A22"/>
    <w:rsid w:val="00E12531"/>
    <w:rsid w:val="00E12C23"/>
    <w:rsid w:val="00E16674"/>
    <w:rsid w:val="00E17E77"/>
    <w:rsid w:val="00E21911"/>
    <w:rsid w:val="00E2417A"/>
    <w:rsid w:val="00E25B4B"/>
    <w:rsid w:val="00E26437"/>
    <w:rsid w:val="00E27376"/>
    <w:rsid w:val="00E30E17"/>
    <w:rsid w:val="00E333BA"/>
    <w:rsid w:val="00E37F4B"/>
    <w:rsid w:val="00E411A9"/>
    <w:rsid w:val="00E4350D"/>
    <w:rsid w:val="00E4387D"/>
    <w:rsid w:val="00E43A22"/>
    <w:rsid w:val="00E455C9"/>
    <w:rsid w:val="00E5325E"/>
    <w:rsid w:val="00E54CEB"/>
    <w:rsid w:val="00E557D7"/>
    <w:rsid w:val="00E55E85"/>
    <w:rsid w:val="00E560EA"/>
    <w:rsid w:val="00E57196"/>
    <w:rsid w:val="00E62588"/>
    <w:rsid w:val="00E62BAB"/>
    <w:rsid w:val="00E6313E"/>
    <w:rsid w:val="00E63CCA"/>
    <w:rsid w:val="00E6475D"/>
    <w:rsid w:val="00E7396A"/>
    <w:rsid w:val="00E73FD6"/>
    <w:rsid w:val="00E7435C"/>
    <w:rsid w:val="00E74EFA"/>
    <w:rsid w:val="00E76CD4"/>
    <w:rsid w:val="00E808F7"/>
    <w:rsid w:val="00E866F6"/>
    <w:rsid w:val="00E86CF4"/>
    <w:rsid w:val="00E90586"/>
    <w:rsid w:val="00E9183E"/>
    <w:rsid w:val="00E91C1D"/>
    <w:rsid w:val="00E936B6"/>
    <w:rsid w:val="00E94476"/>
    <w:rsid w:val="00E948E4"/>
    <w:rsid w:val="00E952DB"/>
    <w:rsid w:val="00E95CF6"/>
    <w:rsid w:val="00E960BA"/>
    <w:rsid w:val="00E96C90"/>
    <w:rsid w:val="00E9768D"/>
    <w:rsid w:val="00EA067A"/>
    <w:rsid w:val="00EA0E28"/>
    <w:rsid w:val="00EA1A26"/>
    <w:rsid w:val="00EA2F92"/>
    <w:rsid w:val="00EA2FF6"/>
    <w:rsid w:val="00EA5A23"/>
    <w:rsid w:val="00EA7141"/>
    <w:rsid w:val="00EB27E9"/>
    <w:rsid w:val="00EB5774"/>
    <w:rsid w:val="00EB6169"/>
    <w:rsid w:val="00EB64CF"/>
    <w:rsid w:val="00EB74A3"/>
    <w:rsid w:val="00EC13A4"/>
    <w:rsid w:val="00EC1F3E"/>
    <w:rsid w:val="00EC24A2"/>
    <w:rsid w:val="00EC57F5"/>
    <w:rsid w:val="00EC65CA"/>
    <w:rsid w:val="00EC7569"/>
    <w:rsid w:val="00ED2C01"/>
    <w:rsid w:val="00ED57DF"/>
    <w:rsid w:val="00ED769C"/>
    <w:rsid w:val="00ED7B9C"/>
    <w:rsid w:val="00EE3131"/>
    <w:rsid w:val="00EE6D9A"/>
    <w:rsid w:val="00EE7426"/>
    <w:rsid w:val="00EF0027"/>
    <w:rsid w:val="00EF0F49"/>
    <w:rsid w:val="00EF26EB"/>
    <w:rsid w:val="00EF291C"/>
    <w:rsid w:val="00EF2ADF"/>
    <w:rsid w:val="00EF4606"/>
    <w:rsid w:val="00EF584E"/>
    <w:rsid w:val="00F007F5"/>
    <w:rsid w:val="00F01D4C"/>
    <w:rsid w:val="00F02583"/>
    <w:rsid w:val="00F02C0E"/>
    <w:rsid w:val="00F04C12"/>
    <w:rsid w:val="00F052B6"/>
    <w:rsid w:val="00F115D4"/>
    <w:rsid w:val="00F14163"/>
    <w:rsid w:val="00F14219"/>
    <w:rsid w:val="00F147A7"/>
    <w:rsid w:val="00F14A3D"/>
    <w:rsid w:val="00F1565A"/>
    <w:rsid w:val="00F156C3"/>
    <w:rsid w:val="00F16E44"/>
    <w:rsid w:val="00F17EEB"/>
    <w:rsid w:val="00F20478"/>
    <w:rsid w:val="00F2435C"/>
    <w:rsid w:val="00F25E14"/>
    <w:rsid w:val="00F25F9B"/>
    <w:rsid w:val="00F27071"/>
    <w:rsid w:val="00F271F7"/>
    <w:rsid w:val="00F31132"/>
    <w:rsid w:val="00F3277D"/>
    <w:rsid w:val="00F33F71"/>
    <w:rsid w:val="00F367EE"/>
    <w:rsid w:val="00F3696A"/>
    <w:rsid w:val="00F36B32"/>
    <w:rsid w:val="00F436A8"/>
    <w:rsid w:val="00F444F7"/>
    <w:rsid w:val="00F45722"/>
    <w:rsid w:val="00F462EB"/>
    <w:rsid w:val="00F50082"/>
    <w:rsid w:val="00F519C6"/>
    <w:rsid w:val="00F51B2D"/>
    <w:rsid w:val="00F527CC"/>
    <w:rsid w:val="00F54B9B"/>
    <w:rsid w:val="00F55497"/>
    <w:rsid w:val="00F55C6C"/>
    <w:rsid w:val="00F56075"/>
    <w:rsid w:val="00F57A5E"/>
    <w:rsid w:val="00F607AE"/>
    <w:rsid w:val="00F615BE"/>
    <w:rsid w:val="00F62599"/>
    <w:rsid w:val="00F62C3C"/>
    <w:rsid w:val="00F63B47"/>
    <w:rsid w:val="00F63F91"/>
    <w:rsid w:val="00F64602"/>
    <w:rsid w:val="00F6555E"/>
    <w:rsid w:val="00F65701"/>
    <w:rsid w:val="00F7230C"/>
    <w:rsid w:val="00F73B1E"/>
    <w:rsid w:val="00F742CE"/>
    <w:rsid w:val="00F74C22"/>
    <w:rsid w:val="00F803D0"/>
    <w:rsid w:val="00F80B2F"/>
    <w:rsid w:val="00F81D1A"/>
    <w:rsid w:val="00F82991"/>
    <w:rsid w:val="00F84389"/>
    <w:rsid w:val="00F851EC"/>
    <w:rsid w:val="00F854CA"/>
    <w:rsid w:val="00F855A7"/>
    <w:rsid w:val="00F86B1F"/>
    <w:rsid w:val="00F87AF0"/>
    <w:rsid w:val="00F91F83"/>
    <w:rsid w:val="00F94259"/>
    <w:rsid w:val="00F94AB5"/>
    <w:rsid w:val="00F96F1F"/>
    <w:rsid w:val="00F97E58"/>
    <w:rsid w:val="00FA0025"/>
    <w:rsid w:val="00FA0E7F"/>
    <w:rsid w:val="00FA24B0"/>
    <w:rsid w:val="00FA4314"/>
    <w:rsid w:val="00FA45BB"/>
    <w:rsid w:val="00FA5099"/>
    <w:rsid w:val="00FA72FD"/>
    <w:rsid w:val="00FA7332"/>
    <w:rsid w:val="00FB04B7"/>
    <w:rsid w:val="00FB26FA"/>
    <w:rsid w:val="00FB3BE7"/>
    <w:rsid w:val="00FB4551"/>
    <w:rsid w:val="00FB698B"/>
    <w:rsid w:val="00FC2F44"/>
    <w:rsid w:val="00FC62BC"/>
    <w:rsid w:val="00FC63D2"/>
    <w:rsid w:val="00FD0961"/>
    <w:rsid w:val="00FD1481"/>
    <w:rsid w:val="00FD30D6"/>
    <w:rsid w:val="00FD38D3"/>
    <w:rsid w:val="00FD6378"/>
    <w:rsid w:val="00FE2612"/>
    <w:rsid w:val="00FE2DE8"/>
    <w:rsid w:val="00FE390C"/>
    <w:rsid w:val="00FF018B"/>
    <w:rsid w:val="00FF0708"/>
    <w:rsid w:val="00FF0726"/>
    <w:rsid w:val="00FF0CF2"/>
    <w:rsid w:val="00FF1394"/>
    <w:rsid w:val="00FF170B"/>
    <w:rsid w:val="00FF3038"/>
    <w:rsid w:val="00FF432E"/>
    <w:rsid w:val="00FF47AC"/>
    <w:rsid w:val="00FF4D20"/>
    <w:rsid w:val="00FF5604"/>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colormru v:ext="edit" colors="#eaeaea"/>
    </o:shapedefaults>
    <o:shapelayout v:ext="edit">
      <o:idmap v:ext="edit" data="1"/>
    </o:shapelayout>
  </w:shapeDefaults>
  <w:decimalSymbol w:val="."/>
  <w:listSeparator w:val=","/>
  <w15:chartTrackingRefBased/>
  <w15:docId w15:val="{837762CC-68D9-4B00-9495-5BEE53F7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
    <w:qFormat/>
    <w:rsid w:val="00A245D5"/>
    <w:pPr>
      <w:keepNext/>
      <w:keepLines/>
      <w:numPr>
        <w:numId w:val="2"/>
      </w:numPr>
      <w:spacing w:before="480" w:after="360"/>
      <w:jc w:val="both"/>
      <w:outlineLvl w:val="0"/>
    </w:pPr>
    <w:rPr>
      <w:rFonts w:ascii="Arial Black" w:eastAsia="DengXian Light" w:hAnsi="Arial Black"/>
      <w:b/>
      <w:color w:val="000000"/>
      <w:sz w:val="32"/>
      <w:szCs w:val="32"/>
      <w:lang w:eastAsia="zh-CN"/>
    </w:rPr>
  </w:style>
  <w:style w:type="paragraph" w:styleId="Heading2">
    <w:name w:val="heading 2"/>
    <w:basedOn w:val="Normal"/>
    <w:next w:val="Normal"/>
    <w:link w:val="Heading2Char"/>
    <w:uiPriority w:val="9"/>
    <w:unhideWhenUsed/>
    <w:qFormat/>
    <w:rsid w:val="00A245D5"/>
    <w:pPr>
      <w:keepNext/>
      <w:keepLines/>
      <w:numPr>
        <w:ilvl w:val="1"/>
        <w:numId w:val="2"/>
      </w:numPr>
      <w:spacing w:before="40"/>
      <w:jc w:val="both"/>
      <w:outlineLvl w:val="1"/>
    </w:pPr>
    <w:rPr>
      <w:rFonts w:ascii="Arial Black" w:eastAsia="DengXian Light" w:hAnsi="Arial Black"/>
      <w:b/>
      <w:color w:val="000000"/>
      <w:sz w:val="28"/>
      <w:szCs w:val="26"/>
      <w:lang w:eastAsia="zh-CN"/>
    </w:rPr>
  </w:style>
  <w:style w:type="paragraph" w:styleId="Heading3">
    <w:name w:val="heading 3"/>
    <w:basedOn w:val="Normal"/>
    <w:next w:val="Normal"/>
    <w:link w:val="Heading3Char"/>
    <w:uiPriority w:val="9"/>
    <w:unhideWhenUsed/>
    <w:qFormat/>
    <w:rsid w:val="00A245D5"/>
    <w:pPr>
      <w:keepNext/>
      <w:keepLines/>
      <w:numPr>
        <w:ilvl w:val="2"/>
        <w:numId w:val="2"/>
      </w:numPr>
      <w:spacing w:before="40"/>
      <w:jc w:val="both"/>
      <w:outlineLvl w:val="2"/>
    </w:pPr>
    <w:rPr>
      <w:rFonts w:ascii="Arial Black" w:eastAsia="DengXian Light" w:hAnsi="Arial Black"/>
      <w:color w:val="000000"/>
      <w:lang w:eastAsia="zh-CN"/>
    </w:rPr>
  </w:style>
  <w:style w:type="paragraph" w:styleId="Heading4">
    <w:name w:val="heading 4"/>
    <w:basedOn w:val="Normal"/>
    <w:next w:val="Normal"/>
    <w:link w:val="Heading4Char"/>
    <w:autoRedefine/>
    <w:uiPriority w:val="9"/>
    <w:unhideWhenUsed/>
    <w:qFormat/>
    <w:rsid w:val="00A245D5"/>
    <w:pPr>
      <w:keepNext/>
      <w:keepLines/>
      <w:numPr>
        <w:ilvl w:val="3"/>
        <w:numId w:val="2"/>
      </w:numPr>
      <w:spacing w:before="40"/>
      <w:jc w:val="both"/>
      <w:outlineLvl w:val="3"/>
    </w:pPr>
    <w:rPr>
      <w:rFonts w:ascii="Arial" w:eastAsia="DengXian Light" w:hAnsi="Arial"/>
      <w:b/>
      <w:iCs/>
      <w:color w:val="000000"/>
      <w:szCs w:val="22"/>
      <w:lang w:eastAsia="zh-CN"/>
    </w:rPr>
  </w:style>
  <w:style w:type="paragraph" w:styleId="Heading5">
    <w:name w:val="heading 5"/>
    <w:basedOn w:val="Normal"/>
    <w:next w:val="Normal"/>
    <w:link w:val="Heading5Char"/>
    <w:uiPriority w:val="9"/>
    <w:unhideWhenUsed/>
    <w:qFormat/>
    <w:rsid w:val="00A245D5"/>
    <w:pPr>
      <w:keepNext/>
      <w:keepLines/>
      <w:numPr>
        <w:ilvl w:val="4"/>
        <w:numId w:val="2"/>
      </w:numPr>
      <w:spacing w:before="40" w:line="480" w:lineRule="auto"/>
      <w:jc w:val="both"/>
      <w:outlineLvl w:val="4"/>
    </w:pPr>
    <w:rPr>
      <w:rFonts w:ascii="Calibri Light" w:eastAsia="DengXian Light" w:hAnsi="Calibri Light"/>
      <w:color w:val="2F5496"/>
      <w:szCs w:val="22"/>
      <w:lang w:eastAsia="zh-CN"/>
    </w:rPr>
  </w:style>
  <w:style w:type="paragraph" w:styleId="Heading6">
    <w:name w:val="heading 6"/>
    <w:basedOn w:val="Normal"/>
    <w:next w:val="Normal"/>
    <w:link w:val="Heading6Char"/>
    <w:uiPriority w:val="9"/>
    <w:semiHidden/>
    <w:unhideWhenUsed/>
    <w:qFormat/>
    <w:rsid w:val="00A245D5"/>
    <w:pPr>
      <w:keepNext/>
      <w:keepLines/>
      <w:numPr>
        <w:ilvl w:val="5"/>
        <w:numId w:val="2"/>
      </w:numPr>
      <w:spacing w:before="40" w:line="480" w:lineRule="auto"/>
      <w:jc w:val="both"/>
      <w:outlineLvl w:val="5"/>
    </w:pPr>
    <w:rPr>
      <w:rFonts w:ascii="Calibri Light" w:eastAsia="DengXian Light" w:hAnsi="Calibri Light"/>
      <w:color w:val="1F3763"/>
      <w:szCs w:val="22"/>
      <w:lang w:eastAsia="zh-CN"/>
    </w:rPr>
  </w:style>
  <w:style w:type="paragraph" w:styleId="Heading7">
    <w:name w:val="heading 7"/>
    <w:basedOn w:val="Normal"/>
    <w:next w:val="Normal"/>
    <w:link w:val="Heading7Char"/>
    <w:uiPriority w:val="9"/>
    <w:semiHidden/>
    <w:unhideWhenUsed/>
    <w:qFormat/>
    <w:rsid w:val="00A245D5"/>
    <w:pPr>
      <w:keepNext/>
      <w:keepLines/>
      <w:numPr>
        <w:ilvl w:val="6"/>
        <w:numId w:val="2"/>
      </w:numPr>
      <w:spacing w:before="40" w:line="480" w:lineRule="auto"/>
      <w:jc w:val="both"/>
      <w:outlineLvl w:val="6"/>
    </w:pPr>
    <w:rPr>
      <w:rFonts w:ascii="Calibri Light" w:eastAsia="DengXian Light" w:hAnsi="Calibri Light"/>
      <w:i/>
      <w:iCs/>
      <w:color w:val="1F3763"/>
      <w:szCs w:val="22"/>
      <w:lang w:eastAsia="zh-CN"/>
    </w:rPr>
  </w:style>
  <w:style w:type="paragraph" w:styleId="Heading8">
    <w:name w:val="heading 8"/>
    <w:basedOn w:val="Normal"/>
    <w:next w:val="Normal"/>
    <w:link w:val="Heading8Char"/>
    <w:uiPriority w:val="9"/>
    <w:semiHidden/>
    <w:unhideWhenUsed/>
    <w:qFormat/>
    <w:rsid w:val="00A245D5"/>
    <w:pPr>
      <w:keepNext/>
      <w:keepLines/>
      <w:numPr>
        <w:ilvl w:val="7"/>
        <w:numId w:val="2"/>
      </w:numPr>
      <w:spacing w:before="40" w:line="480" w:lineRule="auto"/>
      <w:jc w:val="both"/>
      <w:outlineLvl w:val="7"/>
    </w:pPr>
    <w:rPr>
      <w:rFonts w:ascii="Calibri Light" w:eastAsia="DengXian Light" w:hAnsi="Calibri Light"/>
      <w:color w:val="272727"/>
      <w:sz w:val="21"/>
      <w:szCs w:val="21"/>
      <w:lang w:eastAsia="zh-CN"/>
    </w:rPr>
  </w:style>
  <w:style w:type="paragraph" w:styleId="Heading9">
    <w:name w:val="heading 9"/>
    <w:basedOn w:val="Normal"/>
    <w:next w:val="Normal"/>
    <w:link w:val="Heading9Char"/>
    <w:uiPriority w:val="9"/>
    <w:semiHidden/>
    <w:unhideWhenUsed/>
    <w:qFormat/>
    <w:rsid w:val="00A245D5"/>
    <w:pPr>
      <w:keepNext/>
      <w:keepLines/>
      <w:numPr>
        <w:ilvl w:val="8"/>
        <w:numId w:val="2"/>
      </w:numPr>
      <w:spacing w:before="40" w:line="480" w:lineRule="auto"/>
      <w:jc w:val="both"/>
      <w:outlineLvl w:val="8"/>
    </w:pPr>
    <w:rPr>
      <w:rFonts w:ascii="Calibri Light" w:eastAsia="DengXian Light" w:hAnsi="Calibri Light"/>
      <w:i/>
      <w:iCs/>
      <w:color w:val="272727"/>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rPr>
  </w:style>
  <w:style w:type="paragraph" w:customStyle="1" w:styleId="H1">
    <w:name w:val="H1"/>
    <w:basedOn w:val="Normal"/>
    <w:qFormat/>
    <w:rsid w:val="00C00B45"/>
    <w:pPr>
      <w:spacing w:before="480" w:after="230" w:line="225" w:lineRule="exact"/>
    </w:pPr>
    <w:rPr>
      <w:rFonts w:ascii="Arial" w:hAnsi="Arial"/>
      <w:b/>
      <w:sz w:val="22"/>
    </w:rPr>
  </w:style>
  <w:style w:type="paragraph" w:customStyle="1" w:styleId="P1">
    <w:name w:val="P1"/>
    <w:basedOn w:val="P1withoutIndendation"/>
    <w:qFormat/>
    <w:rsid w:val="00D80821"/>
    <w:rPr>
      <w:lang w:val="en-US"/>
    </w:rPr>
  </w:style>
  <w:style w:type="paragraph" w:customStyle="1" w:styleId="RSCR02References">
    <w:name w:val="RSC R02 References"/>
    <w:basedOn w:val="Normal"/>
    <w:link w:val="RSCR02ReferencesChar"/>
    <w:qFormat/>
    <w:rsid w:val="00A30A0C"/>
    <w:pPr>
      <w:numPr>
        <w:numId w:val="1"/>
      </w:numPr>
      <w:spacing w:line="200" w:lineRule="exact"/>
      <w:jc w:val="both"/>
    </w:pPr>
    <w:rPr>
      <w:rFonts w:ascii="Calibri" w:eastAsia="Calibri" w:hAnsi="Calibri"/>
      <w:w w:val="105"/>
      <w:sz w:val="18"/>
      <w:szCs w:val="18"/>
      <w:lang w:eastAsia="en-US"/>
    </w:rPr>
  </w:style>
  <w:style w:type="character" w:customStyle="1" w:styleId="RSCR02ReferencesChar">
    <w:name w:val="RSC R02 References Char"/>
    <w:link w:val="RSCR02References"/>
    <w:rsid w:val="00A30A0C"/>
    <w:rPr>
      <w:rFonts w:ascii="Calibri" w:eastAsia="Calibri" w:hAnsi="Calibri"/>
      <w:w w:val="105"/>
      <w:sz w:val="18"/>
      <w:szCs w:val="18"/>
      <w:lang w:eastAsia="en-US"/>
    </w:rPr>
  </w:style>
  <w:style w:type="character" w:styleId="EndnoteReference">
    <w:name w:val="endnote reference"/>
    <w:uiPriority w:val="99"/>
    <w:semiHidden/>
    <w:unhideWhenUsed/>
    <w:rsid w:val="00A30A0C"/>
    <w:rPr>
      <w:vertAlign w:val="superscript"/>
    </w:rPr>
  </w:style>
  <w:style w:type="paragraph" w:styleId="EndnoteText">
    <w:name w:val="endnote text"/>
    <w:basedOn w:val="Normal"/>
    <w:link w:val="EndnoteTextChar"/>
    <w:uiPriority w:val="99"/>
    <w:semiHidden/>
    <w:unhideWhenUsed/>
    <w:rsid w:val="003F25F4"/>
    <w:rPr>
      <w:sz w:val="20"/>
      <w:szCs w:val="20"/>
    </w:rPr>
  </w:style>
  <w:style w:type="character" w:customStyle="1" w:styleId="EndnoteTextChar">
    <w:name w:val="Endnote Text Char"/>
    <w:link w:val="EndnoteText"/>
    <w:uiPriority w:val="99"/>
    <w:semiHidden/>
    <w:rsid w:val="003F25F4"/>
    <w:rPr>
      <w:lang w:val="de-DE" w:eastAsia="ja-JP"/>
    </w:rPr>
  </w:style>
  <w:style w:type="character" w:styleId="Hyperlink">
    <w:name w:val="Hyperlink"/>
    <w:uiPriority w:val="99"/>
    <w:unhideWhenUsed/>
    <w:rsid w:val="00B205F8"/>
    <w:rPr>
      <w:color w:val="0563C1"/>
      <w:u w:val="single"/>
    </w:rPr>
  </w:style>
  <w:style w:type="character" w:styleId="CommentReference">
    <w:name w:val="annotation reference"/>
    <w:uiPriority w:val="99"/>
    <w:semiHidden/>
    <w:unhideWhenUsed/>
    <w:rsid w:val="006B7D71"/>
    <w:rPr>
      <w:sz w:val="16"/>
      <w:szCs w:val="16"/>
    </w:rPr>
  </w:style>
  <w:style w:type="character" w:customStyle="1" w:styleId="Heading1Char">
    <w:name w:val="Heading 1 Char"/>
    <w:link w:val="Heading1"/>
    <w:uiPriority w:val="9"/>
    <w:rsid w:val="00A245D5"/>
    <w:rPr>
      <w:rFonts w:ascii="Arial Black" w:eastAsia="DengXian Light" w:hAnsi="Arial Black"/>
      <w:b/>
      <w:color w:val="000000"/>
      <w:sz w:val="32"/>
      <w:szCs w:val="32"/>
      <w:lang w:eastAsia="zh-CN"/>
    </w:rPr>
  </w:style>
  <w:style w:type="character" w:customStyle="1" w:styleId="Heading2Char">
    <w:name w:val="Heading 2 Char"/>
    <w:link w:val="Heading2"/>
    <w:uiPriority w:val="9"/>
    <w:rsid w:val="00A245D5"/>
    <w:rPr>
      <w:rFonts w:ascii="Arial Black" w:eastAsia="DengXian Light" w:hAnsi="Arial Black"/>
      <w:b/>
      <w:color w:val="000000"/>
      <w:sz w:val="28"/>
      <w:szCs w:val="26"/>
      <w:lang w:eastAsia="zh-CN"/>
    </w:rPr>
  </w:style>
  <w:style w:type="character" w:customStyle="1" w:styleId="Heading3Char">
    <w:name w:val="Heading 3 Char"/>
    <w:link w:val="Heading3"/>
    <w:uiPriority w:val="9"/>
    <w:rsid w:val="00A245D5"/>
    <w:rPr>
      <w:rFonts w:ascii="Arial Black" w:eastAsia="DengXian Light" w:hAnsi="Arial Black"/>
      <w:color w:val="000000"/>
      <w:sz w:val="24"/>
      <w:szCs w:val="24"/>
      <w:lang w:eastAsia="zh-CN"/>
    </w:rPr>
  </w:style>
  <w:style w:type="character" w:customStyle="1" w:styleId="Heading4Char">
    <w:name w:val="Heading 4 Char"/>
    <w:link w:val="Heading4"/>
    <w:uiPriority w:val="9"/>
    <w:rsid w:val="00A245D5"/>
    <w:rPr>
      <w:rFonts w:ascii="Arial" w:eastAsia="DengXian Light" w:hAnsi="Arial"/>
      <w:b/>
      <w:iCs/>
      <w:color w:val="000000"/>
      <w:sz w:val="24"/>
      <w:szCs w:val="22"/>
      <w:lang w:eastAsia="zh-CN"/>
    </w:rPr>
  </w:style>
  <w:style w:type="character" w:customStyle="1" w:styleId="Heading5Char">
    <w:name w:val="Heading 5 Char"/>
    <w:link w:val="Heading5"/>
    <w:uiPriority w:val="9"/>
    <w:rsid w:val="00A245D5"/>
    <w:rPr>
      <w:rFonts w:ascii="Calibri Light" w:eastAsia="DengXian Light" w:hAnsi="Calibri Light"/>
      <w:color w:val="2F5496"/>
      <w:sz w:val="24"/>
      <w:szCs w:val="22"/>
      <w:lang w:eastAsia="zh-CN"/>
    </w:rPr>
  </w:style>
  <w:style w:type="character" w:customStyle="1" w:styleId="Heading6Char">
    <w:name w:val="Heading 6 Char"/>
    <w:link w:val="Heading6"/>
    <w:uiPriority w:val="9"/>
    <w:semiHidden/>
    <w:rsid w:val="00A245D5"/>
    <w:rPr>
      <w:rFonts w:ascii="Calibri Light" w:eastAsia="DengXian Light" w:hAnsi="Calibri Light"/>
      <w:color w:val="1F3763"/>
      <w:sz w:val="24"/>
      <w:szCs w:val="22"/>
      <w:lang w:eastAsia="zh-CN"/>
    </w:rPr>
  </w:style>
  <w:style w:type="character" w:customStyle="1" w:styleId="Heading7Char">
    <w:name w:val="Heading 7 Char"/>
    <w:link w:val="Heading7"/>
    <w:uiPriority w:val="9"/>
    <w:semiHidden/>
    <w:rsid w:val="00A245D5"/>
    <w:rPr>
      <w:rFonts w:ascii="Calibri Light" w:eastAsia="DengXian Light" w:hAnsi="Calibri Light"/>
      <w:i/>
      <w:iCs/>
      <w:color w:val="1F3763"/>
      <w:sz w:val="24"/>
      <w:szCs w:val="22"/>
      <w:lang w:eastAsia="zh-CN"/>
    </w:rPr>
  </w:style>
  <w:style w:type="character" w:customStyle="1" w:styleId="Heading8Char">
    <w:name w:val="Heading 8 Char"/>
    <w:link w:val="Heading8"/>
    <w:uiPriority w:val="9"/>
    <w:semiHidden/>
    <w:rsid w:val="00A245D5"/>
    <w:rPr>
      <w:rFonts w:ascii="Calibri Light" w:eastAsia="DengXian Light" w:hAnsi="Calibri Light"/>
      <w:color w:val="272727"/>
      <w:sz w:val="21"/>
      <w:szCs w:val="21"/>
      <w:lang w:eastAsia="zh-CN"/>
    </w:rPr>
  </w:style>
  <w:style w:type="character" w:customStyle="1" w:styleId="Heading9Char">
    <w:name w:val="Heading 9 Char"/>
    <w:link w:val="Heading9"/>
    <w:uiPriority w:val="9"/>
    <w:semiHidden/>
    <w:rsid w:val="00A245D5"/>
    <w:rPr>
      <w:rFonts w:ascii="Calibri Light" w:eastAsia="DengXian Light" w:hAnsi="Calibri Light"/>
      <w:i/>
      <w:iCs/>
      <w:color w:val="272727"/>
      <w:sz w:val="21"/>
      <w:szCs w:val="21"/>
      <w:lang w:eastAsia="zh-CN"/>
    </w:rPr>
  </w:style>
  <w:style w:type="paragraph" w:styleId="CommentText">
    <w:name w:val="annotation text"/>
    <w:basedOn w:val="Normal"/>
    <w:link w:val="CommentTextChar"/>
    <w:uiPriority w:val="99"/>
    <w:semiHidden/>
    <w:unhideWhenUsed/>
    <w:rsid w:val="003C56E6"/>
    <w:rPr>
      <w:sz w:val="20"/>
      <w:szCs w:val="20"/>
    </w:rPr>
  </w:style>
  <w:style w:type="character" w:customStyle="1" w:styleId="CommentTextChar">
    <w:name w:val="Comment Text Char"/>
    <w:link w:val="CommentText"/>
    <w:uiPriority w:val="99"/>
    <w:semiHidden/>
    <w:rsid w:val="003C56E6"/>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638771">
      <w:bodyDiv w:val="1"/>
      <w:marLeft w:val="0"/>
      <w:marRight w:val="0"/>
      <w:marTop w:val="0"/>
      <w:marBottom w:val="0"/>
      <w:divBdr>
        <w:top w:val="none" w:sz="0" w:space="0" w:color="auto"/>
        <w:left w:val="none" w:sz="0" w:space="0" w:color="auto"/>
        <w:bottom w:val="none" w:sz="0" w:space="0" w:color="auto"/>
        <w:right w:val="none" w:sz="0" w:space="0" w:color="auto"/>
      </w:divBdr>
      <w:divsChild>
        <w:div w:id="1184785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oleObject" Target="embeddings/oleObject3.bin"/><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echa.europa.eu/substance-information/-/substanceinfo/100.003.435" TargetMode="External"/><Relationship Id="rId1" Type="http://schemas.openxmlformats.org/officeDocument/2006/relationships/hyperlink" Target="https://echa.europa.eu/substance-information/-/substanceinfo/%20100.003.29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703\York%202018\papers%20in%20preparation\YanRui\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A400C-7DD6-4164-BEDB-ADE14CF2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109</TotalTime>
  <Pages>1</Pages>
  <Words>8025</Words>
  <Characters>45748</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Michael North</dc:creator>
  <cp:keywords/>
  <cp:lastModifiedBy>Michael North</cp:lastModifiedBy>
  <cp:revision>10</cp:revision>
  <cp:lastPrinted>2019-02-14T10:09:00Z</cp:lastPrinted>
  <dcterms:created xsi:type="dcterms:W3CDTF">2019-01-15T16:19:00Z</dcterms:created>
  <dcterms:modified xsi:type="dcterms:W3CDTF">2019-02-14T10:10:00Z</dcterms:modified>
</cp:coreProperties>
</file>