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BB1E" w14:textId="35DA31B0" w:rsidR="004327EE" w:rsidRDefault="004327EE" w:rsidP="00A45729">
      <w:pPr>
        <w:spacing w:line="240" w:lineRule="auto"/>
        <w:rPr>
          <w:b/>
          <w:sz w:val="28"/>
          <w:szCs w:val="28"/>
        </w:rPr>
      </w:pPr>
      <w:r w:rsidRPr="004327EE">
        <w:rPr>
          <w:b/>
          <w:sz w:val="28"/>
          <w:szCs w:val="28"/>
        </w:rPr>
        <w:t>Human Rights in Territorial Peace Agreements</w:t>
      </w:r>
    </w:p>
    <w:p w14:paraId="0EB0F7DE" w14:textId="3E3A331B" w:rsidR="00A45729" w:rsidRPr="00C90DEA" w:rsidRDefault="00A45729" w:rsidP="00A45729">
      <w:pPr>
        <w:spacing w:line="240" w:lineRule="auto"/>
        <w:rPr>
          <w:b/>
          <w:sz w:val="24"/>
          <w:szCs w:val="24"/>
        </w:rPr>
      </w:pPr>
      <w:r w:rsidRPr="00C90DEA">
        <w:rPr>
          <w:b/>
          <w:sz w:val="24"/>
          <w:szCs w:val="24"/>
        </w:rPr>
        <w:t>Nina Caspersen</w:t>
      </w:r>
    </w:p>
    <w:p w14:paraId="59C76501" w14:textId="68B7B5E6" w:rsidR="00A45729" w:rsidRDefault="00A45729" w:rsidP="00A45729">
      <w:pPr>
        <w:spacing w:line="240" w:lineRule="auto"/>
        <w:rPr>
          <w:sz w:val="24"/>
          <w:szCs w:val="24"/>
        </w:rPr>
      </w:pPr>
      <w:r>
        <w:rPr>
          <w:sz w:val="24"/>
          <w:szCs w:val="24"/>
        </w:rPr>
        <w:t>Department of Politics, University of York</w:t>
      </w:r>
    </w:p>
    <w:p w14:paraId="6ACA2D5E" w14:textId="59E11834" w:rsidR="00A45729" w:rsidRPr="00A45729" w:rsidRDefault="00A45729" w:rsidP="00A45729">
      <w:pPr>
        <w:spacing w:line="240" w:lineRule="auto"/>
        <w:rPr>
          <w:sz w:val="24"/>
          <w:szCs w:val="24"/>
        </w:rPr>
      </w:pPr>
      <w:r>
        <w:rPr>
          <w:sz w:val="24"/>
          <w:szCs w:val="24"/>
        </w:rPr>
        <w:t xml:space="preserve">Email: nina.caspersen@york.ac.uk </w:t>
      </w:r>
    </w:p>
    <w:p w14:paraId="6FC0DE6A" w14:textId="77777777" w:rsidR="00A45729" w:rsidRDefault="00A45729" w:rsidP="00A40EC8">
      <w:pPr>
        <w:spacing w:line="480" w:lineRule="auto"/>
      </w:pPr>
    </w:p>
    <w:p w14:paraId="6D826242" w14:textId="705E611F" w:rsidR="00A40EC8" w:rsidRDefault="00A40EC8" w:rsidP="00A40EC8">
      <w:pPr>
        <w:spacing w:line="480" w:lineRule="auto"/>
      </w:pPr>
      <w:r w:rsidRPr="00F874A3">
        <w:t>ABSTRACT</w:t>
      </w:r>
      <w:r>
        <w:t xml:space="preserve"> </w:t>
      </w:r>
    </w:p>
    <w:p w14:paraId="5F0658E6" w14:textId="53274F6D" w:rsidR="00941C6E" w:rsidRDefault="00941C6E" w:rsidP="00941C6E">
      <w:pPr>
        <w:spacing w:line="480" w:lineRule="auto"/>
      </w:pPr>
      <w:r>
        <w:t>J</w:t>
      </w:r>
      <w:r w:rsidR="00460822" w:rsidRPr="00EC1DDD">
        <w:t xml:space="preserve">ustice and peace </w:t>
      </w:r>
      <w:r>
        <w:t xml:space="preserve">are </w:t>
      </w:r>
      <w:r w:rsidR="00806D83">
        <w:t xml:space="preserve">commonly </w:t>
      </w:r>
      <w:r w:rsidR="00AD54F5">
        <w:t>seen as mutually reinforcing</w:t>
      </w:r>
      <w:r w:rsidR="00460822" w:rsidRPr="00EC1DDD">
        <w:t xml:space="preserve"> and k</w:t>
      </w:r>
      <w:r w:rsidR="00EC3C38">
        <w:t>ey</w:t>
      </w:r>
      <w:r w:rsidR="005E7F75">
        <w:t xml:space="preserve"> international</w:t>
      </w:r>
      <w:r w:rsidR="00EC3C38">
        <w:t xml:space="preserve"> peacebuilding documents stress</w:t>
      </w:r>
      <w:r w:rsidR="00460822" w:rsidRPr="00EC1DDD">
        <w:t xml:space="preserve"> the </w:t>
      </w:r>
      <w:r w:rsidR="00EC3C38">
        <w:t xml:space="preserve">importance </w:t>
      </w:r>
      <w:r w:rsidR="00460822" w:rsidRPr="00EC1DDD">
        <w:t>of hu</w:t>
      </w:r>
      <w:r w:rsidR="004B7351">
        <w:t>man rights</w:t>
      </w:r>
      <w:r w:rsidR="00460822" w:rsidRPr="00EC1DDD">
        <w:t xml:space="preserve">. </w:t>
      </w:r>
      <w:r>
        <w:t xml:space="preserve">Is this apparent normative shift reflected in </w:t>
      </w:r>
      <w:r w:rsidR="00806D83">
        <w:t xml:space="preserve">post-Cold War </w:t>
      </w:r>
      <w:r>
        <w:t>peace agreements? The existing literature i</w:t>
      </w:r>
      <w:r w:rsidR="00806D83">
        <w:t xml:space="preserve">s divided on this </w:t>
      </w:r>
      <w:r w:rsidR="00003AA3">
        <w:t>issue but</w:t>
      </w:r>
      <w:r w:rsidR="00806D83">
        <w:t xml:space="preserve"> </w:t>
      </w:r>
      <w:r>
        <w:t xml:space="preserve">has </w:t>
      </w:r>
      <w:r w:rsidR="00806D83">
        <w:t xml:space="preserve">crucially </w:t>
      </w:r>
      <w:r w:rsidR="004B7351">
        <w:t xml:space="preserve">treated </w:t>
      </w:r>
      <w:r w:rsidR="007220CE">
        <w:t>both conflicts and settlements as aggregate categories</w:t>
      </w:r>
      <w:r>
        <w:t xml:space="preserve">. This </w:t>
      </w:r>
      <w:r w:rsidR="00F874A3">
        <w:rPr>
          <w:rFonts w:cs="Times New Roman"/>
        </w:rPr>
        <w:t xml:space="preserve">article argues that the </w:t>
      </w:r>
      <w:r>
        <w:rPr>
          <w:rFonts w:cs="Times New Roman"/>
        </w:rPr>
        <w:t xml:space="preserve">conflict </w:t>
      </w:r>
      <w:r w:rsidR="00F874A3">
        <w:rPr>
          <w:rFonts w:cs="Times New Roman"/>
        </w:rPr>
        <w:t xml:space="preserve">type </w:t>
      </w:r>
      <w:r>
        <w:rPr>
          <w:rFonts w:cs="Times New Roman"/>
        </w:rPr>
        <w:t xml:space="preserve">and the settlement’s </w:t>
      </w:r>
      <w:r w:rsidR="00F874A3">
        <w:rPr>
          <w:rFonts w:cs="Times New Roman"/>
        </w:rPr>
        <w:t xml:space="preserve">‘core deal’ impact on the inclusion, or exclusion, of human rights provisions. Based on </w:t>
      </w:r>
      <w:r w:rsidR="004B7351" w:rsidRPr="00EC1DDD">
        <w:rPr>
          <w:rFonts w:cs="Times New Roman"/>
        </w:rPr>
        <w:t xml:space="preserve">new coding of </w:t>
      </w:r>
      <w:r w:rsidR="00806D83">
        <w:rPr>
          <w:rFonts w:cs="Times New Roman"/>
        </w:rPr>
        <w:t xml:space="preserve">the </w:t>
      </w:r>
      <w:r w:rsidR="004B7351" w:rsidRPr="00EC1DDD">
        <w:rPr>
          <w:rFonts w:cs="Times New Roman"/>
        </w:rPr>
        <w:t>29 comprehensive agreements signed between 1990 and 2010</w:t>
      </w:r>
      <w:r w:rsidR="004B7351">
        <w:rPr>
          <w:rFonts w:cs="Times New Roman"/>
        </w:rPr>
        <w:t xml:space="preserve">, </w:t>
      </w:r>
      <w:r>
        <w:rPr>
          <w:rFonts w:cs="Times New Roman"/>
        </w:rPr>
        <w:t xml:space="preserve">it </w:t>
      </w:r>
      <w:r w:rsidR="007C71A8">
        <w:t>compares peace settlements signed in territorial and non-territorial conflicts, and settlements with a</w:t>
      </w:r>
      <w:r w:rsidR="00EC1DDD">
        <w:t xml:space="preserve">nd without territorial autonomy. </w:t>
      </w:r>
      <w:r w:rsidR="00F874A3">
        <w:rPr>
          <w:rFonts w:cs="Times New Roman"/>
        </w:rPr>
        <w:t>Qualita</w:t>
      </w:r>
      <w:r w:rsidR="00806D83">
        <w:rPr>
          <w:rFonts w:cs="Times New Roman"/>
        </w:rPr>
        <w:t xml:space="preserve">tive Comparative Analysis </w:t>
      </w:r>
      <w:r w:rsidR="00F874A3">
        <w:rPr>
          <w:rFonts w:cs="Times New Roman"/>
        </w:rPr>
        <w:t>is used to examine the different com</w:t>
      </w:r>
      <w:r w:rsidR="00806D83">
        <w:rPr>
          <w:rFonts w:cs="Times New Roman"/>
        </w:rPr>
        <w:t>binations of conditions that le</w:t>
      </w:r>
      <w:r w:rsidR="00F874A3">
        <w:rPr>
          <w:rFonts w:cs="Times New Roman"/>
        </w:rPr>
        <w:t xml:space="preserve">d to the inclusion of </w:t>
      </w:r>
      <w:r w:rsidR="00806D83">
        <w:rPr>
          <w:rFonts w:cs="Times New Roman"/>
        </w:rPr>
        <w:t>human rights</w:t>
      </w:r>
      <w:r w:rsidR="00F874A3">
        <w:rPr>
          <w:rFonts w:cs="Times New Roman"/>
        </w:rPr>
        <w:t xml:space="preserve">. </w:t>
      </w:r>
      <w:r>
        <w:rPr>
          <w:rFonts w:cs="Times New Roman"/>
        </w:rPr>
        <w:t xml:space="preserve">The </w:t>
      </w:r>
      <w:r w:rsidR="00A40EC8" w:rsidRPr="00EC1DDD">
        <w:rPr>
          <w:rFonts w:cs="Times New Roman"/>
        </w:rPr>
        <w:t xml:space="preserve">analysis finds that </w:t>
      </w:r>
      <w:r w:rsidR="00A40EC8" w:rsidRPr="00EC1DDD">
        <w:t xml:space="preserve">agreements signed in territorial conflicts </w:t>
      </w:r>
      <w:r w:rsidR="00EC1DDD" w:rsidRPr="00EC1DDD">
        <w:t xml:space="preserve">are significantly less likely to include </w:t>
      </w:r>
      <w:r w:rsidR="00806D83">
        <w:t xml:space="preserve">effective </w:t>
      </w:r>
      <w:r w:rsidR="00EC1DDD" w:rsidRPr="00EC1DDD">
        <w:t xml:space="preserve">human rights provisions, </w:t>
      </w:r>
      <w:r w:rsidR="00A40EC8" w:rsidRPr="00EC1DDD">
        <w:t>especially</w:t>
      </w:r>
      <w:r w:rsidR="00EC1DDD" w:rsidRPr="00EC1DDD">
        <w:t xml:space="preserve"> if the settlement include</w:t>
      </w:r>
      <w:r w:rsidR="00B2114E">
        <w:t>s</w:t>
      </w:r>
      <w:r w:rsidR="00BC4CFA">
        <w:t xml:space="preserve"> territorial autonomy</w:t>
      </w:r>
      <w:r w:rsidR="00EC1DDD" w:rsidRPr="00EC1DDD">
        <w:t xml:space="preserve">. </w:t>
      </w:r>
      <w:r>
        <w:t xml:space="preserve"> Moreover, such provisions tend to be the result of </w:t>
      </w:r>
      <w:r w:rsidR="00806D83">
        <w:t xml:space="preserve">high levels of </w:t>
      </w:r>
      <w:r>
        <w:t xml:space="preserve">international involvement and the </w:t>
      </w:r>
      <w:r w:rsidR="00806D83">
        <w:t xml:space="preserve">consequent </w:t>
      </w:r>
      <w:r>
        <w:t xml:space="preserve">lack of local commitment, or outright resistance, undermines their implementation. These findings point to important trade-offs between group rights and individual rights, and qualifies the notion of a liberal peace. </w:t>
      </w:r>
    </w:p>
    <w:p w14:paraId="261EDA92" w14:textId="14EFB06A" w:rsidR="00A45729" w:rsidRDefault="00A45729" w:rsidP="00941C6E">
      <w:pPr>
        <w:spacing w:line="480" w:lineRule="auto"/>
      </w:pPr>
      <w:r w:rsidRPr="00A45729">
        <w:rPr>
          <w:b/>
        </w:rPr>
        <w:t>Keywords:</w:t>
      </w:r>
      <w:r>
        <w:t xml:space="preserve"> Peace agreements; human rights; territorial autonomy; territorial conflicts; liberal peace  </w:t>
      </w:r>
    </w:p>
    <w:p w14:paraId="4D9C70A6" w14:textId="4BDC8C4C" w:rsidR="00C4544A" w:rsidRPr="00C4544A" w:rsidRDefault="00C4544A" w:rsidP="00941C6E">
      <w:pPr>
        <w:spacing w:line="480" w:lineRule="auto"/>
      </w:pPr>
      <w:r>
        <w:rPr>
          <w:b/>
        </w:rPr>
        <w:lastRenderedPageBreak/>
        <w:t xml:space="preserve">Acknowledgments: </w:t>
      </w:r>
      <w:r>
        <w:t xml:space="preserve">Earlier drafts of this article were presented at the conference of the Humanitarian and Conflict Response Institute (HCRI) and at the </w:t>
      </w:r>
      <w:r w:rsidR="00F47F3D">
        <w:t xml:space="preserve">workshop </w:t>
      </w:r>
      <w:r>
        <w:t>‘</w:t>
      </w:r>
      <w:r w:rsidRPr="00C4544A">
        <w:t>Comparative Peacebuilding in Asia Workshop</w:t>
      </w:r>
      <w:r>
        <w:t>’</w:t>
      </w:r>
      <w:r w:rsidR="00F47F3D">
        <w:t xml:space="preserve"> </w:t>
      </w:r>
      <w:r>
        <w:t>at the LSE. I a</w:t>
      </w:r>
      <w:bookmarkStart w:id="0" w:name="_GoBack"/>
      <w:bookmarkEnd w:id="0"/>
      <w:r>
        <w:t>m grateful to Jacob Eriksson, Jean Grugel, Ignacio Jurado, and Roger Mac</w:t>
      </w:r>
      <w:r w:rsidR="00AB3147">
        <w:t xml:space="preserve"> </w:t>
      </w:r>
      <w:r>
        <w:t xml:space="preserve">Ginty for their </w:t>
      </w:r>
      <w:r w:rsidR="00AB3147">
        <w:t xml:space="preserve">extremely </w:t>
      </w:r>
      <w:r>
        <w:t>helpfu</w:t>
      </w:r>
      <w:r w:rsidR="00AB3147">
        <w:t>l</w:t>
      </w:r>
      <w:r>
        <w:t xml:space="preserve"> feedback and advice. Thanks also to </w:t>
      </w:r>
      <w:r w:rsidR="00AB3147">
        <w:t xml:space="preserve">the Editorial Team </w:t>
      </w:r>
      <w:r>
        <w:t xml:space="preserve">and the two anonymous reviewers for their very constructive comments. Research for this article was funded by a Mid-Career Fellowship from the British Academy. </w:t>
      </w:r>
    </w:p>
    <w:p w14:paraId="2390DCE4" w14:textId="7485D72B" w:rsidR="00A45729" w:rsidRPr="00A45729" w:rsidRDefault="00A45729" w:rsidP="00941C6E">
      <w:pPr>
        <w:spacing w:line="480" w:lineRule="auto"/>
      </w:pPr>
      <w:r>
        <w:rPr>
          <w:b/>
        </w:rPr>
        <w:t xml:space="preserve">Nina Caspersen </w:t>
      </w:r>
      <w:r>
        <w:t xml:space="preserve">is Professor of Politics at the University of York. Her research focuses on intra-state conflicts, peace processes, and peace agreements. Her most recent book is </w:t>
      </w:r>
      <w:r>
        <w:rPr>
          <w:i/>
        </w:rPr>
        <w:t xml:space="preserve">Peace Agreements: Finding Solutions to Intra-State Conflicts </w:t>
      </w:r>
      <w:r>
        <w:t xml:space="preserve">(Polity Press, 2017). </w:t>
      </w:r>
    </w:p>
    <w:p w14:paraId="08A7C53E" w14:textId="77777777" w:rsidR="00A45729" w:rsidRDefault="00A45729" w:rsidP="00941C6E">
      <w:pPr>
        <w:spacing w:line="480" w:lineRule="auto"/>
      </w:pPr>
    </w:p>
    <w:p w14:paraId="100B50FC" w14:textId="3FB4442D" w:rsidR="00941C6E" w:rsidRDefault="00941C6E">
      <w:r>
        <w:br w:type="page"/>
      </w:r>
    </w:p>
    <w:p w14:paraId="3479B682" w14:textId="622E0EEE" w:rsidR="0015047A" w:rsidRPr="00F23A66" w:rsidRDefault="00A36D2C" w:rsidP="00D82C4F">
      <w:pPr>
        <w:spacing w:line="480" w:lineRule="auto"/>
        <w:rPr>
          <w:rFonts w:cs="Times New Roman"/>
        </w:rPr>
      </w:pPr>
      <w:r>
        <w:lastRenderedPageBreak/>
        <w:t xml:space="preserve">Since the end of the Cold War, human rights have come to be seen as central to the promotion of sustainable peace. As the UN </w:t>
      </w:r>
      <w:r w:rsidR="008F7324" w:rsidRPr="00C1339C">
        <w:t xml:space="preserve">Secretary General </w:t>
      </w:r>
      <w:r>
        <w:t>put it in a 2004 report,</w:t>
      </w:r>
      <w:r w:rsidR="007B56C4">
        <w:t xml:space="preserve"> ‘</w:t>
      </w:r>
      <w:r w:rsidR="008F7324" w:rsidRPr="00C1339C">
        <w:t>Justice, peace and democracy are not mutually exclusive objectives, but rather mutually reinforcing strategies</w:t>
      </w:r>
      <w:r w:rsidR="007B56C4">
        <w:t>’</w:t>
      </w:r>
      <w:r w:rsidR="002257E0">
        <w:t>.</w:t>
      </w:r>
      <w:r w:rsidR="00F740A8">
        <w:rPr>
          <w:rStyle w:val="FootnoteReference"/>
        </w:rPr>
        <w:footnoteReference w:id="1"/>
      </w:r>
      <w:r w:rsidR="00754815">
        <w:t xml:space="preserve"> </w:t>
      </w:r>
      <w:r w:rsidR="00754815" w:rsidRPr="00C763A1">
        <w:t>Or as Weiner more mockingly suggested</w:t>
      </w:r>
      <w:r w:rsidR="00754815">
        <w:t>,</w:t>
      </w:r>
      <w:r w:rsidR="007B56C4">
        <w:t xml:space="preserve"> ‘</w:t>
      </w:r>
      <w:r w:rsidR="00754815" w:rsidRPr="00C763A1">
        <w:t>all good things go together</w:t>
      </w:r>
      <w:r w:rsidR="007B56C4">
        <w:t>’</w:t>
      </w:r>
      <w:r w:rsidR="002257E0">
        <w:t>.</w:t>
      </w:r>
      <w:r w:rsidR="002257E0">
        <w:rPr>
          <w:rStyle w:val="FootnoteReference"/>
        </w:rPr>
        <w:footnoteReference w:id="2"/>
      </w:r>
      <w:r w:rsidR="00754815" w:rsidRPr="00C763A1">
        <w:t xml:space="preserve"> </w:t>
      </w:r>
      <w:r w:rsidR="00754815">
        <w:t xml:space="preserve">Human rights </w:t>
      </w:r>
      <w:r w:rsidR="00EC3C38">
        <w:t xml:space="preserve">are </w:t>
      </w:r>
      <w:r w:rsidR="00754815">
        <w:t xml:space="preserve">highlighted in key peacebuilding documents, including an Agenda for Peace (1992), the Brahimi Report (2000) and </w:t>
      </w:r>
      <w:r w:rsidR="00EC3C38">
        <w:t xml:space="preserve">the </w:t>
      </w:r>
      <w:r w:rsidR="00754815">
        <w:t>Responsibility to Protect (2001)</w:t>
      </w:r>
      <w:r w:rsidR="002257E0">
        <w:t>,</w:t>
      </w:r>
      <w:r w:rsidR="002257E0">
        <w:rPr>
          <w:rStyle w:val="FootnoteReference"/>
        </w:rPr>
        <w:footnoteReference w:id="3"/>
      </w:r>
      <w:r w:rsidR="001526A4">
        <w:t xml:space="preserve"> and</w:t>
      </w:r>
      <w:r w:rsidR="00754815">
        <w:t xml:space="preserve"> </w:t>
      </w:r>
      <w:r w:rsidR="003D6849">
        <w:t>Bell argues that this normative shift is also reflected in peace settlements</w:t>
      </w:r>
      <w:r w:rsidR="001526A4">
        <w:t>.</w:t>
      </w:r>
      <w:r w:rsidR="002257E0">
        <w:rPr>
          <w:rStyle w:val="FootnoteReference"/>
        </w:rPr>
        <w:footnoteReference w:id="4"/>
      </w:r>
      <w:r w:rsidR="001526A4">
        <w:t xml:space="preserve"> She</w:t>
      </w:r>
      <w:r w:rsidR="00EC3C38">
        <w:t xml:space="preserve"> </w:t>
      </w:r>
      <w:r w:rsidR="00AD54F5">
        <w:t xml:space="preserve">suggests </w:t>
      </w:r>
      <w:r w:rsidR="00EC3C38">
        <w:t xml:space="preserve">that </w:t>
      </w:r>
      <w:r w:rsidR="00EC3C38">
        <w:rPr>
          <w:rFonts w:cs="Times New Roman"/>
        </w:rPr>
        <w:t xml:space="preserve">human rights have </w:t>
      </w:r>
      <w:r w:rsidR="00EC3C38">
        <w:t>become ‘</w:t>
      </w:r>
      <w:r w:rsidR="00EC3C38" w:rsidRPr="00C1339C">
        <w:t>the universally recognized chic language</w:t>
      </w:r>
      <w:r w:rsidR="00EC3C38">
        <w:t>’ in which peace settlements are written</w:t>
      </w:r>
      <w:r w:rsidR="00EC3C38">
        <w:rPr>
          <w:rStyle w:val="FootnoteReference"/>
        </w:rPr>
        <w:footnoteReference w:id="5"/>
      </w:r>
      <w:r w:rsidR="00EC3C38">
        <w:t xml:space="preserve"> and</w:t>
      </w:r>
      <w:r w:rsidR="009503AC">
        <w:t xml:space="preserve"> identifies </w:t>
      </w:r>
      <w:r w:rsidR="003D6849">
        <w:t xml:space="preserve">a rapidly evolving new </w:t>
      </w:r>
      <w:r w:rsidR="000D2980">
        <w:rPr>
          <w:rFonts w:cs="Times New Roman"/>
        </w:rPr>
        <w:t>Law of Peace</w:t>
      </w:r>
      <w:r w:rsidR="003D6849">
        <w:rPr>
          <w:rFonts w:cs="Times New Roman"/>
        </w:rPr>
        <w:t xml:space="preserve"> </w:t>
      </w:r>
      <w:r w:rsidR="009503AC">
        <w:rPr>
          <w:rFonts w:cs="Times New Roman"/>
        </w:rPr>
        <w:t xml:space="preserve">which </w:t>
      </w:r>
      <w:r w:rsidR="000D2980">
        <w:rPr>
          <w:rFonts w:cs="Times New Roman"/>
        </w:rPr>
        <w:t xml:space="preserve">includes </w:t>
      </w:r>
      <w:r w:rsidR="00E76F7E">
        <w:rPr>
          <w:rFonts w:cs="Times New Roman"/>
        </w:rPr>
        <w:t xml:space="preserve">robust individual human rights protection, </w:t>
      </w:r>
      <w:r w:rsidR="009503AC">
        <w:rPr>
          <w:rFonts w:cs="Times New Roman"/>
        </w:rPr>
        <w:t>minority rights protection</w:t>
      </w:r>
      <w:r w:rsidR="00AD54F5">
        <w:rPr>
          <w:rFonts w:cs="Times New Roman"/>
        </w:rPr>
        <w:t>,</w:t>
      </w:r>
      <w:r w:rsidR="009503AC">
        <w:rPr>
          <w:rFonts w:cs="Times New Roman"/>
        </w:rPr>
        <w:t xml:space="preserve"> and </w:t>
      </w:r>
      <w:r w:rsidR="007B56C4">
        <w:rPr>
          <w:rFonts w:cs="Times New Roman"/>
        </w:rPr>
        <w:t>transitional justice</w:t>
      </w:r>
      <w:r w:rsidR="00EC3C38">
        <w:rPr>
          <w:rFonts w:cs="Times New Roman"/>
        </w:rPr>
        <w:t>.</w:t>
      </w:r>
      <w:r w:rsidR="002257E0">
        <w:rPr>
          <w:rStyle w:val="FootnoteReference"/>
          <w:rFonts w:cs="Times New Roman"/>
        </w:rPr>
        <w:footnoteReference w:id="6"/>
      </w:r>
      <w:r w:rsidR="002257E0">
        <w:rPr>
          <w:rFonts w:cs="Times New Roman"/>
        </w:rPr>
        <w:t xml:space="preserve"> </w:t>
      </w:r>
      <w:r w:rsidR="00E45177">
        <w:rPr>
          <w:rFonts w:cs="Times New Roman"/>
        </w:rPr>
        <w:t>However, o</w:t>
      </w:r>
      <w:r w:rsidR="00DC7BB3">
        <w:rPr>
          <w:rFonts w:cs="Times New Roman"/>
        </w:rPr>
        <w:t>ther authors have questioned th</w:t>
      </w:r>
      <w:r w:rsidR="00557ABD">
        <w:rPr>
          <w:rFonts w:cs="Times New Roman"/>
        </w:rPr>
        <w:t>e</w:t>
      </w:r>
      <w:r w:rsidR="00DC7BB3">
        <w:rPr>
          <w:rFonts w:cs="Times New Roman"/>
        </w:rPr>
        <w:t xml:space="preserve"> centrality of human rights in post-Cold War peace</w:t>
      </w:r>
      <w:r w:rsidR="005B22A4">
        <w:rPr>
          <w:rFonts w:cs="Times New Roman"/>
        </w:rPr>
        <w:t xml:space="preserve"> settlements</w:t>
      </w:r>
      <w:r w:rsidR="00E45177">
        <w:rPr>
          <w:rFonts w:cs="Times New Roman"/>
        </w:rPr>
        <w:t>, pointing to the interest of wartime leaders</w:t>
      </w:r>
      <w:r w:rsidR="005B22A4">
        <w:rPr>
          <w:rFonts w:cs="Times New Roman"/>
        </w:rPr>
        <w:t xml:space="preserve"> </w:t>
      </w:r>
      <w:r w:rsidR="00E45177">
        <w:rPr>
          <w:rFonts w:cs="Times New Roman"/>
        </w:rPr>
        <w:t>and external powers</w:t>
      </w:r>
      <w:r w:rsidR="002257E0">
        <w:rPr>
          <w:rFonts w:cs="Times New Roman"/>
        </w:rPr>
        <w:t>.</w:t>
      </w:r>
      <w:r w:rsidR="002257E0">
        <w:rPr>
          <w:rStyle w:val="FootnoteReference"/>
          <w:rFonts w:cs="Times New Roman"/>
        </w:rPr>
        <w:footnoteReference w:id="7"/>
      </w:r>
      <w:r w:rsidR="00E45177">
        <w:rPr>
          <w:rFonts w:cs="Times New Roman"/>
        </w:rPr>
        <w:t xml:space="preserve"> </w:t>
      </w:r>
      <w:r w:rsidR="00BD101C">
        <w:rPr>
          <w:rFonts w:cs="Times New Roman"/>
        </w:rPr>
        <w:t>Joshi, Le</w:t>
      </w:r>
      <w:r w:rsidR="00F740A8">
        <w:rPr>
          <w:rFonts w:cs="Times New Roman"/>
        </w:rPr>
        <w:t>e</w:t>
      </w:r>
      <w:r w:rsidR="00BD101C">
        <w:rPr>
          <w:rFonts w:cs="Times New Roman"/>
        </w:rPr>
        <w:t xml:space="preserve"> and </w:t>
      </w:r>
      <w:r w:rsidR="0095487F">
        <w:rPr>
          <w:rFonts w:cs="Times New Roman"/>
        </w:rPr>
        <w:t>Mac</w:t>
      </w:r>
      <w:r w:rsidR="000D2980">
        <w:rPr>
          <w:rFonts w:cs="Times New Roman"/>
        </w:rPr>
        <w:t xml:space="preserve"> </w:t>
      </w:r>
      <w:r w:rsidR="001D2C83">
        <w:rPr>
          <w:rFonts w:cs="Times New Roman"/>
        </w:rPr>
        <w:t>Ginty</w:t>
      </w:r>
      <w:r w:rsidR="002257E0">
        <w:rPr>
          <w:rFonts w:cs="Times New Roman"/>
        </w:rPr>
        <w:t xml:space="preserve"> </w:t>
      </w:r>
      <w:r w:rsidR="001D2C83">
        <w:rPr>
          <w:rFonts w:cs="Times New Roman"/>
        </w:rPr>
        <w:t>endeavour</w:t>
      </w:r>
      <w:r w:rsidR="00557ABD">
        <w:rPr>
          <w:rFonts w:cs="Times New Roman"/>
        </w:rPr>
        <w:t>ed</w:t>
      </w:r>
      <w:r w:rsidR="001D2C83">
        <w:rPr>
          <w:rFonts w:cs="Times New Roman"/>
        </w:rPr>
        <w:t xml:space="preserve"> </w:t>
      </w:r>
      <w:r w:rsidR="009503AC">
        <w:rPr>
          <w:rFonts w:cs="Times New Roman"/>
        </w:rPr>
        <w:t xml:space="preserve">to settle this debate and </w:t>
      </w:r>
      <w:r w:rsidR="00557ABD">
        <w:rPr>
          <w:rFonts w:cs="Times New Roman"/>
        </w:rPr>
        <w:t xml:space="preserve">found </w:t>
      </w:r>
      <w:r w:rsidR="00BD101C">
        <w:rPr>
          <w:rFonts w:cs="Times New Roman"/>
        </w:rPr>
        <w:t xml:space="preserve">that </w:t>
      </w:r>
      <w:r w:rsidR="00E45177">
        <w:t>more than 90</w:t>
      </w:r>
      <w:r w:rsidR="00557ABD">
        <w:t xml:space="preserve"> </w:t>
      </w:r>
      <w:r w:rsidR="00E45177">
        <w:t>% of peace agreements include provisions related to at least one of the following: human rights, refugees/IDPs, or minority/indigenou</w:t>
      </w:r>
      <w:r w:rsidR="007B56C4">
        <w:t>s rights.</w:t>
      </w:r>
      <w:r w:rsidR="002257E0">
        <w:rPr>
          <w:rStyle w:val="FootnoteReference"/>
        </w:rPr>
        <w:footnoteReference w:id="8"/>
      </w:r>
      <w:r w:rsidR="007B56C4">
        <w:t xml:space="preserve"> They argue that this ‘</w:t>
      </w:r>
      <w:r w:rsidR="00E45177">
        <w:t xml:space="preserve">suggests a </w:t>
      </w:r>
      <w:r w:rsidR="002D263E">
        <w:t>v</w:t>
      </w:r>
      <w:r w:rsidR="00E45177">
        <w:t>ery strong commitment to the human rig</w:t>
      </w:r>
      <w:r w:rsidR="007B56C4">
        <w:t xml:space="preserve">hts aspect of </w:t>
      </w:r>
      <w:r w:rsidR="007B56C4">
        <w:lastRenderedPageBreak/>
        <w:t>the liberal peace’</w:t>
      </w:r>
      <w:r w:rsidR="009503AC">
        <w:t xml:space="preserve">, but they also </w:t>
      </w:r>
      <w:r w:rsidR="00E45177">
        <w:t>note that a significant minority (38</w:t>
      </w:r>
      <w:r w:rsidR="00557ABD">
        <w:t xml:space="preserve"> </w:t>
      </w:r>
      <w:r w:rsidR="00E45177">
        <w:t>%) do not make provision for improved human rights p</w:t>
      </w:r>
      <w:r w:rsidR="002257E0">
        <w:t>ractice.</w:t>
      </w:r>
      <w:r w:rsidR="002257E0">
        <w:rPr>
          <w:rStyle w:val="FootnoteReference"/>
        </w:rPr>
        <w:footnoteReference w:id="9"/>
      </w:r>
    </w:p>
    <w:p w14:paraId="3C5B7BD5" w14:textId="77777777" w:rsidR="00AD54F5" w:rsidRDefault="00AD54F5" w:rsidP="0018383F">
      <w:pPr>
        <w:spacing w:line="480" w:lineRule="auto"/>
        <w:rPr>
          <w:rFonts w:cs="Times New Roman"/>
        </w:rPr>
      </w:pPr>
    </w:p>
    <w:p w14:paraId="1CAA75B8" w14:textId="68F1B26D" w:rsidR="00A30284" w:rsidRDefault="009503AC" w:rsidP="0018383F">
      <w:pPr>
        <w:spacing w:line="480" w:lineRule="auto"/>
        <w:rPr>
          <w:noProof/>
        </w:rPr>
      </w:pPr>
      <w:r>
        <w:rPr>
          <w:rFonts w:cs="Times New Roman"/>
        </w:rPr>
        <w:t>Existing research on human rights in peace settlements has treated both conflicts and settlements as aggregate catego</w:t>
      </w:r>
      <w:r w:rsidR="00FA5118">
        <w:rPr>
          <w:rFonts w:cs="Times New Roman"/>
        </w:rPr>
        <w:t xml:space="preserve">ries. </w:t>
      </w:r>
      <w:r w:rsidR="00557ABD">
        <w:rPr>
          <w:rFonts w:cs="Times New Roman"/>
        </w:rPr>
        <w:t>However,</w:t>
      </w:r>
      <w:r w:rsidR="00FA5118">
        <w:rPr>
          <w:rFonts w:cs="Times New Roman"/>
        </w:rPr>
        <w:t xml:space="preserve"> this article </w:t>
      </w:r>
      <w:r>
        <w:rPr>
          <w:rFonts w:cs="Times New Roman"/>
        </w:rPr>
        <w:t>argue</w:t>
      </w:r>
      <w:r w:rsidR="00FA5118">
        <w:rPr>
          <w:rFonts w:cs="Times New Roman"/>
        </w:rPr>
        <w:t>s</w:t>
      </w:r>
      <w:r>
        <w:rPr>
          <w:rFonts w:cs="Times New Roman"/>
        </w:rPr>
        <w:t xml:space="preserve"> that the </w:t>
      </w:r>
      <w:r w:rsidR="000118FD">
        <w:rPr>
          <w:rFonts w:cs="Times New Roman"/>
        </w:rPr>
        <w:t>type of conflict that the settlement is trying to resolve</w:t>
      </w:r>
      <w:r w:rsidR="001D2C83">
        <w:rPr>
          <w:rFonts w:cs="Times New Roman"/>
        </w:rPr>
        <w:t xml:space="preserve"> </w:t>
      </w:r>
      <w:r w:rsidR="00FA5118">
        <w:rPr>
          <w:rFonts w:cs="Times New Roman"/>
        </w:rPr>
        <w:t xml:space="preserve">impact </w:t>
      </w:r>
      <w:r>
        <w:rPr>
          <w:rFonts w:cs="Times New Roman"/>
        </w:rPr>
        <w:t xml:space="preserve">significantly on the inclusion, or exclusion, of human rights provisions. </w:t>
      </w:r>
      <w:r w:rsidR="00FA5118">
        <w:rPr>
          <w:rFonts w:cs="Times New Roman"/>
        </w:rPr>
        <w:t>Territorial conflicts, as opposed to conflicts over the nature of the government, are about the status of a particular territory</w:t>
      </w:r>
      <w:r w:rsidR="00557ABD">
        <w:rPr>
          <w:rFonts w:cs="Times New Roman"/>
        </w:rPr>
        <w:t xml:space="preserve"> and </w:t>
      </w:r>
      <w:r w:rsidR="00FA5118">
        <w:rPr>
          <w:rFonts w:cs="Times New Roman"/>
        </w:rPr>
        <w:t xml:space="preserve">the dominant group within it. Individual human rights are not central to the claims made.  </w:t>
      </w:r>
      <w:r w:rsidR="00F23A66">
        <w:rPr>
          <w:rFonts w:cs="Times New Roman"/>
        </w:rPr>
        <w:t>Moreover, t</w:t>
      </w:r>
      <w:r w:rsidR="0018383F">
        <w:rPr>
          <w:rFonts w:cs="Times New Roman"/>
        </w:rPr>
        <w:t>he dominant solution to territorial conflicts is territorial autonomy</w:t>
      </w:r>
      <w:r w:rsidR="0082383C">
        <w:rPr>
          <w:rFonts w:cs="Times New Roman"/>
        </w:rPr>
        <w:t>,</w:t>
      </w:r>
      <w:r w:rsidR="00DE76C4">
        <w:rPr>
          <w:rStyle w:val="FootnoteReference"/>
          <w:rFonts w:cs="Times New Roman"/>
        </w:rPr>
        <w:footnoteReference w:id="10"/>
      </w:r>
      <w:r w:rsidR="00DE76C4">
        <w:rPr>
          <w:rFonts w:cs="Times New Roman"/>
        </w:rPr>
        <w:t xml:space="preserve"> </w:t>
      </w:r>
      <w:r>
        <w:t xml:space="preserve">which has been </w:t>
      </w:r>
      <w:r w:rsidR="001E4046">
        <w:t>criticiz</w:t>
      </w:r>
      <w:r w:rsidR="0018383F">
        <w:t>ed for denying the rights of minorities within the autonomous region</w:t>
      </w:r>
      <w:r w:rsidR="00DE76C4">
        <w:rPr>
          <w:rStyle w:val="FootnoteReference"/>
        </w:rPr>
        <w:footnoteReference w:id="11"/>
      </w:r>
      <w:r w:rsidR="0018383F">
        <w:t xml:space="preserve"> </w:t>
      </w:r>
      <w:r>
        <w:rPr>
          <w:noProof/>
        </w:rPr>
        <w:t xml:space="preserve">and </w:t>
      </w:r>
      <w:r>
        <w:t>may leave little</w:t>
      </w:r>
      <w:r w:rsidR="00A30284">
        <w:t xml:space="preserve"> space for </w:t>
      </w:r>
      <w:r w:rsidR="00AD54F5">
        <w:t xml:space="preserve">(individual) </w:t>
      </w:r>
      <w:r w:rsidR="00A30284">
        <w:t>human rights protections</w:t>
      </w:r>
      <w:r w:rsidR="0018383F">
        <w:rPr>
          <w:noProof/>
        </w:rPr>
        <w:t xml:space="preserve">. </w:t>
      </w:r>
    </w:p>
    <w:p w14:paraId="5272D76E" w14:textId="77777777" w:rsidR="00AD54F5" w:rsidRDefault="00AD54F5" w:rsidP="00E83B73">
      <w:pPr>
        <w:spacing w:line="480" w:lineRule="auto"/>
        <w:rPr>
          <w:noProof/>
        </w:rPr>
      </w:pPr>
    </w:p>
    <w:p w14:paraId="1ABF6AA9" w14:textId="3FBB7A12" w:rsidR="00F23A66" w:rsidRPr="0082383C" w:rsidRDefault="0018383F" w:rsidP="00E83B73">
      <w:pPr>
        <w:spacing w:line="480" w:lineRule="auto"/>
        <w:rPr>
          <w:rFonts w:cs="Times New Roman"/>
        </w:rPr>
      </w:pPr>
      <w:r>
        <w:rPr>
          <w:noProof/>
        </w:rPr>
        <w:t xml:space="preserve">The two main research questions </w:t>
      </w:r>
      <w:r w:rsidR="00557ABD">
        <w:rPr>
          <w:noProof/>
        </w:rPr>
        <w:t xml:space="preserve">explored in this article </w:t>
      </w:r>
      <w:r>
        <w:rPr>
          <w:noProof/>
        </w:rPr>
        <w:t>are therefore: 1) how are human rights provisions in peace agreements affected by the type of conflict; is there a significant difference between territoria</w:t>
      </w:r>
      <w:r w:rsidR="001526A4">
        <w:rPr>
          <w:noProof/>
        </w:rPr>
        <w:t>l and non-territorial conflicts?</w:t>
      </w:r>
      <w:r>
        <w:rPr>
          <w:noProof/>
        </w:rPr>
        <w:t xml:space="preserve"> 2) how are human rights provisions in peace settlements affected by the ‘core deal’, in particular the inclusion of territorial autonomy?</w:t>
      </w:r>
      <w:r w:rsidR="0053760D">
        <w:rPr>
          <w:noProof/>
        </w:rPr>
        <w:t xml:space="preserve"> As a secondary research question, the article also examines how these provisions fare during the implementation phase. This matters for two reasons: Firstly, we need to consider if the inclusion of human rights provisions in a settlement </w:t>
      </w:r>
      <w:r w:rsidR="001526A4">
        <w:rPr>
          <w:noProof/>
        </w:rPr>
        <w:t xml:space="preserve">is </w:t>
      </w:r>
      <w:r w:rsidR="0053760D">
        <w:rPr>
          <w:noProof/>
        </w:rPr>
        <w:t xml:space="preserve">actually </w:t>
      </w:r>
      <w:r w:rsidR="001526A4">
        <w:rPr>
          <w:noProof/>
        </w:rPr>
        <w:t>of importance</w:t>
      </w:r>
      <w:r w:rsidR="0053760D">
        <w:rPr>
          <w:noProof/>
        </w:rPr>
        <w:t>. Secondly, the type of confl</w:t>
      </w:r>
      <w:r w:rsidR="00AD54F5">
        <w:rPr>
          <w:noProof/>
        </w:rPr>
        <w:t xml:space="preserve">ict/agreement could also </w:t>
      </w:r>
      <w:r w:rsidR="0053760D">
        <w:rPr>
          <w:noProof/>
        </w:rPr>
        <w:t xml:space="preserve">affect the ease with which human rights </w:t>
      </w:r>
      <w:r w:rsidR="0053760D">
        <w:rPr>
          <w:noProof/>
        </w:rPr>
        <w:lastRenderedPageBreak/>
        <w:t xml:space="preserve">provisions are implemented. </w:t>
      </w:r>
      <w:r w:rsidR="00FA5118">
        <w:rPr>
          <w:noProof/>
        </w:rPr>
        <w:t xml:space="preserve"> </w:t>
      </w:r>
      <w:r w:rsidR="0082383C">
        <w:rPr>
          <w:noProof/>
        </w:rPr>
        <w:t xml:space="preserve">These research questions will be explored through a </w:t>
      </w:r>
      <w:r w:rsidR="00F23A66">
        <w:rPr>
          <w:noProof/>
        </w:rPr>
        <w:t xml:space="preserve">comprehensive analysis of human rights provisions in </w:t>
      </w:r>
      <w:r w:rsidR="0053760D">
        <w:rPr>
          <w:noProof/>
        </w:rPr>
        <w:t>post-Cold War peace agreements</w:t>
      </w:r>
      <w:r w:rsidR="00030501">
        <w:rPr>
          <w:noProof/>
        </w:rPr>
        <w:t xml:space="preserve">. The analysis is based on </w:t>
      </w:r>
      <w:r w:rsidR="00030501">
        <w:rPr>
          <w:rFonts w:cs="Times New Roman"/>
        </w:rPr>
        <w:t xml:space="preserve">new and detailed coding of </w:t>
      </w:r>
      <w:r w:rsidR="000409CE">
        <w:rPr>
          <w:rFonts w:cs="Times New Roman"/>
        </w:rPr>
        <w:t xml:space="preserve">the </w:t>
      </w:r>
      <w:r w:rsidR="00030501">
        <w:rPr>
          <w:rFonts w:cs="Times New Roman"/>
        </w:rPr>
        <w:t xml:space="preserve">29 comprehensive agreements </w:t>
      </w:r>
      <w:r w:rsidR="000409CE">
        <w:rPr>
          <w:rFonts w:cs="Times New Roman"/>
        </w:rPr>
        <w:t xml:space="preserve">that were </w:t>
      </w:r>
      <w:r w:rsidR="00030501">
        <w:rPr>
          <w:rFonts w:cs="Times New Roman"/>
        </w:rPr>
        <w:t xml:space="preserve">signed between 1990 and 2010. </w:t>
      </w:r>
      <w:r w:rsidR="00E5020A">
        <w:rPr>
          <w:rFonts w:cs="Times New Roman"/>
        </w:rPr>
        <w:t xml:space="preserve">These agreements were identified using the </w:t>
      </w:r>
      <w:r w:rsidR="00557ABD">
        <w:rPr>
          <w:rFonts w:cs="Times New Roman"/>
        </w:rPr>
        <w:t>Peace Accords Matrix (PAM)</w:t>
      </w:r>
      <w:r w:rsidR="006202A3">
        <w:rPr>
          <w:rStyle w:val="FootnoteReference"/>
          <w:rFonts w:cs="Times New Roman"/>
        </w:rPr>
        <w:footnoteReference w:id="12"/>
      </w:r>
      <w:r w:rsidR="00CA7D66">
        <w:rPr>
          <w:rFonts w:cs="Times New Roman"/>
        </w:rPr>
        <w:t xml:space="preserve"> </w:t>
      </w:r>
      <w:r w:rsidR="00557ABD">
        <w:rPr>
          <w:rFonts w:cs="Times New Roman"/>
        </w:rPr>
        <w:t xml:space="preserve">that </w:t>
      </w:r>
      <w:r w:rsidR="000409CE">
        <w:rPr>
          <w:rFonts w:cs="Times New Roman"/>
        </w:rPr>
        <w:t xml:space="preserve">includes all comprehensive peace agreements, </w:t>
      </w:r>
      <w:r w:rsidR="00CA7D66">
        <w:rPr>
          <w:rFonts w:cs="Times New Roman"/>
        </w:rPr>
        <w:t>with a few adjustments that are explained below</w:t>
      </w:r>
      <w:r w:rsidR="000409CE">
        <w:rPr>
          <w:rFonts w:cs="Times New Roman"/>
        </w:rPr>
        <w:t xml:space="preserve">. </w:t>
      </w:r>
      <w:r w:rsidR="00ED313B">
        <w:rPr>
          <w:rFonts w:cs="Times New Roman"/>
        </w:rPr>
        <w:t xml:space="preserve">The basis of the analysis is therefore similar to </w:t>
      </w:r>
      <w:r w:rsidR="00030501">
        <w:rPr>
          <w:rFonts w:cs="Times New Roman"/>
        </w:rPr>
        <w:t>Joshi</w:t>
      </w:r>
      <w:r w:rsidR="00FA5118">
        <w:rPr>
          <w:rFonts w:cs="Times New Roman"/>
        </w:rPr>
        <w:t>, Le</w:t>
      </w:r>
      <w:r w:rsidR="00F740A8">
        <w:rPr>
          <w:rFonts w:cs="Times New Roman"/>
        </w:rPr>
        <w:t>e</w:t>
      </w:r>
      <w:r w:rsidR="00FA5118">
        <w:rPr>
          <w:rFonts w:cs="Times New Roman"/>
        </w:rPr>
        <w:t xml:space="preserve"> </w:t>
      </w:r>
      <w:r w:rsidR="00EC3C38">
        <w:rPr>
          <w:rFonts w:cs="Times New Roman"/>
        </w:rPr>
        <w:t xml:space="preserve">and </w:t>
      </w:r>
      <w:r w:rsidR="00FA5118">
        <w:rPr>
          <w:rFonts w:cs="Times New Roman"/>
        </w:rPr>
        <w:t>Mac</w:t>
      </w:r>
      <w:r w:rsidR="006B1D7B">
        <w:rPr>
          <w:rFonts w:cs="Times New Roman"/>
        </w:rPr>
        <w:t xml:space="preserve"> </w:t>
      </w:r>
      <w:r w:rsidR="00FA5118">
        <w:rPr>
          <w:rFonts w:cs="Times New Roman"/>
        </w:rPr>
        <w:t>Ginty</w:t>
      </w:r>
      <w:r w:rsidR="0082383C">
        <w:rPr>
          <w:rFonts w:cs="Times New Roman"/>
        </w:rPr>
        <w:t xml:space="preserve">’s </w:t>
      </w:r>
      <w:r w:rsidR="001D2C83">
        <w:rPr>
          <w:rFonts w:cs="Times New Roman"/>
        </w:rPr>
        <w:t xml:space="preserve">article, which </w:t>
      </w:r>
      <w:r w:rsidR="00ED313B">
        <w:rPr>
          <w:rFonts w:cs="Times New Roman"/>
        </w:rPr>
        <w:t>draws on PAM data</w:t>
      </w:r>
      <w:r w:rsidR="0082383C">
        <w:rPr>
          <w:rFonts w:cs="Times New Roman"/>
        </w:rPr>
        <w:t>.</w:t>
      </w:r>
      <w:r w:rsidR="00FA5118">
        <w:rPr>
          <w:rStyle w:val="FootnoteReference"/>
          <w:rFonts w:cs="Times New Roman"/>
        </w:rPr>
        <w:footnoteReference w:id="13"/>
      </w:r>
      <w:r w:rsidR="00030501">
        <w:rPr>
          <w:rFonts w:cs="Times New Roman"/>
        </w:rPr>
        <w:t xml:space="preserve"> </w:t>
      </w:r>
      <w:r w:rsidR="0082383C">
        <w:rPr>
          <w:rFonts w:cs="Times New Roman"/>
        </w:rPr>
        <w:t xml:space="preserve">However, unlike the PAM dataset my analysis </w:t>
      </w:r>
      <w:r w:rsidR="00030501">
        <w:rPr>
          <w:rFonts w:cs="Times New Roman"/>
        </w:rPr>
        <w:t>distinguish</w:t>
      </w:r>
      <w:r w:rsidR="0082383C">
        <w:rPr>
          <w:rFonts w:cs="Times New Roman"/>
        </w:rPr>
        <w:t>es</w:t>
      </w:r>
      <w:r w:rsidR="00030501">
        <w:rPr>
          <w:rFonts w:cs="Times New Roman"/>
        </w:rPr>
        <w:t xml:space="preserve"> between overarching rights, rights for ‘others’, human righ</w:t>
      </w:r>
      <w:r w:rsidR="00E5020A">
        <w:rPr>
          <w:rFonts w:cs="Times New Roman"/>
        </w:rPr>
        <w:t>ts institutions and enforcement</w:t>
      </w:r>
      <w:r w:rsidR="0082383C">
        <w:rPr>
          <w:rFonts w:cs="Times New Roman"/>
        </w:rPr>
        <w:t xml:space="preserve">. </w:t>
      </w:r>
      <w:r w:rsidR="00030501">
        <w:rPr>
          <w:rFonts w:cs="Times New Roman"/>
        </w:rPr>
        <w:t xml:space="preserve">The article thereby provides a much more comprehensive and nuanced analysis of human rights provisions. </w:t>
      </w:r>
      <w:r w:rsidR="00B72C88">
        <w:rPr>
          <w:rFonts w:cs="Times New Roman"/>
        </w:rPr>
        <w:t>This medium-N analysis is supplemented with case stud</w:t>
      </w:r>
      <w:r w:rsidR="00FA5118">
        <w:rPr>
          <w:rFonts w:cs="Times New Roman"/>
        </w:rPr>
        <w:t>y evidence</w:t>
      </w:r>
      <w:r w:rsidR="00E5020A">
        <w:rPr>
          <w:rFonts w:cs="Times New Roman"/>
        </w:rPr>
        <w:t xml:space="preserve"> and Qualitative Comparative Analysis (QCA) is used to examine the </w:t>
      </w:r>
      <w:r w:rsidR="001D2C83">
        <w:rPr>
          <w:rFonts w:cs="Times New Roman"/>
        </w:rPr>
        <w:t>conditions that lead to the inclusion, or exclusion, of human rights in territorial peace agreements</w:t>
      </w:r>
      <w:r w:rsidR="00B72C88">
        <w:rPr>
          <w:rFonts w:cs="Times New Roman"/>
        </w:rPr>
        <w:t xml:space="preserve">. </w:t>
      </w:r>
      <w:r w:rsidR="00B82A66">
        <w:rPr>
          <w:rFonts w:cs="Times New Roman"/>
        </w:rPr>
        <w:t xml:space="preserve"> </w:t>
      </w:r>
    </w:p>
    <w:p w14:paraId="3C6B84C0" w14:textId="77777777" w:rsidR="00AD54F5" w:rsidRDefault="00AD54F5" w:rsidP="00F23A66">
      <w:pPr>
        <w:spacing w:line="480" w:lineRule="auto"/>
        <w:rPr>
          <w:rFonts w:cs="Times New Roman"/>
        </w:rPr>
      </w:pPr>
    </w:p>
    <w:p w14:paraId="03D08BCD" w14:textId="1646E9FF" w:rsidR="00F23A66" w:rsidRDefault="00F23A66" w:rsidP="00F23A66">
      <w:pPr>
        <w:spacing w:line="480" w:lineRule="auto"/>
        <w:rPr>
          <w:noProof/>
        </w:rPr>
      </w:pPr>
      <w:r>
        <w:rPr>
          <w:rFonts w:cs="Times New Roman"/>
        </w:rPr>
        <w:t>Below, I first use existing literature on conflict types, territorial autonomy</w:t>
      </w:r>
      <w:r w:rsidR="00E60164">
        <w:rPr>
          <w:rFonts w:cs="Times New Roman"/>
        </w:rPr>
        <w:t>,</w:t>
      </w:r>
      <w:r>
        <w:rPr>
          <w:rFonts w:cs="Times New Roman"/>
        </w:rPr>
        <w:t xml:space="preserve"> and human rights to develop </w:t>
      </w:r>
      <w:r w:rsidR="00A731A4">
        <w:rPr>
          <w:rFonts w:cs="Times New Roman"/>
        </w:rPr>
        <w:t>three</w:t>
      </w:r>
      <w:r>
        <w:rPr>
          <w:rFonts w:cs="Times New Roman"/>
        </w:rPr>
        <w:t xml:space="preserve"> hypotheses: t</w:t>
      </w:r>
      <w:r w:rsidR="00A731A4">
        <w:rPr>
          <w:rFonts w:cs="Times New Roman"/>
        </w:rPr>
        <w:t>wo</w:t>
      </w:r>
      <w:r>
        <w:rPr>
          <w:rFonts w:cs="Times New Roman"/>
        </w:rPr>
        <w:t xml:space="preserve"> related to the inclusion </w:t>
      </w:r>
      <w:r w:rsidR="001526A4">
        <w:rPr>
          <w:rFonts w:cs="Times New Roman"/>
        </w:rPr>
        <w:t xml:space="preserve">of </w:t>
      </w:r>
      <w:r>
        <w:rPr>
          <w:rFonts w:cs="Times New Roman"/>
        </w:rPr>
        <w:t>human rights provisions in peace agreements and one to their implementation</w:t>
      </w:r>
      <w:r w:rsidR="00FA5118">
        <w:rPr>
          <w:rFonts w:cs="Times New Roman"/>
        </w:rPr>
        <w:t xml:space="preserve">. These hypotheses are </w:t>
      </w:r>
      <w:r>
        <w:rPr>
          <w:rFonts w:cs="Times New Roman"/>
        </w:rPr>
        <w:t>then tested in a comparative analysis of agreements signed in territorial and non-territorial conflicts, and agreements that include and do not include territorial autonomy. Th</w:t>
      </w:r>
      <w:r w:rsidR="001526A4">
        <w:rPr>
          <w:rFonts w:cs="Times New Roman"/>
        </w:rPr>
        <w:t>e findings confirm the hypothese</w:t>
      </w:r>
      <w:r>
        <w:rPr>
          <w:rFonts w:cs="Times New Roman"/>
        </w:rPr>
        <w:t>s that territorial peace agreements are much less likely to i</w:t>
      </w:r>
      <w:r w:rsidR="006D2032">
        <w:rPr>
          <w:rFonts w:cs="Times New Roman"/>
        </w:rPr>
        <w:t>nclude human rights provisions</w:t>
      </w:r>
      <w:r w:rsidR="00A731A4">
        <w:rPr>
          <w:rFonts w:cs="Times New Roman"/>
        </w:rPr>
        <w:t xml:space="preserve">. The different pathways (combinations of conditions) leading to the inclusion or exclusion of such provisions in territorial agreements are then examined. The QCA points to the degrees of autonomy, rebel strength and international involvement as key factors. These </w:t>
      </w:r>
      <w:r w:rsidR="00A731A4">
        <w:rPr>
          <w:rFonts w:cs="Times New Roman"/>
        </w:rPr>
        <w:lastRenderedPageBreak/>
        <w:t xml:space="preserve">conditions also impact on the challenges associated with implementing human rights provisions and the final part of the article finds that implementation is more difficult in territorial conflicts, either because of a lack of commitment and detailed provisions, or since human rights could </w:t>
      </w:r>
      <w:r w:rsidR="006D2032">
        <w:rPr>
          <w:rFonts w:cs="Times New Roman"/>
        </w:rPr>
        <w:t xml:space="preserve">undermine the ‘core deal’. </w:t>
      </w:r>
      <w:r>
        <w:rPr>
          <w:noProof/>
        </w:rPr>
        <w:t>These findings have important implications</w:t>
      </w:r>
      <w:r w:rsidR="003F24CF">
        <w:rPr>
          <w:noProof/>
        </w:rPr>
        <w:t>, not just for academic debates but also for policymaking</w:t>
      </w:r>
      <w:r>
        <w:rPr>
          <w:noProof/>
        </w:rPr>
        <w:t>. It helps explain when human r</w:t>
      </w:r>
      <w:r w:rsidR="001E4046">
        <w:rPr>
          <w:noProof/>
        </w:rPr>
        <w:t>ights are likely to be prioritiz</w:t>
      </w:r>
      <w:r>
        <w:rPr>
          <w:noProof/>
        </w:rPr>
        <w:t xml:space="preserve">ed by the conflict parties and when we </w:t>
      </w:r>
      <w:r w:rsidR="001526A4">
        <w:rPr>
          <w:noProof/>
        </w:rPr>
        <w:t xml:space="preserve">should expect greater resistance. </w:t>
      </w:r>
      <w:r>
        <w:rPr>
          <w:noProof/>
        </w:rPr>
        <w:t xml:space="preserve">It also alerts us to important trade-offs between </w:t>
      </w:r>
      <w:r w:rsidR="00EC3C38">
        <w:rPr>
          <w:noProof/>
        </w:rPr>
        <w:t>different types of human rights:</w:t>
      </w:r>
      <w:r>
        <w:rPr>
          <w:noProof/>
        </w:rPr>
        <w:t xml:space="preserve"> </w:t>
      </w:r>
      <w:r w:rsidRPr="00EE0467">
        <w:rPr>
          <w:noProof/>
        </w:rPr>
        <w:t xml:space="preserve">not all good things </w:t>
      </w:r>
      <w:r w:rsidR="001526A4">
        <w:rPr>
          <w:noProof/>
        </w:rPr>
        <w:t xml:space="preserve">go </w:t>
      </w:r>
      <w:r w:rsidRPr="00EE0467">
        <w:rPr>
          <w:noProof/>
        </w:rPr>
        <w:t>tog</w:t>
      </w:r>
      <w:r w:rsidR="001526A4">
        <w:rPr>
          <w:noProof/>
        </w:rPr>
        <w:t>ether</w:t>
      </w:r>
      <w:r w:rsidRPr="00EE0467">
        <w:rPr>
          <w:noProof/>
        </w:rPr>
        <w:t>.</w:t>
      </w:r>
      <w:r>
        <w:rPr>
          <w:noProof/>
        </w:rPr>
        <w:t xml:space="preserve"> </w:t>
      </w:r>
    </w:p>
    <w:p w14:paraId="728FE6F9" w14:textId="77777777" w:rsidR="003F05E1" w:rsidRDefault="003F05E1" w:rsidP="00E83B73">
      <w:pPr>
        <w:spacing w:line="480" w:lineRule="auto"/>
        <w:rPr>
          <w:rFonts w:cs="Times New Roman"/>
        </w:rPr>
      </w:pPr>
    </w:p>
    <w:p w14:paraId="159CE4CE" w14:textId="77777777" w:rsidR="00F305E2" w:rsidRDefault="00F305E2" w:rsidP="00E83B73">
      <w:pPr>
        <w:spacing w:line="480" w:lineRule="auto"/>
        <w:rPr>
          <w:b/>
        </w:rPr>
      </w:pPr>
      <w:r w:rsidRPr="00F305E2">
        <w:rPr>
          <w:b/>
        </w:rPr>
        <w:t>Territorial Conflicts and Human Rights</w:t>
      </w:r>
      <w:r w:rsidR="00CD15CD">
        <w:rPr>
          <w:b/>
        </w:rPr>
        <w:t xml:space="preserve"> Protections</w:t>
      </w:r>
    </w:p>
    <w:p w14:paraId="3F028089" w14:textId="251F9375" w:rsidR="003F05E1" w:rsidRDefault="001526A4" w:rsidP="003F05E1">
      <w:pPr>
        <w:spacing w:line="480" w:lineRule="auto"/>
        <w:jc w:val="both"/>
        <w:rPr>
          <w:rFonts w:cs="Times New Roman"/>
        </w:rPr>
      </w:pPr>
      <w:r>
        <w:rPr>
          <w:rFonts w:cs="Times New Roman"/>
        </w:rPr>
        <w:t>Existing analyse</w:t>
      </w:r>
      <w:r w:rsidR="00C14F03">
        <w:rPr>
          <w:rFonts w:cs="Times New Roman"/>
        </w:rPr>
        <w:t>s of human</w:t>
      </w:r>
      <w:r>
        <w:rPr>
          <w:rFonts w:cs="Times New Roman"/>
        </w:rPr>
        <w:t xml:space="preserve"> rights in peace settlements have</w:t>
      </w:r>
      <w:r w:rsidR="00C14F03">
        <w:rPr>
          <w:rFonts w:cs="Times New Roman"/>
        </w:rPr>
        <w:t xml:space="preserve"> not distinguished betwe</w:t>
      </w:r>
      <w:r w:rsidR="00F01DE3">
        <w:rPr>
          <w:rFonts w:cs="Times New Roman"/>
        </w:rPr>
        <w:t xml:space="preserve">en different types of conflicts. Yet </w:t>
      </w:r>
      <w:r w:rsidR="006F6DB9">
        <w:rPr>
          <w:rFonts w:cs="Times New Roman"/>
        </w:rPr>
        <w:t xml:space="preserve">several studies have argued that we </w:t>
      </w:r>
      <w:r w:rsidR="003F05E1">
        <w:rPr>
          <w:rFonts w:cs="Times New Roman"/>
        </w:rPr>
        <w:t xml:space="preserve">should not </w:t>
      </w:r>
      <w:r w:rsidR="006F6DB9">
        <w:rPr>
          <w:rFonts w:cs="Times New Roman"/>
        </w:rPr>
        <w:t xml:space="preserve">treat conflicts as an aggregate category and have found that different types of conflicts vary significantly when it comes to </w:t>
      </w:r>
      <w:r w:rsidR="003F05E1">
        <w:rPr>
          <w:rFonts w:cs="Times New Roman"/>
        </w:rPr>
        <w:t xml:space="preserve">root causes, </w:t>
      </w:r>
      <w:r w:rsidR="006F6DB9">
        <w:rPr>
          <w:rFonts w:cs="Times New Roman"/>
        </w:rPr>
        <w:t>duration</w:t>
      </w:r>
      <w:r w:rsidR="00557ABD">
        <w:rPr>
          <w:rFonts w:cs="Times New Roman"/>
        </w:rPr>
        <w:t>,</w:t>
      </w:r>
      <w:r w:rsidR="006F6DB9">
        <w:rPr>
          <w:rFonts w:cs="Times New Roman"/>
        </w:rPr>
        <w:t xml:space="preserve"> and outcomes</w:t>
      </w:r>
      <w:r w:rsidR="00A062E2">
        <w:rPr>
          <w:rFonts w:cs="Times New Roman"/>
        </w:rPr>
        <w:t>.</w:t>
      </w:r>
      <w:r w:rsidR="00DE76C4">
        <w:rPr>
          <w:rStyle w:val="FootnoteReference"/>
          <w:rFonts w:cs="Times New Roman"/>
        </w:rPr>
        <w:footnoteReference w:id="14"/>
      </w:r>
      <w:r w:rsidR="006F6DB9">
        <w:rPr>
          <w:rFonts w:cs="Times New Roman"/>
        </w:rPr>
        <w:t xml:space="preserve"> Conflict types can be based either on the </w:t>
      </w:r>
      <w:r w:rsidR="00F01DE3">
        <w:rPr>
          <w:rFonts w:cs="Times New Roman"/>
        </w:rPr>
        <w:t xml:space="preserve">characteristics of the groups that are fighting them </w:t>
      </w:r>
      <w:r w:rsidR="006F6DB9">
        <w:rPr>
          <w:rFonts w:cs="Times New Roman"/>
        </w:rPr>
        <w:t xml:space="preserve">(ethnic </w:t>
      </w:r>
      <w:r w:rsidR="00EC6530">
        <w:rPr>
          <w:rFonts w:cs="Times New Roman"/>
        </w:rPr>
        <w:t>or</w:t>
      </w:r>
      <w:r w:rsidR="00A062E2">
        <w:rPr>
          <w:rFonts w:cs="Times New Roman"/>
        </w:rPr>
        <w:t xml:space="preserve"> non-ethnic conflicts) </w:t>
      </w:r>
      <w:r w:rsidR="00F01DE3">
        <w:rPr>
          <w:rFonts w:cs="Times New Roman"/>
        </w:rPr>
        <w:t xml:space="preserve">or </w:t>
      </w:r>
      <w:r w:rsidR="006F6DB9">
        <w:rPr>
          <w:rFonts w:cs="Times New Roman"/>
        </w:rPr>
        <w:t xml:space="preserve">on </w:t>
      </w:r>
      <w:r w:rsidR="00F01DE3">
        <w:rPr>
          <w:rFonts w:cs="Times New Roman"/>
        </w:rPr>
        <w:t>the claims they make</w:t>
      </w:r>
      <w:r w:rsidR="00A062E2">
        <w:rPr>
          <w:rFonts w:cs="Times New Roman"/>
        </w:rPr>
        <w:t xml:space="preserve"> (conflicts over territory or over government)</w:t>
      </w:r>
      <w:r w:rsidR="00F01DE3">
        <w:rPr>
          <w:rFonts w:cs="Times New Roman"/>
        </w:rPr>
        <w:t xml:space="preserve">. </w:t>
      </w:r>
      <w:r w:rsidR="00A062E2">
        <w:rPr>
          <w:rFonts w:cs="Times New Roman"/>
        </w:rPr>
        <w:t>It is the latter distinction that is the focus of this article. Human ri</w:t>
      </w:r>
      <w:r w:rsidR="001A4479">
        <w:rPr>
          <w:rFonts w:cs="Times New Roman"/>
        </w:rPr>
        <w:t xml:space="preserve">ghts institutions are, as Bell </w:t>
      </w:r>
      <w:r w:rsidR="00A062E2">
        <w:rPr>
          <w:rFonts w:cs="Times New Roman"/>
        </w:rPr>
        <w:t>point</w:t>
      </w:r>
      <w:r w:rsidR="003F24CF">
        <w:rPr>
          <w:rFonts w:cs="Times New Roman"/>
        </w:rPr>
        <w:t>s</w:t>
      </w:r>
      <w:r w:rsidR="00A062E2">
        <w:rPr>
          <w:rFonts w:cs="Times New Roman"/>
        </w:rPr>
        <w:t xml:space="preserve"> out</w:t>
      </w:r>
      <w:r>
        <w:rPr>
          <w:rFonts w:cs="Times New Roman"/>
        </w:rPr>
        <w:t>,</w:t>
      </w:r>
      <w:r w:rsidR="00A062E2">
        <w:rPr>
          <w:rFonts w:cs="Times New Roman"/>
        </w:rPr>
        <w:t xml:space="preserve"> </w:t>
      </w:r>
      <w:r w:rsidR="00A062E2" w:rsidRPr="00C1339C">
        <w:rPr>
          <w:rFonts w:cs="Times New Roman"/>
        </w:rPr>
        <w:t>part of the political bargaining</w:t>
      </w:r>
      <w:r w:rsidR="001A4479">
        <w:rPr>
          <w:rStyle w:val="FootnoteReference"/>
          <w:rFonts w:cs="Times New Roman"/>
        </w:rPr>
        <w:footnoteReference w:id="15"/>
      </w:r>
      <w:r w:rsidR="00A062E2">
        <w:rPr>
          <w:rFonts w:cs="Times New Roman"/>
        </w:rPr>
        <w:t xml:space="preserve"> and we would therefore expect their inclusion</w:t>
      </w:r>
      <w:r>
        <w:rPr>
          <w:rFonts w:cs="Times New Roman"/>
        </w:rPr>
        <w:t>,</w:t>
      </w:r>
      <w:r w:rsidR="00A062E2">
        <w:rPr>
          <w:rFonts w:cs="Times New Roman"/>
        </w:rPr>
        <w:t xml:space="preserve"> or exclusion</w:t>
      </w:r>
      <w:r>
        <w:rPr>
          <w:rFonts w:cs="Times New Roman"/>
        </w:rPr>
        <w:t>,</w:t>
      </w:r>
      <w:r w:rsidR="00A062E2">
        <w:rPr>
          <w:rFonts w:cs="Times New Roman"/>
        </w:rPr>
        <w:t xml:space="preserve"> from peace settlement</w:t>
      </w:r>
      <w:r w:rsidR="00F953A3">
        <w:rPr>
          <w:rFonts w:cs="Times New Roman"/>
        </w:rPr>
        <w:t>s</w:t>
      </w:r>
      <w:r w:rsidR="00A062E2">
        <w:rPr>
          <w:rFonts w:cs="Times New Roman"/>
        </w:rPr>
        <w:t xml:space="preserve"> to be affected by the maximalist claims made by the conflict parties.</w:t>
      </w:r>
      <w:r w:rsidR="003F05E1">
        <w:rPr>
          <w:rFonts w:cs="Times New Roman"/>
        </w:rPr>
        <w:t xml:space="preserve"> This </w:t>
      </w:r>
      <w:r w:rsidR="003F24CF">
        <w:rPr>
          <w:rFonts w:cs="Times New Roman"/>
        </w:rPr>
        <w:t xml:space="preserve">hypothesis </w:t>
      </w:r>
      <w:r w:rsidR="003F24CF">
        <w:rPr>
          <w:rFonts w:cs="Times New Roman"/>
        </w:rPr>
        <w:lastRenderedPageBreak/>
        <w:t xml:space="preserve">does not </w:t>
      </w:r>
      <w:r w:rsidR="00EC3C38">
        <w:rPr>
          <w:rFonts w:cs="Times New Roman"/>
        </w:rPr>
        <w:t xml:space="preserve">depend </w:t>
      </w:r>
      <w:r w:rsidR="003F24CF">
        <w:rPr>
          <w:rFonts w:cs="Times New Roman"/>
        </w:rPr>
        <w:t xml:space="preserve">on </w:t>
      </w:r>
      <w:r w:rsidR="003F05E1">
        <w:rPr>
          <w:rFonts w:cs="Times New Roman"/>
        </w:rPr>
        <w:t xml:space="preserve">the predominance of collective grievances, but it does assume that rebel leaders are in some ways constrained by the claims </w:t>
      </w:r>
      <w:r w:rsidR="003F24CF">
        <w:rPr>
          <w:rFonts w:cs="Times New Roman"/>
        </w:rPr>
        <w:t>they make</w:t>
      </w:r>
      <w:r w:rsidR="003F05E1">
        <w:rPr>
          <w:rFonts w:cs="Times New Roman"/>
        </w:rPr>
        <w:t xml:space="preserve">. Moreover, as will be shown </w:t>
      </w:r>
      <w:r w:rsidR="003F24CF">
        <w:rPr>
          <w:rFonts w:cs="Times New Roman"/>
        </w:rPr>
        <w:t>below</w:t>
      </w:r>
      <w:r w:rsidR="003F05E1">
        <w:rPr>
          <w:rFonts w:cs="Times New Roman"/>
        </w:rPr>
        <w:t xml:space="preserve">, such collective constraints often coincide with the selfish motives </w:t>
      </w:r>
      <w:r w:rsidR="00155496">
        <w:rPr>
          <w:rFonts w:cs="Times New Roman"/>
        </w:rPr>
        <w:t xml:space="preserve">of </w:t>
      </w:r>
      <w:r w:rsidR="00557ABD">
        <w:rPr>
          <w:rFonts w:cs="Times New Roman"/>
        </w:rPr>
        <w:t xml:space="preserve">the </w:t>
      </w:r>
      <w:r w:rsidR="003F24CF">
        <w:rPr>
          <w:rFonts w:cs="Times New Roman"/>
        </w:rPr>
        <w:t xml:space="preserve">settlement signatories. </w:t>
      </w:r>
    </w:p>
    <w:p w14:paraId="5E09EF78" w14:textId="77777777" w:rsidR="00AD54F5" w:rsidRDefault="00AD54F5" w:rsidP="006F6DB9">
      <w:pPr>
        <w:spacing w:line="480" w:lineRule="auto"/>
        <w:rPr>
          <w:rFonts w:cs="Times New Roman"/>
        </w:rPr>
      </w:pPr>
    </w:p>
    <w:p w14:paraId="3E34B76B" w14:textId="03E44560" w:rsidR="00A062E2" w:rsidRDefault="00EC6530" w:rsidP="006F6DB9">
      <w:pPr>
        <w:spacing w:line="480" w:lineRule="auto"/>
        <w:rPr>
          <w:rFonts w:cs="Times New Roman"/>
        </w:rPr>
      </w:pPr>
      <w:r>
        <w:rPr>
          <w:rFonts w:cs="Times New Roman"/>
        </w:rPr>
        <w:t xml:space="preserve">In territorial conflicts, rebels demand a change to the status of a territory. </w:t>
      </w:r>
      <w:r w:rsidRPr="003E3691">
        <w:rPr>
          <w:rFonts w:cs="Times New Roman"/>
        </w:rPr>
        <w:t>This often involves a demand fo</w:t>
      </w:r>
      <w:r w:rsidR="00234845">
        <w:rPr>
          <w:rFonts w:cs="Times New Roman"/>
        </w:rPr>
        <w:t xml:space="preserve">r independence but </w:t>
      </w:r>
      <w:r w:rsidRPr="003E3691">
        <w:rPr>
          <w:rFonts w:cs="Times New Roman"/>
        </w:rPr>
        <w:t xml:space="preserve">can also be a demand for </w:t>
      </w:r>
      <w:r w:rsidR="00234845">
        <w:rPr>
          <w:rFonts w:cs="Times New Roman"/>
        </w:rPr>
        <w:t>regional self-governance</w:t>
      </w:r>
      <w:r w:rsidRPr="003E3691">
        <w:rPr>
          <w:rFonts w:cs="Times New Roman"/>
        </w:rPr>
        <w:t>, or i</w:t>
      </w:r>
      <w:r w:rsidR="001A4479">
        <w:rPr>
          <w:rFonts w:cs="Times New Roman"/>
        </w:rPr>
        <w:t>ndeed for joining another state</w:t>
      </w:r>
      <w:r>
        <w:t>.</w:t>
      </w:r>
      <w:r w:rsidR="00241D28">
        <w:rPr>
          <w:rStyle w:val="FootnoteReference"/>
        </w:rPr>
        <w:footnoteReference w:id="16"/>
      </w:r>
      <w:r>
        <w:t xml:space="preserve"> </w:t>
      </w:r>
      <w:r w:rsidR="00A04D51">
        <w:t xml:space="preserve">These territorial demands are almost always driven by an ethno-nationalist claim to a separate identity, and group identity and rights are at the heart of these conflicts. </w:t>
      </w:r>
      <w:r w:rsidR="00FA6561">
        <w:t>Examples of such conflicts include the war in Bosnia, the prolonged armed conflict in Indonesia’s Aceh region</w:t>
      </w:r>
      <w:r w:rsidR="001526A4">
        <w:t>,</w:t>
      </w:r>
      <w:r w:rsidR="00FA6561">
        <w:t xml:space="preserve"> and the conflict in Northern Ireland. Territorial control is </w:t>
      </w:r>
      <w:r w:rsidR="00A04D51">
        <w:t xml:space="preserve">central to </w:t>
      </w:r>
      <w:r w:rsidR="00FA6561">
        <w:t xml:space="preserve">these conflicts, whereas ‘government’ or ‘centre-seeking conflicts’ are focused on control of the central government. </w:t>
      </w:r>
      <w:r w:rsidR="001526A4">
        <w:t xml:space="preserve">For ease of usage, these will be referred to as non-territorial conflicts. </w:t>
      </w:r>
      <w:r w:rsidR="00FA6561">
        <w:t>Rebels in these conflicts typically make demands relating to the legitimacy of elections, the composition of the government, or regime change</w:t>
      </w:r>
      <w:r w:rsidR="001A4479">
        <w:t>.</w:t>
      </w:r>
      <w:r w:rsidR="001A4479">
        <w:rPr>
          <w:rStyle w:val="FootnoteReference"/>
        </w:rPr>
        <w:footnoteReference w:id="17"/>
      </w:r>
      <w:r w:rsidR="001A4479">
        <w:t xml:space="preserve"> </w:t>
      </w:r>
      <w:r w:rsidR="00957DE6">
        <w:rPr>
          <w:rFonts w:cs="Times New Roman"/>
        </w:rPr>
        <w:t>A</w:t>
      </w:r>
      <w:r w:rsidR="00957DE6" w:rsidRPr="003E3691">
        <w:rPr>
          <w:rFonts w:cs="Times New Roman"/>
        </w:rPr>
        <w:t xml:space="preserve">lthough </w:t>
      </w:r>
      <w:r w:rsidR="001526A4">
        <w:rPr>
          <w:rFonts w:cs="Times New Roman"/>
        </w:rPr>
        <w:t xml:space="preserve">non-territorial </w:t>
      </w:r>
      <w:r w:rsidR="00957DE6">
        <w:rPr>
          <w:rFonts w:cs="Times New Roman"/>
        </w:rPr>
        <w:t xml:space="preserve">conflicts </w:t>
      </w:r>
      <w:r w:rsidR="00957DE6" w:rsidRPr="003E3691">
        <w:rPr>
          <w:rFonts w:cs="Times New Roman"/>
        </w:rPr>
        <w:t xml:space="preserve">can have an ethnic dimension, </w:t>
      </w:r>
      <w:r w:rsidR="00957DE6" w:rsidRPr="00234845">
        <w:rPr>
          <w:rFonts w:cs="Times New Roman"/>
        </w:rPr>
        <w:t xml:space="preserve">such as </w:t>
      </w:r>
      <w:r w:rsidR="00234845" w:rsidRPr="00234845">
        <w:rPr>
          <w:rFonts w:cs="Times New Roman"/>
        </w:rPr>
        <w:t xml:space="preserve">the conflicts in </w:t>
      </w:r>
      <w:r w:rsidR="00957DE6" w:rsidRPr="00234845">
        <w:rPr>
          <w:rFonts w:cs="Times New Roman"/>
        </w:rPr>
        <w:t>Burundi and Angola,</w:t>
      </w:r>
      <w:r w:rsidR="00957DE6">
        <w:rPr>
          <w:rFonts w:cs="Times New Roman"/>
        </w:rPr>
        <w:t xml:space="preserve"> </w:t>
      </w:r>
      <w:r w:rsidR="00957DE6" w:rsidRPr="003E3691">
        <w:rPr>
          <w:rFonts w:cs="Times New Roman"/>
        </w:rPr>
        <w:t>the main demand is a change in government; usually a transition from a repressive</w:t>
      </w:r>
      <w:r w:rsidR="00957DE6">
        <w:rPr>
          <w:rFonts w:cs="Times New Roman"/>
        </w:rPr>
        <w:t>, exclusive</w:t>
      </w:r>
      <w:r w:rsidR="00957DE6" w:rsidRPr="003E3691">
        <w:rPr>
          <w:rFonts w:cs="Times New Roman"/>
        </w:rPr>
        <w:t xml:space="preserve"> regime.</w:t>
      </w:r>
      <w:r w:rsidR="00957DE6">
        <w:rPr>
          <w:rFonts w:cs="Times New Roman"/>
        </w:rPr>
        <w:t xml:space="preserve"> Political and civil rights would be expected to play a central role in such transformations</w:t>
      </w:r>
      <w:r w:rsidR="001526A4">
        <w:rPr>
          <w:rFonts w:cs="Times New Roman"/>
        </w:rPr>
        <w:t xml:space="preserve">, and we can </w:t>
      </w:r>
      <w:r w:rsidR="001526A4">
        <w:rPr>
          <w:rFonts w:cs="Times New Roman"/>
        </w:rPr>
        <w:lastRenderedPageBreak/>
        <w:t>therefore expect human rights to be prioritized by rebel leaders negotiating a settlement</w:t>
      </w:r>
      <w:r w:rsidR="00957DE6">
        <w:rPr>
          <w:rFonts w:cs="Times New Roman"/>
        </w:rPr>
        <w:t xml:space="preserve">. </w:t>
      </w:r>
      <w:r w:rsidR="00957DE6" w:rsidRPr="003E3691">
        <w:rPr>
          <w:rFonts w:cs="Times New Roman"/>
        </w:rPr>
        <w:t>Territorial conflicts</w:t>
      </w:r>
      <w:r w:rsidR="00ED3B3D">
        <w:rPr>
          <w:rFonts w:cs="Times New Roman"/>
        </w:rPr>
        <w:t>,</w:t>
      </w:r>
      <w:r w:rsidR="00957DE6">
        <w:rPr>
          <w:rFonts w:cs="Times New Roman"/>
        </w:rPr>
        <w:t xml:space="preserve"> in contrast</w:t>
      </w:r>
      <w:r w:rsidR="00ED3B3D">
        <w:rPr>
          <w:rFonts w:cs="Times New Roman"/>
        </w:rPr>
        <w:t>,</w:t>
      </w:r>
      <w:r w:rsidR="00957DE6">
        <w:rPr>
          <w:rFonts w:cs="Times New Roman"/>
        </w:rPr>
        <w:t xml:space="preserve"> </w:t>
      </w:r>
      <w:r w:rsidR="00957DE6" w:rsidRPr="003E3691">
        <w:rPr>
          <w:rFonts w:cs="Times New Roman"/>
        </w:rPr>
        <w:t>focus on the status of a particular territory</w:t>
      </w:r>
      <w:r w:rsidR="00ED3B3D">
        <w:rPr>
          <w:rFonts w:cs="Times New Roman"/>
        </w:rPr>
        <w:t xml:space="preserve"> and the dominant group within it</w:t>
      </w:r>
      <w:r w:rsidR="00957DE6" w:rsidRPr="003E3691">
        <w:rPr>
          <w:rFonts w:cs="Times New Roman"/>
        </w:rPr>
        <w:t xml:space="preserve">. </w:t>
      </w:r>
      <w:r w:rsidR="00957DE6">
        <w:t>G</w:t>
      </w:r>
      <w:r w:rsidR="00957DE6" w:rsidRPr="003E3691">
        <w:t>roup rights - group protections, self-governance</w:t>
      </w:r>
      <w:r w:rsidR="00EC3C38">
        <w:t xml:space="preserve">, </w:t>
      </w:r>
      <w:r w:rsidR="00957DE6" w:rsidRPr="003E3691">
        <w:t>and recognition - are central in these conflicts</w:t>
      </w:r>
      <w:r w:rsidR="00957DE6">
        <w:t>,</w:t>
      </w:r>
      <w:r w:rsidR="00AA5C5D">
        <w:rPr>
          <w:rStyle w:val="FootnoteReference"/>
        </w:rPr>
        <w:footnoteReference w:id="18"/>
      </w:r>
      <w:r w:rsidR="00957DE6">
        <w:t xml:space="preserve"> while individual rights typically play a much less </w:t>
      </w:r>
      <w:r w:rsidR="00EC3C38">
        <w:t xml:space="preserve">important </w:t>
      </w:r>
      <w:r w:rsidR="00957DE6">
        <w:t xml:space="preserve">role. These group rights can, if the ethnic group is territorially concentrated, be </w:t>
      </w:r>
      <w:r w:rsidR="00957DE6" w:rsidRPr="00C1339C">
        <w:rPr>
          <w:rFonts w:cs="Times New Roman"/>
        </w:rPr>
        <w:t>addresse</w:t>
      </w:r>
      <w:r w:rsidR="00957DE6">
        <w:rPr>
          <w:rFonts w:cs="Times New Roman"/>
        </w:rPr>
        <w:t xml:space="preserve">d through territorial autonomy, as will be discussed below. In the context of a territorial conflict, </w:t>
      </w:r>
      <w:r w:rsidR="00957DE6" w:rsidRPr="00C1339C">
        <w:rPr>
          <w:rFonts w:cs="Times New Roman"/>
        </w:rPr>
        <w:t xml:space="preserve">negotiating leaders </w:t>
      </w:r>
      <w:r w:rsidR="00957DE6">
        <w:rPr>
          <w:rFonts w:cs="Times New Roman"/>
        </w:rPr>
        <w:t xml:space="preserve">are </w:t>
      </w:r>
      <w:r w:rsidR="001526A4">
        <w:rPr>
          <w:rFonts w:cs="Times New Roman"/>
        </w:rPr>
        <w:t xml:space="preserve">therefore </w:t>
      </w:r>
      <w:r w:rsidR="003F05E1">
        <w:rPr>
          <w:rFonts w:cs="Times New Roman"/>
        </w:rPr>
        <w:t xml:space="preserve">not </w:t>
      </w:r>
      <w:r w:rsidR="00957DE6">
        <w:rPr>
          <w:rFonts w:cs="Times New Roman"/>
        </w:rPr>
        <w:t xml:space="preserve">expected to </w:t>
      </w:r>
      <w:r w:rsidR="00234845">
        <w:rPr>
          <w:rFonts w:cs="Times New Roman"/>
        </w:rPr>
        <w:t xml:space="preserve">push for </w:t>
      </w:r>
      <w:r w:rsidR="00957DE6" w:rsidRPr="00C1339C">
        <w:rPr>
          <w:rFonts w:cs="Times New Roman"/>
        </w:rPr>
        <w:t>human rights</w:t>
      </w:r>
      <w:r w:rsidR="00957DE6">
        <w:rPr>
          <w:rFonts w:cs="Times New Roman"/>
        </w:rPr>
        <w:t xml:space="preserve"> in the sense of individual rights.</w:t>
      </w:r>
    </w:p>
    <w:p w14:paraId="076D6222" w14:textId="77777777" w:rsidR="00B82A66" w:rsidRPr="00197D19" w:rsidRDefault="00EB4808" w:rsidP="00155496">
      <w:pPr>
        <w:spacing w:line="480" w:lineRule="auto"/>
        <w:ind w:left="720"/>
        <w:rPr>
          <w:rFonts w:cs="Times New Roman"/>
          <w:i/>
        </w:rPr>
      </w:pPr>
      <w:r w:rsidRPr="00197D19">
        <w:rPr>
          <w:rFonts w:cs="Times New Roman"/>
          <w:i/>
        </w:rPr>
        <w:t>H</w:t>
      </w:r>
      <w:r w:rsidR="005E5AC8">
        <w:rPr>
          <w:rFonts w:cs="Times New Roman"/>
          <w:i/>
        </w:rPr>
        <w:t>1</w:t>
      </w:r>
      <w:r w:rsidRPr="00197D19">
        <w:rPr>
          <w:rFonts w:cs="Times New Roman"/>
          <w:i/>
        </w:rPr>
        <w:t xml:space="preserve">: Peace agreements signed in territorial conflicts are less likely </w:t>
      </w:r>
      <w:r w:rsidR="00EC3C38" w:rsidRPr="00197D19">
        <w:rPr>
          <w:rFonts w:cs="Times New Roman"/>
          <w:i/>
        </w:rPr>
        <w:t xml:space="preserve">than agreements signed in non-territorial conflicts </w:t>
      </w:r>
      <w:r w:rsidRPr="00197D19">
        <w:rPr>
          <w:rFonts w:cs="Times New Roman"/>
          <w:i/>
        </w:rPr>
        <w:t>to include human rights provisions</w:t>
      </w:r>
      <w:r w:rsidR="002D263E">
        <w:rPr>
          <w:rFonts w:cs="Times New Roman"/>
          <w:i/>
        </w:rPr>
        <w:t>.</w:t>
      </w:r>
      <w:r w:rsidRPr="00197D19">
        <w:rPr>
          <w:rFonts w:cs="Times New Roman"/>
          <w:i/>
        </w:rPr>
        <w:t xml:space="preserve"> </w:t>
      </w:r>
    </w:p>
    <w:p w14:paraId="0A5A792A" w14:textId="77777777" w:rsidR="002D263E" w:rsidRDefault="002D263E" w:rsidP="00E83B73">
      <w:pPr>
        <w:spacing w:line="480" w:lineRule="auto"/>
        <w:rPr>
          <w:b/>
        </w:rPr>
      </w:pPr>
    </w:p>
    <w:p w14:paraId="4BE6E652" w14:textId="77777777" w:rsidR="00F305E2" w:rsidRPr="00F305E2" w:rsidRDefault="00F305E2" w:rsidP="00E83B73">
      <w:pPr>
        <w:spacing w:line="480" w:lineRule="auto"/>
        <w:rPr>
          <w:rFonts w:cs="Times New Roman"/>
          <w:b/>
        </w:rPr>
      </w:pPr>
      <w:r w:rsidRPr="00F305E2">
        <w:rPr>
          <w:b/>
        </w:rPr>
        <w:t xml:space="preserve">Territorial Autonomy and Human Rights </w:t>
      </w:r>
      <w:r w:rsidR="00CD15CD">
        <w:rPr>
          <w:b/>
        </w:rPr>
        <w:t>Protections</w:t>
      </w:r>
    </w:p>
    <w:p w14:paraId="741EBC1D" w14:textId="77777777" w:rsidR="00743084" w:rsidRPr="00743084" w:rsidRDefault="00743084" w:rsidP="00743084">
      <w:pPr>
        <w:spacing w:line="480" w:lineRule="auto"/>
      </w:pPr>
      <w:r>
        <w:t xml:space="preserve">The ‘core deal’ that predominates in territorial conflicts is another reason why these peace agreements are expected to be less likely to include human rights provisions.  </w:t>
      </w:r>
      <w:r>
        <w:rPr>
          <w:rFonts w:cs="Times New Roman"/>
        </w:rPr>
        <w:t>B</w:t>
      </w:r>
      <w:r w:rsidR="007B56C4">
        <w:rPr>
          <w:rFonts w:cs="Times New Roman"/>
        </w:rPr>
        <w:t>ell has argued that ‘</w:t>
      </w:r>
      <w:r>
        <w:rPr>
          <w:rFonts w:cs="Times New Roman"/>
        </w:rPr>
        <w:t>individual rights provisions can only be understood in the light of th</w:t>
      </w:r>
      <w:r w:rsidR="007B56C4">
        <w:rPr>
          <w:rFonts w:cs="Times New Roman"/>
        </w:rPr>
        <w:t>e deal’s political arrangements’</w:t>
      </w:r>
      <w:r>
        <w:rPr>
          <w:rFonts w:cs="Times New Roman"/>
        </w:rPr>
        <w:t xml:space="preserve"> and she specifically stresses the importance of how the agreement addresses rights to self-determination or minority rights.</w:t>
      </w:r>
      <w:r w:rsidR="003F7FF0">
        <w:rPr>
          <w:rStyle w:val="FootnoteReference"/>
          <w:rFonts w:cs="Times New Roman"/>
        </w:rPr>
        <w:footnoteReference w:id="19"/>
      </w:r>
      <w:r>
        <w:rPr>
          <w:rFonts w:cs="Times New Roman"/>
        </w:rPr>
        <w:t xml:space="preserve"> However, her analysis only covers four cases and does not provide a detailed analysis of the effects of the </w:t>
      </w:r>
      <w:r w:rsidR="002F3B42">
        <w:rPr>
          <w:rFonts w:cs="Times New Roman"/>
        </w:rPr>
        <w:t>specific institutional design. Bell</w:t>
      </w:r>
      <w:r>
        <w:rPr>
          <w:rFonts w:cs="Times New Roman"/>
        </w:rPr>
        <w:t xml:space="preserve"> is primarily intere</w:t>
      </w:r>
      <w:r w:rsidR="007B56C4">
        <w:rPr>
          <w:rFonts w:cs="Times New Roman"/>
        </w:rPr>
        <w:t>sted in whether ‘</w:t>
      </w:r>
      <w:r>
        <w:rPr>
          <w:rFonts w:cs="Times New Roman"/>
        </w:rPr>
        <w:t>the deal</w:t>
      </w:r>
      <w:r w:rsidR="007B56C4">
        <w:rPr>
          <w:rFonts w:cs="Times New Roman"/>
        </w:rPr>
        <w:t>’</w:t>
      </w:r>
      <w:r>
        <w:rPr>
          <w:rFonts w:cs="Times New Roman"/>
        </w:rPr>
        <w:t xml:space="preserve"> entails the separation of communal groups.  But the </w:t>
      </w:r>
      <w:r>
        <w:rPr>
          <w:rFonts w:cs="Times New Roman"/>
        </w:rPr>
        <w:lastRenderedPageBreak/>
        <w:t xml:space="preserve">core institutional design may well limit the space available for </w:t>
      </w:r>
      <w:r w:rsidR="00234845">
        <w:rPr>
          <w:rFonts w:cs="Times New Roman"/>
        </w:rPr>
        <w:t>human rights</w:t>
      </w:r>
      <w:r>
        <w:rPr>
          <w:rFonts w:cs="Times New Roman"/>
        </w:rPr>
        <w:t xml:space="preserve">, especially in the case of territorial autonomy which is by far the </w:t>
      </w:r>
      <w:r w:rsidR="001526A4">
        <w:t>most common solution to</w:t>
      </w:r>
      <w:r>
        <w:t xml:space="preserve"> territorial conflic</w:t>
      </w:r>
      <w:r w:rsidR="00234845">
        <w:t>ts</w:t>
      </w:r>
      <w:r w:rsidR="003F7FF0">
        <w:t>.</w:t>
      </w:r>
      <w:r w:rsidR="003F7FF0">
        <w:rPr>
          <w:rStyle w:val="FootnoteReference"/>
        </w:rPr>
        <w:footnoteReference w:id="20"/>
      </w:r>
      <w:r w:rsidR="00234845">
        <w:t xml:space="preserve"> </w:t>
      </w:r>
      <w:r w:rsidRPr="00C1339C">
        <w:rPr>
          <w:rFonts w:cs="Times New Roman"/>
        </w:rPr>
        <w:t xml:space="preserve"> </w:t>
      </w:r>
    </w:p>
    <w:p w14:paraId="5A23AD0E" w14:textId="77777777" w:rsidR="00AD54F5" w:rsidRDefault="00AD54F5" w:rsidP="00222A4F">
      <w:pPr>
        <w:spacing w:line="480" w:lineRule="auto"/>
        <w:jc w:val="both"/>
      </w:pPr>
    </w:p>
    <w:p w14:paraId="25B2CA21" w14:textId="100D03D5" w:rsidR="002F3B42" w:rsidRDefault="00D61E3B" w:rsidP="00222A4F">
      <w:pPr>
        <w:spacing w:line="480" w:lineRule="auto"/>
        <w:jc w:val="both"/>
      </w:pPr>
      <w:r>
        <w:t>Autonomy is a devic</w:t>
      </w:r>
      <w:r w:rsidR="000C5BEB" w:rsidRPr="00DD773E">
        <w:t xml:space="preserve">e to allow ethnic or </w:t>
      </w:r>
      <w:r w:rsidR="00EC3C38">
        <w:t xml:space="preserve">other </w:t>
      </w:r>
      <w:r w:rsidR="000C5BEB" w:rsidRPr="00DD773E">
        <w:t>identity groups to exercise direct control over affairs of special concern to them.</w:t>
      </w:r>
      <w:r w:rsidR="00DD773E" w:rsidRPr="00DD773E">
        <w:rPr>
          <w:rStyle w:val="FootnoteReference"/>
        </w:rPr>
        <w:footnoteReference w:id="21"/>
      </w:r>
      <w:r w:rsidR="000C5BEB" w:rsidRPr="00DD773E">
        <w:t xml:space="preserve"> The form of autonomy I am interested in is territorially defined, as opposed to ‘corporate autonomy’ which grants an identity group collective rights </w:t>
      </w:r>
      <w:r w:rsidR="00A731A4">
        <w:t xml:space="preserve">on a </w:t>
      </w:r>
      <w:r w:rsidR="00E91E66">
        <w:t>non-territorial basis</w:t>
      </w:r>
      <w:r w:rsidR="000C5BEB" w:rsidRPr="00DD773E">
        <w:t xml:space="preserve">. </w:t>
      </w:r>
      <w:r w:rsidR="00352328">
        <w:t>Territorial autonomy in my usage is a territorial form of, what Lijphart refers to as</w:t>
      </w:r>
      <w:r w:rsidR="00E91E66">
        <w:t>,</w:t>
      </w:r>
      <w:r w:rsidR="00352328">
        <w:t xml:space="preserve"> “segmental autonomy”, i.e. the rule of the minority over itself.</w:t>
      </w:r>
      <w:r w:rsidR="00352328">
        <w:rPr>
          <w:rStyle w:val="FootnoteReference"/>
        </w:rPr>
        <w:footnoteReference w:id="22"/>
      </w:r>
      <w:r w:rsidR="00352328">
        <w:t xml:space="preserve"> </w:t>
      </w:r>
      <w:r w:rsidR="000C5BEB" w:rsidRPr="00DD773E">
        <w:t xml:space="preserve">This territorial </w:t>
      </w:r>
      <w:r w:rsidR="00352328">
        <w:t xml:space="preserve">self-governance autonomy </w:t>
      </w:r>
      <w:r w:rsidR="000C5BEB" w:rsidRPr="00DD773E">
        <w:t xml:space="preserve">is aimed at </w:t>
      </w:r>
      <w:r w:rsidR="00222A4F" w:rsidRPr="00DD773E">
        <w:t xml:space="preserve">granting a degree of self-identification to the minority group and provides it with </w:t>
      </w:r>
      <w:r w:rsidR="00EC3C38">
        <w:t xml:space="preserve">a </w:t>
      </w:r>
      <w:r w:rsidR="001526A4" w:rsidRPr="00DD773E">
        <w:t>territorial power-base</w:t>
      </w:r>
      <w:r w:rsidR="003F7FF0" w:rsidRPr="00DD773E">
        <w:t>.</w:t>
      </w:r>
      <w:r w:rsidR="003F7FF0" w:rsidRPr="00DD773E">
        <w:rPr>
          <w:rStyle w:val="FootnoteReference"/>
        </w:rPr>
        <w:footnoteReference w:id="23"/>
      </w:r>
      <w:r w:rsidR="001526A4" w:rsidRPr="00DD773E">
        <w:t xml:space="preserve"> </w:t>
      </w:r>
      <w:r w:rsidR="000C5BEB" w:rsidRPr="00DD773E">
        <w:t>Like Ghai</w:t>
      </w:r>
      <w:r w:rsidR="00803192">
        <w:t>,</w:t>
      </w:r>
      <w:r w:rsidR="000C5BEB" w:rsidRPr="00DD773E">
        <w:t xml:space="preserve"> I conceive of territorial autonomy as a generic term that encompasses different types of legal arr</w:t>
      </w:r>
      <w:r w:rsidR="00803192">
        <w:t xml:space="preserve">angements, including federalism and </w:t>
      </w:r>
      <w:r w:rsidR="000C5BEB" w:rsidRPr="00DD773E">
        <w:t>regional autonomy.</w:t>
      </w:r>
      <w:r w:rsidR="00DD773E" w:rsidRPr="00DD773E">
        <w:rPr>
          <w:rStyle w:val="FootnoteReference"/>
        </w:rPr>
        <w:footnoteReference w:id="24"/>
      </w:r>
      <w:r w:rsidR="000C5BEB">
        <w:t xml:space="preserve"> </w:t>
      </w:r>
      <w:r w:rsidR="00425D0A">
        <w:t>These different forms are not always easily distinguishable and the ch</w:t>
      </w:r>
      <w:r w:rsidR="00EC3C38">
        <w:t>oice of label may involve some ‘</w:t>
      </w:r>
      <w:r w:rsidR="00425D0A">
        <w:t>deliberate fudging</w:t>
      </w:r>
      <w:r w:rsidR="00EC3C38">
        <w:t>’</w:t>
      </w:r>
      <w:r w:rsidR="00425D0A">
        <w:t>, for example if the constitution prohibits some opti</w:t>
      </w:r>
      <w:r w:rsidR="00EC3C38">
        <w:t xml:space="preserve">ons or if there </w:t>
      </w:r>
      <w:r w:rsidR="002A66D8">
        <w:t>is</w:t>
      </w:r>
      <w:r w:rsidR="00EC3C38">
        <w:t xml:space="preserve"> particular</w:t>
      </w:r>
      <w:r w:rsidR="00425D0A">
        <w:t xml:space="preserve"> sensitivity about sovereignty and state unity.</w:t>
      </w:r>
      <w:r w:rsidR="00425D0A">
        <w:rPr>
          <w:rStyle w:val="FootnoteReference"/>
        </w:rPr>
        <w:footnoteReference w:id="25"/>
      </w:r>
      <w:r w:rsidR="00425D0A">
        <w:t xml:space="preserve"> </w:t>
      </w:r>
    </w:p>
    <w:p w14:paraId="570117DF" w14:textId="77777777" w:rsidR="00AD54F5" w:rsidRDefault="00AD54F5" w:rsidP="00222A4F">
      <w:pPr>
        <w:spacing w:line="480" w:lineRule="auto"/>
        <w:jc w:val="both"/>
        <w:rPr>
          <w:rFonts w:cs="Times New Roman"/>
        </w:rPr>
      </w:pPr>
    </w:p>
    <w:p w14:paraId="5FFDB594" w14:textId="1DB91F89" w:rsidR="00197D19" w:rsidRPr="00197D19" w:rsidRDefault="000C5BEB" w:rsidP="00222A4F">
      <w:pPr>
        <w:spacing w:line="480" w:lineRule="auto"/>
        <w:jc w:val="both"/>
      </w:pPr>
      <w:r>
        <w:rPr>
          <w:rFonts w:cs="Times New Roman"/>
        </w:rPr>
        <w:t xml:space="preserve">Territorial autonomy </w:t>
      </w:r>
      <w:r w:rsidR="00197D19" w:rsidRPr="00C1339C">
        <w:t xml:space="preserve">allows </w:t>
      </w:r>
      <w:r w:rsidR="00197D19">
        <w:t xml:space="preserve">for </w:t>
      </w:r>
      <w:r w:rsidR="00743084">
        <w:t>self-determination within the existing state</w:t>
      </w:r>
      <w:r w:rsidR="008E51A2">
        <w:t xml:space="preserve"> and thereby ensures </w:t>
      </w:r>
      <w:r w:rsidR="00743084">
        <w:t xml:space="preserve">protections against discrimination </w:t>
      </w:r>
      <w:r w:rsidR="00BE0914">
        <w:t xml:space="preserve">and other forms of human rights abuses </w:t>
      </w:r>
      <w:r w:rsidR="00743084">
        <w:t xml:space="preserve">from the central </w:t>
      </w:r>
      <w:r w:rsidR="00743084">
        <w:lastRenderedPageBreak/>
        <w:t>government</w:t>
      </w:r>
      <w:r w:rsidR="00BD7662">
        <w:t>, especially if the autonomous region has its own judiciary and police force</w:t>
      </w:r>
      <w:r w:rsidR="00BD7662">
        <w:rPr>
          <w:noProof/>
        </w:rPr>
        <w:t>.</w:t>
      </w:r>
      <w:r w:rsidR="003F7FF0">
        <w:rPr>
          <w:rStyle w:val="FootnoteReference"/>
          <w:noProof/>
        </w:rPr>
        <w:footnoteReference w:id="26"/>
      </w:r>
      <w:r w:rsidR="00BD7662">
        <w:rPr>
          <w:noProof/>
        </w:rPr>
        <w:t xml:space="preserve"> Territorial autonomy </w:t>
      </w:r>
      <w:r w:rsidR="008E51A2">
        <w:t>provides a clear powerba</w:t>
      </w:r>
      <w:r w:rsidR="00BE0914">
        <w:t>se for the former rebel leaders</w:t>
      </w:r>
      <w:r w:rsidR="00BD7662">
        <w:t xml:space="preserve">, and </w:t>
      </w:r>
      <w:r w:rsidR="00F70C2F">
        <w:t xml:space="preserve">it </w:t>
      </w:r>
      <w:r w:rsidR="00EC3C38">
        <w:t xml:space="preserve">also </w:t>
      </w:r>
      <w:r w:rsidR="00F70C2F">
        <w:t>h</w:t>
      </w:r>
      <w:r w:rsidR="00BD7662">
        <w:t xml:space="preserve">as benefits from </w:t>
      </w:r>
      <w:r w:rsidR="00197D19">
        <w:rPr>
          <w:rFonts w:cs="Times New Roman"/>
        </w:rPr>
        <w:t xml:space="preserve">the </w:t>
      </w:r>
      <w:r w:rsidR="00197D19" w:rsidRPr="00C1339C">
        <w:rPr>
          <w:rFonts w:cs="Times New Roman"/>
        </w:rPr>
        <w:t>central government</w:t>
      </w:r>
      <w:r w:rsidR="00197D19">
        <w:rPr>
          <w:rFonts w:cs="Times New Roman"/>
        </w:rPr>
        <w:t>’</w:t>
      </w:r>
      <w:r w:rsidR="00197D19" w:rsidRPr="00C1339C">
        <w:rPr>
          <w:rFonts w:cs="Times New Roman"/>
        </w:rPr>
        <w:t>s point of view</w:t>
      </w:r>
      <w:r w:rsidR="00743084">
        <w:rPr>
          <w:rFonts w:cs="Times New Roman"/>
        </w:rPr>
        <w:t>: it preserves the territorial integrity of the state and it limits the need for reforms at t</w:t>
      </w:r>
      <w:r w:rsidR="003F7FF0">
        <w:rPr>
          <w:rFonts w:cs="Times New Roman"/>
        </w:rPr>
        <w:t>he central level</w:t>
      </w:r>
      <w:r w:rsidR="00743084">
        <w:rPr>
          <w:rFonts w:cs="Times New Roman"/>
        </w:rPr>
        <w:t>.</w:t>
      </w:r>
      <w:r w:rsidR="003F7FF0">
        <w:rPr>
          <w:rStyle w:val="FootnoteReference"/>
          <w:rFonts w:cs="Times New Roman"/>
        </w:rPr>
        <w:footnoteReference w:id="27"/>
      </w:r>
      <w:r w:rsidR="00743084">
        <w:rPr>
          <w:rFonts w:cs="Times New Roman"/>
        </w:rPr>
        <w:t xml:space="preserve"> This is significant </w:t>
      </w:r>
      <w:r w:rsidR="00F70C2F">
        <w:rPr>
          <w:rFonts w:cs="Times New Roman"/>
        </w:rPr>
        <w:t xml:space="preserve">since </w:t>
      </w:r>
      <w:r w:rsidR="00743084">
        <w:rPr>
          <w:rFonts w:cs="Times New Roman"/>
        </w:rPr>
        <w:t xml:space="preserve">the </w:t>
      </w:r>
      <w:r w:rsidR="00197D19">
        <w:rPr>
          <w:rFonts w:cs="Times New Roman"/>
        </w:rPr>
        <w:t>central government will try to man</w:t>
      </w:r>
      <w:r w:rsidR="007B56C4">
        <w:rPr>
          <w:rFonts w:cs="Times New Roman"/>
        </w:rPr>
        <w:t>age the costs imposed on them, ‘</w:t>
      </w:r>
      <w:r w:rsidR="00197D19">
        <w:rPr>
          <w:rFonts w:cs="Times New Roman"/>
        </w:rPr>
        <w:t>while retaining as much authority as possible</w:t>
      </w:r>
      <w:r w:rsidR="007B56C4">
        <w:rPr>
          <w:rFonts w:cs="Times New Roman"/>
        </w:rPr>
        <w:t>’</w:t>
      </w:r>
      <w:r w:rsidR="00197D19">
        <w:t>.</w:t>
      </w:r>
      <w:r w:rsidR="003F7FF0">
        <w:rPr>
          <w:rStyle w:val="FootnoteReference"/>
        </w:rPr>
        <w:footnoteReference w:id="28"/>
      </w:r>
      <w:r w:rsidR="00197D19">
        <w:rPr>
          <w:rFonts w:cs="Times New Roman"/>
        </w:rPr>
        <w:t xml:space="preserve"> </w:t>
      </w:r>
      <w:r w:rsidR="00743084">
        <w:t xml:space="preserve">Territorial autonomy therefore has clear </w:t>
      </w:r>
      <w:r w:rsidR="00EC3C38">
        <w:t xml:space="preserve">advantages </w:t>
      </w:r>
      <w:r w:rsidR="00D61E3B">
        <w:t>as a conflict resolution devic</w:t>
      </w:r>
      <w:r w:rsidR="00743084">
        <w:t xml:space="preserve">e, but it </w:t>
      </w:r>
      <w:r w:rsidR="00197D19">
        <w:t>may leave little space for human rights</w:t>
      </w:r>
      <w:r w:rsidR="00CF66CD">
        <w:t xml:space="preserve"> </w:t>
      </w:r>
      <w:r w:rsidR="00CF66CD" w:rsidRPr="00922ADA">
        <w:rPr>
          <w:i/>
        </w:rPr>
        <w:t>within</w:t>
      </w:r>
      <w:r w:rsidR="00CF66CD">
        <w:t xml:space="preserve"> the autonomous region and </w:t>
      </w:r>
      <w:r w:rsidR="00BE0914">
        <w:t xml:space="preserve">could </w:t>
      </w:r>
      <w:r w:rsidR="00CF66CD">
        <w:t xml:space="preserve">reduce the demands for effective human rights provisions at the central level. </w:t>
      </w:r>
    </w:p>
    <w:p w14:paraId="232BDA5D" w14:textId="77777777" w:rsidR="00AD54F5" w:rsidRDefault="00AD54F5" w:rsidP="00CF66CD">
      <w:pPr>
        <w:spacing w:line="480" w:lineRule="auto"/>
      </w:pPr>
    </w:p>
    <w:p w14:paraId="6464F554" w14:textId="168BE6CB" w:rsidR="00CF66CD" w:rsidRDefault="00CF66CD" w:rsidP="00CF66CD">
      <w:pPr>
        <w:spacing w:line="480" w:lineRule="auto"/>
      </w:pPr>
      <w:r w:rsidRPr="00C1339C">
        <w:t xml:space="preserve">Critics of territorial autonomy primarily </w:t>
      </w:r>
      <w:r>
        <w:t xml:space="preserve">focus on </w:t>
      </w:r>
      <w:r w:rsidRPr="00C1339C">
        <w:t>what they regard as the risk of renewed secessionist attempts,</w:t>
      </w:r>
      <w:r w:rsidR="001E30D5">
        <w:rPr>
          <w:rStyle w:val="FootnoteReference"/>
        </w:rPr>
        <w:footnoteReference w:id="29"/>
      </w:r>
      <w:r w:rsidRPr="00C1339C">
        <w:t xml:space="preserve"> but its implications for human rig</w:t>
      </w:r>
      <w:r>
        <w:t xml:space="preserve">hts have also been pointed to.  </w:t>
      </w:r>
      <w:r w:rsidRPr="00C1339C">
        <w:t>Horowitz for example warn</w:t>
      </w:r>
      <w:r>
        <w:t>s</w:t>
      </w:r>
      <w:r w:rsidRPr="00C1339C">
        <w:t xml:space="preserve"> against the risk of violence against minorities within </w:t>
      </w:r>
      <w:r>
        <w:t xml:space="preserve">federal </w:t>
      </w:r>
      <w:r w:rsidRPr="00C1339C">
        <w:t>units</w:t>
      </w:r>
      <w:r>
        <w:t>,</w:t>
      </w:r>
      <w:r w:rsidR="001E30D5">
        <w:rPr>
          <w:rStyle w:val="FootnoteReference"/>
        </w:rPr>
        <w:footnoteReference w:id="30"/>
      </w:r>
      <w:r>
        <w:t xml:space="preserve"> and Jenne </w:t>
      </w:r>
      <w:r w:rsidR="007B56C4">
        <w:t>similarly argues that ‘</w:t>
      </w:r>
      <w:r>
        <w:t>nationalist elites are likely to encourage discrimination against…ethnic minorities who implicitly chal</w:t>
      </w:r>
      <w:r w:rsidR="007B56C4">
        <w:t>lenge their claims to territory’</w:t>
      </w:r>
      <w:r>
        <w:t>.</w:t>
      </w:r>
      <w:r w:rsidR="001E30D5">
        <w:rPr>
          <w:rStyle w:val="FootnoteReference"/>
        </w:rPr>
        <w:footnoteReference w:id="31"/>
      </w:r>
      <w:r>
        <w:t xml:space="preserve">  </w:t>
      </w:r>
      <w:r w:rsidR="008E51A2" w:rsidRPr="00063E97">
        <w:t xml:space="preserve">Territorial autonomy is not </w:t>
      </w:r>
      <w:r w:rsidR="00FF5936" w:rsidRPr="00063E97">
        <w:t>necessarily defi</w:t>
      </w:r>
      <w:r w:rsidR="00063E97" w:rsidRPr="00063E97">
        <w:t xml:space="preserve">ned in explicitly ethnic terms, but the intention is to </w:t>
      </w:r>
      <w:r w:rsidR="00063E97">
        <w:t>empower a specific group within the self-governing region</w:t>
      </w:r>
      <w:r w:rsidR="00FF5936" w:rsidRPr="00C1339C">
        <w:t xml:space="preserve">. This is most frequently the local majority group, such as the Acehnese in </w:t>
      </w:r>
      <w:r w:rsidR="00352328">
        <w:t xml:space="preserve">Indonesia’s </w:t>
      </w:r>
      <w:r w:rsidR="00FF5936" w:rsidRPr="00C1339C">
        <w:t>Aceh</w:t>
      </w:r>
      <w:r w:rsidR="00FF5936">
        <w:t xml:space="preserve"> </w:t>
      </w:r>
      <w:r w:rsidR="00352328">
        <w:t>region</w:t>
      </w:r>
      <w:r w:rsidR="00593A63">
        <w:t xml:space="preserve">. </w:t>
      </w:r>
      <w:r w:rsidR="005D16A2">
        <w:t>In the case of India’s Bodoland, t</w:t>
      </w:r>
      <w:r w:rsidR="00593A63">
        <w:t xml:space="preserve">he </w:t>
      </w:r>
      <w:r w:rsidR="005D16A2">
        <w:t xml:space="preserve">settlement </w:t>
      </w:r>
      <w:r w:rsidR="00593A63">
        <w:t xml:space="preserve">promised segmental autonomy for the tribal </w:t>
      </w:r>
      <w:r w:rsidR="005D16A2">
        <w:t xml:space="preserve">community </w:t>
      </w:r>
      <w:r w:rsidR="00593A63">
        <w:t xml:space="preserve">through the creation of a Bodoland Autonomous Council. This was to be formed out of villages with a majority tribal </w:t>
      </w:r>
      <w:r w:rsidR="00593A63">
        <w:lastRenderedPageBreak/>
        <w:t xml:space="preserve">population, </w:t>
      </w:r>
      <w:r w:rsidR="005D16A2">
        <w:t xml:space="preserve">but also had to include </w:t>
      </w:r>
      <w:r w:rsidR="00593A63">
        <w:t>some villages with smaller tribal population</w:t>
      </w:r>
      <w:r w:rsidR="005D16A2">
        <w:t>s</w:t>
      </w:r>
      <w:r w:rsidR="00593A63">
        <w:t xml:space="preserve"> </w:t>
      </w:r>
      <w:r w:rsidR="001C5F4F">
        <w:t>to</w:t>
      </w:r>
      <w:r w:rsidR="00593A63">
        <w:t xml:space="preserve"> ensure a contiguous territorial area.</w:t>
      </w:r>
      <w:r w:rsidR="005D16A2">
        <w:rPr>
          <w:rStyle w:val="FootnoteReference"/>
        </w:rPr>
        <w:footnoteReference w:id="32"/>
      </w:r>
      <w:r w:rsidR="00593A63">
        <w:t xml:space="preserve"> </w:t>
      </w:r>
      <w:r w:rsidR="008E51A2">
        <w:t xml:space="preserve">Territorial autonomy is </w:t>
      </w:r>
      <w:r w:rsidR="00FF5936">
        <w:t xml:space="preserve">very much about minority rights, but </w:t>
      </w:r>
      <w:r w:rsidR="00352328">
        <w:t>these rights are protected by prioritizing</w:t>
      </w:r>
      <w:r w:rsidR="00A71E45">
        <w:t xml:space="preserve"> the rights of the dominant group</w:t>
      </w:r>
      <w:r w:rsidR="008E51A2">
        <w:t xml:space="preserve"> within the </w:t>
      </w:r>
      <w:r w:rsidR="005D16A2">
        <w:t xml:space="preserve">autonomous </w:t>
      </w:r>
      <w:r w:rsidR="008E51A2">
        <w:t xml:space="preserve">region. </w:t>
      </w:r>
    </w:p>
    <w:p w14:paraId="102485AA" w14:textId="77777777" w:rsidR="00AD54F5" w:rsidRDefault="00AD54F5" w:rsidP="00B3595F">
      <w:pPr>
        <w:spacing w:line="480" w:lineRule="auto"/>
      </w:pPr>
    </w:p>
    <w:p w14:paraId="64287EAE" w14:textId="2B569095" w:rsidR="00B3595F" w:rsidRDefault="00CF66CD" w:rsidP="00B3595F">
      <w:pPr>
        <w:spacing w:line="480" w:lineRule="auto"/>
      </w:pPr>
      <w:r>
        <w:t xml:space="preserve">Proponents of territorial autonomy argue that abuses of power, </w:t>
      </w:r>
      <w:r w:rsidR="00A731A4">
        <w:t xml:space="preserve">in the form of </w:t>
      </w:r>
      <w:r>
        <w:t>localized tyrannies of the majority, can be avoided by ensuring robust human rights protections and local power-sharing governments</w:t>
      </w:r>
      <w:r w:rsidR="003F7FF0">
        <w:t>.</w:t>
      </w:r>
      <w:r w:rsidR="003F7FF0">
        <w:rPr>
          <w:rStyle w:val="FootnoteReference"/>
        </w:rPr>
        <w:footnoteReference w:id="33"/>
      </w:r>
      <w:r>
        <w:t xml:space="preserve"> This has been referred to as </w:t>
      </w:r>
      <w:r w:rsidR="007B56C4">
        <w:t>‘</w:t>
      </w:r>
      <w:r w:rsidRPr="00C1339C">
        <w:t>complex power-sharing</w:t>
      </w:r>
      <w:r w:rsidR="007B56C4">
        <w:t>’</w:t>
      </w:r>
      <w:r>
        <w:t>.</w:t>
      </w:r>
      <w:r w:rsidR="003F7FF0">
        <w:rPr>
          <w:rStyle w:val="FootnoteReference"/>
        </w:rPr>
        <w:footnoteReference w:id="34"/>
      </w:r>
      <w:r>
        <w:t xml:space="preserve"> </w:t>
      </w:r>
      <w:r w:rsidRPr="00C1339C">
        <w:t xml:space="preserve"> But such provisions could dilute or indeed undermine the autonomous powers and group-based guarantees that form the core deal</w:t>
      </w:r>
      <w:r w:rsidR="00FC5ACB">
        <w:t xml:space="preserve">, and would </w:t>
      </w:r>
      <w:r w:rsidR="00F70C2F">
        <w:t xml:space="preserve">also </w:t>
      </w:r>
      <w:r w:rsidR="00FC5ACB">
        <w:t xml:space="preserve">constrain the </w:t>
      </w:r>
      <w:r w:rsidR="00B3595F">
        <w:t xml:space="preserve">power of the former rebel </w:t>
      </w:r>
      <w:r w:rsidR="00FC5ACB">
        <w:t>leaders who usually end up ruling the autonomous region</w:t>
      </w:r>
      <w:r w:rsidR="00B3595F">
        <w:t xml:space="preserve">. </w:t>
      </w:r>
    </w:p>
    <w:p w14:paraId="0090D4B2" w14:textId="77777777" w:rsidR="0046586E" w:rsidRDefault="009659FF" w:rsidP="009659FF">
      <w:pPr>
        <w:spacing w:line="480" w:lineRule="auto"/>
        <w:rPr>
          <w:rFonts w:cs="Times New Roman"/>
          <w:i/>
        </w:rPr>
      </w:pPr>
      <w:r>
        <w:rPr>
          <w:i/>
        </w:rPr>
        <w:tab/>
      </w:r>
      <w:r w:rsidR="0046586E" w:rsidRPr="004E1C05">
        <w:rPr>
          <w:i/>
        </w:rPr>
        <w:t>H</w:t>
      </w:r>
      <w:r w:rsidR="005E5AC8">
        <w:rPr>
          <w:i/>
        </w:rPr>
        <w:t>2</w:t>
      </w:r>
      <w:r w:rsidR="0046586E" w:rsidRPr="004E1C05">
        <w:rPr>
          <w:i/>
        </w:rPr>
        <w:t xml:space="preserve">:  </w:t>
      </w:r>
      <w:r w:rsidR="0046586E" w:rsidRPr="004E1C05">
        <w:rPr>
          <w:rFonts w:cs="Times New Roman"/>
          <w:i/>
        </w:rPr>
        <w:t xml:space="preserve">Peace agreements that include territorial autonomy are less likely </w:t>
      </w:r>
      <w:r w:rsidR="00803192" w:rsidRPr="004E1C05">
        <w:rPr>
          <w:rFonts w:cs="Times New Roman"/>
          <w:i/>
        </w:rPr>
        <w:t>than agreements without such a ‘core deal’</w:t>
      </w:r>
      <w:r w:rsidR="00803192">
        <w:rPr>
          <w:rFonts w:cs="Times New Roman"/>
          <w:i/>
        </w:rPr>
        <w:t xml:space="preserve"> </w:t>
      </w:r>
      <w:r w:rsidR="0046586E" w:rsidRPr="004E1C05">
        <w:rPr>
          <w:rFonts w:cs="Times New Roman"/>
          <w:i/>
        </w:rPr>
        <w:t xml:space="preserve">to include human rights provisions </w:t>
      </w:r>
    </w:p>
    <w:p w14:paraId="4F3C7154" w14:textId="77777777" w:rsidR="00AD54F5" w:rsidRDefault="00AD54F5" w:rsidP="00FF5936">
      <w:pPr>
        <w:spacing w:line="480" w:lineRule="auto"/>
        <w:jc w:val="both"/>
        <w:rPr>
          <w:rFonts w:cs="Times New Roman"/>
        </w:rPr>
      </w:pPr>
    </w:p>
    <w:p w14:paraId="5CD473FD" w14:textId="473BAE62" w:rsidR="0046586E" w:rsidRPr="00C1339C" w:rsidRDefault="00F70C2F" w:rsidP="00FF5936">
      <w:pPr>
        <w:spacing w:line="480" w:lineRule="auto"/>
        <w:jc w:val="both"/>
        <w:rPr>
          <w:rFonts w:cs="Times New Roman"/>
        </w:rPr>
      </w:pPr>
      <w:r>
        <w:rPr>
          <w:rFonts w:cs="Times New Roman"/>
        </w:rPr>
        <w:t>I</w:t>
      </w:r>
      <w:r w:rsidR="00B3595F">
        <w:rPr>
          <w:rFonts w:cs="Times New Roman"/>
        </w:rPr>
        <w:t xml:space="preserve">t may sound </w:t>
      </w:r>
      <w:r>
        <w:rPr>
          <w:rFonts w:cs="Times New Roman"/>
        </w:rPr>
        <w:t xml:space="preserve">as if </w:t>
      </w:r>
      <w:r w:rsidR="00B3595F">
        <w:rPr>
          <w:rFonts w:cs="Times New Roman"/>
        </w:rPr>
        <w:t xml:space="preserve">the two variables – territorial conflict and territorial autonomy </w:t>
      </w:r>
      <w:r w:rsidR="0046586E">
        <w:rPr>
          <w:rFonts w:cs="Times New Roman"/>
        </w:rPr>
        <w:t xml:space="preserve">- </w:t>
      </w:r>
      <w:r w:rsidR="00B3595F">
        <w:rPr>
          <w:rFonts w:cs="Times New Roman"/>
        </w:rPr>
        <w:t>are coterminous. They are not</w:t>
      </w:r>
      <w:r w:rsidR="0046586E">
        <w:rPr>
          <w:rFonts w:cs="Times New Roman"/>
        </w:rPr>
        <w:t>. Firstly, not all settlements signed in territorial conflicts include territorial autonomy. In some cases the central gover</w:t>
      </w:r>
      <w:r>
        <w:rPr>
          <w:rFonts w:cs="Times New Roman"/>
        </w:rPr>
        <w:t xml:space="preserve">nment refused </w:t>
      </w:r>
      <w:r w:rsidR="00803192">
        <w:rPr>
          <w:rFonts w:cs="Times New Roman"/>
        </w:rPr>
        <w:t xml:space="preserve">territorial autonomy </w:t>
      </w:r>
      <w:r w:rsidR="009659FF">
        <w:rPr>
          <w:rFonts w:cs="Times New Roman"/>
        </w:rPr>
        <w:t xml:space="preserve">due to fears that it </w:t>
      </w:r>
      <w:r w:rsidR="0046586E">
        <w:rPr>
          <w:rFonts w:cs="Times New Roman"/>
        </w:rPr>
        <w:t>would increase the risk of secession</w:t>
      </w:r>
      <w:r>
        <w:rPr>
          <w:rFonts w:cs="Times New Roman"/>
        </w:rPr>
        <w:t>,</w:t>
      </w:r>
      <w:r w:rsidR="0046586E">
        <w:rPr>
          <w:rFonts w:cs="Times New Roman"/>
        </w:rPr>
        <w:t xml:space="preserve"> and the separatist group was not strong enough to insist on </w:t>
      </w:r>
      <w:r w:rsidR="00803192">
        <w:rPr>
          <w:rFonts w:cs="Times New Roman"/>
        </w:rPr>
        <w:t>such a settlement</w:t>
      </w:r>
      <w:r w:rsidR="00FC5ACB">
        <w:rPr>
          <w:rFonts w:cs="Times New Roman"/>
        </w:rPr>
        <w:t>. The settlements for Eastern Slavonia (Croatia) and Casamance (Senegal) are examples of this</w:t>
      </w:r>
      <w:r w:rsidR="003F7FF0">
        <w:rPr>
          <w:rFonts w:cs="Times New Roman"/>
        </w:rPr>
        <w:t>.</w:t>
      </w:r>
      <w:r w:rsidR="003F7FF0">
        <w:rPr>
          <w:rStyle w:val="FootnoteReference"/>
          <w:rFonts w:cs="Times New Roman"/>
        </w:rPr>
        <w:footnoteReference w:id="35"/>
      </w:r>
      <w:r w:rsidR="00FC5ACB">
        <w:rPr>
          <w:rFonts w:cs="Times New Roman"/>
        </w:rPr>
        <w:t xml:space="preserve"> </w:t>
      </w:r>
      <w:r w:rsidR="0046586E">
        <w:rPr>
          <w:rFonts w:cs="Times New Roman"/>
        </w:rPr>
        <w:t xml:space="preserve">The </w:t>
      </w:r>
      <w:r w:rsidR="00373347">
        <w:rPr>
          <w:rFonts w:cs="Times New Roman"/>
        </w:rPr>
        <w:t xml:space="preserve">absence of territorial autonomy could lead to greater </w:t>
      </w:r>
      <w:r w:rsidR="00373347">
        <w:rPr>
          <w:rFonts w:cs="Times New Roman"/>
        </w:rPr>
        <w:lastRenderedPageBreak/>
        <w:t xml:space="preserve">demands for human rights provisions, as a means </w:t>
      </w:r>
      <w:r w:rsidR="00687C26">
        <w:rPr>
          <w:rFonts w:cs="Times New Roman"/>
        </w:rPr>
        <w:t xml:space="preserve">of </w:t>
      </w:r>
      <w:r w:rsidR="00373347">
        <w:rPr>
          <w:rFonts w:cs="Times New Roman"/>
        </w:rPr>
        <w:t xml:space="preserve">ensuring group protections. </w:t>
      </w:r>
      <w:r w:rsidR="00687C26">
        <w:rPr>
          <w:rFonts w:cs="Times New Roman"/>
        </w:rPr>
        <w:t>Moreover, t</w:t>
      </w:r>
      <w:r w:rsidR="00373347">
        <w:rPr>
          <w:rFonts w:cs="Times New Roman"/>
        </w:rPr>
        <w:t>he</w:t>
      </w:r>
      <w:r w:rsidR="00687C26">
        <w:rPr>
          <w:rFonts w:cs="Times New Roman"/>
        </w:rPr>
        <w:t xml:space="preserve"> extent of devolved powers </w:t>
      </w:r>
      <w:r w:rsidR="001C5F4F">
        <w:rPr>
          <w:rFonts w:cs="Times New Roman"/>
        </w:rPr>
        <w:t>varies</w:t>
      </w:r>
      <w:r w:rsidR="00687C26">
        <w:rPr>
          <w:rFonts w:cs="Times New Roman"/>
        </w:rPr>
        <w:t xml:space="preserve"> significantly between the agreements that do include territorial autonomy, which impacts on the </w:t>
      </w:r>
      <w:r>
        <w:rPr>
          <w:rFonts w:cs="Times New Roman"/>
        </w:rPr>
        <w:t xml:space="preserve">strength of group </w:t>
      </w:r>
      <w:r w:rsidR="00687C26">
        <w:rPr>
          <w:rFonts w:cs="Times New Roman"/>
        </w:rPr>
        <w:t>protection</w:t>
      </w:r>
      <w:r>
        <w:rPr>
          <w:rFonts w:cs="Times New Roman"/>
        </w:rPr>
        <w:t xml:space="preserve"> provided by the settlement</w:t>
      </w:r>
      <w:r w:rsidR="0046586E">
        <w:rPr>
          <w:rFonts w:cs="Times New Roman"/>
        </w:rPr>
        <w:t>. Th</w:t>
      </w:r>
      <w:r w:rsidR="00373347">
        <w:rPr>
          <w:rFonts w:cs="Times New Roman"/>
        </w:rPr>
        <w:t xml:space="preserve">e effect of different degrees of autonomy on the inclusion or exclusion of human rights provisions </w:t>
      </w:r>
      <w:r w:rsidR="00687C26">
        <w:rPr>
          <w:rFonts w:cs="Times New Roman"/>
        </w:rPr>
        <w:t xml:space="preserve">is </w:t>
      </w:r>
      <w:r w:rsidR="00373347">
        <w:rPr>
          <w:rFonts w:cs="Times New Roman"/>
        </w:rPr>
        <w:t>examined as part of the QCA analysis</w:t>
      </w:r>
      <w:r w:rsidR="001C5F4F">
        <w:rPr>
          <w:rFonts w:cs="Times New Roman"/>
        </w:rPr>
        <w:t xml:space="preserve"> below</w:t>
      </w:r>
      <w:r w:rsidR="0046586E">
        <w:rPr>
          <w:rFonts w:cs="Times New Roman"/>
        </w:rPr>
        <w:t>. Secondly, some settlements signed in non-territorial conflicts include elements of territorial autonomy. Conflicts that are not about the s</w:t>
      </w:r>
      <w:r w:rsidR="00803192">
        <w:rPr>
          <w:rFonts w:cs="Times New Roman"/>
        </w:rPr>
        <w:t>tatus of a territory</w:t>
      </w:r>
      <w:r w:rsidR="0046586E">
        <w:rPr>
          <w:rFonts w:cs="Times New Roman"/>
        </w:rPr>
        <w:t xml:space="preserve"> may acquire </w:t>
      </w:r>
      <w:r w:rsidR="00803192">
        <w:rPr>
          <w:rFonts w:cs="Times New Roman"/>
        </w:rPr>
        <w:t xml:space="preserve">a territorial dimension: </w:t>
      </w:r>
      <w:r w:rsidR="0046586E">
        <w:rPr>
          <w:rFonts w:cs="Times New Roman"/>
        </w:rPr>
        <w:t>a rebel group may for example primarily recruit from a particular region and could come to control territory there.</w:t>
      </w:r>
      <w:r w:rsidR="00803192">
        <w:rPr>
          <w:rFonts w:cs="Times New Roman"/>
        </w:rPr>
        <w:t xml:space="preserve"> Following the signing of a negotiated settlement, such</w:t>
      </w:r>
      <w:r w:rsidR="0046586E">
        <w:rPr>
          <w:rFonts w:cs="Times New Roman"/>
        </w:rPr>
        <w:t xml:space="preserve"> control may continue as a form of territorial autonomy</w:t>
      </w:r>
      <w:r w:rsidR="004D2193">
        <w:rPr>
          <w:rFonts w:cs="Times New Roman"/>
        </w:rPr>
        <w:t>. For example, the Lusaka Protocol for Angola promised UNITA governorships in three of their strongholds and devolved significant powers to the provinces</w:t>
      </w:r>
      <w:r w:rsidR="00C41FCC">
        <w:rPr>
          <w:rFonts w:cs="Times New Roman"/>
        </w:rPr>
        <w:t>.</w:t>
      </w:r>
      <w:r w:rsidR="00C41FCC">
        <w:rPr>
          <w:rStyle w:val="FootnoteReference"/>
          <w:rFonts w:cs="Times New Roman"/>
        </w:rPr>
        <w:footnoteReference w:id="36"/>
      </w:r>
      <w:r w:rsidR="00C41FCC">
        <w:rPr>
          <w:rFonts w:cs="Times New Roman"/>
        </w:rPr>
        <w:t xml:space="preserve"> </w:t>
      </w:r>
      <w:r w:rsidR="004D2193">
        <w:rPr>
          <w:rFonts w:cs="Times New Roman"/>
        </w:rPr>
        <w:t>The General Peace Agreement for Mozambique similarly allowed RENAMO to retain territorial control, although only</w:t>
      </w:r>
      <w:r w:rsidR="00803192">
        <w:rPr>
          <w:rFonts w:cs="Times New Roman"/>
        </w:rPr>
        <w:t xml:space="preserve"> during the transitional period,</w:t>
      </w:r>
      <w:r w:rsidR="004D2193">
        <w:rPr>
          <w:rFonts w:cs="Times New Roman"/>
        </w:rPr>
        <w:t xml:space="preserve"> i.e. until a new government was elected</w:t>
      </w:r>
      <w:r w:rsidR="00C41FCC">
        <w:rPr>
          <w:rFonts w:cs="Times New Roman"/>
        </w:rPr>
        <w:t>.</w:t>
      </w:r>
      <w:r w:rsidR="00C41FCC">
        <w:rPr>
          <w:rStyle w:val="FootnoteReference"/>
          <w:rFonts w:cs="Times New Roman"/>
        </w:rPr>
        <w:footnoteReference w:id="37"/>
      </w:r>
      <w:r w:rsidR="004D2193">
        <w:rPr>
          <w:rFonts w:cs="Times New Roman"/>
        </w:rPr>
        <w:t xml:space="preserve"> </w:t>
      </w:r>
    </w:p>
    <w:p w14:paraId="39772C9B" w14:textId="77777777" w:rsidR="00B96776" w:rsidRDefault="00B96776" w:rsidP="00B96776">
      <w:pPr>
        <w:spacing w:line="480" w:lineRule="auto"/>
        <w:rPr>
          <w:rFonts w:cs="Times New Roman"/>
        </w:rPr>
      </w:pPr>
    </w:p>
    <w:p w14:paraId="1D976EC5" w14:textId="7853C63F" w:rsidR="00F73CC2" w:rsidRDefault="00B96776" w:rsidP="0080149B">
      <w:pPr>
        <w:spacing w:line="480" w:lineRule="auto"/>
        <w:rPr>
          <w:rFonts w:cs="Times New Roman"/>
        </w:rPr>
      </w:pPr>
      <w:r>
        <w:rPr>
          <w:rFonts w:cs="Times New Roman"/>
        </w:rPr>
        <w:t xml:space="preserve">The dependent variable, human rights provisions, refers to </w:t>
      </w:r>
      <w:r w:rsidRPr="00024A7A">
        <w:rPr>
          <w:rFonts w:cs="Times New Roman"/>
        </w:rPr>
        <w:t>future-oriented human rights provisions</w:t>
      </w:r>
      <w:r>
        <w:rPr>
          <w:rFonts w:cs="Times New Roman"/>
        </w:rPr>
        <w:t>. These are however not the only human rights issues of importance in peace talks</w:t>
      </w:r>
      <w:r w:rsidR="00687C26">
        <w:rPr>
          <w:rFonts w:cs="Times New Roman"/>
        </w:rPr>
        <w:t xml:space="preserve">. </w:t>
      </w:r>
      <w:r>
        <w:rPr>
          <w:rFonts w:cs="Times New Roman"/>
        </w:rPr>
        <w:t xml:space="preserve"> </w:t>
      </w:r>
      <w:r w:rsidR="00687C26">
        <w:rPr>
          <w:rFonts w:cs="Times New Roman"/>
        </w:rPr>
        <w:t>P</w:t>
      </w:r>
      <w:r>
        <w:rPr>
          <w:rFonts w:cs="Times New Roman"/>
        </w:rPr>
        <w:t xml:space="preserve">eace settlements may also aim to address past </w:t>
      </w:r>
      <w:r w:rsidRPr="00C1339C">
        <w:t>human rights</w:t>
      </w:r>
      <w:r>
        <w:t xml:space="preserve"> abuses, </w:t>
      </w:r>
      <w:r w:rsidR="00687C26">
        <w:t xml:space="preserve">either </w:t>
      </w:r>
      <w:r>
        <w:t xml:space="preserve">through retributive mechanisms, such as war crimes tribunals, or through </w:t>
      </w:r>
      <w:r w:rsidR="00F73CC2">
        <w:t xml:space="preserve">restorative forms of transitional justice, such as </w:t>
      </w:r>
      <w:r w:rsidR="00F73CC2">
        <w:rPr>
          <w:rFonts w:cs="Times New Roman"/>
        </w:rPr>
        <w:t>truth commissions.</w:t>
      </w:r>
      <w:r w:rsidR="00F73CC2">
        <w:rPr>
          <w:rStyle w:val="FootnoteReference"/>
          <w:rFonts w:cs="Times New Roman"/>
        </w:rPr>
        <w:footnoteReference w:id="38"/>
      </w:r>
      <w:r w:rsidR="00F73CC2">
        <w:rPr>
          <w:rFonts w:cs="Times New Roman"/>
        </w:rPr>
        <w:t xml:space="preserve"> However, there is little reason to expect that the type of conflict or settlement will impact on such provisions. </w:t>
      </w:r>
      <w:r w:rsidR="00F73CC2" w:rsidRPr="005C7F0F">
        <w:rPr>
          <w:rFonts w:cs="Times New Roman"/>
        </w:rPr>
        <w:t xml:space="preserve">The need to make deals with </w:t>
      </w:r>
      <w:r w:rsidR="00F73CC2">
        <w:rPr>
          <w:rFonts w:cs="Times New Roman"/>
        </w:rPr>
        <w:t>‘</w:t>
      </w:r>
      <w:r w:rsidR="00F73CC2" w:rsidRPr="005C7F0F">
        <w:rPr>
          <w:rFonts w:cs="Times New Roman"/>
        </w:rPr>
        <w:t>unsavoury groups</w:t>
      </w:r>
      <w:r w:rsidR="00F73CC2">
        <w:rPr>
          <w:rFonts w:cs="Times New Roman"/>
        </w:rPr>
        <w:t>’</w:t>
      </w:r>
      <w:r w:rsidR="00F73CC2">
        <w:rPr>
          <w:rStyle w:val="FootnoteReference"/>
          <w:rFonts w:cs="Times New Roman"/>
        </w:rPr>
        <w:footnoteReference w:id="39"/>
      </w:r>
      <w:r w:rsidR="00F73CC2" w:rsidRPr="005C7F0F">
        <w:rPr>
          <w:rFonts w:cs="Times New Roman"/>
        </w:rPr>
        <w:t xml:space="preserve"> </w:t>
      </w:r>
      <w:r w:rsidR="00F73CC2">
        <w:rPr>
          <w:rFonts w:cs="Times New Roman"/>
        </w:rPr>
        <w:t xml:space="preserve">and leaders </w:t>
      </w:r>
      <w:r w:rsidR="00F73CC2" w:rsidRPr="005C7F0F">
        <w:rPr>
          <w:rFonts w:cs="Times New Roman"/>
        </w:rPr>
        <w:t>will be found in both these contexts</w:t>
      </w:r>
      <w:r w:rsidR="00373347">
        <w:rPr>
          <w:rFonts w:cs="Times New Roman"/>
        </w:rPr>
        <w:t xml:space="preserve">, and will come up </w:t>
      </w:r>
      <w:r w:rsidR="00373347">
        <w:rPr>
          <w:rFonts w:cs="Times New Roman"/>
        </w:rPr>
        <w:lastRenderedPageBreak/>
        <w:t xml:space="preserve">against similar international pressures and an </w:t>
      </w:r>
      <w:r w:rsidR="0080149B">
        <w:rPr>
          <w:rFonts w:cs="Times New Roman"/>
        </w:rPr>
        <w:t>emerging international law which does not permit amnesties that cover serious international crimes.</w:t>
      </w:r>
      <w:r w:rsidR="0080149B">
        <w:rPr>
          <w:rStyle w:val="FootnoteReference"/>
          <w:rFonts w:cs="Times New Roman"/>
        </w:rPr>
        <w:footnoteReference w:id="40"/>
      </w:r>
      <w:r w:rsidR="0080149B">
        <w:rPr>
          <w:rFonts w:cs="Times New Roman"/>
        </w:rPr>
        <w:t xml:space="preserve"> </w:t>
      </w:r>
      <w:r w:rsidR="00DC52EF">
        <w:rPr>
          <w:rFonts w:cs="Times New Roman"/>
        </w:rPr>
        <w:t xml:space="preserve">The focus of the article will therefore be on </w:t>
      </w:r>
      <w:r w:rsidR="00DC52EF" w:rsidRPr="00024A7A">
        <w:rPr>
          <w:rFonts w:cs="Times New Roman"/>
        </w:rPr>
        <w:t>future-oriented human rights provisions</w:t>
      </w:r>
      <w:r w:rsidR="00DC52EF">
        <w:rPr>
          <w:rFonts w:cs="Times New Roman"/>
        </w:rPr>
        <w:t xml:space="preserve">, </w:t>
      </w:r>
      <w:r w:rsidR="00DC52EF" w:rsidRPr="00352328">
        <w:rPr>
          <w:rFonts w:cs="Times New Roman"/>
        </w:rPr>
        <w:t xml:space="preserve">although the effect on how past abuses are addressed (or not) will be touched on in the </w:t>
      </w:r>
      <w:r w:rsidR="00373347" w:rsidRPr="00352328">
        <w:rPr>
          <w:rFonts w:cs="Times New Roman"/>
        </w:rPr>
        <w:t xml:space="preserve">section on implementation. </w:t>
      </w:r>
    </w:p>
    <w:p w14:paraId="2A17872A" w14:textId="77777777" w:rsidR="002D263E" w:rsidRDefault="002D263E" w:rsidP="00AD54F5">
      <w:pPr>
        <w:spacing w:line="480" w:lineRule="auto"/>
        <w:rPr>
          <w:rFonts w:cs="Times New Roman"/>
          <w:b/>
        </w:rPr>
      </w:pPr>
    </w:p>
    <w:p w14:paraId="63A911C0" w14:textId="77777777" w:rsidR="004E1C05" w:rsidRPr="00AD54F5" w:rsidRDefault="004E1C05" w:rsidP="00AD54F5">
      <w:pPr>
        <w:spacing w:line="480" w:lineRule="auto"/>
        <w:rPr>
          <w:rFonts w:cs="Times New Roman"/>
          <w:i/>
        </w:rPr>
      </w:pPr>
      <w:r>
        <w:rPr>
          <w:rFonts w:cs="Times New Roman"/>
          <w:b/>
        </w:rPr>
        <w:t>Implementation</w:t>
      </w:r>
      <w:r w:rsidR="004458CD">
        <w:rPr>
          <w:rFonts w:cs="Times New Roman"/>
          <w:b/>
        </w:rPr>
        <w:t xml:space="preserve"> </w:t>
      </w:r>
    </w:p>
    <w:p w14:paraId="6CB78445" w14:textId="410B014A" w:rsidR="00F31E0F" w:rsidRDefault="00921B04" w:rsidP="004E1C05">
      <w:pPr>
        <w:spacing w:line="480" w:lineRule="auto"/>
        <w:rPr>
          <w:rFonts w:cs="Times New Roman"/>
        </w:rPr>
      </w:pPr>
      <w:r w:rsidRPr="004458CD">
        <w:rPr>
          <w:rFonts w:cs="Times New Roman"/>
        </w:rPr>
        <w:t xml:space="preserve">The key demands made in a conflict and the ‘core deal’ found in a settlement are </w:t>
      </w:r>
      <w:r>
        <w:rPr>
          <w:rFonts w:cs="Times New Roman"/>
        </w:rPr>
        <w:t xml:space="preserve">therefore expected to affect the inclusion of </w:t>
      </w:r>
      <w:r w:rsidR="008D100E">
        <w:rPr>
          <w:rFonts w:cs="Times New Roman"/>
        </w:rPr>
        <w:t>human rights provisions. Settlements with a high number of institutional mechanisms have been found to be more durable,</w:t>
      </w:r>
      <w:r w:rsidR="008D100E">
        <w:rPr>
          <w:rStyle w:val="FootnoteReference"/>
          <w:rFonts w:cs="Times New Roman"/>
        </w:rPr>
        <w:footnoteReference w:id="41"/>
      </w:r>
      <w:r w:rsidR="008D100E">
        <w:rPr>
          <w:rFonts w:cs="Times New Roman"/>
        </w:rPr>
        <w:t xml:space="preserve"> but this does not mean that all such provisions are necessarily implemented. H</w:t>
      </w:r>
      <w:r w:rsidR="006957C6">
        <w:rPr>
          <w:rFonts w:cs="Times New Roman"/>
        </w:rPr>
        <w:t xml:space="preserve">uman rights provisions </w:t>
      </w:r>
      <w:r w:rsidR="0022143C">
        <w:rPr>
          <w:rFonts w:cs="Times New Roman"/>
        </w:rPr>
        <w:t xml:space="preserve">in a peace settlement </w:t>
      </w:r>
      <w:r w:rsidR="008D100E">
        <w:rPr>
          <w:rFonts w:cs="Times New Roman"/>
        </w:rPr>
        <w:t xml:space="preserve">do not </w:t>
      </w:r>
      <w:r w:rsidR="006957C6">
        <w:rPr>
          <w:rFonts w:cs="Times New Roman"/>
        </w:rPr>
        <w:t>automatically translate into post-war hum</w:t>
      </w:r>
      <w:r w:rsidR="008D100E">
        <w:rPr>
          <w:rFonts w:cs="Times New Roman"/>
        </w:rPr>
        <w:t>an rights protections.</w:t>
      </w:r>
      <w:r w:rsidR="0022143C">
        <w:rPr>
          <w:rStyle w:val="FootnoteReference"/>
          <w:rFonts w:cs="Times New Roman"/>
        </w:rPr>
        <w:footnoteReference w:id="42"/>
      </w:r>
      <w:r w:rsidR="0022143C">
        <w:rPr>
          <w:rFonts w:cs="Times New Roman"/>
        </w:rPr>
        <w:t xml:space="preserve"> A </w:t>
      </w:r>
      <w:r w:rsidR="006957C6">
        <w:rPr>
          <w:rFonts w:cs="Times New Roman"/>
        </w:rPr>
        <w:t>peace settlement</w:t>
      </w:r>
      <w:r w:rsidR="008D100E">
        <w:rPr>
          <w:rFonts w:cs="Times New Roman"/>
        </w:rPr>
        <w:t xml:space="preserve"> </w:t>
      </w:r>
      <w:r w:rsidR="0022143C">
        <w:rPr>
          <w:rFonts w:cs="Times New Roman"/>
        </w:rPr>
        <w:t xml:space="preserve">is </w:t>
      </w:r>
      <w:r w:rsidR="007B56C4">
        <w:rPr>
          <w:rFonts w:cs="Times New Roman"/>
        </w:rPr>
        <w:t>‘</w:t>
      </w:r>
      <w:r w:rsidR="0022143C">
        <w:rPr>
          <w:rFonts w:cs="Times New Roman"/>
        </w:rPr>
        <w:t xml:space="preserve">only </w:t>
      </w:r>
      <w:r w:rsidR="00F843BF">
        <w:rPr>
          <w:rFonts w:cs="Times New Roman"/>
        </w:rPr>
        <w:t>one aspect of a transition away from violent conflict</w:t>
      </w:r>
      <w:r w:rsidR="007B56C4">
        <w:rPr>
          <w:rFonts w:cs="Times New Roman"/>
        </w:rPr>
        <w:t>’</w:t>
      </w:r>
      <w:r w:rsidR="00F843BF">
        <w:rPr>
          <w:rFonts w:cs="Times New Roman"/>
        </w:rPr>
        <w:t xml:space="preserve"> </w:t>
      </w:r>
      <w:r w:rsidR="00B63569">
        <w:rPr>
          <w:rFonts w:cs="Times New Roman"/>
        </w:rPr>
        <w:t xml:space="preserve">but </w:t>
      </w:r>
      <w:r w:rsidR="00F843BF">
        <w:rPr>
          <w:rFonts w:cs="Times New Roman"/>
        </w:rPr>
        <w:t>it is</w:t>
      </w:r>
      <w:r w:rsidR="00B63569">
        <w:rPr>
          <w:rFonts w:cs="Times New Roman"/>
        </w:rPr>
        <w:t>,</w:t>
      </w:r>
      <w:r w:rsidR="00F843BF">
        <w:rPr>
          <w:rFonts w:cs="Times New Roman"/>
        </w:rPr>
        <w:t xml:space="preserve"> as Joshi</w:t>
      </w:r>
      <w:r w:rsidR="0063202E">
        <w:rPr>
          <w:rFonts w:cs="Times New Roman"/>
        </w:rPr>
        <w:t>, Le</w:t>
      </w:r>
      <w:r w:rsidR="00F740A8">
        <w:rPr>
          <w:rFonts w:cs="Times New Roman"/>
        </w:rPr>
        <w:t>e</w:t>
      </w:r>
      <w:r w:rsidR="0063202E">
        <w:rPr>
          <w:rFonts w:cs="Times New Roman"/>
        </w:rPr>
        <w:t xml:space="preserve"> and Mac Ginty</w:t>
      </w:r>
      <w:r w:rsidR="007B56C4">
        <w:rPr>
          <w:rFonts w:cs="Times New Roman"/>
        </w:rPr>
        <w:t xml:space="preserve"> point out, a ‘</w:t>
      </w:r>
      <w:r w:rsidR="00F843BF">
        <w:rPr>
          <w:rFonts w:cs="Times New Roman"/>
        </w:rPr>
        <w:t>public commitment</w:t>
      </w:r>
      <w:r w:rsidR="007B56C4">
        <w:rPr>
          <w:rFonts w:cs="Times New Roman"/>
        </w:rPr>
        <w:t>’</w:t>
      </w:r>
      <w:r w:rsidR="00F843BF">
        <w:rPr>
          <w:rFonts w:cs="Times New Roman"/>
        </w:rPr>
        <w:t xml:space="preserve"> to change</w:t>
      </w:r>
      <w:r w:rsidR="008D100E">
        <w:rPr>
          <w:rFonts w:cs="Times New Roman"/>
        </w:rPr>
        <w:t>.</w:t>
      </w:r>
      <w:r w:rsidR="00701515">
        <w:rPr>
          <w:rStyle w:val="FootnoteReference"/>
          <w:rFonts w:cs="Times New Roman"/>
        </w:rPr>
        <w:footnoteReference w:id="43"/>
      </w:r>
      <w:r w:rsidR="0022143C">
        <w:rPr>
          <w:rFonts w:cs="Times New Roman"/>
        </w:rPr>
        <w:t xml:space="preserve"> </w:t>
      </w:r>
      <w:r w:rsidR="008D100E">
        <w:rPr>
          <w:rFonts w:cs="Times New Roman"/>
        </w:rPr>
        <w:t>The absence of such a commitment in the form of human rights provisions will reduce the pol</w:t>
      </w:r>
      <w:r w:rsidR="00F31E0F">
        <w:rPr>
          <w:rFonts w:cs="Times New Roman"/>
        </w:rPr>
        <w:t xml:space="preserve">itical space available for </w:t>
      </w:r>
      <w:r w:rsidR="008D100E">
        <w:rPr>
          <w:rFonts w:cs="Times New Roman"/>
        </w:rPr>
        <w:t>reforms.</w:t>
      </w:r>
      <w:r w:rsidR="008D100E">
        <w:rPr>
          <w:rStyle w:val="FootnoteReference"/>
          <w:rFonts w:cs="Times New Roman"/>
        </w:rPr>
        <w:footnoteReference w:id="44"/>
      </w:r>
      <w:r w:rsidR="008D100E">
        <w:rPr>
          <w:rFonts w:cs="Times New Roman"/>
        </w:rPr>
        <w:t xml:space="preserve"> </w:t>
      </w:r>
      <w:r w:rsidR="00F31E0F">
        <w:rPr>
          <w:rFonts w:cs="Times New Roman"/>
        </w:rPr>
        <w:t>The likely absence of human rights provisions in territorial agreements will therefore impact on post-war protections.</w:t>
      </w:r>
    </w:p>
    <w:p w14:paraId="0EEED1F9" w14:textId="50FFD157" w:rsidR="005E5AC8" w:rsidRPr="004458CD" w:rsidRDefault="00913DB5" w:rsidP="004E1C05">
      <w:pPr>
        <w:spacing w:line="480" w:lineRule="auto"/>
        <w:rPr>
          <w:rFonts w:cs="Times New Roman"/>
        </w:rPr>
      </w:pPr>
      <w:r>
        <w:rPr>
          <w:rFonts w:cs="Times New Roman"/>
        </w:rPr>
        <w:t xml:space="preserve">Moreover, </w:t>
      </w:r>
      <w:r w:rsidR="00F31E0F">
        <w:rPr>
          <w:rFonts w:cs="Times New Roman"/>
        </w:rPr>
        <w:t xml:space="preserve">the implementation of human rights provisions - if included in a settlement - is also likely to be </w:t>
      </w:r>
      <w:r>
        <w:rPr>
          <w:rFonts w:cs="Times New Roman"/>
        </w:rPr>
        <w:t xml:space="preserve">affected by the conflict type and </w:t>
      </w:r>
      <w:r w:rsidR="0063202E">
        <w:rPr>
          <w:rFonts w:cs="Times New Roman"/>
        </w:rPr>
        <w:t xml:space="preserve">by </w:t>
      </w:r>
      <w:r>
        <w:rPr>
          <w:rFonts w:cs="Times New Roman"/>
        </w:rPr>
        <w:t xml:space="preserve">the core settlement. </w:t>
      </w:r>
      <w:r w:rsidR="00F31E0F">
        <w:rPr>
          <w:rFonts w:cs="Times New Roman"/>
        </w:rPr>
        <w:t xml:space="preserve">As will be shown below in </w:t>
      </w:r>
      <w:r w:rsidR="00F31E0F">
        <w:rPr>
          <w:rFonts w:cs="Times New Roman"/>
        </w:rPr>
        <w:lastRenderedPageBreak/>
        <w:t>the Qualitative Comparative Analysis, h</w:t>
      </w:r>
      <w:r w:rsidR="005E5AC8" w:rsidRPr="004458CD">
        <w:rPr>
          <w:rFonts w:cs="Times New Roman"/>
        </w:rPr>
        <w:t>uman rights provisions in the context of a territorial agreement are likely to have been pushed by international mediators</w:t>
      </w:r>
      <w:r w:rsidR="00F31E0F">
        <w:rPr>
          <w:rFonts w:cs="Times New Roman"/>
        </w:rPr>
        <w:t xml:space="preserve">. </w:t>
      </w:r>
      <w:r w:rsidR="00803192">
        <w:rPr>
          <w:rFonts w:cs="Times New Roman"/>
        </w:rPr>
        <w:t>W</w:t>
      </w:r>
      <w:r w:rsidR="0063202E">
        <w:rPr>
          <w:rFonts w:cs="Times New Roman"/>
        </w:rPr>
        <w:t>e would</w:t>
      </w:r>
      <w:r w:rsidR="00F30D08">
        <w:rPr>
          <w:rFonts w:cs="Times New Roman"/>
        </w:rPr>
        <w:t xml:space="preserve"> expect such provisions to be less effective than locally-rooted </w:t>
      </w:r>
      <w:r w:rsidR="0063202E">
        <w:rPr>
          <w:rFonts w:cs="Times New Roman"/>
        </w:rPr>
        <w:t>ones</w:t>
      </w:r>
      <w:r w:rsidR="00701515">
        <w:rPr>
          <w:rFonts w:cs="Times New Roman"/>
        </w:rPr>
        <w:t>.</w:t>
      </w:r>
      <w:r w:rsidR="00701515">
        <w:rPr>
          <w:rStyle w:val="FootnoteReference"/>
          <w:rFonts w:cs="Times New Roman"/>
        </w:rPr>
        <w:footnoteReference w:id="45"/>
      </w:r>
      <w:r w:rsidR="00701515">
        <w:rPr>
          <w:rFonts w:cs="Times New Roman"/>
        </w:rPr>
        <w:t xml:space="preserve"> </w:t>
      </w:r>
      <w:r w:rsidR="005E5AC8" w:rsidRPr="004458CD">
        <w:rPr>
          <w:rFonts w:cs="Times New Roman"/>
        </w:rPr>
        <w:t>Moreover, i</w:t>
      </w:r>
      <w:r w:rsidR="00F30D08">
        <w:rPr>
          <w:rFonts w:cs="Times New Roman"/>
        </w:rPr>
        <w:t xml:space="preserve">f human rights provisions </w:t>
      </w:r>
      <w:r w:rsidR="005E5AC8" w:rsidRPr="004458CD">
        <w:rPr>
          <w:rFonts w:cs="Times New Roman"/>
        </w:rPr>
        <w:t xml:space="preserve">threaten the ‘core deal’ and thereby both the protections secured in the settlement and the position of the </w:t>
      </w:r>
      <w:r w:rsidR="00F30D08">
        <w:rPr>
          <w:rFonts w:cs="Times New Roman"/>
        </w:rPr>
        <w:t>leaders</w:t>
      </w:r>
      <w:r w:rsidR="005E5AC8" w:rsidRPr="004458CD">
        <w:rPr>
          <w:rFonts w:cs="Times New Roman"/>
        </w:rPr>
        <w:t>, then we would expect greater levels of resistance to the</w:t>
      </w:r>
      <w:r w:rsidR="00803192">
        <w:rPr>
          <w:rFonts w:cs="Times New Roman"/>
        </w:rPr>
        <w:t>ir</w:t>
      </w:r>
      <w:r w:rsidR="005E5AC8" w:rsidRPr="004458CD">
        <w:rPr>
          <w:rFonts w:cs="Times New Roman"/>
        </w:rPr>
        <w:t xml:space="preserve"> implementation</w:t>
      </w:r>
      <w:r w:rsidR="00803192">
        <w:rPr>
          <w:rFonts w:cs="Times New Roman"/>
        </w:rPr>
        <w:t xml:space="preserve">. </w:t>
      </w:r>
    </w:p>
    <w:p w14:paraId="7AF9E9A9" w14:textId="66B57BCA" w:rsidR="004E1C05" w:rsidRDefault="00E47032" w:rsidP="004E1C05">
      <w:pPr>
        <w:spacing w:line="480" w:lineRule="auto"/>
        <w:rPr>
          <w:rFonts w:cs="Times New Roman"/>
          <w:i/>
        </w:rPr>
      </w:pPr>
      <w:r>
        <w:rPr>
          <w:rFonts w:cs="Times New Roman"/>
          <w:i/>
        </w:rPr>
        <w:tab/>
      </w:r>
      <w:r w:rsidR="00041B3D">
        <w:rPr>
          <w:rFonts w:cs="Times New Roman"/>
          <w:i/>
        </w:rPr>
        <w:t>H3</w:t>
      </w:r>
      <w:r w:rsidR="005E5AC8" w:rsidRPr="009659FF">
        <w:rPr>
          <w:rFonts w:cs="Times New Roman"/>
          <w:i/>
        </w:rPr>
        <w:t>: Implementation of human rights provisions will be more diffic</w:t>
      </w:r>
      <w:r w:rsidR="004458CD" w:rsidRPr="009659FF">
        <w:rPr>
          <w:rFonts w:cs="Times New Roman"/>
          <w:i/>
        </w:rPr>
        <w:t xml:space="preserve">ult in territorial conflicts, especially if the settlement includes territorial autonomy. </w:t>
      </w:r>
    </w:p>
    <w:p w14:paraId="5B5AE945" w14:textId="77777777" w:rsidR="00041B3D" w:rsidRPr="009659FF" w:rsidRDefault="00041B3D" w:rsidP="004E1C05">
      <w:pPr>
        <w:spacing w:line="480" w:lineRule="auto"/>
        <w:rPr>
          <w:rFonts w:cs="Times New Roman"/>
          <w:i/>
        </w:rPr>
      </w:pPr>
    </w:p>
    <w:p w14:paraId="6085FF0A" w14:textId="77777777" w:rsidR="00B82A66" w:rsidRDefault="005517B3">
      <w:pPr>
        <w:rPr>
          <w:rFonts w:cs="Times New Roman"/>
          <w:b/>
        </w:rPr>
      </w:pPr>
      <w:r>
        <w:rPr>
          <w:rFonts w:cs="Times New Roman"/>
          <w:b/>
        </w:rPr>
        <w:t>Case Selection and Definitions</w:t>
      </w:r>
      <w:r w:rsidR="00B82A66">
        <w:rPr>
          <w:rFonts w:cs="Times New Roman"/>
          <w:b/>
        </w:rPr>
        <w:t xml:space="preserve"> </w:t>
      </w:r>
    </w:p>
    <w:p w14:paraId="0F960C36" w14:textId="3EA95B30" w:rsidR="007F3BD5" w:rsidRDefault="00CB7995" w:rsidP="0007604A">
      <w:pPr>
        <w:spacing w:line="480" w:lineRule="auto"/>
        <w:jc w:val="both"/>
      </w:pPr>
      <w:r w:rsidRPr="00C1339C">
        <w:rPr>
          <w:rFonts w:cs="Times New Roman"/>
        </w:rPr>
        <w:t xml:space="preserve">The empirical basis of this article is a medium-N analysis of </w:t>
      </w:r>
      <w:r w:rsidR="00BE4363">
        <w:rPr>
          <w:rFonts w:cs="Times New Roman"/>
        </w:rPr>
        <w:t xml:space="preserve">all comprehensive </w:t>
      </w:r>
      <w:r w:rsidRPr="00C1339C">
        <w:rPr>
          <w:rFonts w:cs="Times New Roman"/>
        </w:rPr>
        <w:t xml:space="preserve">peace agreements signed </w:t>
      </w:r>
      <w:r w:rsidR="00E47032">
        <w:rPr>
          <w:rFonts w:cs="Times New Roman"/>
        </w:rPr>
        <w:t>in armed conflicts between 1990 and 2010</w:t>
      </w:r>
      <w:r w:rsidRPr="00C1339C">
        <w:rPr>
          <w:rFonts w:cs="Times New Roman"/>
        </w:rPr>
        <w:t xml:space="preserve">. </w:t>
      </w:r>
      <w:r w:rsidR="00E47032">
        <w:rPr>
          <w:rFonts w:cs="Times New Roman"/>
        </w:rPr>
        <w:t xml:space="preserve">This includes fifteen </w:t>
      </w:r>
      <w:r w:rsidRPr="00C1339C">
        <w:rPr>
          <w:rFonts w:cs="Times New Roman"/>
        </w:rPr>
        <w:t xml:space="preserve">agreements signed in territorial </w:t>
      </w:r>
      <w:r w:rsidR="00880A46">
        <w:rPr>
          <w:rFonts w:cs="Times New Roman"/>
        </w:rPr>
        <w:t>conflicts</w:t>
      </w:r>
      <w:r w:rsidR="00E47032">
        <w:rPr>
          <w:rFonts w:cs="Times New Roman"/>
        </w:rPr>
        <w:t xml:space="preserve"> and fourteen signed in non-territorial conflicts </w:t>
      </w:r>
      <w:r w:rsidR="008D4B15">
        <w:rPr>
          <w:rFonts w:cs="Times New Roman"/>
        </w:rPr>
        <w:t>(see Table I)</w:t>
      </w:r>
      <w:r w:rsidR="008C01DF">
        <w:rPr>
          <w:rFonts w:cs="Times New Roman"/>
        </w:rPr>
        <w:t xml:space="preserve">. </w:t>
      </w:r>
      <w:r w:rsidR="0007604A">
        <w:rPr>
          <w:rFonts w:cs="Times New Roman"/>
        </w:rPr>
        <w:t xml:space="preserve">The 29 agreements are comprehensive agreements, </w:t>
      </w:r>
      <w:r w:rsidR="00BE4363">
        <w:rPr>
          <w:rFonts w:cs="Times New Roman"/>
        </w:rPr>
        <w:t xml:space="preserve">which means that </w:t>
      </w:r>
      <w:r w:rsidR="0007604A">
        <w:rPr>
          <w:rFonts w:cs="Times New Roman"/>
        </w:rPr>
        <w:t xml:space="preserve">they </w:t>
      </w:r>
      <w:r w:rsidR="001723B8" w:rsidRPr="00C1339C">
        <w:t>were signed by major p</w:t>
      </w:r>
      <w:r w:rsidR="0007604A">
        <w:t xml:space="preserve">arties in the conflict and </w:t>
      </w:r>
      <w:r w:rsidR="001723B8" w:rsidRPr="00C1339C">
        <w:t xml:space="preserve">aimed to address the underlying causes of the conflict. </w:t>
      </w:r>
      <w:r w:rsidR="00BE4363">
        <w:t>Most of t</w:t>
      </w:r>
      <w:r w:rsidR="0007604A">
        <w:t>he</w:t>
      </w:r>
      <w:r w:rsidR="00BE4363">
        <w:t>se</w:t>
      </w:r>
      <w:r w:rsidR="0007604A">
        <w:t xml:space="preserve"> </w:t>
      </w:r>
      <w:r w:rsidR="00BE4363">
        <w:t xml:space="preserve">settlements were identified using the </w:t>
      </w:r>
      <w:r w:rsidR="0007604A">
        <w:rPr>
          <w:rFonts w:cs="Times New Roman"/>
        </w:rPr>
        <w:t>Peace Accords Matrix (PAM)</w:t>
      </w:r>
      <w:r w:rsidR="0007604A">
        <w:t>,</w:t>
      </w:r>
      <w:r w:rsidR="00701515">
        <w:rPr>
          <w:rStyle w:val="FootnoteReference"/>
        </w:rPr>
        <w:footnoteReference w:id="46"/>
      </w:r>
      <w:r w:rsidR="00921B04">
        <w:t xml:space="preserve"> </w:t>
      </w:r>
      <w:r w:rsidR="0007604A">
        <w:t xml:space="preserve">which is also used by </w:t>
      </w:r>
      <w:r w:rsidR="0063202E">
        <w:t>Joshi, Le</w:t>
      </w:r>
      <w:r w:rsidR="00F740A8">
        <w:t>e</w:t>
      </w:r>
      <w:r w:rsidR="0063202E">
        <w:t xml:space="preserve"> and Mac Ginty</w:t>
      </w:r>
      <w:r w:rsidR="00701515">
        <w:t>,</w:t>
      </w:r>
      <w:r w:rsidR="00701515">
        <w:rPr>
          <w:rStyle w:val="FootnoteReference"/>
        </w:rPr>
        <w:footnoteReference w:id="47"/>
      </w:r>
      <w:r w:rsidR="0063202E">
        <w:t xml:space="preserve"> </w:t>
      </w:r>
      <w:r w:rsidR="00921B04">
        <w:t xml:space="preserve">and the peace agreements analysed </w:t>
      </w:r>
      <w:r w:rsidR="0063202E">
        <w:t xml:space="preserve">in this article </w:t>
      </w:r>
      <w:r w:rsidR="00921B04">
        <w:t xml:space="preserve">are </w:t>
      </w:r>
      <w:r w:rsidR="007F3BD5">
        <w:t xml:space="preserve">therefore </w:t>
      </w:r>
      <w:r w:rsidR="00921B04">
        <w:t xml:space="preserve">broadly similar to the 34 agreements </w:t>
      </w:r>
      <w:r w:rsidR="0063202E">
        <w:t>they cover</w:t>
      </w:r>
      <w:r w:rsidR="007F3BD5">
        <w:t>.</w:t>
      </w:r>
      <w:r w:rsidR="00E47032">
        <w:rPr>
          <w:rStyle w:val="FootnoteReference"/>
        </w:rPr>
        <w:footnoteReference w:id="48"/>
      </w:r>
      <w:r w:rsidR="007F3BD5">
        <w:t xml:space="preserve"> The few exceptions are expla</w:t>
      </w:r>
      <w:r w:rsidR="00D41589">
        <w:t>ined by two additional criteria for comprehensive agreements.</w:t>
      </w:r>
      <w:r w:rsidR="007F3BD5">
        <w:t xml:space="preserve"> </w:t>
      </w:r>
      <w:r w:rsidR="00921B04">
        <w:t xml:space="preserve">Firstly, I only </w:t>
      </w:r>
      <w:r w:rsidR="00D41589">
        <w:t xml:space="preserve">consider an agreement comprehensive if it </w:t>
      </w:r>
      <w:r w:rsidR="005E7691" w:rsidRPr="00C1339C">
        <w:t>include</w:t>
      </w:r>
      <w:r w:rsidR="00E81F62">
        <w:t>s</w:t>
      </w:r>
      <w:r w:rsidR="005E7691" w:rsidRPr="00C1339C">
        <w:t xml:space="preserve"> an institutional framew</w:t>
      </w:r>
      <w:r w:rsidR="00921B04">
        <w:t>ork</w:t>
      </w:r>
      <w:r w:rsidR="00E81F62">
        <w:t xml:space="preserve">. </w:t>
      </w:r>
      <w:r w:rsidR="005E7691" w:rsidRPr="00C1339C">
        <w:t xml:space="preserve">Settlements that are </w:t>
      </w:r>
      <w:r w:rsidR="00C41FCC">
        <w:t xml:space="preserve">solely </w:t>
      </w:r>
      <w:r w:rsidR="00C41FCC" w:rsidRPr="00C1339C">
        <w:t>concerned</w:t>
      </w:r>
      <w:r w:rsidR="005E7691" w:rsidRPr="00C1339C">
        <w:t xml:space="preserve"> with the immediate </w:t>
      </w:r>
      <w:r w:rsidR="005E7691" w:rsidRPr="00C1339C">
        <w:lastRenderedPageBreak/>
        <w:t xml:space="preserve">cessation of violence are therefore not included. I have consequently </w:t>
      </w:r>
      <w:r w:rsidR="008D4B15">
        <w:t xml:space="preserve">excluded </w:t>
      </w:r>
      <w:r w:rsidR="005E7691" w:rsidRPr="00C1339C">
        <w:t xml:space="preserve">the 1999 Agreement on Ending Hostilities in the </w:t>
      </w:r>
      <w:r w:rsidR="0007604A">
        <w:t>Republic of Congo</w:t>
      </w:r>
      <w:r w:rsidR="00B20981" w:rsidRPr="00C1339C">
        <w:t xml:space="preserve">. </w:t>
      </w:r>
      <w:r w:rsidR="008D4B15">
        <w:t xml:space="preserve">I have also excluded </w:t>
      </w:r>
      <w:r w:rsidR="00B20981" w:rsidRPr="00C1339C">
        <w:t>the 1998 Abuja Peace Agreement for Guinea-Bissau</w:t>
      </w:r>
      <w:r w:rsidR="008D4B15">
        <w:t>,</w:t>
      </w:r>
      <w:r w:rsidR="00B20981" w:rsidRPr="00C1339C">
        <w:t xml:space="preserve"> which is only one page long</w:t>
      </w:r>
      <w:r w:rsidR="005E7691" w:rsidRPr="00C1339C">
        <w:t>. I do however allow for some substantive issues to be left for later. This can be an important negotiation technique that for example proved successful in the case of the Belfast Agreement for Northern Ireland. I am consequently including the Oslo Accords for Israel-Palestine, which the PAM does not include.</w:t>
      </w:r>
      <w:r w:rsidR="005E7691" w:rsidRPr="00C1339C">
        <w:rPr>
          <w:rStyle w:val="FootnoteReference"/>
        </w:rPr>
        <w:footnoteReference w:id="49"/>
      </w:r>
      <w:r w:rsidR="005E7691" w:rsidRPr="00C1339C">
        <w:t xml:space="preserve"> </w:t>
      </w:r>
      <w:r w:rsidR="00391501">
        <w:t>Secondly, i</w:t>
      </w:r>
      <w:r w:rsidR="005E7691" w:rsidRPr="00C1339C">
        <w:t xml:space="preserve">f more than one agreement is signed in </w:t>
      </w:r>
      <w:r w:rsidR="008D4B15">
        <w:t>the same conflict, I include the most recent one</w:t>
      </w:r>
      <w:r w:rsidR="005E7691" w:rsidRPr="00C1339C">
        <w:t>, unless it simply constitutes an addendum</w:t>
      </w:r>
      <w:r w:rsidR="00A80ABD">
        <w:t xml:space="preserve"> </w:t>
      </w:r>
      <w:r w:rsidR="00B4501E" w:rsidRPr="00C1339C">
        <w:t xml:space="preserve">or </w:t>
      </w:r>
      <w:r w:rsidR="008D4B15">
        <w:t>adds</w:t>
      </w:r>
      <w:r w:rsidR="00B4501E" w:rsidRPr="00C1339C">
        <w:t xml:space="preserve"> another rebel faction</w:t>
      </w:r>
      <w:r w:rsidR="005E7691" w:rsidRPr="00C1339C">
        <w:t xml:space="preserve">. </w:t>
      </w:r>
      <w:r w:rsidR="007F3BD5">
        <w:t xml:space="preserve"> I only include one agreement per conflict to avoid givin</w:t>
      </w:r>
      <w:r w:rsidR="008D4B15">
        <w:t>g double weight to any one case</w:t>
      </w:r>
      <w:r w:rsidR="007F3BD5">
        <w:t xml:space="preserve"> and its possible idiosyncrasies</w:t>
      </w:r>
      <w:r w:rsidR="00155496">
        <w:t>. G</w:t>
      </w:r>
      <w:r w:rsidR="007F3BD5">
        <w:t xml:space="preserve">iven the relatively small number of comprehensive peace agreements, this could skew the result. </w:t>
      </w:r>
    </w:p>
    <w:p w14:paraId="0A5F2479" w14:textId="77777777" w:rsidR="002D263E" w:rsidRDefault="002D263E" w:rsidP="001723B8">
      <w:pPr>
        <w:spacing w:line="480" w:lineRule="auto"/>
        <w:jc w:val="both"/>
      </w:pPr>
    </w:p>
    <w:p w14:paraId="7F06F9EA" w14:textId="38FA1AE6" w:rsidR="00E3751C" w:rsidRDefault="00CF3BA2" w:rsidP="001723B8">
      <w:pPr>
        <w:spacing w:line="480" w:lineRule="auto"/>
        <w:jc w:val="both"/>
      </w:pPr>
      <w:r w:rsidRPr="0095488A">
        <w:t xml:space="preserve">The grouping of </w:t>
      </w:r>
      <w:r w:rsidR="00345556" w:rsidRPr="0095488A">
        <w:t xml:space="preserve">territorial and non-territorial conflicts </w:t>
      </w:r>
      <w:r w:rsidRPr="0095488A">
        <w:t>follows</w:t>
      </w:r>
      <w:r w:rsidR="006B1D7B">
        <w:t xml:space="preserve"> </w:t>
      </w:r>
      <w:r w:rsidRPr="0095488A">
        <w:t xml:space="preserve">the ‘incompatibility’ </w:t>
      </w:r>
      <w:r w:rsidR="0063202E">
        <w:t xml:space="preserve">variable </w:t>
      </w:r>
      <w:r w:rsidRPr="0095488A">
        <w:t>in the UCDP/PRIO Armed Conflict Dataset</w:t>
      </w:r>
      <w:r w:rsidR="00701515">
        <w:t>,</w:t>
      </w:r>
      <w:r w:rsidR="00701515">
        <w:rPr>
          <w:rStyle w:val="FootnoteReference"/>
        </w:rPr>
        <w:footnoteReference w:id="50"/>
      </w:r>
      <w:r w:rsidR="00E3751C" w:rsidRPr="0095488A">
        <w:t xml:space="preserve"> </w:t>
      </w:r>
      <w:r w:rsidR="006B1D7B">
        <w:t>with one exception: the case of Sudan</w:t>
      </w:r>
      <w:r w:rsidR="0063202E">
        <w:t xml:space="preserve">. </w:t>
      </w:r>
      <w:r w:rsidR="00E3751C" w:rsidRPr="0095488A">
        <w:t>Civil wars are</w:t>
      </w:r>
      <w:r w:rsidR="00AE187C">
        <w:t xml:space="preserve">, as </w:t>
      </w:r>
      <w:r w:rsidR="0063202E">
        <w:t>Kalyvas argues,</w:t>
      </w:r>
      <w:r w:rsidR="00E3751C" w:rsidRPr="0095488A">
        <w:t xml:space="preserve"> </w:t>
      </w:r>
      <w:r w:rsidR="0063202E">
        <w:t>‘</w:t>
      </w:r>
      <w:r w:rsidR="00E3751C" w:rsidRPr="0095488A">
        <w:t>complex and ambiguous processes’</w:t>
      </w:r>
      <w:r w:rsidR="006B1D7B">
        <w:t xml:space="preserve"> and i</w:t>
      </w:r>
      <w:r w:rsidR="006B1D7B" w:rsidRPr="0095488A">
        <w:t>dentifying a conflict’s ‘master cleavage</w:t>
      </w:r>
      <w:r w:rsidR="0063202E">
        <w:t>’ is not always straightforward</w:t>
      </w:r>
      <w:r w:rsidR="00701515">
        <w:t>.</w:t>
      </w:r>
      <w:r w:rsidR="00701515">
        <w:rPr>
          <w:rStyle w:val="FootnoteReference"/>
        </w:rPr>
        <w:footnoteReference w:id="51"/>
      </w:r>
      <w:r w:rsidR="0063202E">
        <w:t xml:space="preserve"> </w:t>
      </w:r>
      <w:r w:rsidR="006B1D7B">
        <w:t xml:space="preserve">Dynamics may change over time and although the Sudanese People’s Liberation Army initially demanded a change in government, it became increasingly </w:t>
      </w:r>
      <w:r w:rsidR="00E3751C" w:rsidRPr="0095488A">
        <w:t>focused on the status of South Sudan</w:t>
      </w:r>
      <w:r w:rsidR="00701515">
        <w:t>,</w:t>
      </w:r>
      <w:r w:rsidR="00701515">
        <w:rPr>
          <w:rStyle w:val="FootnoteReference"/>
        </w:rPr>
        <w:footnoteReference w:id="52"/>
      </w:r>
      <w:r w:rsidR="00C763A1">
        <w:t xml:space="preserve"> </w:t>
      </w:r>
      <w:r w:rsidR="00701515">
        <w:t xml:space="preserve"> </w:t>
      </w:r>
      <w:r w:rsidR="006B1D7B">
        <w:t xml:space="preserve">and the </w:t>
      </w:r>
      <w:r w:rsidR="00E3751C" w:rsidRPr="0095488A">
        <w:t xml:space="preserve">2005 Comprehensive </w:t>
      </w:r>
      <w:r w:rsidR="0095488A" w:rsidRPr="0095488A">
        <w:t xml:space="preserve">Peace Agreement is predominantly a </w:t>
      </w:r>
      <w:r w:rsidR="00E3751C" w:rsidRPr="0095488A">
        <w:t>territorial settlement</w:t>
      </w:r>
      <w:r w:rsidR="006B1D7B">
        <w:t>. U</w:t>
      </w:r>
      <w:r w:rsidR="0095488A" w:rsidRPr="0095488A">
        <w:t>nlike the U</w:t>
      </w:r>
      <w:r w:rsidR="0095488A">
        <w:t xml:space="preserve">CDP/PRIO </w:t>
      </w:r>
      <w:r w:rsidR="00C763A1">
        <w:t>dataset</w:t>
      </w:r>
      <w:r w:rsidR="0095488A">
        <w:t xml:space="preserve">, </w:t>
      </w:r>
      <w:r w:rsidR="00E3751C">
        <w:t>I have therefore grouped this</w:t>
      </w:r>
      <w:r w:rsidR="0095488A">
        <w:t xml:space="preserve"> case</w:t>
      </w:r>
      <w:r w:rsidR="00E3751C">
        <w:t xml:space="preserve"> with the territorial conflicts.   </w:t>
      </w:r>
    </w:p>
    <w:p w14:paraId="49AE7C8B" w14:textId="77777777" w:rsidR="00AD54F5" w:rsidRDefault="00AD54F5" w:rsidP="00DC0177">
      <w:pPr>
        <w:spacing w:line="480" w:lineRule="auto"/>
        <w:jc w:val="both"/>
      </w:pPr>
    </w:p>
    <w:p w14:paraId="45ECC81F" w14:textId="4CDF12A0" w:rsidR="00737C50" w:rsidRDefault="0063202E" w:rsidP="00DC0177">
      <w:pPr>
        <w:spacing w:line="480" w:lineRule="auto"/>
        <w:jc w:val="both"/>
      </w:pPr>
      <w:r>
        <w:t>Table I also indicates if an</w:t>
      </w:r>
      <w:r w:rsidR="007F3BD5">
        <w:t xml:space="preserve"> agr</w:t>
      </w:r>
      <w:r>
        <w:t>eement</w:t>
      </w:r>
      <w:r w:rsidR="007F3BD5">
        <w:t xml:space="preserve"> include</w:t>
      </w:r>
      <w:r>
        <w:t>s</w:t>
      </w:r>
      <w:r w:rsidR="008D4B15">
        <w:t xml:space="preserve"> a ‘core deal’ of</w:t>
      </w:r>
      <w:r w:rsidR="007F3BD5">
        <w:t xml:space="preserve"> </w:t>
      </w:r>
      <w:r w:rsidR="000A627A">
        <w:t xml:space="preserve">territorial </w:t>
      </w:r>
      <w:r w:rsidR="00CA40DD">
        <w:t>autonomy</w:t>
      </w:r>
      <w:r w:rsidR="00DC0177">
        <w:t xml:space="preserve">. This is found in </w:t>
      </w:r>
      <w:r w:rsidR="00063E97">
        <w:t>73</w:t>
      </w:r>
      <w:r w:rsidR="00E81F62">
        <w:t xml:space="preserve"> </w:t>
      </w:r>
      <w:r w:rsidR="00063E97">
        <w:t>% (11</w:t>
      </w:r>
      <w:r w:rsidR="004F5975">
        <w:t xml:space="preserve">/15) </w:t>
      </w:r>
      <w:r w:rsidR="00DC0177">
        <w:t>of the agreements signed in territorial conflicts, compared to only 14</w:t>
      </w:r>
      <w:r w:rsidR="00E81F62">
        <w:t xml:space="preserve"> </w:t>
      </w:r>
      <w:r w:rsidR="00DC0177">
        <w:t xml:space="preserve">% </w:t>
      </w:r>
      <w:r w:rsidR="004F5975">
        <w:t xml:space="preserve">(2/14) </w:t>
      </w:r>
      <w:r w:rsidR="00DC0177">
        <w:t>of the agreements signed in non-territorial conflicts (and in only 7</w:t>
      </w:r>
      <w:r w:rsidR="00E81F62">
        <w:t xml:space="preserve"> </w:t>
      </w:r>
      <w:r w:rsidR="00DC0177">
        <w:t xml:space="preserve">% as a permanent measure). </w:t>
      </w:r>
      <w:r w:rsidR="00B4611F">
        <w:t xml:space="preserve"> </w:t>
      </w:r>
      <w:r w:rsidR="008D4B15" w:rsidRPr="00F5254B">
        <w:t xml:space="preserve">Territorial autonomy </w:t>
      </w:r>
      <w:r w:rsidR="00DC0177" w:rsidRPr="00F5254B">
        <w:t xml:space="preserve">is </w:t>
      </w:r>
      <w:r w:rsidR="007B56C4">
        <w:t>defined by Weller and Wolff as ‘</w:t>
      </w:r>
      <w:r w:rsidR="00DC0177" w:rsidRPr="00F5254B">
        <w:t>the legally entrenched power</w:t>
      </w:r>
      <w:r w:rsidR="007B56C4">
        <w:t>’ of ‘</w:t>
      </w:r>
      <w:r w:rsidR="00DC0177" w:rsidRPr="00F5254B">
        <w:t>territorial communities to exercise public policy functions (legislative, executive and adjudicative) independently of other sources of authority in the state, but subject to the overall legal order of the state</w:t>
      </w:r>
      <w:r w:rsidR="007B56C4">
        <w:t>’</w:t>
      </w:r>
      <w:r w:rsidR="00701515">
        <w:t>.</w:t>
      </w:r>
      <w:r w:rsidR="00701515">
        <w:rPr>
          <w:rStyle w:val="FootnoteReference"/>
        </w:rPr>
        <w:footnoteReference w:id="53"/>
      </w:r>
      <w:r w:rsidR="00DC0177" w:rsidRPr="00F5254B">
        <w:t xml:space="preserve"> Although it does not need to be defined in explicitly ethnic terms, the purpose is to allow for self-determination for a communal group within the existing state</w:t>
      </w:r>
      <w:r w:rsidR="00701515">
        <w:t>.</w:t>
      </w:r>
      <w:r w:rsidR="00701515">
        <w:rPr>
          <w:rStyle w:val="FootnoteReference"/>
        </w:rPr>
        <w:footnoteReference w:id="54"/>
      </w:r>
      <w:r w:rsidR="00F5254B">
        <w:t xml:space="preserve"> </w:t>
      </w:r>
      <w:r w:rsidR="00B4611F" w:rsidRPr="00F5254B">
        <w:t>Powers are transferred, not merely delegated</w:t>
      </w:r>
      <w:r w:rsidR="001132A5" w:rsidRPr="00F5254B">
        <w:t>,</w:t>
      </w:r>
      <w:r w:rsidR="00701515">
        <w:rPr>
          <w:rStyle w:val="FootnoteReference"/>
        </w:rPr>
        <w:footnoteReference w:id="55"/>
      </w:r>
      <w:r w:rsidR="001132A5" w:rsidRPr="00F5254B">
        <w:t xml:space="preserve"> </w:t>
      </w:r>
      <w:r w:rsidR="00DC0177" w:rsidRPr="00F5254B">
        <w:t xml:space="preserve">and </w:t>
      </w:r>
      <w:r w:rsidR="00F5254B">
        <w:t xml:space="preserve">minorities are granted a </w:t>
      </w:r>
      <w:r w:rsidR="00146991" w:rsidRPr="00F5254B">
        <w:t xml:space="preserve">territorially-defined </w:t>
      </w:r>
      <w:r w:rsidR="007B56C4">
        <w:t>‘</w:t>
      </w:r>
      <w:r w:rsidR="00DC0177" w:rsidRPr="00F5254B">
        <w:t>collective power base</w:t>
      </w:r>
      <w:r w:rsidR="007B56C4">
        <w:t>’</w:t>
      </w:r>
      <w:r w:rsidR="00701515">
        <w:t>.</w:t>
      </w:r>
      <w:r w:rsidR="00701515">
        <w:rPr>
          <w:rStyle w:val="FootnoteReference"/>
        </w:rPr>
        <w:footnoteReference w:id="56"/>
      </w:r>
      <w:r w:rsidR="00DC0177" w:rsidRPr="00F5254B">
        <w:t xml:space="preserve"> </w:t>
      </w:r>
      <w:r w:rsidR="00DC0177">
        <w:t>T</w:t>
      </w:r>
      <w:r w:rsidR="00B4611F">
        <w:t xml:space="preserve">erritorial autonomy does </w:t>
      </w:r>
      <w:r w:rsidR="00DC0177">
        <w:t xml:space="preserve">not therefore </w:t>
      </w:r>
      <w:r w:rsidR="00B4611F">
        <w:t>encompass the kind of administrative decentralisation that we find</w:t>
      </w:r>
      <w:r w:rsidR="00DC0177">
        <w:t>, for example,</w:t>
      </w:r>
      <w:r w:rsidR="00C41FCC">
        <w:t xml:space="preserve"> in the </w:t>
      </w:r>
      <w:r w:rsidR="00B4611F" w:rsidRPr="008D4B15">
        <w:t>Arusha Peace and Reconciliation Agreement</w:t>
      </w:r>
      <w:r w:rsidR="00B4611F">
        <w:t xml:space="preserve"> for Burundi</w:t>
      </w:r>
      <w:r w:rsidR="00C41FCC">
        <w:t>.</w:t>
      </w:r>
      <w:r w:rsidR="00C41FCC">
        <w:rPr>
          <w:rStyle w:val="FootnoteReference"/>
        </w:rPr>
        <w:footnoteReference w:id="57"/>
      </w:r>
      <w:r w:rsidR="00C41FCC">
        <w:t xml:space="preserve"> </w:t>
      </w:r>
      <w:r w:rsidR="00A80ABD">
        <w:t xml:space="preserve">By this definition, territorial autonomy is also not found in the </w:t>
      </w:r>
      <w:r w:rsidR="003F7F09">
        <w:t>Erdut Agreement for Eastern Slavonia, which only promised non-territorial cultural autonomy to the Serb community,</w:t>
      </w:r>
      <w:r w:rsidR="003F7F09">
        <w:rPr>
          <w:rStyle w:val="FootnoteReference"/>
        </w:rPr>
        <w:footnoteReference w:id="58"/>
      </w:r>
      <w:r w:rsidR="003F7F09">
        <w:t xml:space="preserve"> or the Ohrid Agreement for Macedonia</w:t>
      </w:r>
      <w:r w:rsidR="00656FBC">
        <w:t>,</w:t>
      </w:r>
      <w:r w:rsidR="003F7F09">
        <w:t xml:space="preserve"> which </w:t>
      </w:r>
      <w:r w:rsidR="00685736">
        <w:t xml:space="preserve">promises </w:t>
      </w:r>
      <w:r w:rsidR="00656FBC">
        <w:t xml:space="preserve">a revised Law on Self-Government with </w:t>
      </w:r>
      <w:r w:rsidR="00685736">
        <w:t xml:space="preserve">increased competencies for </w:t>
      </w:r>
      <w:r w:rsidR="00656FBC">
        <w:t xml:space="preserve">municipalities. This administrative decentralisation includes language rights, and was clearly intended to address the grievances of the Albanian minority, but it is more akin to non-territorial communal autonomy than the forms of territorial self-rule </w:t>
      </w:r>
      <w:r w:rsidR="00682380">
        <w:t>f</w:t>
      </w:r>
      <w:r w:rsidR="00656FBC">
        <w:t xml:space="preserve">ound in the other agreements.  </w:t>
      </w:r>
      <w:r w:rsidR="003F7F09">
        <w:t xml:space="preserve">The </w:t>
      </w:r>
      <w:r w:rsidR="00A80ABD">
        <w:t>Belfast agreement for Northern Ireland</w:t>
      </w:r>
      <w:r w:rsidR="003F7F09">
        <w:t xml:space="preserve"> </w:t>
      </w:r>
      <w:r w:rsidR="00E91E66">
        <w:t xml:space="preserve">has been argued to combine territorial autonomy and regional </w:t>
      </w:r>
      <w:r w:rsidR="00E91E66">
        <w:lastRenderedPageBreak/>
        <w:t>consociation (power-sharing):</w:t>
      </w:r>
      <w:r w:rsidR="00E91E66">
        <w:rPr>
          <w:rStyle w:val="FootnoteReference"/>
        </w:rPr>
        <w:footnoteReference w:id="59"/>
      </w:r>
      <w:r w:rsidR="00E91E66">
        <w:t xml:space="preserve"> the agreement </w:t>
      </w:r>
      <w:r w:rsidR="003F7F09">
        <w:t>devolves significant powers to the Northern Irish Assembly</w:t>
      </w:r>
      <w:r w:rsidR="00AE187C">
        <w:t>, and power-sharing guarantees ensure that the Nationalist community cannot be excluded from the regional government</w:t>
      </w:r>
      <w:r w:rsidR="00AE187C">
        <w:rPr>
          <w:rStyle w:val="FootnoteReference"/>
        </w:rPr>
        <w:t>.</w:t>
      </w:r>
      <w:r w:rsidR="00C41FCC">
        <w:rPr>
          <w:rStyle w:val="FootnoteReference"/>
        </w:rPr>
        <w:footnoteReference w:id="60"/>
      </w:r>
      <w:r w:rsidR="00E91E66">
        <w:t xml:space="preserve"> </w:t>
      </w:r>
      <w:r w:rsidR="00656FBC">
        <w:t>A</w:t>
      </w:r>
      <w:r w:rsidR="00E91E66">
        <w:t xml:space="preserve">lthough the </w:t>
      </w:r>
      <w:r w:rsidR="00667321">
        <w:t xml:space="preserve">settlement therefore provides a collective power base for the minority, this power base is not </w:t>
      </w:r>
      <w:r w:rsidR="003F7F09">
        <w:t>territorially defined</w:t>
      </w:r>
      <w:r w:rsidR="00667321">
        <w:t>.</w:t>
      </w:r>
      <w:r w:rsidR="00685736">
        <w:rPr>
          <w:rStyle w:val="FootnoteReference"/>
        </w:rPr>
        <w:footnoteReference w:id="61"/>
      </w:r>
      <w:r w:rsidR="00667321">
        <w:t xml:space="preserve"> </w:t>
      </w:r>
      <w:r w:rsidR="00E91E66">
        <w:t xml:space="preserve">As </w:t>
      </w:r>
      <w:r w:rsidR="00137A80">
        <w:t xml:space="preserve">Mc Garry and </w:t>
      </w:r>
      <w:r w:rsidR="00E91E66">
        <w:t>O’Leary have argued “c</w:t>
      </w:r>
      <w:r w:rsidR="008D1A65">
        <w:t>ommunity autonomy is least strongly represented in the text, but tacitly evident in the maintenance of separate but proportionally funded primary and secondary education</w:t>
      </w:r>
      <w:r w:rsidR="00E91E66">
        <w:t>.”</w:t>
      </w:r>
      <w:r w:rsidR="00E91E66">
        <w:rPr>
          <w:rStyle w:val="FootnoteReference"/>
        </w:rPr>
        <w:footnoteReference w:id="62"/>
      </w:r>
      <w:r w:rsidR="008D1A65">
        <w:t xml:space="preserve"> </w:t>
      </w:r>
      <w:r w:rsidR="00AE187C">
        <w:t xml:space="preserve">What we find in the agreement is therefore a form of non-territorial cultural autonomy. It is not an example of territorially-defined </w:t>
      </w:r>
      <w:r w:rsidR="00AE187C">
        <w:rPr>
          <w:i/>
        </w:rPr>
        <w:t xml:space="preserve">communal </w:t>
      </w:r>
      <w:r w:rsidR="00AE187C">
        <w:t xml:space="preserve">autonomy, which is what this article is focused on. </w:t>
      </w:r>
      <w:r w:rsidR="00E91E66">
        <w:t xml:space="preserve">Territorial autonomy is, on the other hand, </w:t>
      </w:r>
      <w:r w:rsidR="007B56C4">
        <w:t>included in the ‘</w:t>
      </w:r>
      <w:r w:rsidR="00A80ABD" w:rsidRPr="00C1339C">
        <w:rPr>
          <w:color w:val="000000"/>
        </w:rPr>
        <w:t>Agreement on the question of East Timor</w:t>
      </w:r>
      <w:r w:rsidR="007B56C4">
        <w:rPr>
          <w:color w:val="000000"/>
        </w:rPr>
        <w:t>’</w:t>
      </w:r>
      <w:r w:rsidR="00A80ABD">
        <w:rPr>
          <w:color w:val="000000"/>
        </w:rPr>
        <w:t>, even if th</w:t>
      </w:r>
      <w:r w:rsidR="00685736">
        <w:rPr>
          <w:color w:val="000000"/>
        </w:rPr>
        <w:t xml:space="preserve">is option was </w:t>
      </w:r>
      <w:r>
        <w:rPr>
          <w:color w:val="000000"/>
        </w:rPr>
        <w:t>rejected in favour of independence in the 1999 referendum</w:t>
      </w:r>
      <w:r w:rsidR="00A80ABD">
        <w:rPr>
          <w:color w:val="000000"/>
        </w:rPr>
        <w:t>.</w:t>
      </w:r>
      <w:r w:rsidR="00A80ABD">
        <w:t xml:space="preserve"> </w:t>
      </w:r>
      <w:r w:rsidR="00B4611F">
        <w:t xml:space="preserve"> </w:t>
      </w:r>
    </w:p>
    <w:p w14:paraId="27C62F1F" w14:textId="77777777" w:rsidR="004D2193" w:rsidRDefault="004D2193">
      <w:r>
        <w:br w:type="page"/>
      </w:r>
    </w:p>
    <w:tbl>
      <w:tblPr>
        <w:tblStyle w:val="GridTable41"/>
        <w:tblW w:w="9242" w:type="dxa"/>
        <w:tblLayout w:type="fixed"/>
        <w:tblLook w:val="06A0" w:firstRow="1" w:lastRow="0" w:firstColumn="1" w:lastColumn="0" w:noHBand="1" w:noVBand="1"/>
      </w:tblPr>
      <w:tblGrid>
        <w:gridCol w:w="2293"/>
        <w:gridCol w:w="85"/>
        <w:gridCol w:w="5668"/>
        <w:gridCol w:w="1196"/>
      </w:tblGrid>
      <w:tr w:rsidR="008744B5" w:rsidRPr="00C1339C" w14:paraId="211BB497" w14:textId="77777777" w:rsidTr="005512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42" w:type="dxa"/>
            <w:gridSpan w:val="4"/>
            <w:tcBorders>
              <w:bottom w:val="single" w:sz="4" w:space="0" w:color="666666" w:themeColor="text1" w:themeTint="99"/>
            </w:tcBorders>
          </w:tcPr>
          <w:p w14:paraId="790A7447" w14:textId="77777777" w:rsidR="008744B5" w:rsidRDefault="008F5705" w:rsidP="00C831E6">
            <w:pPr>
              <w:pStyle w:val="NoSpacing"/>
            </w:pPr>
            <w:r>
              <w:lastRenderedPageBreak/>
              <w:t>Table I</w:t>
            </w:r>
            <w:r w:rsidR="008744B5" w:rsidRPr="008744B5">
              <w:t>: Comprehensive peace agreements signed between 1990 and 2010</w:t>
            </w:r>
          </w:p>
        </w:tc>
      </w:tr>
      <w:tr w:rsidR="008744B5" w:rsidRPr="008744B5" w14:paraId="08204A64" w14:textId="77777777" w:rsidTr="008744B5">
        <w:trPr>
          <w:trHeight w:val="340"/>
        </w:trPr>
        <w:tc>
          <w:tcPr>
            <w:cnfStyle w:val="001000000000" w:firstRow="0" w:lastRow="0" w:firstColumn="1" w:lastColumn="0" w:oddVBand="0" w:evenVBand="0" w:oddHBand="0" w:evenHBand="0" w:firstRowFirstColumn="0" w:firstRowLastColumn="0" w:lastRowFirstColumn="0" w:lastRowLastColumn="0"/>
            <w:tcW w:w="2293" w:type="dxa"/>
            <w:tcBorders>
              <w:bottom w:val="single" w:sz="4" w:space="0" w:color="666666" w:themeColor="text1" w:themeTint="99"/>
            </w:tcBorders>
            <w:shd w:val="clear" w:color="auto" w:fill="BFBFBF" w:themeFill="background1" w:themeFillShade="BF"/>
          </w:tcPr>
          <w:p w14:paraId="3EEBD4CE" w14:textId="77777777" w:rsidR="008744B5" w:rsidRPr="008744B5" w:rsidRDefault="008744B5" w:rsidP="004D24CC">
            <w:pPr>
              <w:pStyle w:val="NoSpacing"/>
            </w:pPr>
            <w:r w:rsidRPr="008744B5">
              <w:t>State</w:t>
            </w:r>
          </w:p>
        </w:tc>
        <w:tc>
          <w:tcPr>
            <w:tcW w:w="5753" w:type="dxa"/>
            <w:gridSpan w:val="2"/>
            <w:tcBorders>
              <w:bottom w:val="single" w:sz="4" w:space="0" w:color="666666" w:themeColor="text1" w:themeTint="99"/>
            </w:tcBorders>
            <w:shd w:val="clear" w:color="auto" w:fill="BFBFBF" w:themeFill="background1" w:themeFillShade="BF"/>
          </w:tcPr>
          <w:p w14:paraId="784FB567" w14:textId="77777777" w:rsidR="008744B5" w:rsidRPr="008744B5" w:rsidRDefault="008744B5" w:rsidP="004D24CC">
            <w:pPr>
              <w:pStyle w:val="NoSpacing"/>
              <w:cnfStyle w:val="000000000000" w:firstRow="0" w:lastRow="0" w:firstColumn="0" w:lastColumn="0" w:oddVBand="0" w:evenVBand="0" w:oddHBand="0" w:evenHBand="0" w:firstRowFirstColumn="0" w:firstRowLastColumn="0" w:lastRowFirstColumn="0" w:lastRowLastColumn="0"/>
              <w:rPr>
                <w:b/>
              </w:rPr>
            </w:pPr>
            <w:r w:rsidRPr="008744B5">
              <w:rPr>
                <w:b/>
              </w:rPr>
              <w:t>Agreement</w:t>
            </w:r>
          </w:p>
        </w:tc>
        <w:tc>
          <w:tcPr>
            <w:tcW w:w="1196" w:type="dxa"/>
            <w:tcBorders>
              <w:bottom w:val="single" w:sz="4" w:space="0" w:color="666666" w:themeColor="text1" w:themeTint="99"/>
            </w:tcBorders>
            <w:shd w:val="clear" w:color="auto" w:fill="BFBFBF" w:themeFill="background1" w:themeFillShade="BF"/>
          </w:tcPr>
          <w:p w14:paraId="24EF3711" w14:textId="77777777" w:rsidR="008744B5" w:rsidRPr="008744B5" w:rsidRDefault="008744B5" w:rsidP="00C831E6">
            <w:pPr>
              <w:pStyle w:val="NoSpacing"/>
              <w:cnfStyle w:val="000000000000" w:firstRow="0" w:lastRow="0" w:firstColumn="0" w:lastColumn="0" w:oddVBand="0" w:evenVBand="0" w:oddHBand="0" w:evenHBand="0" w:firstRowFirstColumn="0" w:firstRowLastColumn="0" w:lastRowFirstColumn="0" w:lastRowLastColumn="0"/>
              <w:rPr>
                <w:b/>
              </w:rPr>
            </w:pPr>
            <w:r w:rsidRPr="008744B5">
              <w:rPr>
                <w:b/>
              </w:rPr>
              <w:t xml:space="preserve">Territorial autonomy </w:t>
            </w:r>
          </w:p>
        </w:tc>
      </w:tr>
      <w:tr w:rsidR="00C831E6" w:rsidRPr="00C1339C" w14:paraId="0CDFA372"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8046" w:type="dxa"/>
            <w:gridSpan w:val="3"/>
            <w:shd w:val="clear" w:color="auto" w:fill="D9D9D9" w:themeFill="background1" w:themeFillShade="D9"/>
          </w:tcPr>
          <w:p w14:paraId="59D28F2E" w14:textId="77777777" w:rsidR="00C831E6" w:rsidRPr="00D47F80" w:rsidRDefault="00C831E6" w:rsidP="008744B5">
            <w:pPr>
              <w:pStyle w:val="NoSpacing"/>
              <w:jc w:val="center"/>
              <w:rPr>
                <w:b w:val="0"/>
                <w:i/>
                <w:color w:val="000000"/>
              </w:rPr>
            </w:pPr>
            <w:r w:rsidRPr="00D47F80">
              <w:rPr>
                <w:b w:val="0"/>
                <w:i/>
                <w:color w:val="000000"/>
              </w:rPr>
              <w:t>Territorial conflicts</w:t>
            </w:r>
          </w:p>
        </w:tc>
        <w:tc>
          <w:tcPr>
            <w:tcW w:w="1196" w:type="dxa"/>
            <w:shd w:val="clear" w:color="auto" w:fill="D9D9D9" w:themeFill="background1" w:themeFillShade="D9"/>
          </w:tcPr>
          <w:p w14:paraId="7DCBC208" w14:textId="77777777" w:rsidR="00C831E6" w:rsidRPr="00C1339C" w:rsidRDefault="00C831E6" w:rsidP="008744B5">
            <w:pPr>
              <w:pStyle w:val="NoSpacing"/>
              <w:jc w:val="center"/>
              <w:cnfStyle w:val="000000000000" w:firstRow="0" w:lastRow="0" w:firstColumn="0" w:lastColumn="0" w:oddVBand="0" w:evenVBand="0" w:oddHBand="0" w:evenHBand="0" w:firstRowFirstColumn="0" w:firstRowLastColumn="0" w:lastRowFirstColumn="0" w:lastRowLastColumn="0"/>
              <w:rPr>
                <w:i/>
                <w:color w:val="000000"/>
              </w:rPr>
            </w:pPr>
          </w:p>
        </w:tc>
      </w:tr>
      <w:tr w:rsidR="00C831E6" w:rsidRPr="00B10532" w14:paraId="22A8C01B"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7A8E0DAC" w14:textId="77777777" w:rsidR="00C831E6" w:rsidRPr="0063202E" w:rsidRDefault="00D47F80" w:rsidP="004D24CC">
            <w:pPr>
              <w:pStyle w:val="NoSpacing"/>
              <w:rPr>
                <w:b w:val="0"/>
                <w:color w:val="000000"/>
              </w:rPr>
            </w:pPr>
            <w:r w:rsidRPr="0063202E">
              <w:rPr>
                <w:b w:val="0"/>
                <w:color w:val="000000"/>
              </w:rPr>
              <w:t>Bangladesh- Chittagong Hill</w:t>
            </w:r>
            <w:r w:rsidR="00C831E6" w:rsidRPr="0063202E">
              <w:rPr>
                <w:b w:val="0"/>
                <w:color w:val="000000"/>
              </w:rPr>
              <w:t xml:space="preserve"> Tracts </w:t>
            </w:r>
          </w:p>
        </w:tc>
        <w:tc>
          <w:tcPr>
            <w:tcW w:w="5668" w:type="dxa"/>
          </w:tcPr>
          <w:p w14:paraId="36AF87B4" w14:textId="77777777" w:rsidR="00C831E6" w:rsidRPr="00B10532" w:rsidRDefault="00D47F80" w:rsidP="00D47F80">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 xml:space="preserve">Chittagong Hill </w:t>
            </w:r>
            <w:r w:rsidR="00C831E6" w:rsidRPr="00B10532">
              <w:rPr>
                <w:color w:val="000000"/>
              </w:rPr>
              <w:t>Tracts Peace Accords, 1997</w:t>
            </w:r>
          </w:p>
        </w:tc>
        <w:tc>
          <w:tcPr>
            <w:tcW w:w="1196" w:type="dxa"/>
          </w:tcPr>
          <w:p w14:paraId="06F5E6ED"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339E56D9"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3EDE9384" w14:textId="77777777" w:rsidR="00C831E6" w:rsidRPr="0063202E" w:rsidRDefault="00C831E6" w:rsidP="004D24CC">
            <w:pPr>
              <w:pStyle w:val="NoSpacing"/>
              <w:rPr>
                <w:b w:val="0"/>
                <w:color w:val="000000"/>
              </w:rPr>
            </w:pPr>
            <w:r w:rsidRPr="0063202E">
              <w:rPr>
                <w:b w:val="0"/>
                <w:color w:val="000000"/>
              </w:rPr>
              <w:t xml:space="preserve">Bosnia </w:t>
            </w:r>
          </w:p>
        </w:tc>
        <w:tc>
          <w:tcPr>
            <w:tcW w:w="5668" w:type="dxa"/>
          </w:tcPr>
          <w:p w14:paraId="7BCE0245"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General Framework for Peace/ Dayton Peace Agreement, 1995</w:t>
            </w:r>
          </w:p>
        </w:tc>
        <w:tc>
          <w:tcPr>
            <w:tcW w:w="1196" w:type="dxa"/>
          </w:tcPr>
          <w:p w14:paraId="293A10AC"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452009A8"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5C769DCB" w14:textId="77777777" w:rsidR="00C831E6" w:rsidRPr="0063202E" w:rsidRDefault="00C831E6" w:rsidP="004D24CC">
            <w:pPr>
              <w:pStyle w:val="NoSpacing"/>
              <w:rPr>
                <w:b w:val="0"/>
                <w:color w:val="000000"/>
              </w:rPr>
            </w:pPr>
            <w:r w:rsidRPr="0063202E">
              <w:rPr>
                <w:b w:val="0"/>
                <w:color w:val="000000"/>
              </w:rPr>
              <w:t xml:space="preserve">Croatia-Eastern Slavonia </w:t>
            </w:r>
          </w:p>
        </w:tc>
        <w:tc>
          <w:tcPr>
            <w:tcW w:w="5668" w:type="dxa"/>
          </w:tcPr>
          <w:p w14:paraId="4D906237"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pPr>
            <w:r w:rsidRPr="00B10532">
              <w:t>Basic Agreement/ Erdut Agreement, 1995</w:t>
            </w:r>
          </w:p>
          <w:p w14:paraId="3714C048"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pPr>
          </w:p>
        </w:tc>
        <w:tc>
          <w:tcPr>
            <w:tcW w:w="1196" w:type="dxa"/>
          </w:tcPr>
          <w:p w14:paraId="32215E01"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pPr>
          </w:p>
        </w:tc>
      </w:tr>
      <w:tr w:rsidR="00C831E6" w:rsidRPr="00B10532" w14:paraId="6211E390"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791F3BD5" w14:textId="77777777" w:rsidR="00C831E6" w:rsidRPr="0063202E" w:rsidRDefault="00C831E6" w:rsidP="004D24CC">
            <w:pPr>
              <w:pStyle w:val="NoSpacing"/>
              <w:rPr>
                <w:b w:val="0"/>
                <w:color w:val="000000"/>
              </w:rPr>
            </w:pPr>
            <w:r w:rsidRPr="0063202E">
              <w:rPr>
                <w:b w:val="0"/>
                <w:color w:val="000000"/>
              </w:rPr>
              <w:t xml:space="preserve">India-Bodoland </w:t>
            </w:r>
          </w:p>
        </w:tc>
        <w:tc>
          <w:tcPr>
            <w:tcW w:w="5668" w:type="dxa"/>
          </w:tcPr>
          <w:p w14:paraId="3E47575C"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Memorandum of Settlement/ Bodo Accord, 1993</w:t>
            </w:r>
          </w:p>
        </w:tc>
        <w:tc>
          <w:tcPr>
            <w:tcW w:w="1196" w:type="dxa"/>
          </w:tcPr>
          <w:p w14:paraId="51EF3D5C"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5950AA27"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6353EFCA" w14:textId="77777777" w:rsidR="00C831E6" w:rsidRPr="0063202E" w:rsidRDefault="00C831E6" w:rsidP="004D24CC">
            <w:pPr>
              <w:pStyle w:val="NoSpacing"/>
              <w:rPr>
                <w:b w:val="0"/>
                <w:color w:val="000000"/>
              </w:rPr>
            </w:pPr>
            <w:r w:rsidRPr="0063202E">
              <w:rPr>
                <w:b w:val="0"/>
                <w:color w:val="000000"/>
              </w:rPr>
              <w:t xml:space="preserve">Indonesia-East Timor </w:t>
            </w:r>
          </w:p>
        </w:tc>
        <w:tc>
          <w:tcPr>
            <w:tcW w:w="5668" w:type="dxa"/>
          </w:tcPr>
          <w:p w14:paraId="2623087A"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Agreement on the question of East Timor, 1999</w:t>
            </w:r>
          </w:p>
        </w:tc>
        <w:tc>
          <w:tcPr>
            <w:tcW w:w="1196" w:type="dxa"/>
          </w:tcPr>
          <w:p w14:paraId="2908FFF9"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58BAEDAF"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069C8AF0" w14:textId="77777777" w:rsidR="00C831E6" w:rsidRPr="0063202E" w:rsidRDefault="00C831E6" w:rsidP="004D24CC">
            <w:pPr>
              <w:pStyle w:val="NoSpacing"/>
              <w:rPr>
                <w:b w:val="0"/>
                <w:color w:val="000000"/>
              </w:rPr>
            </w:pPr>
            <w:r w:rsidRPr="0063202E">
              <w:rPr>
                <w:b w:val="0"/>
                <w:color w:val="000000"/>
              </w:rPr>
              <w:t xml:space="preserve">Indonesia-Aceh </w:t>
            </w:r>
          </w:p>
        </w:tc>
        <w:tc>
          <w:tcPr>
            <w:tcW w:w="5668" w:type="dxa"/>
          </w:tcPr>
          <w:p w14:paraId="3E8ADAD3"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Memorandum of understanding, 2005</w:t>
            </w:r>
          </w:p>
        </w:tc>
        <w:tc>
          <w:tcPr>
            <w:tcW w:w="1196" w:type="dxa"/>
          </w:tcPr>
          <w:p w14:paraId="6FF9AEFC"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3EE7A272"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163D4165" w14:textId="77777777" w:rsidR="00C831E6" w:rsidRPr="0063202E" w:rsidRDefault="00C831E6" w:rsidP="004D24CC">
            <w:pPr>
              <w:pStyle w:val="NoSpacing"/>
              <w:rPr>
                <w:b w:val="0"/>
                <w:color w:val="000000"/>
              </w:rPr>
            </w:pPr>
            <w:r w:rsidRPr="0063202E">
              <w:rPr>
                <w:b w:val="0"/>
                <w:color w:val="000000"/>
              </w:rPr>
              <w:t xml:space="preserve">Israel-Palestine </w:t>
            </w:r>
          </w:p>
        </w:tc>
        <w:tc>
          <w:tcPr>
            <w:tcW w:w="5668" w:type="dxa"/>
          </w:tcPr>
          <w:p w14:paraId="47028BF8"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Declaration of Principles/ Oslo Accords, 1993/5</w:t>
            </w:r>
          </w:p>
        </w:tc>
        <w:tc>
          <w:tcPr>
            <w:tcW w:w="1196" w:type="dxa"/>
          </w:tcPr>
          <w:p w14:paraId="47C07F7C"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55CEAA92"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574FC68E" w14:textId="77777777" w:rsidR="00C831E6" w:rsidRPr="0063202E" w:rsidRDefault="00C831E6" w:rsidP="004D24CC">
            <w:pPr>
              <w:pStyle w:val="NoSpacing"/>
              <w:rPr>
                <w:b w:val="0"/>
                <w:color w:val="000000"/>
              </w:rPr>
            </w:pPr>
            <w:r w:rsidRPr="0063202E">
              <w:rPr>
                <w:b w:val="0"/>
                <w:color w:val="000000"/>
              </w:rPr>
              <w:t xml:space="preserve">Macedonia </w:t>
            </w:r>
          </w:p>
        </w:tc>
        <w:tc>
          <w:tcPr>
            <w:tcW w:w="5668" w:type="dxa"/>
          </w:tcPr>
          <w:p w14:paraId="2A8118F1"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Framework Agreement/ Ohrid Agreement, 2001</w:t>
            </w:r>
          </w:p>
        </w:tc>
        <w:tc>
          <w:tcPr>
            <w:tcW w:w="1196" w:type="dxa"/>
          </w:tcPr>
          <w:p w14:paraId="35A6A9D9" w14:textId="205459A4"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1DE82D40"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74727A7A" w14:textId="77777777" w:rsidR="00C831E6" w:rsidRPr="0063202E" w:rsidRDefault="00C831E6" w:rsidP="004D24CC">
            <w:pPr>
              <w:pStyle w:val="NoSpacing"/>
              <w:rPr>
                <w:b w:val="0"/>
                <w:color w:val="000000"/>
              </w:rPr>
            </w:pPr>
            <w:r w:rsidRPr="0063202E">
              <w:rPr>
                <w:b w:val="0"/>
                <w:color w:val="000000"/>
              </w:rPr>
              <w:t xml:space="preserve">Mali </w:t>
            </w:r>
          </w:p>
        </w:tc>
        <w:tc>
          <w:tcPr>
            <w:tcW w:w="5668" w:type="dxa"/>
          </w:tcPr>
          <w:p w14:paraId="66D1998C"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National Pact, 1992</w:t>
            </w:r>
          </w:p>
        </w:tc>
        <w:tc>
          <w:tcPr>
            <w:tcW w:w="1196" w:type="dxa"/>
          </w:tcPr>
          <w:p w14:paraId="11FC7A30"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6434C322"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6F1CB15C" w14:textId="77777777" w:rsidR="00C831E6" w:rsidRPr="0063202E" w:rsidRDefault="00C831E6" w:rsidP="004D24CC">
            <w:pPr>
              <w:pStyle w:val="NoSpacing"/>
              <w:rPr>
                <w:b w:val="0"/>
                <w:color w:val="000000"/>
              </w:rPr>
            </w:pPr>
            <w:r w:rsidRPr="0063202E">
              <w:rPr>
                <w:b w:val="0"/>
                <w:color w:val="000000"/>
              </w:rPr>
              <w:t xml:space="preserve">Niger </w:t>
            </w:r>
          </w:p>
        </w:tc>
        <w:tc>
          <w:tcPr>
            <w:tcW w:w="5668" w:type="dxa"/>
          </w:tcPr>
          <w:p w14:paraId="3ACD10B5"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Agreement Establishing Permanent Peace, 1995</w:t>
            </w:r>
          </w:p>
        </w:tc>
        <w:tc>
          <w:tcPr>
            <w:tcW w:w="1196" w:type="dxa"/>
          </w:tcPr>
          <w:p w14:paraId="6806B403"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51F4F1AB"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572EECB5" w14:textId="77777777" w:rsidR="00C831E6" w:rsidRPr="0063202E" w:rsidRDefault="00C831E6" w:rsidP="004D24CC">
            <w:pPr>
              <w:pStyle w:val="NoSpacing"/>
              <w:rPr>
                <w:b w:val="0"/>
                <w:color w:val="000000"/>
              </w:rPr>
            </w:pPr>
            <w:r w:rsidRPr="0063202E">
              <w:rPr>
                <w:b w:val="0"/>
                <w:color w:val="000000"/>
              </w:rPr>
              <w:t xml:space="preserve">Papua New Guinea - Bougainville </w:t>
            </w:r>
          </w:p>
        </w:tc>
        <w:tc>
          <w:tcPr>
            <w:tcW w:w="5668" w:type="dxa"/>
          </w:tcPr>
          <w:p w14:paraId="3E3BB12C"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Bougainville Peace Agreement, 2001</w:t>
            </w:r>
          </w:p>
        </w:tc>
        <w:tc>
          <w:tcPr>
            <w:tcW w:w="1196" w:type="dxa"/>
          </w:tcPr>
          <w:p w14:paraId="1308C186"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5D62FAFA"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3CE80B9B" w14:textId="77777777" w:rsidR="00C831E6" w:rsidRPr="0063202E" w:rsidRDefault="00C831E6" w:rsidP="004D24CC">
            <w:pPr>
              <w:pStyle w:val="NoSpacing"/>
              <w:rPr>
                <w:b w:val="0"/>
                <w:color w:val="000000"/>
              </w:rPr>
            </w:pPr>
            <w:r w:rsidRPr="0063202E">
              <w:rPr>
                <w:b w:val="0"/>
                <w:color w:val="000000"/>
              </w:rPr>
              <w:t xml:space="preserve">Philippines - Mindanao </w:t>
            </w:r>
          </w:p>
        </w:tc>
        <w:tc>
          <w:tcPr>
            <w:tcW w:w="5668" w:type="dxa"/>
          </w:tcPr>
          <w:p w14:paraId="2D121506"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Final Peace Agreement, 1996</w:t>
            </w:r>
          </w:p>
        </w:tc>
        <w:tc>
          <w:tcPr>
            <w:tcW w:w="1196" w:type="dxa"/>
          </w:tcPr>
          <w:p w14:paraId="29BD473F"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01EA8AD2"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3943206A" w14:textId="77777777" w:rsidR="00C831E6" w:rsidRPr="0063202E" w:rsidRDefault="00C831E6" w:rsidP="004D24CC">
            <w:pPr>
              <w:pStyle w:val="NoSpacing"/>
              <w:rPr>
                <w:b w:val="0"/>
                <w:color w:val="000000"/>
              </w:rPr>
            </w:pPr>
            <w:r w:rsidRPr="0063202E">
              <w:rPr>
                <w:b w:val="0"/>
                <w:color w:val="000000"/>
              </w:rPr>
              <w:t xml:space="preserve">Senegal </w:t>
            </w:r>
            <w:r w:rsidR="00DB4798" w:rsidRPr="0063202E">
              <w:rPr>
                <w:b w:val="0"/>
                <w:color w:val="000000"/>
              </w:rPr>
              <w:t xml:space="preserve">- Casamance </w:t>
            </w:r>
          </w:p>
        </w:tc>
        <w:tc>
          <w:tcPr>
            <w:tcW w:w="5668" w:type="dxa"/>
          </w:tcPr>
          <w:p w14:paraId="5F3F42F2"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General Peace Agreement , 2004</w:t>
            </w:r>
          </w:p>
        </w:tc>
        <w:tc>
          <w:tcPr>
            <w:tcW w:w="1196" w:type="dxa"/>
          </w:tcPr>
          <w:p w14:paraId="18F81FD9"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614060DF"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Pr>
          <w:p w14:paraId="1DDC5C9A" w14:textId="77777777" w:rsidR="00C831E6" w:rsidRPr="0063202E" w:rsidRDefault="00C831E6" w:rsidP="004D24CC">
            <w:pPr>
              <w:pStyle w:val="NoSpacing"/>
              <w:rPr>
                <w:b w:val="0"/>
                <w:color w:val="000000"/>
              </w:rPr>
            </w:pPr>
            <w:r w:rsidRPr="0063202E">
              <w:rPr>
                <w:b w:val="0"/>
                <w:color w:val="000000"/>
              </w:rPr>
              <w:t xml:space="preserve"> Sudan - South Sudan </w:t>
            </w:r>
          </w:p>
        </w:tc>
        <w:tc>
          <w:tcPr>
            <w:tcW w:w="5668" w:type="dxa"/>
          </w:tcPr>
          <w:p w14:paraId="29D95046"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Comprehensive Peace Agreement, 2005</w:t>
            </w:r>
          </w:p>
        </w:tc>
        <w:tc>
          <w:tcPr>
            <w:tcW w:w="1196" w:type="dxa"/>
          </w:tcPr>
          <w:p w14:paraId="10E94D1F"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6FC6E567"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378" w:type="dxa"/>
            <w:gridSpan w:val="2"/>
            <w:tcBorders>
              <w:bottom w:val="single" w:sz="4" w:space="0" w:color="666666" w:themeColor="text1" w:themeTint="99"/>
            </w:tcBorders>
          </w:tcPr>
          <w:p w14:paraId="7DD13734" w14:textId="77777777" w:rsidR="00C831E6" w:rsidRPr="0063202E" w:rsidRDefault="00C831E6" w:rsidP="004D24CC">
            <w:pPr>
              <w:pStyle w:val="NoSpacing"/>
              <w:rPr>
                <w:b w:val="0"/>
                <w:color w:val="000000"/>
              </w:rPr>
            </w:pPr>
            <w:r w:rsidRPr="0063202E">
              <w:rPr>
                <w:b w:val="0"/>
                <w:color w:val="000000"/>
              </w:rPr>
              <w:t>UK - Northern Ireland</w:t>
            </w:r>
          </w:p>
        </w:tc>
        <w:tc>
          <w:tcPr>
            <w:tcW w:w="5668" w:type="dxa"/>
            <w:tcBorders>
              <w:bottom w:val="single" w:sz="4" w:space="0" w:color="666666" w:themeColor="text1" w:themeTint="99"/>
            </w:tcBorders>
          </w:tcPr>
          <w:p w14:paraId="5E3FD12E"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Good Friday Agreement/ Belfast Agreement, 1998</w:t>
            </w:r>
          </w:p>
        </w:tc>
        <w:tc>
          <w:tcPr>
            <w:tcW w:w="1196" w:type="dxa"/>
            <w:tcBorders>
              <w:bottom w:val="single" w:sz="4" w:space="0" w:color="666666" w:themeColor="text1" w:themeTint="99"/>
            </w:tcBorders>
          </w:tcPr>
          <w:p w14:paraId="5148C553"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11F25E9F"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8046" w:type="dxa"/>
            <w:gridSpan w:val="3"/>
            <w:shd w:val="clear" w:color="auto" w:fill="D9D9D9" w:themeFill="background1" w:themeFillShade="D9"/>
          </w:tcPr>
          <w:p w14:paraId="3C5BA1F8" w14:textId="77777777" w:rsidR="00C831E6" w:rsidRPr="00B10532" w:rsidRDefault="00C831E6" w:rsidP="008744B5">
            <w:pPr>
              <w:pStyle w:val="NoSpacing"/>
              <w:jc w:val="center"/>
              <w:rPr>
                <w:b w:val="0"/>
                <w:i/>
                <w:color w:val="000000"/>
              </w:rPr>
            </w:pPr>
            <w:r w:rsidRPr="00B10532">
              <w:rPr>
                <w:b w:val="0"/>
                <w:i/>
                <w:color w:val="000000"/>
              </w:rPr>
              <w:t>Non-territorial conflicts</w:t>
            </w:r>
          </w:p>
        </w:tc>
        <w:tc>
          <w:tcPr>
            <w:tcW w:w="1196" w:type="dxa"/>
            <w:shd w:val="clear" w:color="auto" w:fill="D9D9D9" w:themeFill="background1" w:themeFillShade="D9"/>
          </w:tcPr>
          <w:p w14:paraId="2261832F"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i/>
                <w:color w:val="000000"/>
              </w:rPr>
            </w:pPr>
          </w:p>
        </w:tc>
      </w:tr>
      <w:tr w:rsidR="00C831E6" w:rsidRPr="00B10532" w14:paraId="19BDAD76"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1A24A440" w14:textId="77777777" w:rsidR="00C831E6" w:rsidRPr="0063202E" w:rsidRDefault="00C831E6" w:rsidP="004D24CC">
            <w:pPr>
              <w:pStyle w:val="NoSpacing"/>
              <w:rPr>
                <w:b w:val="0"/>
                <w:color w:val="000000"/>
              </w:rPr>
            </w:pPr>
            <w:r w:rsidRPr="0063202E">
              <w:rPr>
                <w:b w:val="0"/>
                <w:color w:val="000000"/>
              </w:rPr>
              <w:t>Angola</w:t>
            </w:r>
          </w:p>
        </w:tc>
        <w:tc>
          <w:tcPr>
            <w:tcW w:w="5753" w:type="dxa"/>
            <w:gridSpan w:val="2"/>
            <w:vAlign w:val="bottom"/>
          </w:tcPr>
          <w:p w14:paraId="0ABDDE5B"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 xml:space="preserve">Lusaka </w:t>
            </w:r>
            <w:r w:rsidR="00C41FCC" w:rsidRPr="00B10532">
              <w:rPr>
                <w:color w:val="000000"/>
              </w:rPr>
              <w:t>Protocol</w:t>
            </w:r>
            <w:r w:rsidRPr="00B10532">
              <w:rPr>
                <w:color w:val="000000"/>
              </w:rPr>
              <w:t>, 1994</w:t>
            </w:r>
          </w:p>
        </w:tc>
        <w:tc>
          <w:tcPr>
            <w:tcW w:w="1196" w:type="dxa"/>
          </w:tcPr>
          <w:p w14:paraId="3107F7E4"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048F27A4"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1CB45439" w14:textId="77777777" w:rsidR="00C831E6" w:rsidRPr="0063202E" w:rsidRDefault="00C831E6" w:rsidP="004D24CC">
            <w:pPr>
              <w:pStyle w:val="NoSpacing"/>
              <w:rPr>
                <w:b w:val="0"/>
                <w:color w:val="000000"/>
              </w:rPr>
            </w:pPr>
            <w:r w:rsidRPr="0063202E">
              <w:rPr>
                <w:b w:val="0"/>
                <w:color w:val="000000"/>
              </w:rPr>
              <w:t xml:space="preserve">Burundi </w:t>
            </w:r>
          </w:p>
        </w:tc>
        <w:tc>
          <w:tcPr>
            <w:tcW w:w="5753" w:type="dxa"/>
            <w:gridSpan w:val="2"/>
            <w:vAlign w:val="bottom"/>
          </w:tcPr>
          <w:p w14:paraId="4D0FC5B4"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 xml:space="preserve">Arusha Peace and Reconciliation Agreement, 2000 </w:t>
            </w:r>
          </w:p>
        </w:tc>
        <w:tc>
          <w:tcPr>
            <w:tcW w:w="1196" w:type="dxa"/>
          </w:tcPr>
          <w:p w14:paraId="712070AA"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6F5D8D18"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02F0780D" w14:textId="77777777" w:rsidR="00C831E6" w:rsidRPr="0063202E" w:rsidRDefault="00C831E6" w:rsidP="004D24CC">
            <w:pPr>
              <w:pStyle w:val="NoSpacing"/>
              <w:rPr>
                <w:b w:val="0"/>
                <w:color w:val="000000"/>
              </w:rPr>
            </w:pPr>
            <w:r w:rsidRPr="0063202E">
              <w:rPr>
                <w:b w:val="0"/>
                <w:color w:val="000000"/>
              </w:rPr>
              <w:t>Cambodia</w:t>
            </w:r>
          </w:p>
        </w:tc>
        <w:tc>
          <w:tcPr>
            <w:tcW w:w="5753" w:type="dxa"/>
            <w:gridSpan w:val="2"/>
            <w:vAlign w:val="bottom"/>
          </w:tcPr>
          <w:p w14:paraId="5E3A4A69" w14:textId="77777777" w:rsidR="00C831E6" w:rsidRPr="00B10532" w:rsidRDefault="00C831E6" w:rsidP="00B852B7">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Framework for a Comprehensive Political Settlement, 1991</w:t>
            </w:r>
          </w:p>
        </w:tc>
        <w:tc>
          <w:tcPr>
            <w:tcW w:w="1196" w:type="dxa"/>
          </w:tcPr>
          <w:p w14:paraId="7D45871E"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6939C4A5"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72FAD404" w14:textId="77777777" w:rsidR="00C831E6" w:rsidRPr="0063202E" w:rsidRDefault="00C831E6" w:rsidP="004D24CC">
            <w:pPr>
              <w:pStyle w:val="NoSpacing"/>
              <w:rPr>
                <w:b w:val="0"/>
                <w:color w:val="000000"/>
              </w:rPr>
            </w:pPr>
            <w:r w:rsidRPr="0063202E">
              <w:rPr>
                <w:b w:val="0"/>
                <w:color w:val="000000"/>
              </w:rPr>
              <w:t>Côte d'Ivoire</w:t>
            </w:r>
          </w:p>
        </w:tc>
        <w:tc>
          <w:tcPr>
            <w:tcW w:w="5753" w:type="dxa"/>
            <w:gridSpan w:val="2"/>
            <w:vAlign w:val="bottom"/>
          </w:tcPr>
          <w:p w14:paraId="1BA498DD"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Ouagadougou Political Agreement, 2007</w:t>
            </w:r>
          </w:p>
        </w:tc>
        <w:tc>
          <w:tcPr>
            <w:tcW w:w="1196" w:type="dxa"/>
          </w:tcPr>
          <w:p w14:paraId="1489100F"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6A7D26AC"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6839ECCB" w14:textId="77777777" w:rsidR="00C831E6" w:rsidRPr="0063202E" w:rsidRDefault="00C831E6" w:rsidP="004D24CC">
            <w:pPr>
              <w:pStyle w:val="NoSpacing"/>
              <w:rPr>
                <w:b w:val="0"/>
                <w:color w:val="000000"/>
              </w:rPr>
            </w:pPr>
            <w:r w:rsidRPr="0063202E">
              <w:rPr>
                <w:b w:val="0"/>
                <w:color w:val="000000"/>
              </w:rPr>
              <w:t>Djibouti</w:t>
            </w:r>
          </w:p>
        </w:tc>
        <w:tc>
          <w:tcPr>
            <w:tcW w:w="5753" w:type="dxa"/>
            <w:gridSpan w:val="2"/>
            <w:vAlign w:val="bottom"/>
          </w:tcPr>
          <w:p w14:paraId="113E1572"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Agreement for Reform and Civil Concord, 2001</w:t>
            </w:r>
          </w:p>
        </w:tc>
        <w:tc>
          <w:tcPr>
            <w:tcW w:w="1196" w:type="dxa"/>
          </w:tcPr>
          <w:p w14:paraId="15C966E5"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7F93F8D2"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5E417943" w14:textId="77777777" w:rsidR="00C831E6" w:rsidRPr="0063202E" w:rsidRDefault="00C831E6" w:rsidP="004D24CC">
            <w:pPr>
              <w:pStyle w:val="NoSpacing"/>
              <w:rPr>
                <w:b w:val="0"/>
                <w:color w:val="000000"/>
              </w:rPr>
            </w:pPr>
            <w:r w:rsidRPr="0063202E">
              <w:rPr>
                <w:b w:val="0"/>
                <w:color w:val="000000"/>
              </w:rPr>
              <w:t>El Salvador</w:t>
            </w:r>
          </w:p>
        </w:tc>
        <w:tc>
          <w:tcPr>
            <w:tcW w:w="5753" w:type="dxa"/>
            <w:gridSpan w:val="2"/>
            <w:vAlign w:val="bottom"/>
          </w:tcPr>
          <w:p w14:paraId="10D5E4F2"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Chapultepec Peace Agreement, 1992</w:t>
            </w:r>
          </w:p>
        </w:tc>
        <w:tc>
          <w:tcPr>
            <w:tcW w:w="1196" w:type="dxa"/>
          </w:tcPr>
          <w:p w14:paraId="78BCD713"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7EA98048"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6ABD997B" w14:textId="77777777" w:rsidR="00C831E6" w:rsidRPr="0063202E" w:rsidRDefault="00C831E6" w:rsidP="004D24CC">
            <w:pPr>
              <w:pStyle w:val="NoSpacing"/>
              <w:rPr>
                <w:b w:val="0"/>
                <w:color w:val="000000"/>
              </w:rPr>
            </w:pPr>
            <w:r w:rsidRPr="0063202E">
              <w:rPr>
                <w:b w:val="0"/>
                <w:color w:val="000000"/>
              </w:rPr>
              <w:t>Guatemala</w:t>
            </w:r>
          </w:p>
        </w:tc>
        <w:tc>
          <w:tcPr>
            <w:tcW w:w="5753" w:type="dxa"/>
            <w:gridSpan w:val="2"/>
            <w:vAlign w:val="bottom"/>
          </w:tcPr>
          <w:p w14:paraId="06B5F401"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Accord for a Firm and Lasting Peace, 1996</w:t>
            </w:r>
          </w:p>
        </w:tc>
        <w:tc>
          <w:tcPr>
            <w:tcW w:w="1196" w:type="dxa"/>
          </w:tcPr>
          <w:p w14:paraId="0D5E888F"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3281B8AB"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47AB3C0C" w14:textId="77777777" w:rsidR="00C831E6" w:rsidRPr="0063202E" w:rsidRDefault="00C831E6" w:rsidP="004D24CC">
            <w:pPr>
              <w:pStyle w:val="NoSpacing"/>
              <w:rPr>
                <w:b w:val="0"/>
                <w:color w:val="000000"/>
              </w:rPr>
            </w:pPr>
            <w:r w:rsidRPr="0063202E">
              <w:rPr>
                <w:b w:val="0"/>
                <w:color w:val="000000"/>
              </w:rPr>
              <w:t>Liberia</w:t>
            </w:r>
          </w:p>
        </w:tc>
        <w:tc>
          <w:tcPr>
            <w:tcW w:w="5753" w:type="dxa"/>
            <w:gridSpan w:val="2"/>
            <w:vAlign w:val="bottom"/>
          </w:tcPr>
          <w:p w14:paraId="0F2B75CC"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Accra Peace Agreement, 2003</w:t>
            </w:r>
          </w:p>
        </w:tc>
        <w:tc>
          <w:tcPr>
            <w:tcW w:w="1196" w:type="dxa"/>
          </w:tcPr>
          <w:p w14:paraId="1152D9FF"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003DA6A5"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35965854" w14:textId="77777777" w:rsidR="00C831E6" w:rsidRPr="0063202E" w:rsidRDefault="00C831E6" w:rsidP="004D24CC">
            <w:pPr>
              <w:pStyle w:val="NoSpacing"/>
              <w:rPr>
                <w:b w:val="0"/>
                <w:color w:val="000000"/>
              </w:rPr>
            </w:pPr>
            <w:r w:rsidRPr="0063202E">
              <w:rPr>
                <w:b w:val="0"/>
                <w:color w:val="000000"/>
              </w:rPr>
              <w:t>Mozambique</w:t>
            </w:r>
          </w:p>
        </w:tc>
        <w:tc>
          <w:tcPr>
            <w:tcW w:w="5753" w:type="dxa"/>
            <w:gridSpan w:val="2"/>
            <w:vAlign w:val="bottom"/>
          </w:tcPr>
          <w:p w14:paraId="63C7710B"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General Peace Agreement for Mozambique, 1992</w:t>
            </w:r>
          </w:p>
        </w:tc>
        <w:tc>
          <w:tcPr>
            <w:tcW w:w="1196" w:type="dxa"/>
          </w:tcPr>
          <w:p w14:paraId="7548ADBA"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x</w:t>
            </w:r>
          </w:p>
        </w:tc>
      </w:tr>
      <w:tr w:rsidR="00C831E6" w:rsidRPr="00B10532" w14:paraId="7538726B"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582EB4F9" w14:textId="77777777" w:rsidR="00C831E6" w:rsidRPr="0063202E" w:rsidRDefault="00C831E6" w:rsidP="004D24CC">
            <w:pPr>
              <w:pStyle w:val="NoSpacing"/>
              <w:rPr>
                <w:b w:val="0"/>
                <w:color w:val="000000"/>
              </w:rPr>
            </w:pPr>
            <w:r w:rsidRPr="0063202E">
              <w:rPr>
                <w:b w:val="0"/>
                <w:color w:val="000000"/>
              </w:rPr>
              <w:t>Nepal</w:t>
            </w:r>
          </w:p>
        </w:tc>
        <w:tc>
          <w:tcPr>
            <w:tcW w:w="5753" w:type="dxa"/>
            <w:gridSpan w:val="2"/>
            <w:vAlign w:val="bottom"/>
          </w:tcPr>
          <w:p w14:paraId="12E194AB"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Comprehensive Peace Agreement, 2006</w:t>
            </w:r>
          </w:p>
        </w:tc>
        <w:tc>
          <w:tcPr>
            <w:tcW w:w="1196" w:type="dxa"/>
          </w:tcPr>
          <w:p w14:paraId="73112EAC"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6468B321"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118A6F7B" w14:textId="77777777" w:rsidR="00C831E6" w:rsidRPr="0063202E" w:rsidRDefault="00C831E6" w:rsidP="004D24CC">
            <w:pPr>
              <w:pStyle w:val="NoSpacing"/>
              <w:rPr>
                <w:b w:val="0"/>
                <w:color w:val="000000"/>
              </w:rPr>
            </w:pPr>
            <w:r w:rsidRPr="0063202E">
              <w:rPr>
                <w:b w:val="0"/>
                <w:color w:val="000000"/>
              </w:rPr>
              <w:t>Rwanda</w:t>
            </w:r>
          </w:p>
        </w:tc>
        <w:tc>
          <w:tcPr>
            <w:tcW w:w="5753" w:type="dxa"/>
            <w:gridSpan w:val="2"/>
            <w:vAlign w:val="bottom"/>
          </w:tcPr>
          <w:p w14:paraId="06E377DC"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Arusha Accord, 1993</w:t>
            </w:r>
          </w:p>
        </w:tc>
        <w:tc>
          <w:tcPr>
            <w:tcW w:w="1196" w:type="dxa"/>
          </w:tcPr>
          <w:p w14:paraId="5F79F2E9"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0072CED0"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1FACD4B4" w14:textId="77777777" w:rsidR="00C831E6" w:rsidRPr="0063202E" w:rsidRDefault="00C831E6" w:rsidP="004D24CC">
            <w:pPr>
              <w:pStyle w:val="NoSpacing"/>
              <w:rPr>
                <w:b w:val="0"/>
                <w:color w:val="000000"/>
              </w:rPr>
            </w:pPr>
            <w:r w:rsidRPr="0063202E">
              <w:rPr>
                <w:b w:val="0"/>
                <w:color w:val="000000"/>
              </w:rPr>
              <w:t>Sierra Leone</w:t>
            </w:r>
          </w:p>
        </w:tc>
        <w:tc>
          <w:tcPr>
            <w:tcW w:w="5753" w:type="dxa"/>
            <w:gridSpan w:val="2"/>
            <w:vAlign w:val="bottom"/>
          </w:tcPr>
          <w:p w14:paraId="4468BD74" w14:textId="77777777" w:rsidR="00C831E6" w:rsidRPr="00B10532" w:rsidRDefault="007A2982"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Lomé</w:t>
            </w:r>
            <w:r w:rsidR="00C831E6" w:rsidRPr="00B10532">
              <w:rPr>
                <w:color w:val="000000"/>
              </w:rPr>
              <w:t xml:space="preserve"> Peace Agreement, 1999</w:t>
            </w:r>
          </w:p>
        </w:tc>
        <w:tc>
          <w:tcPr>
            <w:tcW w:w="1196" w:type="dxa"/>
          </w:tcPr>
          <w:p w14:paraId="0138F099"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167C3DBB"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4F74C200" w14:textId="77777777" w:rsidR="00C831E6" w:rsidRPr="0063202E" w:rsidRDefault="00C831E6" w:rsidP="004D24CC">
            <w:pPr>
              <w:pStyle w:val="NoSpacing"/>
              <w:rPr>
                <w:b w:val="0"/>
                <w:color w:val="000000"/>
              </w:rPr>
            </w:pPr>
            <w:r w:rsidRPr="0063202E">
              <w:rPr>
                <w:b w:val="0"/>
                <w:color w:val="000000"/>
              </w:rPr>
              <w:t>South Africa</w:t>
            </w:r>
          </w:p>
        </w:tc>
        <w:tc>
          <w:tcPr>
            <w:tcW w:w="5753" w:type="dxa"/>
            <w:gridSpan w:val="2"/>
            <w:vAlign w:val="bottom"/>
          </w:tcPr>
          <w:p w14:paraId="4D43676E"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Interim Constitution Accord, 1993</w:t>
            </w:r>
          </w:p>
        </w:tc>
        <w:tc>
          <w:tcPr>
            <w:tcW w:w="1196" w:type="dxa"/>
          </w:tcPr>
          <w:p w14:paraId="2DE3C7FF"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r w:rsidR="00C831E6" w:rsidRPr="00B10532" w14:paraId="597B15E2" w14:textId="77777777" w:rsidTr="00C831E6">
        <w:trPr>
          <w:trHeight w:val="340"/>
        </w:trPr>
        <w:tc>
          <w:tcPr>
            <w:cnfStyle w:val="001000000000" w:firstRow="0" w:lastRow="0" w:firstColumn="1" w:lastColumn="0" w:oddVBand="0" w:evenVBand="0" w:oddHBand="0" w:evenHBand="0" w:firstRowFirstColumn="0" w:firstRowLastColumn="0" w:lastRowFirstColumn="0" w:lastRowLastColumn="0"/>
            <w:tcW w:w="2293" w:type="dxa"/>
            <w:vAlign w:val="bottom"/>
          </w:tcPr>
          <w:p w14:paraId="3758FC56" w14:textId="77777777" w:rsidR="00C831E6" w:rsidRPr="0063202E" w:rsidRDefault="00C831E6" w:rsidP="004D24CC">
            <w:pPr>
              <w:pStyle w:val="NoSpacing"/>
              <w:rPr>
                <w:b w:val="0"/>
                <w:color w:val="000000"/>
              </w:rPr>
            </w:pPr>
            <w:r w:rsidRPr="0063202E">
              <w:rPr>
                <w:b w:val="0"/>
                <w:color w:val="000000"/>
              </w:rPr>
              <w:t>Tajikistan</w:t>
            </w:r>
          </w:p>
        </w:tc>
        <w:tc>
          <w:tcPr>
            <w:tcW w:w="5753" w:type="dxa"/>
            <w:gridSpan w:val="2"/>
            <w:vAlign w:val="bottom"/>
          </w:tcPr>
          <w:p w14:paraId="6BD53B11" w14:textId="77777777" w:rsidR="00C831E6" w:rsidRPr="00B10532" w:rsidRDefault="00C831E6" w:rsidP="004D24CC">
            <w:pPr>
              <w:pStyle w:val="NoSpacing"/>
              <w:cnfStyle w:val="000000000000" w:firstRow="0" w:lastRow="0" w:firstColumn="0" w:lastColumn="0" w:oddVBand="0" w:evenVBand="0" w:oddHBand="0" w:evenHBand="0" w:firstRowFirstColumn="0" w:firstRowLastColumn="0" w:lastRowFirstColumn="0" w:lastRowLastColumn="0"/>
              <w:rPr>
                <w:color w:val="000000"/>
              </w:rPr>
            </w:pPr>
            <w:r w:rsidRPr="00B10532">
              <w:rPr>
                <w:color w:val="000000"/>
              </w:rPr>
              <w:t>General Agreement on the Establishment of Peace and National Accord, 1997</w:t>
            </w:r>
          </w:p>
        </w:tc>
        <w:tc>
          <w:tcPr>
            <w:tcW w:w="1196" w:type="dxa"/>
          </w:tcPr>
          <w:p w14:paraId="6E47F47B" w14:textId="77777777" w:rsidR="00C831E6" w:rsidRPr="00B10532" w:rsidRDefault="00C831E6" w:rsidP="00A40EC8">
            <w:pPr>
              <w:pStyle w:val="NoSpacing"/>
              <w:jc w:val="center"/>
              <w:cnfStyle w:val="000000000000" w:firstRow="0" w:lastRow="0" w:firstColumn="0" w:lastColumn="0" w:oddVBand="0" w:evenVBand="0" w:oddHBand="0" w:evenHBand="0" w:firstRowFirstColumn="0" w:firstRowLastColumn="0" w:lastRowFirstColumn="0" w:lastRowLastColumn="0"/>
              <w:rPr>
                <w:color w:val="000000"/>
              </w:rPr>
            </w:pPr>
          </w:p>
        </w:tc>
      </w:tr>
    </w:tbl>
    <w:p w14:paraId="62035B09" w14:textId="77777777" w:rsidR="00CB7995" w:rsidRPr="00B10532" w:rsidRDefault="00CB7995">
      <w:pPr>
        <w:rPr>
          <w:rFonts w:cs="Times New Roman"/>
        </w:rPr>
      </w:pPr>
    </w:p>
    <w:p w14:paraId="35C8639A" w14:textId="0DF0B6B9" w:rsidR="00B4501E" w:rsidRDefault="005306B2" w:rsidP="00020908">
      <w:pPr>
        <w:spacing w:line="480" w:lineRule="auto"/>
        <w:rPr>
          <w:rFonts w:cs="Times New Roman"/>
        </w:rPr>
      </w:pPr>
      <w:r w:rsidRPr="00C1339C">
        <w:rPr>
          <w:rFonts w:cs="Times New Roman"/>
        </w:rPr>
        <w:lastRenderedPageBreak/>
        <w:t>With 29 cas</w:t>
      </w:r>
      <w:r w:rsidR="00C83FC3">
        <w:rPr>
          <w:rFonts w:cs="Times New Roman"/>
        </w:rPr>
        <w:t>es this is a medium-N analysis, which does not allow for multivariable regression or similar forms of statistical analysis. The comparison of agreement</w:t>
      </w:r>
      <w:r w:rsidR="002434B3">
        <w:rPr>
          <w:rFonts w:cs="Times New Roman"/>
        </w:rPr>
        <w:t>s</w:t>
      </w:r>
      <w:r w:rsidR="00C83FC3">
        <w:rPr>
          <w:rFonts w:cs="Times New Roman"/>
        </w:rPr>
        <w:t xml:space="preserve"> signed in territorial and non-territorial conflicts will therefore rely primarily on descriptive statistics, while the analysis of other context variables will be examined using Qualitative Comparative Analysis (QCA). The 29 agreements are considered the full population of comprehensive agreements </w:t>
      </w:r>
      <w:r w:rsidR="003E5A6D">
        <w:rPr>
          <w:rFonts w:cs="Times New Roman"/>
        </w:rPr>
        <w:t xml:space="preserve">signed </w:t>
      </w:r>
      <w:r w:rsidR="00C83FC3">
        <w:rPr>
          <w:rFonts w:cs="Times New Roman"/>
        </w:rPr>
        <w:t>between 1990 and 2010</w:t>
      </w:r>
      <w:r w:rsidR="00E81F62">
        <w:rPr>
          <w:rFonts w:cs="Times New Roman"/>
        </w:rPr>
        <w:t>, but significance tests (</w:t>
      </w:r>
      <w:r w:rsidR="00E81F62">
        <w:rPr>
          <w:rFonts w:cstheme="minorHAnsi"/>
          <w:color w:val="000000"/>
          <w:shd w:val="clear" w:color="auto" w:fill="FFFFFF"/>
        </w:rPr>
        <w:t xml:space="preserve">Pearson’s </w:t>
      </w:r>
      <w:r w:rsidR="00E81F62" w:rsidRPr="00BF7A6E">
        <w:rPr>
          <w:rFonts w:cstheme="minorHAnsi"/>
          <w:color w:val="000000"/>
          <w:shd w:val="clear" w:color="auto" w:fill="FFFFFF"/>
        </w:rPr>
        <w:t>Chi-Square</w:t>
      </w:r>
      <w:r w:rsidR="00E81F62">
        <w:rPr>
          <w:rFonts w:cstheme="minorHAnsi"/>
          <w:color w:val="000000"/>
          <w:shd w:val="clear" w:color="auto" w:fill="FFFFFF"/>
        </w:rPr>
        <w:t>) are reported for the sake of robustness</w:t>
      </w:r>
      <w:r w:rsidR="00C83FC3">
        <w:rPr>
          <w:rFonts w:cs="Times New Roman"/>
        </w:rPr>
        <w:t xml:space="preserve">. </w:t>
      </w:r>
    </w:p>
    <w:p w14:paraId="63A1E408" w14:textId="77777777" w:rsidR="00B82A66" w:rsidRDefault="00B82A66" w:rsidP="00020908">
      <w:pPr>
        <w:spacing w:line="480" w:lineRule="auto"/>
        <w:rPr>
          <w:rFonts w:cs="Times New Roman"/>
          <w:b/>
        </w:rPr>
      </w:pPr>
    </w:p>
    <w:p w14:paraId="54B605FC" w14:textId="77777777" w:rsidR="00B82A66" w:rsidRPr="005517B3" w:rsidRDefault="00B82A66" w:rsidP="00020908">
      <w:pPr>
        <w:spacing w:line="480" w:lineRule="auto"/>
        <w:rPr>
          <w:rFonts w:cs="Times New Roman"/>
          <w:b/>
        </w:rPr>
      </w:pPr>
      <w:r w:rsidRPr="005517B3">
        <w:rPr>
          <w:rFonts w:cs="Times New Roman"/>
          <w:b/>
        </w:rPr>
        <w:t xml:space="preserve">Coding </w:t>
      </w:r>
      <w:r w:rsidR="00684A1D" w:rsidRPr="005517B3">
        <w:rPr>
          <w:rFonts w:cs="Times New Roman"/>
          <w:b/>
        </w:rPr>
        <w:t>and Analysis</w:t>
      </w:r>
      <w:r w:rsidRPr="005517B3">
        <w:rPr>
          <w:rFonts w:cs="Times New Roman"/>
          <w:b/>
        </w:rPr>
        <w:t xml:space="preserve"> </w:t>
      </w:r>
    </w:p>
    <w:p w14:paraId="661070C8" w14:textId="05AF7EC6" w:rsidR="00B82A66" w:rsidRDefault="0073590F" w:rsidP="00B82A66">
      <w:pPr>
        <w:spacing w:line="480" w:lineRule="auto"/>
        <w:rPr>
          <w:rFonts w:cs="Times New Roman"/>
        </w:rPr>
      </w:pPr>
      <w:r w:rsidRPr="0073590F">
        <w:rPr>
          <w:rFonts w:cs="Times New Roman"/>
        </w:rPr>
        <w:t>A comprehensive analysis of human rights provisions in peace settlements need</w:t>
      </w:r>
      <w:r w:rsidR="00CF4026">
        <w:rPr>
          <w:rFonts w:cs="Times New Roman"/>
        </w:rPr>
        <w:t>s</w:t>
      </w:r>
      <w:r w:rsidRPr="0073590F">
        <w:rPr>
          <w:rFonts w:cs="Times New Roman"/>
        </w:rPr>
        <w:t xml:space="preserve"> to go beyond the language used. </w:t>
      </w:r>
      <w:r w:rsidR="00C001FD" w:rsidRPr="0073590F">
        <w:rPr>
          <w:rFonts w:cs="Times New Roman"/>
        </w:rPr>
        <w:t xml:space="preserve">As Selby suggests, liberal </w:t>
      </w:r>
      <w:r w:rsidR="00B82A66" w:rsidRPr="0073590F">
        <w:rPr>
          <w:rFonts w:cs="Times New Roman"/>
        </w:rPr>
        <w:t xml:space="preserve">commitments in a peace agreement </w:t>
      </w:r>
      <w:r w:rsidR="00C001FD" w:rsidRPr="0073590F">
        <w:rPr>
          <w:rFonts w:cs="Times New Roman"/>
        </w:rPr>
        <w:t xml:space="preserve">can mask </w:t>
      </w:r>
      <w:r w:rsidR="00B82A66" w:rsidRPr="0073590F">
        <w:rPr>
          <w:rFonts w:cs="Times New Roman"/>
        </w:rPr>
        <w:t>a detailed content</w:t>
      </w:r>
      <w:r w:rsidR="00C001FD" w:rsidRPr="0073590F">
        <w:rPr>
          <w:rFonts w:cs="Times New Roman"/>
        </w:rPr>
        <w:t xml:space="preserve"> that is distinctly illiberal.</w:t>
      </w:r>
      <w:r w:rsidR="00701515">
        <w:rPr>
          <w:rStyle w:val="FootnoteReference"/>
          <w:rFonts w:cs="Times New Roman"/>
        </w:rPr>
        <w:footnoteReference w:id="63"/>
      </w:r>
      <w:r w:rsidR="00C001FD" w:rsidRPr="0073590F">
        <w:rPr>
          <w:rFonts w:cs="Times New Roman"/>
        </w:rPr>
        <w:t xml:space="preserve"> </w:t>
      </w:r>
      <w:r w:rsidRPr="0073590F">
        <w:rPr>
          <w:rFonts w:cs="Times New Roman"/>
        </w:rPr>
        <w:t xml:space="preserve">In order to examine if settlements provide the basis for effective human rights protections, and to enable an analysis of possible trade-offs, the analysis is </w:t>
      </w:r>
      <w:r w:rsidR="001E0EDA" w:rsidRPr="0073590F">
        <w:rPr>
          <w:rFonts w:cs="Times New Roman"/>
        </w:rPr>
        <w:t>divided into: overarching rights, human rights institutions</w:t>
      </w:r>
      <w:r w:rsidR="00DC3835">
        <w:rPr>
          <w:rFonts w:cs="Times New Roman"/>
        </w:rPr>
        <w:t xml:space="preserve">, human rights </w:t>
      </w:r>
      <w:r w:rsidR="001E0EDA" w:rsidRPr="0073590F">
        <w:rPr>
          <w:rFonts w:cs="Times New Roman"/>
        </w:rPr>
        <w:t>enforcement</w:t>
      </w:r>
      <w:r w:rsidR="005517B3" w:rsidRPr="0073590F">
        <w:rPr>
          <w:rFonts w:cs="Times New Roman"/>
        </w:rPr>
        <w:t>,</w:t>
      </w:r>
      <w:r w:rsidR="001E0EDA" w:rsidRPr="0073590F">
        <w:rPr>
          <w:rFonts w:cs="Times New Roman"/>
        </w:rPr>
        <w:t xml:space="preserve"> </w:t>
      </w:r>
      <w:r w:rsidR="005517B3" w:rsidRPr="0073590F">
        <w:rPr>
          <w:rFonts w:cs="Times New Roman"/>
        </w:rPr>
        <w:t>and implementation</w:t>
      </w:r>
      <w:r w:rsidR="001E0EDA" w:rsidRPr="0073590F">
        <w:rPr>
          <w:rFonts w:cs="Times New Roman"/>
        </w:rPr>
        <w:t>.</w:t>
      </w:r>
      <w:r w:rsidR="001E0EDA">
        <w:rPr>
          <w:rFonts w:cs="Times New Roman"/>
        </w:rPr>
        <w:t xml:space="preserve"> </w:t>
      </w:r>
    </w:p>
    <w:p w14:paraId="1FC39980" w14:textId="77777777" w:rsidR="00D2220B" w:rsidRPr="005517B3" w:rsidRDefault="00D2220B" w:rsidP="00B82A66">
      <w:pPr>
        <w:spacing w:line="480" w:lineRule="auto"/>
        <w:rPr>
          <w:rFonts w:cs="Times New Roman"/>
          <w:i/>
        </w:rPr>
      </w:pPr>
      <w:r w:rsidRPr="005517B3">
        <w:rPr>
          <w:rFonts w:cs="Times New Roman"/>
          <w:i/>
        </w:rPr>
        <w:t>1) Overarching rights</w:t>
      </w:r>
    </w:p>
    <w:p w14:paraId="2DE48C1B" w14:textId="77777777" w:rsidR="001E0EDA" w:rsidRDefault="00C001FD" w:rsidP="00E3752B">
      <w:pPr>
        <w:spacing w:line="480" w:lineRule="auto"/>
        <w:rPr>
          <w:rFonts w:cs="Times New Roman"/>
        </w:rPr>
      </w:pPr>
      <w:r>
        <w:rPr>
          <w:rFonts w:cs="Times New Roman"/>
        </w:rPr>
        <w:t xml:space="preserve">A minimal criterion for the inclusion of future-oriented human rights provisions is </w:t>
      </w:r>
      <w:r w:rsidR="001E0EDA">
        <w:rPr>
          <w:rFonts w:cs="Times New Roman"/>
        </w:rPr>
        <w:t xml:space="preserve">a separate section on </w:t>
      </w:r>
      <w:r>
        <w:rPr>
          <w:rFonts w:cs="Times New Roman"/>
        </w:rPr>
        <w:t>human rights</w:t>
      </w:r>
      <w:r w:rsidR="00CF4026">
        <w:rPr>
          <w:rFonts w:cs="Times New Roman"/>
        </w:rPr>
        <w:t>,</w:t>
      </w:r>
      <w:r w:rsidR="009E280F">
        <w:rPr>
          <w:rFonts w:cs="Times New Roman"/>
        </w:rPr>
        <w:t xml:space="preserve"> </w:t>
      </w:r>
      <w:r w:rsidR="001E0EDA">
        <w:rPr>
          <w:rFonts w:cs="Times New Roman"/>
        </w:rPr>
        <w:t xml:space="preserve">while a </w:t>
      </w:r>
      <w:r w:rsidR="00E3752B">
        <w:rPr>
          <w:rFonts w:cs="Times New Roman"/>
        </w:rPr>
        <w:t xml:space="preserve">more substantive criterion </w:t>
      </w:r>
      <w:r w:rsidR="009E280F">
        <w:rPr>
          <w:rFonts w:cs="Times New Roman"/>
        </w:rPr>
        <w:t xml:space="preserve">is </w:t>
      </w:r>
      <w:r w:rsidR="00E3752B">
        <w:rPr>
          <w:rFonts w:cs="Times New Roman"/>
        </w:rPr>
        <w:t>the inclusion of overarching enforceable rights</w:t>
      </w:r>
      <w:r w:rsidR="009E280F">
        <w:rPr>
          <w:rFonts w:cs="Times New Roman"/>
        </w:rPr>
        <w:t xml:space="preserve">. This can be </w:t>
      </w:r>
      <w:r w:rsidR="00E3752B">
        <w:rPr>
          <w:rFonts w:cs="Times New Roman"/>
        </w:rPr>
        <w:t>in the form of a bill of rights or the incorporation of international instruments such as the European Convention on Human Rights</w:t>
      </w:r>
      <w:r w:rsidR="00701515">
        <w:rPr>
          <w:rFonts w:cs="Times New Roman"/>
        </w:rPr>
        <w:t>,</w:t>
      </w:r>
      <w:r w:rsidR="00701515">
        <w:rPr>
          <w:rStyle w:val="FootnoteReference"/>
          <w:rFonts w:cs="Times New Roman"/>
        </w:rPr>
        <w:footnoteReference w:id="64"/>
      </w:r>
      <w:r w:rsidR="00701515">
        <w:rPr>
          <w:rFonts w:cs="Times New Roman"/>
        </w:rPr>
        <w:t xml:space="preserve"> </w:t>
      </w:r>
      <w:r w:rsidR="00E3752B">
        <w:rPr>
          <w:rFonts w:cs="Times New Roman"/>
        </w:rPr>
        <w:t xml:space="preserve">or the listing of specific rights that are to be protected by an amended constitution. </w:t>
      </w:r>
      <w:r>
        <w:rPr>
          <w:rFonts w:cs="Times New Roman"/>
        </w:rPr>
        <w:t xml:space="preserve"> Both </w:t>
      </w:r>
      <w:r w:rsidR="009E280F">
        <w:rPr>
          <w:rFonts w:cs="Times New Roman"/>
        </w:rPr>
        <w:t xml:space="preserve">criteria are used </w:t>
      </w:r>
      <w:r w:rsidR="009E280F">
        <w:rPr>
          <w:rFonts w:cs="Times New Roman"/>
        </w:rPr>
        <w:lastRenderedPageBreak/>
        <w:t>in the analysis</w:t>
      </w:r>
      <w:r>
        <w:rPr>
          <w:rFonts w:cs="Times New Roman"/>
        </w:rPr>
        <w:t xml:space="preserve">.  </w:t>
      </w:r>
      <w:r w:rsidR="00D2220B">
        <w:rPr>
          <w:rFonts w:cs="Times New Roman"/>
        </w:rPr>
        <w:t>For agreements that include territorial autonomy,</w:t>
      </w:r>
      <w:r w:rsidR="009E280F">
        <w:rPr>
          <w:rFonts w:cs="Times New Roman"/>
        </w:rPr>
        <w:t xml:space="preserve"> this part of the analysis </w:t>
      </w:r>
      <w:r w:rsidR="00D2220B">
        <w:rPr>
          <w:rFonts w:cs="Times New Roman"/>
        </w:rPr>
        <w:t>also examine</w:t>
      </w:r>
      <w:r w:rsidR="009E280F">
        <w:rPr>
          <w:rFonts w:cs="Times New Roman"/>
        </w:rPr>
        <w:t>s</w:t>
      </w:r>
      <w:r w:rsidR="00D2220B">
        <w:rPr>
          <w:rFonts w:cs="Times New Roman"/>
        </w:rPr>
        <w:t xml:space="preserve"> rights for minorities within the autonomous unit. </w:t>
      </w:r>
    </w:p>
    <w:p w14:paraId="22B537AA" w14:textId="77777777" w:rsidR="00D2220B" w:rsidRPr="005517B3" w:rsidRDefault="00D2220B" w:rsidP="00E3752B">
      <w:pPr>
        <w:spacing w:line="480" w:lineRule="auto"/>
        <w:rPr>
          <w:rFonts w:cs="Times New Roman"/>
          <w:i/>
        </w:rPr>
      </w:pPr>
      <w:r w:rsidRPr="005517B3">
        <w:rPr>
          <w:rFonts w:cs="Times New Roman"/>
          <w:i/>
        </w:rPr>
        <w:t>2) Human rights institutions and enforcement</w:t>
      </w:r>
    </w:p>
    <w:p w14:paraId="1D2544DC" w14:textId="77777777" w:rsidR="009709AD" w:rsidRDefault="002F28B8" w:rsidP="001E0EDA">
      <w:pPr>
        <w:spacing w:line="480" w:lineRule="auto"/>
        <w:rPr>
          <w:rFonts w:cs="Times New Roman"/>
        </w:rPr>
      </w:pPr>
      <w:r>
        <w:rPr>
          <w:rFonts w:cs="Times New Roman"/>
        </w:rPr>
        <w:t>L</w:t>
      </w:r>
      <w:r w:rsidR="00B82A66" w:rsidRPr="00C1339C">
        <w:t>isting human rights is</w:t>
      </w:r>
      <w:r w:rsidR="00C001FD">
        <w:t xml:space="preserve"> not enough for effective human rights protections. T</w:t>
      </w:r>
      <w:r w:rsidR="004D546A" w:rsidRPr="00C1339C">
        <w:rPr>
          <w:rFonts w:cs="Times New Roman"/>
        </w:rPr>
        <w:t xml:space="preserve">he </w:t>
      </w:r>
      <w:r w:rsidR="004D546A">
        <w:rPr>
          <w:rFonts w:cs="Times New Roman"/>
        </w:rPr>
        <w:t xml:space="preserve">existence of institutions </w:t>
      </w:r>
      <w:r w:rsidR="004D546A" w:rsidRPr="00C1339C">
        <w:rPr>
          <w:rFonts w:cs="Times New Roman"/>
        </w:rPr>
        <w:t>that can assist individuals and groups in making claims, forums where these claims can be heard</w:t>
      </w:r>
      <w:r w:rsidR="004D546A">
        <w:rPr>
          <w:rFonts w:cs="Times New Roman"/>
        </w:rPr>
        <w:t>,</w:t>
      </w:r>
      <w:r w:rsidR="004D546A" w:rsidRPr="00C1339C">
        <w:rPr>
          <w:rFonts w:cs="Times New Roman"/>
        </w:rPr>
        <w:t xml:space="preserve"> and the ability to enforce the decisions are crucial if </w:t>
      </w:r>
      <w:r w:rsidR="004D546A">
        <w:rPr>
          <w:rFonts w:cs="Times New Roman"/>
        </w:rPr>
        <w:t>the protection of human rights</w:t>
      </w:r>
      <w:r w:rsidR="004D546A" w:rsidRPr="00C1339C">
        <w:rPr>
          <w:rFonts w:cs="Times New Roman"/>
        </w:rPr>
        <w:t xml:space="preserve"> is to go beyond rhetoric.</w:t>
      </w:r>
      <w:r w:rsidR="009E280F">
        <w:rPr>
          <w:rFonts w:cs="Times New Roman"/>
        </w:rPr>
        <w:t xml:space="preserve"> The analysis </w:t>
      </w:r>
      <w:r w:rsidR="00C001FD">
        <w:rPr>
          <w:rFonts w:cs="Times New Roman"/>
        </w:rPr>
        <w:t>examine</w:t>
      </w:r>
      <w:r w:rsidR="009E280F">
        <w:rPr>
          <w:rFonts w:cs="Times New Roman"/>
        </w:rPr>
        <w:t>s</w:t>
      </w:r>
      <w:r w:rsidR="00C001FD">
        <w:rPr>
          <w:rFonts w:cs="Times New Roman"/>
        </w:rPr>
        <w:t xml:space="preserve"> if the agreements include human rights institutions, such as </w:t>
      </w:r>
      <w:r w:rsidR="009709AD">
        <w:rPr>
          <w:rFonts w:cs="Times New Roman"/>
        </w:rPr>
        <w:t xml:space="preserve">constitutional courts and </w:t>
      </w:r>
      <w:r w:rsidR="009709AD" w:rsidRPr="00C1339C">
        <w:rPr>
          <w:rFonts w:cs="Times New Roman"/>
        </w:rPr>
        <w:t>human rights courts</w:t>
      </w:r>
      <w:r w:rsidR="00C001FD">
        <w:rPr>
          <w:rFonts w:cs="Times New Roman"/>
        </w:rPr>
        <w:t xml:space="preserve">, and </w:t>
      </w:r>
      <w:r w:rsidR="009709AD">
        <w:rPr>
          <w:rFonts w:cs="Times New Roman"/>
        </w:rPr>
        <w:t xml:space="preserve">enforcement institutions, such as human rights commissions </w:t>
      </w:r>
      <w:r w:rsidR="009709AD" w:rsidRPr="00C1339C">
        <w:rPr>
          <w:rFonts w:cs="Times New Roman"/>
        </w:rPr>
        <w:t>or a human rights ombudsman</w:t>
      </w:r>
      <w:r w:rsidR="00701515">
        <w:rPr>
          <w:rFonts w:cs="Times New Roman"/>
        </w:rPr>
        <w:t>.</w:t>
      </w:r>
      <w:r w:rsidR="00701515">
        <w:rPr>
          <w:rStyle w:val="FootnoteReference"/>
          <w:rFonts w:cs="Times New Roman"/>
        </w:rPr>
        <w:footnoteReference w:id="65"/>
      </w:r>
      <w:r w:rsidR="009709AD" w:rsidRPr="00C1339C">
        <w:rPr>
          <w:rFonts w:cs="Times New Roman"/>
        </w:rPr>
        <w:t xml:space="preserve"> </w:t>
      </w:r>
      <w:r w:rsidR="00C001FD">
        <w:rPr>
          <w:rFonts w:cs="Times New Roman"/>
          <w:noProof/>
        </w:rPr>
        <w:t>The agreements either have to</w:t>
      </w:r>
      <w:r w:rsidR="001E0EDA">
        <w:rPr>
          <w:rFonts w:cs="Times New Roman"/>
          <w:noProof/>
        </w:rPr>
        <w:t xml:space="preserve"> </w:t>
      </w:r>
      <w:r w:rsidR="009709AD" w:rsidRPr="00C1339C">
        <w:rPr>
          <w:rFonts w:cs="Times New Roman"/>
        </w:rPr>
        <w:t xml:space="preserve">provide for the creation of </w:t>
      </w:r>
      <w:r w:rsidR="009709AD">
        <w:rPr>
          <w:rFonts w:cs="Times New Roman"/>
        </w:rPr>
        <w:t xml:space="preserve">new </w:t>
      </w:r>
      <w:r w:rsidR="009709AD" w:rsidRPr="00C1339C">
        <w:rPr>
          <w:rFonts w:cs="Times New Roman"/>
        </w:rPr>
        <w:t>institutions</w:t>
      </w:r>
      <w:r w:rsidR="009709AD">
        <w:rPr>
          <w:rFonts w:cs="Times New Roman"/>
        </w:rPr>
        <w:t xml:space="preserve"> </w:t>
      </w:r>
      <w:r w:rsidR="009709AD" w:rsidRPr="00C1339C">
        <w:rPr>
          <w:rFonts w:cs="Times New Roman"/>
        </w:rPr>
        <w:t>or the</w:t>
      </w:r>
      <w:r w:rsidR="009709AD">
        <w:rPr>
          <w:rFonts w:cs="Times New Roman"/>
        </w:rPr>
        <w:t xml:space="preserve"> jurisdiction of </w:t>
      </w:r>
      <w:r w:rsidR="009709AD" w:rsidRPr="00C1339C">
        <w:rPr>
          <w:rFonts w:cs="Times New Roman"/>
        </w:rPr>
        <w:t xml:space="preserve">existing </w:t>
      </w:r>
      <w:r w:rsidR="009709AD">
        <w:rPr>
          <w:rFonts w:cs="Times New Roman"/>
        </w:rPr>
        <w:t>institutions is specified</w:t>
      </w:r>
      <w:r w:rsidR="00CF4026">
        <w:rPr>
          <w:rFonts w:cs="Times New Roman"/>
        </w:rPr>
        <w:t xml:space="preserve">. The </w:t>
      </w:r>
      <w:r w:rsidR="001E4046">
        <w:rPr>
          <w:rFonts w:cs="Times New Roman"/>
        </w:rPr>
        <w:t>latter criterion recogniz</w:t>
      </w:r>
      <w:r w:rsidR="001E0EDA">
        <w:rPr>
          <w:rFonts w:cs="Times New Roman"/>
        </w:rPr>
        <w:t xml:space="preserve">es that human rights protections are not only based on the content of the agreement; this is likely part of a wider judicial framework. </w:t>
      </w:r>
    </w:p>
    <w:p w14:paraId="54A9923A" w14:textId="19BA1283" w:rsidR="004D546A" w:rsidRPr="005517B3" w:rsidRDefault="00DC3835" w:rsidP="00020908">
      <w:pPr>
        <w:spacing w:line="480" w:lineRule="auto"/>
        <w:rPr>
          <w:rFonts w:cs="Times New Roman"/>
          <w:i/>
        </w:rPr>
      </w:pPr>
      <w:r>
        <w:rPr>
          <w:rFonts w:cs="Times New Roman"/>
          <w:i/>
        </w:rPr>
        <w:t>3</w:t>
      </w:r>
      <w:r w:rsidR="00BA0705" w:rsidRPr="005517B3">
        <w:rPr>
          <w:rFonts w:cs="Times New Roman"/>
          <w:i/>
        </w:rPr>
        <w:t>) Implementation</w:t>
      </w:r>
    </w:p>
    <w:p w14:paraId="085BAAA4" w14:textId="4E068051" w:rsidR="00BA0705" w:rsidRDefault="00BA0705" w:rsidP="00020908">
      <w:pPr>
        <w:spacing w:line="480" w:lineRule="auto"/>
        <w:rPr>
          <w:rFonts w:cs="Times New Roman"/>
        </w:rPr>
      </w:pPr>
      <w:r>
        <w:rPr>
          <w:rFonts w:cs="Times New Roman"/>
        </w:rPr>
        <w:t>It is beyond the scope of this article to</w:t>
      </w:r>
      <w:r w:rsidR="009E280F">
        <w:rPr>
          <w:rFonts w:cs="Times New Roman"/>
        </w:rPr>
        <w:t xml:space="preserve"> provide an in-depth analysis of the imp</w:t>
      </w:r>
      <w:r>
        <w:rPr>
          <w:rFonts w:cs="Times New Roman"/>
        </w:rPr>
        <w:t xml:space="preserve">lementation of human rights provisions. </w:t>
      </w:r>
      <w:r w:rsidR="00E81F62">
        <w:rPr>
          <w:rFonts w:cs="Times New Roman"/>
        </w:rPr>
        <w:t>However,</w:t>
      </w:r>
      <w:r>
        <w:rPr>
          <w:rFonts w:cs="Times New Roman"/>
        </w:rPr>
        <w:t xml:space="preserve"> implementation data from the Peace Accord</w:t>
      </w:r>
      <w:r w:rsidR="0063202E">
        <w:rPr>
          <w:rFonts w:cs="Times New Roman"/>
        </w:rPr>
        <w:t>s</w:t>
      </w:r>
      <w:r>
        <w:rPr>
          <w:rFonts w:cs="Times New Roman"/>
        </w:rPr>
        <w:t xml:space="preserve"> Matrix </w:t>
      </w:r>
      <w:r w:rsidR="009E280F">
        <w:rPr>
          <w:rFonts w:cs="Times New Roman"/>
        </w:rPr>
        <w:t xml:space="preserve">are used to </w:t>
      </w:r>
      <w:r>
        <w:rPr>
          <w:rFonts w:cs="Times New Roman"/>
        </w:rPr>
        <w:t xml:space="preserve">compare the </w:t>
      </w:r>
      <w:r w:rsidR="005517B3">
        <w:rPr>
          <w:rFonts w:cs="Times New Roman"/>
        </w:rPr>
        <w:t xml:space="preserve">degree of </w:t>
      </w:r>
      <w:r>
        <w:rPr>
          <w:rFonts w:cs="Times New Roman"/>
        </w:rPr>
        <w:t>implementation of human rights provisions in the two types of conflicts</w:t>
      </w:r>
      <w:r w:rsidR="005517B3">
        <w:rPr>
          <w:rFonts w:cs="Times New Roman"/>
        </w:rPr>
        <w:t xml:space="preserve">, and </w:t>
      </w:r>
      <w:r w:rsidR="009E280F">
        <w:rPr>
          <w:rFonts w:cs="Times New Roman"/>
        </w:rPr>
        <w:t xml:space="preserve">case studies are drawn on to </w:t>
      </w:r>
      <w:r w:rsidR="005517B3">
        <w:rPr>
          <w:rFonts w:cs="Times New Roman"/>
        </w:rPr>
        <w:t xml:space="preserve">discuss the </w:t>
      </w:r>
      <w:r>
        <w:rPr>
          <w:rFonts w:cs="Times New Roman"/>
        </w:rPr>
        <w:t xml:space="preserve">reasons for these findings. </w:t>
      </w:r>
    </w:p>
    <w:p w14:paraId="3FAE1AD0" w14:textId="6A7573AC" w:rsidR="00AD54F5" w:rsidRDefault="00AD54F5" w:rsidP="00020908">
      <w:pPr>
        <w:spacing w:line="480" w:lineRule="auto"/>
        <w:rPr>
          <w:rFonts w:cs="Times New Roman"/>
        </w:rPr>
      </w:pPr>
    </w:p>
    <w:p w14:paraId="36E37BEE" w14:textId="50162942" w:rsidR="00E81F62" w:rsidRDefault="00E81F62" w:rsidP="00020908">
      <w:pPr>
        <w:spacing w:line="480" w:lineRule="auto"/>
        <w:rPr>
          <w:rFonts w:cs="Times New Roman"/>
        </w:rPr>
      </w:pPr>
    </w:p>
    <w:p w14:paraId="7D39B3F9" w14:textId="77777777" w:rsidR="00E81F62" w:rsidRPr="00BA0705" w:rsidRDefault="00E81F62" w:rsidP="00020908">
      <w:pPr>
        <w:spacing w:line="480" w:lineRule="auto"/>
        <w:rPr>
          <w:rFonts w:cs="Times New Roman"/>
        </w:rPr>
      </w:pPr>
    </w:p>
    <w:p w14:paraId="1547711C" w14:textId="77777777" w:rsidR="00B82A66" w:rsidRDefault="00BA0705" w:rsidP="00020908">
      <w:pPr>
        <w:spacing w:line="480" w:lineRule="auto"/>
        <w:rPr>
          <w:rFonts w:cs="Times New Roman"/>
          <w:b/>
        </w:rPr>
      </w:pPr>
      <w:r>
        <w:rPr>
          <w:rFonts w:cs="Times New Roman"/>
          <w:b/>
        </w:rPr>
        <w:lastRenderedPageBreak/>
        <w:t>Human Rights in Territorial Peace Agreements</w:t>
      </w:r>
    </w:p>
    <w:p w14:paraId="70CB06F3" w14:textId="77777777" w:rsidR="00E3752B" w:rsidRDefault="00F50373" w:rsidP="00E3752B">
      <w:pPr>
        <w:spacing w:line="480" w:lineRule="auto"/>
        <w:rPr>
          <w:rFonts w:cs="Times New Roman"/>
        </w:rPr>
      </w:pPr>
      <w:r w:rsidRPr="00F50373">
        <w:rPr>
          <w:rFonts w:cs="Times New Roman"/>
        </w:rPr>
        <w:t xml:space="preserve">The 29 peace agreements are nearly all </w:t>
      </w:r>
      <w:r w:rsidR="00E3752B" w:rsidRPr="00F50373">
        <w:rPr>
          <w:rFonts w:cs="Times New Roman"/>
        </w:rPr>
        <w:t>written in the language of human rights. The agreement for</w:t>
      </w:r>
      <w:r w:rsidR="0063202E">
        <w:rPr>
          <w:rFonts w:cs="Times New Roman"/>
        </w:rPr>
        <w:t xml:space="preserve"> </w:t>
      </w:r>
      <w:r w:rsidR="00E3752B" w:rsidRPr="00C1339C">
        <w:rPr>
          <w:rFonts w:cs="Times New Roman"/>
        </w:rPr>
        <w:t xml:space="preserve">Eastern Slavonia </w:t>
      </w:r>
      <w:r w:rsidR="0063202E">
        <w:rPr>
          <w:rFonts w:cs="Times New Roman"/>
        </w:rPr>
        <w:t xml:space="preserve">(Croatia) </w:t>
      </w:r>
      <w:r w:rsidR="00E3752B" w:rsidRPr="00C1339C">
        <w:rPr>
          <w:rFonts w:cs="Times New Roman"/>
        </w:rPr>
        <w:t>is typi</w:t>
      </w:r>
      <w:r w:rsidR="007B56C4">
        <w:rPr>
          <w:rFonts w:cs="Times New Roman"/>
        </w:rPr>
        <w:t>cal with its promise that ‘</w:t>
      </w:r>
      <w:r w:rsidR="00E3752B" w:rsidRPr="00C1339C">
        <w:rPr>
          <w:rFonts w:cs="Times New Roman"/>
        </w:rPr>
        <w:t>the highest levels of internationally recognized human rights and fundamental freedoms s</w:t>
      </w:r>
      <w:r w:rsidR="00E3752B">
        <w:rPr>
          <w:rFonts w:cs="Times New Roman"/>
        </w:rPr>
        <w:t>hall be respected in the region</w:t>
      </w:r>
      <w:r w:rsidR="007B56C4">
        <w:rPr>
          <w:rFonts w:cs="Times New Roman"/>
        </w:rPr>
        <w:t>’</w:t>
      </w:r>
      <w:r w:rsidR="0002724F">
        <w:rPr>
          <w:rFonts w:cs="Times New Roman"/>
        </w:rPr>
        <w:t>.</w:t>
      </w:r>
      <w:r w:rsidR="0002724F">
        <w:rPr>
          <w:rStyle w:val="FootnoteReference"/>
          <w:rFonts w:cs="Times New Roman"/>
        </w:rPr>
        <w:footnoteReference w:id="66"/>
      </w:r>
      <w:r w:rsidR="0002724F">
        <w:rPr>
          <w:rFonts w:cs="Times New Roman"/>
        </w:rPr>
        <w:t xml:space="preserve"> </w:t>
      </w:r>
      <w:r w:rsidR="00E3752B" w:rsidRPr="00C1339C">
        <w:rPr>
          <w:rFonts w:cs="Times New Roman"/>
        </w:rPr>
        <w:t>But a number of these agreements only make fleeting references to human rights</w:t>
      </w:r>
      <w:r w:rsidR="00EA12C8">
        <w:rPr>
          <w:rFonts w:cs="Times New Roman"/>
        </w:rPr>
        <w:t xml:space="preserve"> and include very little substance</w:t>
      </w:r>
      <w:r w:rsidR="00E3752B" w:rsidRPr="00C1339C">
        <w:rPr>
          <w:rFonts w:cs="Times New Roman"/>
        </w:rPr>
        <w:t xml:space="preserve">. </w:t>
      </w:r>
    </w:p>
    <w:p w14:paraId="37D698EE" w14:textId="77777777" w:rsidR="00F50373" w:rsidRDefault="00F50373" w:rsidP="0058520F">
      <w:pPr>
        <w:spacing w:line="480" w:lineRule="auto"/>
        <w:rPr>
          <w:rFonts w:cs="Times New Roman"/>
          <w:i/>
        </w:rPr>
      </w:pPr>
    </w:p>
    <w:p w14:paraId="3EB5B7A8" w14:textId="77777777" w:rsidR="00020908" w:rsidRDefault="00654F6E" w:rsidP="0058520F">
      <w:pPr>
        <w:spacing w:line="480" w:lineRule="auto"/>
        <w:rPr>
          <w:rFonts w:cs="Times New Roman"/>
          <w:i/>
        </w:rPr>
      </w:pPr>
      <w:r>
        <w:rPr>
          <w:rFonts w:cs="Times New Roman"/>
          <w:i/>
        </w:rPr>
        <w:t xml:space="preserve">Overarching </w:t>
      </w:r>
      <w:r w:rsidR="00020908" w:rsidRPr="00C1339C">
        <w:rPr>
          <w:rFonts w:cs="Times New Roman"/>
          <w:i/>
        </w:rPr>
        <w:t>Rights</w:t>
      </w:r>
    </w:p>
    <w:p w14:paraId="07EF991D" w14:textId="22DEFEF6" w:rsidR="00334E34" w:rsidRDefault="00F50373" w:rsidP="004A1AA3">
      <w:pPr>
        <w:spacing w:line="480" w:lineRule="auto"/>
        <w:rPr>
          <w:rFonts w:cs="Times New Roman"/>
        </w:rPr>
      </w:pPr>
      <w:r>
        <w:rPr>
          <w:rFonts w:cs="Times New Roman"/>
        </w:rPr>
        <w:t xml:space="preserve">If we first look at the fifteen agreements signed in territorial conflicts, then we find a separate section on human rights in only six of them </w:t>
      </w:r>
      <w:r w:rsidR="00E3752B">
        <w:rPr>
          <w:rFonts w:cs="Times New Roman"/>
        </w:rPr>
        <w:t>(see Table II</w:t>
      </w:r>
      <w:r w:rsidR="00EA12C8">
        <w:rPr>
          <w:rFonts w:cs="Times New Roman"/>
        </w:rPr>
        <w:t>)</w:t>
      </w:r>
      <w:r w:rsidR="00F604F6">
        <w:rPr>
          <w:rFonts w:cs="Times New Roman"/>
        </w:rPr>
        <w:t>.</w:t>
      </w:r>
      <w:r w:rsidR="00E3752B">
        <w:rPr>
          <w:rFonts w:cs="Times New Roman"/>
        </w:rPr>
        <w:t xml:space="preserve">   </w:t>
      </w:r>
      <w:r>
        <w:rPr>
          <w:rFonts w:cs="Times New Roman"/>
        </w:rPr>
        <w:t xml:space="preserve">In comparison, nine out of the fourteen agreements signed in non-territorial conflicts </w:t>
      </w:r>
      <w:r>
        <w:t xml:space="preserve">include a separate section on human rights, and an additional three have extensive sections on democratic rights. Human rights feature very prominently in some of these non-territorial settlements. </w:t>
      </w:r>
      <w:r w:rsidRPr="00C1339C">
        <w:t>The Chapultepec Peace Agreement for El Salvador and Guatemala’s Accord for a Firm and Lasting Peace, for example, both contain separate agreements on human rights,</w:t>
      </w:r>
      <w:r w:rsidR="00D0530B">
        <w:rPr>
          <w:rStyle w:val="FootnoteReference"/>
        </w:rPr>
        <w:footnoteReference w:id="67"/>
      </w:r>
      <w:r w:rsidRPr="00C1339C">
        <w:t xml:space="preserve"> while South Africa’s Interim Constitution Accord devotes a whole chapter to human rights.</w:t>
      </w:r>
      <w:r w:rsidR="0002724F">
        <w:rPr>
          <w:rStyle w:val="FootnoteReference"/>
        </w:rPr>
        <w:footnoteReference w:id="68"/>
      </w:r>
      <w:r w:rsidRPr="00C1339C">
        <w:t xml:space="preserve"> </w:t>
      </w:r>
      <w:r w:rsidR="00B00D9B">
        <w:t>Among the territorial settlements, only the Dayton Agreement for Bosnia with its</w:t>
      </w:r>
      <w:r w:rsidR="00EA12C8">
        <w:t xml:space="preserve"> </w:t>
      </w:r>
      <w:r w:rsidR="00722A9D">
        <w:t>annex on human rights</w:t>
      </w:r>
      <w:r w:rsidR="00B00D9B">
        <w:t xml:space="preserve"> contain</w:t>
      </w:r>
      <w:r w:rsidR="00722A9D">
        <w:t>s</w:t>
      </w:r>
      <w:r w:rsidR="00B00D9B">
        <w:t xml:space="preserve"> anything similar</w:t>
      </w:r>
      <w:r w:rsidR="00D0530B">
        <w:t>,</w:t>
      </w:r>
      <w:r w:rsidR="00D0530B">
        <w:rPr>
          <w:rStyle w:val="FootnoteReference"/>
        </w:rPr>
        <w:footnoteReference w:id="69"/>
      </w:r>
      <w:r w:rsidR="00EA12C8">
        <w:t xml:space="preserve"> which suggests that </w:t>
      </w:r>
      <w:r w:rsidR="00722A9D">
        <w:t>human ri</w:t>
      </w:r>
      <w:r w:rsidR="001E4046">
        <w:t>ghts are not generally prioritiz</w:t>
      </w:r>
      <w:r w:rsidR="00722A9D">
        <w:t xml:space="preserve">ed. </w:t>
      </w:r>
      <w:r w:rsidR="00F604F6">
        <w:t xml:space="preserve">This conclusion is supported by a </w:t>
      </w:r>
      <w:r w:rsidR="00F604F6">
        <w:rPr>
          <w:rFonts w:cs="Times New Roman"/>
        </w:rPr>
        <w:t xml:space="preserve">more detailed analysis of overarching rights. </w:t>
      </w:r>
      <w:r w:rsidR="00334E34">
        <w:rPr>
          <w:rFonts w:cs="Times New Roman"/>
        </w:rPr>
        <w:br w:type="page"/>
      </w:r>
    </w:p>
    <w:p w14:paraId="4BA47B78" w14:textId="77777777" w:rsidR="00737C50" w:rsidRDefault="00737C50">
      <w:pPr>
        <w:rPr>
          <w:rFonts w:cs="Times New Roman"/>
        </w:rPr>
      </w:pPr>
    </w:p>
    <w:tbl>
      <w:tblPr>
        <w:tblStyle w:val="GridTable41"/>
        <w:tblW w:w="8217" w:type="dxa"/>
        <w:tblLayout w:type="fixed"/>
        <w:tblLook w:val="06A0" w:firstRow="1" w:lastRow="0" w:firstColumn="1" w:lastColumn="0" w:noHBand="1" w:noVBand="1"/>
      </w:tblPr>
      <w:tblGrid>
        <w:gridCol w:w="740"/>
        <w:gridCol w:w="1636"/>
        <w:gridCol w:w="1560"/>
        <w:gridCol w:w="1588"/>
        <w:gridCol w:w="1275"/>
        <w:gridCol w:w="1418"/>
      </w:tblGrid>
      <w:tr w:rsidR="00586D19" w:rsidRPr="00E3752B" w14:paraId="6275A017" w14:textId="77777777" w:rsidTr="00334E3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40" w:type="dxa"/>
          </w:tcPr>
          <w:p w14:paraId="0DD1A489" w14:textId="77777777" w:rsidR="00586D19" w:rsidRPr="00E3752B" w:rsidRDefault="00586D19" w:rsidP="000B6DD9">
            <w:pPr>
              <w:pStyle w:val="NoSpacing"/>
            </w:pPr>
          </w:p>
        </w:tc>
        <w:tc>
          <w:tcPr>
            <w:tcW w:w="7477" w:type="dxa"/>
            <w:gridSpan w:val="5"/>
          </w:tcPr>
          <w:p w14:paraId="3EA1DBAF" w14:textId="77777777" w:rsidR="00586D19" w:rsidRPr="00E3752B" w:rsidRDefault="00586D19" w:rsidP="00586D19">
            <w:pPr>
              <w:pStyle w:val="NoSpacing"/>
              <w:cnfStyle w:val="100000000000" w:firstRow="1" w:lastRow="0" w:firstColumn="0" w:lastColumn="0" w:oddVBand="0" w:evenVBand="0" w:oddHBand="0" w:evenHBand="0" w:firstRowFirstColumn="0" w:firstRowLastColumn="0" w:lastRowFirstColumn="0" w:lastRowLastColumn="0"/>
            </w:pPr>
            <w:r w:rsidRPr="00E3752B">
              <w:t xml:space="preserve">Table II. </w:t>
            </w:r>
            <w:r>
              <w:t xml:space="preserve">Overarching Rights and Human Rights Institutions </w:t>
            </w:r>
          </w:p>
        </w:tc>
      </w:tr>
      <w:tr w:rsidR="00586D19" w:rsidRPr="00E3752B" w14:paraId="4ED4BFE2"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tcBorders>
              <w:bottom w:val="single" w:sz="4" w:space="0" w:color="666666" w:themeColor="text1" w:themeTint="99"/>
            </w:tcBorders>
          </w:tcPr>
          <w:p w14:paraId="558B7230" w14:textId="77777777" w:rsidR="00586D19" w:rsidRPr="00E3752B" w:rsidRDefault="00586D19" w:rsidP="000B6DD9">
            <w:pPr>
              <w:pStyle w:val="NoSpacing"/>
              <w:rPr>
                <w:color w:val="000000"/>
              </w:rPr>
            </w:pPr>
          </w:p>
        </w:tc>
        <w:tc>
          <w:tcPr>
            <w:tcW w:w="1560" w:type="dxa"/>
            <w:tcBorders>
              <w:bottom w:val="single" w:sz="4" w:space="0" w:color="666666" w:themeColor="text1" w:themeTint="99"/>
            </w:tcBorders>
            <w:vAlign w:val="center"/>
          </w:tcPr>
          <w:p w14:paraId="61A8817D" w14:textId="77777777" w:rsidR="00586D19" w:rsidRPr="00E3752B" w:rsidRDefault="00586D19" w:rsidP="00586D19">
            <w:pPr>
              <w:pStyle w:val="NoSpacing"/>
              <w:jc w:val="center"/>
              <w:cnfStyle w:val="000000000000" w:firstRow="0" w:lastRow="0" w:firstColumn="0" w:lastColumn="0" w:oddVBand="0" w:evenVBand="0" w:oddHBand="0" w:evenHBand="0" w:firstRowFirstColumn="0" w:firstRowLastColumn="0" w:lastRowFirstColumn="0" w:lastRowLastColumn="0"/>
              <w:rPr>
                <w:b/>
                <w:color w:val="000000"/>
              </w:rPr>
            </w:pPr>
            <w:r w:rsidRPr="00E3752B">
              <w:rPr>
                <w:b/>
                <w:color w:val="000000"/>
              </w:rPr>
              <w:t>Human rights section</w:t>
            </w:r>
          </w:p>
        </w:tc>
        <w:tc>
          <w:tcPr>
            <w:tcW w:w="1588" w:type="dxa"/>
            <w:tcBorders>
              <w:bottom w:val="single" w:sz="4" w:space="0" w:color="666666" w:themeColor="text1" w:themeTint="99"/>
            </w:tcBorders>
            <w:vAlign w:val="center"/>
          </w:tcPr>
          <w:p w14:paraId="187C8163" w14:textId="77777777" w:rsidR="00586D19" w:rsidRPr="00E3752B" w:rsidRDefault="00586D19" w:rsidP="00586D19">
            <w:pPr>
              <w:pStyle w:val="NoSpacing"/>
              <w:jc w:val="center"/>
              <w:cnfStyle w:val="000000000000" w:firstRow="0" w:lastRow="0" w:firstColumn="0" w:lastColumn="0" w:oddVBand="0" w:evenVBand="0" w:oddHBand="0" w:evenHBand="0" w:firstRowFirstColumn="0" w:firstRowLastColumn="0" w:lastRowFirstColumn="0" w:lastRowLastColumn="0"/>
              <w:rPr>
                <w:b/>
                <w:color w:val="000000"/>
              </w:rPr>
            </w:pPr>
            <w:r w:rsidRPr="00E3752B">
              <w:rPr>
                <w:b/>
                <w:color w:val="000000"/>
              </w:rPr>
              <w:t>Overarching rights</w:t>
            </w:r>
          </w:p>
        </w:tc>
        <w:tc>
          <w:tcPr>
            <w:tcW w:w="1275" w:type="dxa"/>
            <w:tcBorders>
              <w:bottom w:val="single" w:sz="4" w:space="0" w:color="666666" w:themeColor="text1" w:themeTint="99"/>
            </w:tcBorders>
            <w:vAlign w:val="center"/>
          </w:tcPr>
          <w:p w14:paraId="7B7C78CB" w14:textId="77777777" w:rsidR="00586D19" w:rsidRPr="00E3752B" w:rsidRDefault="00586D19" w:rsidP="00586D19">
            <w:pPr>
              <w:pStyle w:val="NoSpacing"/>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Courts</w:t>
            </w:r>
          </w:p>
        </w:tc>
        <w:tc>
          <w:tcPr>
            <w:tcW w:w="1418" w:type="dxa"/>
            <w:tcBorders>
              <w:bottom w:val="single" w:sz="4" w:space="0" w:color="666666" w:themeColor="text1" w:themeTint="99"/>
            </w:tcBorders>
            <w:vAlign w:val="center"/>
          </w:tcPr>
          <w:p w14:paraId="71330F09" w14:textId="77777777" w:rsidR="00586D19" w:rsidRPr="00E3752B" w:rsidRDefault="00586D19" w:rsidP="00586D19">
            <w:pPr>
              <w:pStyle w:val="NoSpacing"/>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Enforcement</w:t>
            </w:r>
          </w:p>
        </w:tc>
      </w:tr>
      <w:tr w:rsidR="00586D19" w:rsidRPr="007F303E" w14:paraId="62F2CF1D"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8217" w:type="dxa"/>
            <w:gridSpan w:val="6"/>
            <w:shd w:val="clear" w:color="auto" w:fill="D9D9D9" w:themeFill="background1" w:themeFillShade="D9"/>
            <w:vAlign w:val="bottom"/>
          </w:tcPr>
          <w:p w14:paraId="52D2256E" w14:textId="77777777" w:rsidR="00586D19" w:rsidRPr="0063202E" w:rsidRDefault="00586D19" w:rsidP="0063202E">
            <w:pPr>
              <w:jc w:val="center"/>
              <w:rPr>
                <w:rFonts w:ascii="Calibri" w:hAnsi="Calibri"/>
                <w:b w:val="0"/>
                <w:i/>
                <w:color w:val="000000"/>
              </w:rPr>
            </w:pPr>
            <w:r w:rsidRPr="0063202E">
              <w:rPr>
                <w:rFonts w:ascii="Calibri" w:hAnsi="Calibri"/>
                <w:b w:val="0"/>
                <w:i/>
                <w:color w:val="000000"/>
              </w:rPr>
              <w:t>Territorial conflicts</w:t>
            </w:r>
          </w:p>
        </w:tc>
      </w:tr>
      <w:tr w:rsidR="00586D19" w:rsidRPr="00E3752B" w14:paraId="198F537D"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180089CB" w14:textId="77777777" w:rsidR="00586D19" w:rsidRPr="0063202E" w:rsidRDefault="00586D19" w:rsidP="000B6DD9">
            <w:pPr>
              <w:rPr>
                <w:b w:val="0"/>
                <w:color w:val="000000"/>
              </w:rPr>
            </w:pPr>
            <w:r w:rsidRPr="0063202E">
              <w:rPr>
                <w:b w:val="0"/>
                <w:color w:val="000000"/>
              </w:rPr>
              <w:t xml:space="preserve">Bangladesh-CHT </w:t>
            </w:r>
          </w:p>
        </w:tc>
        <w:tc>
          <w:tcPr>
            <w:tcW w:w="1560" w:type="dxa"/>
            <w:vAlign w:val="bottom"/>
          </w:tcPr>
          <w:p w14:paraId="67B2E6B1"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vAlign w:val="bottom"/>
          </w:tcPr>
          <w:p w14:paraId="55490C1C"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6E627904" w14:textId="77777777" w:rsidR="00586D19" w:rsidRPr="00C846DB" w:rsidRDefault="00586D19" w:rsidP="006809A3">
            <w:pPr>
              <w:cnfStyle w:val="000000000000" w:firstRow="0" w:lastRow="0" w:firstColumn="0" w:lastColumn="0" w:oddVBand="0" w:evenVBand="0" w:oddHBand="0" w:evenHBand="0" w:firstRowFirstColumn="0" w:firstRowLastColumn="0" w:lastRowFirstColumn="0" w:lastRowLastColumn="0"/>
            </w:pPr>
          </w:p>
        </w:tc>
        <w:tc>
          <w:tcPr>
            <w:tcW w:w="1418" w:type="dxa"/>
            <w:vAlign w:val="bottom"/>
          </w:tcPr>
          <w:p w14:paraId="52C98F67"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59BFEE4C"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2A82998F" w14:textId="77777777" w:rsidR="00586D19" w:rsidRPr="0063202E" w:rsidRDefault="00586D19" w:rsidP="000B6DD9">
            <w:pPr>
              <w:rPr>
                <w:b w:val="0"/>
                <w:color w:val="000000"/>
              </w:rPr>
            </w:pPr>
            <w:r w:rsidRPr="0063202E">
              <w:rPr>
                <w:b w:val="0"/>
                <w:color w:val="000000"/>
              </w:rPr>
              <w:t xml:space="preserve">Bosnia </w:t>
            </w:r>
          </w:p>
        </w:tc>
        <w:tc>
          <w:tcPr>
            <w:tcW w:w="1560" w:type="dxa"/>
            <w:vAlign w:val="bottom"/>
          </w:tcPr>
          <w:p w14:paraId="6F49D0CC"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588" w:type="dxa"/>
            <w:vAlign w:val="bottom"/>
          </w:tcPr>
          <w:p w14:paraId="7DDC17BE"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275" w:type="dxa"/>
          </w:tcPr>
          <w:p w14:paraId="7F87DB1E"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vAlign w:val="center"/>
          </w:tcPr>
          <w:p w14:paraId="19EDFAEC"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r>
      <w:tr w:rsidR="00586D19" w:rsidRPr="00E3752B" w14:paraId="13392F62"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3325CD26" w14:textId="77777777" w:rsidR="00586D19" w:rsidRPr="0063202E" w:rsidRDefault="00586D19" w:rsidP="000B6DD9">
            <w:pPr>
              <w:rPr>
                <w:b w:val="0"/>
                <w:color w:val="000000"/>
              </w:rPr>
            </w:pPr>
            <w:r w:rsidRPr="0063202E">
              <w:rPr>
                <w:b w:val="0"/>
                <w:color w:val="000000"/>
              </w:rPr>
              <w:t xml:space="preserve">Croatia-ES  </w:t>
            </w:r>
          </w:p>
        </w:tc>
        <w:tc>
          <w:tcPr>
            <w:tcW w:w="1560" w:type="dxa"/>
            <w:vAlign w:val="bottom"/>
          </w:tcPr>
          <w:p w14:paraId="4C3C0817"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vAlign w:val="bottom"/>
          </w:tcPr>
          <w:p w14:paraId="360F39AA"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01240A66"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5EAFA426"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1EF9CC8F"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13DB7EEC" w14:textId="77777777" w:rsidR="00586D19" w:rsidRPr="0063202E" w:rsidRDefault="00586D19" w:rsidP="000B6DD9">
            <w:pPr>
              <w:rPr>
                <w:b w:val="0"/>
                <w:color w:val="000000"/>
              </w:rPr>
            </w:pPr>
            <w:r w:rsidRPr="0063202E">
              <w:rPr>
                <w:b w:val="0"/>
                <w:color w:val="000000"/>
              </w:rPr>
              <w:t xml:space="preserve">India-Bodoland </w:t>
            </w:r>
          </w:p>
        </w:tc>
        <w:tc>
          <w:tcPr>
            <w:tcW w:w="1560" w:type="dxa"/>
            <w:vAlign w:val="bottom"/>
          </w:tcPr>
          <w:p w14:paraId="66A0DFAD"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vAlign w:val="bottom"/>
          </w:tcPr>
          <w:p w14:paraId="44B1D5AD"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755F21EA"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5DA50691"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3D4595ED"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7029424B" w14:textId="77777777" w:rsidR="00586D19" w:rsidRPr="0063202E" w:rsidRDefault="00586D19" w:rsidP="000B6DD9">
            <w:pPr>
              <w:rPr>
                <w:b w:val="0"/>
                <w:color w:val="000000"/>
              </w:rPr>
            </w:pPr>
            <w:r w:rsidRPr="0063202E">
              <w:rPr>
                <w:b w:val="0"/>
                <w:color w:val="000000"/>
              </w:rPr>
              <w:t xml:space="preserve">Indonesia-East Timor </w:t>
            </w:r>
          </w:p>
        </w:tc>
        <w:tc>
          <w:tcPr>
            <w:tcW w:w="1560" w:type="dxa"/>
            <w:vAlign w:val="bottom"/>
          </w:tcPr>
          <w:p w14:paraId="79E127DC"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588" w:type="dxa"/>
            <w:vAlign w:val="bottom"/>
          </w:tcPr>
          <w:p w14:paraId="4DC3236C"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275" w:type="dxa"/>
          </w:tcPr>
          <w:p w14:paraId="5232D3DB"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02F64870"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184FD949"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tcPr>
          <w:p w14:paraId="31958981" w14:textId="77777777" w:rsidR="00586D19" w:rsidRPr="0063202E" w:rsidRDefault="00586D19" w:rsidP="000B6DD9">
            <w:pPr>
              <w:rPr>
                <w:b w:val="0"/>
                <w:color w:val="000000"/>
              </w:rPr>
            </w:pPr>
            <w:r w:rsidRPr="0063202E">
              <w:rPr>
                <w:b w:val="0"/>
                <w:color w:val="000000"/>
              </w:rPr>
              <w:t xml:space="preserve">Indonesia-Aceh </w:t>
            </w:r>
          </w:p>
        </w:tc>
        <w:tc>
          <w:tcPr>
            <w:tcW w:w="1560" w:type="dxa"/>
          </w:tcPr>
          <w:p w14:paraId="50C8F3A0"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588" w:type="dxa"/>
          </w:tcPr>
          <w:p w14:paraId="48373231"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088D5F51"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vAlign w:val="center"/>
          </w:tcPr>
          <w:p w14:paraId="328E4DEA"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760FC2A8"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4A4F7FBD" w14:textId="77777777" w:rsidR="00586D19" w:rsidRPr="0063202E" w:rsidRDefault="00586D19" w:rsidP="000B6DD9">
            <w:pPr>
              <w:rPr>
                <w:b w:val="0"/>
                <w:color w:val="000000"/>
              </w:rPr>
            </w:pPr>
            <w:r w:rsidRPr="0063202E">
              <w:rPr>
                <w:b w:val="0"/>
                <w:color w:val="000000"/>
              </w:rPr>
              <w:t>Israel-Palestine</w:t>
            </w:r>
          </w:p>
        </w:tc>
        <w:tc>
          <w:tcPr>
            <w:tcW w:w="1560" w:type="dxa"/>
            <w:vAlign w:val="bottom"/>
          </w:tcPr>
          <w:p w14:paraId="66E454AB"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vAlign w:val="bottom"/>
          </w:tcPr>
          <w:p w14:paraId="60910A3F"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374302D5"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20D06718"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13363B22"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55AB970C" w14:textId="77777777" w:rsidR="00586D19" w:rsidRPr="0063202E" w:rsidRDefault="00586D19" w:rsidP="000B6DD9">
            <w:pPr>
              <w:rPr>
                <w:b w:val="0"/>
                <w:color w:val="000000"/>
              </w:rPr>
            </w:pPr>
            <w:r w:rsidRPr="0063202E">
              <w:rPr>
                <w:b w:val="0"/>
                <w:color w:val="000000"/>
              </w:rPr>
              <w:t xml:space="preserve">Macedonia </w:t>
            </w:r>
          </w:p>
        </w:tc>
        <w:tc>
          <w:tcPr>
            <w:tcW w:w="1560" w:type="dxa"/>
            <w:vAlign w:val="bottom"/>
          </w:tcPr>
          <w:p w14:paraId="32CE967B"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vAlign w:val="bottom"/>
          </w:tcPr>
          <w:p w14:paraId="3A6FAE79"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275" w:type="dxa"/>
          </w:tcPr>
          <w:p w14:paraId="69851DDD"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vAlign w:val="center"/>
          </w:tcPr>
          <w:p w14:paraId="32D7932F"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r>
      <w:tr w:rsidR="00586D19" w:rsidRPr="00E3752B" w14:paraId="60386F7F"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22873EA7" w14:textId="77777777" w:rsidR="00586D19" w:rsidRPr="0063202E" w:rsidRDefault="00586D19" w:rsidP="000B6DD9">
            <w:pPr>
              <w:rPr>
                <w:b w:val="0"/>
                <w:color w:val="000000"/>
              </w:rPr>
            </w:pPr>
            <w:r w:rsidRPr="0063202E">
              <w:rPr>
                <w:b w:val="0"/>
                <w:color w:val="000000"/>
              </w:rPr>
              <w:t xml:space="preserve"> Mali </w:t>
            </w:r>
          </w:p>
        </w:tc>
        <w:tc>
          <w:tcPr>
            <w:tcW w:w="1560" w:type="dxa"/>
          </w:tcPr>
          <w:p w14:paraId="397B4218"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tcPr>
          <w:p w14:paraId="48A359C0"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3DB6FC15"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2FF18999"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758F135F"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701A4ED3" w14:textId="77777777" w:rsidR="00586D19" w:rsidRPr="0063202E" w:rsidRDefault="00586D19" w:rsidP="000B6DD9">
            <w:pPr>
              <w:rPr>
                <w:b w:val="0"/>
                <w:color w:val="000000"/>
              </w:rPr>
            </w:pPr>
            <w:r w:rsidRPr="0063202E">
              <w:rPr>
                <w:b w:val="0"/>
                <w:color w:val="000000"/>
              </w:rPr>
              <w:t xml:space="preserve">Niger </w:t>
            </w:r>
          </w:p>
        </w:tc>
        <w:tc>
          <w:tcPr>
            <w:tcW w:w="1560" w:type="dxa"/>
            <w:vAlign w:val="bottom"/>
          </w:tcPr>
          <w:p w14:paraId="3C4EDFE0"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vAlign w:val="bottom"/>
          </w:tcPr>
          <w:p w14:paraId="38EF6B84"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53FC8A4F"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1A52CCFF"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44CCE3C9"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0CE72152" w14:textId="77777777" w:rsidR="00586D19" w:rsidRPr="0063202E" w:rsidRDefault="00586D19" w:rsidP="000B6DD9">
            <w:pPr>
              <w:rPr>
                <w:b w:val="0"/>
                <w:color w:val="000000"/>
              </w:rPr>
            </w:pPr>
            <w:r w:rsidRPr="0063202E">
              <w:rPr>
                <w:b w:val="0"/>
                <w:color w:val="000000"/>
              </w:rPr>
              <w:t xml:space="preserve">PNG-Bougainville </w:t>
            </w:r>
          </w:p>
        </w:tc>
        <w:tc>
          <w:tcPr>
            <w:tcW w:w="1560" w:type="dxa"/>
            <w:vAlign w:val="bottom"/>
          </w:tcPr>
          <w:p w14:paraId="19F5F95E"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588" w:type="dxa"/>
            <w:vAlign w:val="bottom"/>
          </w:tcPr>
          <w:p w14:paraId="0C6C55EE"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33294994"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vAlign w:val="center"/>
          </w:tcPr>
          <w:p w14:paraId="51F87C7F"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12E19048"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034B7316" w14:textId="77777777" w:rsidR="00586D19" w:rsidRPr="0063202E" w:rsidRDefault="00586D19" w:rsidP="000B6DD9">
            <w:pPr>
              <w:rPr>
                <w:b w:val="0"/>
                <w:color w:val="000000"/>
              </w:rPr>
            </w:pPr>
            <w:r w:rsidRPr="0063202E">
              <w:rPr>
                <w:b w:val="0"/>
                <w:color w:val="000000"/>
              </w:rPr>
              <w:t xml:space="preserve">Philippines-Mindanao </w:t>
            </w:r>
          </w:p>
        </w:tc>
        <w:tc>
          <w:tcPr>
            <w:tcW w:w="1560" w:type="dxa"/>
            <w:vAlign w:val="bottom"/>
          </w:tcPr>
          <w:p w14:paraId="008AB709"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vAlign w:val="bottom"/>
          </w:tcPr>
          <w:p w14:paraId="649C95E8"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662FDA9C"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54E29100"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3A9DC6FB"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7268E77B" w14:textId="77777777" w:rsidR="00586D19" w:rsidRPr="0063202E" w:rsidRDefault="00586D19" w:rsidP="000B6DD9">
            <w:pPr>
              <w:rPr>
                <w:b w:val="0"/>
                <w:color w:val="000000"/>
              </w:rPr>
            </w:pPr>
            <w:r w:rsidRPr="0063202E">
              <w:rPr>
                <w:b w:val="0"/>
                <w:color w:val="000000"/>
              </w:rPr>
              <w:t>Senegal-Casamance</w:t>
            </w:r>
          </w:p>
        </w:tc>
        <w:tc>
          <w:tcPr>
            <w:tcW w:w="1560" w:type="dxa"/>
          </w:tcPr>
          <w:p w14:paraId="3D8544E8"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tcPr>
          <w:p w14:paraId="3CB14F6C"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7940C596"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vAlign w:val="center"/>
          </w:tcPr>
          <w:p w14:paraId="44E90626"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586D19" w:rsidRPr="00E3752B" w14:paraId="0F36D4DB"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51E76998" w14:textId="77777777" w:rsidR="00586D19" w:rsidRPr="0063202E" w:rsidRDefault="00586D19" w:rsidP="000B6DD9">
            <w:pPr>
              <w:rPr>
                <w:b w:val="0"/>
                <w:color w:val="000000"/>
              </w:rPr>
            </w:pPr>
            <w:r w:rsidRPr="0063202E">
              <w:rPr>
                <w:b w:val="0"/>
                <w:color w:val="000000"/>
              </w:rPr>
              <w:t xml:space="preserve"> Sudan </w:t>
            </w:r>
          </w:p>
        </w:tc>
        <w:tc>
          <w:tcPr>
            <w:tcW w:w="1560" w:type="dxa"/>
            <w:vAlign w:val="bottom"/>
          </w:tcPr>
          <w:p w14:paraId="35CAC0F7"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588" w:type="dxa"/>
            <w:vAlign w:val="bottom"/>
          </w:tcPr>
          <w:p w14:paraId="3E5987EA"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275" w:type="dxa"/>
          </w:tcPr>
          <w:p w14:paraId="0BC00117" w14:textId="77777777" w:rsidR="00586D19" w:rsidRPr="00C846DB"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vAlign w:val="center"/>
          </w:tcPr>
          <w:p w14:paraId="5FF6841A"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r>
      <w:tr w:rsidR="00586D19" w:rsidRPr="00E3752B" w14:paraId="4F131F92"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vAlign w:val="bottom"/>
          </w:tcPr>
          <w:p w14:paraId="45908F41" w14:textId="77777777" w:rsidR="00586D19" w:rsidRPr="0063202E" w:rsidRDefault="00586D19" w:rsidP="000B6DD9">
            <w:pPr>
              <w:rPr>
                <w:b w:val="0"/>
                <w:color w:val="000000"/>
              </w:rPr>
            </w:pPr>
            <w:r w:rsidRPr="0063202E">
              <w:rPr>
                <w:b w:val="0"/>
                <w:color w:val="000000"/>
              </w:rPr>
              <w:t>UK-Northern Ireland</w:t>
            </w:r>
          </w:p>
        </w:tc>
        <w:tc>
          <w:tcPr>
            <w:tcW w:w="1560" w:type="dxa"/>
            <w:vAlign w:val="bottom"/>
          </w:tcPr>
          <w:p w14:paraId="55D48535"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588" w:type="dxa"/>
            <w:vAlign w:val="bottom"/>
          </w:tcPr>
          <w:p w14:paraId="55071EDD" w14:textId="77777777" w:rsidR="00586D19" w:rsidRPr="00E3752B" w:rsidRDefault="00586D19" w:rsidP="000B6DD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3752B">
              <w:rPr>
                <w:rFonts w:ascii="Calibri" w:hAnsi="Calibri"/>
                <w:color w:val="000000"/>
              </w:rPr>
              <w:t>x</w:t>
            </w:r>
          </w:p>
        </w:tc>
        <w:tc>
          <w:tcPr>
            <w:tcW w:w="1275" w:type="dxa"/>
          </w:tcPr>
          <w:p w14:paraId="0D37F19C"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vAlign w:val="center"/>
          </w:tcPr>
          <w:p w14:paraId="363CA1AC"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r>
      <w:tr w:rsidR="00586D19" w:rsidRPr="007F303E" w14:paraId="74AA42C2"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8217" w:type="dxa"/>
            <w:gridSpan w:val="6"/>
            <w:tcBorders>
              <w:bottom w:val="single" w:sz="4" w:space="0" w:color="666666" w:themeColor="text1" w:themeTint="99"/>
            </w:tcBorders>
            <w:shd w:val="clear" w:color="auto" w:fill="D9D9D9" w:themeFill="background1" w:themeFillShade="D9"/>
            <w:vAlign w:val="bottom"/>
          </w:tcPr>
          <w:p w14:paraId="2BAF06F2" w14:textId="77777777" w:rsidR="00586D19" w:rsidRPr="0063202E" w:rsidRDefault="00586D19" w:rsidP="0063202E">
            <w:pPr>
              <w:jc w:val="center"/>
              <w:rPr>
                <w:rFonts w:ascii="Calibri" w:hAnsi="Calibri"/>
                <w:b w:val="0"/>
                <w:i/>
                <w:color w:val="000000"/>
              </w:rPr>
            </w:pPr>
            <w:r w:rsidRPr="0063202E">
              <w:rPr>
                <w:rFonts w:ascii="Calibri" w:hAnsi="Calibri"/>
                <w:b w:val="0"/>
                <w:i/>
                <w:color w:val="000000"/>
              </w:rPr>
              <w:t>Non-territorial conflicts</w:t>
            </w:r>
          </w:p>
        </w:tc>
      </w:tr>
      <w:tr w:rsidR="00586D19" w:rsidRPr="00E3752B" w14:paraId="70CDDA4B"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42D00C4E" w14:textId="77777777" w:rsidR="00586D19" w:rsidRPr="0063202E" w:rsidRDefault="00586D19" w:rsidP="004A2819">
            <w:pPr>
              <w:pStyle w:val="NoSpacing"/>
              <w:rPr>
                <w:b w:val="0"/>
                <w:color w:val="000000"/>
              </w:rPr>
            </w:pPr>
            <w:r w:rsidRPr="0063202E">
              <w:rPr>
                <w:b w:val="0"/>
                <w:color w:val="000000"/>
              </w:rPr>
              <w:t>Angola</w:t>
            </w:r>
          </w:p>
        </w:tc>
        <w:tc>
          <w:tcPr>
            <w:tcW w:w="1560" w:type="dxa"/>
            <w:shd w:val="clear" w:color="auto" w:fill="auto"/>
            <w:vAlign w:val="bottom"/>
          </w:tcPr>
          <w:p w14:paraId="4274E1AE"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shd w:val="clear" w:color="auto" w:fill="auto"/>
            <w:vAlign w:val="bottom"/>
          </w:tcPr>
          <w:p w14:paraId="1902A5C8"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159EADC5" w14:textId="77777777" w:rsidR="00586D19" w:rsidRPr="00BD6EC4" w:rsidRDefault="00586D19" w:rsidP="006809A3">
            <w:pPr>
              <w:cnfStyle w:val="000000000000" w:firstRow="0" w:lastRow="0" w:firstColumn="0" w:lastColumn="0" w:oddVBand="0" w:evenVBand="0" w:oddHBand="0" w:evenHBand="0" w:firstRowFirstColumn="0" w:firstRowLastColumn="0" w:lastRowFirstColumn="0" w:lastRowLastColumn="0"/>
            </w:pPr>
          </w:p>
        </w:tc>
        <w:tc>
          <w:tcPr>
            <w:tcW w:w="1418" w:type="dxa"/>
          </w:tcPr>
          <w:p w14:paraId="037D1651"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p>
        </w:tc>
      </w:tr>
      <w:tr w:rsidR="00586D19" w:rsidRPr="00E3752B" w14:paraId="48033CAA"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243C6A48" w14:textId="77777777" w:rsidR="00586D19" w:rsidRPr="0063202E" w:rsidRDefault="00586D19" w:rsidP="004A2819">
            <w:pPr>
              <w:pStyle w:val="NoSpacing"/>
              <w:rPr>
                <w:b w:val="0"/>
                <w:color w:val="000000"/>
              </w:rPr>
            </w:pPr>
            <w:r w:rsidRPr="0063202E">
              <w:rPr>
                <w:b w:val="0"/>
                <w:color w:val="000000"/>
              </w:rPr>
              <w:t xml:space="preserve">Burundi </w:t>
            </w:r>
          </w:p>
        </w:tc>
        <w:tc>
          <w:tcPr>
            <w:tcW w:w="1560" w:type="dxa"/>
            <w:shd w:val="clear" w:color="auto" w:fill="auto"/>
            <w:vAlign w:val="bottom"/>
          </w:tcPr>
          <w:p w14:paraId="3CC60986"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14682A75"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7B3176A2"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tcPr>
          <w:p w14:paraId="33A12488"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0829CF19"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3F3B15A2" w14:textId="77777777" w:rsidR="00586D19" w:rsidRPr="0063202E" w:rsidRDefault="00586D19" w:rsidP="004A2819">
            <w:pPr>
              <w:pStyle w:val="NoSpacing"/>
              <w:rPr>
                <w:b w:val="0"/>
                <w:color w:val="000000"/>
              </w:rPr>
            </w:pPr>
            <w:r w:rsidRPr="0063202E">
              <w:rPr>
                <w:b w:val="0"/>
                <w:color w:val="000000"/>
              </w:rPr>
              <w:t>Cambodia</w:t>
            </w:r>
          </w:p>
        </w:tc>
        <w:tc>
          <w:tcPr>
            <w:tcW w:w="1560" w:type="dxa"/>
            <w:shd w:val="clear" w:color="auto" w:fill="auto"/>
            <w:vAlign w:val="bottom"/>
          </w:tcPr>
          <w:p w14:paraId="58B9B374"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67264D8B"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4379B69F"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tcPr>
          <w:p w14:paraId="2F5FC588"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p>
        </w:tc>
      </w:tr>
      <w:tr w:rsidR="00586D19" w:rsidRPr="00E3752B" w14:paraId="03AD9024"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46FA99A5" w14:textId="77777777" w:rsidR="00586D19" w:rsidRPr="0063202E" w:rsidRDefault="00586D19" w:rsidP="004A2819">
            <w:pPr>
              <w:pStyle w:val="NoSpacing"/>
              <w:rPr>
                <w:b w:val="0"/>
                <w:color w:val="000000"/>
              </w:rPr>
            </w:pPr>
            <w:r w:rsidRPr="0063202E">
              <w:rPr>
                <w:b w:val="0"/>
                <w:color w:val="000000"/>
              </w:rPr>
              <w:t>Côte d'Ivoire</w:t>
            </w:r>
          </w:p>
        </w:tc>
        <w:tc>
          <w:tcPr>
            <w:tcW w:w="1560" w:type="dxa"/>
            <w:shd w:val="clear" w:color="auto" w:fill="auto"/>
            <w:vAlign w:val="bottom"/>
          </w:tcPr>
          <w:p w14:paraId="16E52530"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shd w:val="clear" w:color="auto" w:fill="auto"/>
            <w:vAlign w:val="bottom"/>
          </w:tcPr>
          <w:p w14:paraId="6FD05888"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26E15F28"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tcPr>
          <w:p w14:paraId="2F0C3DDA"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p>
        </w:tc>
      </w:tr>
      <w:tr w:rsidR="00586D19" w:rsidRPr="00E3752B" w14:paraId="6685D97E"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347F748B" w14:textId="77777777" w:rsidR="00586D19" w:rsidRPr="0063202E" w:rsidRDefault="00586D19" w:rsidP="004A2819">
            <w:pPr>
              <w:pStyle w:val="NoSpacing"/>
              <w:rPr>
                <w:b w:val="0"/>
                <w:color w:val="000000"/>
              </w:rPr>
            </w:pPr>
            <w:r w:rsidRPr="0063202E">
              <w:rPr>
                <w:b w:val="0"/>
                <w:color w:val="000000"/>
              </w:rPr>
              <w:t>Djibouti</w:t>
            </w:r>
          </w:p>
        </w:tc>
        <w:tc>
          <w:tcPr>
            <w:tcW w:w="1560" w:type="dxa"/>
            <w:shd w:val="clear" w:color="auto" w:fill="auto"/>
            <w:vAlign w:val="bottom"/>
          </w:tcPr>
          <w:p w14:paraId="18A6CC92"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shd w:val="clear" w:color="auto" w:fill="auto"/>
            <w:vAlign w:val="bottom"/>
          </w:tcPr>
          <w:p w14:paraId="5202A8DF"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4B1556D1"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tcPr>
          <w:p w14:paraId="0CB067AC"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p>
        </w:tc>
      </w:tr>
      <w:tr w:rsidR="00586D19" w:rsidRPr="00E3752B" w14:paraId="65556CA3"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37F5B6D4" w14:textId="77777777" w:rsidR="00586D19" w:rsidRPr="0063202E" w:rsidRDefault="00586D19" w:rsidP="004A2819">
            <w:pPr>
              <w:pStyle w:val="NoSpacing"/>
              <w:rPr>
                <w:b w:val="0"/>
                <w:color w:val="000000"/>
              </w:rPr>
            </w:pPr>
            <w:r w:rsidRPr="0063202E">
              <w:rPr>
                <w:b w:val="0"/>
                <w:color w:val="000000"/>
              </w:rPr>
              <w:t>El Salvador</w:t>
            </w:r>
          </w:p>
        </w:tc>
        <w:tc>
          <w:tcPr>
            <w:tcW w:w="1560" w:type="dxa"/>
            <w:shd w:val="clear" w:color="auto" w:fill="auto"/>
            <w:vAlign w:val="bottom"/>
          </w:tcPr>
          <w:p w14:paraId="6873A6C0"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37D0F562"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66627E13"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tcPr>
          <w:p w14:paraId="6B8B980F"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133C10DA"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1935865A" w14:textId="77777777" w:rsidR="00586D19" w:rsidRPr="0063202E" w:rsidRDefault="00586D19" w:rsidP="004A2819">
            <w:pPr>
              <w:pStyle w:val="NoSpacing"/>
              <w:rPr>
                <w:b w:val="0"/>
                <w:color w:val="000000"/>
              </w:rPr>
            </w:pPr>
            <w:r w:rsidRPr="0063202E">
              <w:rPr>
                <w:b w:val="0"/>
                <w:color w:val="000000"/>
              </w:rPr>
              <w:t>Guatemala</w:t>
            </w:r>
          </w:p>
        </w:tc>
        <w:tc>
          <w:tcPr>
            <w:tcW w:w="1560" w:type="dxa"/>
            <w:shd w:val="clear" w:color="auto" w:fill="auto"/>
            <w:vAlign w:val="bottom"/>
          </w:tcPr>
          <w:p w14:paraId="356FFC12"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2425FC0F"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604383CB"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tcPr>
          <w:p w14:paraId="1923F35E"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2D01E4C5"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025F3B6A" w14:textId="77777777" w:rsidR="00586D19" w:rsidRPr="0063202E" w:rsidRDefault="00586D19" w:rsidP="004A2819">
            <w:pPr>
              <w:pStyle w:val="NoSpacing"/>
              <w:rPr>
                <w:b w:val="0"/>
                <w:color w:val="000000"/>
              </w:rPr>
            </w:pPr>
            <w:r w:rsidRPr="0063202E">
              <w:rPr>
                <w:b w:val="0"/>
                <w:color w:val="000000"/>
              </w:rPr>
              <w:t>Liberia</w:t>
            </w:r>
          </w:p>
        </w:tc>
        <w:tc>
          <w:tcPr>
            <w:tcW w:w="1560" w:type="dxa"/>
            <w:shd w:val="clear" w:color="auto" w:fill="auto"/>
            <w:vAlign w:val="bottom"/>
          </w:tcPr>
          <w:p w14:paraId="1A76F82C"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611B7F56"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76F0DE6E"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tcPr>
          <w:p w14:paraId="11921A26"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52EAAA14"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3CB21F8D" w14:textId="77777777" w:rsidR="00586D19" w:rsidRPr="0063202E" w:rsidRDefault="00586D19" w:rsidP="004A2819">
            <w:pPr>
              <w:pStyle w:val="NoSpacing"/>
              <w:rPr>
                <w:b w:val="0"/>
                <w:color w:val="000000"/>
              </w:rPr>
            </w:pPr>
            <w:r w:rsidRPr="0063202E">
              <w:rPr>
                <w:b w:val="0"/>
                <w:color w:val="000000"/>
              </w:rPr>
              <w:t>Mozambique</w:t>
            </w:r>
          </w:p>
        </w:tc>
        <w:tc>
          <w:tcPr>
            <w:tcW w:w="1560" w:type="dxa"/>
            <w:shd w:val="clear" w:color="auto" w:fill="auto"/>
            <w:vAlign w:val="bottom"/>
          </w:tcPr>
          <w:p w14:paraId="187130BA"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shd w:val="clear" w:color="auto" w:fill="auto"/>
            <w:vAlign w:val="bottom"/>
          </w:tcPr>
          <w:p w14:paraId="49671481"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128A76E7"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tcPr>
          <w:p w14:paraId="65002DD1"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4557E03D"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0F8BA479" w14:textId="77777777" w:rsidR="00586D19" w:rsidRPr="0063202E" w:rsidRDefault="00586D19" w:rsidP="004A2819">
            <w:pPr>
              <w:pStyle w:val="NoSpacing"/>
              <w:rPr>
                <w:b w:val="0"/>
                <w:color w:val="000000"/>
              </w:rPr>
            </w:pPr>
            <w:r w:rsidRPr="0063202E">
              <w:rPr>
                <w:b w:val="0"/>
                <w:color w:val="000000"/>
              </w:rPr>
              <w:t>Nepal</w:t>
            </w:r>
          </w:p>
        </w:tc>
        <w:tc>
          <w:tcPr>
            <w:tcW w:w="1560" w:type="dxa"/>
            <w:shd w:val="clear" w:color="auto" w:fill="auto"/>
            <w:vAlign w:val="bottom"/>
          </w:tcPr>
          <w:p w14:paraId="7B317C50"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347AF868"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6C98849F"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tcPr>
          <w:p w14:paraId="3224B59C"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7B52CFD0"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57425156" w14:textId="77777777" w:rsidR="00586D19" w:rsidRPr="0063202E" w:rsidRDefault="00586D19" w:rsidP="004A2819">
            <w:pPr>
              <w:pStyle w:val="NoSpacing"/>
              <w:rPr>
                <w:b w:val="0"/>
                <w:color w:val="000000"/>
              </w:rPr>
            </w:pPr>
            <w:r w:rsidRPr="0063202E">
              <w:rPr>
                <w:b w:val="0"/>
                <w:color w:val="000000"/>
              </w:rPr>
              <w:t>Rwanda</w:t>
            </w:r>
          </w:p>
        </w:tc>
        <w:tc>
          <w:tcPr>
            <w:tcW w:w="1560" w:type="dxa"/>
            <w:shd w:val="clear" w:color="auto" w:fill="auto"/>
            <w:vAlign w:val="bottom"/>
          </w:tcPr>
          <w:p w14:paraId="26372D88"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2DDA735A"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30881F55"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tcPr>
          <w:p w14:paraId="7126DF56"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3FEE9502"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32FB5C38" w14:textId="77777777" w:rsidR="00586D19" w:rsidRPr="0063202E" w:rsidRDefault="00586D19" w:rsidP="004A2819">
            <w:pPr>
              <w:pStyle w:val="NoSpacing"/>
              <w:rPr>
                <w:b w:val="0"/>
                <w:color w:val="000000"/>
              </w:rPr>
            </w:pPr>
            <w:r w:rsidRPr="0063202E">
              <w:rPr>
                <w:b w:val="0"/>
                <w:color w:val="000000"/>
              </w:rPr>
              <w:t>Sierra Leone</w:t>
            </w:r>
          </w:p>
        </w:tc>
        <w:tc>
          <w:tcPr>
            <w:tcW w:w="1560" w:type="dxa"/>
            <w:shd w:val="clear" w:color="auto" w:fill="auto"/>
            <w:vAlign w:val="bottom"/>
          </w:tcPr>
          <w:p w14:paraId="700D9B58"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550D785A"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00CEF86E"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tcPr>
          <w:p w14:paraId="1F1D3E5F"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03FA906E"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3ED7528B" w14:textId="77777777" w:rsidR="00586D19" w:rsidRPr="0063202E" w:rsidRDefault="00586D19" w:rsidP="004A2819">
            <w:pPr>
              <w:pStyle w:val="NoSpacing"/>
              <w:rPr>
                <w:b w:val="0"/>
                <w:color w:val="000000"/>
              </w:rPr>
            </w:pPr>
            <w:r w:rsidRPr="0063202E">
              <w:rPr>
                <w:b w:val="0"/>
                <w:color w:val="000000"/>
              </w:rPr>
              <w:t>South Africa</w:t>
            </w:r>
          </w:p>
        </w:tc>
        <w:tc>
          <w:tcPr>
            <w:tcW w:w="1560" w:type="dxa"/>
            <w:shd w:val="clear" w:color="auto" w:fill="auto"/>
            <w:vAlign w:val="bottom"/>
          </w:tcPr>
          <w:p w14:paraId="6586745D"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588" w:type="dxa"/>
            <w:shd w:val="clear" w:color="auto" w:fill="auto"/>
            <w:vAlign w:val="bottom"/>
          </w:tcPr>
          <w:p w14:paraId="722AF3C4"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x</w:t>
            </w:r>
          </w:p>
        </w:tc>
        <w:tc>
          <w:tcPr>
            <w:tcW w:w="1275" w:type="dxa"/>
          </w:tcPr>
          <w:p w14:paraId="74D69A30" w14:textId="77777777" w:rsidR="00586D19" w:rsidRPr="00BD6EC4"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c>
          <w:tcPr>
            <w:tcW w:w="1418" w:type="dxa"/>
          </w:tcPr>
          <w:p w14:paraId="67E62A88"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pPr>
            <w:r>
              <w:t>x</w:t>
            </w:r>
          </w:p>
        </w:tc>
      </w:tr>
      <w:tr w:rsidR="00586D19" w:rsidRPr="00E3752B" w14:paraId="6F879B16" w14:textId="77777777" w:rsidTr="00334E34">
        <w:trPr>
          <w:trHeight w:val="170"/>
        </w:trPr>
        <w:tc>
          <w:tcPr>
            <w:cnfStyle w:val="001000000000" w:firstRow="0" w:lastRow="0" w:firstColumn="1" w:lastColumn="0" w:oddVBand="0" w:evenVBand="0" w:oddHBand="0" w:evenHBand="0" w:firstRowFirstColumn="0" w:firstRowLastColumn="0" w:lastRowFirstColumn="0" w:lastRowLastColumn="0"/>
            <w:tcW w:w="2376" w:type="dxa"/>
            <w:gridSpan w:val="2"/>
            <w:shd w:val="clear" w:color="auto" w:fill="auto"/>
            <w:vAlign w:val="bottom"/>
          </w:tcPr>
          <w:p w14:paraId="3E838A74" w14:textId="77777777" w:rsidR="00586D19" w:rsidRPr="0063202E" w:rsidRDefault="00586D19" w:rsidP="004A2819">
            <w:pPr>
              <w:pStyle w:val="NoSpacing"/>
              <w:rPr>
                <w:b w:val="0"/>
                <w:color w:val="000000"/>
              </w:rPr>
            </w:pPr>
            <w:r w:rsidRPr="0063202E">
              <w:rPr>
                <w:b w:val="0"/>
                <w:color w:val="000000"/>
              </w:rPr>
              <w:t>Tajikistan</w:t>
            </w:r>
          </w:p>
        </w:tc>
        <w:tc>
          <w:tcPr>
            <w:tcW w:w="1560" w:type="dxa"/>
            <w:shd w:val="clear" w:color="auto" w:fill="auto"/>
            <w:vAlign w:val="bottom"/>
          </w:tcPr>
          <w:p w14:paraId="57634A59"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588" w:type="dxa"/>
            <w:shd w:val="clear" w:color="auto" w:fill="auto"/>
            <w:vAlign w:val="bottom"/>
          </w:tcPr>
          <w:p w14:paraId="172819BE" w14:textId="77777777" w:rsidR="00586D19" w:rsidRDefault="00586D19" w:rsidP="004A28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275" w:type="dxa"/>
          </w:tcPr>
          <w:p w14:paraId="78704697" w14:textId="77777777" w:rsidR="00586D19" w:rsidRDefault="00586D19" w:rsidP="006809A3">
            <w:pPr>
              <w:jc w:val="right"/>
              <w:cnfStyle w:val="000000000000" w:firstRow="0" w:lastRow="0" w:firstColumn="0" w:lastColumn="0" w:oddVBand="0" w:evenVBand="0" w:oddHBand="0" w:evenHBand="0" w:firstRowFirstColumn="0" w:firstRowLastColumn="0" w:lastRowFirstColumn="0" w:lastRowLastColumn="0"/>
            </w:pPr>
          </w:p>
        </w:tc>
        <w:tc>
          <w:tcPr>
            <w:tcW w:w="1418" w:type="dxa"/>
          </w:tcPr>
          <w:p w14:paraId="06511462" w14:textId="77777777" w:rsidR="00586D19" w:rsidRPr="00C14EF5" w:rsidRDefault="00586D19" w:rsidP="006809A3">
            <w:pPr>
              <w:jc w:val="right"/>
              <w:cnfStyle w:val="000000000000" w:firstRow="0" w:lastRow="0" w:firstColumn="0" w:lastColumn="0" w:oddVBand="0" w:evenVBand="0" w:oddHBand="0" w:evenHBand="0" w:firstRowFirstColumn="0" w:firstRowLastColumn="0" w:lastRowFirstColumn="0" w:lastRowLastColumn="0"/>
            </w:pPr>
          </w:p>
        </w:tc>
      </w:tr>
    </w:tbl>
    <w:p w14:paraId="405590A1" w14:textId="77777777" w:rsidR="000B6DD9" w:rsidRDefault="000B6DD9" w:rsidP="00020908">
      <w:pPr>
        <w:autoSpaceDE w:val="0"/>
        <w:autoSpaceDN w:val="0"/>
        <w:adjustRightInd w:val="0"/>
        <w:spacing w:after="0" w:line="480" w:lineRule="auto"/>
        <w:rPr>
          <w:rFonts w:cs="Times New Roman"/>
        </w:rPr>
      </w:pPr>
    </w:p>
    <w:p w14:paraId="2D9A5139" w14:textId="2718C6FB" w:rsidR="00C15731" w:rsidRDefault="00EA12C8" w:rsidP="00C15731">
      <w:pPr>
        <w:spacing w:line="480" w:lineRule="auto"/>
      </w:pPr>
      <w:r>
        <w:rPr>
          <w:rFonts w:cs="Times New Roman"/>
        </w:rPr>
        <w:t xml:space="preserve">A list of </w:t>
      </w:r>
      <w:r w:rsidR="00C15731">
        <w:rPr>
          <w:rFonts w:cs="Times New Roman"/>
        </w:rPr>
        <w:t xml:space="preserve">enforceable rights is found in only five of the territorial </w:t>
      </w:r>
      <w:r>
        <w:rPr>
          <w:rFonts w:cs="Times New Roman"/>
        </w:rPr>
        <w:t xml:space="preserve">conflicts </w:t>
      </w:r>
      <w:r w:rsidR="00C15731">
        <w:rPr>
          <w:rFonts w:cs="Times New Roman"/>
        </w:rPr>
        <w:t xml:space="preserve">(33 </w:t>
      </w:r>
      <w:r>
        <w:rPr>
          <w:rFonts w:cs="Times New Roman"/>
        </w:rPr>
        <w:t>%</w:t>
      </w:r>
      <w:r w:rsidR="00C15731">
        <w:rPr>
          <w:rFonts w:cs="Times New Roman"/>
        </w:rPr>
        <w:t>), such as</w:t>
      </w:r>
      <w:r w:rsidR="00CF4026">
        <w:rPr>
          <w:rFonts w:cs="Times New Roman"/>
        </w:rPr>
        <w:t xml:space="preserve"> in</w:t>
      </w:r>
      <w:r w:rsidR="00C15731">
        <w:rPr>
          <w:rFonts w:cs="Times New Roman"/>
        </w:rPr>
        <w:t xml:space="preserve"> th</w:t>
      </w:r>
      <w:r w:rsidR="00C15731" w:rsidRPr="00C1339C">
        <w:rPr>
          <w:rFonts w:cs="Times New Roman"/>
        </w:rPr>
        <w:t xml:space="preserve">e </w:t>
      </w:r>
      <w:r w:rsidR="0063202E">
        <w:rPr>
          <w:rFonts w:cs="Times New Roman"/>
        </w:rPr>
        <w:t>Comprehensive Peace A</w:t>
      </w:r>
      <w:r w:rsidR="00C15731" w:rsidRPr="00C1339C">
        <w:rPr>
          <w:rFonts w:cs="Times New Roman"/>
        </w:rPr>
        <w:t>greement for Sudan</w:t>
      </w:r>
      <w:r w:rsidR="00C15731">
        <w:rPr>
          <w:rFonts w:cs="Times New Roman"/>
        </w:rPr>
        <w:t xml:space="preserve"> which </w:t>
      </w:r>
      <w:r w:rsidR="00C15731" w:rsidRPr="00C1339C">
        <w:rPr>
          <w:rFonts w:cs="Times New Roman"/>
        </w:rPr>
        <w:t xml:space="preserve">includes a long list of rights protected by </w:t>
      </w:r>
      <w:r w:rsidR="00C15731">
        <w:rPr>
          <w:rFonts w:cs="Times New Roman"/>
        </w:rPr>
        <w:t xml:space="preserve">the </w:t>
      </w:r>
      <w:r w:rsidR="0063202E">
        <w:rPr>
          <w:rFonts w:cs="Times New Roman"/>
        </w:rPr>
        <w:t>settlement</w:t>
      </w:r>
      <w:r w:rsidR="00D0530B">
        <w:rPr>
          <w:rFonts w:cs="Times New Roman"/>
        </w:rPr>
        <w:t>.</w:t>
      </w:r>
      <w:r w:rsidR="00D0530B">
        <w:rPr>
          <w:rStyle w:val="FootnoteReference"/>
          <w:rFonts w:cs="Times New Roman"/>
        </w:rPr>
        <w:footnoteReference w:id="70"/>
      </w:r>
      <w:r w:rsidR="00C15731">
        <w:rPr>
          <w:rFonts w:cs="Times New Roman"/>
        </w:rPr>
        <w:t xml:space="preserve"> The large majority of the agreements do not include overarching rights.  </w:t>
      </w:r>
      <w:r w:rsidR="0063202E">
        <w:rPr>
          <w:rFonts w:cs="Times New Roman"/>
        </w:rPr>
        <w:t xml:space="preserve">A </w:t>
      </w:r>
      <w:r w:rsidR="00C15731">
        <w:rPr>
          <w:rFonts w:cs="Times New Roman"/>
        </w:rPr>
        <w:t xml:space="preserve">comparison with agreements signed in non-territorial conflicts </w:t>
      </w:r>
      <w:r w:rsidR="004A2819">
        <w:rPr>
          <w:rFonts w:cs="Times New Roman"/>
        </w:rPr>
        <w:t>points to a striking difference</w:t>
      </w:r>
      <w:r w:rsidR="00971BF9">
        <w:rPr>
          <w:rFonts w:cs="Times New Roman"/>
        </w:rPr>
        <w:t xml:space="preserve">: </w:t>
      </w:r>
      <w:r>
        <w:rPr>
          <w:rFonts w:cs="Times New Roman"/>
        </w:rPr>
        <w:lastRenderedPageBreak/>
        <w:t xml:space="preserve">eleven </w:t>
      </w:r>
      <w:r w:rsidR="004A2819">
        <w:rPr>
          <w:rFonts w:cs="Times New Roman"/>
        </w:rPr>
        <w:t>of these agreements (</w:t>
      </w:r>
      <w:r w:rsidR="00C15731">
        <w:rPr>
          <w:rFonts w:cs="Times New Roman"/>
        </w:rPr>
        <w:t>79</w:t>
      </w:r>
      <w:r w:rsidR="004A1AA3">
        <w:rPr>
          <w:rFonts w:cs="Times New Roman"/>
        </w:rPr>
        <w:t xml:space="preserve"> </w:t>
      </w:r>
      <w:r w:rsidR="00C15731">
        <w:t>%</w:t>
      </w:r>
      <w:r w:rsidR="004A2819">
        <w:t>)</w:t>
      </w:r>
      <w:r w:rsidR="00C15731" w:rsidRPr="00C1339C">
        <w:t xml:space="preserve"> </w:t>
      </w:r>
      <w:r w:rsidR="00971BF9">
        <w:t>include</w:t>
      </w:r>
      <w:r w:rsidR="00C15731">
        <w:t xml:space="preserve"> overarching </w:t>
      </w:r>
      <w:r w:rsidR="00971BF9">
        <w:t xml:space="preserve">enforceable </w:t>
      </w:r>
      <w:r w:rsidR="00C15731">
        <w:t xml:space="preserve">rights (see </w:t>
      </w:r>
      <w:r w:rsidR="004A2819">
        <w:t xml:space="preserve">Table II and </w:t>
      </w:r>
      <w:r w:rsidR="00C15731">
        <w:t>Figure 1)</w:t>
      </w:r>
      <w:r w:rsidR="00C15731" w:rsidRPr="00C1339C">
        <w:t>.</w:t>
      </w:r>
      <w:r w:rsidR="00C15731">
        <w:t xml:space="preserve"> </w:t>
      </w:r>
      <w:r w:rsidR="00C2666C">
        <w:t xml:space="preserve">This is statistically significant, despite the small number of cases (Pearson’s </w:t>
      </w:r>
      <w:r w:rsidR="00C2666C" w:rsidRPr="00C1339C">
        <w:t>Chi-Square te</w:t>
      </w:r>
      <w:r w:rsidR="00C2666C">
        <w:t xml:space="preserve">st gives a two-sided </w:t>
      </w:r>
      <w:r w:rsidR="00C2666C" w:rsidRPr="00AC7C70">
        <w:t xml:space="preserve">p-value of 0.014). </w:t>
      </w:r>
      <w:r w:rsidR="00C15731" w:rsidRPr="00C1339C">
        <w:t>Similarly, if we compare agreements that include territorial autonomy with agreements that do not, we find</w:t>
      </w:r>
      <w:r w:rsidR="00063E97">
        <w:t xml:space="preserve"> overarching rights in 75</w:t>
      </w:r>
      <w:r w:rsidR="004A1AA3">
        <w:t xml:space="preserve"> </w:t>
      </w:r>
      <w:r w:rsidR="00C15731">
        <w:t xml:space="preserve">% </w:t>
      </w:r>
      <w:r w:rsidR="00063E97">
        <w:t>(12/16</w:t>
      </w:r>
      <w:r w:rsidR="00B00D9B">
        <w:t xml:space="preserve">) </w:t>
      </w:r>
      <w:r w:rsidR="00C15731">
        <w:t xml:space="preserve">of the agreements </w:t>
      </w:r>
      <w:r w:rsidR="00C15731" w:rsidRPr="00C1339C">
        <w:t xml:space="preserve">without </w:t>
      </w:r>
      <w:r>
        <w:t>autonomy</w:t>
      </w:r>
      <w:r w:rsidR="00C15731" w:rsidRPr="00C1339C">
        <w:t xml:space="preserve">, compared to </w:t>
      </w:r>
      <w:r w:rsidR="00063E97">
        <w:t>31</w:t>
      </w:r>
      <w:r w:rsidR="004A1AA3">
        <w:t xml:space="preserve"> </w:t>
      </w:r>
      <w:r w:rsidR="00C15731">
        <w:t>%</w:t>
      </w:r>
      <w:r w:rsidR="00C15731" w:rsidRPr="00C1339C">
        <w:t xml:space="preserve"> </w:t>
      </w:r>
      <w:r w:rsidR="00063E97">
        <w:t>(4/13</w:t>
      </w:r>
      <w:r w:rsidR="00B00D9B">
        <w:t>)</w:t>
      </w:r>
      <w:r w:rsidR="00C15731">
        <w:t xml:space="preserve"> </w:t>
      </w:r>
      <w:r w:rsidR="00971BF9">
        <w:t xml:space="preserve">of </w:t>
      </w:r>
      <w:r w:rsidR="00C15731" w:rsidRPr="00C1339C">
        <w:t>agreements with</w:t>
      </w:r>
      <w:r>
        <w:t xml:space="preserve"> this core </w:t>
      </w:r>
      <w:r w:rsidRPr="006D0F8B">
        <w:t>deal</w:t>
      </w:r>
      <w:r w:rsidR="00C2666C" w:rsidRPr="006D0F8B">
        <w:t xml:space="preserve"> (p-value 0.0</w:t>
      </w:r>
      <w:r w:rsidR="006D0F8B" w:rsidRPr="006D0F8B">
        <w:t>17</w:t>
      </w:r>
      <w:r w:rsidR="00C2666C" w:rsidRPr="006D0F8B">
        <w:t>).</w:t>
      </w:r>
      <w:r w:rsidR="00C2666C" w:rsidRPr="00C1339C">
        <w:t xml:space="preserve"> </w:t>
      </w:r>
      <w:r w:rsidR="00C2666C">
        <w:t xml:space="preserve"> </w:t>
      </w:r>
      <w:r w:rsidR="00C15731">
        <w:t>In fact, if we only look at agreements sign</w:t>
      </w:r>
      <w:r>
        <w:t xml:space="preserve">ed in non-territorial conflicts </w:t>
      </w:r>
      <w:r w:rsidR="00971BF9">
        <w:t xml:space="preserve">without </w:t>
      </w:r>
      <w:r>
        <w:t>territorial autonomy</w:t>
      </w:r>
      <w:r w:rsidR="00C15731">
        <w:t xml:space="preserve">, we find overarching human rights in </w:t>
      </w:r>
      <w:r w:rsidR="00C15731" w:rsidRPr="00142857">
        <w:t>83</w:t>
      </w:r>
      <w:r w:rsidR="004A1AA3">
        <w:t xml:space="preserve"> </w:t>
      </w:r>
      <w:r w:rsidR="00C15731" w:rsidRPr="00142857">
        <w:t xml:space="preserve">% </w:t>
      </w:r>
      <w:r w:rsidR="00B00D9B" w:rsidRPr="00142857">
        <w:t xml:space="preserve">(10/12) </w:t>
      </w:r>
      <w:r w:rsidR="00C15731" w:rsidRPr="00142857">
        <w:t>of the cases</w:t>
      </w:r>
      <w:r w:rsidR="00C2666C" w:rsidRPr="00142857">
        <w:t xml:space="preserve"> (p-value 0.010).</w:t>
      </w:r>
      <w:r w:rsidR="00C2666C">
        <w:t xml:space="preserve"> </w:t>
      </w:r>
      <w:r w:rsidR="00C15731">
        <w:t xml:space="preserve"> </w:t>
      </w:r>
    </w:p>
    <w:p w14:paraId="142ABE4B" w14:textId="77777777" w:rsidR="00AD54F5" w:rsidRDefault="00AD54F5" w:rsidP="00C15731">
      <w:pPr>
        <w:spacing w:line="480" w:lineRule="auto"/>
        <w:rPr>
          <w:b/>
        </w:rPr>
      </w:pPr>
    </w:p>
    <w:p w14:paraId="46D2FAC5" w14:textId="77777777" w:rsidR="00C15731" w:rsidRDefault="00C15731" w:rsidP="00C15731">
      <w:pPr>
        <w:spacing w:line="480" w:lineRule="auto"/>
        <w:rPr>
          <w:b/>
        </w:rPr>
      </w:pPr>
      <w:r w:rsidRPr="00C363FD">
        <w:rPr>
          <w:b/>
        </w:rPr>
        <w:t>Figure 1: Overarching Rights in Peace Agreements, 1990-2010</w:t>
      </w:r>
    </w:p>
    <w:p w14:paraId="26EB21E6" w14:textId="2EADEEFA" w:rsidR="00C15731" w:rsidRDefault="00C363FD" w:rsidP="00C15731">
      <w:pPr>
        <w:spacing w:line="480" w:lineRule="auto"/>
        <w:rPr>
          <w:b/>
        </w:rPr>
      </w:pPr>
      <w:r>
        <w:rPr>
          <w:b/>
          <w:noProof/>
          <w:lang w:eastAsia="en-GB"/>
        </w:rPr>
        <w:drawing>
          <wp:inline distT="0" distB="0" distL="0" distR="0" wp14:anchorId="61B5CBCA" wp14:editId="76CFFFC9">
            <wp:extent cx="5400040" cy="2831271"/>
            <wp:effectExtent l="0" t="0" r="10160" b="762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802F3A" w14:textId="77777777" w:rsidR="00AD54F5" w:rsidRDefault="00AD54F5" w:rsidP="005A7F7C">
      <w:pPr>
        <w:autoSpaceDE w:val="0"/>
        <w:autoSpaceDN w:val="0"/>
        <w:adjustRightInd w:val="0"/>
        <w:spacing w:after="0" w:line="480" w:lineRule="auto"/>
        <w:rPr>
          <w:rFonts w:cs="Times New Roman"/>
        </w:rPr>
      </w:pPr>
    </w:p>
    <w:p w14:paraId="41A0802A" w14:textId="6DF47998" w:rsidR="00020908" w:rsidRDefault="00971BF9" w:rsidP="005A7F7C">
      <w:pPr>
        <w:autoSpaceDE w:val="0"/>
        <w:autoSpaceDN w:val="0"/>
        <w:adjustRightInd w:val="0"/>
        <w:spacing w:after="0" w:line="480" w:lineRule="auto"/>
      </w:pPr>
      <w:r>
        <w:rPr>
          <w:rFonts w:cs="Times New Roman"/>
        </w:rPr>
        <w:t>I</w:t>
      </w:r>
      <w:r w:rsidR="004A2819">
        <w:rPr>
          <w:rFonts w:cs="Times New Roman"/>
        </w:rPr>
        <w:t xml:space="preserve">t could be countered that human rights in the </w:t>
      </w:r>
      <w:r w:rsidR="00CF4026">
        <w:rPr>
          <w:rFonts w:cs="Times New Roman"/>
        </w:rPr>
        <w:t>case of territorial autonomy have</w:t>
      </w:r>
      <w:r w:rsidR="004A2819">
        <w:rPr>
          <w:rFonts w:cs="Times New Roman"/>
        </w:rPr>
        <w:t xml:space="preserve"> simply been delegated to the autonomous region and that this actually provides for stronger human rights protections. However, </w:t>
      </w:r>
      <w:r w:rsidR="005A7F7C">
        <w:rPr>
          <w:rFonts w:cs="Times New Roman"/>
        </w:rPr>
        <w:t xml:space="preserve">overarching enforceable rights are also not found at the level of the </w:t>
      </w:r>
      <w:r w:rsidR="00EA12C8">
        <w:rPr>
          <w:rFonts w:cs="Times New Roman"/>
        </w:rPr>
        <w:t xml:space="preserve">autonomous </w:t>
      </w:r>
      <w:r w:rsidR="005A7F7C">
        <w:rPr>
          <w:rFonts w:cs="Times New Roman"/>
        </w:rPr>
        <w:t>region</w:t>
      </w:r>
      <w:r w:rsidR="00EA12C8">
        <w:rPr>
          <w:rFonts w:cs="Times New Roman"/>
        </w:rPr>
        <w:t>s</w:t>
      </w:r>
      <w:r w:rsidR="005A7F7C">
        <w:rPr>
          <w:rFonts w:cs="Times New Roman"/>
        </w:rPr>
        <w:t>.</w:t>
      </w:r>
      <w:r w:rsidR="00C51014">
        <w:rPr>
          <w:rFonts w:cs="Times New Roman"/>
        </w:rPr>
        <w:t xml:space="preserve"> </w:t>
      </w:r>
      <w:r>
        <w:rPr>
          <w:rFonts w:cs="Times New Roman"/>
        </w:rPr>
        <w:t>Moreover, t</w:t>
      </w:r>
      <w:r w:rsidR="00C51014">
        <w:rPr>
          <w:rFonts w:cs="TimesNewRoman"/>
          <w:noProof/>
        </w:rPr>
        <w:t xml:space="preserve">he rights of local minority groups </w:t>
      </w:r>
      <w:r w:rsidR="00CF4026">
        <w:rPr>
          <w:rFonts w:cs="TimesNewRoman"/>
          <w:noProof/>
        </w:rPr>
        <w:t xml:space="preserve">– in the form of groups </w:t>
      </w:r>
      <w:r w:rsidR="00CF4026">
        <w:rPr>
          <w:rFonts w:cs="TimesNewRoman"/>
          <w:noProof/>
        </w:rPr>
        <w:lastRenderedPageBreak/>
        <w:t xml:space="preserve">rights and/or local power-sharing - </w:t>
      </w:r>
      <w:r w:rsidR="00C51014">
        <w:rPr>
          <w:rFonts w:cs="TimesNewRoman"/>
          <w:noProof/>
        </w:rPr>
        <w:t xml:space="preserve">are included in only five out of </w:t>
      </w:r>
      <w:r w:rsidR="008B667C">
        <w:rPr>
          <w:rFonts w:cs="TimesNewRoman"/>
          <w:noProof/>
        </w:rPr>
        <w:t xml:space="preserve">thirteen </w:t>
      </w:r>
      <w:r w:rsidR="00C51014">
        <w:rPr>
          <w:rFonts w:cs="TimesNewRoman"/>
          <w:noProof/>
        </w:rPr>
        <w:t>agreements with territorial autonomy</w:t>
      </w:r>
      <w:r w:rsidR="008B667C">
        <w:rPr>
          <w:rFonts w:cs="TimesNewRoman"/>
          <w:noProof/>
        </w:rPr>
        <w:t xml:space="preserve"> (38</w:t>
      </w:r>
      <w:r w:rsidR="00D63FAE">
        <w:rPr>
          <w:rFonts w:cs="TimesNewRoman"/>
          <w:noProof/>
        </w:rPr>
        <w:t xml:space="preserve"> %)</w:t>
      </w:r>
      <w:r w:rsidR="00FB148C">
        <w:rPr>
          <w:rFonts w:cs="TimesNewRoman"/>
          <w:noProof/>
        </w:rPr>
        <w:t>, and these provi</w:t>
      </w:r>
      <w:r w:rsidR="00CF4026">
        <w:rPr>
          <w:rFonts w:cs="TimesNewRoman"/>
          <w:noProof/>
        </w:rPr>
        <w:t xml:space="preserve">sions tend to lack details. </w:t>
      </w:r>
      <w:r w:rsidR="00334E34">
        <w:rPr>
          <w:rFonts w:cs="TimesNewRoman"/>
          <w:noProof/>
        </w:rPr>
        <w:t xml:space="preserve">For example, the </w:t>
      </w:r>
      <w:r w:rsidR="004360EB">
        <w:rPr>
          <w:rFonts w:cs="TimesNewRoman"/>
          <w:noProof/>
        </w:rPr>
        <w:t xml:space="preserve">agreement for Mindanao </w:t>
      </w:r>
      <w:r w:rsidR="00334E34">
        <w:rPr>
          <w:rFonts w:cs="TimesNewRoman"/>
          <w:noProof/>
        </w:rPr>
        <w:t xml:space="preserve">(Philippinnes) </w:t>
      </w:r>
      <w:r w:rsidR="004360EB">
        <w:rPr>
          <w:rFonts w:cs="TimesNewRoman"/>
          <w:noProof/>
        </w:rPr>
        <w:t>contains r</w:t>
      </w:r>
      <w:r w:rsidR="00020908" w:rsidRPr="00C1339C">
        <w:rPr>
          <w:rFonts w:cs="TimesNewRoman"/>
          <w:noProof/>
        </w:rPr>
        <w:t xml:space="preserve">eferences to cultural rights and </w:t>
      </w:r>
      <w:r w:rsidR="004360EB">
        <w:rPr>
          <w:rFonts w:cs="TimesNewRoman"/>
          <w:noProof/>
        </w:rPr>
        <w:t xml:space="preserve">mentions </w:t>
      </w:r>
      <w:r w:rsidR="00020908" w:rsidRPr="00C1339C">
        <w:rPr>
          <w:rFonts w:cs="TimesNewRoman"/>
          <w:noProof/>
        </w:rPr>
        <w:t xml:space="preserve">the </w:t>
      </w:r>
      <w:r w:rsidR="00020908" w:rsidRPr="00334E34">
        <w:rPr>
          <w:rFonts w:cs="TimesNewRoman"/>
          <w:i/>
          <w:noProof/>
        </w:rPr>
        <w:t>possibility</w:t>
      </w:r>
      <w:r w:rsidR="00020908" w:rsidRPr="00C1339C">
        <w:rPr>
          <w:rFonts w:cs="TimesNewRoman"/>
          <w:noProof/>
        </w:rPr>
        <w:t xml:space="preserve"> for guaranteed representation of minorities in the </w:t>
      </w:r>
      <w:r w:rsidR="004360EB">
        <w:rPr>
          <w:rFonts w:cs="TimesNewRoman"/>
          <w:noProof/>
        </w:rPr>
        <w:t xml:space="preserve">autonomous </w:t>
      </w:r>
      <w:r w:rsidR="00020908" w:rsidRPr="00C1339C">
        <w:rPr>
          <w:rFonts w:cs="TimesNewRoman"/>
          <w:noProof/>
        </w:rPr>
        <w:t>region</w:t>
      </w:r>
      <w:r w:rsidR="004360EB">
        <w:rPr>
          <w:rFonts w:cs="TimesNewRoman"/>
          <w:noProof/>
        </w:rPr>
        <w:t xml:space="preserve">. However, </w:t>
      </w:r>
      <w:r w:rsidR="00020908" w:rsidRPr="00C1339C">
        <w:rPr>
          <w:rFonts w:cs="TimesNewRoman"/>
          <w:noProof/>
        </w:rPr>
        <w:t>Sharia law is also to be introd</w:t>
      </w:r>
      <w:r w:rsidR="004360EB">
        <w:rPr>
          <w:rFonts w:cs="TimesNewRoman"/>
          <w:noProof/>
        </w:rPr>
        <w:t>uced</w:t>
      </w:r>
      <w:r w:rsidR="001958ED">
        <w:rPr>
          <w:rFonts w:cs="TimesNewRoman"/>
          <w:noProof/>
        </w:rPr>
        <w:t>.</w:t>
      </w:r>
      <w:r w:rsidR="001958ED">
        <w:rPr>
          <w:rStyle w:val="FootnoteReference"/>
          <w:rFonts w:cs="TimesNewRoman"/>
          <w:noProof/>
        </w:rPr>
        <w:footnoteReference w:id="71"/>
      </w:r>
      <w:r w:rsidR="001958ED">
        <w:rPr>
          <w:rFonts w:cs="TimesNewRoman"/>
          <w:noProof/>
        </w:rPr>
        <w:t xml:space="preserve"> </w:t>
      </w:r>
      <w:r w:rsidR="004360EB">
        <w:rPr>
          <w:rFonts w:cs="TimesNewRoman"/>
          <w:noProof/>
        </w:rPr>
        <w:t>M</w:t>
      </w:r>
      <w:r w:rsidR="00020908" w:rsidRPr="00C1339C">
        <w:rPr>
          <w:rFonts w:cs="TimesNewRoman"/>
          <w:noProof/>
        </w:rPr>
        <w:t xml:space="preserve">inorities within the autonomous regions </w:t>
      </w:r>
      <w:r w:rsidR="004360EB">
        <w:rPr>
          <w:rFonts w:cs="TimesNewRoman"/>
          <w:noProof/>
        </w:rPr>
        <w:t xml:space="preserve">may be better protected if they are dominant in the state as a </w:t>
      </w:r>
      <w:r w:rsidR="00020908" w:rsidRPr="00C1339C">
        <w:rPr>
          <w:rFonts w:cs="TimesNewRoman"/>
          <w:noProof/>
        </w:rPr>
        <w:t>whole. This is most notably the case in Israel-Palestine where Israelis are explicitly exempt from the jurisdiction of the Palestinian authorities</w:t>
      </w:r>
      <w:r w:rsidR="001958ED">
        <w:rPr>
          <w:rFonts w:cs="TimesNewRoman"/>
          <w:noProof/>
        </w:rPr>
        <w:t>.</w:t>
      </w:r>
      <w:r w:rsidR="001958ED">
        <w:rPr>
          <w:rStyle w:val="FootnoteReference"/>
          <w:rFonts w:cs="TimesNewRoman"/>
          <w:noProof/>
        </w:rPr>
        <w:footnoteReference w:id="72"/>
      </w:r>
      <w:r w:rsidR="00734742">
        <w:rPr>
          <w:rFonts w:cs="TimesNewRoman"/>
          <w:noProof/>
        </w:rPr>
        <w:t xml:space="preserve"> </w:t>
      </w:r>
      <w:r w:rsidR="00D47F80">
        <w:rPr>
          <w:rFonts w:cs="TimesNewRoman"/>
          <w:noProof/>
        </w:rPr>
        <w:t>In the Chittagong Hill</w:t>
      </w:r>
      <w:r w:rsidR="00020908" w:rsidRPr="00C1339C">
        <w:rPr>
          <w:rFonts w:cs="TimesNewRoman"/>
          <w:noProof/>
        </w:rPr>
        <w:t xml:space="preserve"> Tract</w:t>
      </w:r>
      <w:r w:rsidR="00FE2276">
        <w:rPr>
          <w:rFonts w:cs="TimesNewRoman"/>
          <w:noProof/>
        </w:rPr>
        <w:t>s</w:t>
      </w:r>
      <w:r w:rsidR="00020908" w:rsidRPr="00C1339C">
        <w:rPr>
          <w:rFonts w:cs="TimesNewRoman"/>
          <w:noProof/>
        </w:rPr>
        <w:t>, there are reserved seats for non-tribal representatives, but they are still under-represented</w:t>
      </w:r>
      <w:r w:rsidR="001958ED">
        <w:rPr>
          <w:rFonts w:cs="TimesNewRoman"/>
          <w:noProof/>
        </w:rPr>
        <w:t>.</w:t>
      </w:r>
      <w:r w:rsidR="001958ED">
        <w:rPr>
          <w:rStyle w:val="FootnoteReference"/>
          <w:rFonts w:cs="TimesNewRoman"/>
          <w:noProof/>
        </w:rPr>
        <w:footnoteReference w:id="73"/>
      </w:r>
      <w:r w:rsidR="00734742">
        <w:rPr>
          <w:rFonts w:cs="TimesNewRoman"/>
          <w:noProof/>
        </w:rPr>
        <w:t xml:space="preserve"> </w:t>
      </w:r>
      <w:r w:rsidR="00020908" w:rsidRPr="00C1339C">
        <w:t>The Bodoland Accord provides land and language rights for non-tribal communities, and the government can also appoint five (out of 40) members of the autono</w:t>
      </w:r>
      <w:r w:rsidR="007B56C4">
        <w:t>mous council from groups which ‘</w:t>
      </w:r>
      <w:r w:rsidR="00020908" w:rsidRPr="00C1339C">
        <w:t>could not otherwise be represented</w:t>
      </w:r>
      <w:r w:rsidR="007B56C4">
        <w:t>’</w:t>
      </w:r>
      <w:r w:rsidR="001958ED">
        <w:t>,</w:t>
      </w:r>
      <w:r w:rsidR="001958ED">
        <w:rPr>
          <w:rStyle w:val="FootnoteReference"/>
        </w:rPr>
        <w:footnoteReference w:id="74"/>
      </w:r>
      <w:r w:rsidR="00020908" w:rsidRPr="00C1339C">
        <w:t xml:space="preserve"> but they are not guaranteed a share in power. </w:t>
      </w:r>
      <w:r w:rsidR="00FB0FD0">
        <w:t xml:space="preserve"> </w:t>
      </w:r>
      <w:r w:rsidR="007B56C4">
        <w:t>‘</w:t>
      </w:r>
      <w:r w:rsidR="000767EB" w:rsidRPr="00C1339C">
        <w:t>Complex power-sharing</w:t>
      </w:r>
      <w:r w:rsidR="007B56C4">
        <w:t>’</w:t>
      </w:r>
      <w:r w:rsidR="00701515">
        <w:rPr>
          <w:rStyle w:val="FootnoteReference"/>
        </w:rPr>
        <w:footnoteReference w:id="75"/>
      </w:r>
      <w:r w:rsidR="000767EB" w:rsidRPr="00C1339C">
        <w:t xml:space="preserve"> does </w:t>
      </w:r>
      <w:r w:rsidR="007B1341">
        <w:t xml:space="preserve">not </w:t>
      </w:r>
      <w:r w:rsidR="000767EB" w:rsidRPr="00C1339C">
        <w:t>appear</w:t>
      </w:r>
      <w:r w:rsidR="00334E34">
        <w:t xml:space="preserve"> as a</w:t>
      </w:r>
      <w:r w:rsidR="000767EB" w:rsidRPr="00C1339C">
        <w:t xml:space="preserve"> dominant model and the right</w:t>
      </w:r>
      <w:r w:rsidR="00734742">
        <w:t>s of those that do not belong</w:t>
      </w:r>
      <w:r w:rsidR="000767EB" w:rsidRPr="00C1339C">
        <w:t xml:space="preserve"> to the </w:t>
      </w:r>
      <w:r w:rsidR="00B80E24">
        <w:t xml:space="preserve">state’s </w:t>
      </w:r>
      <w:r w:rsidR="000767EB" w:rsidRPr="00C1339C">
        <w:t xml:space="preserve">main ethnic groups are particularly limited. </w:t>
      </w:r>
    </w:p>
    <w:p w14:paraId="456198A9" w14:textId="77777777" w:rsidR="001958ED" w:rsidRDefault="001958ED" w:rsidP="005A7F7C">
      <w:pPr>
        <w:autoSpaceDE w:val="0"/>
        <w:autoSpaceDN w:val="0"/>
        <w:adjustRightInd w:val="0"/>
        <w:spacing w:after="0" w:line="480" w:lineRule="auto"/>
      </w:pPr>
    </w:p>
    <w:p w14:paraId="4C2A5739" w14:textId="77777777" w:rsidR="00AC58F4" w:rsidRDefault="00B80E24" w:rsidP="0058520F">
      <w:pPr>
        <w:spacing w:line="480" w:lineRule="auto"/>
      </w:pPr>
      <w:r w:rsidRPr="00B80E24">
        <w:t>The analysis of overarching rights therefore support</w:t>
      </w:r>
      <w:r w:rsidR="00F86709">
        <w:t>s</w:t>
      </w:r>
      <w:r w:rsidRPr="00B80E24">
        <w:t xml:space="preserve"> Hypotheses 1 and 2: human rights provisions are less likely in </w:t>
      </w:r>
      <w:r w:rsidR="00722A9D">
        <w:t xml:space="preserve">settlements signed in </w:t>
      </w:r>
      <w:r w:rsidRPr="00B80E24">
        <w:t>territorial conflicts, especially if these include a core deal of territorial autonomy.</w:t>
      </w:r>
      <w:r>
        <w:rPr>
          <w:b/>
        </w:rPr>
        <w:t xml:space="preserve"> </w:t>
      </w:r>
      <w:r w:rsidR="00AC58F4" w:rsidRPr="00C1339C">
        <w:t>This does not mean that human rights are central in all agreements</w:t>
      </w:r>
      <w:r w:rsidR="00AC58F4">
        <w:t xml:space="preserve"> signed in non-territorial conflicts. </w:t>
      </w:r>
      <w:r w:rsidR="00AC58F4" w:rsidRPr="00C1339C">
        <w:t>Tajikistan’s General Agreement on the Establishment of Peace and National Ac</w:t>
      </w:r>
      <w:r w:rsidR="007B56C4">
        <w:t>cord for example refers to the ‘</w:t>
      </w:r>
      <w:r w:rsidR="00AC58F4" w:rsidRPr="00C1339C">
        <w:t>observance of human rights</w:t>
      </w:r>
      <w:r w:rsidR="007B56C4">
        <w:t>’</w:t>
      </w:r>
      <w:r w:rsidR="00AC58F4" w:rsidRPr="00C1339C">
        <w:t>, promises the establishment of democratic political and legal institu</w:t>
      </w:r>
      <w:r w:rsidR="00971BF9">
        <w:t xml:space="preserve">tions, but there is not much </w:t>
      </w:r>
      <w:r w:rsidR="00AC58F4" w:rsidRPr="00C1339C">
        <w:t>substance, and</w:t>
      </w:r>
      <w:r w:rsidR="00AC58F4">
        <w:t xml:space="preserve"> the agreement has been criticiz</w:t>
      </w:r>
      <w:r w:rsidR="00AC58F4" w:rsidRPr="00C1339C">
        <w:t xml:space="preserve">ed for being too focused on </w:t>
      </w:r>
      <w:r w:rsidR="00AC58F4" w:rsidRPr="00C1339C">
        <w:lastRenderedPageBreak/>
        <w:t>security</w:t>
      </w:r>
      <w:r w:rsidR="00701515">
        <w:t>.</w:t>
      </w:r>
      <w:r w:rsidR="00701515">
        <w:rPr>
          <w:rStyle w:val="FootnoteReference"/>
        </w:rPr>
        <w:footnoteReference w:id="76"/>
      </w:r>
      <w:r w:rsidR="00AC58F4" w:rsidRPr="00C1339C">
        <w:t xml:space="preserve"> </w:t>
      </w:r>
      <w:r w:rsidR="00AC58F4">
        <w:t>But the tendency is very clearly for human rights to be much more prominent in these agreements.</w:t>
      </w:r>
      <w:r w:rsidR="0052349D">
        <w:t xml:space="preserve"> This trend repeats itself, albeit not as strongly, when we examine human rights institutions and enforcement mechanisms. </w:t>
      </w:r>
    </w:p>
    <w:p w14:paraId="0F60F8A8" w14:textId="77777777" w:rsidR="002D263E" w:rsidRDefault="002D263E" w:rsidP="0058520F">
      <w:pPr>
        <w:spacing w:line="480" w:lineRule="auto"/>
        <w:rPr>
          <w:rFonts w:cs="Times New Roman"/>
          <w:i/>
        </w:rPr>
      </w:pPr>
    </w:p>
    <w:p w14:paraId="162FFB6F" w14:textId="77777777" w:rsidR="00020908" w:rsidRDefault="004360EB" w:rsidP="0058520F">
      <w:pPr>
        <w:spacing w:line="480" w:lineRule="auto"/>
        <w:rPr>
          <w:rFonts w:cs="Times New Roman"/>
          <w:i/>
        </w:rPr>
      </w:pPr>
      <w:r>
        <w:rPr>
          <w:rFonts w:cs="Times New Roman"/>
          <w:i/>
        </w:rPr>
        <w:t>Human Rights I</w:t>
      </w:r>
      <w:r w:rsidR="00020908" w:rsidRPr="00C26BDC">
        <w:rPr>
          <w:rFonts w:cs="Times New Roman"/>
          <w:i/>
        </w:rPr>
        <w:t>nstitutions</w:t>
      </w:r>
    </w:p>
    <w:p w14:paraId="73916F97" w14:textId="0327942C" w:rsidR="005C6C84" w:rsidRDefault="005C6C84" w:rsidP="005C6C84">
      <w:pPr>
        <w:spacing w:line="480" w:lineRule="auto"/>
      </w:pPr>
      <w:r w:rsidRPr="00023C12">
        <w:t>Human rights institutions</w:t>
      </w:r>
      <w:r>
        <w:t xml:space="preserve"> are also less frequently included in agreements signed in territorial conflicts, although the difference is not so marked when it comes to provisions related to constitutional or human rights courts (see Figure 2). Such courts are included in six (40</w:t>
      </w:r>
      <w:r w:rsidR="004A1AA3">
        <w:t xml:space="preserve"> </w:t>
      </w:r>
      <w:r>
        <w:t>%) of the agreements signed in territorial conflicts, compared with seven (50 %) in territorial conflicts. For agreements with and without territorial autonomy the difference is a little more marked, with 31</w:t>
      </w:r>
      <w:r w:rsidR="004A1AA3">
        <w:t xml:space="preserve"> </w:t>
      </w:r>
      <w:r>
        <w:t>% (4/13) and 56</w:t>
      </w:r>
      <w:r w:rsidR="004A1AA3">
        <w:t xml:space="preserve"> </w:t>
      </w:r>
      <w:r>
        <w:t>% (9/16) of the agreements respectively, but n</w:t>
      </w:r>
      <w:r w:rsidRPr="006D0F8B">
        <w:t>either of these differences is statistically signif</w:t>
      </w:r>
      <w:r w:rsidR="004A1AA3">
        <w:t xml:space="preserve">icant (p-values 0.588 and </w:t>
      </w:r>
      <w:r w:rsidRPr="006D0F8B">
        <w:t>0.170).</w:t>
      </w:r>
      <w:r>
        <w:t xml:space="preserve"> The difference is more striking when it comes to </w:t>
      </w:r>
      <w:r w:rsidRPr="00023C12">
        <w:t>human rights enforcement</w:t>
      </w:r>
      <w:r>
        <w:t xml:space="preserve"> institutions, such as a human rights ombudsman or a national commission of human rights. These are found in nine of the fourteen agreements signed in non-territorial conflicts (64</w:t>
      </w:r>
      <w:r w:rsidR="004A1AA3">
        <w:t xml:space="preserve"> </w:t>
      </w:r>
      <w:r>
        <w:t>%), compared to only four of fifteen agreements signed in territorial conflicts (27</w:t>
      </w:r>
      <w:r w:rsidR="004A1AA3">
        <w:t xml:space="preserve"> </w:t>
      </w:r>
      <w:r>
        <w:t>%).  This difference is statistically significant (p-value 0.042). We find a similar difference if we look at agreements with and without territorial autonomy: only 23</w:t>
      </w:r>
      <w:r w:rsidR="004A1AA3">
        <w:t xml:space="preserve"> </w:t>
      </w:r>
      <w:r>
        <w:t>% (3/13) of the former include enforcement mechanisms, compared to 63</w:t>
      </w:r>
      <w:r w:rsidR="004A1AA3">
        <w:t xml:space="preserve"> </w:t>
      </w:r>
      <w:r>
        <w:t xml:space="preserve">% (10/16) of the latter </w:t>
      </w:r>
      <w:r w:rsidRPr="006D0F8B">
        <w:t>(p-value 0.034)</w:t>
      </w:r>
      <w:r>
        <w:t xml:space="preserve">. </w:t>
      </w:r>
    </w:p>
    <w:p w14:paraId="14378E95" w14:textId="677E0B00" w:rsidR="00230AA7" w:rsidRDefault="005C6C84" w:rsidP="00230AA7">
      <w:pPr>
        <w:spacing w:line="480" w:lineRule="auto"/>
      </w:pPr>
      <w:r>
        <w:rPr>
          <w:rFonts w:cs="Times New Roman"/>
        </w:rPr>
        <w:t xml:space="preserve">Human rights institutions are not only included less frequently in territorial agreements, the provisions also tend to lack details. </w:t>
      </w:r>
      <w:r w:rsidR="00FF064E" w:rsidRPr="00C1339C">
        <w:rPr>
          <w:rFonts w:cs="Times New Roman"/>
        </w:rPr>
        <w:t xml:space="preserve">The least detailed provisions are found in the case of </w:t>
      </w:r>
      <w:r w:rsidR="00FF064E" w:rsidRPr="00C1339C">
        <w:rPr>
          <w:rFonts w:cs="Times New Roman"/>
        </w:rPr>
        <w:lastRenderedPageBreak/>
        <w:t>Bougainville where no new human rights institutions are created, and the agreement simply points to the existing Supreme Court as final court of appeal for human rights</w:t>
      </w:r>
      <w:r w:rsidR="001958ED">
        <w:rPr>
          <w:rFonts w:cs="Times New Roman"/>
        </w:rPr>
        <w:t>.</w:t>
      </w:r>
      <w:r w:rsidR="001958ED">
        <w:rPr>
          <w:rStyle w:val="FootnoteReference"/>
          <w:rFonts w:cs="Times New Roman"/>
        </w:rPr>
        <w:footnoteReference w:id="77"/>
      </w:r>
      <w:r w:rsidR="00CD51D8">
        <w:rPr>
          <w:rFonts w:cs="Times New Roman"/>
        </w:rPr>
        <w:t xml:space="preserve"> </w:t>
      </w:r>
      <w:r w:rsidR="00FF064E" w:rsidRPr="00C1339C">
        <w:rPr>
          <w:rFonts w:cs="Times New Roman"/>
        </w:rPr>
        <w:t xml:space="preserve">The agreement for Sudan </w:t>
      </w:r>
      <w:r w:rsidR="0034707A" w:rsidRPr="00C1339C">
        <w:rPr>
          <w:rFonts w:cs="Times New Roman"/>
        </w:rPr>
        <w:t xml:space="preserve">provides for the establishment of </w:t>
      </w:r>
      <w:r w:rsidR="00FF064E" w:rsidRPr="00C1339C">
        <w:rPr>
          <w:rFonts w:cs="Times New Roman"/>
        </w:rPr>
        <w:t>both a Constitutional Court and a Human Right C</w:t>
      </w:r>
      <w:r w:rsidR="0034707A" w:rsidRPr="00C1339C">
        <w:rPr>
          <w:rFonts w:cs="Times New Roman"/>
        </w:rPr>
        <w:t>ommission</w:t>
      </w:r>
      <w:r w:rsidR="009A58CB">
        <w:rPr>
          <w:rFonts w:cs="Times New Roman"/>
        </w:rPr>
        <w:t>,</w:t>
      </w:r>
      <w:r w:rsidR="00CD51D8">
        <w:rPr>
          <w:rStyle w:val="FootnoteReference"/>
          <w:rFonts w:cs="Times New Roman"/>
        </w:rPr>
        <w:footnoteReference w:id="78"/>
      </w:r>
      <w:r w:rsidR="009A58CB">
        <w:rPr>
          <w:rFonts w:cs="Times New Roman"/>
        </w:rPr>
        <w:t xml:space="preserve"> but </w:t>
      </w:r>
      <w:r w:rsidR="00FF064E" w:rsidRPr="00C1339C">
        <w:rPr>
          <w:rFonts w:cs="Times New Roman"/>
        </w:rPr>
        <w:t>details regarding enforcement are lacking. Human rights play a</w:t>
      </w:r>
      <w:r w:rsidR="009A58CB">
        <w:rPr>
          <w:rFonts w:cs="Times New Roman"/>
        </w:rPr>
        <w:t xml:space="preserve"> </w:t>
      </w:r>
      <w:r w:rsidR="00FF064E" w:rsidRPr="00C1339C">
        <w:rPr>
          <w:rFonts w:cs="Times New Roman"/>
        </w:rPr>
        <w:t xml:space="preserve">central role in the Belfast Agreement for Northern Ireland, but </w:t>
      </w:r>
      <w:r w:rsidR="009A58CB">
        <w:rPr>
          <w:rFonts w:cs="Times New Roman"/>
        </w:rPr>
        <w:t xml:space="preserve">it still lacks details when it comes to </w:t>
      </w:r>
      <w:r w:rsidR="00FF064E" w:rsidRPr="00C1339C">
        <w:rPr>
          <w:rFonts w:cs="Times New Roman"/>
        </w:rPr>
        <w:t>the precise functioning of the Human Rights Commission and the Equality Commission which are to be established</w:t>
      </w:r>
      <w:r w:rsidR="00CD51D8">
        <w:rPr>
          <w:rFonts w:cs="Times New Roman"/>
        </w:rPr>
        <w:t>.</w:t>
      </w:r>
      <w:r w:rsidR="00CD51D8">
        <w:rPr>
          <w:rStyle w:val="FootnoteReference"/>
          <w:rFonts w:cs="Times New Roman"/>
        </w:rPr>
        <w:footnoteReference w:id="79"/>
      </w:r>
      <w:r w:rsidR="00FF064E" w:rsidRPr="00C1339C">
        <w:rPr>
          <w:rFonts w:cs="Times New Roman"/>
        </w:rPr>
        <w:t xml:space="preserve"> Human rights institutions and mechanisms abound in the Dayton Agreement for Bosnia but </w:t>
      </w:r>
      <w:r w:rsidR="009A58CB">
        <w:rPr>
          <w:rFonts w:cs="Times New Roman"/>
        </w:rPr>
        <w:t xml:space="preserve">enforcement mechanism are nevertheless unclear, and </w:t>
      </w:r>
      <w:r w:rsidR="00FF064E" w:rsidRPr="00C1339C">
        <w:rPr>
          <w:rFonts w:cs="Times New Roman"/>
        </w:rPr>
        <w:t>no one has an explicit mandate to arrest human rights violators</w:t>
      </w:r>
      <w:r w:rsidR="00701515">
        <w:rPr>
          <w:rFonts w:cs="Times New Roman"/>
        </w:rPr>
        <w:t>.</w:t>
      </w:r>
      <w:r w:rsidR="00701515">
        <w:rPr>
          <w:rStyle w:val="FootnoteReference"/>
          <w:rFonts w:cs="Times New Roman"/>
        </w:rPr>
        <w:footnoteReference w:id="80"/>
      </w:r>
      <w:r w:rsidR="00FF064E" w:rsidRPr="00C1339C">
        <w:rPr>
          <w:rFonts w:cs="Times New Roman"/>
        </w:rPr>
        <w:t xml:space="preserve"> </w:t>
      </w:r>
      <w:r>
        <w:rPr>
          <w:rFonts w:cs="Times New Roman"/>
        </w:rPr>
        <w:t xml:space="preserve">This </w:t>
      </w:r>
      <w:r w:rsidR="0011276A">
        <w:t>general lack of details is likely to affect the implementation</w:t>
      </w:r>
      <w:r>
        <w:t xml:space="preserve"> of these provisions</w:t>
      </w:r>
      <w:r w:rsidR="0011276A">
        <w:t xml:space="preserve">, as will be discussed below. </w:t>
      </w:r>
    </w:p>
    <w:p w14:paraId="7F3F5645" w14:textId="77777777" w:rsidR="000E5FE9" w:rsidRDefault="00A6334D" w:rsidP="00230AA7">
      <w:pPr>
        <w:spacing w:line="480" w:lineRule="auto"/>
        <w:rPr>
          <w:b/>
        </w:rPr>
      </w:pPr>
      <w:r>
        <w:rPr>
          <w:b/>
        </w:rPr>
        <w:t>Figure 2</w:t>
      </w:r>
      <w:r w:rsidR="000E5FE9" w:rsidRPr="000E5FE9">
        <w:rPr>
          <w:b/>
        </w:rPr>
        <w:t xml:space="preserve">: Human Rights </w:t>
      </w:r>
      <w:r w:rsidR="00E812D4">
        <w:rPr>
          <w:b/>
        </w:rPr>
        <w:t xml:space="preserve">Enforcement </w:t>
      </w:r>
      <w:r>
        <w:rPr>
          <w:b/>
        </w:rPr>
        <w:t>Institutions</w:t>
      </w:r>
      <w:r w:rsidR="000E5FE9" w:rsidRPr="000E5FE9">
        <w:rPr>
          <w:b/>
        </w:rPr>
        <w:t xml:space="preserve"> </w:t>
      </w:r>
      <w:r w:rsidR="00E812D4">
        <w:rPr>
          <w:b/>
        </w:rPr>
        <w:t>in Peace Agreements, 1990-2010</w:t>
      </w:r>
    </w:p>
    <w:p w14:paraId="3BDD97AB" w14:textId="1ED00B90" w:rsidR="00E812D4" w:rsidRDefault="00E96A37" w:rsidP="00230AA7">
      <w:pPr>
        <w:spacing w:line="480" w:lineRule="auto"/>
        <w:rPr>
          <w:b/>
        </w:rPr>
      </w:pPr>
      <w:r>
        <w:rPr>
          <w:b/>
          <w:noProof/>
          <w:lang w:eastAsia="en-GB"/>
        </w:rPr>
        <w:drawing>
          <wp:inline distT="0" distB="0" distL="0" distR="0" wp14:anchorId="2E586669" wp14:editId="58F5E058">
            <wp:extent cx="5400040" cy="3150023"/>
            <wp:effectExtent l="0" t="0" r="1016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4DCD6B" w14:textId="371C1160" w:rsidR="00430ABD" w:rsidRPr="005C6C84" w:rsidRDefault="005C6C84" w:rsidP="005C6C84">
      <w:pPr>
        <w:autoSpaceDE w:val="0"/>
        <w:autoSpaceDN w:val="0"/>
        <w:adjustRightInd w:val="0"/>
        <w:spacing w:after="0" w:line="480" w:lineRule="auto"/>
        <w:rPr>
          <w:rFonts w:cs="Times New Roman"/>
        </w:rPr>
      </w:pPr>
      <w:r>
        <w:rPr>
          <w:rFonts w:cs="Times New Roman"/>
        </w:rPr>
        <w:lastRenderedPageBreak/>
        <w:t>The comparison of territorial and non-territorial conflicts showed a marked difference and supports the hypotheses that a core deal of autonomy and the nature of demands made by the rebel forces significantly affect the extent to which human rights are prioritized. H</w:t>
      </w:r>
      <w:r w:rsidR="007B56C4">
        <w:rPr>
          <w:rFonts w:cs="Times New Roman"/>
        </w:rPr>
        <w:t>uman rights may be the ‘</w:t>
      </w:r>
      <w:r w:rsidR="00430ABD" w:rsidRPr="00430ABD">
        <w:rPr>
          <w:rFonts w:cs="Times New Roman"/>
        </w:rPr>
        <w:t>chic language</w:t>
      </w:r>
      <w:r w:rsidR="007B56C4">
        <w:rPr>
          <w:rFonts w:cs="Times New Roman"/>
        </w:rPr>
        <w:t>’</w:t>
      </w:r>
      <w:r w:rsidR="00430ABD" w:rsidRPr="00430ABD">
        <w:rPr>
          <w:rFonts w:cs="Times New Roman"/>
        </w:rPr>
        <w:t xml:space="preserve"> in which to write peace agreements</w:t>
      </w:r>
      <w:r w:rsidR="00701515">
        <w:rPr>
          <w:rFonts w:cs="Times New Roman"/>
        </w:rPr>
        <w:t>,</w:t>
      </w:r>
      <w:r w:rsidR="00701515">
        <w:rPr>
          <w:rStyle w:val="FootnoteReference"/>
          <w:rFonts w:cs="Times New Roman"/>
        </w:rPr>
        <w:footnoteReference w:id="81"/>
      </w:r>
      <w:r w:rsidR="00971BF9">
        <w:rPr>
          <w:rFonts w:cs="Times New Roman"/>
        </w:rPr>
        <w:t xml:space="preserve"> </w:t>
      </w:r>
      <w:r>
        <w:rPr>
          <w:rFonts w:cs="Times New Roman"/>
        </w:rPr>
        <w:t xml:space="preserve">but </w:t>
      </w:r>
      <w:r w:rsidR="00430ABD" w:rsidRPr="00430ABD">
        <w:rPr>
          <w:rFonts w:cs="Times New Roman"/>
        </w:rPr>
        <w:t>only a minority of territorial peace agreements provide for the effective protection of human rights.</w:t>
      </w:r>
      <w:r w:rsidR="009A58CB">
        <w:rPr>
          <w:rFonts w:cs="Times New Roman"/>
        </w:rPr>
        <w:t xml:space="preserve">  </w:t>
      </w:r>
    </w:p>
    <w:p w14:paraId="39CE7E54" w14:textId="711E9C5A" w:rsidR="00DB7C2C" w:rsidRDefault="00DB7C2C" w:rsidP="0058520F">
      <w:pPr>
        <w:spacing w:line="480" w:lineRule="auto"/>
        <w:rPr>
          <w:highlight w:val="green"/>
        </w:rPr>
      </w:pPr>
    </w:p>
    <w:p w14:paraId="2CFE18D2" w14:textId="77777777" w:rsidR="00EA75A0" w:rsidRDefault="00EA75A0" w:rsidP="00EA75A0">
      <w:pPr>
        <w:spacing w:line="480" w:lineRule="auto"/>
        <w:rPr>
          <w:rFonts w:cs="Times New Roman"/>
          <w:b/>
        </w:rPr>
      </w:pPr>
      <w:r>
        <w:rPr>
          <w:rFonts w:cs="Times New Roman"/>
          <w:b/>
        </w:rPr>
        <w:t>Territorial Conflicts, Autonomy and Human Rights</w:t>
      </w:r>
    </w:p>
    <w:p w14:paraId="65D34555" w14:textId="4CA492F1" w:rsidR="00EA75A0" w:rsidRDefault="00EA75A0" w:rsidP="00347D44">
      <w:pPr>
        <w:autoSpaceDE w:val="0"/>
        <w:autoSpaceDN w:val="0"/>
        <w:adjustRightInd w:val="0"/>
        <w:spacing w:after="0" w:line="480" w:lineRule="auto"/>
        <w:rPr>
          <w:rFonts w:cs="Times New Roman"/>
        </w:rPr>
      </w:pPr>
      <w:r w:rsidRPr="00241A0B">
        <w:rPr>
          <w:rFonts w:cs="Times New Roman"/>
        </w:rPr>
        <w:t xml:space="preserve">Territorial conflicts involve demands for </w:t>
      </w:r>
      <w:r>
        <w:rPr>
          <w:rFonts w:cs="Times New Roman"/>
        </w:rPr>
        <w:t xml:space="preserve">a </w:t>
      </w:r>
      <w:r w:rsidRPr="00241A0B">
        <w:rPr>
          <w:rFonts w:cs="Times New Roman"/>
        </w:rPr>
        <w:t xml:space="preserve">change in the status of a territory and the recognition, and realisation, of a group’s right to self-determination. </w:t>
      </w:r>
      <w:r w:rsidR="00ED6184">
        <w:rPr>
          <w:rFonts w:cs="Times New Roman"/>
        </w:rPr>
        <w:t xml:space="preserve">For example, in the Bosnian conflict, the </w:t>
      </w:r>
      <w:r w:rsidR="004A3A09">
        <w:rPr>
          <w:rFonts w:cs="Times New Roman"/>
        </w:rPr>
        <w:t xml:space="preserve">demands of the </w:t>
      </w:r>
      <w:r w:rsidR="00ED6184">
        <w:rPr>
          <w:rFonts w:cs="Times New Roman"/>
        </w:rPr>
        <w:t xml:space="preserve">Serb leaders </w:t>
      </w:r>
      <w:r w:rsidR="004A3A09">
        <w:rPr>
          <w:rFonts w:cs="Times New Roman"/>
        </w:rPr>
        <w:t xml:space="preserve">shifted between joining Serbia, independence for their self-proclaimed statelet, and territory and power for a Serb federal entity. These territorial demands were all </w:t>
      </w:r>
      <w:r w:rsidR="00ED6184">
        <w:rPr>
          <w:rFonts w:cs="Times New Roman"/>
        </w:rPr>
        <w:t xml:space="preserve">justified by </w:t>
      </w:r>
      <w:r w:rsidR="004A3A09">
        <w:rPr>
          <w:rFonts w:cs="Times New Roman"/>
        </w:rPr>
        <w:t xml:space="preserve">proclaiming a right to national self-determination and by pointing to the </w:t>
      </w:r>
      <w:r w:rsidR="00ED6184">
        <w:rPr>
          <w:rFonts w:cs="Times New Roman"/>
        </w:rPr>
        <w:t xml:space="preserve">threat allegedly faced by the Serb </w:t>
      </w:r>
      <w:r w:rsidR="004A3A09">
        <w:rPr>
          <w:rFonts w:cs="Times New Roman"/>
        </w:rPr>
        <w:t>minority.</w:t>
      </w:r>
      <w:r w:rsidR="00347D44">
        <w:rPr>
          <w:rStyle w:val="FootnoteReference"/>
          <w:rFonts w:cs="Times New Roman"/>
        </w:rPr>
        <w:footnoteReference w:id="82"/>
      </w:r>
      <w:r w:rsidR="00ED6184">
        <w:rPr>
          <w:rFonts w:cs="Times New Roman"/>
        </w:rPr>
        <w:t xml:space="preserve"> </w:t>
      </w:r>
      <w:r w:rsidR="004A3A09">
        <w:rPr>
          <w:rFonts w:cs="Times New Roman"/>
        </w:rPr>
        <w:t>While r</w:t>
      </w:r>
      <w:r w:rsidRPr="00CA57F4">
        <w:rPr>
          <w:rFonts w:cs="Times New Roman"/>
        </w:rPr>
        <w:t>ights and protections often feature prominently in the demands made</w:t>
      </w:r>
      <w:r w:rsidR="00ED6184">
        <w:rPr>
          <w:rFonts w:cs="Times New Roman"/>
        </w:rPr>
        <w:t xml:space="preserve"> in territorial conflicts</w:t>
      </w:r>
      <w:r w:rsidRPr="00CA57F4">
        <w:rPr>
          <w:rFonts w:cs="Times New Roman"/>
        </w:rPr>
        <w:t>,</w:t>
      </w:r>
      <w:r w:rsidR="004A3A09">
        <w:rPr>
          <w:rFonts w:cs="Times New Roman"/>
        </w:rPr>
        <w:t xml:space="preserve"> </w:t>
      </w:r>
      <w:r w:rsidRPr="00CA57F4">
        <w:rPr>
          <w:rFonts w:cs="Times New Roman"/>
        </w:rPr>
        <w:t xml:space="preserve">they take </w:t>
      </w:r>
      <w:r w:rsidR="004A3A09">
        <w:rPr>
          <w:rFonts w:cs="Times New Roman"/>
        </w:rPr>
        <w:t>a different form t</w:t>
      </w:r>
      <w:r w:rsidRPr="00CA57F4">
        <w:rPr>
          <w:rFonts w:cs="Times New Roman"/>
        </w:rPr>
        <w:t xml:space="preserve">han in non-territorial conflicts where </w:t>
      </w:r>
      <w:r>
        <w:rPr>
          <w:rFonts w:cs="Times New Roman"/>
        </w:rPr>
        <w:t xml:space="preserve">demands for individual human rights are much more central. These conflicts revolve </w:t>
      </w:r>
      <w:r w:rsidRPr="00CA57F4">
        <w:rPr>
          <w:rFonts w:cs="Times New Roman"/>
        </w:rPr>
        <w:t>around issues of authority and power at the centre. As Bell</w:t>
      </w:r>
      <w:r>
        <w:rPr>
          <w:rFonts w:cs="Times New Roman"/>
        </w:rPr>
        <w:t xml:space="preserve"> </w:t>
      </w:r>
      <w:r w:rsidRPr="00CA57F4">
        <w:rPr>
          <w:rFonts w:cs="Times New Roman"/>
        </w:rPr>
        <w:t>has pointed out, in Central America “human rights were often included as part-and-parcel of a process which aimed at democratisation as the ‘solution’ to the conflict</w:t>
      </w:r>
      <w:r>
        <w:rPr>
          <w:rFonts w:cs="Times New Roman"/>
        </w:rPr>
        <w:t>”</w:t>
      </w:r>
      <w:r w:rsidRPr="00CA57F4">
        <w:rPr>
          <w:rFonts w:cs="Times New Roman"/>
        </w:rPr>
        <w:t>.</w:t>
      </w:r>
      <w:r>
        <w:rPr>
          <w:rStyle w:val="FootnoteReference"/>
          <w:rFonts w:cs="Times New Roman"/>
        </w:rPr>
        <w:footnoteReference w:id="83"/>
      </w:r>
      <w:r w:rsidRPr="00CA57F4">
        <w:rPr>
          <w:rFonts w:cs="Times New Roman"/>
        </w:rPr>
        <w:t xml:space="preserve"> </w:t>
      </w:r>
    </w:p>
    <w:p w14:paraId="7517B234" w14:textId="77777777" w:rsidR="00EA75A0" w:rsidRPr="00CA57F4" w:rsidRDefault="00EA75A0" w:rsidP="00EA75A0">
      <w:pPr>
        <w:autoSpaceDE w:val="0"/>
        <w:autoSpaceDN w:val="0"/>
        <w:adjustRightInd w:val="0"/>
        <w:spacing w:after="0" w:line="480" w:lineRule="auto"/>
        <w:rPr>
          <w:rFonts w:cs="Times New Roman"/>
        </w:rPr>
      </w:pPr>
    </w:p>
    <w:p w14:paraId="291C7D69" w14:textId="60CBE3E4" w:rsidR="00EA75A0" w:rsidRDefault="00EA75A0" w:rsidP="00EA75A0">
      <w:pPr>
        <w:autoSpaceDE w:val="0"/>
        <w:autoSpaceDN w:val="0"/>
        <w:adjustRightInd w:val="0"/>
        <w:spacing w:after="0" w:line="480" w:lineRule="auto"/>
        <w:rPr>
          <w:rFonts w:cs="Times New Roman"/>
        </w:rPr>
      </w:pPr>
      <w:r w:rsidRPr="00241A0B">
        <w:rPr>
          <w:rFonts w:cs="Times New Roman"/>
        </w:rPr>
        <w:lastRenderedPageBreak/>
        <w:t>T</w:t>
      </w:r>
      <w:r>
        <w:rPr>
          <w:rFonts w:cs="Times New Roman"/>
        </w:rPr>
        <w:t xml:space="preserve">erritorial autonomy provides a popular solution to territorial conflicts: it addresses the </w:t>
      </w:r>
      <w:r w:rsidRPr="00C1339C">
        <w:rPr>
          <w:rFonts w:cs="Times New Roman"/>
        </w:rPr>
        <w:t>demands f</w:t>
      </w:r>
      <w:r>
        <w:rPr>
          <w:rFonts w:cs="Times New Roman"/>
        </w:rPr>
        <w:t xml:space="preserve">or self-determination and promises protections against </w:t>
      </w:r>
      <w:r w:rsidRPr="00C1339C">
        <w:rPr>
          <w:rFonts w:cs="Times New Roman"/>
        </w:rPr>
        <w:t xml:space="preserve">discrimination and </w:t>
      </w:r>
      <w:r>
        <w:rPr>
          <w:rFonts w:cs="Times New Roman"/>
        </w:rPr>
        <w:t xml:space="preserve">other </w:t>
      </w:r>
      <w:r w:rsidRPr="00C1339C">
        <w:rPr>
          <w:rFonts w:cs="Times New Roman"/>
        </w:rPr>
        <w:t xml:space="preserve">human rights violations. </w:t>
      </w:r>
      <w:r>
        <w:rPr>
          <w:rFonts w:cs="Times New Roman"/>
        </w:rPr>
        <w:t xml:space="preserve"> Effective individual human rights protections are not a priority in this context and could in fact undercut the autonomous powers and protections secured in the settlement. For example, the Bengali settlers i</w:t>
      </w:r>
      <w:r w:rsidRPr="00C1339C">
        <w:rPr>
          <w:rFonts w:cs="TimesNewRoman"/>
          <w:noProof/>
        </w:rPr>
        <w:t xml:space="preserve">n </w:t>
      </w:r>
      <w:r>
        <w:rPr>
          <w:rFonts w:cs="TimesNewRoman"/>
          <w:noProof/>
        </w:rPr>
        <w:t>the Chittagong Hill</w:t>
      </w:r>
      <w:r w:rsidRPr="00C1339C">
        <w:rPr>
          <w:rFonts w:cs="TimesNewRoman"/>
          <w:noProof/>
        </w:rPr>
        <w:t xml:space="preserve"> Tract</w:t>
      </w:r>
      <w:r>
        <w:rPr>
          <w:rFonts w:cs="TimesNewRoman"/>
          <w:noProof/>
        </w:rPr>
        <w:t xml:space="preserve">s </w:t>
      </w:r>
      <w:r w:rsidRPr="00C1339C">
        <w:rPr>
          <w:rFonts w:cs="TimesNewRoman"/>
          <w:noProof/>
        </w:rPr>
        <w:t>complain of their second-class status, but the trib</w:t>
      </w:r>
      <w:r w:rsidR="004A3A09">
        <w:rPr>
          <w:rFonts w:cs="TimesNewRoman"/>
          <w:noProof/>
        </w:rPr>
        <w:t>al community complain that the tribal</w:t>
      </w:r>
      <w:r w:rsidRPr="00C1339C">
        <w:rPr>
          <w:rFonts w:cs="TimesNewRoman"/>
          <w:noProof/>
        </w:rPr>
        <w:t xml:space="preserve"> autonomy does not go far enough</w:t>
      </w:r>
      <w:r>
        <w:rPr>
          <w:rFonts w:cs="TimesNewRoman"/>
          <w:noProof/>
        </w:rPr>
        <w:t xml:space="preserve">, and </w:t>
      </w:r>
      <w:r w:rsidR="004A3A09">
        <w:rPr>
          <w:rFonts w:cs="TimesNewRoman"/>
          <w:noProof/>
        </w:rPr>
        <w:t xml:space="preserve">have </w:t>
      </w:r>
      <w:r>
        <w:rPr>
          <w:rFonts w:cs="TimesNewRoman"/>
          <w:noProof/>
        </w:rPr>
        <w:t>object</w:t>
      </w:r>
      <w:r w:rsidR="004A3A09">
        <w:rPr>
          <w:rFonts w:cs="TimesNewRoman"/>
          <w:noProof/>
        </w:rPr>
        <w:t>ed</w:t>
      </w:r>
      <w:r>
        <w:rPr>
          <w:rFonts w:cs="TimesNewRoman"/>
          <w:noProof/>
        </w:rPr>
        <w:t xml:space="preserve"> to </w:t>
      </w:r>
      <w:r w:rsidRPr="00C1339C">
        <w:rPr>
          <w:rFonts w:cs="TimesNewRoman"/>
          <w:noProof/>
        </w:rPr>
        <w:t xml:space="preserve">the </w:t>
      </w:r>
      <w:r>
        <w:rPr>
          <w:rFonts w:cs="TimesNewRoman"/>
          <w:noProof/>
        </w:rPr>
        <w:t xml:space="preserve">weakening of their </w:t>
      </w:r>
      <w:r w:rsidRPr="00C1339C">
        <w:rPr>
          <w:rFonts w:cs="TimesNewRoman"/>
          <w:noProof/>
        </w:rPr>
        <w:t xml:space="preserve">overrepresentation </w:t>
      </w:r>
      <w:r>
        <w:rPr>
          <w:rFonts w:cs="TimesNewRoman"/>
          <w:noProof/>
        </w:rPr>
        <w:t>on the District Council.</w:t>
      </w:r>
      <w:r>
        <w:rPr>
          <w:rStyle w:val="FootnoteReference"/>
          <w:rFonts w:cs="TimesNewRoman"/>
          <w:noProof/>
        </w:rPr>
        <w:footnoteReference w:id="84"/>
      </w:r>
      <w:r>
        <w:rPr>
          <w:rFonts w:cs="TimesNewRoman"/>
          <w:noProof/>
        </w:rPr>
        <w:t xml:space="preserve"> H</w:t>
      </w:r>
      <w:r w:rsidRPr="00C1339C">
        <w:rPr>
          <w:rFonts w:cs="TimesNewRoman"/>
          <w:noProof/>
        </w:rPr>
        <w:t xml:space="preserve">uman righs </w:t>
      </w:r>
      <w:r>
        <w:rPr>
          <w:rFonts w:cs="TimesNewRoman"/>
          <w:noProof/>
        </w:rPr>
        <w:t>are</w:t>
      </w:r>
      <w:r w:rsidRPr="00C1339C">
        <w:rPr>
          <w:rFonts w:cs="TimesNewRoman"/>
          <w:noProof/>
        </w:rPr>
        <w:t xml:space="preserve"> not necessarily a positive-sum game</w:t>
      </w:r>
      <w:r>
        <w:rPr>
          <w:rFonts w:cs="TimesNewRoman"/>
          <w:noProof/>
        </w:rPr>
        <w:t>, and more effective individual human rights provisions could reduce hardwon group rights and protections.</w:t>
      </w:r>
      <w:r w:rsidRPr="00C1339C">
        <w:rPr>
          <w:rFonts w:cs="TimesNewRoman"/>
          <w:noProof/>
        </w:rPr>
        <w:t xml:space="preserve"> </w:t>
      </w:r>
      <w:r>
        <w:rPr>
          <w:rFonts w:cs="TimesNewRoman"/>
          <w:noProof/>
        </w:rPr>
        <w:t xml:space="preserve">Moreover, local leaders may be keen for </w:t>
      </w:r>
      <w:r>
        <w:rPr>
          <w:rFonts w:cs="Times New Roman"/>
        </w:rPr>
        <w:t xml:space="preserve">their powers to be as unconstrained as possible.  In the case of Israel-Palestine, Bell suggests that the Palestine Liberation Organization </w:t>
      </w:r>
      <w:r w:rsidRPr="00C1339C">
        <w:rPr>
          <w:rFonts w:cs="Times New Roman"/>
        </w:rPr>
        <w:t xml:space="preserve">was not interested in human rights protections </w:t>
      </w:r>
      <w:r>
        <w:rPr>
          <w:rFonts w:cs="Times New Roman"/>
        </w:rPr>
        <w:t xml:space="preserve">because it </w:t>
      </w:r>
      <w:r w:rsidRPr="00C1339C">
        <w:rPr>
          <w:rFonts w:cs="Times New Roman"/>
        </w:rPr>
        <w:t>wou</w:t>
      </w:r>
      <w:r>
        <w:rPr>
          <w:rFonts w:cs="Times New Roman"/>
        </w:rPr>
        <w:t>ld have limited their capacity ‘</w:t>
      </w:r>
      <w:r w:rsidRPr="00C1339C">
        <w:rPr>
          <w:rFonts w:cs="Times New Roman"/>
        </w:rPr>
        <w:t>to control dissident political forces</w:t>
      </w:r>
      <w:r>
        <w:rPr>
          <w:rFonts w:cs="Times New Roman"/>
        </w:rPr>
        <w:t>’</w:t>
      </w:r>
      <w:r w:rsidRPr="00C1339C">
        <w:rPr>
          <w:rFonts w:cs="Times New Roman"/>
        </w:rPr>
        <w:t>.</w:t>
      </w:r>
      <w:r>
        <w:rPr>
          <w:rStyle w:val="FootnoteReference"/>
          <w:rFonts w:cs="Times New Roman"/>
        </w:rPr>
        <w:footnoteReference w:id="85"/>
      </w:r>
      <w:r w:rsidRPr="00C1339C">
        <w:rPr>
          <w:rFonts w:cs="Times New Roman"/>
        </w:rPr>
        <w:t xml:space="preserve"> </w:t>
      </w:r>
      <w:r>
        <w:rPr>
          <w:rFonts w:cs="Times New Roman"/>
        </w:rPr>
        <w:t>T</w:t>
      </w:r>
      <w:r w:rsidRPr="00C1339C">
        <w:rPr>
          <w:rFonts w:cs="Times New Roman"/>
        </w:rPr>
        <w:t xml:space="preserve">he armed movements </w:t>
      </w:r>
      <w:r>
        <w:rPr>
          <w:rFonts w:cs="Times New Roman"/>
        </w:rPr>
        <w:t xml:space="preserve">typically retain power in the post-settlement period and </w:t>
      </w:r>
      <w:r w:rsidRPr="00C1339C">
        <w:rPr>
          <w:rFonts w:cs="Times New Roman"/>
        </w:rPr>
        <w:t xml:space="preserve">may not be interested in this kind of scrutiny. </w:t>
      </w:r>
      <w:r>
        <w:rPr>
          <w:rFonts w:cs="Times New Roman"/>
        </w:rPr>
        <w:t xml:space="preserve"> </w:t>
      </w:r>
    </w:p>
    <w:p w14:paraId="4503FD2F" w14:textId="77777777" w:rsidR="00EA75A0" w:rsidRDefault="00EA75A0" w:rsidP="00EA75A0">
      <w:pPr>
        <w:autoSpaceDE w:val="0"/>
        <w:autoSpaceDN w:val="0"/>
        <w:adjustRightInd w:val="0"/>
        <w:spacing w:after="0" w:line="480" w:lineRule="auto"/>
        <w:rPr>
          <w:rFonts w:cs="Times New Roman"/>
        </w:rPr>
      </w:pPr>
    </w:p>
    <w:p w14:paraId="4514DE53" w14:textId="2762536F" w:rsidR="00EA75A0" w:rsidRDefault="00EA75A0" w:rsidP="00EA75A0">
      <w:pPr>
        <w:autoSpaceDE w:val="0"/>
        <w:autoSpaceDN w:val="0"/>
        <w:adjustRightInd w:val="0"/>
        <w:spacing w:after="0" w:line="480" w:lineRule="auto"/>
        <w:rPr>
          <w:rFonts w:cs="Times New Roman"/>
        </w:rPr>
      </w:pPr>
      <w:r>
        <w:rPr>
          <w:rFonts w:cs="Times New Roman"/>
        </w:rPr>
        <w:t xml:space="preserve">However, </w:t>
      </w:r>
      <w:r w:rsidR="004A3A09">
        <w:rPr>
          <w:rFonts w:cs="Times New Roman"/>
        </w:rPr>
        <w:t xml:space="preserve">human rights could become an alternative means for ensuring groups rights, </w:t>
      </w:r>
      <w:r>
        <w:rPr>
          <w:rFonts w:cs="Times New Roman"/>
        </w:rPr>
        <w:t xml:space="preserve">if territorial autonomy is not practically possible or not acceptable to the </w:t>
      </w:r>
      <w:r w:rsidR="004A3A09">
        <w:rPr>
          <w:rFonts w:cs="Times New Roman"/>
        </w:rPr>
        <w:t>central government</w:t>
      </w:r>
      <w:r>
        <w:rPr>
          <w:rFonts w:cs="Times New Roman"/>
        </w:rPr>
        <w:t>. For example, in the case of Northern Ireland, where territorial</w:t>
      </w:r>
      <w:r w:rsidR="004A3A09">
        <w:rPr>
          <w:rFonts w:cs="Times New Roman"/>
        </w:rPr>
        <w:t>ly-defined</w:t>
      </w:r>
      <w:r>
        <w:rPr>
          <w:rFonts w:cs="Times New Roman"/>
        </w:rPr>
        <w:t xml:space="preserve"> </w:t>
      </w:r>
      <w:r w:rsidR="004A3A09">
        <w:rPr>
          <w:rFonts w:cs="Times New Roman"/>
        </w:rPr>
        <w:t xml:space="preserve">communal </w:t>
      </w:r>
      <w:r>
        <w:rPr>
          <w:rFonts w:cs="Times New Roman"/>
        </w:rPr>
        <w:t>autonomy was not included in the settlement, individual rights were seen as protection against future domination and discrimination.</w:t>
      </w:r>
      <w:r>
        <w:rPr>
          <w:rStyle w:val="FootnoteReference"/>
          <w:rFonts w:cs="Times New Roman"/>
        </w:rPr>
        <w:footnoteReference w:id="86"/>
      </w:r>
      <w:r>
        <w:rPr>
          <w:rFonts w:cs="Times New Roman"/>
        </w:rPr>
        <w:t xml:space="preserve"> This helps explains the </w:t>
      </w:r>
      <w:r w:rsidR="004A3A09">
        <w:rPr>
          <w:rFonts w:cs="Times New Roman"/>
        </w:rPr>
        <w:t xml:space="preserve">inclusion of </w:t>
      </w:r>
      <w:r>
        <w:rPr>
          <w:rFonts w:cs="Times New Roman"/>
        </w:rPr>
        <w:t xml:space="preserve">human rights </w:t>
      </w:r>
      <w:r w:rsidR="004A3A09">
        <w:rPr>
          <w:rFonts w:cs="Times New Roman"/>
        </w:rPr>
        <w:t xml:space="preserve">provisions </w:t>
      </w:r>
      <w:r>
        <w:rPr>
          <w:rFonts w:cs="Times New Roman"/>
        </w:rPr>
        <w:t xml:space="preserve">in </w:t>
      </w:r>
      <w:r>
        <w:rPr>
          <w:rFonts w:cs="Times New Roman"/>
        </w:rPr>
        <w:lastRenderedPageBreak/>
        <w:t xml:space="preserve">this settlement.  However, such demands </w:t>
      </w:r>
      <w:r w:rsidR="004A3A09">
        <w:rPr>
          <w:rFonts w:cs="Times New Roman"/>
        </w:rPr>
        <w:t>are not necessarily successful</w:t>
      </w:r>
      <w:r>
        <w:rPr>
          <w:rFonts w:cs="Times New Roman"/>
        </w:rPr>
        <w:t xml:space="preserve">. Context matters and although territorial agreements are less likely to include human rights provisions than non-territorial agreements, we find significant variation within this broad category. </w:t>
      </w:r>
    </w:p>
    <w:p w14:paraId="4CA1DF5B" w14:textId="77777777" w:rsidR="00EA75A0" w:rsidRDefault="00EA75A0" w:rsidP="00EA75A0">
      <w:pPr>
        <w:autoSpaceDE w:val="0"/>
        <w:autoSpaceDN w:val="0"/>
        <w:adjustRightInd w:val="0"/>
        <w:spacing w:after="0" w:line="480" w:lineRule="auto"/>
        <w:rPr>
          <w:rFonts w:cs="Times New Roman"/>
        </w:rPr>
      </w:pPr>
    </w:p>
    <w:p w14:paraId="790291A7" w14:textId="3CFAB359" w:rsidR="00EA75A0" w:rsidRDefault="004A3A09" w:rsidP="00EA75A0">
      <w:pPr>
        <w:autoSpaceDE w:val="0"/>
        <w:autoSpaceDN w:val="0"/>
        <w:adjustRightInd w:val="0"/>
        <w:spacing w:after="0" w:line="480" w:lineRule="auto"/>
        <w:rPr>
          <w:rFonts w:cs="Times New Roman"/>
          <w:b/>
        </w:rPr>
      </w:pPr>
      <w:r>
        <w:rPr>
          <w:rFonts w:cs="Times New Roman"/>
          <w:b/>
        </w:rPr>
        <w:t>QCA Analysis</w:t>
      </w:r>
      <w:r w:rsidR="00EA75A0">
        <w:rPr>
          <w:rFonts w:cs="Times New Roman"/>
          <w:b/>
        </w:rPr>
        <w:t xml:space="preserve">: </w:t>
      </w:r>
      <w:r w:rsidR="00EA75A0" w:rsidRPr="00AA14AB">
        <w:rPr>
          <w:rFonts w:cs="Times New Roman"/>
          <w:b/>
        </w:rPr>
        <w:t xml:space="preserve">Degree of Autonomy, </w:t>
      </w:r>
      <w:r w:rsidR="00EA75A0">
        <w:rPr>
          <w:rFonts w:cs="Times New Roman"/>
          <w:b/>
        </w:rPr>
        <w:t xml:space="preserve">Rebel Strength, and </w:t>
      </w:r>
      <w:r w:rsidR="00EA75A0" w:rsidRPr="00AA14AB">
        <w:rPr>
          <w:rFonts w:cs="Times New Roman"/>
          <w:b/>
        </w:rPr>
        <w:t>International Involvement</w:t>
      </w:r>
    </w:p>
    <w:p w14:paraId="7E7EDD04" w14:textId="3D0D68B0" w:rsidR="00F050B0" w:rsidRPr="00B44185" w:rsidRDefault="00F050B0" w:rsidP="00F050B0">
      <w:pPr>
        <w:spacing w:line="480" w:lineRule="auto"/>
        <w:rPr>
          <w:rFonts w:eastAsia="Times New Roman" w:cs="Arial"/>
          <w:lang w:val="en-US" w:eastAsia="en-GB"/>
        </w:rPr>
      </w:pPr>
      <w:r w:rsidRPr="00B44185">
        <w:rPr>
          <w:rFonts w:cs="Times New Roman"/>
        </w:rPr>
        <w:t xml:space="preserve">This section uses Qualitative Comparative Analysis (QCA) to examine </w:t>
      </w:r>
      <w:r>
        <w:rPr>
          <w:rFonts w:cs="Times New Roman"/>
        </w:rPr>
        <w:t xml:space="preserve">how the wider conflict context and the degree of autonomy affects the inclusion (or exclusion) of human rights provisions in territorial peace agreements. </w:t>
      </w:r>
      <w:r w:rsidRPr="00B44185">
        <w:rPr>
          <w:rFonts w:cs="Times New Roman"/>
        </w:rPr>
        <w:t xml:space="preserve">QCA is </w:t>
      </w:r>
      <w:r w:rsidRPr="00B44185">
        <w:rPr>
          <w:rFonts w:eastAsia="Times New Roman" w:cs="Arial"/>
          <w:lang w:val="en-US" w:eastAsia="en-GB"/>
        </w:rPr>
        <w:t>suitable for a medium-N analysis and allows for analysis of combinations of conditions and different causal paths leading to the same outcome.</w:t>
      </w:r>
      <w:r w:rsidRPr="00B44185">
        <w:rPr>
          <w:rStyle w:val="FootnoteReference"/>
          <w:rFonts w:eastAsia="Times New Roman" w:cs="Arial"/>
          <w:lang w:val="en-US" w:eastAsia="en-GB"/>
        </w:rPr>
        <w:footnoteReference w:id="87"/>
      </w:r>
      <w:r w:rsidRPr="00B44185">
        <w:rPr>
          <w:rFonts w:eastAsia="Times New Roman" w:cs="Arial"/>
          <w:lang w:val="en-US" w:eastAsia="en-GB"/>
        </w:rPr>
        <w:t xml:space="preserve">  </w:t>
      </w:r>
      <w:r>
        <w:rPr>
          <w:rFonts w:eastAsia="Times New Roman" w:cs="Arial"/>
          <w:lang w:val="en-US" w:eastAsia="en-GB"/>
        </w:rPr>
        <w:t xml:space="preserve">QCA does not estimate the net </w:t>
      </w:r>
      <w:r>
        <w:t>causal effect of discrete variables, but instead specifies the combinational logic of conditions that lead to a specific outcome. By using this form of analysis, individual cases are aggregated into a manageable number of typical ‘‘scenarios.’’</w:t>
      </w:r>
      <w:r>
        <w:rPr>
          <w:rStyle w:val="FootnoteReference"/>
        </w:rPr>
        <w:footnoteReference w:id="88"/>
      </w:r>
      <w:r>
        <w:t xml:space="preserve"> </w:t>
      </w:r>
    </w:p>
    <w:p w14:paraId="729AAD93" w14:textId="6145702B" w:rsidR="00EA75A0" w:rsidRDefault="00EA75A0" w:rsidP="00EA75A0">
      <w:pPr>
        <w:autoSpaceDE w:val="0"/>
        <w:autoSpaceDN w:val="0"/>
        <w:adjustRightInd w:val="0"/>
        <w:spacing w:after="0" w:line="480" w:lineRule="auto"/>
        <w:rPr>
          <w:rFonts w:cs="Times New Roman"/>
        </w:rPr>
      </w:pPr>
      <w:r w:rsidRPr="00935EF7">
        <w:rPr>
          <w:rFonts w:cs="Times New Roman"/>
        </w:rPr>
        <w:t>Several context variables could be expected to affect the inclusion</w:t>
      </w:r>
      <w:r w:rsidR="00E57D47">
        <w:rPr>
          <w:rFonts w:cs="Times New Roman"/>
        </w:rPr>
        <w:t xml:space="preserve"> </w:t>
      </w:r>
      <w:r w:rsidRPr="00935EF7">
        <w:rPr>
          <w:rFonts w:cs="Times New Roman"/>
        </w:rPr>
        <w:t xml:space="preserve">human rights in territorial peace agreements. In addition to the degree of autonomy contained in the agreement, this </w:t>
      </w:r>
      <w:r w:rsidR="00D276C9">
        <w:rPr>
          <w:rFonts w:cs="Times New Roman"/>
        </w:rPr>
        <w:t xml:space="preserve">section </w:t>
      </w:r>
      <w:r w:rsidRPr="00935EF7">
        <w:rPr>
          <w:rFonts w:cs="Times New Roman"/>
        </w:rPr>
        <w:t>will examine the effects of the relative strength of the rebel position, regime type</w:t>
      </w:r>
      <w:r>
        <w:rPr>
          <w:rFonts w:cs="Times New Roman"/>
        </w:rPr>
        <w:t>,</w:t>
      </w:r>
      <w:r w:rsidRPr="00935EF7">
        <w:rPr>
          <w:rFonts w:cs="Times New Roman"/>
        </w:rPr>
        <w:t xml:space="preserve"> and international involvement</w:t>
      </w:r>
      <w:r>
        <w:rPr>
          <w:rFonts w:cs="Times New Roman"/>
        </w:rPr>
        <w:t xml:space="preserve">. </w:t>
      </w:r>
      <w:r w:rsidR="00F050B0">
        <w:rPr>
          <w:rFonts w:cs="Times New Roman"/>
        </w:rPr>
        <w:t xml:space="preserve">This analysis will be used to identify possible pathways or scenarios. </w:t>
      </w:r>
    </w:p>
    <w:p w14:paraId="3301CE9F" w14:textId="77777777" w:rsidR="00EA75A0" w:rsidRDefault="00EA75A0" w:rsidP="00EA75A0">
      <w:pPr>
        <w:autoSpaceDE w:val="0"/>
        <w:autoSpaceDN w:val="0"/>
        <w:adjustRightInd w:val="0"/>
        <w:spacing w:after="0" w:line="480" w:lineRule="auto"/>
        <w:rPr>
          <w:rFonts w:cs="Times New Roman"/>
        </w:rPr>
      </w:pPr>
    </w:p>
    <w:p w14:paraId="67608B17" w14:textId="77777777" w:rsidR="00EA75A0" w:rsidRPr="000244B6" w:rsidRDefault="00EA75A0" w:rsidP="00EA75A0">
      <w:pPr>
        <w:autoSpaceDE w:val="0"/>
        <w:autoSpaceDN w:val="0"/>
        <w:adjustRightInd w:val="0"/>
        <w:spacing w:after="0" w:line="480" w:lineRule="auto"/>
        <w:rPr>
          <w:rFonts w:cs="Times New Roman"/>
          <w:i/>
        </w:rPr>
      </w:pPr>
      <w:r w:rsidRPr="000244B6">
        <w:rPr>
          <w:rFonts w:cs="Times New Roman"/>
          <w:i/>
        </w:rPr>
        <w:t>Degree of Autonomy</w:t>
      </w:r>
    </w:p>
    <w:p w14:paraId="7DC4EFAE" w14:textId="7C6ABA1B" w:rsidR="00EA75A0" w:rsidRDefault="00EA75A0" w:rsidP="00EA75A0">
      <w:pPr>
        <w:autoSpaceDE w:val="0"/>
        <w:autoSpaceDN w:val="0"/>
        <w:adjustRightInd w:val="0"/>
        <w:spacing w:after="0" w:line="480" w:lineRule="auto"/>
        <w:rPr>
          <w:rFonts w:cs="Times New Roman"/>
        </w:rPr>
      </w:pPr>
      <w:r w:rsidRPr="000244B6">
        <w:rPr>
          <w:rFonts w:cs="Times New Roman"/>
        </w:rPr>
        <w:t>In cases of low levels of autonomy or no autonomy, we could expect a demand for human rights</w:t>
      </w:r>
      <w:r>
        <w:rPr>
          <w:rFonts w:cs="Times New Roman"/>
        </w:rPr>
        <w:t xml:space="preserve"> protections at the centre as a supplement to </w:t>
      </w:r>
      <w:r w:rsidRPr="000244B6">
        <w:rPr>
          <w:rFonts w:cs="Times New Roman"/>
        </w:rPr>
        <w:t>the limited autonomous powers and protections ensured by the core deal.</w:t>
      </w:r>
      <w:r>
        <w:rPr>
          <w:rFonts w:cs="Times New Roman"/>
        </w:rPr>
        <w:t xml:space="preserve"> However, as </w:t>
      </w:r>
      <w:r w:rsidRPr="00D276C9">
        <w:rPr>
          <w:rFonts w:cs="Times New Roman"/>
        </w:rPr>
        <w:t xml:space="preserve">seen from Table </w:t>
      </w:r>
      <w:r w:rsidR="00D276C9" w:rsidRPr="00D276C9">
        <w:rPr>
          <w:rFonts w:cs="Times New Roman"/>
        </w:rPr>
        <w:t>III</w:t>
      </w:r>
      <w:r w:rsidRPr="00D276C9">
        <w:rPr>
          <w:rFonts w:cs="Times New Roman"/>
        </w:rPr>
        <w:t xml:space="preserve">, while some territorial </w:t>
      </w:r>
      <w:r w:rsidRPr="00D276C9">
        <w:rPr>
          <w:rFonts w:cs="Times New Roman"/>
        </w:rPr>
        <w:lastRenderedPageBreak/>
        <w:t xml:space="preserve">peace agreements with </w:t>
      </w:r>
      <w:r w:rsidR="00E96A37" w:rsidRPr="00D276C9">
        <w:rPr>
          <w:rFonts w:cs="Times New Roman"/>
        </w:rPr>
        <w:t xml:space="preserve">no or low levels of </w:t>
      </w:r>
      <w:r w:rsidRPr="00D276C9">
        <w:rPr>
          <w:rFonts w:cs="Times New Roman"/>
        </w:rPr>
        <w:t>territorial</w:t>
      </w:r>
      <w:r>
        <w:rPr>
          <w:rFonts w:cs="Times New Roman"/>
        </w:rPr>
        <w:t xml:space="preserve"> autonomy do include human rights provisions, such as in Northern Ireland and Macedonia, others do not.</w:t>
      </w:r>
      <w:r w:rsidR="00D276C9">
        <w:rPr>
          <w:rStyle w:val="FootnoteReference"/>
          <w:rFonts w:cs="Times New Roman"/>
        </w:rPr>
        <w:footnoteReference w:id="89"/>
      </w:r>
      <w:r>
        <w:rPr>
          <w:rFonts w:cs="Times New Roman"/>
        </w:rPr>
        <w:t xml:space="preserve">  For example, the agreements for Bodoland and the Chittagong Hills Tract offer only limited autonomy but include neither overarching rights nor human rights institutions.  Other variables, in particular rebel strength, would appear to be of importance. The </w:t>
      </w:r>
      <w:r w:rsidRPr="00C1339C">
        <w:rPr>
          <w:rFonts w:cs="Times New Roman"/>
        </w:rPr>
        <w:t xml:space="preserve">central government </w:t>
      </w:r>
      <w:r>
        <w:rPr>
          <w:rFonts w:cs="Times New Roman"/>
        </w:rPr>
        <w:t xml:space="preserve">will often be </w:t>
      </w:r>
      <w:r w:rsidRPr="00C1339C">
        <w:rPr>
          <w:rFonts w:cs="Times New Roman"/>
        </w:rPr>
        <w:t xml:space="preserve">reluctant to concede to </w:t>
      </w:r>
      <w:r>
        <w:rPr>
          <w:rFonts w:cs="Times New Roman"/>
        </w:rPr>
        <w:t xml:space="preserve">human rights reforms and the rebels may lack the bargaining power to insist on it. Limited autonomy or its complete absence is </w:t>
      </w:r>
      <w:r w:rsidRPr="00C1339C">
        <w:rPr>
          <w:rFonts w:cs="Times New Roman"/>
        </w:rPr>
        <w:t xml:space="preserve">itself often the result of </w:t>
      </w:r>
      <w:r>
        <w:rPr>
          <w:rFonts w:cs="Times New Roman"/>
        </w:rPr>
        <w:t xml:space="preserve">a </w:t>
      </w:r>
      <w:r w:rsidRPr="00C1339C">
        <w:rPr>
          <w:rFonts w:cs="Times New Roman"/>
        </w:rPr>
        <w:t xml:space="preserve">weak bargaining </w:t>
      </w:r>
      <w:r>
        <w:rPr>
          <w:rFonts w:cs="Times New Roman"/>
        </w:rPr>
        <w:t>position. The significance of relative capacity will be discussed below.</w:t>
      </w:r>
    </w:p>
    <w:p w14:paraId="2CB91A9C" w14:textId="77777777" w:rsidR="00F050B0" w:rsidRDefault="00F050B0" w:rsidP="00F050B0">
      <w:pPr>
        <w:autoSpaceDE w:val="0"/>
        <w:autoSpaceDN w:val="0"/>
        <w:adjustRightInd w:val="0"/>
        <w:spacing w:after="0" w:line="480" w:lineRule="auto"/>
        <w:rPr>
          <w:rFonts w:cs="Times New Roman"/>
        </w:rPr>
      </w:pPr>
    </w:p>
    <w:p w14:paraId="2AAFFEF6" w14:textId="31F55B37" w:rsidR="00F050B0" w:rsidRDefault="00F050B0" w:rsidP="00F050B0">
      <w:pPr>
        <w:autoSpaceDE w:val="0"/>
        <w:autoSpaceDN w:val="0"/>
        <w:adjustRightInd w:val="0"/>
        <w:spacing w:after="0" w:line="480" w:lineRule="auto"/>
        <w:rPr>
          <w:rFonts w:cs="Times New Roman"/>
        </w:rPr>
      </w:pPr>
      <w:r>
        <w:rPr>
          <w:rFonts w:cs="Times New Roman"/>
        </w:rPr>
        <w:t>At the other end of the autonomy spectrum, we find a clearer pattern. All settlements with high levels of autonomy also include human rights provisions (both overarching rights and institutions). This may seem surprising given the overall findings regarding the effects of territorial autonomy on human rights provisions. However, the demand for human rights provisions is in this context likely to come from the centre. Extensive autonomy often raises concerns over secessionist pressures and the future dismantling of the state.</w:t>
      </w:r>
      <w:r>
        <w:rPr>
          <w:rStyle w:val="FootnoteReference"/>
          <w:rFonts w:cs="Times New Roman"/>
        </w:rPr>
        <w:footnoteReference w:id="90"/>
      </w:r>
      <w:r>
        <w:rPr>
          <w:rFonts w:cs="Times New Roman"/>
        </w:rPr>
        <w:t xml:space="preserve"> Human rights provisions can in this context act as </w:t>
      </w:r>
      <w:r w:rsidRPr="00C1339C">
        <w:rPr>
          <w:rFonts w:cs="Times New Roman"/>
        </w:rPr>
        <w:t xml:space="preserve">a counterweight to the </w:t>
      </w:r>
      <w:r>
        <w:rPr>
          <w:rFonts w:cs="Times New Roman"/>
        </w:rPr>
        <w:t xml:space="preserve">settlement’s </w:t>
      </w:r>
      <w:r w:rsidRPr="00C1339C">
        <w:rPr>
          <w:rFonts w:cs="Times New Roman"/>
        </w:rPr>
        <w:t>centrifugal d</w:t>
      </w:r>
      <w:r>
        <w:rPr>
          <w:rFonts w:cs="Times New Roman"/>
        </w:rPr>
        <w:t xml:space="preserve">ynamics. The agreements for </w:t>
      </w:r>
      <w:r w:rsidRPr="00C1339C">
        <w:rPr>
          <w:rFonts w:cs="Times New Roman"/>
        </w:rPr>
        <w:t xml:space="preserve">Bougainville </w:t>
      </w:r>
      <w:r>
        <w:rPr>
          <w:rFonts w:cs="Times New Roman"/>
        </w:rPr>
        <w:t xml:space="preserve">(Papua New Guinea) </w:t>
      </w:r>
      <w:r w:rsidRPr="00C1339C">
        <w:rPr>
          <w:rFonts w:cs="Times New Roman"/>
        </w:rPr>
        <w:t xml:space="preserve">and Sudan </w:t>
      </w:r>
      <w:r>
        <w:rPr>
          <w:rFonts w:cs="Times New Roman"/>
        </w:rPr>
        <w:t>both promis</w:t>
      </w:r>
      <w:r w:rsidRPr="00C1339C">
        <w:rPr>
          <w:rFonts w:cs="Times New Roman"/>
        </w:rPr>
        <w:t>e the holding of an independence referendum following a period of autonomy</w:t>
      </w:r>
      <w:r>
        <w:rPr>
          <w:rFonts w:cs="Times New Roman"/>
        </w:rPr>
        <w:t>,</w:t>
      </w:r>
      <w:r>
        <w:rPr>
          <w:rStyle w:val="FootnoteReference"/>
          <w:rFonts w:cs="Times New Roman"/>
        </w:rPr>
        <w:footnoteReference w:id="91"/>
      </w:r>
      <w:r>
        <w:rPr>
          <w:rFonts w:cs="Times New Roman"/>
        </w:rPr>
        <w:t xml:space="preserve"> </w:t>
      </w:r>
      <w:r w:rsidRPr="00C1339C">
        <w:rPr>
          <w:rFonts w:cs="Times New Roman"/>
        </w:rPr>
        <w:t>and the central government therefore has an incentive to</w:t>
      </w:r>
      <w:r>
        <w:rPr>
          <w:rFonts w:cs="Times New Roman"/>
        </w:rPr>
        <w:t xml:space="preserve"> emphasize integrative measures</w:t>
      </w:r>
      <w:r w:rsidRPr="00C1339C">
        <w:rPr>
          <w:rFonts w:cs="Times New Roman"/>
        </w:rPr>
        <w:t>. This helps explain the human rights institutions found in these agreements. Similarly, in the case of Bosnia, the aim of the hu</w:t>
      </w:r>
      <w:r>
        <w:rPr>
          <w:rFonts w:cs="Times New Roman"/>
        </w:rPr>
        <w:t>man rights institutions was to ‘</w:t>
      </w:r>
      <w:r w:rsidRPr="00C1339C">
        <w:rPr>
          <w:rFonts w:cs="Times New Roman"/>
        </w:rPr>
        <w:t>claw back the unitary state from the separate entities</w:t>
      </w:r>
      <w:r>
        <w:rPr>
          <w:rFonts w:cs="Times New Roman"/>
        </w:rPr>
        <w:t xml:space="preserve">’: </w:t>
      </w:r>
      <w:r>
        <w:rPr>
          <w:rFonts w:cs="Times New Roman"/>
        </w:rPr>
        <w:lastRenderedPageBreak/>
        <w:t>human rights protections were the price to be paid for ethnically-defined mini-states.</w:t>
      </w:r>
      <w:r>
        <w:rPr>
          <w:rStyle w:val="FootnoteReference"/>
          <w:rFonts w:cs="Times New Roman"/>
        </w:rPr>
        <w:footnoteReference w:id="92"/>
      </w:r>
      <w:r>
        <w:rPr>
          <w:rFonts w:cs="Times New Roman"/>
        </w:rPr>
        <w:t xml:space="preserve"> Extensive autonomy could also lead to fears that minorities in the autonomous region will be discriminated against and therefore lead to pressure from the centre for human rights protections. Significant international involvement was moreover an important factor in these conflicts which were all either highly protracted and/or violent. This again points to the interaction of several variables.  </w:t>
      </w:r>
    </w:p>
    <w:p w14:paraId="257286EF" w14:textId="77777777" w:rsidR="00F050B0" w:rsidRDefault="00F050B0" w:rsidP="00EA75A0">
      <w:pPr>
        <w:autoSpaceDE w:val="0"/>
        <w:autoSpaceDN w:val="0"/>
        <w:adjustRightInd w:val="0"/>
        <w:spacing w:after="0" w:line="480" w:lineRule="auto"/>
        <w:rPr>
          <w:rFonts w:cs="Times New Roman"/>
        </w:rPr>
      </w:pPr>
    </w:p>
    <w:p w14:paraId="340E049D" w14:textId="73146EC7" w:rsidR="00F050B0" w:rsidRDefault="00F050B0">
      <w:pPr>
        <w:rPr>
          <w:rFonts w:cs="Times New Roman"/>
        </w:rPr>
      </w:pPr>
      <w:r>
        <w:rPr>
          <w:rFonts w:cs="Times New Roman"/>
        </w:rPr>
        <w:br w:type="page"/>
      </w:r>
    </w:p>
    <w:p w14:paraId="7886CBA3" w14:textId="77777777" w:rsidR="00F050B0" w:rsidRPr="007E4F46" w:rsidRDefault="00F050B0" w:rsidP="00F050B0">
      <w:pPr>
        <w:autoSpaceDE w:val="0"/>
        <w:autoSpaceDN w:val="0"/>
        <w:adjustRightInd w:val="0"/>
        <w:spacing w:after="0" w:line="480" w:lineRule="auto"/>
        <w:rPr>
          <w:b/>
        </w:rPr>
      </w:pPr>
      <w:r>
        <w:rPr>
          <w:b/>
        </w:rPr>
        <w:lastRenderedPageBreak/>
        <w:t xml:space="preserve">Table III. </w:t>
      </w:r>
      <w:r w:rsidRPr="007E4F46">
        <w:rPr>
          <w:b/>
        </w:rPr>
        <w:t xml:space="preserve">Human Rights in Territorial Peace Agreements: </w:t>
      </w:r>
      <w:r>
        <w:rPr>
          <w:b/>
        </w:rPr>
        <w:t xml:space="preserve">Context Variables </w:t>
      </w:r>
    </w:p>
    <w:tbl>
      <w:tblPr>
        <w:tblStyle w:val="TableGrid"/>
        <w:tblpPr w:leftFromText="180" w:rightFromText="180" w:vertAnchor="text" w:tblpX="-10" w:tblpY="1"/>
        <w:tblOverlap w:val="never"/>
        <w:tblW w:w="0" w:type="auto"/>
        <w:tblLayout w:type="fixed"/>
        <w:tblLook w:val="04A0" w:firstRow="1" w:lastRow="0" w:firstColumn="1" w:lastColumn="0" w:noHBand="0" w:noVBand="1"/>
      </w:tblPr>
      <w:tblGrid>
        <w:gridCol w:w="1980"/>
        <w:gridCol w:w="709"/>
        <w:gridCol w:w="708"/>
        <w:gridCol w:w="993"/>
        <w:gridCol w:w="1417"/>
        <w:gridCol w:w="709"/>
        <w:gridCol w:w="567"/>
        <w:gridCol w:w="709"/>
        <w:gridCol w:w="667"/>
      </w:tblGrid>
      <w:tr w:rsidR="00F050B0" w14:paraId="6D6B4487" w14:textId="77777777" w:rsidTr="009E2D0D">
        <w:trPr>
          <w:cantSplit/>
          <w:trHeight w:val="2684"/>
        </w:trPr>
        <w:tc>
          <w:tcPr>
            <w:tcW w:w="1980" w:type="dxa"/>
            <w:vAlign w:val="bottom"/>
          </w:tcPr>
          <w:p w14:paraId="663F1710" w14:textId="77777777" w:rsidR="00F050B0" w:rsidRPr="00C0514F" w:rsidRDefault="00F050B0" w:rsidP="009E2D0D">
            <w:pPr>
              <w:autoSpaceDE w:val="0"/>
              <w:autoSpaceDN w:val="0"/>
              <w:adjustRightInd w:val="0"/>
              <w:spacing w:line="480" w:lineRule="auto"/>
              <w:rPr>
                <w:b/>
                <w:sz w:val="20"/>
                <w:szCs w:val="20"/>
              </w:rPr>
            </w:pPr>
            <w:r w:rsidRPr="00C0514F">
              <w:rPr>
                <w:b/>
                <w:sz w:val="20"/>
                <w:szCs w:val="20"/>
              </w:rPr>
              <w:t>Case</w:t>
            </w:r>
          </w:p>
        </w:tc>
        <w:tc>
          <w:tcPr>
            <w:tcW w:w="709" w:type="dxa"/>
            <w:textDirection w:val="btLr"/>
            <w:vAlign w:val="center"/>
          </w:tcPr>
          <w:p w14:paraId="1D649B8E" w14:textId="77777777" w:rsidR="00F050B0" w:rsidRPr="0085047D" w:rsidRDefault="00F050B0" w:rsidP="009E2D0D">
            <w:pPr>
              <w:autoSpaceDE w:val="0"/>
              <w:autoSpaceDN w:val="0"/>
              <w:adjustRightInd w:val="0"/>
              <w:spacing w:line="480" w:lineRule="auto"/>
              <w:ind w:left="113" w:right="113"/>
              <w:rPr>
                <w:sz w:val="20"/>
                <w:szCs w:val="20"/>
              </w:rPr>
            </w:pPr>
            <w:r w:rsidRPr="0085047D">
              <w:rPr>
                <w:sz w:val="20"/>
                <w:szCs w:val="20"/>
              </w:rPr>
              <w:t>Overarching rights</w:t>
            </w:r>
          </w:p>
        </w:tc>
        <w:tc>
          <w:tcPr>
            <w:tcW w:w="708" w:type="dxa"/>
            <w:textDirection w:val="btLr"/>
            <w:vAlign w:val="center"/>
          </w:tcPr>
          <w:p w14:paraId="37B048CA" w14:textId="77777777" w:rsidR="00F050B0" w:rsidRPr="0085047D" w:rsidRDefault="00F050B0" w:rsidP="009E2D0D">
            <w:pPr>
              <w:autoSpaceDE w:val="0"/>
              <w:autoSpaceDN w:val="0"/>
              <w:adjustRightInd w:val="0"/>
              <w:spacing w:line="480" w:lineRule="auto"/>
              <w:ind w:left="113" w:right="113"/>
              <w:rPr>
                <w:sz w:val="20"/>
                <w:szCs w:val="20"/>
              </w:rPr>
            </w:pPr>
            <w:r w:rsidRPr="0085047D">
              <w:rPr>
                <w:sz w:val="20"/>
                <w:szCs w:val="20"/>
              </w:rPr>
              <w:t>Human rights institutions</w:t>
            </w:r>
          </w:p>
        </w:tc>
        <w:tc>
          <w:tcPr>
            <w:tcW w:w="993" w:type="dxa"/>
            <w:textDirection w:val="btLr"/>
            <w:vAlign w:val="center"/>
          </w:tcPr>
          <w:p w14:paraId="00E53BB0" w14:textId="77777777" w:rsidR="00F050B0" w:rsidRPr="0085047D" w:rsidRDefault="00F050B0" w:rsidP="009E2D0D">
            <w:pPr>
              <w:autoSpaceDE w:val="0"/>
              <w:autoSpaceDN w:val="0"/>
              <w:adjustRightInd w:val="0"/>
              <w:spacing w:line="480" w:lineRule="auto"/>
              <w:ind w:left="113" w:right="113"/>
              <w:rPr>
                <w:sz w:val="20"/>
                <w:szCs w:val="20"/>
              </w:rPr>
            </w:pPr>
            <w:r w:rsidRPr="0085047D">
              <w:rPr>
                <w:sz w:val="20"/>
                <w:szCs w:val="20"/>
              </w:rPr>
              <w:t xml:space="preserve">Level of </w:t>
            </w:r>
            <w:r>
              <w:rPr>
                <w:sz w:val="20"/>
                <w:szCs w:val="20"/>
              </w:rPr>
              <w:t xml:space="preserve">Territorial </w:t>
            </w:r>
            <w:r w:rsidRPr="0085047D">
              <w:rPr>
                <w:sz w:val="20"/>
                <w:szCs w:val="20"/>
              </w:rPr>
              <w:t>Autonomy</w:t>
            </w:r>
            <w:r w:rsidRPr="001C2356">
              <w:rPr>
                <w:sz w:val="20"/>
                <w:szCs w:val="20"/>
                <w:vertAlign w:val="superscript"/>
              </w:rPr>
              <w:t>1</w:t>
            </w:r>
          </w:p>
        </w:tc>
        <w:tc>
          <w:tcPr>
            <w:tcW w:w="1417" w:type="dxa"/>
            <w:textDirection w:val="btLr"/>
            <w:vAlign w:val="center"/>
          </w:tcPr>
          <w:p w14:paraId="752F7B4B" w14:textId="77777777" w:rsidR="00F050B0" w:rsidRPr="0085047D" w:rsidRDefault="00F050B0" w:rsidP="009E2D0D">
            <w:pPr>
              <w:autoSpaceDE w:val="0"/>
              <w:autoSpaceDN w:val="0"/>
              <w:adjustRightInd w:val="0"/>
              <w:spacing w:line="480" w:lineRule="auto"/>
              <w:ind w:left="113" w:right="113"/>
              <w:rPr>
                <w:sz w:val="20"/>
                <w:szCs w:val="20"/>
              </w:rPr>
            </w:pPr>
            <w:r w:rsidRPr="0085047D">
              <w:rPr>
                <w:sz w:val="20"/>
                <w:szCs w:val="20"/>
              </w:rPr>
              <w:t xml:space="preserve">Rebel </w:t>
            </w:r>
            <w:r>
              <w:rPr>
                <w:sz w:val="20"/>
                <w:szCs w:val="20"/>
              </w:rPr>
              <w:t>military strength</w:t>
            </w:r>
            <w:r w:rsidRPr="007060C7">
              <w:rPr>
                <w:sz w:val="20"/>
                <w:szCs w:val="20"/>
                <w:vertAlign w:val="superscript"/>
              </w:rPr>
              <w:t>2</w:t>
            </w:r>
            <w:r w:rsidRPr="0085047D">
              <w:rPr>
                <w:sz w:val="20"/>
                <w:szCs w:val="20"/>
              </w:rPr>
              <w:t xml:space="preserve"> </w:t>
            </w:r>
          </w:p>
        </w:tc>
        <w:tc>
          <w:tcPr>
            <w:tcW w:w="709" w:type="dxa"/>
            <w:textDirection w:val="btLr"/>
            <w:vAlign w:val="center"/>
          </w:tcPr>
          <w:p w14:paraId="3999DA78" w14:textId="77777777" w:rsidR="00F050B0" w:rsidRPr="0085047D" w:rsidRDefault="00F050B0" w:rsidP="009E2D0D">
            <w:pPr>
              <w:autoSpaceDE w:val="0"/>
              <w:autoSpaceDN w:val="0"/>
              <w:adjustRightInd w:val="0"/>
              <w:spacing w:line="480" w:lineRule="auto"/>
              <w:ind w:left="113" w:right="113"/>
              <w:rPr>
                <w:sz w:val="20"/>
                <w:szCs w:val="20"/>
              </w:rPr>
            </w:pPr>
            <w:r w:rsidRPr="0085047D">
              <w:rPr>
                <w:sz w:val="20"/>
                <w:szCs w:val="20"/>
              </w:rPr>
              <w:t>Rebel territorial control</w:t>
            </w:r>
            <w:r w:rsidRPr="007060C7">
              <w:rPr>
                <w:sz w:val="20"/>
                <w:szCs w:val="20"/>
                <w:vertAlign w:val="superscript"/>
              </w:rPr>
              <w:t>3</w:t>
            </w:r>
          </w:p>
        </w:tc>
        <w:tc>
          <w:tcPr>
            <w:tcW w:w="567" w:type="dxa"/>
            <w:textDirection w:val="btLr"/>
            <w:vAlign w:val="center"/>
          </w:tcPr>
          <w:p w14:paraId="5E5EF41A" w14:textId="77777777" w:rsidR="00F050B0" w:rsidRPr="0085047D" w:rsidRDefault="00F050B0" w:rsidP="009E2D0D">
            <w:pPr>
              <w:autoSpaceDE w:val="0"/>
              <w:autoSpaceDN w:val="0"/>
              <w:adjustRightInd w:val="0"/>
              <w:spacing w:line="480" w:lineRule="auto"/>
              <w:ind w:left="113" w:right="113"/>
              <w:rPr>
                <w:sz w:val="20"/>
                <w:szCs w:val="20"/>
              </w:rPr>
            </w:pPr>
            <w:r w:rsidRPr="0085047D">
              <w:rPr>
                <w:sz w:val="20"/>
                <w:szCs w:val="20"/>
              </w:rPr>
              <w:t>International mediators</w:t>
            </w:r>
            <w:r w:rsidRPr="0016371D">
              <w:rPr>
                <w:sz w:val="20"/>
                <w:szCs w:val="20"/>
                <w:vertAlign w:val="superscript"/>
              </w:rPr>
              <w:t>4</w:t>
            </w:r>
          </w:p>
        </w:tc>
        <w:tc>
          <w:tcPr>
            <w:tcW w:w="709" w:type="dxa"/>
            <w:textDirection w:val="btLr"/>
            <w:vAlign w:val="center"/>
          </w:tcPr>
          <w:p w14:paraId="7BC7605C" w14:textId="77777777" w:rsidR="00F050B0" w:rsidRPr="0085047D" w:rsidRDefault="00F050B0" w:rsidP="009E2D0D">
            <w:pPr>
              <w:autoSpaceDE w:val="0"/>
              <w:autoSpaceDN w:val="0"/>
              <w:adjustRightInd w:val="0"/>
              <w:spacing w:line="480" w:lineRule="auto"/>
              <w:ind w:left="113" w:right="113"/>
              <w:rPr>
                <w:sz w:val="20"/>
                <w:szCs w:val="20"/>
              </w:rPr>
            </w:pPr>
            <w:r w:rsidRPr="0085047D">
              <w:rPr>
                <w:sz w:val="20"/>
                <w:szCs w:val="20"/>
              </w:rPr>
              <w:t>International mission</w:t>
            </w:r>
            <w:r w:rsidRPr="0016371D">
              <w:rPr>
                <w:sz w:val="20"/>
                <w:szCs w:val="20"/>
                <w:vertAlign w:val="superscript"/>
              </w:rPr>
              <w:t>5</w:t>
            </w:r>
          </w:p>
        </w:tc>
        <w:tc>
          <w:tcPr>
            <w:tcW w:w="667" w:type="dxa"/>
            <w:textDirection w:val="btLr"/>
          </w:tcPr>
          <w:p w14:paraId="2AC89E3D" w14:textId="77777777" w:rsidR="00F050B0" w:rsidRPr="0085047D" w:rsidRDefault="00F050B0" w:rsidP="009E2D0D">
            <w:pPr>
              <w:autoSpaceDE w:val="0"/>
              <w:autoSpaceDN w:val="0"/>
              <w:adjustRightInd w:val="0"/>
              <w:spacing w:line="480" w:lineRule="auto"/>
              <w:ind w:left="113" w:right="113"/>
              <w:rPr>
                <w:sz w:val="20"/>
                <w:szCs w:val="20"/>
              </w:rPr>
            </w:pPr>
            <w:r>
              <w:rPr>
                <w:sz w:val="20"/>
                <w:szCs w:val="20"/>
              </w:rPr>
              <w:t>Regime type</w:t>
            </w:r>
            <w:r w:rsidRPr="0016371D">
              <w:rPr>
                <w:sz w:val="20"/>
                <w:szCs w:val="20"/>
                <w:vertAlign w:val="superscript"/>
              </w:rPr>
              <w:t>6</w:t>
            </w:r>
          </w:p>
        </w:tc>
      </w:tr>
      <w:tr w:rsidR="00F050B0" w:rsidRPr="00C0514F" w14:paraId="6E1713DA" w14:textId="77777777" w:rsidTr="009E2D0D">
        <w:trPr>
          <w:trHeight w:hRule="exact" w:val="567"/>
        </w:trPr>
        <w:tc>
          <w:tcPr>
            <w:tcW w:w="1980" w:type="dxa"/>
          </w:tcPr>
          <w:p w14:paraId="4730DBFD"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Bosnia </w:t>
            </w:r>
          </w:p>
        </w:tc>
        <w:tc>
          <w:tcPr>
            <w:tcW w:w="709" w:type="dxa"/>
          </w:tcPr>
          <w:p w14:paraId="387456F2"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8" w:type="dxa"/>
          </w:tcPr>
          <w:p w14:paraId="62385A2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993" w:type="dxa"/>
          </w:tcPr>
          <w:p w14:paraId="26E86F81"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High </w:t>
            </w:r>
          </w:p>
        </w:tc>
        <w:tc>
          <w:tcPr>
            <w:tcW w:w="1417" w:type="dxa"/>
          </w:tcPr>
          <w:p w14:paraId="3E0A64B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Parity</w:t>
            </w:r>
          </w:p>
        </w:tc>
        <w:tc>
          <w:tcPr>
            <w:tcW w:w="709" w:type="dxa"/>
          </w:tcPr>
          <w:p w14:paraId="2FC63A1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567" w:type="dxa"/>
          </w:tcPr>
          <w:p w14:paraId="62B03383"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1CB525A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6C720AD9"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NF </w:t>
            </w:r>
          </w:p>
        </w:tc>
      </w:tr>
      <w:tr w:rsidR="00F050B0" w:rsidRPr="00C0514F" w14:paraId="2367893B" w14:textId="77777777" w:rsidTr="009E2D0D">
        <w:trPr>
          <w:trHeight w:hRule="exact" w:val="567"/>
        </w:trPr>
        <w:tc>
          <w:tcPr>
            <w:tcW w:w="1980" w:type="dxa"/>
          </w:tcPr>
          <w:p w14:paraId="06617721"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East Timor </w:t>
            </w:r>
          </w:p>
        </w:tc>
        <w:tc>
          <w:tcPr>
            <w:tcW w:w="709" w:type="dxa"/>
          </w:tcPr>
          <w:p w14:paraId="6423D3E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8" w:type="dxa"/>
          </w:tcPr>
          <w:p w14:paraId="4D841CA1"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604B27A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High</w:t>
            </w:r>
          </w:p>
        </w:tc>
        <w:tc>
          <w:tcPr>
            <w:tcW w:w="1417" w:type="dxa"/>
          </w:tcPr>
          <w:p w14:paraId="3E3DF3D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Much weaker </w:t>
            </w:r>
          </w:p>
        </w:tc>
        <w:tc>
          <w:tcPr>
            <w:tcW w:w="709" w:type="dxa"/>
          </w:tcPr>
          <w:p w14:paraId="69C11ADB"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30303EE4"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45E989EB"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2B5CD51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PF</w:t>
            </w:r>
          </w:p>
        </w:tc>
      </w:tr>
      <w:tr w:rsidR="00F050B0" w:rsidRPr="00C0514F" w14:paraId="2DF7CAB6" w14:textId="77777777" w:rsidTr="009E2D0D">
        <w:trPr>
          <w:trHeight w:hRule="exact" w:val="567"/>
        </w:trPr>
        <w:tc>
          <w:tcPr>
            <w:tcW w:w="1980" w:type="dxa"/>
          </w:tcPr>
          <w:p w14:paraId="560866E9"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Aceh </w:t>
            </w:r>
          </w:p>
        </w:tc>
        <w:tc>
          <w:tcPr>
            <w:tcW w:w="709" w:type="dxa"/>
          </w:tcPr>
          <w:p w14:paraId="1B60E79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8" w:type="dxa"/>
          </w:tcPr>
          <w:p w14:paraId="6FA24C3F"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993" w:type="dxa"/>
          </w:tcPr>
          <w:p w14:paraId="4054016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High </w:t>
            </w:r>
          </w:p>
        </w:tc>
        <w:tc>
          <w:tcPr>
            <w:tcW w:w="1417" w:type="dxa"/>
          </w:tcPr>
          <w:p w14:paraId="71C6914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69C027D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567" w:type="dxa"/>
          </w:tcPr>
          <w:p w14:paraId="0BC5FF7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45E611DB"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2647DD0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PF</w:t>
            </w:r>
          </w:p>
        </w:tc>
      </w:tr>
      <w:tr w:rsidR="00F050B0" w:rsidRPr="00C0514F" w14:paraId="77FB7DC3" w14:textId="77777777" w:rsidTr="009E2D0D">
        <w:trPr>
          <w:trHeight w:hRule="exact" w:val="567"/>
        </w:trPr>
        <w:tc>
          <w:tcPr>
            <w:tcW w:w="1980" w:type="dxa"/>
          </w:tcPr>
          <w:p w14:paraId="1628682F"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Bougainville </w:t>
            </w:r>
          </w:p>
        </w:tc>
        <w:tc>
          <w:tcPr>
            <w:tcW w:w="709" w:type="dxa"/>
          </w:tcPr>
          <w:p w14:paraId="2731922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8" w:type="dxa"/>
          </w:tcPr>
          <w:p w14:paraId="33C12CD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993" w:type="dxa"/>
          </w:tcPr>
          <w:p w14:paraId="14E267A3"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High </w:t>
            </w:r>
          </w:p>
        </w:tc>
        <w:tc>
          <w:tcPr>
            <w:tcW w:w="1417" w:type="dxa"/>
          </w:tcPr>
          <w:p w14:paraId="4CAE93C8"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Parity</w:t>
            </w:r>
          </w:p>
        </w:tc>
        <w:tc>
          <w:tcPr>
            <w:tcW w:w="709" w:type="dxa"/>
          </w:tcPr>
          <w:p w14:paraId="60684901"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567" w:type="dxa"/>
          </w:tcPr>
          <w:p w14:paraId="1BC5940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05CD13F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27836D0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F </w:t>
            </w:r>
          </w:p>
        </w:tc>
      </w:tr>
      <w:tr w:rsidR="00F050B0" w:rsidRPr="00C0514F" w14:paraId="699C5833" w14:textId="77777777" w:rsidTr="009E2D0D">
        <w:trPr>
          <w:trHeight w:hRule="exact" w:val="567"/>
        </w:trPr>
        <w:tc>
          <w:tcPr>
            <w:tcW w:w="1980" w:type="dxa"/>
          </w:tcPr>
          <w:p w14:paraId="06148D37"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 Sudan </w:t>
            </w:r>
          </w:p>
        </w:tc>
        <w:tc>
          <w:tcPr>
            <w:tcW w:w="709" w:type="dxa"/>
          </w:tcPr>
          <w:p w14:paraId="5D7A35B2"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8" w:type="dxa"/>
          </w:tcPr>
          <w:p w14:paraId="346AC8C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993" w:type="dxa"/>
          </w:tcPr>
          <w:p w14:paraId="7FA54F5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High</w:t>
            </w:r>
          </w:p>
        </w:tc>
        <w:tc>
          <w:tcPr>
            <w:tcW w:w="1417" w:type="dxa"/>
          </w:tcPr>
          <w:p w14:paraId="03E1764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7B843CB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567" w:type="dxa"/>
          </w:tcPr>
          <w:p w14:paraId="1B1A2308"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54BEA8C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315D769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NF</w:t>
            </w:r>
          </w:p>
        </w:tc>
      </w:tr>
      <w:tr w:rsidR="00F050B0" w:rsidRPr="00C0514F" w14:paraId="2A5CB919" w14:textId="77777777" w:rsidTr="009E2D0D">
        <w:trPr>
          <w:trHeight w:hRule="exact" w:val="567"/>
        </w:trPr>
        <w:tc>
          <w:tcPr>
            <w:tcW w:w="1980" w:type="dxa"/>
          </w:tcPr>
          <w:p w14:paraId="2DF07D56"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Macedonia </w:t>
            </w:r>
          </w:p>
        </w:tc>
        <w:tc>
          <w:tcPr>
            <w:tcW w:w="709" w:type="dxa"/>
          </w:tcPr>
          <w:p w14:paraId="7E0519C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8" w:type="dxa"/>
          </w:tcPr>
          <w:p w14:paraId="24BB5A83"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993" w:type="dxa"/>
          </w:tcPr>
          <w:p w14:paraId="428C1E72" w14:textId="77777777" w:rsidR="00F050B0" w:rsidRPr="0093567D" w:rsidRDefault="00F050B0" w:rsidP="009E2D0D">
            <w:pPr>
              <w:autoSpaceDE w:val="0"/>
              <w:autoSpaceDN w:val="0"/>
              <w:adjustRightInd w:val="0"/>
              <w:spacing w:line="480" w:lineRule="auto"/>
              <w:rPr>
                <w:rFonts w:cstheme="minorHAnsi"/>
                <w:sz w:val="20"/>
                <w:szCs w:val="20"/>
              </w:rPr>
            </w:pPr>
            <w:r>
              <w:rPr>
                <w:rFonts w:cstheme="minorHAnsi"/>
                <w:sz w:val="20"/>
                <w:szCs w:val="20"/>
              </w:rPr>
              <w:t>No</w:t>
            </w:r>
            <w:r w:rsidRPr="0093567D">
              <w:rPr>
                <w:rFonts w:cstheme="minorHAnsi"/>
                <w:sz w:val="20"/>
                <w:szCs w:val="20"/>
              </w:rPr>
              <w:t xml:space="preserve"> </w:t>
            </w:r>
          </w:p>
        </w:tc>
        <w:tc>
          <w:tcPr>
            <w:tcW w:w="1417" w:type="dxa"/>
          </w:tcPr>
          <w:p w14:paraId="1478C08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Much weaker</w:t>
            </w:r>
          </w:p>
        </w:tc>
        <w:tc>
          <w:tcPr>
            <w:tcW w:w="709" w:type="dxa"/>
          </w:tcPr>
          <w:p w14:paraId="777DB41B"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2C736632"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622465B4"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295E868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PF</w:t>
            </w:r>
          </w:p>
        </w:tc>
      </w:tr>
      <w:tr w:rsidR="00F050B0" w:rsidRPr="00C0514F" w14:paraId="478B39B7" w14:textId="77777777" w:rsidTr="009E2D0D">
        <w:trPr>
          <w:trHeight w:hRule="exact" w:val="567"/>
        </w:trPr>
        <w:tc>
          <w:tcPr>
            <w:tcW w:w="1980" w:type="dxa"/>
          </w:tcPr>
          <w:p w14:paraId="4235C0CF"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Northern Ireland</w:t>
            </w:r>
          </w:p>
        </w:tc>
        <w:tc>
          <w:tcPr>
            <w:tcW w:w="709" w:type="dxa"/>
          </w:tcPr>
          <w:p w14:paraId="23329F0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8" w:type="dxa"/>
          </w:tcPr>
          <w:p w14:paraId="680C144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993" w:type="dxa"/>
          </w:tcPr>
          <w:p w14:paraId="3273CDB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No </w:t>
            </w:r>
          </w:p>
        </w:tc>
        <w:tc>
          <w:tcPr>
            <w:tcW w:w="1417" w:type="dxa"/>
          </w:tcPr>
          <w:p w14:paraId="1FA826C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Much weaker </w:t>
            </w:r>
          </w:p>
        </w:tc>
        <w:tc>
          <w:tcPr>
            <w:tcW w:w="709" w:type="dxa"/>
          </w:tcPr>
          <w:p w14:paraId="10E52BD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42D08943"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552EB039"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7B2B4F39"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F</w:t>
            </w:r>
          </w:p>
        </w:tc>
      </w:tr>
      <w:tr w:rsidR="00F050B0" w:rsidRPr="00C0514F" w14:paraId="1A1DC279" w14:textId="77777777" w:rsidTr="009E2D0D">
        <w:trPr>
          <w:trHeight w:hRule="exact" w:val="567"/>
        </w:trPr>
        <w:tc>
          <w:tcPr>
            <w:tcW w:w="1980" w:type="dxa"/>
          </w:tcPr>
          <w:p w14:paraId="4331ECA2"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Senegal </w:t>
            </w:r>
          </w:p>
        </w:tc>
        <w:tc>
          <w:tcPr>
            <w:tcW w:w="709" w:type="dxa"/>
          </w:tcPr>
          <w:p w14:paraId="6D4FE3C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2CE357B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28A7CC89"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1417" w:type="dxa"/>
          </w:tcPr>
          <w:p w14:paraId="485E7631"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6AE9082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567" w:type="dxa"/>
          </w:tcPr>
          <w:p w14:paraId="08EA653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r w:rsidRPr="0093567D">
              <w:rPr>
                <w:rStyle w:val="FootnoteReference"/>
                <w:rFonts w:cstheme="minorHAnsi"/>
                <w:sz w:val="20"/>
                <w:szCs w:val="20"/>
              </w:rPr>
              <w:footnoteReference w:id="93"/>
            </w:r>
          </w:p>
        </w:tc>
        <w:tc>
          <w:tcPr>
            <w:tcW w:w="709" w:type="dxa"/>
          </w:tcPr>
          <w:p w14:paraId="23388BB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667" w:type="dxa"/>
          </w:tcPr>
          <w:p w14:paraId="4B55154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F</w:t>
            </w:r>
          </w:p>
        </w:tc>
      </w:tr>
      <w:tr w:rsidR="00F050B0" w:rsidRPr="00C0514F" w14:paraId="696E6B38" w14:textId="77777777" w:rsidTr="009E2D0D">
        <w:trPr>
          <w:trHeight w:hRule="exact" w:val="567"/>
        </w:trPr>
        <w:tc>
          <w:tcPr>
            <w:tcW w:w="1980" w:type="dxa"/>
          </w:tcPr>
          <w:p w14:paraId="02BA5D99"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Eastern Slavonia Slavonia </w:t>
            </w:r>
          </w:p>
        </w:tc>
        <w:tc>
          <w:tcPr>
            <w:tcW w:w="709" w:type="dxa"/>
          </w:tcPr>
          <w:p w14:paraId="42A56E8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5F8F0B5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0DB3CE19"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1417" w:type="dxa"/>
          </w:tcPr>
          <w:p w14:paraId="45F64A5B"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148F648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567" w:type="dxa"/>
          </w:tcPr>
          <w:p w14:paraId="5C10058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6DB0E342"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667" w:type="dxa"/>
          </w:tcPr>
          <w:p w14:paraId="360B454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PF</w:t>
            </w:r>
          </w:p>
        </w:tc>
      </w:tr>
      <w:tr w:rsidR="00F050B0" w:rsidRPr="00C0514F" w14:paraId="65A6235C" w14:textId="77777777" w:rsidTr="009E2D0D">
        <w:trPr>
          <w:trHeight w:hRule="exact" w:val="567"/>
        </w:trPr>
        <w:tc>
          <w:tcPr>
            <w:tcW w:w="1980" w:type="dxa"/>
          </w:tcPr>
          <w:p w14:paraId="4C1431CA"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Chittagong Hills Tract</w:t>
            </w:r>
          </w:p>
        </w:tc>
        <w:tc>
          <w:tcPr>
            <w:tcW w:w="709" w:type="dxa"/>
          </w:tcPr>
          <w:p w14:paraId="3DC6E22F"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11DFE9B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5615AD4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Low</w:t>
            </w:r>
          </w:p>
        </w:tc>
        <w:tc>
          <w:tcPr>
            <w:tcW w:w="1417" w:type="dxa"/>
          </w:tcPr>
          <w:p w14:paraId="18A5658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1C355CC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46357C5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9" w:type="dxa"/>
          </w:tcPr>
          <w:p w14:paraId="0CEED51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667" w:type="dxa"/>
          </w:tcPr>
          <w:p w14:paraId="4172A163"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PF</w:t>
            </w:r>
          </w:p>
        </w:tc>
      </w:tr>
      <w:tr w:rsidR="00F050B0" w:rsidRPr="00C0514F" w14:paraId="7BD1B9A3" w14:textId="77777777" w:rsidTr="009E2D0D">
        <w:trPr>
          <w:trHeight w:hRule="exact" w:val="567"/>
        </w:trPr>
        <w:tc>
          <w:tcPr>
            <w:tcW w:w="1980" w:type="dxa"/>
          </w:tcPr>
          <w:p w14:paraId="31A77CCE"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Bodoland </w:t>
            </w:r>
          </w:p>
        </w:tc>
        <w:tc>
          <w:tcPr>
            <w:tcW w:w="709" w:type="dxa"/>
          </w:tcPr>
          <w:p w14:paraId="016BB26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1BA79214"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069BC464"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Low</w:t>
            </w:r>
          </w:p>
        </w:tc>
        <w:tc>
          <w:tcPr>
            <w:tcW w:w="1417" w:type="dxa"/>
          </w:tcPr>
          <w:p w14:paraId="20C9D502"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Much weaker</w:t>
            </w:r>
          </w:p>
        </w:tc>
        <w:tc>
          <w:tcPr>
            <w:tcW w:w="709" w:type="dxa"/>
          </w:tcPr>
          <w:p w14:paraId="79FD710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0AE6CE3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9" w:type="dxa"/>
          </w:tcPr>
          <w:p w14:paraId="5381BE9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667" w:type="dxa"/>
          </w:tcPr>
          <w:p w14:paraId="337A747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PF</w:t>
            </w:r>
          </w:p>
        </w:tc>
      </w:tr>
      <w:tr w:rsidR="00F050B0" w:rsidRPr="00C0514F" w14:paraId="0081DBC0" w14:textId="77777777" w:rsidTr="009E2D0D">
        <w:trPr>
          <w:trHeight w:hRule="exact" w:val="567"/>
        </w:trPr>
        <w:tc>
          <w:tcPr>
            <w:tcW w:w="1980" w:type="dxa"/>
          </w:tcPr>
          <w:p w14:paraId="37CB90F6"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sz w:val="20"/>
                <w:szCs w:val="20"/>
              </w:rPr>
              <w:t xml:space="preserve">Niger </w:t>
            </w:r>
          </w:p>
        </w:tc>
        <w:tc>
          <w:tcPr>
            <w:tcW w:w="709" w:type="dxa"/>
          </w:tcPr>
          <w:p w14:paraId="1784F2D4"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6264711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4253D43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 xml:space="preserve">Low </w:t>
            </w:r>
          </w:p>
        </w:tc>
        <w:tc>
          <w:tcPr>
            <w:tcW w:w="1417" w:type="dxa"/>
          </w:tcPr>
          <w:p w14:paraId="2501907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4810AF9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432D768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4228A269"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667" w:type="dxa"/>
          </w:tcPr>
          <w:p w14:paraId="2BEB64A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PF</w:t>
            </w:r>
          </w:p>
        </w:tc>
      </w:tr>
      <w:tr w:rsidR="00F050B0" w:rsidRPr="00C0514F" w14:paraId="1DBACF3A" w14:textId="77777777" w:rsidTr="009E2D0D">
        <w:trPr>
          <w:trHeight w:hRule="exact" w:val="567"/>
        </w:trPr>
        <w:tc>
          <w:tcPr>
            <w:tcW w:w="1980" w:type="dxa"/>
            <w:vAlign w:val="bottom"/>
          </w:tcPr>
          <w:p w14:paraId="10D8103F"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color w:val="000000"/>
                <w:sz w:val="20"/>
                <w:szCs w:val="20"/>
              </w:rPr>
              <w:t xml:space="preserve">Israel/Palestine </w:t>
            </w:r>
          </w:p>
        </w:tc>
        <w:tc>
          <w:tcPr>
            <w:tcW w:w="709" w:type="dxa"/>
          </w:tcPr>
          <w:p w14:paraId="4BF3FCE8"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6A3A223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533F768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Medium</w:t>
            </w:r>
          </w:p>
        </w:tc>
        <w:tc>
          <w:tcPr>
            <w:tcW w:w="1417" w:type="dxa"/>
          </w:tcPr>
          <w:p w14:paraId="44B36ED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Much weaker</w:t>
            </w:r>
          </w:p>
        </w:tc>
        <w:tc>
          <w:tcPr>
            <w:tcW w:w="709" w:type="dxa"/>
          </w:tcPr>
          <w:p w14:paraId="32AF03DF"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7F344179"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12C0B965"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667" w:type="dxa"/>
          </w:tcPr>
          <w:p w14:paraId="069503A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F</w:t>
            </w:r>
          </w:p>
        </w:tc>
      </w:tr>
      <w:tr w:rsidR="00F050B0" w:rsidRPr="00C0514F" w14:paraId="51802DD7" w14:textId="77777777" w:rsidTr="009E2D0D">
        <w:trPr>
          <w:trHeight w:hRule="exact" w:val="567"/>
        </w:trPr>
        <w:tc>
          <w:tcPr>
            <w:tcW w:w="1980" w:type="dxa"/>
          </w:tcPr>
          <w:p w14:paraId="22ACB392"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color w:val="000000"/>
                <w:sz w:val="20"/>
                <w:szCs w:val="20"/>
              </w:rPr>
              <w:t xml:space="preserve"> Mali </w:t>
            </w:r>
          </w:p>
        </w:tc>
        <w:tc>
          <w:tcPr>
            <w:tcW w:w="709" w:type="dxa"/>
          </w:tcPr>
          <w:p w14:paraId="5671B72A"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638C98E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23D2BD2C"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Medium</w:t>
            </w:r>
          </w:p>
        </w:tc>
        <w:tc>
          <w:tcPr>
            <w:tcW w:w="1417" w:type="dxa"/>
          </w:tcPr>
          <w:p w14:paraId="66AFFFFF"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08FCD0A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65DC4EAF"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4FC37121"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667" w:type="dxa"/>
          </w:tcPr>
          <w:p w14:paraId="17D7EBDD"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F</w:t>
            </w:r>
          </w:p>
        </w:tc>
      </w:tr>
      <w:tr w:rsidR="00F050B0" w:rsidRPr="00C0514F" w14:paraId="5F16ABF2" w14:textId="77777777" w:rsidTr="009E2D0D">
        <w:trPr>
          <w:trHeight w:hRule="exact" w:val="567"/>
        </w:trPr>
        <w:tc>
          <w:tcPr>
            <w:tcW w:w="1980" w:type="dxa"/>
            <w:vAlign w:val="bottom"/>
          </w:tcPr>
          <w:p w14:paraId="3D6B5F8E" w14:textId="77777777" w:rsidR="00F050B0" w:rsidRPr="0093567D" w:rsidRDefault="00F050B0" w:rsidP="009E2D0D">
            <w:pPr>
              <w:autoSpaceDE w:val="0"/>
              <w:autoSpaceDN w:val="0"/>
              <w:adjustRightInd w:val="0"/>
              <w:spacing w:line="480" w:lineRule="auto"/>
              <w:rPr>
                <w:rFonts w:cstheme="minorHAnsi"/>
                <w:b/>
                <w:sz w:val="20"/>
                <w:szCs w:val="20"/>
              </w:rPr>
            </w:pPr>
            <w:r w:rsidRPr="0093567D">
              <w:rPr>
                <w:rFonts w:cstheme="minorHAnsi"/>
                <w:b/>
                <w:color w:val="000000"/>
                <w:sz w:val="20"/>
                <w:szCs w:val="20"/>
              </w:rPr>
              <w:t xml:space="preserve">Mindanao </w:t>
            </w:r>
          </w:p>
        </w:tc>
        <w:tc>
          <w:tcPr>
            <w:tcW w:w="709" w:type="dxa"/>
          </w:tcPr>
          <w:p w14:paraId="5B3DAB3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708" w:type="dxa"/>
          </w:tcPr>
          <w:p w14:paraId="67DF4F80"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993" w:type="dxa"/>
          </w:tcPr>
          <w:p w14:paraId="7CF9C381"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Medium</w:t>
            </w:r>
          </w:p>
        </w:tc>
        <w:tc>
          <w:tcPr>
            <w:tcW w:w="1417" w:type="dxa"/>
          </w:tcPr>
          <w:p w14:paraId="14CE1C2F"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Weaker</w:t>
            </w:r>
          </w:p>
        </w:tc>
        <w:tc>
          <w:tcPr>
            <w:tcW w:w="709" w:type="dxa"/>
          </w:tcPr>
          <w:p w14:paraId="421BF55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567" w:type="dxa"/>
          </w:tcPr>
          <w:p w14:paraId="459FE246"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Yes</w:t>
            </w:r>
          </w:p>
        </w:tc>
        <w:tc>
          <w:tcPr>
            <w:tcW w:w="709" w:type="dxa"/>
          </w:tcPr>
          <w:p w14:paraId="21B85ED7"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No</w:t>
            </w:r>
          </w:p>
        </w:tc>
        <w:tc>
          <w:tcPr>
            <w:tcW w:w="667" w:type="dxa"/>
          </w:tcPr>
          <w:p w14:paraId="391B158E" w14:textId="77777777" w:rsidR="00F050B0" w:rsidRPr="0093567D" w:rsidRDefault="00F050B0" w:rsidP="009E2D0D">
            <w:pPr>
              <w:autoSpaceDE w:val="0"/>
              <w:autoSpaceDN w:val="0"/>
              <w:adjustRightInd w:val="0"/>
              <w:spacing w:line="480" w:lineRule="auto"/>
              <w:rPr>
                <w:rFonts w:cstheme="minorHAnsi"/>
                <w:sz w:val="20"/>
                <w:szCs w:val="20"/>
              </w:rPr>
            </w:pPr>
            <w:r w:rsidRPr="0093567D">
              <w:rPr>
                <w:rFonts w:cstheme="minorHAnsi"/>
                <w:sz w:val="20"/>
                <w:szCs w:val="20"/>
              </w:rPr>
              <w:t>F</w:t>
            </w:r>
          </w:p>
        </w:tc>
      </w:tr>
    </w:tbl>
    <w:p w14:paraId="03CF4812" w14:textId="08511BC9" w:rsidR="00F050B0" w:rsidRPr="00EB6B31" w:rsidRDefault="00F050B0" w:rsidP="00F050B0">
      <w:pPr>
        <w:pStyle w:val="NoSpacing"/>
        <w:rPr>
          <w:i/>
          <w:sz w:val="20"/>
          <w:szCs w:val="20"/>
        </w:rPr>
      </w:pPr>
      <w:r w:rsidRPr="00EB6B31">
        <w:rPr>
          <w:i/>
          <w:sz w:val="20"/>
          <w:szCs w:val="20"/>
        </w:rPr>
        <w:t>Notes:</w:t>
      </w:r>
    </w:p>
    <w:p w14:paraId="420C9642" w14:textId="77777777" w:rsidR="00F050B0" w:rsidRPr="00EB6B31" w:rsidRDefault="00F050B0" w:rsidP="00F050B0">
      <w:pPr>
        <w:pStyle w:val="NoSpacing"/>
        <w:rPr>
          <w:sz w:val="20"/>
          <w:szCs w:val="20"/>
        </w:rPr>
      </w:pPr>
      <w:r w:rsidRPr="00EB6B31">
        <w:rPr>
          <w:sz w:val="20"/>
          <w:szCs w:val="20"/>
        </w:rPr>
        <w:t>(1), (4) and (5) Data from Caspersen (2017)</w:t>
      </w:r>
    </w:p>
    <w:p w14:paraId="77ED32E5" w14:textId="77777777" w:rsidR="00F050B0" w:rsidRPr="00EB6B31" w:rsidRDefault="00F050B0" w:rsidP="00F050B0">
      <w:pPr>
        <w:pStyle w:val="NoSpacing"/>
        <w:rPr>
          <w:rFonts w:cstheme="minorHAnsi"/>
          <w:sz w:val="20"/>
          <w:szCs w:val="20"/>
        </w:rPr>
      </w:pPr>
      <w:r w:rsidRPr="00EB6B31">
        <w:rPr>
          <w:rFonts w:cstheme="minorHAnsi"/>
          <w:sz w:val="20"/>
          <w:szCs w:val="20"/>
        </w:rPr>
        <w:t>(2) and (3) Data from the Non-State Actors in Armed Conflict dataset (NSA)</w:t>
      </w:r>
    </w:p>
    <w:p w14:paraId="61C681FC" w14:textId="77777777" w:rsidR="00F050B0" w:rsidRPr="00EB6B31" w:rsidRDefault="00F050B0" w:rsidP="00F050B0">
      <w:pPr>
        <w:pStyle w:val="NoSpacing"/>
        <w:rPr>
          <w:rFonts w:cstheme="minorHAnsi"/>
          <w:sz w:val="20"/>
          <w:szCs w:val="20"/>
        </w:rPr>
      </w:pPr>
      <w:r w:rsidRPr="00EB6B31">
        <w:rPr>
          <w:rFonts w:cstheme="minorHAnsi"/>
          <w:sz w:val="20"/>
          <w:szCs w:val="20"/>
        </w:rPr>
        <w:lastRenderedPageBreak/>
        <w:t xml:space="preserve">(6) F=Free, PF=Partly free, NF=Non-Free. Data from Freedom House </w:t>
      </w:r>
    </w:p>
    <w:p w14:paraId="71EAC353" w14:textId="77777777" w:rsidR="00F050B0" w:rsidRDefault="00F050B0" w:rsidP="00EA75A0">
      <w:pPr>
        <w:autoSpaceDE w:val="0"/>
        <w:autoSpaceDN w:val="0"/>
        <w:adjustRightInd w:val="0"/>
        <w:spacing w:after="0" w:line="480" w:lineRule="auto"/>
        <w:rPr>
          <w:rFonts w:cs="Times New Roman"/>
        </w:rPr>
      </w:pPr>
    </w:p>
    <w:p w14:paraId="2229B632" w14:textId="77777777" w:rsidR="00EA75A0" w:rsidRDefault="00EA75A0" w:rsidP="00EA75A0">
      <w:pPr>
        <w:autoSpaceDE w:val="0"/>
        <w:autoSpaceDN w:val="0"/>
        <w:adjustRightInd w:val="0"/>
        <w:spacing w:after="0" w:line="480" w:lineRule="auto"/>
        <w:rPr>
          <w:rFonts w:cs="Times New Roman"/>
        </w:rPr>
      </w:pPr>
    </w:p>
    <w:p w14:paraId="353F6F1C" w14:textId="77777777" w:rsidR="00EA75A0" w:rsidRDefault="00EA75A0" w:rsidP="00EA75A0">
      <w:pPr>
        <w:autoSpaceDE w:val="0"/>
        <w:autoSpaceDN w:val="0"/>
        <w:adjustRightInd w:val="0"/>
        <w:spacing w:after="0" w:line="480" w:lineRule="auto"/>
        <w:rPr>
          <w:rFonts w:cs="Times New Roman"/>
          <w:i/>
        </w:rPr>
      </w:pPr>
      <w:r w:rsidRPr="006E1A10">
        <w:rPr>
          <w:rFonts w:cs="Times New Roman"/>
          <w:i/>
        </w:rPr>
        <w:t>Minority/rebel relative strength</w:t>
      </w:r>
    </w:p>
    <w:p w14:paraId="5D9661EE" w14:textId="310BC7A8" w:rsidR="00EA75A0" w:rsidRDefault="00EA75A0" w:rsidP="00EA75A0">
      <w:pPr>
        <w:autoSpaceDE w:val="0"/>
        <w:autoSpaceDN w:val="0"/>
        <w:adjustRightInd w:val="0"/>
        <w:spacing w:after="0" w:line="480" w:lineRule="auto"/>
        <w:rPr>
          <w:rFonts w:cs="Times New Roman"/>
          <w:highlight w:val="yellow"/>
        </w:rPr>
      </w:pPr>
      <w:r w:rsidRPr="001B580C">
        <w:rPr>
          <w:rFonts w:cs="Times New Roman"/>
        </w:rPr>
        <w:t xml:space="preserve">We could expect demands for </w:t>
      </w:r>
      <w:r w:rsidR="002257D8">
        <w:rPr>
          <w:rFonts w:cs="Times New Roman"/>
        </w:rPr>
        <w:t xml:space="preserve">human rights </w:t>
      </w:r>
      <w:r w:rsidRPr="001B580C">
        <w:rPr>
          <w:rFonts w:cs="Times New Roman"/>
        </w:rPr>
        <w:t xml:space="preserve">reforms at the centre, perhaps as a counterweight to limited autonomy, to be less likely to succeed if the rebels are in a weak position. Several indicators for the relative strength of the rebels, or the minority group they claim to represent, were therefore examined. However, not all were of significance. For example, the size of the minority relative to the </w:t>
      </w:r>
      <w:r w:rsidR="001C2356">
        <w:rPr>
          <w:rFonts w:cs="Times New Roman"/>
        </w:rPr>
        <w:t xml:space="preserve">country’s total </w:t>
      </w:r>
      <w:r w:rsidRPr="001B580C">
        <w:rPr>
          <w:rFonts w:cs="Times New Roman"/>
        </w:rPr>
        <w:t>population did not show a clear trend: we find very small minorities in both agreements with human rights provisions (e.g. Bougainville) and without such provisions (e.g. Bodoland). The effect of the relative military strength of the rebels is al</w:t>
      </w:r>
      <w:r w:rsidR="002257D8">
        <w:rPr>
          <w:rFonts w:cs="Times New Roman"/>
        </w:rPr>
        <w:t>so less than clear. D</w:t>
      </w:r>
      <w:r w:rsidRPr="001B580C">
        <w:rPr>
          <w:rFonts w:cs="Times New Roman"/>
        </w:rPr>
        <w:t xml:space="preserve">ata from the </w:t>
      </w:r>
      <w:r w:rsidR="00FD1124" w:rsidRPr="00FD1124">
        <w:rPr>
          <w:rFonts w:cs="Times New Roman"/>
        </w:rPr>
        <w:t xml:space="preserve">Non-State Actors in Armed Conflict Dataset </w:t>
      </w:r>
      <w:r w:rsidR="00FD1124">
        <w:rPr>
          <w:rFonts w:cs="Times New Roman"/>
        </w:rPr>
        <w:t>(NSA)</w:t>
      </w:r>
      <w:r w:rsidRPr="001B580C">
        <w:rPr>
          <w:rStyle w:val="FootnoteReference"/>
          <w:rFonts w:cs="Times New Roman"/>
        </w:rPr>
        <w:footnoteReference w:id="94"/>
      </w:r>
      <w:r w:rsidR="002257D8">
        <w:rPr>
          <w:rFonts w:cs="Times New Roman"/>
        </w:rPr>
        <w:t xml:space="preserve"> suggests that the settlements that include </w:t>
      </w:r>
      <w:r w:rsidR="00EC4E34">
        <w:rPr>
          <w:rFonts w:cs="Times New Roman"/>
        </w:rPr>
        <w:t xml:space="preserve">human </w:t>
      </w:r>
      <w:r w:rsidRPr="001B580C">
        <w:rPr>
          <w:rFonts w:cs="Times New Roman"/>
        </w:rPr>
        <w:t xml:space="preserve">rights provisions </w:t>
      </w:r>
      <w:r w:rsidR="002257D8">
        <w:rPr>
          <w:rFonts w:cs="Times New Roman"/>
        </w:rPr>
        <w:t xml:space="preserve">were negotiated by </w:t>
      </w:r>
      <w:r w:rsidRPr="001B580C">
        <w:rPr>
          <w:rFonts w:cs="Times New Roman"/>
        </w:rPr>
        <w:t>rebels whose military capacity, relative to the government forces</w:t>
      </w:r>
      <w:r w:rsidR="001C2356">
        <w:rPr>
          <w:rFonts w:cs="Times New Roman"/>
        </w:rPr>
        <w:t>,</w:t>
      </w:r>
      <w:r w:rsidRPr="001B580C">
        <w:rPr>
          <w:rFonts w:cs="Times New Roman"/>
        </w:rPr>
        <w:t xml:space="preserve"> range from </w:t>
      </w:r>
      <w:r w:rsidR="002257D8">
        <w:rPr>
          <w:rFonts w:cs="Times New Roman"/>
        </w:rPr>
        <w:t xml:space="preserve">parity to </w:t>
      </w:r>
      <w:r w:rsidRPr="001B580C">
        <w:rPr>
          <w:rFonts w:cs="Times New Roman"/>
        </w:rPr>
        <w:t>much weaker</w:t>
      </w:r>
      <w:r>
        <w:rPr>
          <w:rFonts w:cs="Times New Roman"/>
        </w:rPr>
        <w:t>. Cases without human rights provisions include rebel</w:t>
      </w:r>
      <w:r w:rsidR="001C2356">
        <w:rPr>
          <w:rFonts w:cs="Times New Roman"/>
        </w:rPr>
        <w:t xml:space="preserve"> forces</w:t>
      </w:r>
      <w:r w:rsidR="002257D8">
        <w:rPr>
          <w:rFonts w:cs="Times New Roman"/>
        </w:rPr>
        <w:t xml:space="preserve"> that are either weaker or much weaker</w:t>
      </w:r>
      <w:r w:rsidRPr="001B580C">
        <w:rPr>
          <w:rFonts w:cs="Times New Roman"/>
        </w:rPr>
        <w:t xml:space="preserve"> </w:t>
      </w:r>
      <w:r w:rsidR="001C2356">
        <w:rPr>
          <w:rFonts w:cs="Times New Roman"/>
        </w:rPr>
        <w:t xml:space="preserve">than their opponents </w:t>
      </w:r>
      <w:r w:rsidRPr="003D3B52">
        <w:rPr>
          <w:rFonts w:cs="Times New Roman"/>
        </w:rPr>
        <w:t xml:space="preserve">(see Table </w:t>
      </w:r>
      <w:r w:rsidR="003D3B52" w:rsidRPr="003D3B52">
        <w:rPr>
          <w:rFonts w:cs="Times New Roman"/>
        </w:rPr>
        <w:t>III</w:t>
      </w:r>
      <w:r w:rsidRPr="003D3B52">
        <w:rPr>
          <w:rFonts w:cs="Times New Roman"/>
        </w:rPr>
        <w:t>).</w:t>
      </w:r>
      <w:r>
        <w:rPr>
          <w:rFonts w:cs="Times New Roman"/>
          <w:highlight w:val="yellow"/>
        </w:rPr>
        <w:t xml:space="preserve"> </w:t>
      </w:r>
    </w:p>
    <w:p w14:paraId="6D37E2B7" w14:textId="77777777" w:rsidR="00EA75A0" w:rsidRDefault="00EA75A0" w:rsidP="00EA75A0">
      <w:pPr>
        <w:autoSpaceDE w:val="0"/>
        <w:autoSpaceDN w:val="0"/>
        <w:adjustRightInd w:val="0"/>
        <w:spacing w:after="0" w:line="480" w:lineRule="auto"/>
        <w:rPr>
          <w:rFonts w:cs="Times New Roman"/>
          <w:highlight w:val="yellow"/>
        </w:rPr>
      </w:pPr>
    </w:p>
    <w:p w14:paraId="14017EF8" w14:textId="468EB1E7" w:rsidR="00EA75A0" w:rsidRDefault="00EA75A0" w:rsidP="00EA75A0">
      <w:pPr>
        <w:autoSpaceDE w:val="0"/>
        <w:autoSpaceDN w:val="0"/>
        <w:adjustRightInd w:val="0"/>
        <w:spacing w:after="0" w:line="480" w:lineRule="auto"/>
        <w:rPr>
          <w:rFonts w:cs="Times New Roman"/>
        </w:rPr>
      </w:pPr>
      <w:r w:rsidRPr="001B580C">
        <w:rPr>
          <w:rFonts w:cs="Times New Roman"/>
        </w:rPr>
        <w:t>However</w:t>
      </w:r>
      <w:r>
        <w:rPr>
          <w:rFonts w:cs="Times New Roman"/>
        </w:rPr>
        <w:t>,</w:t>
      </w:r>
      <w:r w:rsidRPr="001B580C">
        <w:rPr>
          <w:rFonts w:cs="Times New Roman"/>
        </w:rPr>
        <w:t xml:space="preserve"> one indicator shows a clearer pattern: rebel </w:t>
      </w:r>
      <w:r w:rsidR="00FD1124">
        <w:rPr>
          <w:rFonts w:cs="Times New Roman"/>
        </w:rPr>
        <w:t xml:space="preserve">territorial control (also </w:t>
      </w:r>
      <w:r w:rsidRPr="001B580C">
        <w:rPr>
          <w:rFonts w:cs="Times New Roman"/>
        </w:rPr>
        <w:t xml:space="preserve">from NSA data). </w:t>
      </w:r>
      <w:r>
        <w:rPr>
          <w:rFonts w:cs="Times New Roman"/>
        </w:rPr>
        <w:t xml:space="preserve">In the cases where we find human rights provisions </w:t>
      </w:r>
      <w:r w:rsidRPr="00CE5244">
        <w:rPr>
          <w:rFonts w:cs="Times New Roman"/>
          <w:i/>
        </w:rPr>
        <w:t>and</w:t>
      </w:r>
      <w:r>
        <w:rPr>
          <w:rFonts w:cs="Times New Roman"/>
          <w:i/>
        </w:rPr>
        <w:t xml:space="preserve"> </w:t>
      </w:r>
      <w:r>
        <w:rPr>
          <w:rFonts w:cs="Times New Roman"/>
        </w:rPr>
        <w:t>high levels of territorial autonomy, the rebels enjoyed territorial control, to a moderate or high degree. The only exception is East Timor, which is discussed below. This relative</w:t>
      </w:r>
      <w:r w:rsidR="00EC4E34">
        <w:rPr>
          <w:rFonts w:cs="Times New Roman"/>
        </w:rPr>
        <w:t>ly</w:t>
      </w:r>
      <w:r>
        <w:rPr>
          <w:rFonts w:cs="Times New Roman"/>
        </w:rPr>
        <w:t xml:space="preserve"> strong position of the rebels helps explain the high levels of autonomy included in the agreements and has likely added to fears of future secession, thereby strengthening the government’s call for human rights provisions. Moreover, </w:t>
      </w:r>
      <w:r>
        <w:rPr>
          <w:rFonts w:cs="Times New Roman"/>
        </w:rPr>
        <w:lastRenderedPageBreak/>
        <w:t>this strength could also have enabled the rebel groups to push for reforms at the centre, which less powerful groups will find harder to achieve.</w:t>
      </w:r>
    </w:p>
    <w:p w14:paraId="1870A692" w14:textId="77777777" w:rsidR="00EA75A0" w:rsidRDefault="00EA75A0" w:rsidP="00EA75A0">
      <w:pPr>
        <w:autoSpaceDE w:val="0"/>
        <w:autoSpaceDN w:val="0"/>
        <w:adjustRightInd w:val="0"/>
        <w:spacing w:after="0" w:line="480" w:lineRule="auto"/>
        <w:rPr>
          <w:rFonts w:cs="Times New Roman"/>
        </w:rPr>
      </w:pPr>
    </w:p>
    <w:p w14:paraId="3FC3AEA5" w14:textId="6CA1E4BB" w:rsidR="002257D8" w:rsidRDefault="00EA75A0" w:rsidP="00EA75A0">
      <w:pPr>
        <w:autoSpaceDE w:val="0"/>
        <w:autoSpaceDN w:val="0"/>
        <w:adjustRightInd w:val="0"/>
        <w:spacing w:after="0" w:line="480" w:lineRule="auto"/>
      </w:pPr>
      <w:r>
        <w:rPr>
          <w:rFonts w:cs="Times New Roman"/>
        </w:rPr>
        <w:t>If we look at the agreements without human rights provisions, there are only two cases of rebel territorial control: in Croatia (Eastern Slavonia) and Senegal (Casamance). In both of these cases the rebels were, by the time of the agreement</w:t>
      </w:r>
      <w:r w:rsidR="00EC4E34">
        <w:rPr>
          <w:rFonts w:cs="Times New Roman"/>
        </w:rPr>
        <w:t>,</w:t>
      </w:r>
      <w:r>
        <w:rPr>
          <w:rFonts w:cs="Times New Roman"/>
        </w:rPr>
        <w:t xml:space="preserve"> weakened by other factors</w:t>
      </w:r>
      <w:r w:rsidR="00EC4E34">
        <w:rPr>
          <w:rFonts w:cs="Times New Roman"/>
        </w:rPr>
        <w:t xml:space="preserve">. This </w:t>
      </w:r>
      <w:r>
        <w:rPr>
          <w:rFonts w:cs="Times New Roman"/>
        </w:rPr>
        <w:t xml:space="preserve">helps explain </w:t>
      </w:r>
      <w:r w:rsidRPr="00C1339C">
        <w:rPr>
          <w:rFonts w:cs="Times New Roman"/>
        </w:rPr>
        <w:t xml:space="preserve">the lack of </w:t>
      </w:r>
      <w:r>
        <w:rPr>
          <w:rFonts w:cs="Times New Roman"/>
        </w:rPr>
        <w:t>both autonomy and human rights provisions. In Eastern Slavonia, the rebels were effectively defeated by August 1995. The main part of the Serb entity, Republika Srpska Krajina, had been overrun by Croatian forces and the leaders in Eastern Slavonia knew that they were next unless they agreed to a negotiated settlement.</w:t>
      </w:r>
      <w:r>
        <w:rPr>
          <w:rStyle w:val="FootnoteReference"/>
          <w:rFonts w:cs="Times New Roman"/>
        </w:rPr>
        <w:footnoteReference w:id="95"/>
      </w:r>
      <w:r>
        <w:rPr>
          <w:rFonts w:cs="Times New Roman"/>
        </w:rPr>
        <w:t xml:space="preserve"> In Casamance</w:t>
      </w:r>
      <w:r w:rsidR="00EC4E34">
        <w:rPr>
          <w:rFonts w:cs="Times New Roman"/>
        </w:rPr>
        <w:t>,</w:t>
      </w:r>
      <w:r>
        <w:rPr>
          <w:rFonts w:cs="Times New Roman"/>
        </w:rPr>
        <w:t xml:space="preserve"> the </w:t>
      </w:r>
      <w:r>
        <w:t xml:space="preserve">Movement of Democratic Forces of Casamance (MDFC) </w:t>
      </w:r>
      <w:r>
        <w:rPr>
          <w:rFonts w:cs="Times New Roman"/>
        </w:rPr>
        <w:t xml:space="preserve"> never achieved anything more than low territorial control, the rebels were plagued by factionalisation</w:t>
      </w:r>
      <w:r w:rsidR="00EC4E34">
        <w:rPr>
          <w:rFonts w:cs="Times New Roman"/>
        </w:rPr>
        <w:t>,</w:t>
      </w:r>
      <w:r>
        <w:rPr>
          <w:rFonts w:cs="Times New Roman"/>
        </w:rPr>
        <w:t xml:space="preserve"> and many of the leaders </w:t>
      </w:r>
      <w:r>
        <w:t>were reportedly driven by monetary objectives. These incentives were addressed by the Senegalese Government through offers of aid and money.</w:t>
      </w:r>
      <w:r>
        <w:rPr>
          <w:rStyle w:val="FootnoteReference"/>
        </w:rPr>
        <w:footnoteReference w:id="96"/>
      </w:r>
      <w:r>
        <w:t xml:space="preserve"> </w:t>
      </w:r>
    </w:p>
    <w:p w14:paraId="350F7F5E" w14:textId="77777777" w:rsidR="002257D8" w:rsidRDefault="002257D8" w:rsidP="00EA75A0">
      <w:pPr>
        <w:autoSpaceDE w:val="0"/>
        <w:autoSpaceDN w:val="0"/>
        <w:adjustRightInd w:val="0"/>
        <w:spacing w:after="0" w:line="480" w:lineRule="auto"/>
      </w:pPr>
    </w:p>
    <w:p w14:paraId="34B2E48A" w14:textId="1769AF7D" w:rsidR="00EA75A0" w:rsidRDefault="00EA75A0" w:rsidP="00EA75A0">
      <w:pPr>
        <w:autoSpaceDE w:val="0"/>
        <w:autoSpaceDN w:val="0"/>
        <w:adjustRightInd w:val="0"/>
        <w:spacing w:after="0" w:line="480" w:lineRule="auto"/>
        <w:rPr>
          <w:rFonts w:cs="TimesNewRoman"/>
          <w:noProof/>
        </w:rPr>
      </w:pPr>
      <w:r>
        <w:t xml:space="preserve">The remaining agreements without human rights provisions were negotiated by rebels with limited capacity: they did not control any territory and their military capacity was weaker or much weaker than the government forces. Some of these cases, such as the Bodoland conflict, are highly asymmetrical. This limited capacity is likely to force the rebels to focus the negotiations on their key </w:t>
      </w:r>
      <w:r>
        <w:rPr>
          <w:rFonts w:cs="Times New Roman"/>
        </w:rPr>
        <w:t>d</w:t>
      </w:r>
      <w:r w:rsidR="002257D8">
        <w:rPr>
          <w:rFonts w:cs="Times New Roman"/>
        </w:rPr>
        <w:t>emands and these are, as argued</w:t>
      </w:r>
      <w:r>
        <w:rPr>
          <w:rFonts w:cs="Times New Roman"/>
        </w:rPr>
        <w:t xml:space="preserve"> above</w:t>
      </w:r>
      <w:r w:rsidR="002257D8">
        <w:rPr>
          <w:rFonts w:cs="Times New Roman"/>
        </w:rPr>
        <w:t>,</w:t>
      </w:r>
      <w:r>
        <w:rPr>
          <w:rFonts w:cs="Times New Roman"/>
        </w:rPr>
        <w:t xml:space="preserve"> centred </w:t>
      </w:r>
      <w:r w:rsidR="002257D8">
        <w:rPr>
          <w:rFonts w:cs="Times New Roman"/>
        </w:rPr>
        <w:t>on</w:t>
      </w:r>
      <w:r>
        <w:rPr>
          <w:rFonts w:cs="Times New Roman"/>
        </w:rPr>
        <w:t xml:space="preserve"> group rights. Group rights will be offered some protection by territorial autonomy, even </w:t>
      </w:r>
      <w:r w:rsidR="002257D8">
        <w:rPr>
          <w:rFonts w:cs="Times New Roman"/>
        </w:rPr>
        <w:t xml:space="preserve">if </w:t>
      </w:r>
      <w:r>
        <w:rPr>
          <w:rFonts w:cs="Times New Roman"/>
        </w:rPr>
        <w:t xml:space="preserve">relatively few powers are devolved. Effective human rights provisions are therefore less likely to be prioritised and could in fact undermine the limited autonomy that was achieved. In the case of </w:t>
      </w:r>
      <w:r>
        <w:rPr>
          <w:rFonts w:cs="Times New Roman"/>
        </w:rPr>
        <w:lastRenderedPageBreak/>
        <w:t xml:space="preserve">the </w:t>
      </w:r>
      <w:r w:rsidRPr="009E0972">
        <w:rPr>
          <w:rFonts w:cs="Times New Roman"/>
        </w:rPr>
        <w:t xml:space="preserve">Chittagong Hills Tract, demands for forms of ‘complex power-sharing’ within the autonomous region have, as noted above, been resisted. </w:t>
      </w:r>
      <w:r>
        <w:rPr>
          <w:rFonts w:cs="Times New Roman"/>
        </w:rPr>
        <w:t xml:space="preserve">Similarly, in the case of Bodoland, the rights of the non-tribal population have also proved explosive. In 2012, the </w:t>
      </w:r>
      <w:r>
        <w:rPr>
          <w:rFonts w:cs="TimesNewRoman"/>
          <w:noProof/>
        </w:rPr>
        <w:t>Bodoland Territorial Council was alleged to have removed a signboard from a mosque, which it claimed was an illegal structure occupying forest land</w:t>
      </w:r>
      <w:r w:rsidR="00CF725C">
        <w:rPr>
          <w:rFonts w:cs="TimesNewRoman"/>
          <w:noProof/>
        </w:rPr>
        <w:t>.</w:t>
      </w:r>
      <w:r w:rsidR="00CF725C">
        <w:rPr>
          <w:rStyle w:val="FootnoteReference"/>
          <w:rFonts w:cs="TimesNewRoman"/>
          <w:noProof/>
        </w:rPr>
        <w:footnoteReference w:id="97"/>
      </w:r>
      <w:r>
        <w:rPr>
          <w:rFonts w:cs="TimesNewRoman"/>
          <w:noProof/>
        </w:rPr>
        <w:t xml:space="preserve"> This dispute over rights sparked extreme violence which left 42 people dead and 150,000 displaced. </w:t>
      </w:r>
    </w:p>
    <w:p w14:paraId="4DF65022" w14:textId="77777777" w:rsidR="00EA75A0" w:rsidRDefault="00EA75A0" w:rsidP="00EA75A0">
      <w:pPr>
        <w:autoSpaceDE w:val="0"/>
        <w:autoSpaceDN w:val="0"/>
        <w:adjustRightInd w:val="0"/>
        <w:spacing w:after="0" w:line="480" w:lineRule="auto"/>
        <w:rPr>
          <w:rFonts w:cs="TimesNewRoman"/>
          <w:noProof/>
        </w:rPr>
      </w:pPr>
    </w:p>
    <w:p w14:paraId="7D6D058F" w14:textId="2118D930" w:rsidR="00EA75A0" w:rsidRPr="00626884" w:rsidRDefault="00EA75A0" w:rsidP="00EA75A0">
      <w:pPr>
        <w:autoSpaceDE w:val="0"/>
        <w:autoSpaceDN w:val="0"/>
        <w:adjustRightInd w:val="0"/>
        <w:spacing w:after="0" w:line="480" w:lineRule="auto"/>
        <w:rPr>
          <w:rFonts w:cs="Times New Roman"/>
        </w:rPr>
      </w:pPr>
      <w:r>
        <w:rPr>
          <w:rFonts w:cs="TimesNewRoman"/>
          <w:noProof/>
        </w:rPr>
        <w:t xml:space="preserve">However, agreements with human rights provisions were also negotiated in </w:t>
      </w:r>
      <w:r w:rsidR="00EC4E34">
        <w:rPr>
          <w:rFonts w:cs="TimesNewRoman"/>
          <w:noProof/>
        </w:rPr>
        <w:t xml:space="preserve">three </w:t>
      </w:r>
      <w:r>
        <w:rPr>
          <w:rFonts w:cs="TimesNewRoman"/>
          <w:noProof/>
        </w:rPr>
        <w:t xml:space="preserve">conflicts where the rebels did not have territorial control and were militarily much weaker than the government forces. But in these cases, the rebels either represented fairly large minority groups (Northern Ireland and Macedonia) or their right to indepependence had been internationally recognised. The latter applies to </w:t>
      </w:r>
      <w:r>
        <w:rPr>
          <w:rFonts w:cs="Times New Roman"/>
        </w:rPr>
        <w:t xml:space="preserve">East Timor which was recognised by the UN as a </w:t>
      </w:r>
      <w:r w:rsidR="00EC4E34">
        <w:rPr>
          <w:rFonts w:cs="Times New Roman"/>
        </w:rPr>
        <w:t>non-self-governing territory.</w:t>
      </w:r>
      <w:r>
        <w:rPr>
          <w:rFonts w:cs="Times New Roman"/>
        </w:rPr>
        <w:t xml:space="preserve"> This international recognition was an alternative source of strength for the rebels. </w:t>
      </w:r>
      <w:r>
        <w:rPr>
          <w:rFonts w:cs="TimesNewRoman"/>
          <w:noProof/>
        </w:rPr>
        <w:t xml:space="preserve">Moreover, in all </w:t>
      </w:r>
      <w:r w:rsidR="00EC4E34">
        <w:rPr>
          <w:rFonts w:cs="TimesNewRoman"/>
          <w:noProof/>
        </w:rPr>
        <w:t>three</w:t>
      </w:r>
      <w:r>
        <w:rPr>
          <w:rFonts w:cs="TimesNewRoman"/>
          <w:noProof/>
        </w:rPr>
        <w:t xml:space="preserve"> cases we see a high level of international involvement. </w:t>
      </w:r>
    </w:p>
    <w:p w14:paraId="5A7B3DA7" w14:textId="77777777" w:rsidR="00EA75A0" w:rsidRDefault="00EA75A0" w:rsidP="00EA75A0">
      <w:pPr>
        <w:autoSpaceDE w:val="0"/>
        <w:autoSpaceDN w:val="0"/>
        <w:adjustRightInd w:val="0"/>
        <w:spacing w:after="0" w:line="480" w:lineRule="auto"/>
        <w:rPr>
          <w:rFonts w:cs="Times New Roman"/>
        </w:rPr>
      </w:pPr>
    </w:p>
    <w:p w14:paraId="44F90F80" w14:textId="77777777" w:rsidR="00EA75A0" w:rsidRPr="00121E3B" w:rsidRDefault="00EA75A0" w:rsidP="00EA75A0">
      <w:pPr>
        <w:autoSpaceDE w:val="0"/>
        <w:autoSpaceDN w:val="0"/>
        <w:adjustRightInd w:val="0"/>
        <w:spacing w:after="0" w:line="480" w:lineRule="auto"/>
        <w:rPr>
          <w:rFonts w:cs="Times New Roman"/>
          <w:i/>
        </w:rPr>
      </w:pPr>
      <w:r w:rsidRPr="00121E3B">
        <w:rPr>
          <w:rFonts w:cs="Times New Roman"/>
          <w:i/>
        </w:rPr>
        <w:t>International Involvement</w:t>
      </w:r>
    </w:p>
    <w:p w14:paraId="1863C939" w14:textId="60EFAF37" w:rsidR="0025249D" w:rsidRDefault="00EA75A0" w:rsidP="007060C7">
      <w:pPr>
        <w:autoSpaceDE w:val="0"/>
        <w:autoSpaceDN w:val="0"/>
        <w:adjustRightInd w:val="0"/>
        <w:spacing w:after="0" w:line="480" w:lineRule="auto"/>
        <w:rPr>
          <w:rFonts w:cs="Times New Roman"/>
        </w:rPr>
      </w:pPr>
      <w:r>
        <w:rPr>
          <w:rFonts w:cs="Times New Roman"/>
        </w:rPr>
        <w:t>International pressure has been argued to be a key factor explaining the inclusion of human rights in peace agreements</w:t>
      </w:r>
      <w:r w:rsidR="004B690E">
        <w:rPr>
          <w:rFonts w:cs="Times New Roman"/>
        </w:rPr>
        <w:t>: it is the price the conflict actors have to pay for international support</w:t>
      </w:r>
      <w:r>
        <w:rPr>
          <w:rFonts w:cs="Times New Roman"/>
        </w:rPr>
        <w:t>.</w:t>
      </w:r>
      <w:r>
        <w:rPr>
          <w:rStyle w:val="FootnoteReference"/>
          <w:rFonts w:cs="Times New Roman"/>
        </w:rPr>
        <w:footnoteReference w:id="98"/>
      </w:r>
      <w:r>
        <w:rPr>
          <w:rFonts w:cs="Times New Roman"/>
        </w:rPr>
        <w:t xml:space="preserve"> </w:t>
      </w:r>
      <w:r w:rsidR="003D3B52">
        <w:rPr>
          <w:rFonts w:cs="Times New Roman"/>
        </w:rPr>
        <w:t>However,</w:t>
      </w:r>
      <w:r>
        <w:rPr>
          <w:rFonts w:cs="Times New Roman"/>
        </w:rPr>
        <w:t xml:space="preserve"> as is apparent from </w:t>
      </w:r>
      <w:r w:rsidRPr="003D3B52">
        <w:rPr>
          <w:rFonts w:cs="Times New Roman"/>
        </w:rPr>
        <w:t>Table</w:t>
      </w:r>
      <w:r w:rsidR="003D3B52" w:rsidRPr="003D3B52">
        <w:rPr>
          <w:rFonts w:cs="Times New Roman"/>
        </w:rPr>
        <w:t xml:space="preserve"> III</w:t>
      </w:r>
      <w:r>
        <w:rPr>
          <w:rFonts w:cs="Times New Roman"/>
        </w:rPr>
        <w:t xml:space="preserve">, international mediation on its own is not decisive. Almost all these peace processes included third party mediation, but this did not necessarily lead to the inclusion of human rights provisions. For example, the Oslo Accords for Israel/Palestine resulted from Norwegian and US mediation efforts, while Mali’s </w:t>
      </w:r>
      <w:r w:rsidR="00F17998">
        <w:rPr>
          <w:rFonts w:cs="Times New Roman"/>
        </w:rPr>
        <w:t xml:space="preserve">National Pact </w:t>
      </w:r>
      <w:r>
        <w:rPr>
          <w:rFonts w:cs="Times New Roman"/>
        </w:rPr>
        <w:lastRenderedPageBreak/>
        <w:t xml:space="preserve">was </w:t>
      </w:r>
      <w:r w:rsidR="00F17998" w:rsidRPr="00F17998">
        <w:rPr>
          <w:rFonts w:cs="Times New Roman"/>
        </w:rPr>
        <w:t xml:space="preserve">mediated and guaranteed </w:t>
      </w:r>
      <w:r w:rsidR="00F17998">
        <w:rPr>
          <w:rFonts w:cs="Times New Roman"/>
        </w:rPr>
        <w:t>by Algeria</w:t>
      </w:r>
      <w:r w:rsidR="004E2371">
        <w:rPr>
          <w:rFonts w:cs="Times New Roman"/>
        </w:rPr>
        <w:t>,</w:t>
      </w:r>
      <w:r w:rsidR="00F17998">
        <w:rPr>
          <w:rFonts w:cs="Times New Roman"/>
        </w:rPr>
        <w:t xml:space="preserve"> and two other international mediators </w:t>
      </w:r>
      <w:r w:rsidR="00F17998" w:rsidRPr="00F17998">
        <w:rPr>
          <w:rFonts w:cs="Times New Roman"/>
        </w:rPr>
        <w:t>(from France and Mauritania) also played a role in the peace process.</w:t>
      </w:r>
      <w:r w:rsidRPr="00F17998">
        <w:rPr>
          <w:rStyle w:val="FootnoteReference"/>
          <w:rFonts w:cs="Times New Roman"/>
        </w:rPr>
        <w:footnoteReference w:id="99"/>
      </w:r>
      <w:r w:rsidRPr="00F17998">
        <w:rPr>
          <w:rFonts w:cs="Times New Roman"/>
        </w:rPr>
        <w:t xml:space="preserve"> More significant international involvement appears to be needed</w:t>
      </w:r>
      <w:r w:rsidR="00F17998" w:rsidRPr="00F17998">
        <w:rPr>
          <w:rFonts w:cs="Times New Roman"/>
        </w:rPr>
        <w:t xml:space="preserve"> for </w:t>
      </w:r>
      <w:r w:rsidR="00F17998">
        <w:rPr>
          <w:rFonts w:cs="Times New Roman"/>
        </w:rPr>
        <w:t xml:space="preserve">the inclusion of </w:t>
      </w:r>
      <w:r w:rsidR="00F17998" w:rsidRPr="00F17998">
        <w:rPr>
          <w:rFonts w:cs="Times New Roman"/>
        </w:rPr>
        <w:t>human rights</w:t>
      </w:r>
      <w:r w:rsidRPr="00F17998">
        <w:rPr>
          <w:rFonts w:cs="Times New Roman"/>
        </w:rPr>
        <w:t xml:space="preserve">. </w:t>
      </w:r>
      <w:r w:rsidR="007060C7">
        <w:rPr>
          <w:rFonts w:cs="Times New Roman"/>
        </w:rPr>
        <w:t xml:space="preserve">The territorial agreements that included human rights provisions were all </w:t>
      </w:r>
      <w:r w:rsidR="0025249D">
        <w:rPr>
          <w:rFonts w:cs="Times New Roman"/>
        </w:rPr>
        <w:t xml:space="preserve">negotiated with the help of international mediators </w:t>
      </w:r>
      <w:r w:rsidR="0025249D" w:rsidRPr="007060C7">
        <w:rPr>
          <w:rFonts w:cs="Times New Roman"/>
          <w:i/>
        </w:rPr>
        <w:t>and</w:t>
      </w:r>
      <w:r w:rsidR="0025249D">
        <w:rPr>
          <w:rFonts w:cs="Times New Roman"/>
        </w:rPr>
        <w:t xml:space="preserve"> an international mission was deployed to assist the implementation of the agreement.</w:t>
      </w:r>
      <w:r w:rsidR="0025249D">
        <w:rPr>
          <w:rStyle w:val="FootnoteReference"/>
          <w:rFonts w:cs="Times New Roman"/>
        </w:rPr>
        <w:footnoteReference w:id="100"/>
      </w:r>
      <w:r w:rsidR="0025249D">
        <w:rPr>
          <w:rFonts w:cs="Times New Roman"/>
        </w:rPr>
        <w:t xml:space="preserve"> Some of these missions included armed peacekeepers, others only deployed unarmed observers, while </w:t>
      </w:r>
      <w:r w:rsidR="007060C7">
        <w:rPr>
          <w:rFonts w:cs="Times New Roman"/>
        </w:rPr>
        <w:t xml:space="preserve">still </w:t>
      </w:r>
      <w:r w:rsidR="0025249D">
        <w:rPr>
          <w:rFonts w:cs="Times New Roman"/>
        </w:rPr>
        <w:t xml:space="preserve">others set up international commissions to find solutions to outstanding issues. </w:t>
      </w:r>
    </w:p>
    <w:p w14:paraId="71611532" w14:textId="77777777" w:rsidR="00EA75A0" w:rsidRDefault="00EA75A0" w:rsidP="00EA75A0">
      <w:pPr>
        <w:autoSpaceDE w:val="0"/>
        <w:autoSpaceDN w:val="0"/>
        <w:adjustRightInd w:val="0"/>
        <w:spacing w:after="0" w:line="480" w:lineRule="auto"/>
        <w:rPr>
          <w:rFonts w:cs="Times New Roman"/>
        </w:rPr>
      </w:pPr>
    </w:p>
    <w:p w14:paraId="34770B5D" w14:textId="13A42ECC" w:rsidR="00EA75A0" w:rsidRDefault="0025249D" w:rsidP="00EA75A0">
      <w:pPr>
        <w:autoSpaceDE w:val="0"/>
        <w:autoSpaceDN w:val="0"/>
        <w:adjustRightInd w:val="0"/>
        <w:spacing w:after="0" w:line="480" w:lineRule="auto"/>
        <w:rPr>
          <w:rFonts w:cs="Times New Roman"/>
        </w:rPr>
      </w:pPr>
      <w:r>
        <w:rPr>
          <w:rFonts w:cs="Times New Roman"/>
        </w:rPr>
        <w:t>I</w:t>
      </w:r>
      <w:r w:rsidR="00EA75A0">
        <w:rPr>
          <w:rFonts w:cs="Times New Roman"/>
        </w:rPr>
        <w:t xml:space="preserve">nternational involvement led to pressure on both governments and rebels to prioritize human rights </w:t>
      </w:r>
      <w:r w:rsidR="00EA75A0" w:rsidRPr="00C1339C">
        <w:rPr>
          <w:rFonts w:cs="Times New Roman"/>
        </w:rPr>
        <w:t xml:space="preserve">and </w:t>
      </w:r>
      <w:r w:rsidR="00EA75A0">
        <w:rPr>
          <w:rFonts w:cs="Times New Roman"/>
        </w:rPr>
        <w:t xml:space="preserve">international experts </w:t>
      </w:r>
      <w:r w:rsidR="00EA75A0" w:rsidRPr="00C1339C">
        <w:rPr>
          <w:rFonts w:cs="Times New Roman"/>
        </w:rPr>
        <w:t>frequently dra</w:t>
      </w:r>
      <w:r w:rsidR="00EA75A0">
        <w:rPr>
          <w:rFonts w:cs="Times New Roman"/>
        </w:rPr>
        <w:t xml:space="preserve">fted the provisions. Szasz </w:t>
      </w:r>
      <w:r w:rsidR="00EA75A0" w:rsidRPr="00C1339C">
        <w:rPr>
          <w:rFonts w:cs="Times New Roman"/>
        </w:rPr>
        <w:t>argues that in the case of Bosnia almost none of the human rights provisions originated in Bosnia itself.</w:t>
      </w:r>
      <w:r w:rsidR="00EA75A0">
        <w:rPr>
          <w:rStyle w:val="FootnoteReference"/>
          <w:rFonts w:cs="Times New Roman"/>
        </w:rPr>
        <w:footnoteReference w:id="101"/>
      </w:r>
      <w:r w:rsidR="00EA75A0" w:rsidRPr="00C1339C">
        <w:rPr>
          <w:rFonts w:cs="Times New Roman"/>
        </w:rPr>
        <w:t xml:space="preserve"> </w:t>
      </w:r>
      <w:r w:rsidR="00EA75A0">
        <w:rPr>
          <w:rFonts w:cs="Times New Roman"/>
        </w:rPr>
        <w:t>International experts also played an important part in the drafting of Sudan’s Comprehensive Peace Agreement and Young argues that this explains what he regards as its inappropriate legalism.</w:t>
      </w:r>
      <w:r w:rsidR="00EA75A0">
        <w:rPr>
          <w:rStyle w:val="FootnoteReference"/>
          <w:rFonts w:cs="Times New Roman"/>
        </w:rPr>
        <w:footnoteReference w:id="102"/>
      </w:r>
      <w:r w:rsidR="00EA75A0">
        <w:rPr>
          <w:rFonts w:cs="Times New Roman"/>
        </w:rPr>
        <w:t xml:space="preserve">  As will be discussed below, this may have consequences for the implementation of human rights provisions. Bell has argued that </w:t>
      </w:r>
      <w:r w:rsidR="007E54A4">
        <w:rPr>
          <w:rFonts w:cs="Times New Roman"/>
        </w:rPr>
        <w:t xml:space="preserve">a lack of domestic </w:t>
      </w:r>
      <w:r w:rsidR="00EA75A0">
        <w:rPr>
          <w:rFonts w:cs="Times New Roman"/>
        </w:rPr>
        <w:t>roots makes such provisions less effective</w:t>
      </w:r>
      <w:r w:rsidR="002257D8">
        <w:rPr>
          <w:rFonts w:cs="Times New Roman"/>
        </w:rPr>
        <w:t>,</w:t>
      </w:r>
      <w:r w:rsidR="007E54A4">
        <w:rPr>
          <w:rStyle w:val="FootnoteReference"/>
          <w:rFonts w:cs="Times New Roman"/>
        </w:rPr>
        <w:footnoteReference w:id="103"/>
      </w:r>
      <w:r w:rsidR="00EA75A0">
        <w:rPr>
          <w:rFonts w:cs="Times New Roman"/>
        </w:rPr>
        <w:t xml:space="preserve"> and i</w:t>
      </w:r>
      <w:r w:rsidR="00EA75A0" w:rsidRPr="00C1339C">
        <w:rPr>
          <w:rFonts w:cs="Times New Roman"/>
        </w:rPr>
        <w:t>nternational mediators</w:t>
      </w:r>
      <w:r w:rsidR="00EA75A0">
        <w:rPr>
          <w:rFonts w:cs="Times New Roman"/>
        </w:rPr>
        <w:t xml:space="preserve"> may be prepared to accept a lack of detail. </w:t>
      </w:r>
      <w:r w:rsidR="00EA75A0" w:rsidRPr="00C1339C">
        <w:rPr>
          <w:rFonts w:cs="Times New Roman"/>
        </w:rPr>
        <w:t xml:space="preserve">In the case of Aceh, the mediator, </w:t>
      </w:r>
      <w:r w:rsidR="00EA75A0" w:rsidRPr="000905B8">
        <w:rPr>
          <w:rFonts w:cs="Times New Roman"/>
        </w:rPr>
        <w:t xml:space="preserve">Martti </w:t>
      </w:r>
      <w:r w:rsidR="00EA75A0" w:rsidRPr="000905B8">
        <w:t>Ahtisaari</w:t>
      </w:r>
      <w:r w:rsidR="00EA75A0" w:rsidRPr="00C1339C">
        <w:t xml:space="preserve"> insisted on including human rights</w:t>
      </w:r>
      <w:r w:rsidR="00EA75A0">
        <w:t>,</w:t>
      </w:r>
      <w:r w:rsidR="00EA75A0">
        <w:rPr>
          <w:rStyle w:val="FootnoteReference"/>
        </w:rPr>
        <w:footnoteReference w:id="104"/>
      </w:r>
      <w:r w:rsidR="00EA75A0" w:rsidRPr="00C1339C">
        <w:t xml:space="preserve"> </w:t>
      </w:r>
      <w:r w:rsidR="00EA75A0">
        <w:rPr>
          <w:noProof/>
        </w:rPr>
        <w:t>but t</w:t>
      </w:r>
      <w:r w:rsidR="00EA75A0" w:rsidRPr="00C1339C">
        <w:t xml:space="preserve">he </w:t>
      </w:r>
      <w:r w:rsidR="00EA75A0">
        <w:lastRenderedPageBreak/>
        <w:t>p</w:t>
      </w:r>
      <w:r w:rsidR="00EA75A0" w:rsidRPr="00C1339C">
        <w:t xml:space="preserve">rovisions lack </w:t>
      </w:r>
      <w:r w:rsidR="00EA75A0">
        <w:t>potentially explosive</w:t>
      </w:r>
      <w:r w:rsidR="00EA75A0" w:rsidRPr="00C1339C">
        <w:t xml:space="preserve"> details</w:t>
      </w:r>
      <w:r w:rsidR="00EA75A0">
        <w:t>: i</w:t>
      </w:r>
      <w:r w:rsidR="00EA75A0" w:rsidRPr="00C1339C">
        <w:t>t is for example not specified if the</w:t>
      </w:r>
      <w:r w:rsidR="00EA75A0">
        <w:t xml:space="preserve"> </w:t>
      </w:r>
      <w:r w:rsidR="00EA75A0" w:rsidRPr="00C1339C">
        <w:t xml:space="preserve">Human Rights Court </w:t>
      </w:r>
      <w:r w:rsidR="00EA75A0">
        <w:t xml:space="preserve">will have </w:t>
      </w:r>
      <w:r w:rsidR="00EA75A0" w:rsidRPr="00C1339C">
        <w:t>retroactive powers</w:t>
      </w:r>
      <w:r w:rsidR="00EA75A0">
        <w:t>.</w:t>
      </w:r>
      <w:r w:rsidR="00EA75A0">
        <w:rPr>
          <w:rStyle w:val="FootnoteReference"/>
        </w:rPr>
        <w:footnoteReference w:id="105"/>
      </w:r>
      <w:r w:rsidR="00EA75A0" w:rsidRPr="00C1339C">
        <w:t xml:space="preserve"> </w:t>
      </w:r>
    </w:p>
    <w:p w14:paraId="55FBAD59" w14:textId="77777777" w:rsidR="00EA75A0" w:rsidRDefault="00EA75A0" w:rsidP="00EA75A0">
      <w:pPr>
        <w:autoSpaceDE w:val="0"/>
        <w:autoSpaceDN w:val="0"/>
        <w:adjustRightInd w:val="0"/>
        <w:spacing w:after="0" w:line="480" w:lineRule="auto"/>
        <w:rPr>
          <w:rFonts w:cs="Times New Roman"/>
        </w:rPr>
      </w:pPr>
    </w:p>
    <w:p w14:paraId="333622DF" w14:textId="77777777" w:rsidR="00EA75A0" w:rsidRDefault="00EA75A0" w:rsidP="00EA75A0">
      <w:pPr>
        <w:autoSpaceDE w:val="0"/>
        <w:autoSpaceDN w:val="0"/>
        <w:adjustRightInd w:val="0"/>
        <w:spacing w:after="0" w:line="480" w:lineRule="auto"/>
      </w:pPr>
      <w:r>
        <w:rPr>
          <w:rFonts w:cs="Times New Roman"/>
        </w:rPr>
        <w:t xml:space="preserve">Although a high degree of international involvement, indicated by the willingness to deploy an international mission, therefore appears to be a necessary condition for the inclusion of human rights provisions in territorial peace agreements, it is not sufficient. One of the agreements without human rights provisions, the Erdut agreement for Eastern Slavonia, did include a high level of international involvement. It was the result of international mediation and a transitional international administration was deployed. This case suggests that the relative capacity of the rebels also matters, and the Serb separatists were, as argued above, virtually defeated. </w:t>
      </w:r>
    </w:p>
    <w:p w14:paraId="3EE4A24C" w14:textId="77777777" w:rsidR="00EA75A0" w:rsidRDefault="00EA75A0" w:rsidP="00EA75A0">
      <w:pPr>
        <w:autoSpaceDE w:val="0"/>
        <w:autoSpaceDN w:val="0"/>
        <w:adjustRightInd w:val="0"/>
        <w:spacing w:after="0" w:line="480" w:lineRule="auto"/>
      </w:pPr>
    </w:p>
    <w:p w14:paraId="64331CEB" w14:textId="77777777" w:rsidR="00EA75A0" w:rsidRDefault="00EA75A0" w:rsidP="00EA75A0">
      <w:pPr>
        <w:autoSpaceDE w:val="0"/>
        <w:autoSpaceDN w:val="0"/>
        <w:adjustRightInd w:val="0"/>
        <w:spacing w:after="0" w:line="480" w:lineRule="auto"/>
        <w:rPr>
          <w:i/>
        </w:rPr>
      </w:pPr>
      <w:r w:rsidRPr="00203D18">
        <w:rPr>
          <w:i/>
        </w:rPr>
        <w:t>Regime type</w:t>
      </w:r>
    </w:p>
    <w:p w14:paraId="6A230F2F" w14:textId="02BC7B69" w:rsidR="00EA75A0" w:rsidRDefault="00EA75A0" w:rsidP="0020777D">
      <w:pPr>
        <w:autoSpaceDE w:val="0"/>
        <w:autoSpaceDN w:val="0"/>
        <w:adjustRightInd w:val="0"/>
        <w:spacing w:after="0" w:line="480" w:lineRule="auto"/>
      </w:pPr>
      <w:r>
        <w:t xml:space="preserve">Regime type is another variable that could be assumed to be of importance, with democracies being more willing to accept human rights provisions or at least make reference to existing safeguards. Authoritarian regimes would be much less likely to accept such reforms. The cases </w:t>
      </w:r>
      <w:r w:rsidR="007060C7">
        <w:t xml:space="preserve">were </w:t>
      </w:r>
      <w:r>
        <w:t>coded according to their Freedom House ranking</w:t>
      </w:r>
      <w:r w:rsidR="007060C7">
        <w:t xml:space="preserve"> the year the peace agreement was signed: free, partly free, or non-free</w:t>
      </w:r>
      <w:r w:rsidR="007060C7">
        <w:rPr>
          <w:rStyle w:val="FootnoteReference"/>
        </w:rPr>
        <w:t xml:space="preserve"> </w:t>
      </w:r>
      <w:r w:rsidR="007060C7">
        <w:t>.</w:t>
      </w:r>
      <w:r w:rsidR="007060C7">
        <w:rPr>
          <w:rStyle w:val="FootnoteReference"/>
        </w:rPr>
        <w:footnoteReference w:id="106"/>
      </w:r>
      <w:r w:rsidR="007060C7">
        <w:t xml:space="preserve"> </w:t>
      </w:r>
      <w:r>
        <w:t xml:space="preserve"> </w:t>
      </w:r>
      <w:r w:rsidR="007060C7">
        <w:t>However,</w:t>
      </w:r>
      <w:r>
        <w:t xml:space="preserve"> no clear pattern emerges. The agreements with human rights provisions were signed by governments classed as free, partly free and non-free, while agreements without such provisions were signed in the context of </w:t>
      </w:r>
      <w:r w:rsidR="007060C7">
        <w:t>both partly free and</w:t>
      </w:r>
      <w:r>
        <w:t xml:space="preserve"> free </w:t>
      </w:r>
      <w:r w:rsidR="007060C7">
        <w:t>regimes</w:t>
      </w:r>
      <w:r>
        <w:t>. One difficulty is that the wars impact on the regime systems and few democratic systems are able to withstand the pressures of a f</w:t>
      </w:r>
      <w:r w:rsidR="007060C7">
        <w:t>ull</w:t>
      </w:r>
      <w:r>
        <w:t xml:space="preserve"> scale civil war. </w:t>
      </w:r>
      <w:r>
        <w:br w:type="page"/>
      </w:r>
    </w:p>
    <w:p w14:paraId="2B1DF2F0" w14:textId="6063FE9F" w:rsidR="00EA75A0" w:rsidRDefault="00EA75A0" w:rsidP="00EA75A0">
      <w:pPr>
        <w:autoSpaceDE w:val="0"/>
        <w:autoSpaceDN w:val="0"/>
        <w:adjustRightInd w:val="0"/>
        <w:spacing w:after="0" w:line="480" w:lineRule="auto"/>
        <w:rPr>
          <w:rFonts w:cstheme="minorHAnsi"/>
          <w:b/>
        </w:rPr>
      </w:pPr>
      <w:r w:rsidRPr="00CC78E1">
        <w:rPr>
          <w:rFonts w:cstheme="minorHAnsi"/>
          <w:b/>
        </w:rPr>
        <w:lastRenderedPageBreak/>
        <w:t xml:space="preserve">Pathways to the Inclusion or Exclusion of Human Rights </w:t>
      </w:r>
    </w:p>
    <w:p w14:paraId="10AC913B" w14:textId="77777777" w:rsidR="002257D8" w:rsidRDefault="00EA75A0" w:rsidP="00EA75A0">
      <w:pPr>
        <w:autoSpaceDE w:val="0"/>
        <w:autoSpaceDN w:val="0"/>
        <w:adjustRightInd w:val="0"/>
        <w:spacing w:after="0" w:line="480" w:lineRule="auto"/>
        <w:rPr>
          <w:rFonts w:cstheme="minorHAnsi"/>
        </w:rPr>
      </w:pPr>
      <w:r>
        <w:rPr>
          <w:rFonts w:cstheme="minorHAnsi"/>
        </w:rPr>
        <w:t>Based</w:t>
      </w:r>
      <w:r w:rsidR="00F050B0">
        <w:rPr>
          <w:rFonts w:cstheme="minorHAnsi"/>
        </w:rPr>
        <w:t xml:space="preserve"> on the discussion </w:t>
      </w:r>
      <w:r>
        <w:rPr>
          <w:rFonts w:cstheme="minorHAnsi"/>
        </w:rPr>
        <w:t xml:space="preserve">above, the variables measuring rebel strength have been combined. Strong rebel movements </w:t>
      </w:r>
      <w:r w:rsidRPr="003D3B52">
        <w:rPr>
          <w:rFonts w:cstheme="minorHAnsi"/>
        </w:rPr>
        <w:t xml:space="preserve">(STRONG in Table </w:t>
      </w:r>
      <w:r w:rsidR="003D3B52" w:rsidRPr="003D3B52">
        <w:rPr>
          <w:rFonts w:cstheme="minorHAnsi"/>
        </w:rPr>
        <w:t>IV</w:t>
      </w:r>
      <w:r w:rsidRPr="003D3B52">
        <w:rPr>
          <w:rFonts w:cstheme="minorHAnsi"/>
        </w:rPr>
        <w:t>)</w:t>
      </w:r>
      <w:r>
        <w:rPr>
          <w:rFonts w:cstheme="minorHAnsi"/>
        </w:rPr>
        <w:t xml:space="preserve"> cover rebel movements that </w:t>
      </w:r>
      <w:r w:rsidR="008A41E8">
        <w:rPr>
          <w:rFonts w:cstheme="minorHAnsi"/>
        </w:rPr>
        <w:t xml:space="preserve">enjoyed </w:t>
      </w:r>
      <w:r>
        <w:rPr>
          <w:rFonts w:cstheme="minorHAnsi"/>
        </w:rPr>
        <w:t xml:space="preserve">a high level of territorial control or whose claim to independence was internationally recognised. Weak rebel movements are militarily weaker or much weaker than the central government and do not control territory. Inclusion </w:t>
      </w:r>
      <w:r w:rsidR="008A41E8">
        <w:rPr>
          <w:rFonts w:cstheme="minorHAnsi"/>
        </w:rPr>
        <w:t xml:space="preserve">of human rights </w:t>
      </w:r>
      <w:r>
        <w:rPr>
          <w:rFonts w:cstheme="minorHAnsi"/>
        </w:rPr>
        <w:t xml:space="preserve">is defined widely to denote the inclusion of overarching rights. </w:t>
      </w:r>
    </w:p>
    <w:p w14:paraId="2A88E9F7" w14:textId="77777777" w:rsidR="002257D8" w:rsidRDefault="002257D8" w:rsidP="00EA75A0">
      <w:pPr>
        <w:autoSpaceDE w:val="0"/>
        <w:autoSpaceDN w:val="0"/>
        <w:adjustRightInd w:val="0"/>
        <w:spacing w:after="0" w:line="480" w:lineRule="auto"/>
        <w:rPr>
          <w:rFonts w:cstheme="minorHAnsi"/>
        </w:rPr>
      </w:pPr>
    </w:p>
    <w:p w14:paraId="3C8469AB" w14:textId="35BD41B3" w:rsidR="00EA75A0" w:rsidRDefault="00EA75A0" w:rsidP="00EA75A0">
      <w:pPr>
        <w:autoSpaceDE w:val="0"/>
        <w:autoSpaceDN w:val="0"/>
        <w:adjustRightInd w:val="0"/>
        <w:spacing w:after="0" w:line="480" w:lineRule="auto"/>
        <w:rPr>
          <w:rFonts w:cstheme="minorHAnsi"/>
        </w:rPr>
      </w:pPr>
      <w:r w:rsidRPr="009D77C7">
        <w:rPr>
          <w:rFonts w:cstheme="minorHAnsi"/>
        </w:rPr>
        <w:t>Two sets of conditions led to the inclusion of human rights in territorial peace agreements</w:t>
      </w:r>
      <w:r w:rsidR="002257D8">
        <w:rPr>
          <w:rFonts w:cstheme="minorHAnsi"/>
        </w:rPr>
        <w:t xml:space="preserve"> (see Table IV)</w:t>
      </w:r>
      <w:r w:rsidRPr="009D77C7">
        <w:rPr>
          <w:rFonts w:cstheme="minorHAnsi"/>
        </w:rPr>
        <w:t xml:space="preserve">. The most common scenario </w:t>
      </w:r>
      <w:r>
        <w:rPr>
          <w:rFonts w:cstheme="minorHAnsi"/>
        </w:rPr>
        <w:t>combines</w:t>
      </w:r>
      <w:r w:rsidRPr="009D77C7">
        <w:rPr>
          <w:rFonts w:cstheme="minorHAnsi"/>
        </w:rPr>
        <w:t xml:space="preserve"> high levels of autonomy, a strong rebel position</w:t>
      </w:r>
      <w:r w:rsidR="008A41E8">
        <w:rPr>
          <w:rFonts w:cstheme="minorHAnsi"/>
        </w:rPr>
        <w:t>,</w:t>
      </w:r>
      <w:r w:rsidRPr="009D77C7">
        <w:rPr>
          <w:rFonts w:cstheme="minorHAnsi"/>
        </w:rPr>
        <w:t xml:space="preserve"> and an international peace mission</w:t>
      </w:r>
      <w:r w:rsidR="008A41E8">
        <w:rPr>
          <w:rFonts w:cstheme="minorHAnsi"/>
        </w:rPr>
        <w:t xml:space="preserve"> (Bosnia, Sudan, Bougainville, Aceh, East Timor)</w:t>
      </w:r>
      <w:r w:rsidRPr="009D77C7">
        <w:rPr>
          <w:rFonts w:cstheme="minorHAnsi"/>
        </w:rPr>
        <w:t xml:space="preserve">. The central government either pushed for human rights provisions as a strategy for tying the region to the centre, or accepted reforms at the centre in the face of </w:t>
      </w:r>
      <w:r>
        <w:rPr>
          <w:rFonts w:cstheme="minorHAnsi"/>
        </w:rPr>
        <w:t xml:space="preserve">strong </w:t>
      </w:r>
      <w:r w:rsidRPr="009D77C7">
        <w:rPr>
          <w:rFonts w:cstheme="minorHAnsi"/>
        </w:rPr>
        <w:t>rebel demands and extensive international involvement.  The s</w:t>
      </w:r>
      <w:r w:rsidR="00791551">
        <w:rPr>
          <w:rFonts w:cstheme="minorHAnsi"/>
        </w:rPr>
        <w:t>econd set of conditions include</w:t>
      </w:r>
      <w:r w:rsidRPr="009D77C7">
        <w:rPr>
          <w:rFonts w:cstheme="minorHAnsi"/>
        </w:rPr>
        <w:t xml:space="preserve"> settlements with no </w:t>
      </w:r>
      <w:r>
        <w:rPr>
          <w:rFonts w:cstheme="minorHAnsi"/>
        </w:rPr>
        <w:t xml:space="preserve">territorial autonomy </w:t>
      </w:r>
      <w:r w:rsidRPr="009D77C7">
        <w:rPr>
          <w:rFonts w:cstheme="minorHAnsi"/>
        </w:rPr>
        <w:t xml:space="preserve">and an international mission </w:t>
      </w:r>
      <w:r w:rsidR="008A41E8">
        <w:rPr>
          <w:rFonts w:cstheme="minorHAnsi"/>
        </w:rPr>
        <w:t>(Macedonia</w:t>
      </w:r>
      <w:r w:rsidR="00791551">
        <w:rPr>
          <w:rFonts w:cstheme="minorHAnsi"/>
        </w:rPr>
        <w:t xml:space="preserve"> and Northern Ireland</w:t>
      </w:r>
      <w:r w:rsidR="008A41E8">
        <w:rPr>
          <w:rFonts w:cstheme="minorHAnsi"/>
        </w:rPr>
        <w:t>)</w:t>
      </w:r>
      <w:r w:rsidR="00791551">
        <w:rPr>
          <w:rFonts w:cstheme="minorHAnsi"/>
        </w:rPr>
        <w:t xml:space="preserve">. </w:t>
      </w:r>
      <w:r w:rsidRPr="009D77C7">
        <w:rPr>
          <w:rFonts w:cstheme="minorHAnsi"/>
        </w:rPr>
        <w:t>In this scenario, the limited territorial autonomy led to greater rebel demands for h</w:t>
      </w:r>
      <w:r>
        <w:rPr>
          <w:rFonts w:cstheme="minorHAnsi"/>
        </w:rPr>
        <w:t>uman rights provisions, to ensure group protections. These</w:t>
      </w:r>
      <w:r w:rsidRPr="009D77C7">
        <w:rPr>
          <w:rFonts w:cstheme="minorHAnsi"/>
        </w:rPr>
        <w:t xml:space="preserve"> demands were </w:t>
      </w:r>
      <w:r>
        <w:rPr>
          <w:rFonts w:cstheme="minorHAnsi"/>
        </w:rPr>
        <w:t>strengthened by international pressures</w:t>
      </w:r>
      <w:r w:rsidRPr="009D77C7">
        <w:rPr>
          <w:rFonts w:cstheme="minorHAnsi"/>
        </w:rPr>
        <w:t xml:space="preserve">. </w:t>
      </w:r>
      <w:r w:rsidRPr="00C20D23">
        <w:rPr>
          <w:rFonts w:cstheme="minorHAnsi"/>
        </w:rPr>
        <w:t xml:space="preserve">The rebel movements are not militarily strong in these cases, but their demands do enjoy some external support and they represent a sizeable minority group. </w:t>
      </w:r>
    </w:p>
    <w:p w14:paraId="3ED6906D" w14:textId="77777777" w:rsidR="00EA75A0" w:rsidRDefault="00EA75A0" w:rsidP="00EA75A0">
      <w:pPr>
        <w:autoSpaceDE w:val="0"/>
        <w:autoSpaceDN w:val="0"/>
        <w:adjustRightInd w:val="0"/>
        <w:spacing w:after="0" w:line="480" w:lineRule="auto"/>
        <w:rPr>
          <w:rFonts w:cstheme="minorHAnsi"/>
        </w:rPr>
      </w:pPr>
    </w:p>
    <w:p w14:paraId="486F6E21" w14:textId="431E8E84" w:rsidR="00EA75A0" w:rsidRDefault="00EA75A0" w:rsidP="00EA75A0">
      <w:pPr>
        <w:autoSpaceDE w:val="0"/>
        <w:autoSpaceDN w:val="0"/>
        <w:adjustRightInd w:val="0"/>
        <w:spacing w:after="0" w:line="480" w:lineRule="auto"/>
        <w:rPr>
          <w:rFonts w:cstheme="minorHAnsi"/>
        </w:rPr>
      </w:pPr>
      <w:r>
        <w:rPr>
          <w:rFonts w:cstheme="minorHAnsi"/>
        </w:rPr>
        <w:t>Two sets of conditions were also found to lead to human rights being excluded from territorial peace agreements. The most common pathway included low or medium levels of territorial autonomy, a weak rebel position, and the absence of an international mission</w:t>
      </w:r>
      <w:r w:rsidR="00100385">
        <w:rPr>
          <w:rFonts w:cstheme="minorHAnsi"/>
        </w:rPr>
        <w:t xml:space="preserve"> </w:t>
      </w:r>
      <w:r w:rsidR="00791551">
        <w:rPr>
          <w:rFonts w:cstheme="minorHAnsi"/>
        </w:rPr>
        <w:t>(</w:t>
      </w:r>
      <w:r w:rsidR="00100385">
        <w:rPr>
          <w:rFonts w:cstheme="minorHAnsi"/>
        </w:rPr>
        <w:t>Bodoland, Chittagong Hills Tract, Israel/Palestine, Mali, Mindanao, Niger)</w:t>
      </w:r>
      <w:r>
        <w:rPr>
          <w:rFonts w:cstheme="minorHAnsi"/>
        </w:rPr>
        <w:t xml:space="preserve">. In cases of low levels of territorial autonomy, human rights provisions may have been demanded by the rebel side to </w:t>
      </w:r>
      <w:r>
        <w:rPr>
          <w:rFonts w:cstheme="minorHAnsi"/>
        </w:rPr>
        <w:lastRenderedPageBreak/>
        <w:t xml:space="preserve">ensure group protections. However, such provisions at the regional level could have undermined the territorial </w:t>
      </w:r>
      <w:r w:rsidR="00100385">
        <w:rPr>
          <w:rFonts w:cstheme="minorHAnsi"/>
        </w:rPr>
        <w:t>autonomy that they had achieved</w:t>
      </w:r>
      <w:r w:rsidR="00791551">
        <w:rPr>
          <w:rFonts w:cstheme="minorHAnsi"/>
        </w:rPr>
        <w:t xml:space="preserve">, while their weak </w:t>
      </w:r>
      <w:r w:rsidR="00100385">
        <w:rPr>
          <w:rFonts w:cstheme="minorHAnsi"/>
        </w:rPr>
        <w:t>position</w:t>
      </w:r>
      <w:r>
        <w:rPr>
          <w:rFonts w:cstheme="minorHAnsi"/>
        </w:rPr>
        <w:t xml:space="preserve"> and </w:t>
      </w:r>
      <w:r w:rsidR="00791551">
        <w:rPr>
          <w:rFonts w:cstheme="minorHAnsi"/>
        </w:rPr>
        <w:t xml:space="preserve">the </w:t>
      </w:r>
      <w:r>
        <w:rPr>
          <w:rFonts w:cstheme="minorHAnsi"/>
        </w:rPr>
        <w:t xml:space="preserve">lack of extensive international involvement made them unable to ensure reforms at the centre. The final pattern includes agreements with no territorial autonomy and rebels that were in such a weak position, either due to imminent defeat </w:t>
      </w:r>
      <w:r w:rsidR="00100385">
        <w:rPr>
          <w:rFonts w:cstheme="minorHAnsi"/>
        </w:rPr>
        <w:t xml:space="preserve">(Eastern Slavonia) </w:t>
      </w:r>
      <w:r>
        <w:rPr>
          <w:rFonts w:cstheme="minorHAnsi"/>
        </w:rPr>
        <w:t>or due to internal divisions and lack of international involvement</w:t>
      </w:r>
      <w:r w:rsidR="00100385">
        <w:rPr>
          <w:rFonts w:cstheme="minorHAnsi"/>
        </w:rPr>
        <w:t xml:space="preserve"> (Casamance)</w:t>
      </w:r>
      <w:r>
        <w:rPr>
          <w:rFonts w:cstheme="minorHAnsi"/>
        </w:rPr>
        <w:t xml:space="preserve">, that they were unable to push for human rights provisions. </w:t>
      </w:r>
    </w:p>
    <w:p w14:paraId="75E0BB3B" w14:textId="77777777" w:rsidR="00EA75A0" w:rsidRDefault="00EA75A0" w:rsidP="00EA75A0">
      <w:pPr>
        <w:autoSpaceDE w:val="0"/>
        <w:autoSpaceDN w:val="0"/>
        <w:adjustRightInd w:val="0"/>
        <w:spacing w:after="0" w:line="480" w:lineRule="auto"/>
        <w:rPr>
          <w:rFonts w:cstheme="minorHAnsi"/>
        </w:rPr>
      </w:pPr>
    </w:p>
    <w:p w14:paraId="497BBF11" w14:textId="775FAE01" w:rsidR="00EA75A0" w:rsidRPr="000A3D04" w:rsidRDefault="00EA75A0" w:rsidP="00EA75A0">
      <w:pPr>
        <w:autoSpaceDE w:val="0"/>
        <w:autoSpaceDN w:val="0"/>
        <w:adjustRightInd w:val="0"/>
        <w:spacing w:after="0" w:line="480" w:lineRule="auto"/>
        <w:rPr>
          <w:rFonts w:cstheme="minorHAnsi"/>
          <w:b/>
        </w:rPr>
      </w:pPr>
      <w:r w:rsidRPr="000A3D04">
        <w:rPr>
          <w:rFonts w:cstheme="minorHAnsi"/>
          <w:b/>
        </w:rPr>
        <w:t xml:space="preserve">Table </w:t>
      </w:r>
      <w:r w:rsidR="003D3B52">
        <w:rPr>
          <w:rFonts w:cstheme="minorHAnsi"/>
          <w:b/>
        </w:rPr>
        <w:t>IV.</w:t>
      </w:r>
      <w:r w:rsidRPr="000A3D04">
        <w:rPr>
          <w:rFonts w:cstheme="minorHAnsi"/>
          <w:b/>
        </w:rPr>
        <w:t xml:space="preserve"> Pathways to Inclusion or Exclusion of Human Rights</w:t>
      </w:r>
    </w:p>
    <w:tbl>
      <w:tblPr>
        <w:tblStyle w:val="TableGrid"/>
        <w:tblW w:w="0" w:type="auto"/>
        <w:tblLook w:val="04A0" w:firstRow="1" w:lastRow="0" w:firstColumn="1" w:lastColumn="0" w:noHBand="0" w:noVBand="1"/>
      </w:tblPr>
      <w:tblGrid>
        <w:gridCol w:w="1315"/>
        <w:gridCol w:w="2683"/>
        <w:gridCol w:w="1705"/>
        <w:gridCol w:w="1319"/>
        <w:gridCol w:w="1472"/>
      </w:tblGrid>
      <w:tr w:rsidR="00EA75A0" w:rsidRPr="00791551" w14:paraId="02999461" w14:textId="77777777" w:rsidTr="00791551">
        <w:trPr>
          <w:trHeight w:val="439"/>
        </w:trPr>
        <w:tc>
          <w:tcPr>
            <w:tcW w:w="1497" w:type="dxa"/>
          </w:tcPr>
          <w:p w14:paraId="2B5DDA1A" w14:textId="77777777" w:rsidR="00EA75A0" w:rsidRPr="00791551" w:rsidRDefault="00EA75A0" w:rsidP="00791551">
            <w:pPr>
              <w:pStyle w:val="NoSpacing"/>
              <w:rPr>
                <w:b/>
              </w:rPr>
            </w:pPr>
            <w:r w:rsidRPr="00791551">
              <w:rPr>
                <w:b/>
              </w:rPr>
              <w:t>Outcome</w:t>
            </w:r>
          </w:p>
        </w:tc>
        <w:tc>
          <w:tcPr>
            <w:tcW w:w="2683" w:type="dxa"/>
          </w:tcPr>
          <w:p w14:paraId="4A84D2A3" w14:textId="77777777" w:rsidR="00EA75A0" w:rsidRPr="00791551" w:rsidRDefault="00EA75A0" w:rsidP="00791551">
            <w:pPr>
              <w:pStyle w:val="NoSpacing"/>
              <w:rPr>
                <w:b/>
              </w:rPr>
            </w:pPr>
            <w:r w:rsidRPr="00791551">
              <w:rPr>
                <w:b/>
              </w:rPr>
              <w:t>Solution term</w:t>
            </w:r>
          </w:p>
        </w:tc>
        <w:tc>
          <w:tcPr>
            <w:tcW w:w="1741" w:type="dxa"/>
          </w:tcPr>
          <w:p w14:paraId="6491A415" w14:textId="77777777" w:rsidR="00EA75A0" w:rsidRPr="00791551" w:rsidRDefault="00EA75A0" w:rsidP="00791551">
            <w:pPr>
              <w:pStyle w:val="NoSpacing"/>
              <w:rPr>
                <w:b/>
              </w:rPr>
            </w:pPr>
            <w:r w:rsidRPr="00791551">
              <w:rPr>
                <w:b/>
              </w:rPr>
              <w:t>Cases covered</w:t>
            </w:r>
          </w:p>
        </w:tc>
        <w:tc>
          <w:tcPr>
            <w:tcW w:w="1499" w:type="dxa"/>
          </w:tcPr>
          <w:p w14:paraId="4250B6E9" w14:textId="77777777" w:rsidR="00EA75A0" w:rsidRPr="00791551" w:rsidRDefault="00EA75A0" w:rsidP="00791551">
            <w:pPr>
              <w:pStyle w:val="NoSpacing"/>
              <w:rPr>
                <w:b/>
              </w:rPr>
            </w:pPr>
            <w:r w:rsidRPr="00791551">
              <w:rPr>
                <w:b/>
              </w:rPr>
              <w:t>Coverage</w:t>
            </w:r>
          </w:p>
        </w:tc>
        <w:tc>
          <w:tcPr>
            <w:tcW w:w="1596" w:type="dxa"/>
          </w:tcPr>
          <w:p w14:paraId="2D85D719" w14:textId="77777777" w:rsidR="00EA75A0" w:rsidRPr="00791551" w:rsidRDefault="00EA75A0" w:rsidP="00791551">
            <w:pPr>
              <w:pStyle w:val="NoSpacing"/>
              <w:rPr>
                <w:b/>
              </w:rPr>
            </w:pPr>
            <w:r w:rsidRPr="00791551">
              <w:rPr>
                <w:b/>
              </w:rPr>
              <w:t>Consistency</w:t>
            </w:r>
          </w:p>
        </w:tc>
      </w:tr>
      <w:tr w:rsidR="00EA75A0" w14:paraId="64058783" w14:textId="77777777" w:rsidTr="00791551">
        <w:trPr>
          <w:trHeight w:val="1268"/>
        </w:trPr>
        <w:tc>
          <w:tcPr>
            <w:tcW w:w="1497" w:type="dxa"/>
          </w:tcPr>
          <w:p w14:paraId="58DE0CDA" w14:textId="77777777" w:rsidR="00EA75A0" w:rsidRDefault="00EA75A0" w:rsidP="00791551">
            <w:pPr>
              <w:pStyle w:val="NoSpacing"/>
            </w:pPr>
            <w:r>
              <w:t>Inclusion</w:t>
            </w:r>
          </w:p>
        </w:tc>
        <w:tc>
          <w:tcPr>
            <w:tcW w:w="2683" w:type="dxa"/>
          </w:tcPr>
          <w:p w14:paraId="599FE934" w14:textId="77777777" w:rsidR="00EA75A0" w:rsidRDefault="00EA75A0" w:rsidP="00791551">
            <w:pPr>
              <w:pStyle w:val="NoSpacing"/>
            </w:pPr>
            <w:r>
              <w:t>HIGHAUT*STRONG*INTMIS</w:t>
            </w:r>
          </w:p>
        </w:tc>
        <w:tc>
          <w:tcPr>
            <w:tcW w:w="1741" w:type="dxa"/>
          </w:tcPr>
          <w:p w14:paraId="66C250D9" w14:textId="77777777" w:rsidR="00EA75A0" w:rsidRDefault="00EA75A0" w:rsidP="00791551">
            <w:pPr>
              <w:pStyle w:val="NoSpacing"/>
            </w:pPr>
            <w:r>
              <w:t>Bosnia, Sudan, Bougainville, Aceh, East Timor</w:t>
            </w:r>
          </w:p>
        </w:tc>
        <w:tc>
          <w:tcPr>
            <w:tcW w:w="1499" w:type="dxa"/>
          </w:tcPr>
          <w:p w14:paraId="47A47052" w14:textId="77777777" w:rsidR="00EA75A0" w:rsidRDefault="00EA75A0" w:rsidP="00791551">
            <w:pPr>
              <w:pStyle w:val="NoSpacing"/>
            </w:pPr>
            <w:r>
              <w:t>0.71</w:t>
            </w:r>
          </w:p>
        </w:tc>
        <w:tc>
          <w:tcPr>
            <w:tcW w:w="1596" w:type="dxa"/>
          </w:tcPr>
          <w:p w14:paraId="0A75CB51" w14:textId="77777777" w:rsidR="00EA75A0" w:rsidRDefault="00EA75A0" w:rsidP="00791551">
            <w:pPr>
              <w:pStyle w:val="NoSpacing"/>
            </w:pPr>
            <w:r>
              <w:t>1.00</w:t>
            </w:r>
          </w:p>
        </w:tc>
      </w:tr>
      <w:tr w:rsidR="00EA75A0" w14:paraId="1F9D3E27" w14:textId="77777777" w:rsidTr="00791551">
        <w:trPr>
          <w:trHeight w:val="974"/>
        </w:trPr>
        <w:tc>
          <w:tcPr>
            <w:tcW w:w="1497" w:type="dxa"/>
          </w:tcPr>
          <w:p w14:paraId="432CA96C" w14:textId="77777777" w:rsidR="00EA75A0" w:rsidRDefault="00EA75A0" w:rsidP="00791551">
            <w:pPr>
              <w:pStyle w:val="NoSpacing"/>
            </w:pPr>
            <w:r>
              <w:t>Inclusion</w:t>
            </w:r>
          </w:p>
        </w:tc>
        <w:tc>
          <w:tcPr>
            <w:tcW w:w="2683" w:type="dxa"/>
          </w:tcPr>
          <w:p w14:paraId="236C5F3D" w14:textId="1B061B8A" w:rsidR="00EA75A0" w:rsidRDefault="00E96A37" w:rsidP="00791551">
            <w:pPr>
              <w:pStyle w:val="NoSpacing"/>
            </w:pPr>
            <w:r>
              <w:t>NO</w:t>
            </w:r>
            <w:r w:rsidR="00EA75A0">
              <w:t>AUT*INTMIS</w:t>
            </w:r>
          </w:p>
        </w:tc>
        <w:tc>
          <w:tcPr>
            <w:tcW w:w="1741" w:type="dxa"/>
          </w:tcPr>
          <w:p w14:paraId="0F8E7A2F" w14:textId="77777777" w:rsidR="00EA75A0" w:rsidRDefault="00EA75A0" w:rsidP="00791551">
            <w:pPr>
              <w:pStyle w:val="NoSpacing"/>
            </w:pPr>
            <w:r>
              <w:t>Northern Ireland, Macedonia</w:t>
            </w:r>
          </w:p>
        </w:tc>
        <w:tc>
          <w:tcPr>
            <w:tcW w:w="1499" w:type="dxa"/>
          </w:tcPr>
          <w:p w14:paraId="67F21A70" w14:textId="77777777" w:rsidR="00EA75A0" w:rsidRDefault="00EA75A0" w:rsidP="00791551">
            <w:pPr>
              <w:pStyle w:val="NoSpacing"/>
            </w:pPr>
            <w:r>
              <w:t>0.29</w:t>
            </w:r>
          </w:p>
        </w:tc>
        <w:tc>
          <w:tcPr>
            <w:tcW w:w="1596" w:type="dxa"/>
          </w:tcPr>
          <w:p w14:paraId="4DED31D3" w14:textId="77777777" w:rsidR="00EA75A0" w:rsidRDefault="00EA75A0" w:rsidP="00791551">
            <w:pPr>
              <w:pStyle w:val="NoSpacing"/>
            </w:pPr>
            <w:r>
              <w:t>1.00</w:t>
            </w:r>
          </w:p>
        </w:tc>
      </w:tr>
      <w:tr w:rsidR="00EA75A0" w14:paraId="7275F2B0" w14:textId="77777777" w:rsidTr="00791551">
        <w:trPr>
          <w:trHeight w:val="1839"/>
        </w:trPr>
        <w:tc>
          <w:tcPr>
            <w:tcW w:w="1497" w:type="dxa"/>
          </w:tcPr>
          <w:p w14:paraId="6E66111E" w14:textId="77777777" w:rsidR="00EA75A0" w:rsidRDefault="00EA75A0" w:rsidP="00791551">
            <w:pPr>
              <w:pStyle w:val="NoSpacing"/>
            </w:pPr>
            <w:r>
              <w:t>Exclusion</w:t>
            </w:r>
          </w:p>
        </w:tc>
        <w:tc>
          <w:tcPr>
            <w:tcW w:w="2683" w:type="dxa"/>
          </w:tcPr>
          <w:p w14:paraId="5CAB9984" w14:textId="00D76C87" w:rsidR="00EA75A0" w:rsidRDefault="00EA75A0" w:rsidP="00791551">
            <w:pPr>
              <w:pStyle w:val="NoSpacing"/>
            </w:pPr>
            <w:r>
              <w:t>L</w:t>
            </w:r>
            <w:r w:rsidR="00E96A37">
              <w:t>IM</w:t>
            </w:r>
            <w:r>
              <w:t>AUT*strong*intmis</w:t>
            </w:r>
          </w:p>
        </w:tc>
        <w:tc>
          <w:tcPr>
            <w:tcW w:w="1741" w:type="dxa"/>
          </w:tcPr>
          <w:p w14:paraId="3E2D5344" w14:textId="77777777" w:rsidR="00EA75A0" w:rsidRDefault="00EA75A0" w:rsidP="00791551">
            <w:pPr>
              <w:pStyle w:val="NoSpacing"/>
            </w:pPr>
            <w:r>
              <w:t>Bodoland, Chittagong Hills Tract, Israel/Palestine, Mali, Mindanao, Niger</w:t>
            </w:r>
          </w:p>
        </w:tc>
        <w:tc>
          <w:tcPr>
            <w:tcW w:w="1499" w:type="dxa"/>
          </w:tcPr>
          <w:p w14:paraId="6BE02A46" w14:textId="77777777" w:rsidR="00EA75A0" w:rsidRDefault="00EA75A0" w:rsidP="00791551">
            <w:pPr>
              <w:pStyle w:val="NoSpacing"/>
            </w:pPr>
            <w:r>
              <w:t>0.75</w:t>
            </w:r>
          </w:p>
        </w:tc>
        <w:tc>
          <w:tcPr>
            <w:tcW w:w="1596" w:type="dxa"/>
          </w:tcPr>
          <w:p w14:paraId="11C29FB7" w14:textId="77777777" w:rsidR="00EA75A0" w:rsidRDefault="00EA75A0" w:rsidP="00791551">
            <w:pPr>
              <w:pStyle w:val="NoSpacing"/>
            </w:pPr>
            <w:r>
              <w:t>1.00</w:t>
            </w:r>
          </w:p>
        </w:tc>
      </w:tr>
      <w:tr w:rsidR="00EA75A0" w14:paraId="3E0EC27A" w14:textId="77777777" w:rsidTr="00791551">
        <w:trPr>
          <w:trHeight w:val="986"/>
        </w:trPr>
        <w:tc>
          <w:tcPr>
            <w:tcW w:w="1497" w:type="dxa"/>
          </w:tcPr>
          <w:p w14:paraId="31EC4785" w14:textId="77777777" w:rsidR="00EA75A0" w:rsidRDefault="00EA75A0" w:rsidP="00791551">
            <w:pPr>
              <w:pStyle w:val="NoSpacing"/>
            </w:pPr>
            <w:r>
              <w:t>Exclusion</w:t>
            </w:r>
          </w:p>
        </w:tc>
        <w:tc>
          <w:tcPr>
            <w:tcW w:w="2683" w:type="dxa"/>
          </w:tcPr>
          <w:p w14:paraId="50807D47" w14:textId="77777777" w:rsidR="00EA75A0" w:rsidRDefault="00EA75A0" w:rsidP="00791551">
            <w:pPr>
              <w:pStyle w:val="NoSpacing"/>
            </w:pPr>
            <w:r>
              <w:t>NOAUT*strong</w:t>
            </w:r>
          </w:p>
        </w:tc>
        <w:tc>
          <w:tcPr>
            <w:tcW w:w="1741" w:type="dxa"/>
          </w:tcPr>
          <w:p w14:paraId="6C52DCF7" w14:textId="77777777" w:rsidR="00EA75A0" w:rsidRDefault="00EA75A0" w:rsidP="00791551">
            <w:pPr>
              <w:pStyle w:val="NoSpacing"/>
            </w:pPr>
            <w:r>
              <w:t>Eastern Slavonia, Casamance</w:t>
            </w:r>
          </w:p>
        </w:tc>
        <w:tc>
          <w:tcPr>
            <w:tcW w:w="1499" w:type="dxa"/>
          </w:tcPr>
          <w:p w14:paraId="41F3D735" w14:textId="77777777" w:rsidR="00EA75A0" w:rsidRDefault="00EA75A0" w:rsidP="00791551">
            <w:pPr>
              <w:pStyle w:val="NoSpacing"/>
            </w:pPr>
            <w:r>
              <w:t>0.25</w:t>
            </w:r>
          </w:p>
        </w:tc>
        <w:tc>
          <w:tcPr>
            <w:tcW w:w="1596" w:type="dxa"/>
          </w:tcPr>
          <w:p w14:paraId="4293E040" w14:textId="77777777" w:rsidR="00EA75A0" w:rsidRDefault="00EA75A0" w:rsidP="00791551">
            <w:pPr>
              <w:pStyle w:val="NoSpacing"/>
            </w:pPr>
            <w:r>
              <w:t>1.00</w:t>
            </w:r>
          </w:p>
        </w:tc>
      </w:tr>
    </w:tbl>
    <w:p w14:paraId="5747AA3F" w14:textId="76139DB8" w:rsidR="00EA75A0" w:rsidRPr="00B44185" w:rsidRDefault="00EA75A0" w:rsidP="00791551">
      <w:pPr>
        <w:spacing w:line="360" w:lineRule="auto"/>
        <w:rPr>
          <w:rFonts w:eastAsia="Times New Roman" w:cs="Arial"/>
          <w:lang w:val="en-US" w:eastAsia="en-GB"/>
        </w:rPr>
      </w:pPr>
      <w:r w:rsidRPr="00A55DD2">
        <w:rPr>
          <w:i/>
        </w:rPr>
        <w:t>Notes:</w:t>
      </w:r>
      <w:r>
        <w:t xml:space="preserve"> STRONG = rebel movement in a strong position, INTMIS = international mission, </w:t>
      </w:r>
      <w:r>
        <w:rPr>
          <w:rFonts w:cstheme="minorHAnsi"/>
        </w:rPr>
        <w:t xml:space="preserve">HIGHAUT – high level of territorial autonomy, NOAUT = no territorial autonomy, </w:t>
      </w:r>
      <w:r w:rsidR="00E96A37">
        <w:rPr>
          <w:rFonts w:cstheme="minorHAnsi"/>
        </w:rPr>
        <w:t>LIM</w:t>
      </w:r>
      <w:r>
        <w:rPr>
          <w:rFonts w:cstheme="minorHAnsi"/>
        </w:rPr>
        <w:t xml:space="preserve">AUT = </w:t>
      </w:r>
      <w:r w:rsidR="00E96A37">
        <w:rPr>
          <w:rFonts w:cstheme="minorHAnsi"/>
        </w:rPr>
        <w:t>limited territorial autonomy, which includes low and medium levels</w:t>
      </w:r>
      <w:r>
        <w:t xml:space="preserve">. Capital letters denote that a condition is present, lower case that it is absent. </w:t>
      </w:r>
    </w:p>
    <w:p w14:paraId="34345159" w14:textId="13D71808" w:rsidR="00791551" w:rsidRDefault="00791551" w:rsidP="00EA75A0">
      <w:pPr>
        <w:autoSpaceDE w:val="0"/>
        <w:autoSpaceDN w:val="0"/>
        <w:adjustRightInd w:val="0"/>
        <w:spacing w:after="0" w:line="480" w:lineRule="auto"/>
        <w:rPr>
          <w:rFonts w:cstheme="minorHAnsi"/>
        </w:rPr>
      </w:pPr>
    </w:p>
    <w:p w14:paraId="3DC196D1" w14:textId="77777777" w:rsidR="0020777D" w:rsidRDefault="0020777D" w:rsidP="00EA75A0">
      <w:pPr>
        <w:autoSpaceDE w:val="0"/>
        <w:autoSpaceDN w:val="0"/>
        <w:adjustRightInd w:val="0"/>
        <w:spacing w:after="0" w:line="480" w:lineRule="auto"/>
        <w:rPr>
          <w:rFonts w:cstheme="minorHAnsi"/>
        </w:rPr>
      </w:pPr>
    </w:p>
    <w:p w14:paraId="15B055CA" w14:textId="77777777" w:rsidR="00CB6B52" w:rsidRDefault="00CB6B52" w:rsidP="008B4824">
      <w:pPr>
        <w:spacing w:line="480" w:lineRule="auto"/>
        <w:rPr>
          <w:rFonts w:cs="TimesNewRoman"/>
          <w:b/>
          <w:noProof/>
        </w:rPr>
      </w:pPr>
      <w:r w:rsidRPr="00CB6B52">
        <w:rPr>
          <w:rFonts w:cs="TimesNewRoman"/>
          <w:b/>
          <w:noProof/>
        </w:rPr>
        <w:lastRenderedPageBreak/>
        <w:t>Implementing Human Rights</w:t>
      </w:r>
    </w:p>
    <w:p w14:paraId="73354B64" w14:textId="637CEC60" w:rsidR="001C1C30" w:rsidRDefault="001C1C30" w:rsidP="001C1C30">
      <w:pPr>
        <w:spacing w:line="480" w:lineRule="auto"/>
        <w:rPr>
          <w:rFonts w:cs="Times New Roman"/>
        </w:rPr>
      </w:pPr>
      <w:r>
        <w:rPr>
          <w:rFonts w:cs="Times New Roman"/>
        </w:rPr>
        <w:t>The above analysis has found that territorial peace agreements are less likely to include human rights provisions than peace agreements signed in non-territorial conflicts. Moreover, the territorial peace agreements that do include such provisions tend be the result of significant in</w:t>
      </w:r>
      <w:r w:rsidR="00597003">
        <w:rPr>
          <w:rFonts w:cs="Times New Roman"/>
        </w:rPr>
        <w:t xml:space="preserve">ternational involvement and often </w:t>
      </w:r>
      <w:r>
        <w:rPr>
          <w:rFonts w:cs="Times New Roman"/>
        </w:rPr>
        <w:t xml:space="preserve">coincide with </w:t>
      </w:r>
      <w:r w:rsidR="0007759B">
        <w:rPr>
          <w:rFonts w:cs="Times New Roman"/>
        </w:rPr>
        <w:t xml:space="preserve">considerable </w:t>
      </w:r>
      <w:r>
        <w:rPr>
          <w:rFonts w:cs="Times New Roman"/>
        </w:rPr>
        <w:t xml:space="preserve">rebel strength and extensive territorial autonomy. This context is also likely to affect the implementation of such provisions. </w:t>
      </w:r>
    </w:p>
    <w:p w14:paraId="3B1E223D" w14:textId="41B35154" w:rsidR="00BC75B7" w:rsidRDefault="009B2B5B" w:rsidP="00A7713F">
      <w:pPr>
        <w:spacing w:line="480" w:lineRule="auto"/>
      </w:pPr>
      <w:r>
        <w:t>Human rights provisions are often difficult to implement,</w:t>
      </w:r>
      <w:r w:rsidR="00BC298E">
        <w:rPr>
          <w:rStyle w:val="FootnoteReference"/>
        </w:rPr>
        <w:footnoteReference w:id="107"/>
      </w:r>
      <w:r>
        <w:t xml:space="preserve"> but many </w:t>
      </w:r>
      <w:r w:rsidRPr="00FA0765">
        <w:rPr>
          <w:i/>
        </w:rPr>
        <w:t>are</w:t>
      </w:r>
      <w:r>
        <w:t xml:space="preserve"> implemented, even if </w:t>
      </w:r>
      <w:r w:rsidR="00C73150">
        <w:t>im</w:t>
      </w:r>
      <w:r>
        <w:t xml:space="preserve">perfectly. </w:t>
      </w:r>
      <w:r w:rsidR="003C048E">
        <w:t xml:space="preserve">Data from the </w:t>
      </w:r>
      <w:r>
        <w:t>Peace Accords Matrix</w:t>
      </w:r>
      <w:r w:rsidR="003C048E">
        <w:t>, which</w:t>
      </w:r>
      <w:r>
        <w:t xml:space="preserve"> </w:t>
      </w:r>
      <w:r w:rsidR="003C048E">
        <w:t>track</w:t>
      </w:r>
      <w:r w:rsidR="00480616">
        <w:t>s</w:t>
      </w:r>
      <w:r w:rsidR="003C048E">
        <w:t xml:space="preserve"> implementation of different parts of peace settlements, shows </w:t>
      </w:r>
      <w:r w:rsidR="00C73150">
        <w:t xml:space="preserve">that </w:t>
      </w:r>
      <w:r w:rsidR="00480616">
        <w:t>all fourteen</w:t>
      </w:r>
      <w:r w:rsidR="003C048E">
        <w:t xml:space="preserve"> agreements that included a section on human rights impleme</w:t>
      </w:r>
      <w:r w:rsidR="00480616">
        <w:t xml:space="preserve">nted </w:t>
      </w:r>
      <w:r w:rsidR="00FA0765">
        <w:t xml:space="preserve">at least </w:t>
      </w:r>
      <w:r w:rsidR="00480616">
        <w:t>some of these provisions. H</w:t>
      </w:r>
      <w:r w:rsidR="001E4046">
        <w:t>uman rights were categoriz</w:t>
      </w:r>
      <w:r w:rsidR="003C048E">
        <w:t>ed as ‘fully implemented’ in five of the cases, ‘intermediate’ in seven cases, and ‘minimum’</w:t>
      </w:r>
      <w:r w:rsidR="00BC298E">
        <w:t xml:space="preserve"> in only two.</w:t>
      </w:r>
      <w:r w:rsidR="00BC298E">
        <w:rPr>
          <w:rStyle w:val="FootnoteReference"/>
        </w:rPr>
        <w:footnoteReference w:id="108"/>
      </w:r>
      <w:r w:rsidR="001C1C30">
        <w:t xml:space="preserve"> </w:t>
      </w:r>
      <w:r w:rsidR="00BC75B7">
        <w:t>Moreover, the PAM data supports the hypothesis that implementation difficul</w:t>
      </w:r>
      <w:r w:rsidR="00480616">
        <w:t xml:space="preserve">ties are more severe in </w:t>
      </w:r>
      <w:r w:rsidR="00BC75B7">
        <w:t xml:space="preserve">territorial agreements. </w:t>
      </w:r>
      <w:r w:rsidR="003C048E">
        <w:t xml:space="preserve">Among the </w:t>
      </w:r>
      <w:r w:rsidR="00343028">
        <w:t xml:space="preserve">five </w:t>
      </w:r>
      <w:r w:rsidR="003C048E">
        <w:t>territorial conflicts whose settlement includes a human rights section, we only find one case</w:t>
      </w:r>
      <w:r w:rsidR="00343028">
        <w:t xml:space="preserve"> (</w:t>
      </w:r>
      <w:r w:rsidR="00BC75B7">
        <w:t>20</w:t>
      </w:r>
      <w:r w:rsidR="00F04D1D">
        <w:t xml:space="preserve"> </w:t>
      </w:r>
      <w:r w:rsidR="00BC75B7">
        <w:t>%</w:t>
      </w:r>
      <w:r w:rsidR="00343028">
        <w:t>)</w:t>
      </w:r>
      <w:r w:rsidR="003C048E">
        <w:t xml:space="preserve"> of ‘full implementation’ (Northern Ireland), and </w:t>
      </w:r>
      <w:r w:rsidR="00FA0765">
        <w:t>none of the s</w:t>
      </w:r>
      <w:r w:rsidR="003C048E">
        <w:t>ettlement</w:t>
      </w:r>
      <w:r w:rsidR="00FA0765">
        <w:t>s</w:t>
      </w:r>
      <w:r w:rsidR="003C048E">
        <w:t xml:space="preserve"> with </w:t>
      </w:r>
      <w:r w:rsidR="00FA0765">
        <w:t xml:space="preserve">territorial autonomy </w:t>
      </w:r>
      <w:r w:rsidR="003C048E">
        <w:t>ha</w:t>
      </w:r>
      <w:r w:rsidR="00597003">
        <w:t>ve</w:t>
      </w:r>
      <w:r w:rsidR="003C048E">
        <w:t xml:space="preserve"> fully implemented</w:t>
      </w:r>
      <w:r w:rsidR="00597003">
        <w:t xml:space="preserve"> their</w:t>
      </w:r>
      <w:r w:rsidR="003C048E">
        <w:t xml:space="preserve"> human rights provisions.</w:t>
      </w:r>
      <w:r w:rsidR="00BC75B7">
        <w:t xml:space="preserve"> Among the non-territo</w:t>
      </w:r>
      <w:r w:rsidR="00FA0765">
        <w:t xml:space="preserve">rial settlements there are </w:t>
      </w:r>
      <w:r w:rsidR="009117EF">
        <w:t xml:space="preserve">four </w:t>
      </w:r>
      <w:r w:rsidR="00BC75B7">
        <w:t xml:space="preserve">such settlements </w:t>
      </w:r>
      <w:r w:rsidR="00343028">
        <w:t xml:space="preserve">with fully implemented human rights provisions </w:t>
      </w:r>
      <w:r w:rsidR="00BC75B7">
        <w:t>(44</w:t>
      </w:r>
      <w:r w:rsidR="00F75124">
        <w:t xml:space="preserve"> </w:t>
      </w:r>
      <w:r w:rsidR="00BC75B7">
        <w:t>%). This does not simply reflect a lower implementation score overall</w:t>
      </w:r>
      <w:r w:rsidR="009117EF">
        <w:t xml:space="preserve"> for territorial settlements. In </w:t>
      </w:r>
      <w:r w:rsidR="00BC75B7">
        <w:t>fact</w:t>
      </w:r>
      <w:r w:rsidR="00F75124">
        <w:t>,</w:t>
      </w:r>
      <w:r w:rsidR="00BC75B7">
        <w:t xml:space="preserve"> </w:t>
      </w:r>
      <w:r w:rsidR="00343028">
        <w:t xml:space="preserve">settlements </w:t>
      </w:r>
      <w:r w:rsidR="00C1522A">
        <w:t>signed in territorial conflicts have been more successfully implemented than settlements signed in non-territorial conflicts</w:t>
      </w:r>
      <w:r w:rsidR="00BC75B7">
        <w:t>:  the average implementation score</w:t>
      </w:r>
      <w:r w:rsidR="00C1522A">
        <w:t xml:space="preserve">s </w:t>
      </w:r>
      <w:r w:rsidR="00BC75B7">
        <w:t xml:space="preserve">for the settlement as a whole </w:t>
      </w:r>
      <w:r w:rsidR="00C1522A">
        <w:t xml:space="preserve">are </w:t>
      </w:r>
      <w:r w:rsidR="00BC75B7">
        <w:t>87</w:t>
      </w:r>
      <w:r w:rsidR="00F75124">
        <w:t xml:space="preserve"> </w:t>
      </w:r>
      <w:r w:rsidR="00BC75B7">
        <w:t>%</w:t>
      </w:r>
      <w:r w:rsidR="00C1522A">
        <w:t xml:space="preserve"> and 81</w:t>
      </w:r>
      <w:r w:rsidR="00F75124">
        <w:t xml:space="preserve"> </w:t>
      </w:r>
      <w:r w:rsidR="00C1522A">
        <w:t>%, respectively</w:t>
      </w:r>
      <w:r w:rsidR="00BC298E">
        <w:t>.</w:t>
      </w:r>
      <w:r w:rsidR="00BC298E">
        <w:rPr>
          <w:rStyle w:val="FootnoteReference"/>
        </w:rPr>
        <w:footnoteReference w:id="109"/>
      </w:r>
      <w:r w:rsidR="00480616">
        <w:t xml:space="preserve"> </w:t>
      </w:r>
    </w:p>
    <w:p w14:paraId="3E8EFD84" w14:textId="20DAA5E1" w:rsidR="000C5C2C" w:rsidRDefault="00BC75B7" w:rsidP="000C5C2C">
      <w:pPr>
        <w:spacing w:line="480" w:lineRule="auto"/>
        <w:rPr>
          <w:rFonts w:cs="Times New Roman"/>
          <w:b/>
        </w:rPr>
      </w:pPr>
      <w:r w:rsidRPr="0007759B">
        <w:lastRenderedPageBreak/>
        <w:t xml:space="preserve">Although this is clearly an area in need of further research, this </w:t>
      </w:r>
      <w:r w:rsidR="004A2F5A" w:rsidRPr="0007759B">
        <w:t xml:space="preserve">data </w:t>
      </w:r>
      <w:r w:rsidRPr="0007759B">
        <w:t>suggest</w:t>
      </w:r>
      <w:r w:rsidR="00480616" w:rsidRPr="0007759B">
        <w:t>s</w:t>
      </w:r>
      <w:r w:rsidRPr="0007759B">
        <w:t xml:space="preserve"> that human rights provisions are particularly difficult to implement in the context of a territorial conflict and especially if the settlement includes </w:t>
      </w:r>
      <w:r w:rsidR="00C1522A" w:rsidRPr="0007759B">
        <w:t>territorial autonomy. T</w:t>
      </w:r>
      <w:r w:rsidRPr="0007759B">
        <w:t>his could be explained by t</w:t>
      </w:r>
      <w:r w:rsidR="00597003">
        <w:t xml:space="preserve">he lack of detailed provisions </w:t>
      </w:r>
      <w:r w:rsidR="00840559" w:rsidRPr="0007759B">
        <w:t xml:space="preserve">and a lack of </w:t>
      </w:r>
      <w:r w:rsidR="00920E54" w:rsidRPr="0007759B">
        <w:t>genuine commitment</w:t>
      </w:r>
      <w:r w:rsidR="00321E99" w:rsidRPr="0007759B">
        <w:t xml:space="preserve">. </w:t>
      </w:r>
      <w:r w:rsidR="00F75124">
        <w:t>In the case of Aceh, Hadi</w:t>
      </w:r>
      <w:r w:rsidR="00920E54" w:rsidRPr="0007759B">
        <w:t xml:space="preserve"> argues that the articl</w:t>
      </w:r>
      <w:r w:rsidR="007B56C4" w:rsidRPr="0007759B">
        <w:t>es on human rights were simply ‘</w:t>
      </w:r>
      <w:r w:rsidR="00920E54" w:rsidRPr="0007759B">
        <w:t>too vague to be effective</w:t>
      </w:r>
      <w:r w:rsidR="007B56C4" w:rsidRPr="0007759B">
        <w:t>’</w:t>
      </w:r>
      <w:r w:rsidR="00920E54" w:rsidRPr="0007759B">
        <w:t>, given the resistance they faced.</w:t>
      </w:r>
      <w:r w:rsidR="00BC298E" w:rsidRPr="0007759B">
        <w:rPr>
          <w:rStyle w:val="FootnoteReference"/>
        </w:rPr>
        <w:footnoteReference w:id="110"/>
      </w:r>
      <w:r w:rsidR="00920E54" w:rsidRPr="0007759B">
        <w:t xml:space="preserve"> </w:t>
      </w:r>
      <w:r w:rsidR="0007759B" w:rsidRPr="0007759B">
        <w:t xml:space="preserve">Human rights provisions in territorial peace agreements tend to be the result of international pressure, and this lack of commitment from the conflict parties is likely to make them harder to implement. Moreover, territorial autonomy - especially the high levels found in many of the territorial agreements that include human rights provisions - </w:t>
      </w:r>
      <w:r w:rsidR="00480616" w:rsidRPr="0007759B">
        <w:t xml:space="preserve">constitute a potential </w:t>
      </w:r>
      <w:r w:rsidR="00343028" w:rsidRPr="0007759B">
        <w:t xml:space="preserve">obstacle to the </w:t>
      </w:r>
      <w:r w:rsidR="00920E54" w:rsidRPr="0007759B">
        <w:rPr>
          <w:rFonts w:cs="Times New Roman"/>
        </w:rPr>
        <w:t xml:space="preserve">implementation of </w:t>
      </w:r>
      <w:r w:rsidR="00597003">
        <w:rPr>
          <w:rFonts w:cs="Times New Roman"/>
        </w:rPr>
        <w:t xml:space="preserve">these </w:t>
      </w:r>
      <w:r w:rsidR="00343028" w:rsidRPr="0007759B">
        <w:rPr>
          <w:rFonts w:cs="Times New Roman"/>
        </w:rPr>
        <w:t>provisions. In the case of Bosnia, only the two federal entities were able to effectively enforce human rights protections, but they refused to take on this task</w:t>
      </w:r>
      <w:r w:rsidR="00BC298E" w:rsidRPr="0007759B">
        <w:rPr>
          <w:rFonts w:cs="Times New Roman"/>
        </w:rPr>
        <w:t>.</w:t>
      </w:r>
      <w:r w:rsidR="00BC298E" w:rsidRPr="0007759B">
        <w:rPr>
          <w:rStyle w:val="FootnoteReference"/>
          <w:rFonts w:cs="Times New Roman"/>
        </w:rPr>
        <w:footnoteReference w:id="111"/>
      </w:r>
      <w:r w:rsidR="00343028" w:rsidRPr="0007759B">
        <w:rPr>
          <w:rFonts w:cs="Times New Roman"/>
        </w:rPr>
        <w:t xml:space="preserve"> This helps explain why the human rights provisions in the Dayton settlement are still not fully implemented</w:t>
      </w:r>
      <w:r w:rsidR="00FC53A5" w:rsidRPr="0007759B">
        <w:rPr>
          <w:rFonts w:cs="Times New Roman"/>
        </w:rPr>
        <w:t>,</w:t>
      </w:r>
      <w:r w:rsidR="00FC53A5" w:rsidRPr="0007759B">
        <w:rPr>
          <w:rStyle w:val="FootnoteReference"/>
          <w:rFonts w:cs="Times New Roman"/>
        </w:rPr>
        <w:footnoteReference w:id="112"/>
      </w:r>
      <w:r w:rsidR="00782CBD" w:rsidRPr="0007759B">
        <w:rPr>
          <w:rFonts w:cs="Times New Roman"/>
        </w:rPr>
        <w:t xml:space="preserve"> </w:t>
      </w:r>
      <w:r w:rsidR="00343028" w:rsidRPr="0007759B">
        <w:rPr>
          <w:rFonts w:cs="Times New Roman"/>
        </w:rPr>
        <w:t xml:space="preserve">despite the </w:t>
      </w:r>
      <w:r w:rsidR="008357D2" w:rsidRPr="0007759B">
        <w:rPr>
          <w:rFonts w:cs="Times New Roman"/>
        </w:rPr>
        <w:t>very high leve</w:t>
      </w:r>
      <w:r w:rsidR="00343028" w:rsidRPr="0007759B">
        <w:rPr>
          <w:rFonts w:cs="Times New Roman"/>
        </w:rPr>
        <w:t>l of international involvement</w:t>
      </w:r>
      <w:r w:rsidR="00A105CE" w:rsidRPr="0007759B">
        <w:rPr>
          <w:rFonts w:cs="Times New Roman"/>
        </w:rPr>
        <w:t xml:space="preserve">. </w:t>
      </w:r>
      <w:r w:rsidR="00A105CE" w:rsidRPr="0007759B">
        <w:rPr>
          <w:rFonts w:cs="Times New Roman"/>
          <w:b/>
        </w:rPr>
        <w:t xml:space="preserve"> </w:t>
      </w:r>
    </w:p>
    <w:p w14:paraId="64FB9E6E" w14:textId="3D745728" w:rsidR="0085403D" w:rsidRDefault="00351479" w:rsidP="00F75124">
      <w:pPr>
        <w:spacing w:line="480" w:lineRule="auto"/>
        <w:rPr>
          <w:rFonts w:cs="Times New Roman"/>
        </w:rPr>
      </w:pPr>
      <w:r>
        <w:rPr>
          <w:rFonts w:cs="Times New Roman"/>
        </w:rPr>
        <w:t>The content of a peace agreement does not, of course, determine future human rights developments.  We find several examples of unimplemented human rights provisions, such as Aceh’s Human Rights Court</w:t>
      </w:r>
      <w:r>
        <w:t>.</w:t>
      </w:r>
      <w:r>
        <w:rPr>
          <w:rStyle w:val="FootnoteReference"/>
        </w:rPr>
        <w:footnoteReference w:id="113"/>
      </w:r>
      <w:r>
        <w:t xml:space="preserve"> Moreover, a peace settlement is only one part of the legal framework</w:t>
      </w:r>
      <w:r w:rsidR="00F75124">
        <w:t>,</w:t>
      </w:r>
      <w:r>
        <w:t xml:space="preserve"> and human rights protections may for example already be included in the Constitution. Yet the absence of human rights provisions in peace settlements still suggests that this is not an area that will be prioritiz</w:t>
      </w:r>
      <w:r w:rsidR="00513671">
        <w:t>ed</w:t>
      </w:r>
      <w:r w:rsidRPr="00480616">
        <w:t xml:space="preserve">.  </w:t>
      </w:r>
      <w:r>
        <w:t>Moreover</w:t>
      </w:r>
      <w:r w:rsidR="0007759B">
        <w:t>,</w:t>
      </w:r>
      <w:r>
        <w:t xml:space="preserve"> my </w:t>
      </w:r>
      <w:r w:rsidRPr="00983836">
        <w:t>data also point</w:t>
      </w:r>
      <w:r w:rsidR="00BD69F6">
        <w:t>s</w:t>
      </w:r>
      <w:r w:rsidRPr="00983836">
        <w:t xml:space="preserve"> to </w:t>
      </w:r>
      <w:r w:rsidRPr="00983836">
        <w:rPr>
          <w:rFonts w:cs="Times New Roman"/>
        </w:rPr>
        <w:t xml:space="preserve">a potential </w:t>
      </w:r>
      <w:r w:rsidR="0007759B" w:rsidRPr="00983836">
        <w:rPr>
          <w:rFonts w:cs="Times New Roman"/>
        </w:rPr>
        <w:lastRenderedPageBreak/>
        <w:t>spill</w:t>
      </w:r>
      <w:r w:rsidR="00F75124">
        <w:rPr>
          <w:rFonts w:cs="Times New Roman"/>
        </w:rPr>
        <w:t>-</w:t>
      </w:r>
      <w:r w:rsidR="0007759B" w:rsidRPr="00983836">
        <w:rPr>
          <w:rFonts w:cs="Times New Roman"/>
        </w:rPr>
        <w:t>over</w:t>
      </w:r>
      <w:r w:rsidRPr="00983836">
        <w:rPr>
          <w:rFonts w:cs="Times New Roman"/>
        </w:rPr>
        <w:t xml:space="preserve"> between </w:t>
      </w:r>
      <w:r w:rsidR="0007759B" w:rsidRPr="00983836">
        <w:rPr>
          <w:rFonts w:cs="Times New Roman"/>
        </w:rPr>
        <w:t xml:space="preserve">the </w:t>
      </w:r>
      <w:r w:rsidRPr="00983836">
        <w:rPr>
          <w:rFonts w:cs="Times New Roman"/>
        </w:rPr>
        <w:t xml:space="preserve">acceptance of future-oriented provisions and </w:t>
      </w:r>
      <w:r w:rsidR="0007759B" w:rsidRPr="00983836">
        <w:rPr>
          <w:rFonts w:cs="Times New Roman"/>
        </w:rPr>
        <w:t xml:space="preserve">a </w:t>
      </w:r>
      <w:r w:rsidRPr="00983836">
        <w:rPr>
          <w:rFonts w:cs="Times New Roman"/>
        </w:rPr>
        <w:t>willingness to address past abuses in a settlement.</w:t>
      </w:r>
      <w:r w:rsidR="00AF3037" w:rsidRPr="00983836">
        <w:rPr>
          <w:rFonts w:cs="Times New Roman"/>
        </w:rPr>
        <w:t xml:space="preserve"> </w:t>
      </w:r>
      <w:r w:rsidR="0007759B" w:rsidRPr="00983836">
        <w:rPr>
          <w:rFonts w:cs="Times New Roman"/>
        </w:rPr>
        <w:t>While there is no difference between territorial and non-territorial conflicts when it comes to retributive measures,</w:t>
      </w:r>
      <w:r w:rsidR="00983836" w:rsidRPr="00983836">
        <w:rPr>
          <w:rStyle w:val="FootnoteReference"/>
          <w:rFonts w:cs="Times New Roman"/>
        </w:rPr>
        <w:footnoteReference w:id="114"/>
      </w:r>
      <w:r w:rsidR="0007759B" w:rsidRPr="00983836">
        <w:rPr>
          <w:rFonts w:cs="Times New Roman"/>
        </w:rPr>
        <w:t xml:space="preserve"> settlements signed in non-territorial conflicts are significantly more likely to include alternative forms of accountability for past abuses, such as truth commissions, compensation for victims</w:t>
      </w:r>
      <w:r w:rsidR="00F75124">
        <w:rPr>
          <w:rFonts w:cs="Times New Roman"/>
        </w:rPr>
        <w:t>,</w:t>
      </w:r>
      <w:r w:rsidR="00983836" w:rsidRPr="00983836">
        <w:rPr>
          <w:rFonts w:cs="Times New Roman"/>
        </w:rPr>
        <w:t xml:space="preserve"> or lustration</w:t>
      </w:r>
      <w:r w:rsidR="0007759B" w:rsidRPr="00983836">
        <w:rPr>
          <w:rFonts w:cs="Times New Roman"/>
        </w:rPr>
        <w:t>.</w:t>
      </w:r>
      <w:r w:rsidR="0007759B">
        <w:rPr>
          <w:rFonts w:cs="Times New Roman"/>
          <w:b/>
        </w:rPr>
        <w:t xml:space="preserve"> </w:t>
      </w:r>
      <w:r w:rsidR="00983836">
        <w:rPr>
          <w:rFonts w:cs="Times New Roman"/>
        </w:rPr>
        <w:t>Eight of fourteen agreements (5</w:t>
      </w:r>
      <w:r w:rsidR="00983836" w:rsidRPr="00C1339C">
        <w:rPr>
          <w:rFonts w:cs="Times New Roman"/>
        </w:rPr>
        <w:t>7</w:t>
      </w:r>
      <w:r w:rsidR="00F75124">
        <w:rPr>
          <w:rFonts w:cs="Times New Roman"/>
        </w:rPr>
        <w:t xml:space="preserve"> </w:t>
      </w:r>
      <w:r w:rsidR="00983836">
        <w:rPr>
          <w:rFonts w:cs="Times New Roman"/>
        </w:rPr>
        <w:t>%) signed in non-territorial conflicts include such measures, compared to only 27</w:t>
      </w:r>
      <w:r w:rsidR="00F75124">
        <w:rPr>
          <w:rFonts w:cs="Times New Roman"/>
        </w:rPr>
        <w:t xml:space="preserve"> </w:t>
      </w:r>
      <w:r w:rsidR="00983836">
        <w:rPr>
          <w:rFonts w:cs="Times New Roman"/>
        </w:rPr>
        <w:t>%</w:t>
      </w:r>
      <w:r w:rsidR="00983836" w:rsidRPr="00C1339C">
        <w:rPr>
          <w:rFonts w:cs="Times New Roman"/>
        </w:rPr>
        <w:t xml:space="preserve"> </w:t>
      </w:r>
      <w:r w:rsidR="00983836">
        <w:rPr>
          <w:rFonts w:cs="Times New Roman"/>
        </w:rPr>
        <w:t xml:space="preserve">(4/15) </w:t>
      </w:r>
      <w:r w:rsidR="00983836" w:rsidRPr="00C1339C">
        <w:rPr>
          <w:rFonts w:cs="Times New Roman"/>
        </w:rPr>
        <w:t>of the agreements signed in territorial conflicts.</w:t>
      </w:r>
      <w:r w:rsidR="00983836">
        <w:rPr>
          <w:rFonts w:cs="Times New Roman"/>
        </w:rPr>
        <w:t xml:space="preserve"> Similarly, 56</w:t>
      </w:r>
      <w:r w:rsidR="00F75124">
        <w:rPr>
          <w:rFonts w:cs="Times New Roman"/>
        </w:rPr>
        <w:t xml:space="preserve"> </w:t>
      </w:r>
      <w:r w:rsidR="00983836">
        <w:rPr>
          <w:rFonts w:cs="Times New Roman"/>
        </w:rPr>
        <w:t xml:space="preserve">% (9/16) </w:t>
      </w:r>
      <w:r w:rsidR="00983836" w:rsidRPr="00C1339C">
        <w:rPr>
          <w:rFonts w:cs="Times New Roman"/>
        </w:rPr>
        <w:t xml:space="preserve">of </w:t>
      </w:r>
      <w:r w:rsidR="00983836">
        <w:rPr>
          <w:rFonts w:cs="Times New Roman"/>
        </w:rPr>
        <w:t xml:space="preserve">agreements without territorial autonomy </w:t>
      </w:r>
      <w:r w:rsidR="00983836" w:rsidRPr="00C1339C">
        <w:rPr>
          <w:rFonts w:cs="Times New Roman"/>
        </w:rPr>
        <w:t xml:space="preserve">include </w:t>
      </w:r>
      <w:r w:rsidR="00983836">
        <w:rPr>
          <w:rFonts w:cs="Times New Roman"/>
        </w:rPr>
        <w:t xml:space="preserve">alternative </w:t>
      </w:r>
      <w:r w:rsidR="00983836" w:rsidRPr="00C1339C">
        <w:rPr>
          <w:rFonts w:cs="Times New Roman"/>
        </w:rPr>
        <w:t>accountabili</w:t>
      </w:r>
      <w:r w:rsidR="00983836">
        <w:rPr>
          <w:rFonts w:cs="Times New Roman"/>
        </w:rPr>
        <w:t>ty measures; compared to only 23</w:t>
      </w:r>
      <w:r w:rsidR="00F75124">
        <w:rPr>
          <w:rFonts w:cs="Times New Roman"/>
        </w:rPr>
        <w:t xml:space="preserve"> </w:t>
      </w:r>
      <w:r w:rsidR="00983836">
        <w:rPr>
          <w:rFonts w:cs="Times New Roman"/>
        </w:rPr>
        <w:t>% (3/13) of agreements with such a core deal</w:t>
      </w:r>
      <w:r w:rsidR="00526911">
        <w:rPr>
          <w:rFonts w:cs="Times New Roman"/>
        </w:rPr>
        <w:t>. These differences are however not statistically significant (p-values 0.096 and 0.071)</w:t>
      </w:r>
      <w:r w:rsidR="00983836" w:rsidRPr="002456B1">
        <w:rPr>
          <w:rFonts w:cs="Times New Roman"/>
        </w:rPr>
        <w:t>.  T</w:t>
      </w:r>
      <w:r w:rsidR="00983836" w:rsidRPr="002B3F15">
        <w:rPr>
          <w:rFonts w:cs="Times New Roman"/>
        </w:rPr>
        <w:t>he highest proportion of such provisions is again found in agreements without territo</w:t>
      </w:r>
      <w:r w:rsidR="00983836">
        <w:rPr>
          <w:rFonts w:cs="Times New Roman"/>
        </w:rPr>
        <w:t>rial autonomy</w:t>
      </w:r>
      <w:r w:rsidR="00983836" w:rsidRPr="002B3F15">
        <w:rPr>
          <w:rFonts w:cs="Times New Roman"/>
        </w:rPr>
        <w:t xml:space="preserve"> signed in non-territorial conflicts:  </w:t>
      </w:r>
      <w:r w:rsidR="00983836" w:rsidRPr="00526911">
        <w:rPr>
          <w:rFonts w:cs="Times New Roman"/>
        </w:rPr>
        <w:t>67</w:t>
      </w:r>
      <w:r w:rsidR="00F75124">
        <w:rPr>
          <w:rFonts w:cs="Times New Roman"/>
        </w:rPr>
        <w:t xml:space="preserve"> </w:t>
      </w:r>
      <w:r w:rsidR="00983836" w:rsidRPr="00526911">
        <w:rPr>
          <w:rFonts w:cs="Times New Roman"/>
        </w:rPr>
        <w:t>% (8/12)</w:t>
      </w:r>
      <w:r w:rsidR="00983836">
        <w:rPr>
          <w:rFonts w:cs="Times New Roman"/>
        </w:rPr>
        <w:t xml:space="preserve"> </w:t>
      </w:r>
      <w:r w:rsidR="00983836" w:rsidRPr="002B3F15">
        <w:rPr>
          <w:rFonts w:cs="Times New Roman"/>
        </w:rPr>
        <w:t>of these include alternative forms of accountability</w:t>
      </w:r>
      <w:r w:rsidR="00526911">
        <w:rPr>
          <w:rFonts w:cs="Times New Roman"/>
        </w:rPr>
        <w:t xml:space="preserve">. </w:t>
      </w:r>
      <w:r w:rsidR="00526911" w:rsidRPr="00526911">
        <w:rPr>
          <w:rFonts w:cs="Times New Roman"/>
        </w:rPr>
        <w:t>This difference is statistically significant (p-value 0.020)</w:t>
      </w:r>
      <w:r w:rsidR="00983836" w:rsidRPr="00526911">
        <w:rPr>
          <w:rFonts w:cs="Times New Roman"/>
        </w:rPr>
        <w:t>.</w:t>
      </w:r>
      <w:r w:rsidR="00BD69F6">
        <w:rPr>
          <w:rFonts w:cs="Times New Roman"/>
        </w:rPr>
        <w:t xml:space="preserve"> </w:t>
      </w:r>
      <w:r w:rsidR="00F75124">
        <w:rPr>
          <w:rFonts w:cs="Times New Roman"/>
        </w:rPr>
        <w:t>As Bell has suggested, the inclusion of human rights helps create a political space for reforms.</w:t>
      </w:r>
      <w:r w:rsidR="00F75124">
        <w:rPr>
          <w:rStyle w:val="FootnoteReference"/>
          <w:rFonts w:cs="Times New Roman"/>
        </w:rPr>
        <w:footnoteReference w:id="115"/>
      </w:r>
      <w:r w:rsidR="00F75124">
        <w:rPr>
          <w:rFonts w:cs="Times New Roman"/>
        </w:rPr>
        <w:t xml:space="preserve"> It empowers to push for human rights to be prioritized. </w:t>
      </w:r>
      <w:r w:rsidR="0085403D">
        <w:rPr>
          <w:rFonts w:cs="Times New Roman"/>
        </w:rPr>
        <w:br w:type="page"/>
      </w:r>
    </w:p>
    <w:p w14:paraId="34BC682B" w14:textId="77777777" w:rsidR="0007759B" w:rsidRDefault="0007759B" w:rsidP="00983836">
      <w:pPr>
        <w:spacing w:line="480" w:lineRule="auto"/>
        <w:rPr>
          <w:rFonts w:cs="Times New Roman"/>
        </w:rPr>
      </w:pPr>
    </w:p>
    <w:p w14:paraId="42713A5F" w14:textId="43AC8DCB" w:rsidR="00983836" w:rsidRDefault="00983836" w:rsidP="00983836">
      <w:pPr>
        <w:spacing w:line="480" w:lineRule="auto"/>
        <w:rPr>
          <w:rFonts w:cs="Times New Roman"/>
        </w:rPr>
      </w:pPr>
      <w:r w:rsidRPr="00E207F6">
        <w:rPr>
          <w:rFonts w:cs="Times New Roman"/>
          <w:b/>
        </w:rPr>
        <w:t>Figure 3. Alternative Accountability in Peace Agreements, 1990-2010</w:t>
      </w:r>
    </w:p>
    <w:p w14:paraId="32521D9F" w14:textId="13E79A2C" w:rsidR="00983836" w:rsidRDefault="00983836" w:rsidP="00983836">
      <w:pPr>
        <w:spacing w:line="480" w:lineRule="auto"/>
        <w:rPr>
          <w:rFonts w:cs="Times New Roman"/>
          <w:b/>
        </w:rPr>
      </w:pPr>
      <w:r>
        <w:rPr>
          <w:rFonts w:cs="Times New Roman"/>
          <w:noProof/>
          <w:lang w:eastAsia="en-GB"/>
        </w:rPr>
        <w:drawing>
          <wp:inline distT="0" distB="0" distL="0" distR="0" wp14:anchorId="37123D16" wp14:editId="13E1F611">
            <wp:extent cx="5400040" cy="3150023"/>
            <wp:effectExtent l="0" t="0" r="1016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36A019" w14:textId="33407BC3" w:rsidR="00286CAE" w:rsidRDefault="008E3759" w:rsidP="000C5C2C">
      <w:pPr>
        <w:spacing w:line="480" w:lineRule="auto"/>
        <w:rPr>
          <w:rFonts w:cs="Times New Roman"/>
          <w:b/>
        </w:rPr>
      </w:pPr>
      <w:r>
        <w:rPr>
          <w:rFonts w:cs="Times New Roman"/>
        </w:rPr>
        <w:t>There is reason to believe that the exclusion of human rights provisions will impact on the durability of the negotiated peace. The content of a peace agreement affects the stability of peace,</w:t>
      </w:r>
      <w:r>
        <w:rPr>
          <w:rStyle w:val="FootnoteReference"/>
          <w:rFonts w:cs="Times New Roman"/>
        </w:rPr>
        <w:footnoteReference w:id="116"/>
      </w:r>
      <w:r>
        <w:rPr>
          <w:rFonts w:cs="Times New Roman"/>
        </w:rPr>
        <w:t xml:space="preserve"> and more comprehensive agreements are more likely to succeed. Badran finds that every additional mechanism, including human rights protections, reduce the risk of peace failure by one-sixth.</w:t>
      </w:r>
      <w:r>
        <w:rPr>
          <w:rStyle w:val="FootnoteReference"/>
          <w:rFonts w:cs="Times New Roman"/>
        </w:rPr>
        <w:footnoteReference w:id="117"/>
      </w:r>
      <w:r>
        <w:rPr>
          <w:rFonts w:cs="Times New Roman"/>
        </w:rPr>
        <w:t xml:space="preserve"> There is no study focused on the specific impact of human rights provisions on durability, but Walter finds that political and legal constraints on government powers significantly reduce the risk of civil war recurrence,</w:t>
      </w:r>
      <w:r>
        <w:rPr>
          <w:rStyle w:val="FootnoteReference"/>
          <w:rFonts w:cs="Times New Roman"/>
        </w:rPr>
        <w:footnoteReference w:id="118"/>
      </w:r>
      <w:r>
        <w:rPr>
          <w:rFonts w:cs="Times New Roman"/>
        </w:rPr>
        <w:t xml:space="preserve"> while Nilsson argues that the inclusion of civil society actors, who are more likely to demand human rights protections, </w:t>
      </w:r>
      <w:r>
        <w:rPr>
          <w:rFonts w:cs="Times New Roman"/>
        </w:rPr>
        <w:lastRenderedPageBreak/>
        <w:t>increase the durability of peace.</w:t>
      </w:r>
      <w:r>
        <w:rPr>
          <w:rStyle w:val="FootnoteReference"/>
          <w:rFonts w:cs="Times New Roman"/>
        </w:rPr>
        <w:footnoteReference w:id="119"/>
      </w:r>
      <w:r>
        <w:rPr>
          <w:rFonts w:cs="Times New Roman"/>
        </w:rPr>
        <w:t xml:space="preserve"> </w:t>
      </w:r>
      <w:r w:rsidR="00351479" w:rsidRPr="00480616">
        <w:t>I</w:t>
      </w:r>
      <w:r w:rsidR="00351479">
        <w:t>f human rights are not prioritiz</w:t>
      </w:r>
      <w:r w:rsidR="00351479" w:rsidRPr="00480616">
        <w:t>ed in a settlement, the obvious risk is that they will never be</w:t>
      </w:r>
      <w:r w:rsidR="00351479">
        <w:t xml:space="preserve"> viewed as a priority</w:t>
      </w:r>
      <w:r w:rsidR="00351479" w:rsidRPr="00480616">
        <w:t xml:space="preserve">. For example, the settlement for the </w:t>
      </w:r>
      <w:r w:rsidR="00351479">
        <w:t xml:space="preserve">Chittagong Hill Tracts made no reference to the massive human rights violations committed during the conflict, </w:t>
      </w:r>
      <w:r w:rsidR="00351479">
        <w:rPr>
          <w:rFonts w:cs="Times New Roman"/>
        </w:rPr>
        <w:t>and no accountability measures or provisions for improved human rights protections were included.</w:t>
      </w:r>
      <w:r w:rsidR="00351479">
        <w:rPr>
          <w:rStyle w:val="FootnoteReference"/>
          <w:rFonts w:cs="Times New Roman"/>
        </w:rPr>
        <w:footnoteReference w:id="120"/>
      </w:r>
      <w:r w:rsidR="00351479">
        <w:rPr>
          <w:rFonts w:cs="Times New Roman"/>
        </w:rPr>
        <w:t xml:space="preserve"> This is likely a contributing factor in the continuation of human rights abuses by the army in the post-settlement period and a lack of law and order.</w:t>
      </w:r>
      <w:r w:rsidR="00351479">
        <w:rPr>
          <w:rStyle w:val="FootnoteReference"/>
          <w:rFonts w:cs="Times New Roman"/>
        </w:rPr>
        <w:footnoteReference w:id="121"/>
      </w:r>
      <w:r w:rsidR="00351479">
        <w:rPr>
          <w:rFonts w:cs="Times New Roman"/>
        </w:rPr>
        <w:t xml:space="preserve"> </w:t>
      </w:r>
      <w:r w:rsidR="00BD69F6">
        <w:rPr>
          <w:rFonts w:cs="Times New Roman"/>
        </w:rPr>
        <w:t>When human rights are excluded</w:t>
      </w:r>
      <w:r w:rsidR="00F75124">
        <w:rPr>
          <w:rFonts w:cs="Times New Roman"/>
        </w:rPr>
        <w:t>,</w:t>
      </w:r>
      <w:r w:rsidR="00BD69F6">
        <w:rPr>
          <w:rFonts w:cs="Times New Roman"/>
        </w:rPr>
        <w:t xml:space="preserve"> it therefore matters both for the </w:t>
      </w:r>
      <w:r w:rsidR="00351479">
        <w:rPr>
          <w:rFonts w:cs="Times New Roman"/>
        </w:rPr>
        <w:t xml:space="preserve">population </w:t>
      </w:r>
      <w:r w:rsidR="00BD69F6">
        <w:rPr>
          <w:rFonts w:cs="Times New Roman"/>
        </w:rPr>
        <w:t xml:space="preserve">in the conflict-affected state </w:t>
      </w:r>
      <w:r w:rsidR="00351479">
        <w:rPr>
          <w:rFonts w:cs="Times New Roman"/>
        </w:rPr>
        <w:t xml:space="preserve">and for </w:t>
      </w:r>
      <w:r w:rsidR="00BD69F6">
        <w:rPr>
          <w:rFonts w:cs="Times New Roman"/>
        </w:rPr>
        <w:t xml:space="preserve">the </w:t>
      </w:r>
      <w:r w:rsidR="00351479">
        <w:rPr>
          <w:rFonts w:cs="Times New Roman"/>
        </w:rPr>
        <w:t>likely sustai</w:t>
      </w:r>
      <w:r w:rsidR="00BD69F6">
        <w:rPr>
          <w:rFonts w:cs="Times New Roman"/>
        </w:rPr>
        <w:t>nability of a negotiated peace</w:t>
      </w:r>
      <w:r w:rsidR="00351479">
        <w:rPr>
          <w:rFonts w:cs="Times New Roman"/>
        </w:rPr>
        <w:t xml:space="preserve">. </w:t>
      </w:r>
    </w:p>
    <w:p w14:paraId="0EA08699" w14:textId="77777777" w:rsidR="00F82DBA" w:rsidRDefault="00F82DBA" w:rsidP="00F82DBA">
      <w:pPr>
        <w:autoSpaceDE w:val="0"/>
        <w:autoSpaceDN w:val="0"/>
        <w:adjustRightInd w:val="0"/>
        <w:spacing w:after="0" w:line="240" w:lineRule="auto"/>
        <w:rPr>
          <w:rFonts w:cs="Times New Roman"/>
        </w:rPr>
      </w:pPr>
    </w:p>
    <w:p w14:paraId="3F5866A9" w14:textId="77777777" w:rsidR="00CC1B54" w:rsidRDefault="00CC1B54" w:rsidP="00C8247A">
      <w:pPr>
        <w:rPr>
          <w:rFonts w:cs="Times New Roman"/>
          <w:b/>
        </w:rPr>
      </w:pPr>
      <w:r w:rsidRPr="0085403D">
        <w:rPr>
          <w:rFonts w:cs="Times New Roman"/>
          <w:b/>
        </w:rPr>
        <w:t>Conclusion</w:t>
      </w:r>
      <w:r w:rsidR="000D7C8B">
        <w:rPr>
          <w:rFonts w:cs="Times New Roman"/>
          <w:b/>
        </w:rPr>
        <w:t xml:space="preserve"> </w:t>
      </w:r>
    </w:p>
    <w:p w14:paraId="1898CA0F" w14:textId="564B9938" w:rsidR="0085403D" w:rsidRDefault="0099518D" w:rsidP="0085403D">
      <w:pPr>
        <w:spacing w:line="480" w:lineRule="auto"/>
        <w:rPr>
          <w:rFonts w:cs="Times New Roman"/>
        </w:rPr>
      </w:pPr>
      <w:r w:rsidRPr="00870D74">
        <w:rPr>
          <w:rFonts w:cs="Times New Roman"/>
        </w:rPr>
        <w:t xml:space="preserve">Post-Cold War peace agreements are almost all written in the language of human rights, but the </w:t>
      </w:r>
      <w:r w:rsidR="00FA0765">
        <w:rPr>
          <w:rFonts w:cs="Times New Roman"/>
        </w:rPr>
        <w:t>degree</w:t>
      </w:r>
      <w:r w:rsidRPr="00870D74">
        <w:rPr>
          <w:rFonts w:cs="Times New Roman"/>
        </w:rPr>
        <w:t xml:space="preserve"> to which they provide a basis for effective human rights protections depends significantly on the type of conflict the settlement</w:t>
      </w:r>
      <w:r w:rsidR="00FA0765">
        <w:rPr>
          <w:rFonts w:cs="Times New Roman"/>
        </w:rPr>
        <w:t xml:space="preserve"> is </w:t>
      </w:r>
      <w:r w:rsidRPr="00870D74">
        <w:rPr>
          <w:rFonts w:cs="Times New Roman"/>
        </w:rPr>
        <w:t xml:space="preserve">trying to resolve and the ‘core deal’. Agreements signed in territorial conflicts are considerable less </w:t>
      </w:r>
      <w:r w:rsidR="009136CD">
        <w:rPr>
          <w:rFonts w:cs="Times New Roman"/>
        </w:rPr>
        <w:t>like</w:t>
      </w:r>
      <w:r w:rsidR="00F75124">
        <w:rPr>
          <w:rFonts w:cs="Times New Roman"/>
        </w:rPr>
        <w:t>ly</w:t>
      </w:r>
      <w:r w:rsidR="009136CD">
        <w:rPr>
          <w:rFonts w:cs="Times New Roman"/>
        </w:rPr>
        <w:t xml:space="preserve"> to include human rights provisions – in the sense of </w:t>
      </w:r>
      <w:r w:rsidR="0085403D">
        <w:rPr>
          <w:rFonts w:cs="Times New Roman"/>
        </w:rPr>
        <w:t xml:space="preserve">enforceable rights and </w:t>
      </w:r>
      <w:r w:rsidR="009136CD">
        <w:rPr>
          <w:rFonts w:cs="Times New Roman"/>
        </w:rPr>
        <w:t>human rights institutions</w:t>
      </w:r>
      <w:r w:rsidR="0085403D">
        <w:rPr>
          <w:rFonts w:cs="Times New Roman"/>
        </w:rPr>
        <w:t xml:space="preserve"> </w:t>
      </w:r>
      <w:r w:rsidR="009136CD">
        <w:rPr>
          <w:rFonts w:cs="Times New Roman"/>
        </w:rPr>
        <w:t xml:space="preserve">- </w:t>
      </w:r>
      <w:r w:rsidRPr="00870D74">
        <w:rPr>
          <w:rFonts w:cs="Times New Roman"/>
        </w:rPr>
        <w:t>than agreements signed in non-territorial conflicts</w:t>
      </w:r>
      <w:r w:rsidR="009136CD">
        <w:rPr>
          <w:rFonts w:cs="Times New Roman"/>
        </w:rPr>
        <w:t>. This is particularly, the</w:t>
      </w:r>
      <w:r w:rsidR="00782CBD">
        <w:rPr>
          <w:rFonts w:cs="Times New Roman"/>
        </w:rPr>
        <w:t xml:space="preserve"> case if the settlement includes</w:t>
      </w:r>
      <w:r w:rsidR="009136CD">
        <w:rPr>
          <w:rFonts w:cs="Times New Roman"/>
        </w:rPr>
        <w:t xml:space="preserve"> </w:t>
      </w:r>
      <w:r w:rsidRPr="00870D74">
        <w:rPr>
          <w:rFonts w:cs="Times New Roman"/>
        </w:rPr>
        <w:t>territorial autonomy</w:t>
      </w:r>
      <w:r w:rsidR="009136CD">
        <w:rPr>
          <w:rFonts w:cs="Times New Roman"/>
        </w:rPr>
        <w:t>. The demands made in territorial conflicts are focused on the rights of groups, not individuals</w:t>
      </w:r>
      <w:r w:rsidR="00FA0765">
        <w:rPr>
          <w:rFonts w:cs="Times New Roman"/>
        </w:rPr>
        <w:t>,</w:t>
      </w:r>
      <w:r w:rsidR="009136CD">
        <w:rPr>
          <w:rFonts w:cs="Times New Roman"/>
        </w:rPr>
        <w:t xml:space="preserve"> and </w:t>
      </w:r>
      <w:r w:rsidR="0085403D">
        <w:rPr>
          <w:rFonts w:cs="Times New Roman"/>
        </w:rPr>
        <w:t>t</w:t>
      </w:r>
      <w:r w:rsidR="009136CD">
        <w:rPr>
          <w:rFonts w:cs="Times New Roman"/>
        </w:rPr>
        <w:t>erritorial autonomy provides for self-determination and prot</w:t>
      </w:r>
      <w:r w:rsidR="003A3183">
        <w:rPr>
          <w:rFonts w:cs="Times New Roman"/>
        </w:rPr>
        <w:t>ections without necessitating reforms at the centre. E</w:t>
      </w:r>
      <w:r w:rsidR="009136CD">
        <w:rPr>
          <w:rFonts w:cs="Times New Roman"/>
        </w:rPr>
        <w:t xml:space="preserve">ffective human rights protections could undermine </w:t>
      </w:r>
      <w:r w:rsidR="003A3183">
        <w:rPr>
          <w:rFonts w:cs="Times New Roman"/>
        </w:rPr>
        <w:t xml:space="preserve">such </w:t>
      </w:r>
      <w:r w:rsidR="009136CD">
        <w:rPr>
          <w:rFonts w:cs="Times New Roman"/>
        </w:rPr>
        <w:t xml:space="preserve">guarantees, as well as the powers of the leaders. </w:t>
      </w:r>
      <w:r w:rsidR="0085403D">
        <w:rPr>
          <w:rFonts w:cs="Times New Roman"/>
        </w:rPr>
        <w:t xml:space="preserve">The territorial agreements that do include human rights provisions were found to be the result of significant </w:t>
      </w:r>
      <w:r w:rsidR="0085403D">
        <w:rPr>
          <w:rFonts w:cs="Times New Roman"/>
        </w:rPr>
        <w:lastRenderedPageBreak/>
        <w:t xml:space="preserve">international involvement and most were negotiated by strong rebel forces that had achieved significant territorial autonomy. This context impacted negatively on the implementation of human rights protections. </w:t>
      </w:r>
    </w:p>
    <w:p w14:paraId="7CEE2EC3" w14:textId="4F079B06" w:rsidR="003A3183" w:rsidRDefault="003A3183" w:rsidP="00870D74">
      <w:pPr>
        <w:spacing w:line="480" w:lineRule="auto"/>
        <w:rPr>
          <w:rFonts w:cs="Times New Roman"/>
        </w:rPr>
      </w:pPr>
      <w:r>
        <w:rPr>
          <w:rFonts w:cs="Times New Roman"/>
        </w:rPr>
        <w:t>These findings provide an important contribution to existing debates on human rights in peace agreements</w:t>
      </w:r>
      <w:r w:rsidR="00BC298E">
        <w:rPr>
          <w:rFonts w:cs="Times New Roman"/>
        </w:rPr>
        <w:t>.</w:t>
      </w:r>
      <w:r w:rsidR="00BC298E">
        <w:rPr>
          <w:rStyle w:val="FootnoteReference"/>
          <w:rFonts w:cs="Times New Roman"/>
        </w:rPr>
        <w:footnoteReference w:id="122"/>
      </w:r>
      <w:r w:rsidR="00406B09">
        <w:rPr>
          <w:rFonts w:cs="Times New Roman"/>
        </w:rPr>
        <w:t xml:space="preserve"> </w:t>
      </w:r>
      <w:r>
        <w:rPr>
          <w:rFonts w:cs="Times New Roman"/>
        </w:rPr>
        <w:t>It suggests that</w:t>
      </w:r>
      <w:r w:rsidR="005756AD">
        <w:rPr>
          <w:rFonts w:cs="Times New Roman"/>
        </w:rPr>
        <w:t xml:space="preserve"> Bell’s new Law on Peace</w:t>
      </w:r>
      <w:r w:rsidR="005756AD">
        <w:rPr>
          <w:rStyle w:val="FootnoteReference"/>
          <w:rFonts w:cs="Times New Roman"/>
        </w:rPr>
        <w:footnoteReference w:id="123"/>
      </w:r>
      <w:r w:rsidR="005756AD">
        <w:rPr>
          <w:rFonts w:cs="Times New Roman"/>
        </w:rPr>
        <w:t xml:space="preserve"> </w:t>
      </w:r>
      <w:r>
        <w:rPr>
          <w:rFonts w:cs="Times New Roman"/>
        </w:rPr>
        <w:t>face</w:t>
      </w:r>
      <w:r w:rsidR="00406B09">
        <w:rPr>
          <w:rFonts w:cs="Times New Roman"/>
        </w:rPr>
        <w:t>s</w:t>
      </w:r>
      <w:r>
        <w:rPr>
          <w:rFonts w:cs="Times New Roman"/>
        </w:rPr>
        <w:t xml:space="preserve"> significantly greater obstacles in some conflict context th</w:t>
      </w:r>
      <w:r w:rsidR="0085403D">
        <w:rPr>
          <w:rFonts w:cs="Times New Roman"/>
        </w:rPr>
        <w:t>an others. D</w:t>
      </w:r>
      <w:r>
        <w:rPr>
          <w:rFonts w:cs="Times New Roman"/>
        </w:rPr>
        <w:t>emands for human rights are much less likely to come from the conflict parties in case of territorial conflicts and may be actively resisted if there is a promise of territorial autonomy.</w:t>
      </w:r>
      <w:r w:rsidR="005C6328">
        <w:rPr>
          <w:rFonts w:cs="Times New Roman"/>
        </w:rPr>
        <w:t xml:space="preserve"> </w:t>
      </w:r>
      <w:r w:rsidR="005C6328" w:rsidRPr="00870D74">
        <w:rPr>
          <w:rFonts w:cs="Times New Roman"/>
        </w:rPr>
        <w:t xml:space="preserve">Proponents of </w:t>
      </w:r>
      <w:r w:rsidR="005C6328">
        <w:rPr>
          <w:rFonts w:cs="Times New Roman"/>
        </w:rPr>
        <w:t xml:space="preserve">territorial autonomy stress </w:t>
      </w:r>
      <w:r w:rsidR="005C6328" w:rsidRPr="00870D74">
        <w:rPr>
          <w:rFonts w:cs="Times New Roman"/>
        </w:rPr>
        <w:t>the need to inc</w:t>
      </w:r>
      <w:r w:rsidR="005C6328">
        <w:rPr>
          <w:rFonts w:cs="Times New Roman"/>
        </w:rPr>
        <w:t xml:space="preserve">orporate </w:t>
      </w:r>
      <w:r w:rsidR="005C6328" w:rsidRPr="00870D74">
        <w:rPr>
          <w:rFonts w:cs="Times New Roman"/>
        </w:rPr>
        <w:t>robust human rights pro</w:t>
      </w:r>
      <w:r w:rsidR="005C6328">
        <w:rPr>
          <w:rFonts w:cs="Times New Roman"/>
        </w:rPr>
        <w:t>tections and local power-sharing</w:t>
      </w:r>
      <w:r w:rsidR="005756AD">
        <w:rPr>
          <w:rFonts w:cs="Times New Roman"/>
        </w:rPr>
        <w:t>,</w:t>
      </w:r>
      <w:r w:rsidR="005756AD">
        <w:rPr>
          <w:rStyle w:val="FootnoteReference"/>
          <w:rFonts w:cs="Times New Roman"/>
        </w:rPr>
        <w:footnoteReference w:id="124"/>
      </w:r>
      <w:r w:rsidR="005C6328">
        <w:rPr>
          <w:rFonts w:cs="Times New Roman"/>
        </w:rPr>
        <w:t xml:space="preserve"> </w:t>
      </w:r>
      <w:r w:rsidR="005C6328" w:rsidRPr="00870D74">
        <w:rPr>
          <w:rFonts w:cs="Times New Roman"/>
        </w:rPr>
        <w:t xml:space="preserve">but this article has pointed to the genuine dilemmas this presents, and the resistance it is likely to meet from leaders keen to keep their power as unconstrained as possible. </w:t>
      </w:r>
      <w:r>
        <w:rPr>
          <w:rFonts w:cs="Times New Roman"/>
        </w:rPr>
        <w:t xml:space="preserve">International mediators may push for human rights </w:t>
      </w:r>
      <w:r w:rsidR="005C6328">
        <w:rPr>
          <w:rFonts w:cs="Times New Roman"/>
        </w:rPr>
        <w:t xml:space="preserve">protections to be included but </w:t>
      </w:r>
      <w:r>
        <w:rPr>
          <w:rFonts w:cs="Times New Roman"/>
        </w:rPr>
        <w:t>the problems faced during the implementation phase point to the need for robust mechanisms</w:t>
      </w:r>
      <w:r w:rsidR="005C6328">
        <w:rPr>
          <w:rFonts w:cs="Times New Roman"/>
        </w:rPr>
        <w:t xml:space="preserve"> </w:t>
      </w:r>
      <w:r>
        <w:rPr>
          <w:rFonts w:cs="Times New Roman"/>
        </w:rPr>
        <w:t xml:space="preserve">and possibly continued </w:t>
      </w:r>
      <w:r w:rsidR="00FA0765">
        <w:rPr>
          <w:rFonts w:cs="Times New Roman"/>
        </w:rPr>
        <w:t xml:space="preserve">international </w:t>
      </w:r>
      <w:r>
        <w:rPr>
          <w:rFonts w:cs="Times New Roman"/>
        </w:rPr>
        <w:t xml:space="preserve">involvement. </w:t>
      </w:r>
    </w:p>
    <w:p w14:paraId="1508211C" w14:textId="0A04D623" w:rsidR="006D5BD5" w:rsidRDefault="005C6328" w:rsidP="0085403D">
      <w:pPr>
        <w:spacing w:line="480" w:lineRule="auto"/>
        <w:rPr>
          <w:rFonts w:cs="Times New Roman"/>
          <w:b/>
        </w:rPr>
      </w:pPr>
      <w:r>
        <w:rPr>
          <w:rFonts w:cs="Times New Roman"/>
        </w:rPr>
        <w:t>Finally, these findings also have implications for the w</w:t>
      </w:r>
      <w:r w:rsidR="00460822">
        <w:rPr>
          <w:rFonts w:cs="Times New Roman"/>
        </w:rPr>
        <w:t>ider debates over liberal peace</w:t>
      </w:r>
      <w:r>
        <w:rPr>
          <w:rFonts w:cs="Times New Roman"/>
        </w:rPr>
        <w:t>building</w:t>
      </w:r>
      <w:r w:rsidR="00FA0765">
        <w:rPr>
          <w:rFonts w:cs="Times New Roman"/>
        </w:rPr>
        <w:t>, which has been described</w:t>
      </w:r>
      <w:r w:rsidR="0085403D">
        <w:rPr>
          <w:rFonts w:cs="Times New Roman"/>
        </w:rPr>
        <w:t>,</w:t>
      </w:r>
      <w:r w:rsidR="00FA0765">
        <w:rPr>
          <w:rFonts w:cs="Times New Roman"/>
        </w:rPr>
        <w:t xml:space="preserve"> by its critics</w:t>
      </w:r>
      <w:r w:rsidR="0085403D">
        <w:rPr>
          <w:rFonts w:cs="Times New Roman"/>
        </w:rPr>
        <w:t>,</w:t>
      </w:r>
      <w:r w:rsidR="00460822">
        <w:rPr>
          <w:rFonts w:cs="Times New Roman"/>
        </w:rPr>
        <w:t xml:space="preserve"> as </w:t>
      </w:r>
      <w:r w:rsidR="007B56C4">
        <w:t>‘</w:t>
      </w:r>
      <w:r w:rsidR="00460822" w:rsidRPr="00D82C4F">
        <w:t>a peace from IKEA: a flat-pack peace from standardised components</w:t>
      </w:r>
      <w:r w:rsidR="007B56C4">
        <w:t>’</w:t>
      </w:r>
      <w:r w:rsidR="005756AD">
        <w:t>.</w:t>
      </w:r>
      <w:r w:rsidR="005756AD">
        <w:rPr>
          <w:rStyle w:val="FootnoteReference"/>
        </w:rPr>
        <w:footnoteReference w:id="125"/>
      </w:r>
      <w:r w:rsidR="00460822">
        <w:rPr>
          <w:noProof/>
        </w:rPr>
        <w:t xml:space="preserve"> </w:t>
      </w:r>
      <w:r w:rsidR="00460822">
        <w:t xml:space="preserve">This article suggests that in territorial conflicts, the </w:t>
      </w:r>
      <w:r w:rsidR="00460822">
        <w:rPr>
          <w:rFonts w:eastAsia="Times New Roman" w:cs="Times New Roman"/>
          <w:color w:val="000000"/>
          <w:lang w:eastAsia="en-GB"/>
        </w:rPr>
        <w:t xml:space="preserve">flat-pack ‘liberal peace’ </w:t>
      </w:r>
      <w:r w:rsidR="00F75124">
        <w:rPr>
          <w:rFonts w:eastAsia="Times New Roman" w:cs="Times New Roman"/>
          <w:color w:val="000000"/>
          <w:lang w:eastAsia="en-GB"/>
        </w:rPr>
        <w:t>agreement</w:t>
      </w:r>
      <w:r w:rsidR="00460822">
        <w:rPr>
          <w:rFonts w:eastAsia="Times New Roman" w:cs="Times New Roman"/>
          <w:color w:val="000000"/>
          <w:lang w:eastAsia="en-GB"/>
        </w:rPr>
        <w:t xml:space="preserve"> is often </w:t>
      </w:r>
      <w:r w:rsidR="00460822" w:rsidRPr="00C1339C">
        <w:rPr>
          <w:rFonts w:eastAsia="Times New Roman" w:cs="Times New Roman"/>
          <w:color w:val="000000"/>
          <w:lang w:eastAsia="en-GB"/>
        </w:rPr>
        <w:t>missing a screw: effective human rights provisions.</w:t>
      </w:r>
      <w:r w:rsidR="00460822">
        <w:rPr>
          <w:rFonts w:eastAsia="Times New Roman" w:cs="Times New Roman"/>
          <w:color w:val="000000"/>
          <w:lang w:eastAsia="en-GB"/>
        </w:rPr>
        <w:t xml:space="preserve"> </w:t>
      </w:r>
      <w:r w:rsidR="00FA0765">
        <w:rPr>
          <w:rFonts w:eastAsia="Times New Roman" w:cs="Times New Roman"/>
          <w:color w:val="000000"/>
          <w:lang w:eastAsia="en-GB"/>
        </w:rPr>
        <w:t>Therefore, it m</w:t>
      </w:r>
      <w:r w:rsidR="00782CBD">
        <w:rPr>
          <w:rFonts w:eastAsia="Times New Roman" w:cs="Times New Roman"/>
          <w:color w:val="000000"/>
          <w:lang w:eastAsia="en-GB"/>
        </w:rPr>
        <w:t xml:space="preserve">ay </w:t>
      </w:r>
      <w:r w:rsidR="00460822">
        <w:rPr>
          <w:rFonts w:eastAsia="Times New Roman" w:cs="Times New Roman"/>
          <w:color w:val="000000"/>
          <w:lang w:eastAsia="en-GB"/>
        </w:rPr>
        <w:t xml:space="preserve">not </w:t>
      </w:r>
      <w:r w:rsidR="00FA0765">
        <w:rPr>
          <w:rFonts w:eastAsia="Times New Roman" w:cs="Times New Roman"/>
          <w:color w:val="000000"/>
          <w:lang w:eastAsia="en-GB"/>
        </w:rPr>
        <w:t>b</w:t>
      </w:r>
      <w:r w:rsidR="00460822">
        <w:rPr>
          <w:rFonts w:eastAsia="Times New Roman" w:cs="Times New Roman"/>
          <w:color w:val="000000"/>
          <w:lang w:eastAsia="en-GB"/>
        </w:rPr>
        <w:t xml:space="preserve">e </w:t>
      </w:r>
      <w:r w:rsidR="00782CBD">
        <w:rPr>
          <w:rFonts w:eastAsia="Times New Roman" w:cs="Times New Roman"/>
          <w:color w:val="000000"/>
          <w:lang w:eastAsia="en-GB"/>
        </w:rPr>
        <w:t xml:space="preserve">quite </w:t>
      </w:r>
      <w:r w:rsidR="00460822">
        <w:rPr>
          <w:rFonts w:eastAsia="Times New Roman" w:cs="Times New Roman"/>
          <w:color w:val="000000"/>
          <w:lang w:eastAsia="en-GB"/>
        </w:rPr>
        <w:t xml:space="preserve">as liberal as it appears. </w:t>
      </w:r>
    </w:p>
    <w:sectPr w:rsidR="006D5BD5" w:rsidSect="002D263E">
      <w:foot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650A" w14:textId="77777777" w:rsidR="00A45729" w:rsidRDefault="00A45729" w:rsidP="003B6CFD">
      <w:pPr>
        <w:spacing w:after="0" w:line="240" w:lineRule="auto"/>
      </w:pPr>
      <w:r>
        <w:separator/>
      </w:r>
    </w:p>
  </w:endnote>
  <w:endnote w:type="continuationSeparator" w:id="0">
    <w:p w14:paraId="218D9F00" w14:textId="77777777" w:rsidR="00A45729" w:rsidRDefault="00A45729" w:rsidP="003B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00789"/>
      <w:docPartObj>
        <w:docPartGallery w:val="Page Numbers (Bottom of Page)"/>
        <w:docPartUnique/>
      </w:docPartObj>
    </w:sdtPr>
    <w:sdtEndPr>
      <w:rPr>
        <w:noProof/>
      </w:rPr>
    </w:sdtEndPr>
    <w:sdtContent>
      <w:p w14:paraId="59FCAB51" w14:textId="56798626" w:rsidR="00A45729" w:rsidRDefault="00A45729">
        <w:pPr>
          <w:pStyle w:val="Footer"/>
          <w:jc w:val="right"/>
        </w:pPr>
        <w:r>
          <w:fldChar w:fldCharType="begin"/>
        </w:r>
        <w:r>
          <w:instrText xml:space="preserve"> PAGE   \* MERGEFORMAT </w:instrText>
        </w:r>
        <w:r>
          <w:fldChar w:fldCharType="separate"/>
        </w:r>
        <w:r w:rsidR="00F47F3D">
          <w:rPr>
            <w:noProof/>
          </w:rPr>
          <w:t>1</w:t>
        </w:r>
        <w:r>
          <w:rPr>
            <w:noProof/>
          </w:rPr>
          <w:fldChar w:fldCharType="end"/>
        </w:r>
      </w:p>
    </w:sdtContent>
  </w:sdt>
  <w:p w14:paraId="4D452DF3" w14:textId="77777777" w:rsidR="00A45729" w:rsidRDefault="00A4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22BD" w14:textId="77777777" w:rsidR="00A45729" w:rsidRDefault="00A45729" w:rsidP="003B6CFD">
      <w:pPr>
        <w:spacing w:after="0" w:line="240" w:lineRule="auto"/>
      </w:pPr>
      <w:r>
        <w:separator/>
      </w:r>
    </w:p>
  </w:footnote>
  <w:footnote w:type="continuationSeparator" w:id="0">
    <w:p w14:paraId="20D33E44" w14:textId="77777777" w:rsidR="00A45729" w:rsidRDefault="00A45729" w:rsidP="003B6CFD">
      <w:pPr>
        <w:spacing w:after="0" w:line="240" w:lineRule="auto"/>
      </w:pPr>
      <w:r>
        <w:continuationSeparator/>
      </w:r>
    </w:p>
  </w:footnote>
  <w:footnote w:id="1">
    <w:p w14:paraId="5D01D8DB" w14:textId="77777777" w:rsidR="00A45729" w:rsidRDefault="00A45729">
      <w:pPr>
        <w:pStyle w:val="FootnoteText"/>
      </w:pPr>
      <w:r>
        <w:rPr>
          <w:rStyle w:val="FootnoteReference"/>
        </w:rPr>
        <w:footnoteRef/>
      </w:r>
      <w:r>
        <w:t xml:space="preserve"> United Nations, ‘The rule of law and transitional justice in conflict and post conflict societies,’ Report of the Secretary General (New York, 2004). </w:t>
      </w:r>
    </w:p>
  </w:footnote>
  <w:footnote w:id="2">
    <w:p w14:paraId="2AE9292B"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Pr>
          <w:sz w:val="20"/>
          <w:szCs w:val="20"/>
        </w:rPr>
        <w:t xml:space="preserve">Myron </w:t>
      </w:r>
      <w:r>
        <w:rPr>
          <w:noProof/>
          <w:sz w:val="20"/>
          <w:szCs w:val="20"/>
        </w:rPr>
        <w:t>Weiner, ‘</w:t>
      </w:r>
      <w:r w:rsidRPr="001E30D5">
        <w:rPr>
          <w:noProof/>
          <w:sz w:val="20"/>
          <w:szCs w:val="20"/>
        </w:rPr>
        <w:t>The Clash of Norms: Dilemmas in Refugee Policies</w:t>
      </w:r>
      <w:r>
        <w:rPr>
          <w:noProof/>
          <w:sz w:val="20"/>
          <w:szCs w:val="20"/>
        </w:rPr>
        <w:t>,’</w:t>
      </w:r>
      <w:r w:rsidRPr="001E30D5">
        <w:rPr>
          <w:noProof/>
          <w:sz w:val="20"/>
          <w:szCs w:val="20"/>
        </w:rPr>
        <w:t xml:space="preserve"> Journal of Refugee Studies, 11</w:t>
      </w:r>
      <w:r>
        <w:rPr>
          <w:noProof/>
          <w:sz w:val="20"/>
          <w:szCs w:val="20"/>
        </w:rPr>
        <w:t xml:space="preserve">: 4 (1998), </w:t>
      </w:r>
      <w:r w:rsidRPr="001E30D5">
        <w:rPr>
          <w:noProof/>
          <w:sz w:val="20"/>
          <w:szCs w:val="20"/>
        </w:rPr>
        <w:t>p. 442</w:t>
      </w:r>
      <w:r>
        <w:rPr>
          <w:noProof/>
          <w:sz w:val="20"/>
          <w:szCs w:val="20"/>
        </w:rPr>
        <w:t>.</w:t>
      </w:r>
    </w:p>
  </w:footnote>
  <w:footnote w:id="3">
    <w:p w14:paraId="4DDD27C5"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Pr>
          <w:sz w:val="20"/>
          <w:szCs w:val="20"/>
        </w:rPr>
        <w:t xml:space="preserve">Madhav </w:t>
      </w:r>
      <w:r w:rsidRPr="001E30D5">
        <w:rPr>
          <w:noProof/>
          <w:sz w:val="20"/>
          <w:szCs w:val="20"/>
        </w:rPr>
        <w:t xml:space="preserve">Joshi, </w:t>
      </w:r>
      <w:r>
        <w:rPr>
          <w:noProof/>
          <w:sz w:val="20"/>
          <w:szCs w:val="20"/>
        </w:rPr>
        <w:t xml:space="preserve">Sung Yong Lee and </w:t>
      </w:r>
      <w:r w:rsidRPr="001E30D5">
        <w:rPr>
          <w:noProof/>
          <w:sz w:val="20"/>
          <w:szCs w:val="20"/>
        </w:rPr>
        <w:t>Roger Mac Ginty</w:t>
      </w:r>
      <w:r>
        <w:rPr>
          <w:noProof/>
          <w:sz w:val="20"/>
          <w:szCs w:val="20"/>
        </w:rPr>
        <w:t>, ‘</w:t>
      </w:r>
      <w:r w:rsidRPr="001E30D5">
        <w:rPr>
          <w:noProof/>
          <w:sz w:val="20"/>
          <w:szCs w:val="20"/>
        </w:rPr>
        <w:t>Just How</w:t>
      </w:r>
      <w:r>
        <w:rPr>
          <w:noProof/>
          <w:sz w:val="20"/>
          <w:szCs w:val="20"/>
        </w:rPr>
        <w:t xml:space="preserve"> Liberal Is the Liberal Peace?’</w:t>
      </w:r>
      <w:r w:rsidRPr="001E30D5">
        <w:rPr>
          <w:noProof/>
          <w:sz w:val="20"/>
          <w:szCs w:val="20"/>
        </w:rPr>
        <w:t xml:space="preserve"> </w:t>
      </w:r>
      <w:r w:rsidRPr="00F740A8">
        <w:rPr>
          <w:iCs/>
          <w:noProof/>
          <w:sz w:val="20"/>
          <w:szCs w:val="20"/>
        </w:rPr>
        <w:t>International Peacekeeping,</w:t>
      </w:r>
      <w:r w:rsidRPr="001E30D5">
        <w:rPr>
          <w:i/>
          <w:iCs/>
          <w:noProof/>
          <w:sz w:val="20"/>
          <w:szCs w:val="20"/>
        </w:rPr>
        <w:t xml:space="preserve"> </w:t>
      </w:r>
      <w:r>
        <w:rPr>
          <w:noProof/>
          <w:sz w:val="20"/>
          <w:szCs w:val="20"/>
        </w:rPr>
        <w:t xml:space="preserve">21: 3 (2014), </w:t>
      </w:r>
      <w:r w:rsidRPr="001E30D5">
        <w:rPr>
          <w:noProof/>
          <w:sz w:val="20"/>
          <w:szCs w:val="20"/>
        </w:rPr>
        <w:t xml:space="preserve">p. 367. </w:t>
      </w:r>
    </w:p>
  </w:footnote>
  <w:footnote w:id="4">
    <w:p w14:paraId="384B7F8B" w14:textId="77777777" w:rsidR="00A45729" w:rsidRPr="00F740A8" w:rsidRDefault="00A45729" w:rsidP="001E30D5">
      <w:pPr>
        <w:pStyle w:val="NoSpacing"/>
        <w:rPr>
          <w:sz w:val="20"/>
          <w:szCs w:val="20"/>
        </w:rPr>
      </w:pPr>
      <w:r w:rsidRPr="00F740A8">
        <w:rPr>
          <w:rStyle w:val="FootnoteReference"/>
          <w:sz w:val="20"/>
          <w:szCs w:val="20"/>
        </w:rPr>
        <w:footnoteRef/>
      </w:r>
      <w:r w:rsidRPr="00F740A8">
        <w:rPr>
          <w:sz w:val="20"/>
          <w:szCs w:val="20"/>
        </w:rPr>
        <w:t xml:space="preserve"> </w:t>
      </w:r>
      <w:r w:rsidRPr="00F740A8">
        <w:rPr>
          <w:noProof/>
          <w:sz w:val="20"/>
          <w:szCs w:val="20"/>
        </w:rPr>
        <w:t xml:space="preserve">Christine Bell, </w:t>
      </w:r>
      <w:r w:rsidRPr="00F740A8">
        <w:rPr>
          <w:iCs/>
          <w:noProof/>
          <w:sz w:val="20"/>
          <w:szCs w:val="20"/>
        </w:rPr>
        <w:t>On the Law of Peace: Peace Agreements and the Lex Pacificatoria (</w:t>
      </w:r>
      <w:r w:rsidRPr="00F740A8">
        <w:rPr>
          <w:noProof/>
          <w:sz w:val="20"/>
          <w:szCs w:val="20"/>
        </w:rPr>
        <w:t>Oxford: Oxford University Press, 2008).</w:t>
      </w:r>
    </w:p>
  </w:footnote>
  <w:footnote w:id="5">
    <w:p w14:paraId="4368BC35" w14:textId="77777777" w:rsidR="00A45729" w:rsidRPr="00F740A8" w:rsidRDefault="00A45729" w:rsidP="00EC3C38">
      <w:pPr>
        <w:pStyle w:val="NoSpacing"/>
        <w:rPr>
          <w:sz w:val="20"/>
          <w:szCs w:val="20"/>
        </w:rPr>
      </w:pPr>
      <w:r w:rsidRPr="00F740A8">
        <w:rPr>
          <w:rStyle w:val="FootnoteReference"/>
          <w:sz w:val="20"/>
          <w:szCs w:val="20"/>
        </w:rPr>
        <w:footnoteRef/>
      </w:r>
      <w:r w:rsidRPr="00F740A8">
        <w:rPr>
          <w:sz w:val="20"/>
          <w:szCs w:val="20"/>
        </w:rPr>
        <w:t xml:space="preserve"> Christine </w:t>
      </w:r>
      <w:r w:rsidRPr="00F740A8">
        <w:rPr>
          <w:noProof/>
          <w:sz w:val="20"/>
          <w:szCs w:val="20"/>
        </w:rPr>
        <w:t xml:space="preserve">Bell, </w:t>
      </w:r>
      <w:r w:rsidRPr="00F740A8">
        <w:rPr>
          <w:iCs/>
          <w:noProof/>
          <w:sz w:val="20"/>
          <w:szCs w:val="20"/>
        </w:rPr>
        <w:t>Peace Agreements and Human Rights (</w:t>
      </w:r>
      <w:r w:rsidRPr="00F740A8">
        <w:rPr>
          <w:noProof/>
          <w:sz w:val="20"/>
          <w:szCs w:val="20"/>
        </w:rPr>
        <w:t>Oxford: Oxford University Press, 2000), p. 297.</w:t>
      </w:r>
    </w:p>
  </w:footnote>
  <w:footnote w:id="6">
    <w:p w14:paraId="24090663" w14:textId="77777777" w:rsidR="00A45729" w:rsidRPr="00F740A8" w:rsidRDefault="00A45729" w:rsidP="001E30D5">
      <w:pPr>
        <w:pStyle w:val="NoSpacing"/>
        <w:rPr>
          <w:sz w:val="20"/>
          <w:szCs w:val="20"/>
        </w:rPr>
      </w:pPr>
      <w:r w:rsidRPr="00F740A8">
        <w:rPr>
          <w:rStyle w:val="FootnoteReference"/>
          <w:sz w:val="20"/>
          <w:szCs w:val="20"/>
        </w:rPr>
        <w:footnoteRef/>
      </w:r>
      <w:r w:rsidRPr="00F740A8">
        <w:rPr>
          <w:sz w:val="20"/>
          <w:szCs w:val="20"/>
        </w:rPr>
        <w:t xml:space="preserve"> Ibid.</w:t>
      </w:r>
    </w:p>
  </w:footnote>
  <w:footnote w:id="7">
    <w:p w14:paraId="0946C23C" w14:textId="77777777" w:rsidR="00A45729" w:rsidRPr="00F740A8" w:rsidRDefault="00A45729" w:rsidP="001E30D5">
      <w:pPr>
        <w:pStyle w:val="NoSpacing"/>
        <w:rPr>
          <w:sz w:val="20"/>
          <w:szCs w:val="20"/>
        </w:rPr>
      </w:pPr>
      <w:r w:rsidRPr="00F740A8">
        <w:rPr>
          <w:rStyle w:val="FootnoteReference"/>
          <w:sz w:val="20"/>
          <w:szCs w:val="20"/>
        </w:rPr>
        <w:footnoteRef/>
      </w:r>
      <w:r w:rsidRPr="00F740A8">
        <w:rPr>
          <w:sz w:val="20"/>
          <w:szCs w:val="20"/>
        </w:rPr>
        <w:t xml:space="preserve"> See Jan </w:t>
      </w:r>
      <w:r w:rsidRPr="00F740A8">
        <w:rPr>
          <w:noProof/>
          <w:sz w:val="20"/>
          <w:szCs w:val="20"/>
        </w:rPr>
        <w:t xml:space="preserve">Selby, ‘The myth of liberal peace-building’, </w:t>
      </w:r>
      <w:r w:rsidRPr="00F740A8">
        <w:rPr>
          <w:iCs/>
          <w:noProof/>
          <w:sz w:val="20"/>
          <w:szCs w:val="20"/>
        </w:rPr>
        <w:t xml:space="preserve">Conflict, Security and Development, </w:t>
      </w:r>
      <w:r w:rsidRPr="00F740A8">
        <w:rPr>
          <w:noProof/>
          <w:sz w:val="20"/>
          <w:szCs w:val="20"/>
        </w:rPr>
        <w:t xml:space="preserve">13: 1 (2013); Dominik Zaum, ‘Beyond the 'Liberal Peace'’, </w:t>
      </w:r>
      <w:r w:rsidRPr="00F740A8">
        <w:rPr>
          <w:iCs/>
          <w:noProof/>
          <w:sz w:val="20"/>
          <w:szCs w:val="20"/>
        </w:rPr>
        <w:t xml:space="preserve">Global Governance, </w:t>
      </w:r>
      <w:r w:rsidRPr="00F740A8">
        <w:rPr>
          <w:noProof/>
          <w:sz w:val="20"/>
          <w:szCs w:val="20"/>
        </w:rPr>
        <w:t xml:space="preserve">18 (2012); Chandra  L. Sriram, </w:t>
      </w:r>
      <w:r w:rsidRPr="00F740A8">
        <w:rPr>
          <w:iCs/>
          <w:noProof/>
          <w:sz w:val="20"/>
          <w:szCs w:val="20"/>
        </w:rPr>
        <w:t>Peace as Governance: Power-Sharing, Armed Groups and Contemporary Peace Negotiations (</w:t>
      </w:r>
      <w:r w:rsidRPr="00F740A8">
        <w:rPr>
          <w:noProof/>
          <w:sz w:val="20"/>
          <w:szCs w:val="20"/>
        </w:rPr>
        <w:t>Houndmills: Palgrave Macmillan, 2008).</w:t>
      </w:r>
    </w:p>
  </w:footnote>
  <w:footnote w:id="8">
    <w:p w14:paraId="7A962919"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Joshi, Le</w:t>
      </w:r>
      <w:r>
        <w:rPr>
          <w:sz w:val="20"/>
          <w:szCs w:val="20"/>
        </w:rPr>
        <w:t>e and</w:t>
      </w:r>
      <w:r w:rsidRPr="001E30D5">
        <w:rPr>
          <w:sz w:val="20"/>
          <w:szCs w:val="20"/>
        </w:rPr>
        <w:t xml:space="preserve"> Mac Ginty (2014).  </w:t>
      </w:r>
    </w:p>
  </w:footnote>
  <w:footnote w:id="9">
    <w:p w14:paraId="6DB391D9"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Pr>
          <w:sz w:val="20"/>
          <w:szCs w:val="20"/>
        </w:rPr>
        <w:t>Ibid. pp. 376-77</w:t>
      </w:r>
      <w:r w:rsidRPr="001E30D5">
        <w:rPr>
          <w:sz w:val="20"/>
          <w:szCs w:val="20"/>
        </w:rPr>
        <w:t>.</w:t>
      </w:r>
      <w:r w:rsidRPr="001E30D5">
        <w:rPr>
          <w:rFonts w:cs="Times New Roman"/>
          <w:sz w:val="20"/>
          <w:szCs w:val="20"/>
        </w:rPr>
        <w:t xml:space="preserve">  </w:t>
      </w:r>
    </w:p>
  </w:footnote>
  <w:footnote w:id="10">
    <w:p w14:paraId="1CEF3615"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Stefan</w:t>
      </w:r>
      <w:r>
        <w:rPr>
          <w:noProof/>
          <w:sz w:val="20"/>
          <w:szCs w:val="20"/>
        </w:rPr>
        <w:t xml:space="preserve"> </w:t>
      </w:r>
      <w:r w:rsidRPr="001E30D5">
        <w:rPr>
          <w:noProof/>
          <w:sz w:val="20"/>
          <w:szCs w:val="20"/>
        </w:rPr>
        <w:t xml:space="preserve">Wolff, </w:t>
      </w:r>
      <w:r>
        <w:rPr>
          <w:noProof/>
          <w:sz w:val="20"/>
          <w:szCs w:val="20"/>
        </w:rPr>
        <w:t>‘</w:t>
      </w:r>
      <w:r w:rsidRPr="001E30D5">
        <w:rPr>
          <w:noProof/>
          <w:sz w:val="20"/>
          <w:szCs w:val="20"/>
        </w:rPr>
        <w:t>Complex Power-sharing and the Centrality of Territorial Self-governance in Contemporary Conflict Settlements</w:t>
      </w:r>
      <w:r>
        <w:rPr>
          <w:noProof/>
          <w:sz w:val="20"/>
          <w:szCs w:val="20"/>
        </w:rPr>
        <w:t xml:space="preserve">,’, </w:t>
      </w:r>
      <w:r w:rsidRPr="00F740A8">
        <w:rPr>
          <w:iCs/>
          <w:noProof/>
          <w:sz w:val="20"/>
          <w:szCs w:val="20"/>
        </w:rPr>
        <w:t>Ethnopolitics</w:t>
      </w:r>
      <w:r>
        <w:rPr>
          <w:i/>
          <w:iCs/>
          <w:noProof/>
          <w:sz w:val="20"/>
          <w:szCs w:val="20"/>
        </w:rPr>
        <w:t>,</w:t>
      </w:r>
      <w:r w:rsidRPr="001E30D5">
        <w:rPr>
          <w:i/>
          <w:iCs/>
          <w:noProof/>
          <w:sz w:val="20"/>
          <w:szCs w:val="20"/>
        </w:rPr>
        <w:t xml:space="preserve"> </w:t>
      </w:r>
      <w:r w:rsidRPr="001E30D5">
        <w:rPr>
          <w:noProof/>
          <w:sz w:val="20"/>
          <w:szCs w:val="20"/>
        </w:rPr>
        <w:t>8</w:t>
      </w:r>
      <w:r>
        <w:rPr>
          <w:noProof/>
          <w:sz w:val="20"/>
          <w:szCs w:val="20"/>
        </w:rPr>
        <w:t>: 1 (2009)</w:t>
      </w:r>
      <w:r w:rsidRPr="001E30D5">
        <w:rPr>
          <w:noProof/>
          <w:sz w:val="20"/>
          <w:szCs w:val="20"/>
        </w:rPr>
        <w:t>.</w:t>
      </w:r>
    </w:p>
  </w:footnote>
  <w:footnote w:id="11">
    <w:p w14:paraId="1FFA8E09"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See e.g. </w:t>
      </w:r>
      <w:r>
        <w:rPr>
          <w:sz w:val="20"/>
          <w:szCs w:val="20"/>
        </w:rPr>
        <w:t xml:space="preserve">Donald </w:t>
      </w:r>
      <w:r w:rsidRPr="001E30D5">
        <w:rPr>
          <w:noProof/>
          <w:sz w:val="20"/>
          <w:szCs w:val="20"/>
        </w:rPr>
        <w:t xml:space="preserve">Horowitz, </w:t>
      </w:r>
      <w:r w:rsidRPr="00F740A8">
        <w:rPr>
          <w:iCs/>
          <w:noProof/>
          <w:sz w:val="20"/>
          <w:szCs w:val="20"/>
        </w:rPr>
        <w:t>Ethnic Groups in Conflict</w:t>
      </w:r>
      <w:r>
        <w:rPr>
          <w:i/>
          <w:iCs/>
          <w:noProof/>
          <w:sz w:val="20"/>
          <w:szCs w:val="20"/>
        </w:rPr>
        <w:t xml:space="preserve"> </w:t>
      </w:r>
      <w:r>
        <w:rPr>
          <w:iCs/>
          <w:noProof/>
          <w:sz w:val="20"/>
          <w:szCs w:val="20"/>
        </w:rPr>
        <w:t>(</w:t>
      </w:r>
      <w:r w:rsidRPr="001E30D5">
        <w:rPr>
          <w:noProof/>
          <w:sz w:val="20"/>
          <w:szCs w:val="20"/>
        </w:rPr>
        <w:t>Berkeley: University of California Press</w:t>
      </w:r>
      <w:r>
        <w:rPr>
          <w:noProof/>
          <w:sz w:val="20"/>
          <w:szCs w:val="20"/>
        </w:rPr>
        <w:t>, 1985)</w:t>
      </w:r>
      <w:r w:rsidRPr="001E30D5">
        <w:rPr>
          <w:noProof/>
          <w:sz w:val="20"/>
          <w:szCs w:val="20"/>
        </w:rPr>
        <w:t>.</w:t>
      </w:r>
    </w:p>
  </w:footnote>
  <w:footnote w:id="12">
    <w:p w14:paraId="6A27B0E8" w14:textId="33DE3F75" w:rsidR="00A45729" w:rsidRDefault="00A45729" w:rsidP="006202A3">
      <w:pPr>
        <w:pStyle w:val="NoSpacing"/>
      </w:pPr>
      <w:r>
        <w:rPr>
          <w:rStyle w:val="FootnoteReference"/>
        </w:rPr>
        <w:footnoteRef/>
      </w:r>
      <w:r>
        <w:t xml:space="preserve"> </w:t>
      </w:r>
      <w:r>
        <w:rPr>
          <w:noProof/>
          <w:sz w:val="20"/>
          <w:szCs w:val="20"/>
        </w:rPr>
        <w:t xml:space="preserve">Peace Accords Matrix, </w:t>
      </w:r>
      <w:r w:rsidRPr="001E30D5">
        <w:rPr>
          <w:iCs/>
          <w:noProof/>
          <w:sz w:val="20"/>
          <w:szCs w:val="20"/>
        </w:rPr>
        <w:t>Kroc Institute f</w:t>
      </w:r>
      <w:r>
        <w:rPr>
          <w:iCs/>
          <w:noProof/>
          <w:sz w:val="20"/>
          <w:szCs w:val="20"/>
        </w:rPr>
        <w:t>or International Peace Studies (</w:t>
      </w:r>
      <w:r w:rsidRPr="001E30D5">
        <w:rPr>
          <w:iCs/>
          <w:noProof/>
          <w:sz w:val="20"/>
          <w:szCs w:val="20"/>
        </w:rPr>
        <w:t>University of Notre Dame</w:t>
      </w:r>
      <w:r w:rsidRPr="001E30D5">
        <w:rPr>
          <w:i/>
          <w:iCs/>
          <w:noProof/>
          <w:sz w:val="20"/>
          <w:szCs w:val="20"/>
        </w:rPr>
        <w:t>,</w:t>
      </w:r>
      <w:r>
        <w:rPr>
          <w:i/>
          <w:iCs/>
          <w:noProof/>
          <w:sz w:val="20"/>
          <w:szCs w:val="20"/>
        </w:rPr>
        <w:t xml:space="preserve"> </w:t>
      </w:r>
      <w:r>
        <w:rPr>
          <w:iCs/>
          <w:noProof/>
          <w:sz w:val="20"/>
          <w:szCs w:val="20"/>
        </w:rPr>
        <w:t>201</w:t>
      </w:r>
      <w:r w:rsidR="00C90DEA">
        <w:rPr>
          <w:iCs/>
          <w:noProof/>
          <w:sz w:val="20"/>
          <w:szCs w:val="20"/>
        </w:rPr>
        <w:t>9</w:t>
      </w:r>
      <w:r>
        <w:rPr>
          <w:iCs/>
          <w:noProof/>
          <w:sz w:val="20"/>
          <w:szCs w:val="20"/>
        </w:rPr>
        <w:t xml:space="preserve">), </w:t>
      </w:r>
      <w:r w:rsidR="00AB3147">
        <w:rPr>
          <w:iCs/>
          <w:noProof/>
          <w:sz w:val="20"/>
          <w:szCs w:val="20"/>
        </w:rPr>
        <w:t>available at {</w:t>
      </w:r>
      <w:r w:rsidRPr="001E30D5">
        <w:rPr>
          <w:noProof/>
          <w:sz w:val="20"/>
          <w:szCs w:val="20"/>
        </w:rPr>
        <w:t>https://peaceaccords.nd.edu/peace-accords</w:t>
      </w:r>
      <w:r w:rsidR="00C90DEA">
        <w:rPr>
          <w:noProof/>
          <w:sz w:val="20"/>
          <w:szCs w:val="20"/>
        </w:rPr>
        <w:t>}</w:t>
      </w:r>
      <w:r w:rsidR="00AB3147">
        <w:rPr>
          <w:noProof/>
          <w:sz w:val="20"/>
          <w:szCs w:val="20"/>
        </w:rPr>
        <w:t xml:space="preserve"> last accessed</w:t>
      </w:r>
      <w:r w:rsidR="00C90DEA">
        <w:rPr>
          <w:noProof/>
          <w:sz w:val="20"/>
          <w:szCs w:val="20"/>
        </w:rPr>
        <w:t xml:space="preserve"> 24 January 2019</w:t>
      </w:r>
      <w:r w:rsidRPr="001E30D5">
        <w:rPr>
          <w:noProof/>
          <w:sz w:val="20"/>
          <w:szCs w:val="20"/>
        </w:rPr>
        <w:t>.</w:t>
      </w:r>
    </w:p>
  </w:footnote>
  <w:footnote w:id="13">
    <w:p w14:paraId="0FBA929F"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Joshi, Le</w:t>
      </w:r>
      <w:r>
        <w:rPr>
          <w:sz w:val="20"/>
          <w:szCs w:val="20"/>
        </w:rPr>
        <w:t>e and</w:t>
      </w:r>
      <w:r w:rsidRPr="001E30D5">
        <w:rPr>
          <w:sz w:val="20"/>
          <w:szCs w:val="20"/>
        </w:rPr>
        <w:t xml:space="preserve"> Mac Ginty (2014). </w:t>
      </w:r>
    </w:p>
  </w:footnote>
  <w:footnote w:id="14">
    <w:p w14:paraId="0397852E" w14:textId="77777777" w:rsidR="00A45729" w:rsidRPr="00FC53A5" w:rsidRDefault="00A45729" w:rsidP="001E30D5">
      <w:pPr>
        <w:pStyle w:val="NoSpacing"/>
        <w:rPr>
          <w:noProof/>
          <w:sz w:val="20"/>
          <w:szCs w:val="20"/>
        </w:rPr>
      </w:pPr>
      <w:r w:rsidRPr="00FC53A5">
        <w:rPr>
          <w:rStyle w:val="FootnoteReference"/>
          <w:sz w:val="20"/>
          <w:szCs w:val="20"/>
        </w:rPr>
        <w:footnoteRef/>
      </w:r>
      <w:r w:rsidRPr="00FC53A5">
        <w:rPr>
          <w:sz w:val="20"/>
          <w:szCs w:val="20"/>
        </w:rPr>
        <w:t xml:space="preserve"> </w:t>
      </w:r>
      <w:r w:rsidRPr="00FC53A5">
        <w:rPr>
          <w:rFonts w:cs="Times New Roman"/>
          <w:sz w:val="20"/>
          <w:szCs w:val="20"/>
        </w:rPr>
        <w:t xml:space="preserve">See e.g. Roy </w:t>
      </w:r>
      <w:r w:rsidRPr="00FC53A5">
        <w:rPr>
          <w:noProof/>
          <w:sz w:val="20"/>
          <w:szCs w:val="20"/>
        </w:rPr>
        <w:t xml:space="preserve">Licklider, ‘The Consequences of Negotiated Settlements in Civil Wars, 1945-1993’,  </w:t>
      </w:r>
      <w:r w:rsidRPr="00FC53A5">
        <w:rPr>
          <w:iCs/>
          <w:noProof/>
          <w:sz w:val="20"/>
          <w:szCs w:val="20"/>
        </w:rPr>
        <w:t xml:space="preserve">American Political Science Review, </w:t>
      </w:r>
      <w:r w:rsidRPr="00FC53A5">
        <w:rPr>
          <w:noProof/>
          <w:sz w:val="20"/>
          <w:szCs w:val="20"/>
        </w:rPr>
        <w:t xml:space="preserve">89: 3 (1995); Nicholas Sambanis, ‘Do Ethnic and Nonethnic Civil Wars Have the Same Causes?’ </w:t>
      </w:r>
      <w:r w:rsidRPr="00FC53A5">
        <w:rPr>
          <w:iCs/>
          <w:noProof/>
          <w:sz w:val="20"/>
          <w:szCs w:val="20"/>
        </w:rPr>
        <w:t xml:space="preserve">Journal of Conflict Resolution, </w:t>
      </w:r>
      <w:r w:rsidRPr="00FC53A5">
        <w:rPr>
          <w:noProof/>
          <w:sz w:val="20"/>
          <w:szCs w:val="20"/>
        </w:rPr>
        <w:t xml:space="preserve">45:3 (2001); Barbara F. Walter, ‘Explaining the Intractability of Territorial Conflict’ </w:t>
      </w:r>
      <w:r w:rsidRPr="00FC53A5">
        <w:rPr>
          <w:iCs/>
          <w:noProof/>
          <w:sz w:val="20"/>
          <w:szCs w:val="20"/>
        </w:rPr>
        <w:t xml:space="preserve">International Studies Review, </w:t>
      </w:r>
      <w:r w:rsidRPr="00FC53A5">
        <w:rPr>
          <w:noProof/>
          <w:sz w:val="20"/>
          <w:szCs w:val="20"/>
        </w:rPr>
        <w:t xml:space="preserve">5: 4 (2003); James D. Fearon, ‘Why Do Some Civil Wars Last so Much Longer than Others?’ </w:t>
      </w:r>
      <w:r w:rsidRPr="00FC53A5">
        <w:rPr>
          <w:iCs/>
          <w:noProof/>
          <w:sz w:val="20"/>
          <w:szCs w:val="20"/>
        </w:rPr>
        <w:t xml:space="preserve">Journal of Peace Research, </w:t>
      </w:r>
      <w:r w:rsidRPr="00FC53A5">
        <w:rPr>
          <w:noProof/>
          <w:sz w:val="20"/>
          <w:szCs w:val="20"/>
        </w:rPr>
        <w:t xml:space="preserve">41: 3 (2004); Jacob Bercovitch and Karl Derouen,  ‘Managing Ethnic Civil Wars: Assessing the Determinants of Successful Mediation’, </w:t>
      </w:r>
      <w:r w:rsidRPr="00FC53A5">
        <w:rPr>
          <w:iCs/>
          <w:noProof/>
          <w:sz w:val="20"/>
          <w:szCs w:val="20"/>
        </w:rPr>
        <w:t xml:space="preserve">Civil Wars, </w:t>
      </w:r>
      <w:r w:rsidRPr="00FC53A5">
        <w:rPr>
          <w:noProof/>
          <w:sz w:val="20"/>
          <w:szCs w:val="20"/>
        </w:rPr>
        <w:t>7: 1 (2005).</w:t>
      </w:r>
    </w:p>
  </w:footnote>
  <w:footnote w:id="15">
    <w:p w14:paraId="66DCD7A7"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Bell (2000) p. 159</w:t>
      </w:r>
      <w:r>
        <w:rPr>
          <w:sz w:val="20"/>
          <w:szCs w:val="20"/>
        </w:rPr>
        <w:t>.</w:t>
      </w:r>
    </w:p>
  </w:footnote>
  <w:footnote w:id="16">
    <w:p w14:paraId="414A065F" w14:textId="77777777" w:rsidR="00A45729" w:rsidRPr="00C727E7" w:rsidRDefault="00A45729" w:rsidP="001E30D5">
      <w:pPr>
        <w:pStyle w:val="NoSpacing"/>
        <w:rPr>
          <w:sz w:val="20"/>
          <w:szCs w:val="20"/>
        </w:rPr>
      </w:pPr>
      <w:r w:rsidRPr="00C727E7">
        <w:rPr>
          <w:rStyle w:val="FootnoteReference"/>
          <w:sz w:val="20"/>
          <w:szCs w:val="20"/>
        </w:rPr>
        <w:footnoteRef/>
      </w:r>
      <w:r w:rsidRPr="00C727E7">
        <w:rPr>
          <w:sz w:val="20"/>
          <w:szCs w:val="20"/>
        </w:rPr>
        <w:t xml:space="preserve"> See e.g. Alexis </w:t>
      </w:r>
      <w:r w:rsidRPr="00C727E7">
        <w:rPr>
          <w:noProof/>
          <w:sz w:val="20"/>
          <w:szCs w:val="20"/>
        </w:rPr>
        <w:t xml:space="preserve">Heraclides, Alexis, ‘The Ending of Unending Wars: Separatist Wars’, </w:t>
      </w:r>
      <w:r w:rsidRPr="00C727E7">
        <w:rPr>
          <w:iCs/>
          <w:noProof/>
          <w:sz w:val="20"/>
          <w:szCs w:val="20"/>
        </w:rPr>
        <w:t xml:space="preserve">Millenium, </w:t>
      </w:r>
      <w:r w:rsidRPr="00C727E7">
        <w:rPr>
          <w:noProof/>
          <w:sz w:val="20"/>
          <w:szCs w:val="20"/>
        </w:rPr>
        <w:t xml:space="preserve">26 (1997); Walter (2003). </w:t>
      </w:r>
      <w:r w:rsidRPr="00C727E7">
        <w:rPr>
          <w:sz w:val="20"/>
          <w:szCs w:val="20"/>
        </w:rPr>
        <w:t xml:space="preserve">Territorial conflicts are a sub-set of self-determination conflicts, which need not include a territorial demand but can be focused on e.g. linguistic rights. See Kathleen G. </w:t>
      </w:r>
      <w:r w:rsidRPr="00C727E7">
        <w:rPr>
          <w:noProof/>
          <w:sz w:val="20"/>
          <w:szCs w:val="20"/>
        </w:rPr>
        <w:t xml:space="preserve">Cunningham, </w:t>
      </w:r>
      <w:r w:rsidRPr="00C727E7">
        <w:rPr>
          <w:iCs/>
          <w:noProof/>
          <w:sz w:val="20"/>
          <w:szCs w:val="20"/>
        </w:rPr>
        <w:t>Inside the Politics of Self-determination (</w:t>
      </w:r>
      <w:r w:rsidRPr="00C727E7">
        <w:rPr>
          <w:noProof/>
          <w:sz w:val="20"/>
          <w:szCs w:val="20"/>
        </w:rPr>
        <w:t>Oxford: Oxford University Press, 2014). My distinction</w:t>
      </w:r>
      <w:r w:rsidRPr="00C727E7">
        <w:rPr>
          <w:sz w:val="20"/>
          <w:szCs w:val="20"/>
        </w:rPr>
        <w:t xml:space="preserve"> between territorial and non-territorial conflicts is focused on the demands made, not whether or not the rebels actually control territory. Such territorial control is found in both types of conflict. See Luis </w:t>
      </w:r>
      <w:r w:rsidRPr="00C727E7">
        <w:rPr>
          <w:noProof/>
          <w:sz w:val="20"/>
          <w:szCs w:val="20"/>
        </w:rPr>
        <w:t xml:space="preserve">De la Calle and Iganacio Sanchez-Cuenca, ‘Rebels without a Territory: An Analysis of Nonterritorial Conflicts in the Worlds, 1970-1997’, </w:t>
      </w:r>
      <w:r w:rsidRPr="00C727E7">
        <w:rPr>
          <w:iCs/>
          <w:noProof/>
          <w:sz w:val="20"/>
          <w:szCs w:val="20"/>
        </w:rPr>
        <w:t xml:space="preserve">Journal of Conflict Resolution, </w:t>
      </w:r>
      <w:r w:rsidRPr="00C727E7">
        <w:rPr>
          <w:noProof/>
          <w:sz w:val="20"/>
          <w:szCs w:val="20"/>
        </w:rPr>
        <w:t>56: 4 (2012).</w:t>
      </w:r>
    </w:p>
  </w:footnote>
  <w:footnote w:id="17">
    <w:p w14:paraId="4FE34925" w14:textId="77777777" w:rsidR="00A45729" w:rsidRPr="001E30D5" w:rsidRDefault="00A45729" w:rsidP="001E30D5">
      <w:pPr>
        <w:pStyle w:val="NoSpacing"/>
        <w:rPr>
          <w:sz w:val="20"/>
          <w:szCs w:val="20"/>
        </w:rPr>
      </w:pPr>
      <w:r w:rsidRPr="00C727E7">
        <w:rPr>
          <w:rStyle w:val="FootnoteReference"/>
          <w:sz w:val="20"/>
          <w:szCs w:val="20"/>
        </w:rPr>
        <w:footnoteRef/>
      </w:r>
      <w:r w:rsidRPr="00C727E7">
        <w:rPr>
          <w:sz w:val="20"/>
          <w:szCs w:val="20"/>
        </w:rPr>
        <w:t xml:space="preserve"> David </w:t>
      </w:r>
      <w:r>
        <w:rPr>
          <w:sz w:val="20"/>
          <w:szCs w:val="20"/>
        </w:rPr>
        <w:t xml:space="preserve">E. </w:t>
      </w:r>
      <w:r w:rsidRPr="00C727E7">
        <w:rPr>
          <w:noProof/>
          <w:sz w:val="20"/>
          <w:szCs w:val="20"/>
        </w:rPr>
        <w:t>Cunningham,</w:t>
      </w:r>
      <w:r>
        <w:rPr>
          <w:noProof/>
          <w:sz w:val="20"/>
          <w:szCs w:val="20"/>
        </w:rPr>
        <w:t xml:space="preserve"> </w:t>
      </w:r>
      <w:r w:rsidRPr="00C727E7">
        <w:rPr>
          <w:noProof/>
          <w:sz w:val="20"/>
          <w:szCs w:val="20"/>
        </w:rPr>
        <w:t>Kristian Skrede Gleditsch</w:t>
      </w:r>
      <w:r>
        <w:rPr>
          <w:noProof/>
          <w:sz w:val="20"/>
          <w:szCs w:val="20"/>
        </w:rPr>
        <w:t>, Belen Gonza</w:t>
      </w:r>
      <w:r w:rsidRPr="00C727E7">
        <w:rPr>
          <w:noProof/>
          <w:sz w:val="20"/>
          <w:szCs w:val="20"/>
        </w:rPr>
        <w:t>lez</w:t>
      </w:r>
      <w:r>
        <w:rPr>
          <w:noProof/>
          <w:sz w:val="20"/>
          <w:szCs w:val="20"/>
        </w:rPr>
        <w:t xml:space="preserve">, </w:t>
      </w:r>
      <w:r w:rsidRPr="00C727E7">
        <w:rPr>
          <w:noProof/>
          <w:sz w:val="20"/>
          <w:szCs w:val="20"/>
        </w:rPr>
        <w:t>Dragana Vidovic</w:t>
      </w:r>
      <w:r>
        <w:rPr>
          <w:noProof/>
          <w:sz w:val="20"/>
          <w:szCs w:val="20"/>
        </w:rPr>
        <w:t xml:space="preserve">, and </w:t>
      </w:r>
      <w:r w:rsidRPr="00C727E7">
        <w:rPr>
          <w:noProof/>
          <w:sz w:val="20"/>
          <w:szCs w:val="20"/>
        </w:rPr>
        <w:t>Peter B</w:t>
      </w:r>
      <w:r>
        <w:rPr>
          <w:noProof/>
          <w:sz w:val="20"/>
          <w:szCs w:val="20"/>
        </w:rPr>
        <w:t xml:space="preserve">. </w:t>
      </w:r>
      <w:r w:rsidRPr="00C727E7">
        <w:rPr>
          <w:noProof/>
          <w:sz w:val="20"/>
          <w:szCs w:val="20"/>
        </w:rPr>
        <w:t>White</w:t>
      </w:r>
      <w:r>
        <w:rPr>
          <w:noProof/>
          <w:sz w:val="20"/>
          <w:szCs w:val="20"/>
        </w:rPr>
        <w:t>,</w:t>
      </w:r>
      <w:r w:rsidRPr="00C727E7">
        <w:rPr>
          <w:noProof/>
          <w:sz w:val="20"/>
          <w:szCs w:val="20"/>
        </w:rPr>
        <w:t xml:space="preserve"> ‘</w:t>
      </w:r>
      <w:r w:rsidRPr="00C727E7">
        <w:rPr>
          <w:iCs/>
          <w:noProof/>
          <w:sz w:val="20"/>
          <w:szCs w:val="20"/>
        </w:rPr>
        <w:t>Words and Deeds: From Incompatibilities to Outcomes in Anti-Government Disputes’ Journal of Peace Research, 54: 4 (2017).</w:t>
      </w:r>
    </w:p>
  </w:footnote>
  <w:footnote w:id="18">
    <w:p w14:paraId="5D79FA17"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See also </w:t>
      </w:r>
      <w:r w:rsidRPr="001E30D5">
        <w:rPr>
          <w:noProof/>
          <w:sz w:val="20"/>
          <w:szCs w:val="20"/>
        </w:rPr>
        <w:t>Cunningham (2014)</w:t>
      </w:r>
      <w:r>
        <w:rPr>
          <w:noProof/>
          <w:sz w:val="20"/>
          <w:szCs w:val="20"/>
        </w:rPr>
        <w:t>.</w:t>
      </w:r>
    </w:p>
  </w:footnote>
  <w:footnote w:id="19">
    <w:p w14:paraId="2B7C228B"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Bell (2000) p. 35</w:t>
      </w:r>
      <w:r>
        <w:rPr>
          <w:sz w:val="20"/>
          <w:szCs w:val="20"/>
        </w:rPr>
        <w:t>.</w:t>
      </w:r>
    </w:p>
  </w:footnote>
  <w:footnote w:id="20">
    <w:p w14:paraId="5445EE56" w14:textId="77777777" w:rsidR="00A45729" w:rsidRPr="006F3533" w:rsidRDefault="00A45729" w:rsidP="001E30D5">
      <w:pPr>
        <w:pStyle w:val="NoSpacing"/>
        <w:rPr>
          <w:sz w:val="20"/>
          <w:szCs w:val="20"/>
        </w:rPr>
      </w:pPr>
      <w:r w:rsidRPr="006F3533">
        <w:rPr>
          <w:rStyle w:val="FootnoteReference"/>
          <w:sz w:val="20"/>
          <w:szCs w:val="20"/>
        </w:rPr>
        <w:footnoteRef/>
      </w:r>
      <w:r w:rsidRPr="006F3533">
        <w:rPr>
          <w:sz w:val="20"/>
          <w:szCs w:val="20"/>
        </w:rPr>
        <w:t xml:space="preserve"> Wolff (2009); Nina </w:t>
      </w:r>
      <w:r w:rsidRPr="006F3533">
        <w:rPr>
          <w:noProof/>
          <w:sz w:val="20"/>
          <w:szCs w:val="20"/>
        </w:rPr>
        <w:t>Caspersen, Peace Agreements: Finding Solutions to Intra-State Conflicts (Cambridge: Polity, 2017).</w:t>
      </w:r>
    </w:p>
  </w:footnote>
  <w:footnote w:id="21">
    <w:p w14:paraId="19D529CB" w14:textId="1214471D" w:rsidR="00A45729" w:rsidRPr="00DC3E2A" w:rsidRDefault="00A45729">
      <w:pPr>
        <w:pStyle w:val="FootnoteText"/>
      </w:pPr>
      <w:r w:rsidRPr="00DC3E2A">
        <w:rPr>
          <w:rStyle w:val="FootnoteReference"/>
        </w:rPr>
        <w:footnoteRef/>
      </w:r>
      <w:r w:rsidRPr="00DC3E2A">
        <w:t xml:space="preserve"> Yash Ghai, ‘Ethnicity and Autonomy: A Framework for Analysis’, in Yash Ghai (ed.), Autonomy and Ethnicity: Negotiating Competing Claims in Multi-Ethnic States (Cambridge: Cambridge, University Press, 2000)</w:t>
      </w:r>
      <w:r>
        <w:t>,</w:t>
      </w:r>
      <w:r w:rsidRPr="00DC3E2A">
        <w:t xml:space="preserve"> p. 8. </w:t>
      </w:r>
    </w:p>
  </w:footnote>
  <w:footnote w:id="22">
    <w:p w14:paraId="6A1FCBC9" w14:textId="71FAA686" w:rsidR="00A45729" w:rsidRDefault="00A45729">
      <w:pPr>
        <w:pStyle w:val="FootnoteText"/>
      </w:pPr>
      <w:r>
        <w:rPr>
          <w:rStyle w:val="FootnoteReference"/>
        </w:rPr>
        <w:footnoteRef/>
      </w:r>
      <w:r>
        <w:t xml:space="preserve"> Arend Lijphart, Democracy in Plural Societies (New Haven: Yale University Press, 1977), p. 41. </w:t>
      </w:r>
    </w:p>
  </w:footnote>
  <w:footnote w:id="23">
    <w:p w14:paraId="21B10E57" w14:textId="77777777" w:rsidR="00A45729" w:rsidRPr="00DC3E2A" w:rsidRDefault="00A45729" w:rsidP="001E30D5">
      <w:pPr>
        <w:pStyle w:val="NoSpacing"/>
        <w:rPr>
          <w:sz w:val="20"/>
          <w:szCs w:val="20"/>
        </w:rPr>
      </w:pPr>
      <w:r w:rsidRPr="00DC3E2A">
        <w:rPr>
          <w:rStyle w:val="FootnoteReference"/>
          <w:sz w:val="20"/>
          <w:szCs w:val="20"/>
        </w:rPr>
        <w:footnoteRef/>
      </w:r>
      <w:r w:rsidRPr="00DC3E2A">
        <w:rPr>
          <w:sz w:val="20"/>
          <w:szCs w:val="20"/>
        </w:rPr>
        <w:t xml:space="preserve"> Ruth </w:t>
      </w:r>
      <w:r w:rsidRPr="00DC3E2A">
        <w:rPr>
          <w:noProof/>
          <w:sz w:val="20"/>
          <w:szCs w:val="20"/>
        </w:rPr>
        <w:t xml:space="preserve">Lapidoth, </w:t>
      </w:r>
      <w:r w:rsidRPr="00DC3E2A">
        <w:rPr>
          <w:iCs/>
          <w:noProof/>
          <w:sz w:val="20"/>
          <w:szCs w:val="20"/>
        </w:rPr>
        <w:t>Autonomy: Flexible Solutions to Ethnic Conflicts (</w:t>
      </w:r>
      <w:r w:rsidRPr="00DC3E2A">
        <w:rPr>
          <w:noProof/>
          <w:sz w:val="20"/>
          <w:szCs w:val="20"/>
        </w:rPr>
        <w:t xml:space="preserve">Washington DC: United States Institute of Peace Press, 1997), p. 174-5; Ted R. Gurr, </w:t>
      </w:r>
      <w:r w:rsidRPr="00DC3E2A">
        <w:rPr>
          <w:iCs/>
          <w:noProof/>
          <w:sz w:val="20"/>
          <w:szCs w:val="20"/>
        </w:rPr>
        <w:t>Minorities at Risk (</w:t>
      </w:r>
      <w:r w:rsidRPr="00DC3E2A">
        <w:rPr>
          <w:noProof/>
          <w:sz w:val="20"/>
          <w:szCs w:val="20"/>
        </w:rPr>
        <w:t>Washington DC: United States Institute of Peace Press, 1993)</w:t>
      </w:r>
      <w:r>
        <w:rPr>
          <w:noProof/>
          <w:sz w:val="20"/>
          <w:szCs w:val="20"/>
        </w:rPr>
        <w:t>,</w:t>
      </w:r>
      <w:r w:rsidRPr="00DC3E2A">
        <w:rPr>
          <w:noProof/>
          <w:sz w:val="20"/>
          <w:szCs w:val="20"/>
        </w:rPr>
        <w:t xml:space="preserve"> p. 292. </w:t>
      </w:r>
    </w:p>
  </w:footnote>
  <w:footnote w:id="24">
    <w:p w14:paraId="207FDEEC" w14:textId="77777777" w:rsidR="00A45729" w:rsidRDefault="00A45729">
      <w:pPr>
        <w:pStyle w:val="FootnoteText"/>
      </w:pPr>
      <w:r>
        <w:rPr>
          <w:rStyle w:val="FootnoteReference"/>
        </w:rPr>
        <w:footnoteRef/>
      </w:r>
      <w:r>
        <w:t xml:space="preserve"> Ghai (2000) pp. 8-9. </w:t>
      </w:r>
    </w:p>
  </w:footnote>
  <w:footnote w:id="25">
    <w:p w14:paraId="6497C9DE" w14:textId="77777777" w:rsidR="00A45729" w:rsidRDefault="00A45729">
      <w:pPr>
        <w:pStyle w:val="FootnoteText"/>
      </w:pPr>
      <w:r>
        <w:rPr>
          <w:rStyle w:val="FootnoteReference"/>
        </w:rPr>
        <w:footnoteRef/>
      </w:r>
      <w:r>
        <w:t xml:space="preserve"> Ibid. p. 10. </w:t>
      </w:r>
    </w:p>
  </w:footnote>
  <w:footnote w:id="26">
    <w:p w14:paraId="2E282417" w14:textId="77777777" w:rsidR="00A45729" w:rsidRPr="00DC3E2A" w:rsidRDefault="00A45729" w:rsidP="001E30D5">
      <w:pPr>
        <w:pStyle w:val="NoSpacing"/>
        <w:rPr>
          <w:sz w:val="20"/>
          <w:szCs w:val="20"/>
        </w:rPr>
      </w:pPr>
      <w:r w:rsidRPr="00DC3E2A">
        <w:rPr>
          <w:rStyle w:val="FootnoteReference"/>
          <w:sz w:val="20"/>
          <w:szCs w:val="20"/>
        </w:rPr>
        <w:footnoteRef/>
      </w:r>
      <w:r w:rsidRPr="00DC3E2A">
        <w:rPr>
          <w:sz w:val="20"/>
          <w:szCs w:val="20"/>
        </w:rPr>
        <w:t xml:space="preserve"> </w:t>
      </w:r>
      <w:r w:rsidRPr="00DC3E2A">
        <w:rPr>
          <w:noProof/>
          <w:sz w:val="20"/>
          <w:szCs w:val="20"/>
        </w:rPr>
        <w:t xml:space="preserve">See e.g. Wolff (2009) p. 28; Caroline A. Hartzell and Matthew Hoddie, </w:t>
      </w:r>
      <w:r w:rsidRPr="00DC3E2A">
        <w:rPr>
          <w:iCs/>
          <w:noProof/>
          <w:sz w:val="20"/>
          <w:szCs w:val="20"/>
        </w:rPr>
        <w:t>Crafting Peace: Power-Sharing Institutions and the Negotiated Settlement of Civil Wars (</w:t>
      </w:r>
      <w:r w:rsidRPr="00DC3E2A">
        <w:rPr>
          <w:noProof/>
          <w:sz w:val="20"/>
          <w:szCs w:val="20"/>
        </w:rPr>
        <w:t>Philadelphia: Penn State University Press, 2007)</w:t>
      </w:r>
      <w:r>
        <w:rPr>
          <w:noProof/>
          <w:sz w:val="20"/>
          <w:szCs w:val="20"/>
        </w:rPr>
        <w:t>,</w:t>
      </w:r>
      <w:r w:rsidRPr="00DC3E2A">
        <w:rPr>
          <w:noProof/>
          <w:sz w:val="20"/>
          <w:szCs w:val="20"/>
        </w:rPr>
        <w:t xml:space="preserve"> p. 34. </w:t>
      </w:r>
    </w:p>
  </w:footnote>
  <w:footnote w:id="27">
    <w:p w14:paraId="54FD430C"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Caspersen (2017)</w:t>
      </w:r>
      <w:r>
        <w:rPr>
          <w:sz w:val="20"/>
          <w:szCs w:val="20"/>
        </w:rPr>
        <w:t>.</w:t>
      </w:r>
      <w:r w:rsidRPr="001E30D5">
        <w:rPr>
          <w:sz w:val="20"/>
          <w:szCs w:val="20"/>
        </w:rPr>
        <w:t xml:space="preserve"> </w:t>
      </w:r>
    </w:p>
  </w:footnote>
  <w:footnote w:id="28">
    <w:p w14:paraId="13020226" w14:textId="77777777" w:rsidR="00A45729" w:rsidRPr="001E30D5" w:rsidRDefault="00A45729" w:rsidP="001E30D5">
      <w:pPr>
        <w:pStyle w:val="NoSpacing"/>
        <w:rPr>
          <w:noProof/>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 xml:space="preserve">Cunningham (2014) p. 4. </w:t>
      </w:r>
    </w:p>
  </w:footnote>
  <w:footnote w:id="29">
    <w:p w14:paraId="4F1916AA" w14:textId="77777777" w:rsidR="00A45729" w:rsidRPr="00DC3E2A" w:rsidRDefault="00A45729" w:rsidP="001E30D5">
      <w:pPr>
        <w:pStyle w:val="NoSpacing"/>
        <w:rPr>
          <w:sz w:val="20"/>
          <w:szCs w:val="20"/>
        </w:rPr>
      </w:pPr>
      <w:r w:rsidRPr="00DC3E2A">
        <w:rPr>
          <w:rStyle w:val="FootnoteReference"/>
          <w:sz w:val="20"/>
          <w:szCs w:val="20"/>
        </w:rPr>
        <w:footnoteRef/>
      </w:r>
      <w:r w:rsidRPr="00DC3E2A">
        <w:rPr>
          <w:sz w:val="20"/>
          <w:szCs w:val="20"/>
        </w:rPr>
        <w:t xml:space="preserve"> See e.g. Philip G. </w:t>
      </w:r>
      <w:r w:rsidRPr="00DC3E2A">
        <w:rPr>
          <w:noProof/>
          <w:sz w:val="20"/>
          <w:szCs w:val="20"/>
        </w:rPr>
        <w:t xml:space="preserve">Roeder, ‘Ethnofederalism and the Mismanagement of Conflicting Nationalisms’, </w:t>
      </w:r>
      <w:r w:rsidRPr="00DC3E2A">
        <w:rPr>
          <w:iCs/>
          <w:noProof/>
          <w:sz w:val="20"/>
          <w:szCs w:val="20"/>
        </w:rPr>
        <w:t xml:space="preserve">Regional and Federal Studies, </w:t>
      </w:r>
      <w:r w:rsidRPr="00DC3E2A">
        <w:rPr>
          <w:noProof/>
          <w:sz w:val="20"/>
          <w:szCs w:val="20"/>
        </w:rPr>
        <w:t xml:space="preserve">19: 2 (2009), pp. 212-213. </w:t>
      </w:r>
    </w:p>
  </w:footnote>
  <w:footnote w:id="30">
    <w:p w14:paraId="10874DB4" w14:textId="77777777" w:rsidR="00A45729" w:rsidRDefault="00A45729">
      <w:pPr>
        <w:pStyle w:val="FootnoteText"/>
      </w:pPr>
      <w:r>
        <w:rPr>
          <w:rStyle w:val="FootnoteReference"/>
        </w:rPr>
        <w:footnoteRef/>
      </w:r>
      <w:r>
        <w:t xml:space="preserve"> Horowitz (1985) p. </w:t>
      </w:r>
      <w:r>
        <w:rPr>
          <w:noProof/>
        </w:rPr>
        <w:t xml:space="preserve">619. </w:t>
      </w:r>
    </w:p>
  </w:footnote>
  <w:footnote w:id="31">
    <w:p w14:paraId="31BCB2FB" w14:textId="77777777" w:rsidR="00A45729" w:rsidRPr="00DC3E2A" w:rsidRDefault="00A45729" w:rsidP="00425D0A">
      <w:pPr>
        <w:pStyle w:val="NoSpacing"/>
      </w:pPr>
      <w:r w:rsidRPr="00DC3E2A">
        <w:rPr>
          <w:rStyle w:val="FootnoteReference"/>
          <w:sz w:val="20"/>
          <w:szCs w:val="20"/>
        </w:rPr>
        <w:footnoteRef/>
      </w:r>
      <w:r w:rsidRPr="00DC3E2A">
        <w:rPr>
          <w:sz w:val="20"/>
          <w:szCs w:val="20"/>
        </w:rPr>
        <w:t xml:space="preserve"> Erin K. </w:t>
      </w:r>
      <w:r w:rsidRPr="00DC3E2A">
        <w:rPr>
          <w:noProof/>
          <w:sz w:val="20"/>
          <w:szCs w:val="20"/>
        </w:rPr>
        <w:t xml:space="preserve">Jenne, ‘The Paradox of Ethnic Partition: Lessons from de facto Partition in Bosnia and Kosovo’, </w:t>
      </w:r>
      <w:r w:rsidRPr="00DC3E2A">
        <w:rPr>
          <w:iCs/>
          <w:noProof/>
          <w:sz w:val="20"/>
          <w:szCs w:val="20"/>
        </w:rPr>
        <w:t xml:space="preserve">Regional &amp; Federal Studies, </w:t>
      </w:r>
      <w:r w:rsidRPr="00DC3E2A">
        <w:rPr>
          <w:noProof/>
          <w:sz w:val="20"/>
          <w:szCs w:val="20"/>
        </w:rPr>
        <w:t>19: 2 (2009), p. 276.</w:t>
      </w:r>
    </w:p>
  </w:footnote>
  <w:footnote w:id="32">
    <w:p w14:paraId="1802B6B3" w14:textId="2EEB233D" w:rsidR="00A45729" w:rsidRDefault="00A45729">
      <w:pPr>
        <w:pStyle w:val="FootnoteText"/>
      </w:pPr>
      <w:r>
        <w:rPr>
          <w:rStyle w:val="FootnoteReference"/>
        </w:rPr>
        <w:footnoteRef/>
      </w:r>
      <w:r>
        <w:t xml:space="preserve"> The Bodo Accord (1993), art 3(a)</w:t>
      </w:r>
    </w:p>
  </w:footnote>
  <w:footnote w:id="33">
    <w:p w14:paraId="222C110C" w14:textId="77777777" w:rsidR="00A45729" w:rsidRPr="00DC3E2A" w:rsidRDefault="00A45729" w:rsidP="001E30D5">
      <w:pPr>
        <w:pStyle w:val="NoSpacing"/>
        <w:rPr>
          <w:sz w:val="20"/>
          <w:szCs w:val="20"/>
        </w:rPr>
      </w:pPr>
      <w:r w:rsidRPr="00DC3E2A">
        <w:rPr>
          <w:rStyle w:val="FootnoteReference"/>
          <w:sz w:val="20"/>
          <w:szCs w:val="20"/>
        </w:rPr>
        <w:footnoteRef/>
      </w:r>
      <w:r w:rsidRPr="00DC3E2A">
        <w:rPr>
          <w:sz w:val="20"/>
          <w:szCs w:val="20"/>
        </w:rPr>
        <w:t xml:space="preserve"> Stefan </w:t>
      </w:r>
      <w:r w:rsidRPr="00DC3E2A">
        <w:rPr>
          <w:noProof/>
          <w:sz w:val="20"/>
          <w:szCs w:val="20"/>
        </w:rPr>
        <w:t xml:space="preserve">Wolff, ‘Managing ethno-national conflict: towards an analytical framework’, </w:t>
      </w:r>
      <w:r w:rsidRPr="00DC3E2A">
        <w:rPr>
          <w:iCs/>
          <w:noProof/>
          <w:sz w:val="20"/>
          <w:szCs w:val="20"/>
        </w:rPr>
        <w:t xml:space="preserve">Commonwealth &amp; Comparative Politics, </w:t>
      </w:r>
      <w:r w:rsidRPr="00DC3E2A">
        <w:rPr>
          <w:noProof/>
          <w:sz w:val="20"/>
          <w:szCs w:val="20"/>
        </w:rPr>
        <w:t xml:space="preserve">49: 2 (2011), p. 168. </w:t>
      </w:r>
    </w:p>
  </w:footnote>
  <w:footnote w:id="34">
    <w:p w14:paraId="0F96BC6C"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Wolff, (2009)</w:t>
      </w:r>
      <w:r>
        <w:rPr>
          <w:sz w:val="20"/>
          <w:szCs w:val="20"/>
        </w:rPr>
        <w:t>.</w:t>
      </w:r>
    </w:p>
  </w:footnote>
  <w:footnote w:id="35">
    <w:p w14:paraId="24C74484"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Caspersen (2017). See also Walter (2003)</w:t>
      </w:r>
      <w:r>
        <w:rPr>
          <w:sz w:val="20"/>
          <w:szCs w:val="20"/>
        </w:rPr>
        <w:t xml:space="preserve">. </w:t>
      </w:r>
    </w:p>
  </w:footnote>
  <w:footnote w:id="36">
    <w:p w14:paraId="0B9C4829" w14:textId="77777777" w:rsidR="00A45729" w:rsidRDefault="00A45729">
      <w:pPr>
        <w:pStyle w:val="FootnoteText"/>
      </w:pPr>
      <w:r>
        <w:rPr>
          <w:rStyle w:val="FootnoteReference"/>
        </w:rPr>
        <w:footnoteRef/>
      </w:r>
      <w:r>
        <w:t xml:space="preserve"> ‘Lusaka Protocol’ (Lusaka, 1994), </w:t>
      </w:r>
      <w:r>
        <w:rPr>
          <w:rFonts w:cs="Times New Roman"/>
        </w:rPr>
        <w:t>Annex 6, Section II and III</w:t>
      </w:r>
    </w:p>
  </w:footnote>
  <w:footnote w:id="37">
    <w:p w14:paraId="0588F5F6" w14:textId="77777777" w:rsidR="00A45729" w:rsidRDefault="00A45729">
      <w:pPr>
        <w:pStyle w:val="FootnoteText"/>
      </w:pPr>
      <w:r>
        <w:rPr>
          <w:rStyle w:val="FootnoteReference"/>
        </w:rPr>
        <w:footnoteRef/>
      </w:r>
      <w:r>
        <w:t xml:space="preserve"> ‘</w:t>
      </w:r>
      <w:r>
        <w:rPr>
          <w:rFonts w:cs="Times New Roman"/>
        </w:rPr>
        <w:t xml:space="preserve">General Peace Agreement for Mozambique’ (Rome, 1992), Protocol V. </w:t>
      </w:r>
    </w:p>
  </w:footnote>
  <w:footnote w:id="38">
    <w:p w14:paraId="0202C6D1" w14:textId="0AD81FC9" w:rsidR="00A45729" w:rsidRPr="001E30D5" w:rsidRDefault="00A45729" w:rsidP="00F73CC2">
      <w:pPr>
        <w:pStyle w:val="NoSpacing"/>
        <w:rPr>
          <w:sz w:val="20"/>
          <w:szCs w:val="20"/>
        </w:rPr>
      </w:pPr>
      <w:r w:rsidRPr="001E30D5">
        <w:rPr>
          <w:rStyle w:val="FootnoteReference"/>
          <w:sz w:val="20"/>
          <w:szCs w:val="20"/>
        </w:rPr>
        <w:footnoteRef/>
      </w:r>
      <w:r>
        <w:rPr>
          <w:sz w:val="20"/>
          <w:szCs w:val="20"/>
        </w:rPr>
        <w:t xml:space="preserve"> See e.g. </w:t>
      </w:r>
      <w:r w:rsidRPr="001E30D5">
        <w:rPr>
          <w:sz w:val="20"/>
          <w:szCs w:val="20"/>
        </w:rPr>
        <w:t>Bell (2008)</w:t>
      </w:r>
      <w:r>
        <w:rPr>
          <w:sz w:val="20"/>
          <w:szCs w:val="20"/>
        </w:rPr>
        <w:t xml:space="preserve">, </w:t>
      </w:r>
      <w:r w:rsidRPr="001E30D5">
        <w:rPr>
          <w:sz w:val="20"/>
          <w:szCs w:val="20"/>
        </w:rPr>
        <w:t xml:space="preserve">p. </w:t>
      </w:r>
      <w:r w:rsidRPr="001E30D5">
        <w:rPr>
          <w:rFonts w:cs="Times New Roman"/>
          <w:sz w:val="20"/>
          <w:szCs w:val="20"/>
        </w:rPr>
        <w:t>240</w:t>
      </w:r>
      <w:r>
        <w:rPr>
          <w:rFonts w:cs="Times New Roman"/>
          <w:sz w:val="20"/>
          <w:szCs w:val="20"/>
        </w:rPr>
        <w:t>.</w:t>
      </w:r>
    </w:p>
  </w:footnote>
  <w:footnote w:id="39">
    <w:p w14:paraId="5C51B1E9" w14:textId="239A27B0" w:rsidR="00A45729" w:rsidRDefault="00A45729" w:rsidP="00F73CC2">
      <w:pPr>
        <w:pStyle w:val="NoSpacing"/>
      </w:pPr>
      <w:r>
        <w:rPr>
          <w:rStyle w:val="FootnoteReference"/>
        </w:rPr>
        <w:footnoteRef/>
      </w:r>
      <w:r>
        <w:t xml:space="preserve"> </w:t>
      </w:r>
      <w:r w:rsidRPr="001E30D5">
        <w:rPr>
          <w:sz w:val="20"/>
          <w:szCs w:val="20"/>
        </w:rPr>
        <w:t xml:space="preserve">Sriram </w:t>
      </w:r>
      <w:r w:rsidRPr="001E30D5">
        <w:rPr>
          <w:rFonts w:cs="Times New Roman"/>
          <w:noProof/>
          <w:sz w:val="20"/>
          <w:szCs w:val="20"/>
        </w:rPr>
        <w:t xml:space="preserve">(2008) p. 182. </w:t>
      </w:r>
    </w:p>
  </w:footnote>
  <w:footnote w:id="40">
    <w:p w14:paraId="6597FDA3" w14:textId="683F2932" w:rsidR="00A45729" w:rsidRPr="001E30D5" w:rsidRDefault="00A45729" w:rsidP="0080149B">
      <w:pPr>
        <w:pStyle w:val="NoSpacing"/>
        <w:rPr>
          <w:sz w:val="20"/>
          <w:szCs w:val="20"/>
        </w:rPr>
      </w:pPr>
      <w:r w:rsidRPr="001E30D5">
        <w:rPr>
          <w:rStyle w:val="FootnoteReference"/>
          <w:sz w:val="20"/>
          <w:szCs w:val="20"/>
        </w:rPr>
        <w:footnoteRef/>
      </w:r>
      <w:r w:rsidRPr="001E30D5">
        <w:rPr>
          <w:sz w:val="20"/>
          <w:szCs w:val="20"/>
        </w:rPr>
        <w:t xml:space="preserve"> Bell (2008)</w:t>
      </w:r>
      <w:r>
        <w:rPr>
          <w:sz w:val="20"/>
          <w:szCs w:val="20"/>
        </w:rPr>
        <w:t>, p. 240</w:t>
      </w:r>
      <w:r w:rsidRPr="001E30D5">
        <w:rPr>
          <w:sz w:val="20"/>
          <w:szCs w:val="20"/>
        </w:rPr>
        <w:t xml:space="preserve">. See also </w:t>
      </w:r>
      <w:r>
        <w:rPr>
          <w:sz w:val="20"/>
          <w:szCs w:val="20"/>
        </w:rPr>
        <w:t xml:space="preserve">Nick </w:t>
      </w:r>
      <w:r w:rsidRPr="001E30D5">
        <w:rPr>
          <w:noProof/>
          <w:sz w:val="20"/>
          <w:szCs w:val="20"/>
        </w:rPr>
        <w:t xml:space="preserve">Grono, </w:t>
      </w:r>
      <w:r>
        <w:rPr>
          <w:noProof/>
          <w:sz w:val="20"/>
          <w:szCs w:val="20"/>
        </w:rPr>
        <w:t>‘</w:t>
      </w:r>
      <w:r w:rsidRPr="001E30D5">
        <w:rPr>
          <w:noProof/>
          <w:sz w:val="20"/>
          <w:szCs w:val="20"/>
        </w:rPr>
        <w:t>The Role of the International Court in Peace Processes: Mutually Reinforcing or Mutually Exclusive?</w:t>
      </w:r>
      <w:r>
        <w:rPr>
          <w:noProof/>
          <w:sz w:val="20"/>
          <w:szCs w:val="20"/>
        </w:rPr>
        <w:t>’</w:t>
      </w:r>
      <w:r w:rsidRPr="001E30D5">
        <w:rPr>
          <w:noProof/>
          <w:sz w:val="20"/>
          <w:szCs w:val="20"/>
        </w:rPr>
        <w:t xml:space="preserve"> IPPR briefing paper</w:t>
      </w:r>
      <w:r>
        <w:rPr>
          <w:noProof/>
          <w:sz w:val="20"/>
          <w:szCs w:val="20"/>
        </w:rPr>
        <w:t xml:space="preserve"> (London, 2006)</w:t>
      </w:r>
      <w:r w:rsidRPr="001E30D5">
        <w:rPr>
          <w:noProof/>
          <w:sz w:val="20"/>
          <w:szCs w:val="20"/>
        </w:rPr>
        <w:t>.</w:t>
      </w:r>
    </w:p>
  </w:footnote>
  <w:footnote w:id="41">
    <w:p w14:paraId="5B8F7CE8" w14:textId="403A8A3C" w:rsidR="00A45729" w:rsidRDefault="00A45729" w:rsidP="008D100E">
      <w:pPr>
        <w:pStyle w:val="FootnoteText"/>
      </w:pPr>
      <w:r>
        <w:rPr>
          <w:rStyle w:val="FootnoteReference"/>
        </w:rPr>
        <w:footnoteRef/>
      </w:r>
      <w:r>
        <w:t xml:space="preserve"> </w:t>
      </w:r>
      <w:r w:rsidRPr="006107A3">
        <w:t>Ramzi Badran</w:t>
      </w:r>
      <w:r>
        <w:t>, ‘</w:t>
      </w:r>
      <w:r w:rsidRPr="006107A3">
        <w:t>Intrastate peace agreements and the durability of peace</w:t>
      </w:r>
      <w:r>
        <w:t xml:space="preserve">,’ </w:t>
      </w:r>
      <w:r w:rsidRPr="001131D6">
        <w:t>Conflict Management and Peace Science</w:t>
      </w:r>
      <w:r w:rsidRPr="006107A3">
        <w:t>, 31</w:t>
      </w:r>
      <w:r>
        <w:t xml:space="preserve">: </w:t>
      </w:r>
      <w:r w:rsidRPr="006107A3">
        <w:t>2</w:t>
      </w:r>
      <w:r>
        <w:t xml:space="preserve"> (2014</w:t>
      </w:r>
      <w:r w:rsidRPr="006107A3">
        <w:t>)</w:t>
      </w:r>
      <w:r>
        <w:t xml:space="preserve">. </w:t>
      </w:r>
    </w:p>
  </w:footnote>
  <w:footnote w:id="42">
    <w:p w14:paraId="6EA45AFA" w14:textId="1879F38F" w:rsidR="00A45729" w:rsidRDefault="00A45729">
      <w:pPr>
        <w:pStyle w:val="FootnoteText"/>
      </w:pPr>
      <w:r>
        <w:rPr>
          <w:rStyle w:val="FootnoteReference"/>
        </w:rPr>
        <w:footnoteRef/>
      </w:r>
      <w:r>
        <w:t xml:space="preserve"> See e.g. </w:t>
      </w:r>
      <w:r w:rsidRPr="006202A3">
        <w:t xml:space="preserve">Tonya L. Putnam, ‘Human Rights and Sustainable Peace’, in Stephen J. Stedman, Donald S. Rothchild and Elizabeth M. Cousens (eds.) </w:t>
      </w:r>
      <w:r w:rsidRPr="006202A3">
        <w:rPr>
          <w:iCs/>
        </w:rPr>
        <w:t>Ending Civil Wars: The Implementation of Peace Agreements (</w:t>
      </w:r>
      <w:r w:rsidRPr="006202A3">
        <w:t>Boulder: Lynne Rienner, 2002), p. 238.</w:t>
      </w:r>
    </w:p>
  </w:footnote>
  <w:footnote w:id="43">
    <w:p w14:paraId="3DEC6E5A"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rFonts w:cs="Times New Roman"/>
          <w:sz w:val="20"/>
          <w:szCs w:val="20"/>
        </w:rPr>
        <w:t>Joshi, Le</w:t>
      </w:r>
      <w:r>
        <w:rPr>
          <w:rFonts w:cs="Times New Roman"/>
          <w:sz w:val="20"/>
          <w:szCs w:val="20"/>
        </w:rPr>
        <w:t>e</w:t>
      </w:r>
      <w:r w:rsidRPr="001E30D5">
        <w:rPr>
          <w:rFonts w:cs="Times New Roman"/>
          <w:sz w:val="20"/>
          <w:szCs w:val="20"/>
        </w:rPr>
        <w:t xml:space="preserve"> and Mac Ginty (2014) p. 365</w:t>
      </w:r>
      <w:r>
        <w:rPr>
          <w:rFonts w:cs="Times New Roman"/>
          <w:sz w:val="20"/>
          <w:szCs w:val="20"/>
        </w:rPr>
        <w:t>.</w:t>
      </w:r>
    </w:p>
  </w:footnote>
  <w:footnote w:id="44">
    <w:p w14:paraId="053F1928" w14:textId="747E0FF5" w:rsidR="00A45729" w:rsidRDefault="00A45729">
      <w:pPr>
        <w:pStyle w:val="FootnoteText"/>
      </w:pPr>
      <w:r>
        <w:rPr>
          <w:rStyle w:val="FootnoteReference"/>
        </w:rPr>
        <w:footnoteRef/>
      </w:r>
      <w:r>
        <w:t xml:space="preserve"> See e.g. Christine Bell, </w:t>
      </w:r>
      <w:r w:rsidRPr="00B41B36">
        <w:t>Navigating Inclusion in Peace Settlements</w:t>
      </w:r>
      <w:r>
        <w:t xml:space="preserve"> (London: The British Academy, 2017). </w:t>
      </w:r>
    </w:p>
  </w:footnote>
  <w:footnote w:id="45">
    <w:p w14:paraId="325237B5"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rFonts w:cs="Times New Roman"/>
          <w:sz w:val="20"/>
          <w:szCs w:val="20"/>
        </w:rPr>
        <w:t xml:space="preserve"> Bell (2000), p. 231</w:t>
      </w:r>
      <w:r>
        <w:rPr>
          <w:rFonts w:cs="Times New Roman"/>
          <w:sz w:val="20"/>
          <w:szCs w:val="20"/>
        </w:rPr>
        <w:t>.</w:t>
      </w:r>
    </w:p>
  </w:footnote>
  <w:footnote w:id="46">
    <w:p w14:paraId="172FD966" w14:textId="30820651"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Peace Accords Matrix (201</w:t>
      </w:r>
      <w:r w:rsidR="00C90DEA">
        <w:rPr>
          <w:noProof/>
          <w:sz w:val="20"/>
          <w:szCs w:val="20"/>
        </w:rPr>
        <w:t>9</w:t>
      </w:r>
      <w:r w:rsidRPr="001E30D5">
        <w:rPr>
          <w:noProof/>
          <w:sz w:val="20"/>
          <w:szCs w:val="20"/>
        </w:rPr>
        <w:t>)</w:t>
      </w:r>
      <w:r>
        <w:rPr>
          <w:noProof/>
          <w:sz w:val="20"/>
          <w:szCs w:val="20"/>
        </w:rPr>
        <w:t xml:space="preserve">. </w:t>
      </w:r>
    </w:p>
  </w:footnote>
  <w:footnote w:id="47">
    <w:p w14:paraId="21B3CBD7"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Joshi, Le</w:t>
      </w:r>
      <w:r>
        <w:rPr>
          <w:sz w:val="20"/>
          <w:szCs w:val="20"/>
        </w:rPr>
        <w:t>e</w:t>
      </w:r>
      <w:r w:rsidRPr="001E30D5">
        <w:rPr>
          <w:sz w:val="20"/>
          <w:szCs w:val="20"/>
        </w:rPr>
        <w:t xml:space="preserve"> and Mac Ginty (2014)</w:t>
      </w:r>
      <w:r>
        <w:rPr>
          <w:sz w:val="20"/>
          <w:szCs w:val="20"/>
        </w:rPr>
        <w:t>.</w:t>
      </w:r>
    </w:p>
  </w:footnote>
  <w:footnote w:id="48">
    <w:p w14:paraId="099FA9E9" w14:textId="491C0B9B" w:rsidR="00A45729" w:rsidRPr="001E30D5" w:rsidRDefault="00A45729" w:rsidP="001E30D5">
      <w:pPr>
        <w:pStyle w:val="NoSpacing"/>
        <w:rPr>
          <w:noProof/>
          <w:sz w:val="20"/>
          <w:szCs w:val="20"/>
        </w:rPr>
      </w:pPr>
      <w:r w:rsidRPr="001E30D5">
        <w:rPr>
          <w:rStyle w:val="FootnoteReference"/>
          <w:sz w:val="20"/>
          <w:szCs w:val="20"/>
        </w:rPr>
        <w:footnoteRef/>
      </w:r>
      <w:r>
        <w:rPr>
          <w:sz w:val="20"/>
          <w:szCs w:val="20"/>
        </w:rPr>
        <w:t xml:space="preserve"> </w:t>
      </w:r>
      <w:r w:rsidRPr="001E30D5">
        <w:rPr>
          <w:sz w:val="20"/>
          <w:szCs w:val="20"/>
        </w:rPr>
        <w:t xml:space="preserve">This criterion is also similar to what is referred to as ‘full’ and ‘comprehensive’ peace agreements in the UCDP Peace Agreement Dataset, </w:t>
      </w:r>
      <w:r>
        <w:rPr>
          <w:sz w:val="20"/>
          <w:szCs w:val="20"/>
        </w:rPr>
        <w:t xml:space="preserve">Stina </w:t>
      </w:r>
      <w:r w:rsidRPr="001E30D5">
        <w:rPr>
          <w:noProof/>
          <w:sz w:val="20"/>
          <w:szCs w:val="20"/>
        </w:rPr>
        <w:t xml:space="preserve">Högbladh, </w:t>
      </w:r>
      <w:r>
        <w:rPr>
          <w:noProof/>
          <w:sz w:val="20"/>
          <w:szCs w:val="20"/>
        </w:rPr>
        <w:t>‘</w:t>
      </w:r>
      <w:r w:rsidRPr="001E30D5">
        <w:rPr>
          <w:noProof/>
          <w:sz w:val="20"/>
          <w:szCs w:val="20"/>
        </w:rPr>
        <w:t xml:space="preserve">Peace agreements 1975-2011 - Updating the UCDP Peace </w:t>
      </w:r>
      <w:r w:rsidRPr="0002724F">
        <w:rPr>
          <w:noProof/>
          <w:sz w:val="20"/>
          <w:szCs w:val="20"/>
        </w:rPr>
        <w:t xml:space="preserve">Agreement dataset’ in Therése Petterson and Lotta Themnér (eds.) </w:t>
      </w:r>
      <w:r w:rsidRPr="0002724F">
        <w:rPr>
          <w:iCs/>
          <w:noProof/>
          <w:sz w:val="20"/>
          <w:szCs w:val="20"/>
        </w:rPr>
        <w:t>States in Armed Conflict 2011 (</w:t>
      </w:r>
      <w:r w:rsidRPr="0002724F">
        <w:rPr>
          <w:noProof/>
          <w:sz w:val="20"/>
          <w:szCs w:val="20"/>
        </w:rPr>
        <w:t>Uppsala</w:t>
      </w:r>
      <w:r>
        <w:rPr>
          <w:noProof/>
          <w:sz w:val="20"/>
          <w:szCs w:val="20"/>
        </w:rPr>
        <w:t xml:space="preserve"> University, 2012). </w:t>
      </w:r>
    </w:p>
  </w:footnote>
  <w:footnote w:id="49">
    <w:p w14:paraId="4D4608F7" w14:textId="3ABBFB40"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This agreement is included by Bell </w:t>
      </w:r>
      <w:r>
        <w:rPr>
          <w:sz w:val="20"/>
          <w:szCs w:val="20"/>
        </w:rPr>
        <w:t xml:space="preserve">(2000) </w:t>
      </w:r>
      <w:r w:rsidRPr="001E30D5">
        <w:rPr>
          <w:sz w:val="20"/>
          <w:szCs w:val="20"/>
        </w:rPr>
        <w:t xml:space="preserve">as a ‘framework or substantive’ agreement. </w:t>
      </w:r>
    </w:p>
  </w:footnote>
  <w:footnote w:id="50">
    <w:p w14:paraId="12D2C3D9" w14:textId="77777777" w:rsidR="00A45729" w:rsidRPr="006202A3" w:rsidRDefault="00A45729" w:rsidP="001E30D5">
      <w:pPr>
        <w:pStyle w:val="NoSpacing"/>
        <w:rPr>
          <w:sz w:val="20"/>
          <w:szCs w:val="20"/>
        </w:rPr>
      </w:pPr>
      <w:r w:rsidRPr="006202A3">
        <w:rPr>
          <w:rStyle w:val="FootnoteReference"/>
          <w:sz w:val="20"/>
          <w:szCs w:val="20"/>
        </w:rPr>
        <w:footnoteRef/>
      </w:r>
      <w:r w:rsidRPr="006202A3">
        <w:rPr>
          <w:sz w:val="20"/>
          <w:szCs w:val="20"/>
        </w:rPr>
        <w:t xml:space="preserve"> Erik </w:t>
      </w:r>
      <w:r w:rsidRPr="006202A3">
        <w:rPr>
          <w:noProof/>
          <w:sz w:val="20"/>
          <w:szCs w:val="20"/>
        </w:rPr>
        <w:t xml:space="preserve">Melander, Therése Pettersson  and Lotta Themnér, ‘Organized violence, 1989-2015’, </w:t>
      </w:r>
      <w:r w:rsidRPr="006202A3">
        <w:rPr>
          <w:iCs/>
          <w:noProof/>
          <w:sz w:val="20"/>
          <w:szCs w:val="20"/>
        </w:rPr>
        <w:t xml:space="preserve">Journal of Peace Research, </w:t>
      </w:r>
      <w:r w:rsidRPr="006202A3">
        <w:rPr>
          <w:noProof/>
          <w:sz w:val="20"/>
          <w:szCs w:val="20"/>
        </w:rPr>
        <w:t>53: 5 (2016).</w:t>
      </w:r>
    </w:p>
  </w:footnote>
  <w:footnote w:id="51">
    <w:p w14:paraId="3AB026B0" w14:textId="77777777" w:rsidR="00A45729" w:rsidRPr="006202A3" w:rsidRDefault="00A45729" w:rsidP="001E30D5">
      <w:pPr>
        <w:pStyle w:val="NoSpacing"/>
        <w:rPr>
          <w:sz w:val="20"/>
          <w:szCs w:val="20"/>
        </w:rPr>
      </w:pPr>
      <w:r w:rsidRPr="006202A3">
        <w:rPr>
          <w:rStyle w:val="FootnoteReference"/>
          <w:sz w:val="20"/>
          <w:szCs w:val="20"/>
        </w:rPr>
        <w:footnoteRef/>
      </w:r>
      <w:r w:rsidRPr="006202A3">
        <w:rPr>
          <w:sz w:val="20"/>
          <w:szCs w:val="20"/>
        </w:rPr>
        <w:t xml:space="preserve"> Stathis N. </w:t>
      </w:r>
      <w:r w:rsidRPr="006202A3">
        <w:rPr>
          <w:noProof/>
          <w:sz w:val="20"/>
          <w:szCs w:val="20"/>
        </w:rPr>
        <w:t xml:space="preserve">Kalyvas ‘The Ontology of 'Political Violence': Action and Identity in Civil Wars’, </w:t>
      </w:r>
      <w:r w:rsidRPr="006202A3">
        <w:rPr>
          <w:iCs/>
          <w:noProof/>
          <w:sz w:val="20"/>
          <w:szCs w:val="20"/>
        </w:rPr>
        <w:t xml:space="preserve">Perspectives on Politics, </w:t>
      </w:r>
      <w:r w:rsidRPr="006202A3">
        <w:rPr>
          <w:noProof/>
          <w:sz w:val="20"/>
          <w:szCs w:val="20"/>
        </w:rPr>
        <w:t>1: 3 (2003), p. 475.</w:t>
      </w:r>
    </w:p>
  </w:footnote>
  <w:footnote w:id="52">
    <w:p w14:paraId="12C8F306" w14:textId="77777777" w:rsidR="00A45729" w:rsidRPr="006202A3" w:rsidRDefault="00A45729" w:rsidP="001E30D5">
      <w:pPr>
        <w:pStyle w:val="NoSpacing"/>
        <w:rPr>
          <w:sz w:val="20"/>
          <w:szCs w:val="20"/>
        </w:rPr>
      </w:pPr>
      <w:r w:rsidRPr="006202A3">
        <w:rPr>
          <w:rStyle w:val="FootnoteReference"/>
          <w:sz w:val="20"/>
          <w:szCs w:val="20"/>
        </w:rPr>
        <w:footnoteRef/>
      </w:r>
      <w:r w:rsidRPr="006202A3">
        <w:rPr>
          <w:sz w:val="20"/>
          <w:szCs w:val="20"/>
        </w:rPr>
        <w:t xml:space="preserve"> See e.g. Oystein H. </w:t>
      </w:r>
      <w:r w:rsidRPr="006202A3">
        <w:rPr>
          <w:noProof/>
          <w:sz w:val="20"/>
          <w:szCs w:val="20"/>
        </w:rPr>
        <w:t xml:space="preserve">Rolandsen, ‘A Quick Fix? A retrospective analysis of the Sudan Comprehensive Peace Agreement’, </w:t>
      </w:r>
      <w:r w:rsidRPr="006202A3">
        <w:rPr>
          <w:iCs/>
          <w:noProof/>
          <w:sz w:val="20"/>
          <w:szCs w:val="20"/>
        </w:rPr>
        <w:t xml:space="preserve">Review of African Political Economy, </w:t>
      </w:r>
      <w:r w:rsidRPr="006202A3">
        <w:rPr>
          <w:noProof/>
          <w:sz w:val="20"/>
          <w:szCs w:val="20"/>
        </w:rPr>
        <w:t>130: 38 (2011).</w:t>
      </w:r>
    </w:p>
  </w:footnote>
  <w:footnote w:id="53">
    <w:p w14:paraId="421FF2CA" w14:textId="77777777" w:rsidR="00A45729" w:rsidRPr="006202A3" w:rsidRDefault="00A45729" w:rsidP="001E30D5">
      <w:pPr>
        <w:pStyle w:val="NoSpacing"/>
        <w:rPr>
          <w:sz w:val="20"/>
          <w:szCs w:val="20"/>
        </w:rPr>
      </w:pPr>
      <w:r w:rsidRPr="006202A3">
        <w:rPr>
          <w:rStyle w:val="FootnoteReference"/>
          <w:sz w:val="20"/>
          <w:szCs w:val="20"/>
        </w:rPr>
        <w:footnoteRef/>
      </w:r>
      <w:r w:rsidRPr="006202A3">
        <w:rPr>
          <w:sz w:val="20"/>
          <w:szCs w:val="20"/>
        </w:rPr>
        <w:t xml:space="preserve"> Marc </w:t>
      </w:r>
      <w:r w:rsidRPr="006202A3">
        <w:rPr>
          <w:noProof/>
          <w:sz w:val="20"/>
          <w:szCs w:val="20"/>
        </w:rPr>
        <w:t xml:space="preserve">Weller and Stefan Wolff, </w:t>
      </w:r>
      <w:r w:rsidRPr="006202A3">
        <w:rPr>
          <w:iCs/>
          <w:noProof/>
          <w:sz w:val="20"/>
          <w:szCs w:val="20"/>
        </w:rPr>
        <w:t>Autonomy, Self-governance and Conflict Resolution (</w:t>
      </w:r>
      <w:r w:rsidRPr="006202A3">
        <w:rPr>
          <w:noProof/>
          <w:sz w:val="20"/>
          <w:szCs w:val="20"/>
        </w:rPr>
        <w:t xml:space="preserve">London: Routledge, 2005), p. 13. </w:t>
      </w:r>
    </w:p>
  </w:footnote>
  <w:footnote w:id="54">
    <w:p w14:paraId="5EB1FF68"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See e.g. </w:t>
      </w:r>
      <w:r>
        <w:rPr>
          <w:noProof/>
          <w:sz w:val="20"/>
          <w:szCs w:val="20"/>
        </w:rPr>
        <w:t>Lapidoth (1997)</w:t>
      </w:r>
      <w:r w:rsidRPr="001E30D5">
        <w:rPr>
          <w:noProof/>
          <w:sz w:val="20"/>
          <w:szCs w:val="20"/>
        </w:rPr>
        <w:t xml:space="preserve"> p. 174-5</w:t>
      </w:r>
      <w:r w:rsidRPr="001E30D5">
        <w:rPr>
          <w:sz w:val="20"/>
          <w:szCs w:val="20"/>
        </w:rPr>
        <w:t>.</w:t>
      </w:r>
    </w:p>
  </w:footnote>
  <w:footnote w:id="55">
    <w:p w14:paraId="6DA01251"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Weller &amp; Wolff (2005) p. 13.</w:t>
      </w:r>
    </w:p>
  </w:footnote>
  <w:footnote w:id="56">
    <w:p w14:paraId="30EBAFF4"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Gurr (1993) p. 292</w:t>
      </w:r>
      <w:r w:rsidRPr="001E30D5">
        <w:rPr>
          <w:sz w:val="20"/>
          <w:szCs w:val="20"/>
        </w:rPr>
        <w:t>.</w:t>
      </w:r>
    </w:p>
  </w:footnote>
  <w:footnote w:id="57">
    <w:p w14:paraId="5CC9E74D" w14:textId="77777777" w:rsidR="00A45729" w:rsidRDefault="00A45729">
      <w:pPr>
        <w:pStyle w:val="FootnoteText"/>
      </w:pPr>
      <w:r>
        <w:rPr>
          <w:rStyle w:val="FootnoteReference"/>
        </w:rPr>
        <w:footnoteRef/>
      </w:r>
      <w:r>
        <w:t xml:space="preserve"> ‘</w:t>
      </w:r>
      <w:r w:rsidRPr="008D4B15">
        <w:t>Arusha Peace and Reconciliation Agreement</w:t>
      </w:r>
      <w:r>
        <w:t>’ (Arusha, 2000), Protocol II, art. 2, 8 and 13</w:t>
      </w:r>
    </w:p>
  </w:footnote>
  <w:footnote w:id="58">
    <w:p w14:paraId="5DB76711" w14:textId="77777777" w:rsidR="00A45729" w:rsidRPr="001E30D5" w:rsidRDefault="00A45729" w:rsidP="003F7F09">
      <w:pPr>
        <w:pStyle w:val="NoSpacing"/>
        <w:rPr>
          <w:sz w:val="20"/>
          <w:szCs w:val="20"/>
        </w:rPr>
      </w:pPr>
      <w:r w:rsidRPr="001E30D5">
        <w:rPr>
          <w:rStyle w:val="FootnoteReference"/>
          <w:sz w:val="20"/>
          <w:szCs w:val="20"/>
        </w:rPr>
        <w:footnoteRef/>
      </w:r>
      <w:r w:rsidRPr="001E30D5">
        <w:rPr>
          <w:sz w:val="20"/>
          <w:szCs w:val="20"/>
        </w:rPr>
        <w:t xml:space="preserve"> </w:t>
      </w:r>
      <w:r>
        <w:rPr>
          <w:sz w:val="20"/>
          <w:szCs w:val="20"/>
        </w:rPr>
        <w:t xml:space="preserve">‘Basic Agreement’ (Erdut, 1995). </w:t>
      </w:r>
      <w:r w:rsidRPr="001E30D5">
        <w:rPr>
          <w:sz w:val="20"/>
          <w:szCs w:val="20"/>
        </w:rPr>
        <w:t>The General Peace Agreement for Casamance includes no autonomy at all</w:t>
      </w:r>
      <w:r>
        <w:rPr>
          <w:sz w:val="20"/>
          <w:szCs w:val="20"/>
        </w:rPr>
        <w:t>. ‘</w:t>
      </w:r>
      <w:r w:rsidRPr="00C41FCC">
        <w:rPr>
          <w:sz w:val="20"/>
          <w:szCs w:val="20"/>
        </w:rPr>
        <w:t>General Peace Agreement</w:t>
      </w:r>
      <w:r>
        <w:rPr>
          <w:sz w:val="20"/>
          <w:szCs w:val="20"/>
        </w:rPr>
        <w:t xml:space="preserve"> </w:t>
      </w:r>
      <w:r w:rsidRPr="0002724F">
        <w:rPr>
          <w:sz w:val="20"/>
          <w:szCs w:val="20"/>
        </w:rPr>
        <w:t>between the Government of the Republic of Senegal and MFDC</w:t>
      </w:r>
      <w:r>
        <w:rPr>
          <w:sz w:val="20"/>
          <w:szCs w:val="20"/>
        </w:rPr>
        <w:t>’</w:t>
      </w:r>
      <w:r w:rsidRPr="0002724F">
        <w:rPr>
          <w:sz w:val="20"/>
          <w:szCs w:val="20"/>
        </w:rPr>
        <w:t xml:space="preserve"> </w:t>
      </w:r>
      <w:r>
        <w:rPr>
          <w:sz w:val="20"/>
          <w:szCs w:val="20"/>
        </w:rPr>
        <w:t>(</w:t>
      </w:r>
      <w:r w:rsidRPr="00C41FCC">
        <w:rPr>
          <w:sz w:val="20"/>
          <w:szCs w:val="20"/>
        </w:rPr>
        <w:t>Ziguinchor</w:t>
      </w:r>
      <w:r>
        <w:rPr>
          <w:sz w:val="20"/>
          <w:szCs w:val="20"/>
        </w:rPr>
        <w:t>,</w:t>
      </w:r>
      <w:r w:rsidRPr="00C41FCC">
        <w:rPr>
          <w:sz w:val="20"/>
          <w:szCs w:val="20"/>
        </w:rPr>
        <w:t xml:space="preserve"> </w:t>
      </w:r>
      <w:r>
        <w:rPr>
          <w:sz w:val="20"/>
          <w:szCs w:val="20"/>
        </w:rPr>
        <w:t>2004).</w:t>
      </w:r>
    </w:p>
  </w:footnote>
  <w:footnote w:id="59">
    <w:p w14:paraId="085F427B" w14:textId="7D405833" w:rsidR="00A45729" w:rsidRPr="00685736" w:rsidRDefault="00A45729" w:rsidP="00E91E66">
      <w:pPr>
        <w:pStyle w:val="FootnoteText"/>
        <w:rPr>
          <w:rFonts w:cstheme="minorHAnsi"/>
        </w:rPr>
      </w:pPr>
      <w:r w:rsidRPr="00685736">
        <w:rPr>
          <w:rStyle w:val="FootnoteReference"/>
          <w:rFonts w:cstheme="minorHAnsi"/>
        </w:rPr>
        <w:footnoteRef/>
      </w:r>
      <w:r w:rsidRPr="00685736">
        <w:rPr>
          <w:rFonts w:cstheme="minorHAnsi"/>
        </w:rPr>
        <w:t xml:space="preserve"> </w:t>
      </w:r>
      <w:r w:rsidRPr="00685736">
        <w:rPr>
          <w:rStyle w:val="authors"/>
          <w:rFonts w:cstheme="minorHAnsi"/>
          <w:shd w:val="clear" w:color="auto" w:fill="FFFFFF"/>
        </w:rPr>
        <w:t xml:space="preserve">Stefan Wolff, The Institutional Structure of Regional Consociations in Brussels, Northern Ireland and South Tyrol, Nationalism and Ethnic Politics, 2004, </w:t>
      </w:r>
      <w:r w:rsidRPr="00685736">
        <w:rPr>
          <w:rStyle w:val="volumeissue"/>
          <w:rFonts w:cstheme="minorHAnsi"/>
          <w:shd w:val="clear" w:color="auto" w:fill="FFFFFF"/>
        </w:rPr>
        <w:t xml:space="preserve">10 (3). </w:t>
      </w:r>
    </w:p>
  </w:footnote>
  <w:footnote w:id="60">
    <w:p w14:paraId="48BB4FA3" w14:textId="77777777" w:rsidR="00A45729" w:rsidRDefault="00A45729">
      <w:pPr>
        <w:pStyle w:val="FootnoteText"/>
      </w:pPr>
      <w:r>
        <w:rPr>
          <w:rStyle w:val="FootnoteReference"/>
        </w:rPr>
        <w:footnoteRef/>
      </w:r>
      <w:r>
        <w:t xml:space="preserve"> ‘Belfast Agreement’ (Belfast, 1998)</w:t>
      </w:r>
    </w:p>
  </w:footnote>
  <w:footnote w:id="61">
    <w:p w14:paraId="18E252C8" w14:textId="4D3255A1" w:rsidR="00A45729" w:rsidRDefault="00A45729">
      <w:pPr>
        <w:pStyle w:val="FootnoteText"/>
      </w:pPr>
      <w:r>
        <w:rPr>
          <w:rStyle w:val="FootnoteReference"/>
        </w:rPr>
        <w:footnoteRef/>
      </w:r>
      <w:r>
        <w:t xml:space="preserve"> The central territorial element is instead the links between Norther Ireland and the Republic of Ireland, as contained in Strand 2 of the Belfast Agreement. </w:t>
      </w:r>
    </w:p>
  </w:footnote>
  <w:footnote w:id="62">
    <w:p w14:paraId="16D54EFA" w14:textId="6F5D9857" w:rsidR="00A45729" w:rsidRDefault="00A45729">
      <w:pPr>
        <w:pStyle w:val="FootnoteText"/>
      </w:pPr>
      <w:r>
        <w:rPr>
          <w:rStyle w:val="FootnoteReference"/>
        </w:rPr>
        <w:footnoteRef/>
      </w:r>
      <w:r>
        <w:t xml:space="preserve"> John </w:t>
      </w:r>
      <w:r w:rsidRPr="00341FFA">
        <w:t>McGarry</w:t>
      </w:r>
      <w:r>
        <w:t xml:space="preserve"> and Brendan</w:t>
      </w:r>
      <w:r w:rsidRPr="00341FFA">
        <w:t xml:space="preserve"> O'Leary, Consociational Theory, Northern Ireland's Conflict, and its Agreement. Part 1: What Consociationalists Can Learn from Northern Ireland. Government and Opposition, </w:t>
      </w:r>
      <w:r>
        <w:t xml:space="preserve">2006: </w:t>
      </w:r>
      <w:r w:rsidRPr="00341FFA">
        <w:t>41(1)</w:t>
      </w:r>
      <w:r>
        <w:t xml:space="preserve">, p. 47n16. </w:t>
      </w:r>
    </w:p>
  </w:footnote>
  <w:footnote w:id="63">
    <w:p w14:paraId="544B8AFC"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Selby (</w:t>
      </w:r>
      <w:r w:rsidRPr="001E30D5">
        <w:rPr>
          <w:rFonts w:cs="Times New Roman"/>
          <w:sz w:val="20"/>
          <w:szCs w:val="20"/>
        </w:rPr>
        <w:t>2013) p. 74</w:t>
      </w:r>
      <w:r>
        <w:rPr>
          <w:rFonts w:cs="Times New Roman"/>
          <w:sz w:val="20"/>
          <w:szCs w:val="20"/>
        </w:rPr>
        <w:t>.</w:t>
      </w:r>
    </w:p>
  </w:footnote>
  <w:footnote w:id="64">
    <w:p w14:paraId="711FB7E4"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rFonts w:cs="Times New Roman"/>
          <w:sz w:val="20"/>
          <w:szCs w:val="20"/>
        </w:rPr>
        <w:t xml:space="preserve"> </w:t>
      </w:r>
      <w:r w:rsidRPr="001E30D5">
        <w:rPr>
          <w:rFonts w:cs="Times New Roman"/>
          <w:noProof/>
          <w:sz w:val="20"/>
          <w:szCs w:val="20"/>
        </w:rPr>
        <w:t>Bell (2000) p. 193</w:t>
      </w:r>
      <w:r>
        <w:rPr>
          <w:rFonts w:cs="Times New Roman"/>
          <w:noProof/>
          <w:sz w:val="20"/>
          <w:szCs w:val="20"/>
        </w:rPr>
        <w:t>.</w:t>
      </w:r>
    </w:p>
  </w:footnote>
  <w:footnote w:id="65">
    <w:p w14:paraId="68DE9791"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rFonts w:cs="Times New Roman"/>
          <w:sz w:val="20"/>
          <w:szCs w:val="20"/>
        </w:rPr>
        <w:t xml:space="preserve">See </w:t>
      </w:r>
      <w:r w:rsidRPr="001E30D5">
        <w:rPr>
          <w:rFonts w:cs="Times New Roman"/>
          <w:noProof/>
          <w:sz w:val="20"/>
          <w:szCs w:val="20"/>
        </w:rPr>
        <w:t>Bell (2000) p. 193.</w:t>
      </w:r>
    </w:p>
  </w:footnote>
  <w:footnote w:id="66">
    <w:p w14:paraId="7220BBFF" w14:textId="77777777" w:rsidR="00A45729" w:rsidRDefault="00A45729">
      <w:pPr>
        <w:pStyle w:val="FootnoteText"/>
      </w:pPr>
      <w:r>
        <w:rPr>
          <w:rStyle w:val="FootnoteReference"/>
        </w:rPr>
        <w:footnoteRef/>
      </w:r>
      <w:r>
        <w:t xml:space="preserve"> ‘Basic Agreement’ (1995), art. 6</w:t>
      </w:r>
    </w:p>
  </w:footnote>
  <w:footnote w:id="67">
    <w:p w14:paraId="6CD91667" w14:textId="77777777" w:rsidR="00A45729" w:rsidRDefault="00A45729">
      <w:pPr>
        <w:pStyle w:val="FootnoteText"/>
      </w:pPr>
      <w:r>
        <w:rPr>
          <w:rStyle w:val="FootnoteReference"/>
        </w:rPr>
        <w:footnoteRef/>
      </w:r>
      <w:r>
        <w:t xml:space="preserve"> The 1992 comprehensive agreement for El Salvador included the 1990 San Jose Agreement on human rights. ‘Chapultepec Peace Agreement’ (Mexico City, 1992). Similarly, in the case of Guatemala the agreement includes the 1994 ‘</w:t>
      </w:r>
      <w:r w:rsidRPr="00522EF4">
        <w:rPr>
          <w:rFonts w:cs="Arial"/>
        </w:rPr>
        <w:t>Comprehensive Agreement on Human R</w:t>
      </w:r>
      <w:r>
        <w:rPr>
          <w:rFonts w:cs="Arial"/>
        </w:rPr>
        <w:t xml:space="preserve">ights’. </w:t>
      </w:r>
      <w:r>
        <w:t>‘Accord for a Firm and Lasting Peace’ (Guatemala City, 1996).</w:t>
      </w:r>
    </w:p>
  </w:footnote>
  <w:footnote w:id="68">
    <w:p w14:paraId="5F3D557E" w14:textId="77777777" w:rsidR="00A45729" w:rsidRDefault="00A45729">
      <w:pPr>
        <w:pStyle w:val="FootnoteText"/>
      </w:pPr>
      <w:r>
        <w:rPr>
          <w:rStyle w:val="FootnoteReference"/>
        </w:rPr>
        <w:footnoteRef/>
      </w:r>
      <w:r>
        <w:t xml:space="preserve"> ‘</w:t>
      </w:r>
      <w:r w:rsidRPr="00B10532">
        <w:rPr>
          <w:color w:val="000000"/>
        </w:rPr>
        <w:t>Interim Constitution Accord</w:t>
      </w:r>
      <w:r>
        <w:rPr>
          <w:color w:val="000000"/>
        </w:rPr>
        <w:t xml:space="preserve">’ (Cape Town, 1993), Chapter 3. </w:t>
      </w:r>
    </w:p>
  </w:footnote>
  <w:footnote w:id="69">
    <w:p w14:paraId="4F05A827" w14:textId="77777777" w:rsidR="00A45729" w:rsidRDefault="00A45729">
      <w:pPr>
        <w:pStyle w:val="FootnoteText"/>
      </w:pPr>
      <w:r>
        <w:rPr>
          <w:rStyle w:val="FootnoteReference"/>
        </w:rPr>
        <w:footnoteRef/>
      </w:r>
      <w:r>
        <w:t xml:space="preserve"> General Framework for Peace/Dayton Peace agreement (Paris, 1995), annex 6. </w:t>
      </w:r>
    </w:p>
  </w:footnote>
  <w:footnote w:id="70">
    <w:p w14:paraId="2710B0CB" w14:textId="77777777" w:rsidR="00A45729" w:rsidRDefault="00A45729">
      <w:pPr>
        <w:pStyle w:val="FootnoteText"/>
      </w:pPr>
      <w:r>
        <w:rPr>
          <w:rStyle w:val="FootnoteReference"/>
        </w:rPr>
        <w:footnoteRef/>
      </w:r>
      <w:r>
        <w:t xml:space="preserve"> ‘</w:t>
      </w:r>
      <w:r w:rsidRPr="00B10532">
        <w:rPr>
          <w:color w:val="000000"/>
        </w:rPr>
        <w:t>Comprehensive Peace Agreement</w:t>
      </w:r>
      <w:r>
        <w:rPr>
          <w:color w:val="000000"/>
        </w:rPr>
        <w:t>’ (</w:t>
      </w:r>
      <w:r w:rsidRPr="00D0530B">
        <w:rPr>
          <w:color w:val="000000"/>
        </w:rPr>
        <w:t>Naivasha</w:t>
      </w:r>
      <w:r>
        <w:rPr>
          <w:color w:val="000000"/>
        </w:rPr>
        <w:t xml:space="preserve">, 2005), </w:t>
      </w:r>
      <w:r>
        <w:rPr>
          <w:rFonts w:cs="Times New Roman"/>
        </w:rPr>
        <w:t xml:space="preserve">Ch. 2, art.1.6. </w:t>
      </w:r>
    </w:p>
  </w:footnote>
  <w:footnote w:id="71">
    <w:p w14:paraId="30F331E5" w14:textId="77777777" w:rsidR="00A45729" w:rsidRDefault="00A45729">
      <w:pPr>
        <w:pStyle w:val="FootnoteText"/>
      </w:pPr>
      <w:r>
        <w:rPr>
          <w:rStyle w:val="FootnoteReference"/>
        </w:rPr>
        <w:footnoteRef/>
      </w:r>
      <w:r>
        <w:t xml:space="preserve"> ‘</w:t>
      </w:r>
      <w:r w:rsidRPr="00B10532">
        <w:rPr>
          <w:color w:val="000000"/>
        </w:rPr>
        <w:t>Final Peace Agreement</w:t>
      </w:r>
      <w:r>
        <w:rPr>
          <w:color w:val="000000"/>
        </w:rPr>
        <w:t xml:space="preserve">’ (Manila, 1996), art. 152. </w:t>
      </w:r>
    </w:p>
  </w:footnote>
  <w:footnote w:id="72">
    <w:p w14:paraId="7CCDE4B2" w14:textId="77777777" w:rsidR="00A45729" w:rsidRDefault="00A45729">
      <w:pPr>
        <w:pStyle w:val="FootnoteText"/>
      </w:pPr>
      <w:r>
        <w:rPr>
          <w:rStyle w:val="FootnoteReference"/>
        </w:rPr>
        <w:footnoteRef/>
      </w:r>
      <w:r>
        <w:t xml:space="preserve"> See e.g. ‘</w:t>
      </w:r>
      <w:r w:rsidRPr="00B10532">
        <w:rPr>
          <w:color w:val="000000"/>
        </w:rPr>
        <w:t>Declaration of Principles</w:t>
      </w:r>
      <w:r>
        <w:rPr>
          <w:color w:val="000000"/>
        </w:rPr>
        <w:t xml:space="preserve">’ (Washington DC., 1993), </w:t>
      </w:r>
      <w:r w:rsidRPr="007233B9">
        <w:rPr>
          <w:rFonts w:cs="TimesNewRoman"/>
          <w:noProof/>
        </w:rPr>
        <w:t>Annex II, art. 3</w:t>
      </w:r>
      <w:r>
        <w:rPr>
          <w:rFonts w:cs="TimesNewRoman"/>
          <w:noProof/>
        </w:rPr>
        <w:t xml:space="preserve">. </w:t>
      </w:r>
    </w:p>
  </w:footnote>
  <w:footnote w:id="73">
    <w:p w14:paraId="01CB7DF3" w14:textId="77777777" w:rsidR="00A45729" w:rsidRDefault="00A45729">
      <w:pPr>
        <w:pStyle w:val="FootnoteText"/>
      </w:pPr>
      <w:r>
        <w:rPr>
          <w:rStyle w:val="FootnoteReference"/>
        </w:rPr>
        <w:footnoteRef/>
      </w:r>
      <w:r>
        <w:t xml:space="preserve"> ‘</w:t>
      </w:r>
      <w:r w:rsidRPr="00B10532">
        <w:rPr>
          <w:color w:val="000000"/>
        </w:rPr>
        <w:t>Chittagong Hill Tracts Peace Accords</w:t>
      </w:r>
      <w:r>
        <w:rPr>
          <w:color w:val="000000"/>
        </w:rPr>
        <w:t xml:space="preserve">’ (Dhaka, 1997), art. C.3.  </w:t>
      </w:r>
    </w:p>
  </w:footnote>
  <w:footnote w:id="74">
    <w:p w14:paraId="76AB7B5C" w14:textId="77777777" w:rsidR="00A45729" w:rsidRDefault="00A45729">
      <w:pPr>
        <w:pStyle w:val="FootnoteText"/>
      </w:pPr>
      <w:r>
        <w:rPr>
          <w:rStyle w:val="FootnoteReference"/>
        </w:rPr>
        <w:footnoteRef/>
      </w:r>
      <w:r>
        <w:t xml:space="preserve"> ‘</w:t>
      </w:r>
      <w:r w:rsidRPr="001958ED">
        <w:t>Memorandum of Settlement/ Bodo Accord</w:t>
      </w:r>
      <w:r>
        <w:t>’ (</w:t>
      </w:r>
      <w:r w:rsidRPr="001958ED">
        <w:t>Guwahati</w:t>
      </w:r>
      <w:r>
        <w:t>, 1993), art. 3.b.</w:t>
      </w:r>
    </w:p>
  </w:footnote>
  <w:footnote w:id="75">
    <w:p w14:paraId="2BA87F72"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Wolff (2009)</w:t>
      </w:r>
      <w:r>
        <w:rPr>
          <w:sz w:val="20"/>
          <w:szCs w:val="20"/>
        </w:rPr>
        <w:t>.</w:t>
      </w:r>
    </w:p>
  </w:footnote>
  <w:footnote w:id="76">
    <w:p w14:paraId="54065EB7" w14:textId="5E60617E"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Pr>
          <w:sz w:val="20"/>
          <w:szCs w:val="20"/>
        </w:rPr>
        <w:t xml:space="preserve">Catherine </w:t>
      </w:r>
      <w:r w:rsidRPr="001E30D5">
        <w:rPr>
          <w:noProof/>
          <w:sz w:val="20"/>
          <w:szCs w:val="20"/>
        </w:rPr>
        <w:t>Barnes</w:t>
      </w:r>
      <w:r>
        <w:rPr>
          <w:noProof/>
          <w:sz w:val="20"/>
          <w:szCs w:val="20"/>
        </w:rPr>
        <w:t xml:space="preserve"> and </w:t>
      </w:r>
      <w:r w:rsidRPr="001E30D5">
        <w:rPr>
          <w:noProof/>
          <w:sz w:val="20"/>
          <w:szCs w:val="20"/>
        </w:rPr>
        <w:t>Kamoludin Abdullaev</w:t>
      </w:r>
      <w:r>
        <w:rPr>
          <w:noProof/>
          <w:sz w:val="20"/>
          <w:szCs w:val="20"/>
        </w:rPr>
        <w:t>, ‘</w:t>
      </w:r>
      <w:r w:rsidRPr="001E30D5">
        <w:rPr>
          <w:noProof/>
          <w:sz w:val="20"/>
          <w:szCs w:val="20"/>
        </w:rPr>
        <w:t>Introduction: from war to politics</w:t>
      </w:r>
      <w:r>
        <w:rPr>
          <w:noProof/>
          <w:sz w:val="20"/>
          <w:szCs w:val="20"/>
        </w:rPr>
        <w:t>’, in</w:t>
      </w:r>
      <w:r w:rsidRPr="001E30D5">
        <w:rPr>
          <w:noProof/>
          <w:sz w:val="20"/>
          <w:szCs w:val="20"/>
        </w:rPr>
        <w:t xml:space="preserve"> Catherine Barnes </w:t>
      </w:r>
      <w:r>
        <w:rPr>
          <w:noProof/>
          <w:sz w:val="20"/>
          <w:szCs w:val="20"/>
        </w:rPr>
        <w:t>and</w:t>
      </w:r>
      <w:r w:rsidRPr="001E30D5">
        <w:rPr>
          <w:noProof/>
          <w:sz w:val="20"/>
          <w:szCs w:val="20"/>
        </w:rPr>
        <w:t xml:space="preserve"> Kamoludin Abdulaev (eds.) </w:t>
      </w:r>
      <w:r w:rsidRPr="001E30D5">
        <w:rPr>
          <w:i/>
          <w:iCs/>
          <w:noProof/>
          <w:sz w:val="20"/>
          <w:szCs w:val="20"/>
        </w:rPr>
        <w:t>Politics of Compromise</w:t>
      </w:r>
      <w:r>
        <w:rPr>
          <w:i/>
          <w:iCs/>
          <w:noProof/>
          <w:sz w:val="20"/>
          <w:szCs w:val="20"/>
        </w:rPr>
        <w:t xml:space="preserve">: The Tajikistan Peace Process </w:t>
      </w:r>
      <w:r>
        <w:rPr>
          <w:iCs/>
          <w:noProof/>
          <w:sz w:val="20"/>
          <w:szCs w:val="20"/>
        </w:rPr>
        <w:t>(</w:t>
      </w:r>
      <w:r w:rsidRPr="001E30D5">
        <w:rPr>
          <w:noProof/>
          <w:sz w:val="20"/>
          <w:szCs w:val="20"/>
        </w:rPr>
        <w:t xml:space="preserve">London: Conciliation Resources, </w:t>
      </w:r>
      <w:r>
        <w:rPr>
          <w:noProof/>
          <w:sz w:val="20"/>
          <w:szCs w:val="20"/>
        </w:rPr>
        <w:t xml:space="preserve">2001), </w:t>
      </w:r>
      <w:r w:rsidRPr="001E30D5">
        <w:rPr>
          <w:noProof/>
          <w:sz w:val="20"/>
          <w:szCs w:val="20"/>
        </w:rPr>
        <w:t>p. 10.</w:t>
      </w:r>
    </w:p>
  </w:footnote>
  <w:footnote w:id="77">
    <w:p w14:paraId="136C7F81" w14:textId="77777777" w:rsidR="00A45729" w:rsidRDefault="00A45729">
      <w:pPr>
        <w:pStyle w:val="FootnoteText"/>
      </w:pPr>
      <w:r>
        <w:rPr>
          <w:rStyle w:val="FootnoteReference"/>
        </w:rPr>
        <w:footnoteRef/>
      </w:r>
      <w:r>
        <w:t xml:space="preserve"> ‘</w:t>
      </w:r>
      <w:r w:rsidRPr="00B10532">
        <w:rPr>
          <w:color w:val="000000"/>
        </w:rPr>
        <w:t>Bougainville Peace Agreement</w:t>
      </w:r>
      <w:r>
        <w:rPr>
          <w:color w:val="000000"/>
        </w:rPr>
        <w:t>’ (</w:t>
      </w:r>
      <w:r>
        <w:t>Arawa,</w:t>
      </w:r>
      <w:r>
        <w:rPr>
          <w:color w:val="000000"/>
        </w:rPr>
        <w:t xml:space="preserve"> 2001), art. 127. </w:t>
      </w:r>
    </w:p>
  </w:footnote>
  <w:footnote w:id="78">
    <w:p w14:paraId="4464365B" w14:textId="77777777" w:rsidR="00A45729" w:rsidRDefault="00A45729">
      <w:pPr>
        <w:pStyle w:val="FootnoteText"/>
      </w:pPr>
      <w:r>
        <w:rPr>
          <w:rStyle w:val="FootnoteReference"/>
        </w:rPr>
        <w:footnoteRef/>
      </w:r>
      <w:r>
        <w:t xml:space="preserve"> ‘Comprehensive Peace Agreement’ (2005), </w:t>
      </w:r>
      <w:r>
        <w:rPr>
          <w:rFonts w:cs="Times New Roman"/>
        </w:rPr>
        <w:t xml:space="preserve">Ch. 2, art. 2.11.3 and 2.10.1.2. </w:t>
      </w:r>
    </w:p>
  </w:footnote>
  <w:footnote w:id="79">
    <w:p w14:paraId="53860744" w14:textId="77777777" w:rsidR="00A45729" w:rsidRDefault="00A45729">
      <w:pPr>
        <w:pStyle w:val="FootnoteText"/>
      </w:pPr>
      <w:r>
        <w:rPr>
          <w:rStyle w:val="FootnoteReference"/>
        </w:rPr>
        <w:footnoteRef/>
      </w:r>
      <w:r>
        <w:t xml:space="preserve"> ‘Belfast Agreement’ (1998), </w:t>
      </w:r>
      <w:r>
        <w:rPr>
          <w:rFonts w:cs="Times New Roman"/>
        </w:rPr>
        <w:t>Strand 1, Safeguards, art. 5.</w:t>
      </w:r>
    </w:p>
  </w:footnote>
  <w:footnote w:id="80">
    <w:p w14:paraId="57D19D1C"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rFonts w:cs="Times New Roman"/>
          <w:noProof/>
          <w:sz w:val="20"/>
          <w:szCs w:val="20"/>
        </w:rPr>
        <w:t>Bell (2000) p</w:t>
      </w:r>
      <w:r>
        <w:rPr>
          <w:rFonts w:cs="Times New Roman"/>
          <w:noProof/>
          <w:sz w:val="20"/>
          <w:szCs w:val="20"/>
        </w:rPr>
        <w:t>p</w:t>
      </w:r>
      <w:r w:rsidRPr="001E30D5">
        <w:rPr>
          <w:rFonts w:cs="Times New Roman"/>
          <w:noProof/>
          <w:sz w:val="20"/>
          <w:szCs w:val="20"/>
        </w:rPr>
        <w:t>. 221, 227</w:t>
      </w:r>
      <w:r w:rsidRPr="001E30D5">
        <w:rPr>
          <w:rFonts w:cs="Times New Roman"/>
          <w:sz w:val="20"/>
          <w:szCs w:val="20"/>
        </w:rPr>
        <w:t>.</w:t>
      </w:r>
    </w:p>
  </w:footnote>
  <w:footnote w:id="81">
    <w:p w14:paraId="1F851A1C"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rFonts w:cs="Times New Roman"/>
          <w:sz w:val="20"/>
          <w:szCs w:val="20"/>
        </w:rPr>
        <w:t>Bell (2000), p. 297</w:t>
      </w:r>
    </w:p>
  </w:footnote>
  <w:footnote w:id="82">
    <w:p w14:paraId="698DD365" w14:textId="397C3C76" w:rsidR="00A45729" w:rsidRDefault="00A45729" w:rsidP="00347D44">
      <w:pPr>
        <w:pStyle w:val="FootnoteText"/>
      </w:pPr>
      <w:r>
        <w:rPr>
          <w:rStyle w:val="FootnoteReference"/>
        </w:rPr>
        <w:footnoteRef/>
      </w:r>
      <w:r>
        <w:t xml:space="preserve"> See e.g. Nina Caspersen, Contested Nationalism: Serb Elite Rivalry in Croatia and Bosnia in the 1990s (Oxford: Berghahn, 2010).</w:t>
      </w:r>
    </w:p>
  </w:footnote>
  <w:footnote w:id="83">
    <w:p w14:paraId="0160546B" w14:textId="243E8586" w:rsidR="00A45729" w:rsidRDefault="00A45729" w:rsidP="00EA75A0">
      <w:pPr>
        <w:pStyle w:val="FootnoteText"/>
      </w:pPr>
      <w:r>
        <w:rPr>
          <w:rStyle w:val="FootnoteReference"/>
        </w:rPr>
        <w:footnoteRef/>
      </w:r>
      <w:r>
        <w:t xml:space="preserve"> Bell (2017), p. 11</w:t>
      </w:r>
    </w:p>
  </w:footnote>
  <w:footnote w:id="84">
    <w:p w14:paraId="67932F43" w14:textId="3B6AF89C" w:rsidR="00A45729" w:rsidRPr="001E30D5" w:rsidRDefault="00A45729" w:rsidP="00EA75A0">
      <w:pPr>
        <w:pStyle w:val="NoSpacing"/>
        <w:rPr>
          <w:sz w:val="20"/>
          <w:szCs w:val="20"/>
        </w:rPr>
      </w:pPr>
      <w:r w:rsidRPr="0022694E">
        <w:rPr>
          <w:rStyle w:val="FootnoteReference"/>
          <w:sz w:val="20"/>
          <w:szCs w:val="20"/>
        </w:rPr>
        <w:footnoteRef/>
      </w:r>
      <w:r w:rsidRPr="0022694E">
        <w:rPr>
          <w:sz w:val="20"/>
          <w:szCs w:val="20"/>
        </w:rPr>
        <w:t xml:space="preserve"> </w:t>
      </w:r>
      <w:r w:rsidRPr="0022694E">
        <w:rPr>
          <w:rFonts w:cs="TimesNewRoman"/>
          <w:noProof/>
          <w:sz w:val="20"/>
          <w:szCs w:val="20"/>
        </w:rPr>
        <w:t xml:space="preserve">See e.g. Amena </w:t>
      </w:r>
      <w:r w:rsidRPr="0022694E">
        <w:rPr>
          <w:noProof/>
          <w:sz w:val="20"/>
          <w:szCs w:val="20"/>
        </w:rPr>
        <w:t xml:space="preserve">Mohsin, </w:t>
      </w:r>
      <w:r w:rsidRPr="0022694E">
        <w:rPr>
          <w:iCs/>
          <w:noProof/>
          <w:sz w:val="20"/>
          <w:szCs w:val="20"/>
        </w:rPr>
        <w:t>The Chittagong Hill Tracts Bangladesh: On the Difficult Road to Peace (</w:t>
      </w:r>
      <w:r w:rsidRPr="0022694E">
        <w:rPr>
          <w:noProof/>
          <w:sz w:val="20"/>
          <w:szCs w:val="20"/>
        </w:rPr>
        <w:t xml:space="preserve">Boulder: Lynne Rienner, 2003), p. 71; Cæcilie Mikkelsen, </w:t>
      </w:r>
      <w:r w:rsidRPr="0022694E">
        <w:rPr>
          <w:iCs/>
          <w:noProof/>
          <w:sz w:val="20"/>
          <w:szCs w:val="20"/>
        </w:rPr>
        <w:t>The Indigenous World 2015 (</w:t>
      </w:r>
      <w:r w:rsidRPr="0022694E">
        <w:rPr>
          <w:noProof/>
          <w:sz w:val="20"/>
          <w:szCs w:val="20"/>
        </w:rPr>
        <w:t>Copenhagen: International Work Group for Indigenous Affairs, 2015), p</w:t>
      </w:r>
      <w:r>
        <w:rPr>
          <w:noProof/>
          <w:sz w:val="20"/>
          <w:szCs w:val="20"/>
        </w:rPr>
        <w:t>p. 316-3</w:t>
      </w:r>
      <w:r w:rsidRPr="0022694E">
        <w:rPr>
          <w:noProof/>
          <w:sz w:val="20"/>
          <w:szCs w:val="20"/>
        </w:rPr>
        <w:t>17; Amnesty International, ‘</w:t>
      </w:r>
      <w:r w:rsidRPr="0022694E">
        <w:rPr>
          <w:iCs/>
          <w:noProof/>
          <w:sz w:val="20"/>
          <w:szCs w:val="20"/>
          <w:lang w:val="en-US"/>
        </w:rPr>
        <w:t>Bangladesh: Indigenous Peoples engulfed in Chittagong Hills Tract land conflict</w:t>
      </w:r>
      <w:r w:rsidR="00C90DEA">
        <w:rPr>
          <w:noProof/>
          <w:sz w:val="20"/>
          <w:szCs w:val="20"/>
          <w:lang w:val="en-US"/>
        </w:rPr>
        <w:t xml:space="preserve"> (London, 2013)</w:t>
      </w:r>
      <w:r w:rsidRPr="0022694E">
        <w:rPr>
          <w:noProof/>
          <w:sz w:val="20"/>
          <w:szCs w:val="20"/>
          <w:lang w:val="en-US"/>
        </w:rPr>
        <w:t>,</w:t>
      </w:r>
      <w:r>
        <w:rPr>
          <w:noProof/>
          <w:sz w:val="20"/>
          <w:szCs w:val="20"/>
          <w:lang w:val="en-US"/>
        </w:rPr>
        <w:t xml:space="preserve"> </w:t>
      </w:r>
      <w:r w:rsidR="00C90DEA">
        <w:rPr>
          <w:noProof/>
          <w:sz w:val="20"/>
          <w:szCs w:val="20"/>
          <w:lang w:val="en-US"/>
        </w:rPr>
        <w:t>avilable at {</w:t>
      </w:r>
      <w:r w:rsidRPr="001E30D5">
        <w:rPr>
          <w:noProof/>
          <w:sz w:val="20"/>
          <w:szCs w:val="20"/>
          <w:lang w:val="en-US"/>
        </w:rPr>
        <w:t>https://www.amnesty.org/en/latest/news/2013/06/bangladesh-indigenous-peoples-engulfed-chittagong-hill-tracts-land-conflict/</w:t>
      </w:r>
      <w:r w:rsidR="00C90DEA">
        <w:rPr>
          <w:noProof/>
          <w:sz w:val="20"/>
          <w:szCs w:val="20"/>
          <w:lang w:val="en-US"/>
        </w:rPr>
        <w:t>}, last accessed 24 January 2019}</w:t>
      </w:r>
    </w:p>
  </w:footnote>
  <w:footnote w:id="85">
    <w:p w14:paraId="1489057F" w14:textId="77777777" w:rsidR="00A45729" w:rsidRPr="001E30D5" w:rsidRDefault="00A45729" w:rsidP="00EA75A0">
      <w:pPr>
        <w:pStyle w:val="NoSpacing"/>
        <w:rPr>
          <w:sz w:val="20"/>
          <w:szCs w:val="20"/>
        </w:rPr>
      </w:pPr>
      <w:r w:rsidRPr="001E30D5">
        <w:rPr>
          <w:rStyle w:val="FootnoteReference"/>
          <w:sz w:val="20"/>
          <w:szCs w:val="20"/>
        </w:rPr>
        <w:footnoteRef/>
      </w:r>
      <w:r w:rsidRPr="001E30D5">
        <w:rPr>
          <w:sz w:val="20"/>
          <w:szCs w:val="20"/>
        </w:rPr>
        <w:t xml:space="preserve"> Bell (2000) p. 196</w:t>
      </w:r>
      <w:r>
        <w:rPr>
          <w:sz w:val="20"/>
          <w:szCs w:val="20"/>
        </w:rPr>
        <w:t>.</w:t>
      </w:r>
    </w:p>
  </w:footnote>
  <w:footnote w:id="86">
    <w:p w14:paraId="67A48425" w14:textId="77777777" w:rsidR="00A45729" w:rsidRPr="001E30D5" w:rsidRDefault="00A45729" w:rsidP="00EA75A0">
      <w:pPr>
        <w:pStyle w:val="NoSpacing"/>
        <w:rPr>
          <w:sz w:val="20"/>
          <w:szCs w:val="20"/>
        </w:rPr>
      </w:pPr>
      <w:r w:rsidRPr="001E30D5">
        <w:rPr>
          <w:rStyle w:val="FootnoteReference"/>
          <w:sz w:val="20"/>
          <w:szCs w:val="20"/>
        </w:rPr>
        <w:footnoteRef/>
      </w:r>
      <w:r w:rsidRPr="001E30D5">
        <w:rPr>
          <w:sz w:val="20"/>
          <w:szCs w:val="20"/>
        </w:rPr>
        <w:t xml:space="preserve"> Ibid.</w:t>
      </w:r>
      <w:r>
        <w:rPr>
          <w:sz w:val="20"/>
          <w:szCs w:val="20"/>
        </w:rPr>
        <w:t xml:space="preserve"> pp. </w:t>
      </w:r>
      <w:r w:rsidRPr="001E30D5">
        <w:rPr>
          <w:sz w:val="20"/>
          <w:szCs w:val="20"/>
        </w:rPr>
        <w:t xml:space="preserve">194-5. </w:t>
      </w:r>
    </w:p>
  </w:footnote>
  <w:footnote w:id="87">
    <w:p w14:paraId="63F1E37A" w14:textId="41D3EC9C" w:rsidR="00A45729" w:rsidRDefault="00A45729" w:rsidP="00F050B0">
      <w:pPr>
        <w:pStyle w:val="FootnoteText"/>
      </w:pPr>
      <w:r>
        <w:rPr>
          <w:rStyle w:val="FootnoteReference"/>
        </w:rPr>
        <w:footnoteRef/>
      </w:r>
      <w:r>
        <w:t xml:space="preserve"> Benoit Rihoux and Charles C. Ragin, Configurational Comparative Methods (Los Angeles: Sage, 2009). </w:t>
      </w:r>
    </w:p>
  </w:footnote>
  <w:footnote w:id="88">
    <w:p w14:paraId="51B0B76E" w14:textId="710EBCEA" w:rsidR="00A45729" w:rsidRDefault="00A45729" w:rsidP="00F050B0">
      <w:pPr>
        <w:pStyle w:val="FootnoteText"/>
      </w:pPr>
      <w:r>
        <w:rPr>
          <w:rStyle w:val="FootnoteReference"/>
        </w:rPr>
        <w:footnoteRef/>
      </w:r>
      <w:r>
        <w:t xml:space="preserve"> Zsuzsa Csergo, Philippe Roseberry and Stefan Wolff, ‘Institutional Outcomes of Territorial Contestation: Lessons from PostCommunist Europe, 1989–2012,’ </w:t>
      </w:r>
      <w:r w:rsidRPr="00516DEF">
        <w:t>Publius</w:t>
      </w:r>
      <w:r>
        <w:t>,</w:t>
      </w:r>
      <w:r w:rsidRPr="00516DEF">
        <w:t xml:space="preserve"> </w:t>
      </w:r>
      <w:r w:rsidRPr="00CC78E1">
        <w:t>47</w:t>
      </w:r>
      <w:r>
        <w:t xml:space="preserve">: 4 (2017), p. 508.  </w:t>
      </w:r>
    </w:p>
  </w:footnote>
  <w:footnote w:id="89">
    <w:p w14:paraId="4B386457" w14:textId="0A554CDE" w:rsidR="00A45729" w:rsidRDefault="00A45729">
      <w:pPr>
        <w:pStyle w:val="FootnoteText"/>
      </w:pPr>
      <w:r w:rsidRPr="001C2356">
        <w:rPr>
          <w:rStyle w:val="FootnoteReference"/>
        </w:rPr>
        <w:footnoteRef/>
      </w:r>
      <w:r w:rsidRPr="001C2356">
        <w:t xml:space="preserve"> This variable is adapted from data in Caspersen (2017), p. 22, 193, which includes both territorial and</w:t>
      </w:r>
      <w:r>
        <w:t xml:space="preserve"> non-territorial autonomy. </w:t>
      </w:r>
      <w:r>
        <w:rPr>
          <w:rFonts w:cs="Times New Roman"/>
        </w:rPr>
        <w:t xml:space="preserve"> </w:t>
      </w:r>
    </w:p>
  </w:footnote>
  <w:footnote w:id="90">
    <w:p w14:paraId="3CD4FF28" w14:textId="77777777" w:rsidR="00A45729" w:rsidRDefault="00A45729" w:rsidP="00F050B0">
      <w:pPr>
        <w:pStyle w:val="FootnoteText"/>
      </w:pPr>
      <w:r>
        <w:rPr>
          <w:rStyle w:val="FootnoteReference"/>
        </w:rPr>
        <w:footnoteRef/>
      </w:r>
      <w:r>
        <w:t xml:space="preserve"> See e.g. Roeder (2009). </w:t>
      </w:r>
    </w:p>
  </w:footnote>
  <w:footnote w:id="91">
    <w:p w14:paraId="524D6890" w14:textId="77777777" w:rsidR="00A45729" w:rsidRPr="006D4066" w:rsidRDefault="00A45729" w:rsidP="00F050B0">
      <w:pPr>
        <w:pStyle w:val="NoSpacing"/>
        <w:rPr>
          <w:sz w:val="20"/>
          <w:szCs w:val="20"/>
        </w:rPr>
      </w:pPr>
      <w:r w:rsidRPr="006D4066">
        <w:rPr>
          <w:rStyle w:val="FootnoteReference"/>
          <w:sz w:val="20"/>
          <w:szCs w:val="20"/>
        </w:rPr>
        <w:footnoteRef/>
      </w:r>
      <w:r w:rsidRPr="006D4066">
        <w:rPr>
          <w:sz w:val="20"/>
          <w:szCs w:val="20"/>
        </w:rPr>
        <w:t xml:space="preserve"> See also Marc </w:t>
      </w:r>
      <w:r w:rsidRPr="006D4066">
        <w:rPr>
          <w:noProof/>
          <w:sz w:val="20"/>
          <w:szCs w:val="20"/>
        </w:rPr>
        <w:t xml:space="preserve">Weller, ‘Self-Governance in Interim Settlements: the case of Sudan’, in Marc Weller and Stefan Wolff (eds.) </w:t>
      </w:r>
      <w:r w:rsidRPr="006D4066">
        <w:rPr>
          <w:iCs/>
          <w:noProof/>
          <w:sz w:val="20"/>
          <w:szCs w:val="20"/>
        </w:rPr>
        <w:t>Autonomy, Self-Gpvernance and Conflict Resolution (</w:t>
      </w:r>
      <w:r w:rsidRPr="006D4066">
        <w:rPr>
          <w:noProof/>
          <w:sz w:val="20"/>
          <w:szCs w:val="20"/>
        </w:rPr>
        <w:t>London: Routledge, 2005).</w:t>
      </w:r>
    </w:p>
  </w:footnote>
  <w:footnote w:id="92">
    <w:p w14:paraId="7EB13DA4" w14:textId="77777777" w:rsidR="00A45729" w:rsidRPr="001E30D5" w:rsidRDefault="00A45729" w:rsidP="00F050B0">
      <w:pPr>
        <w:pStyle w:val="NoSpacing"/>
        <w:rPr>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 xml:space="preserve">Bell (2000) p. </w:t>
      </w:r>
      <w:r>
        <w:rPr>
          <w:noProof/>
          <w:sz w:val="20"/>
          <w:szCs w:val="20"/>
        </w:rPr>
        <w:t xml:space="preserve">159, </w:t>
      </w:r>
      <w:r w:rsidRPr="001E30D5">
        <w:rPr>
          <w:noProof/>
          <w:sz w:val="20"/>
          <w:szCs w:val="20"/>
        </w:rPr>
        <w:t>196</w:t>
      </w:r>
      <w:r w:rsidRPr="001E30D5">
        <w:rPr>
          <w:sz w:val="20"/>
          <w:szCs w:val="20"/>
        </w:rPr>
        <w:t>.</w:t>
      </w:r>
    </w:p>
  </w:footnote>
  <w:footnote w:id="93">
    <w:p w14:paraId="1775980F" w14:textId="0C31748C" w:rsidR="00A45729" w:rsidRDefault="00A45729" w:rsidP="00F050B0">
      <w:pPr>
        <w:pStyle w:val="FootnoteText"/>
      </w:pPr>
      <w:r>
        <w:rPr>
          <w:rStyle w:val="FootnoteReference"/>
        </w:rPr>
        <w:footnoteRef/>
      </w:r>
      <w:r>
        <w:t xml:space="preserve"> There was an international presence at the talks, but no mediation. Senegal had significantly reduced the earlier involvement of neighbouring Guinea Bissau and Gambia. Fall (2010), p. 26. </w:t>
      </w:r>
    </w:p>
  </w:footnote>
  <w:footnote w:id="94">
    <w:p w14:paraId="1F5F3541" w14:textId="65B4C71F" w:rsidR="00A45729" w:rsidRPr="00FD1124" w:rsidRDefault="00A45729" w:rsidP="00FD1124">
      <w:pPr>
        <w:pStyle w:val="FootnoteText"/>
      </w:pPr>
      <w:r>
        <w:rPr>
          <w:rStyle w:val="FootnoteReference"/>
        </w:rPr>
        <w:footnoteRef/>
      </w:r>
      <w:r>
        <w:t xml:space="preserve"> </w:t>
      </w:r>
      <w:r w:rsidRPr="00FD1124">
        <w:t>David E. Cunningham, Kristian Skrede Gleditsch, and Idean Salehyan</w:t>
      </w:r>
      <w:r w:rsidR="00C90DEA">
        <w:t>. Non-State Actor Data, version 3.4 (2013</w:t>
      </w:r>
      <w:r>
        <w:t xml:space="preserve">), </w:t>
      </w:r>
      <w:r w:rsidR="00C90DEA">
        <w:t>available at {</w:t>
      </w:r>
      <w:r w:rsidRPr="00FD1124">
        <w:t>http://ksgleditsch.com/eacd.html</w:t>
      </w:r>
      <w:r w:rsidR="00C90DEA">
        <w:t>}, last accessed 24 January 2019}</w:t>
      </w:r>
    </w:p>
  </w:footnote>
  <w:footnote w:id="95">
    <w:p w14:paraId="228AC5CC" w14:textId="7BF6C2F0" w:rsidR="00A45729" w:rsidRDefault="00A45729" w:rsidP="00EA75A0">
      <w:pPr>
        <w:pStyle w:val="FootnoteText"/>
      </w:pPr>
      <w:r w:rsidRPr="00D276C9">
        <w:rPr>
          <w:rStyle w:val="FootnoteReference"/>
        </w:rPr>
        <w:footnoteRef/>
      </w:r>
      <w:r w:rsidRPr="00D276C9">
        <w:t xml:space="preserve"> Caspersen (2010)</w:t>
      </w:r>
      <w:r>
        <w:t xml:space="preserve">. </w:t>
      </w:r>
    </w:p>
  </w:footnote>
  <w:footnote w:id="96">
    <w:p w14:paraId="40D2EC04" w14:textId="49B61315" w:rsidR="00A45729" w:rsidRDefault="00A45729" w:rsidP="00EA75A0">
      <w:pPr>
        <w:pStyle w:val="FootnoteText"/>
      </w:pPr>
      <w:r w:rsidRPr="00FD1124">
        <w:rPr>
          <w:rStyle w:val="FootnoteReference"/>
        </w:rPr>
        <w:footnoteRef/>
      </w:r>
      <w:r w:rsidRPr="00FD1124">
        <w:t xml:space="preserve"> Aïssatou Fall, Understanding the Casamance Conflict: A Background, KAIPTC Monograph No. 7 (Accra, 2010).</w:t>
      </w:r>
    </w:p>
  </w:footnote>
  <w:footnote w:id="97">
    <w:p w14:paraId="1410CD17" w14:textId="409CC9B9" w:rsidR="00A45729" w:rsidRDefault="00A45729">
      <w:pPr>
        <w:pStyle w:val="FootnoteText"/>
      </w:pPr>
      <w:r>
        <w:rPr>
          <w:rStyle w:val="FootnoteReference"/>
        </w:rPr>
        <w:footnoteRef/>
      </w:r>
      <w:r>
        <w:t xml:space="preserve"> Samrat, </w:t>
      </w:r>
      <w:r w:rsidRPr="00CF725C">
        <w:t>Violence in Assam Has Deep Roots</w:t>
      </w:r>
      <w:r>
        <w:t xml:space="preserve">, The New York Times, 26 July (2012) </w:t>
      </w:r>
    </w:p>
  </w:footnote>
  <w:footnote w:id="98">
    <w:p w14:paraId="76B5252C" w14:textId="424E5FDC" w:rsidR="00A45729" w:rsidRDefault="00A45729" w:rsidP="00EA75A0">
      <w:pPr>
        <w:pStyle w:val="FootnoteText"/>
      </w:pPr>
      <w:r>
        <w:rPr>
          <w:rStyle w:val="FootnoteReference"/>
        </w:rPr>
        <w:footnoteRef/>
      </w:r>
      <w:r>
        <w:t xml:space="preserve"> Bell (2017), p. 13.</w:t>
      </w:r>
    </w:p>
  </w:footnote>
  <w:footnote w:id="99">
    <w:p w14:paraId="1E601361" w14:textId="77777777" w:rsidR="00A45729" w:rsidRDefault="00A45729" w:rsidP="00EA75A0">
      <w:pPr>
        <w:pStyle w:val="FootnoteText"/>
      </w:pPr>
      <w:r>
        <w:rPr>
          <w:rStyle w:val="FootnoteReference"/>
        </w:rPr>
        <w:footnoteRef/>
      </w:r>
      <w:r>
        <w:t xml:space="preserve"> This variable draws on data from Caspersen (2017), p. 163-166. </w:t>
      </w:r>
    </w:p>
  </w:footnote>
  <w:footnote w:id="100">
    <w:p w14:paraId="472B6114" w14:textId="77EF941A" w:rsidR="00A45729" w:rsidRDefault="00A45729" w:rsidP="0025249D">
      <w:pPr>
        <w:pStyle w:val="FootnoteText"/>
      </w:pPr>
      <w:r>
        <w:rPr>
          <w:rStyle w:val="FootnoteReference"/>
        </w:rPr>
        <w:footnoteRef/>
      </w:r>
      <w:r>
        <w:t xml:space="preserve"> Data from Caspersen (2017).</w:t>
      </w:r>
    </w:p>
  </w:footnote>
  <w:footnote w:id="101">
    <w:p w14:paraId="763F548F" w14:textId="77777777" w:rsidR="00A45729" w:rsidRPr="0022694E" w:rsidRDefault="00A45729" w:rsidP="00EA75A0">
      <w:pPr>
        <w:pStyle w:val="NoSpacing"/>
        <w:rPr>
          <w:sz w:val="20"/>
          <w:szCs w:val="20"/>
        </w:rPr>
      </w:pPr>
      <w:r w:rsidRPr="0022694E">
        <w:rPr>
          <w:rStyle w:val="FootnoteReference"/>
          <w:sz w:val="20"/>
          <w:szCs w:val="20"/>
        </w:rPr>
        <w:footnoteRef/>
      </w:r>
      <w:r w:rsidRPr="0022694E">
        <w:rPr>
          <w:sz w:val="20"/>
          <w:szCs w:val="20"/>
        </w:rPr>
        <w:t xml:space="preserve"> Paul </w:t>
      </w:r>
      <w:r w:rsidRPr="0022694E">
        <w:rPr>
          <w:noProof/>
          <w:sz w:val="20"/>
          <w:szCs w:val="20"/>
        </w:rPr>
        <w:t xml:space="preserve">Szasz, ‘The Protection of Human Rights Through the Dayton/Paris Peace Agreement on Bosnia’, </w:t>
      </w:r>
      <w:r w:rsidRPr="0022694E">
        <w:rPr>
          <w:iCs/>
          <w:noProof/>
          <w:sz w:val="20"/>
          <w:szCs w:val="20"/>
        </w:rPr>
        <w:t xml:space="preserve">American Journal of International Law, </w:t>
      </w:r>
      <w:r w:rsidRPr="0022694E">
        <w:rPr>
          <w:noProof/>
          <w:sz w:val="20"/>
          <w:szCs w:val="20"/>
        </w:rPr>
        <w:t>90: 2 (1996).</w:t>
      </w:r>
    </w:p>
  </w:footnote>
  <w:footnote w:id="102">
    <w:p w14:paraId="769BEF00" w14:textId="0C59037E" w:rsidR="00A45729" w:rsidRDefault="00A45729" w:rsidP="00EA75A0">
      <w:pPr>
        <w:pStyle w:val="FootnoteText"/>
      </w:pPr>
      <w:r w:rsidRPr="0025249D">
        <w:rPr>
          <w:rStyle w:val="FootnoteReference"/>
        </w:rPr>
        <w:footnoteRef/>
      </w:r>
      <w:r w:rsidRPr="0025249D">
        <w:t xml:space="preserve"> John Young, The Fate of Sudan: The Origins and Consequences of a Flawed Peace Process (London:</w:t>
      </w:r>
      <w:r w:rsidRPr="00C56B57">
        <w:t xml:space="preserve"> Zed Books</w:t>
      </w:r>
      <w:r>
        <w:t xml:space="preserve">, 2013), pp. 108-9. </w:t>
      </w:r>
    </w:p>
  </w:footnote>
  <w:footnote w:id="103">
    <w:p w14:paraId="050A713B" w14:textId="5B588D59" w:rsidR="00A45729" w:rsidRDefault="00A45729">
      <w:pPr>
        <w:pStyle w:val="FootnoteText"/>
      </w:pPr>
      <w:r>
        <w:rPr>
          <w:rStyle w:val="FootnoteReference"/>
        </w:rPr>
        <w:footnoteRef/>
      </w:r>
      <w:r>
        <w:t xml:space="preserve"> Bell (2000), p. 231.</w:t>
      </w:r>
    </w:p>
  </w:footnote>
  <w:footnote w:id="104">
    <w:p w14:paraId="572CD958" w14:textId="77777777" w:rsidR="00A45729" w:rsidRPr="0022694E" w:rsidRDefault="00A45729" w:rsidP="00EA75A0">
      <w:pPr>
        <w:pStyle w:val="NoSpacing"/>
        <w:rPr>
          <w:sz w:val="20"/>
          <w:szCs w:val="20"/>
        </w:rPr>
      </w:pPr>
      <w:r w:rsidRPr="0022694E">
        <w:rPr>
          <w:rStyle w:val="FootnoteReference"/>
          <w:sz w:val="20"/>
          <w:szCs w:val="20"/>
        </w:rPr>
        <w:footnoteRef/>
      </w:r>
      <w:r w:rsidRPr="0022694E">
        <w:rPr>
          <w:sz w:val="20"/>
          <w:szCs w:val="20"/>
        </w:rPr>
        <w:t xml:space="preserve"> Katri </w:t>
      </w:r>
      <w:r w:rsidRPr="0022694E">
        <w:rPr>
          <w:noProof/>
          <w:sz w:val="20"/>
          <w:szCs w:val="20"/>
        </w:rPr>
        <w:t xml:space="preserve">Merikallio and Tapani Ruokanen, </w:t>
      </w:r>
      <w:r w:rsidRPr="0022694E">
        <w:rPr>
          <w:iCs/>
          <w:noProof/>
          <w:sz w:val="20"/>
          <w:szCs w:val="20"/>
        </w:rPr>
        <w:t>The Mediator: A Biography of Martti Ahtisaari (</w:t>
      </w:r>
      <w:r w:rsidRPr="0022694E">
        <w:rPr>
          <w:noProof/>
          <w:sz w:val="20"/>
          <w:szCs w:val="20"/>
        </w:rPr>
        <w:t xml:space="preserve">London: Hurst, 2015), p. 302. </w:t>
      </w:r>
    </w:p>
  </w:footnote>
  <w:footnote w:id="105">
    <w:p w14:paraId="6E9AF908" w14:textId="77777777" w:rsidR="00A45729" w:rsidRPr="0022694E" w:rsidRDefault="00A45729" w:rsidP="00EA75A0">
      <w:pPr>
        <w:pStyle w:val="NoSpacing"/>
        <w:rPr>
          <w:sz w:val="20"/>
          <w:szCs w:val="20"/>
        </w:rPr>
      </w:pPr>
      <w:r w:rsidRPr="0022694E">
        <w:rPr>
          <w:rStyle w:val="FootnoteReference"/>
          <w:sz w:val="20"/>
          <w:szCs w:val="20"/>
        </w:rPr>
        <w:footnoteRef/>
      </w:r>
      <w:r w:rsidRPr="0022694E">
        <w:rPr>
          <w:sz w:val="20"/>
          <w:szCs w:val="20"/>
        </w:rPr>
        <w:t xml:space="preserve"> Faisal </w:t>
      </w:r>
      <w:r w:rsidRPr="0022694E">
        <w:rPr>
          <w:noProof/>
          <w:sz w:val="20"/>
          <w:szCs w:val="20"/>
        </w:rPr>
        <w:t xml:space="preserve">Hadi, ‘Human Rights and Injustice in Aceh: the long and winding road,’ in Aguswandi and Judith Large (eds.) </w:t>
      </w:r>
      <w:r w:rsidRPr="0022694E">
        <w:rPr>
          <w:iCs/>
          <w:noProof/>
          <w:sz w:val="20"/>
          <w:szCs w:val="20"/>
        </w:rPr>
        <w:t>Reconfiguring politics: The Indonesia-Aceh peace process (</w:t>
      </w:r>
      <w:r w:rsidRPr="0022694E">
        <w:rPr>
          <w:noProof/>
          <w:sz w:val="20"/>
          <w:szCs w:val="20"/>
        </w:rPr>
        <w:t>London: Conciliation Resources, 2008).</w:t>
      </w:r>
    </w:p>
  </w:footnote>
  <w:footnote w:id="106">
    <w:p w14:paraId="6F7BEECA" w14:textId="35C6713D" w:rsidR="00A45729" w:rsidRDefault="00A45729" w:rsidP="007060C7">
      <w:pPr>
        <w:pStyle w:val="FootnoteText"/>
      </w:pPr>
      <w:r w:rsidRPr="007060C7">
        <w:rPr>
          <w:rStyle w:val="FootnoteReference"/>
        </w:rPr>
        <w:footnoteRef/>
      </w:r>
      <w:r w:rsidRPr="007060C7">
        <w:t xml:space="preserve"> Freedom House, Freedom in the World Data and Resources (2018).</w:t>
      </w:r>
      <w:r>
        <w:t xml:space="preserve"> </w:t>
      </w:r>
    </w:p>
  </w:footnote>
  <w:footnote w:id="107">
    <w:p w14:paraId="2C3ABB18"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Joshi, Le</w:t>
      </w:r>
      <w:r>
        <w:rPr>
          <w:sz w:val="20"/>
          <w:szCs w:val="20"/>
        </w:rPr>
        <w:t>e and</w:t>
      </w:r>
      <w:r w:rsidRPr="001E30D5">
        <w:rPr>
          <w:sz w:val="20"/>
          <w:szCs w:val="20"/>
        </w:rPr>
        <w:t xml:space="preserve"> Mac Ginty (2014) p. 377</w:t>
      </w:r>
      <w:r>
        <w:rPr>
          <w:sz w:val="20"/>
          <w:szCs w:val="20"/>
        </w:rPr>
        <w:t>.</w:t>
      </w:r>
    </w:p>
  </w:footnote>
  <w:footnote w:id="108">
    <w:p w14:paraId="6428477B" w14:textId="5D53AC21"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00C90DEA">
        <w:rPr>
          <w:noProof/>
          <w:sz w:val="20"/>
          <w:szCs w:val="20"/>
        </w:rPr>
        <w:t>Peace Accords Matrix (2019</w:t>
      </w:r>
      <w:r w:rsidRPr="001E30D5">
        <w:rPr>
          <w:noProof/>
          <w:sz w:val="20"/>
          <w:szCs w:val="20"/>
        </w:rPr>
        <w:t>)</w:t>
      </w:r>
      <w:r w:rsidRPr="001E30D5">
        <w:rPr>
          <w:sz w:val="20"/>
          <w:szCs w:val="20"/>
        </w:rPr>
        <w:t>.</w:t>
      </w:r>
    </w:p>
  </w:footnote>
  <w:footnote w:id="109">
    <w:p w14:paraId="784B29A0"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Ibid. </w:t>
      </w:r>
    </w:p>
  </w:footnote>
  <w:footnote w:id="110">
    <w:p w14:paraId="7688C733"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Hadi (2008)</w:t>
      </w:r>
      <w:r>
        <w:rPr>
          <w:sz w:val="20"/>
          <w:szCs w:val="20"/>
        </w:rPr>
        <w:t>.</w:t>
      </w:r>
    </w:p>
  </w:footnote>
  <w:footnote w:id="111">
    <w:p w14:paraId="784ED4E7"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Bell (2000) p. 227</w:t>
      </w:r>
      <w:r w:rsidRPr="001E30D5">
        <w:rPr>
          <w:sz w:val="20"/>
          <w:szCs w:val="20"/>
        </w:rPr>
        <w:t>.</w:t>
      </w:r>
    </w:p>
  </w:footnote>
  <w:footnote w:id="112">
    <w:p w14:paraId="034A98FC" w14:textId="01E14302" w:rsidR="00A45729" w:rsidRDefault="00A45729">
      <w:pPr>
        <w:pStyle w:val="FootnoteText"/>
      </w:pPr>
      <w:r>
        <w:rPr>
          <w:rStyle w:val="FootnoteReference"/>
        </w:rPr>
        <w:footnoteRef/>
      </w:r>
      <w:r w:rsidR="00C90DEA">
        <w:t xml:space="preserve"> Peace Accords Matrix (2019</w:t>
      </w:r>
      <w:r>
        <w:t xml:space="preserve">). </w:t>
      </w:r>
    </w:p>
  </w:footnote>
  <w:footnote w:id="113">
    <w:p w14:paraId="1DAE5F71" w14:textId="4864A77B" w:rsidR="00A45729" w:rsidRPr="001E30D5" w:rsidRDefault="00A45729" w:rsidP="00351479">
      <w:pPr>
        <w:pStyle w:val="NoSpacing"/>
        <w:rPr>
          <w:sz w:val="20"/>
          <w:szCs w:val="20"/>
        </w:rPr>
      </w:pPr>
      <w:r w:rsidRPr="001E30D5">
        <w:rPr>
          <w:rStyle w:val="FootnoteReference"/>
          <w:sz w:val="20"/>
          <w:szCs w:val="20"/>
        </w:rPr>
        <w:footnoteRef/>
      </w:r>
      <w:r w:rsidRPr="001E30D5">
        <w:rPr>
          <w:sz w:val="20"/>
          <w:szCs w:val="20"/>
        </w:rPr>
        <w:t xml:space="preserve"> </w:t>
      </w:r>
      <w:r w:rsidRPr="001E30D5">
        <w:rPr>
          <w:noProof/>
          <w:sz w:val="20"/>
          <w:szCs w:val="20"/>
        </w:rPr>
        <w:t>Amnesty International</w:t>
      </w:r>
      <w:r>
        <w:rPr>
          <w:noProof/>
          <w:sz w:val="20"/>
          <w:szCs w:val="20"/>
        </w:rPr>
        <w:t>, ‘</w:t>
      </w:r>
      <w:r w:rsidRPr="001E30D5">
        <w:rPr>
          <w:noProof/>
          <w:sz w:val="20"/>
          <w:szCs w:val="20"/>
        </w:rPr>
        <w:t xml:space="preserve">Indonesia: Victims of the Aceh conflict still </w:t>
      </w:r>
      <w:r>
        <w:rPr>
          <w:noProof/>
          <w:sz w:val="20"/>
          <w:szCs w:val="20"/>
        </w:rPr>
        <w:t>waiting for tr</w:t>
      </w:r>
      <w:r w:rsidRPr="001E30D5">
        <w:rPr>
          <w:noProof/>
          <w:sz w:val="20"/>
          <w:szCs w:val="20"/>
        </w:rPr>
        <w:t>uth, justice and reparation</w:t>
      </w:r>
      <w:r>
        <w:rPr>
          <w:noProof/>
          <w:sz w:val="20"/>
          <w:szCs w:val="20"/>
        </w:rPr>
        <w:t>’ (London, 2013),</w:t>
      </w:r>
      <w:r w:rsidRPr="001E30D5">
        <w:rPr>
          <w:noProof/>
          <w:sz w:val="20"/>
          <w:szCs w:val="20"/>
        </w:rPr>
        <w:t xml:space="preserve"> </w:t>
      </w:r>
      <w:r w:rsidR="00C90DEA">
        <w:rPr>
          <w:noProof/>
          <w:sz w:val="20"/>
          <w:szCs w:val="20"/>
        </w:rPr>
        <w:t>available at {</w:t>
      </w:r>
      <w:r w:rsidRPr="001E30D5">
        <w:rPr>
          <w:noProof/>
          <w:sz w:val="20"/>
          <w:szCs w:val="20"/>
        </w:rPr>
        <w:t>https://www.amnesty.org/en/latest/news/2013/04/indonesia-victims-aceh-conflict-still-waiting-truth-justice-and-reparation/</w:t>
      </w:r>
      <w:r w:rsidR="00C90DEA">
        <w:rPr>
          <w:noProof/>
          <w:sz w:val="20"/>
          <w:szCs w:val="20"/>
        </w:rPr>
        <w:t>} last accessed 24 January 2019}</w:t>
      </w:r>
      <w:r w:rsidRPr="001E30D5">
        <w:rPr>
          <w:noProof/>
          <w:sz w:val="20"/>
          <w:szCs w:val="20"/>
        </w:rPr>
        <w:t>; Hadi (2008).</w:t>
      </w:r>
    </w:p>
  </w:footnote>
  <w:footnote w:id="114">
    <w:p w14:paraId="0A605A97" w14:textId="309FE827" w:rsidR="00A45729" w:rsidRDefault="00A45729">
      <w:pPr>
        <w:pStyle w:val="FootnoteText"/>
      </w:pPr>
      <w:r>
        <w:rPr>
          <w:rStyle w:val="FootnoteReference"/>
        </w:rPr>
        <w:footnoteRef/>
      </w:r>
      <w:r>
        <w:t xml:space="preserve"> General amnesty is included in 5/15 of the territorial agreements and in 5/14 of the non-territorial agreements. Retributive justice, e.g. in the form of war crimes tribunal is very rarely included. In fact, it is explicitly included in only one territorial agreement and one non-territorial agreement, while a couple of agreements in each group mention the possibility of such a process. </w:t>
      </w:r>
    </w:p>
  </w:footnote>
  <w:footnote w:id="115">
    <w:p w14:paraId="25440FFE" w14:textId="77777777" w:rsidR="00A45729" w:rsidRDefault="00A45729" w:rsidP="00F75124">
      <w:pPr>
        <w:pStyle w:val="FootnoteText"/>
      </w:pPr>
      <w:r w:rsidRPr="00B20E70">
        <w:rPr>
          <w:rStyle w:val="FootnoteReference"/>
        </w:rPr>
        <w:footnoteRef/>
      </w:r>
      <w:r w:rsidRPr="00B20E70">
        <w:t xml:space="preserve"> Bell (2017), p. 54</w:t>
      </w:r>
      <w:r>
        <w:t>.</w:t>
      </w:r>
    </w:p>
  </w:footnote>
  <w:footnote w:id="116">
    <w:p w14:paraId="3C2DE0E3" w14:textId="064AFD77" w:rsidR="00A45729" w:rsidRPr="00B63569" w:rsidRDefault="00A45729" w:rsidP="008E3759">
      <w:pPr>
        <w:pStyle w:val="FootnoteText"/>
      </w:pPr>
      <w:r>
        <w:rPr>
          <w:rStyle w:val="FootnoteReference"/>
        </w:rPr>
        <w:footnoteRef/>
      </w:r>
      <w:r>
        <w:t xml:space="preserve"> See e.g. Caroline Hartzell and </w:t>
      </w:r>
      <w:r w:rsidRPr="00B63569">
        <w:t>Matthew Hoddie</w:t>
      </w:r>
      <w:r>
        <w:t xml:space="preserve">, </w:t>
      </w:r>
      <w:r w:rsidRPr="00B63569">
        <w:t>Institutionalizing Peace: Power Sharing and Post‐Civil War Conflict Management</w:t>
      </w:r>
      <w:r>
        <w:t xml:space="preserve">,’ American Journal of Political Science, 47: 2 (2003); Michaela Mattes and </w:t>
      </w:r>
      <w:r w:rsidRPr="00B63569">
        <w:t>Burcu Savun</w:t>
      </w:r>
      <w:r>
        <w:t>, ‘</w:t>
      </w:r>
      <w:r w:rsidRPr="00B63569">
        <w:t>Fostering Peace After Civil War: Commitment Problems and Agreement Design</w:t>
      </w:r>
      <w:r>
        <w:t xml:space="preserve">,’ </w:t>
      </w:r>
      <w:r w:rsidRPr="001131D6">
        <w:t>International Studies Quarterly</w:t>
      </w:r>
      <w:r>
        <w:rPr>
          <w:i/>
        </w:rPr>
        <w:t xml:space="preserve">, </w:t>
      </w:r>
      <w:r>
        <w:t xml:space="preserve">53: 3 (2009). </w:t>
      </w:r>
    </w:p>
  </w:footnote>
  <w:footnote w:id="117">
    <w:p w14:paraId="47194738" w14:textId="13A5F61B" w:rsidR="00A45729" w:rsidRDefault="00A45729" w:rsidP="008E3759">
      <w:pPr>
        <w:pStyle w:val="FootnoteText"/>
      </w:pPr>
      <w:r>
        <w:rPr>
          <w:rStyle w:val="FootnoteReference"/>
        </w:rPr>
        <w:footnoteRef/>
      </w:r>
      <w:r>
        <w:t xml:space="preserve"> </w:t>
      </w:r>
      <w:r w:rsidRPr="006107A3">
        <w:t>Badran</w:t>
      </w:r>
      <w:r>
        <w:t xml:space="preserve"> (2014), p. 204. </w:t>
      </w:r>
    </w:p>
  </w:footnote>
  <w:footnote w:id="118">
    <w:p w14:paraId="2FCE189F" w14:textId="4D769DBC" w:rsidR="00A45729" w:rsidRDefault="00A45729" w:rsidP="008E3759">
      <w:pPr>
        <w:pStyle w:val="FootnoteText"/>
      </w:pPr>
      <w:r>
        <w:rPr>
          <w:rStyle w:val="FootnoteReference"/>
        </w:rPr>
        <w:footnoteRef/>
      </w:r>
      <w:r>
        <w:t xml:space="preserve"> Barbara F. Walter, ‘Conflict Relapse and the Sustainability of Post-Conflict Peace’ Word Development report (Washington DC: World Bank, 2010).  </w:t>
      </w:r>
    </w:p>
  </w:footnote>
  <w:footnote w:id="119">
    <w:p w14:paraId="1093471C" w14:textId="4C1313A7" w:rsidR="00A45729" w:rsidRDefault="00A45729" w:rsidP="008E3759">
      <w:pPr>
        <w:pStyle w:val="FootnoteText"/>
      </w:pPr>
      <w:r>
        <w:rPr>
          <w:rStyle w:val="FootnoteReference"/>
        </w:rPr>
        <w:footnoteRef/>
      </w:r>
      <w:r>
        <w:t xml:space="preserve"> Desirée Nilsson, ‘</w:t>
      </w:r>
      <w:r w:rsidRPr="006107A3">
        <w:t>Anchoring the Peace: Civil Society Actors in Peace Accords and Durable Peace</w:t>
      </w:r>
      <w:r>
        <w:t>,’</w:t>
      </w:r>
      <w:r w:rsidRPr="006107A3">
        <w:t xml:space="preserve"> </w:t>
      </w:r>
      <w:r w:rsidRPr="001131D6">
        <w:t>International Interactions</w:t>
      </w:r>
      <w:r w:rsidRPr="006107A3">
        <w:t xml:space="preserve">, </w:t>
      </w:r>
      <w:r>
        <w:t xml:space="preserve">38: </w:t>
      </w:r>
      <w:r w:rsidRPr="006107A3">
        <w:t>2</w:t>
      </w:r>
      <w:r>
        <w:t xml:space="preserve"> (2012). </w:t>
      </w:r>
    </w:p>
  </w:footnote>
  <w:footnote w:id="120">
    <w:p w14:paraId="459029A6" w14:textId="77777777" w:rsidR="00A45729" w:rsidRPr="001E30D5" w:rsidRDefault="00A45729" w:rsidP="00351479">
      <w:pPr>
        <w:pStyle w:val="NoSpacing"/>
        <w:rPr>
          <w:sz w:val="20"/>
          <w:szCs w:val="20"/>
        </w:rPr>
      </w:pPr>
      <w:r w:rsidRPr="001E30D5">
        <w:rPr>
          <w:rStyle w:val="FootnoteReference"/>
          <w:sz w:val="20"/>
          <w:szCs w:val="20"/>
        </w:rPr>
        <w:footnoteRef/>
      </w:r>
      <w:r w:rsidRPr="001E30D5">
        <w:rPr>
          <w:sz w:val="20"/>
          <w:szCs w:val="20"/>
        </w:rPr>
        <w:t xml:space="preserve"> Mohsin (2003), p</w:t>
      </w:r>
      <w:r>
        <w:rPr>
          <w:sz w:val="20"/>
          <w:szCs w:val="20"/>
        </w:rPr>
        <w:t>p</w:t>
      </w:r>
      <w:r w:rsidRPr="001E30D5">
        <w:rPr>
          <w:sz w:val="20"/>
          <w:szCs w:val="20"/>
        </w:rPr>
        <w:t xml:space="preserve">. 54-55. </w:t>
      </w:r>
    </w:p>
  </w:footnote>
  <w:footnote w:id="121">
    <w:p w14:paraId="469AAD9B" w14:textId="77777777" w:rsidR="00A45729" w:rsidRPr="0022694E" w:rsidRDefault="00A45729" w:rsidP="00351479">
      <w:pPr>
        <w:pStyle w:val="NoSpacing"/>
        <w:rPr>
          <w:sz w:val="20"/>
          <w:szCs w:val="20"/>
        </w:rPr>
      </w:pPr>
      <w:r w:rsidRPr="0022694E">
        <w:rPr>
          <w:rStyle w:val="FootnoteReference"/>
          <w:sz w:val="20"/>
          <w:szCs w:val="20"/>
        </w:rPr>
        <w:footnoteRef/>
      </w:r>
      <w:r w:rsidRPr="0022694E">
        <w:rPr>
          <w:sz w:val="20"/>
          <w:szCs w:val="20"/>
        </w:rPr>
        <w:t xml:space="preserve"> </w:t>
      </w:r>
      <w:r w:rsidRPr="0022694E">
        <w:rPr>
          <w:noProof/>
          <w:sz w:val="20"/>
          <w:szCs w:val="20"/>
        </w:rPr>
        <w:t>Mikkelsen (2015) p</w:t>
      </w:r>
      <w:r>
        <w:rPr>
          <w:noProof/>
          <w:sz w:val="20"/>
          <w:szCs w:val="20"/>
        </w:rPr>
        <w:t>p</w:t>
      </w:r>
      <w:r w:rsidRPr="0022694E">
        <w:rPr>
          <w:noProof/>
          <w:sz w:val="20"/>
          <w:szCs w:val="20"/>
        </w:rPr>
        <w:t xml:space="preserve">. 315-316; Cæcilie Mikkelsen, </w:t>
      </w:r>
      <w:r w:rsidRPr="0022694E">
        <w:rPr>
          <w:iCs/>
          <w:noProof/>
          <w:sz w:val="20"/>
          <w:szCs w:val="20"/>
        </w:rPr>
        <w:t>The Indigenous World 2009 (</w:t>
      </w:r>
      <w:r w:rsidRPr="0022694E">
        <w:rPr>
          <w:noProof/>
          <w:sz w:val="20"/>
          <w:szCs w:val="20"/>
        </w:rPr>
        <w:t xml:space="preserve">Copenhagen: International Work Group for Indigenous Affairs, 2009), p. 380; Virginia P. Fortna, </w:t>
      </w:r>
      <w:r w:rsidRPr="0022694E">
        <w:rPr>
          <w:iCs/>
          <w:noProof/>
          <w:sz w:val="20"/>
          <w:szCs w:val="20"/>
        </w:rPr>
        <w:t>Does Peacekeeping Work? Shaping Belligerents Choices after Civil War (</w:t>
      </w:r>
      <w:r w:rsidRPr="0022694E">
        <w:rPr>
          <w:noProof/>
          <w:sz w:val="20"/>
          <w:szCs w:val="20"/>
        </w:rPr>
        <w:t xml:space="preserve">Princeton: Princeton University Press, 2008), p. 134. </w:t>
      </w:r>
    </w:p>
  </w:footnote>
  <w:footnote w:id="122">
    <w:p w14:paraId="5FDBA0C9" w14:textId="77777777" w:rsidR="00A45729" w:rsidRPr="001E30D5" w:rsidRDefault="00A45729" w:rsidP="001E30D5">
      <w:pPr>
        <w:pStyle w:val="NoSpacing"/>
      </w:pPr>
      <w:r w:rsidRPr="001E30D5">
        <w:rPr>
          <w:rStyle w:val="FootnoteReference"/>
          <w:sz w:val="20"/>
          <w:szCs w:val="20"/>
        </w:rPr>
        <w:footnoteRef/>
      </w:r>
      <w:r w:rsidRPr="001E30D5">
        <w:rPr>
          <w:sz w:val="20"/>
          <w:szCs w:val="20"/>
        </w:rPr>
        <w:t xml:space="preserve"> See e.g. Joshi, Le</w:t>
      </w:r>
      <w:r>
        <w:rPr>
          <w:sz w:val="20"/>
          <w:szCs w:val="20"/>
        </w:rPr>
        <w:t xml:space="preserve">e and </w:t>
      </w:r>
      <w:r w:rsidRPr="001E30D5">
        <w:rPr>
          <w:sz w:val="20"/>
          <w:szCs w:val="20"/>
        </w:rPr>
        <w:t>Mac Ginty (2014); Selb</w:t>
      </w:r>
      <w:r w:rsidRPr="001E30D5">
        <w:t>y (2013).</w:t>
      </w:r>
    </w:p>
  </w:footnote>
  <w:footnote w:id="123">
    <w:p w14:paraId="07B4236E"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Bell (2008). </w:t>
      </w:r>
    </w:p>
  </w:footnote>
  <w:footnote w:id="124">
    <w:p w14:paraId="24BFE65D" w14:textId="77777777" w:rsidR="00A45729" w:rsidRPr="001E30D5" w:rsidRDefault="00A45729" w:rsidP="001E30D5">
      <w:pPr>
        <w:pStyle w:val="NoSpacing"/>
        <w:rPr>
          <w:sz w:val="20"/>
          <w:szCs w:val="20"/>
        </w:rPr>
      </w:pPr>
      <w:r w:rsidRPr="001E30D5">
        <w:rPr>
          <w:rStyle w:val="FootnoteReference"/>
          <w:sz w:val="20"/>
          <w:szCs w:val="20"/>
        </w:rPr>
        <w:footnoteRef/>
      </w:r>
      <w:r w:rsidRPr="001E30D5">
        <w:rPr>
          <w:sz w:val="20"/>
          <w:szCs w:val="20"/>
        </w:rPr>
        <w:t xml:space="preserve"> See e.g. Wolff (2011).</w:t>
      </w:r>
    </w:p>
  </w:footnote>
  <w:footnote w:id="125">
    <w:p w14:paraId="70F5487C" w14:textId="77777777" w:rsidR="00A45729" w:rsidRPr="006D4066" w:rsidRDefault="00A45729" w:rsidP="001E30D5">
      <w:pPr>
        <w:pStyle w:val="NoSpacing"/>
        <w:rPr>
          <w:noProof/>
          <w:sz w:val="20"/>
          <w:szCs w:val="20"/>
        </w:rPr>
      </w:pPr>
      <w:r w:rsidRPr="006D4066">
        <w:rPr>
          <w:rStyle w:val="FootnoteReference"/>
          <w:sz w:val="20"/>
          <w:szCs w:val="20"/>
        </w:rPr>
        <w:footnoteRef/>
      </w:r>
      <w:r w:rsidRPr="006D4066">
        <w:rPr>
          <w:sz w:val="20"/>
          <w:szCs w:val="20"/>
        </w:rPr>
        <w:t xml:space="preserve"> Neil </w:t>
      </w:r>
      <w:r w:rsidRPr="006D4066">
        <w:rPr>
          <w:noProof/>
          <w:sz w:val="20"/>
          <w:szCs w:val="20"/>
        </w:rPr>
        <w:t xml:space="preserve">Cooper, Mandy Turner and Michael Pugh, ‘The End of History and the Last Liberal Peacebuilder: A Reply to Roland Paris’, </w:t>
      </w:r>
      <w:r w:rsidRPr="006D4066">
        <w:rPr>
          <w:iCs/>
          <w:noProof/>
          <w:sz w:val="20"/>
          <w:szCs w:val="20"/>
        </w:rPr>
        <w:t xml:space="preserve">Review of International Studies, </w:t>
      </w:r>
      <w:r w:rsidRPr="006D4066">
        <w:rPr>
          <w:noProof/>
          <w:sz w:val="20"/>
          <w:szCs w:val="20"/>
        </w:rPr>
        <w:t>37: 4 (2011), pp. 1997-</w:t>
      </w:r>
      <w:r>
        <w:rPr>
          <w:noProof/>
          <w:sz w:val="20"/>
          <w:szCs w:val="20"/>
        </w:rPr>
        <w:t>199</w:t>
      </w:r>
      <w:r w:rsidRPr="006D4066">
        <w:rPr>
          <w:noProof/>
          <w:sz w:val="20"/>
          <w:szCs w:val="20"/>
        </w:rPr>
        <w:t xml:space="preserve">8. </w:t>
      </w:r>
    </w:p>
    <w:p w14:paraId="0CEAC0ED" w14:textId="77777777" w:rsidR="00A45729" w:rsidRDefault="00A4572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E7F"/>
    <w:multiLevelType w:val="hybridMultilevel"/>
    <w:tmpl w:val="9AAC2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825DF"/>
    <w:multiLevelType w:val="hybridMultilevel"/>
    <w:tmpl w:val="9CD8A74C"/>
    <w:lvl w:ilvl="0" w:tplc="9502E5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475F7"/>
    <w:multiLevelType w:val="hybridMultilevel"/>
    <w:tmpl w:val="ED58F710"/>
    <w:lvl w:ilvl="0" w:tplc="BEBCE62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D3009"/>
    <w:multiLevelType w:val="hybridMultilevel"/>
    <w:tmpl w:val="EC36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312E1"/>
    <w:multiLevelType w:val="hybridMultilevel"/>
    <w:tmpl w:val="D2908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EE324D"/>
    <w:multiLevelType w:val="hybridMultilevel"/>
    <w:tmpl w:val="C0C861FE"/>
    <w:lvl w:ilvl="0" w:tplc="AE36046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92C26"/>
    <w:multiLevelType w:val="hybridMultilevel"/>
    <w:tmpl w:val="3BE647EA"/>
    <w:lvl w:ilvl="0" w:tplc="42EE0CC4">
      <w:start w:val="5"/>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4425B"/>
    <w:multiLevelType w:val="hybridMultilevel"/>
    <w:tmpl w:val="788C2896"/>
    <w:lvl w:ilvl="0" w:tplc="8312E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90438"/>
    <w:multiLevelType w:val="hybridMultilevel"/>
    <w:tmpl w:val="B91E6C40"/>
    <w:lvl w:ilvl="0" w:tplc="944CC13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33D2"/>
    <w:multiLevelType w:val="hybridMultilevel"/>
    <w:tmpl w:val="BAFC0A2C"/>
    <w:lvl w:ilvl="0" w:tplc="94AE78F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96680"/>
    <w:multiLevelType w:val="hybridMultilevel"/>
    <w:tmpl w:val="9CE0C7F6"/>
    <w:lvl w:ilvl="0" w:tplc="7FF4143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76"/>
    <w:rsid w:val="00003AA3"/>
    <w:rsid w:val="00005B89"/>
    <w:rsid w:val="000118FD"/>
    <w:rsid w:val="00012A77"/>
    <w:rsid w:val="00020908"/>
    <w:rsid w:val="00023C12"/>
    <w:rsid w:val="00024A7A"/>
    <w:rsid w:val="0002724F"/>
    <w:rsid w:val="00030501"/>
    <w:rsid w:val="000333E9"/>
    <w:rsid w:val="000335AE"/>
    <w:rsid w:val="000363D0"/>
    <w:rsid w:val="000409CE"/>
    <w:rsid w:val="00041B3D"/>
    <w:rsid w:val="00044B6F"/>
    <w:rsid w:val="00060CAA"/>
    <w:rsid w:val="00063E97"/>
    <w:rsid w:val="0007604A"/>
    <w:rsid w:val="0007675C"/>
    <w:rsid w:val="000767EB"/>
    <w:rsid w:val="0007759B"/>
    <w:rsid w:val="00081408"/>
    <w:rsid w:val="000850AE"/>
    <w:rsid w:val="00087F51"/>
    <w:rsid w:val="000905B8"/>
    <w:rsid w:val="000A627A"/>
    <w:rsid w:val="000B07D4"/>
    <w:rsid w:val="000B4C35"/>
    <w:rsid w:val="000B63C7"/>
    <w:rsid w:val="000B680B"/>
    <w:rsid w:val="000B6DD9"/>
    <w:rsid w:val="000B784D"/>
    <w:rsid w:val="000C5BEB"/>
    <w:rsid w:val="000C5C2C"/>
    <w:rsid w:val="000D2980"/>
    <w:rsid w:val="000D6045"/>
    <w:rsid w:val="000D7141"/>
    <w:rsid w:val="000D7C8B"/>
    <w:rsid w:val="000E3502"/>
    <w:rsid w:val="000E5FE9"/>
    <w:rsid w:val="00100385"/>
    <w:rsid w:val="001032B1"/>
    <w:rsid w:val="00111604"/>
    <w:rsid w:val="0011276A"/>
    <w:rsid w:val="001131D6"/>
    <w:rsid w:val="001132A5"/>
    <w:rsid w:val="00113CC2"/>
    <w:rsid w:val="00113D0E"/>
    <w:rsid w:val="00115ABC"/>
    <w:rsid w:val="00121D98"/>
    <w:rsid w:val="00124021"/>
    <w:rsid w:val="00126DF3"/>
    <w:rsid w:val="00127BCB"/>
    <w:rsid w:val="00131792"/>
    <w:rsid w:val="00132D0F"/>
    <w:rsid w:val="00134851"/>
    <w:rsid w:val="00137A80"/>
    <w:rsid w:val="0014229F"/>
    <w:rsid w:val="00142857"/>
    <w:rsid w:val="00146991"/>
    <w:rsid w:val="001469DF"/>
    <w:rsid w:val="0015047A"/>
    <w:rsid w:val="001526A4"/>
    <w:rsid w:val="00154038"/>
    <w:rsid w:val="00155496"/>
    <w:rsid w:val="0016371D"/>
    <w:rsid w:val="00165020"/>
    <w:rsid w:val="0016604C"/>
    <w:rsid w:val="001676E2"/>
    <w:rsid w:val="00170ED6"/>
    <w:rsid w:val="001723B8"/>
    <w:rsid w:val="00177329"/>
    <w:rsid w:val="001814C2"/>
    <w:rsid w:val="00182FB2"/>
    <w:rsid w:val="0018383F"/>
    <w:rsid w:val="00186779"/>
    <w:rsid w:val="001876D7"/>
    <w:rsid w:val="001908A5"/>
    <w:rsid w:val="001958ED"/>
    <w:rsid w:val="00197D19"/>
    <w:rsid w:val="00197E6A"/>
    <w:rsid w:val="001A087A"/>
    <w:rsid w:val="001A2093"/>
    <w:rsid w:val="001A4479"/>
    <w:rsid w:val="001B1CFF"/>
    <w:rsid w:val="001B76D9"/>
    <w:rsid w:val="001C1C30"/>
    <w:rsid w:val="001C2356"/>
    <w:rsid w:val="001C5917"/>
    <w:rsid w:val="001C5BBD"/>
    <w:rsid w:val="001C5F4F"/>
    <w:rsid w:val="001D28E3"/>
    <w:rsid w:val="001D2C83"/>
    <w:rsid w:val="001D69FE"/>
    <w:rsid w:val="001D73A5"/>
    <w:rsid w:val="001E0EDA"/>
    <w:rsid w:val="001E30D5"/>
    <w:rsid w:val="001E4046"/>
    <w:rsid w:val="001F1445"/>
    <w:rsid w:val="00201202"/>
    <w:rsid w:val="00203096"/>
    <w:rsid w:val="0020712C"/>
    <w:rsid w:val="0020777D"/>
    <w:rsid w:val="00207D9D"/>
    <w:rsid w:val="00216047"/>
    <w:rsid w:val="0022143C"/>
    <w:rsid w:val="00221C90"/>
    <w:rsid w:val="00222A4F"/>
    <w:rsid w:val="00224C99"/>
    <w:rsid w:val="002257D8"/>
    <w:rsid w:val="002257E0"/>
    <w:rsid w:val="0022694E"/>
    <w:rsid w:val="00230AA7"/>
    <w:rsid w:val="00233B71"/>
    <w:rsid w:val="00234845"/>
    <w:rsid w:val="00234CED"/>
    <w:rsid w:val="002366A4"/>
    <w:rsid w:val="00241A0B"/>
    <w:rsid w:val="00241D28"/>
    <w:rsid w:val="002434B3"/>
    <w:rsid w:val="002456B1"/>
    <w:rsid w:val="00247CA1"/>
    <w:rsid w:val="0025158D"/>
    <w:rsid w:val="0025249D"/>
    <w:rsid w:val="0025352A"/>
    <w:rsid w:val="00253FF3"/>
    <w:rsid w:val="00260732"/>
    <w:rsid w:val="00267A7E"/>
    <w:rsid w:val="002742E5"/>
    <w:rsid w:val="00276455"/>
    <w:rsid w:val="002766C6"/>
    <w:rsid w:val="00280292"/>
    <w:rsid w:val="00284609"/>
    <w:rsid w:val="00286CAE"/>
    <w:rsid w:val="00291232"/>
    <w:rsid w:val="00292B79"/>
    <w:rsid w:val="002A66D8"/>
    <w:rsid w:val="002B140E"/>
    <w:rsid w:val="002B173E"/>
    <w:rsid w:val="002B1904"/>
    <w:rsid w:val="002B3F15"/>
    <w:rsid w:val="002B4776"/>
    <w:rsid w:val="002C315B"/>
    <w:rsid w:val="002D263E"/>
    <w:rsid w:val="002D2B84"/>
    <w:rsid w:val="002E1817"/>
    <w:rsid w:val="002E60AF"/>
    <w:rsid w:val="002F28B8"/>
    <w:rsid w:val="002F3B42"/>
    <w:rsid w:val="002F4DA6"/>
    <w:rsid w:val="00302AB3"/>
    <w:rsid w:val="00312404"/>
    <w:rsid w:val="00312CB2"/>
    <w:rsid w:val="00313C77"/>
    <w:rsid w:val="00314ED8"/>
    <w:rsid w:val="00321E99"/>
    <w:rsid w:val="00323F57"/>
    <w:rsid w:val="0032676D"/>
    <w:rsid w:val="00330EE5"/>
    <w:rsid w:val="003345B6"/>
    <w:rsid w:val="00334E34"/>
    <w:rsid w:val="0033529A"/>
    <w:rsid w:val="0034083E"/>
    <w:rsid w:val="00341FFA"/>
    <w:rsid w:val="00343028"/>
    <w:rsid w:val="003446E9"/>
    <w:rsid w:val="00345556"/>
    <w:rsid w:val="0034707A"/>
    <w:rsid w:val="00347D44"/>
    <w:rsid w:val="00351479"/>
    <w:rsid w:val="00352328"/>
    <w:rsid w:val="00356F76"/>
    <w:rsid w:val="00357FB0"/>
    <w:rsid w:val="00365E3B"/>
    <w:rsid w:val="00367DFC"/>
    <w:rsid w:val="00373347"/>
    <w:rsid w:val="003737C4"/>
    <w:rsid w:val="00373BB8"/>
    <w:rsid w:val="003769BD"/>
    <w:rsid w:val="00377472"/>
    <w:rsid w:val="00385D38"/>
    <w:rsid w:val="00391501"/>
    <w:rsid w:val="00396FBD"/>
    <w:rsid w:val="00397433"/>
    <w:rsid w:val="003A3183"/>
    <w:rsid w:val="003B6CFD"/>
    <w:rsid w:val="003C048E"/>
    <w:rsid w:val="003C3265"/>
    <w:rsid w:val="003C7F0C"/>
    <w:rsid w:val="003D0C07"/>
    <w:rsid w:val="003D30F7"/>
    <w:rsid w:val="003D3B52"/>
    <w:rsid w:val="003D42D2"/>
    <w:rsid w:val="003D6849"/>
    <w:rsid w:val="003D6993"/>
    <w:rsid w:val="003E0BFE"/>
    <w:rsid w:val="003E3691"/>
    <w:rsid w:val="003E5616"/>
    <w:rsid w:val="003E5A6D"/>
    <w:rsid w:val="003F05E1"/>
    <w:rsid w:val="003F24CF"/>
    <w:rsid w:val="003F2E51"/>
    <w:rsid w:val="003F36DE"/>
    <w:rsid w:val="003F7F09"/>
    <w:rsid w:val="003F7FF0"/>
    <w:rsid w:val="00400643"/>
    <w:rsid w:val="00406B09"/>
    <w:rsid w:val="00407B1F"/>
    <w:rsid w:val="004109DB"/>
    <w:rsid w:val="004212E1"/>
    <w:rsid w:val="00425D0A"/>
    <w:rsid w:val="00427BD2"/>
    <w:rsid w:val="0043049B"/>
    <w:rsid w:val="00430ABD"/>
    <w:rsid w:val="004327EE"/>
    <w:rsid w:val="004360EB"/>
    <w:rsid w:val="0044001E"/>
    <w:rsid w:val="00444B47"/>
    <w:rsid w:val="004458CD"/>
    <w:rsid w:val="00460822"/>
    <w:rsid w:val="0046135B"/>
    <w:rsid w:val="004645F3"/>
    <w:rsid w:val="0046586E"/>
    <w:rsid w:val="00466673"/>
    <w:rsid w:val="004666D5"/>
    <w:rsid w:val="004671B5"/>
    <w:rsid w:val="00480616"/>
    <w:rsid w:val="00480875"/>
    <w:rsid w:val="00486080"/>
    <w:rsid w:val="00493BA6"/>
    <w:rsid w:val="00494934"/>
    <w:rsid w:val="004975C2"/>
    <w:rsid w:val="004A0D4A"/>
    <w:rsid w:val="004A1AA3"/>
    <w:rsid w:val="004A2819"/>
    <w:rsid w:val="004A2F5A"/>
    <w:rsid w:val="004A31D0"/>
    <w:rsid w:val="004A3A09"/>
    <w:rsid w:val="004A47F7"/>
    <w:rsid w:val="004B0467"/>
    <w:rsid w:val="004B4DC0"/>
    <w:rsid w:val="004B62F0"/>
    <w:rsid w:val="004B690E"/>
    <w:rsid w:val="004B7351"/>
    <w:rsid w:val="004C7C75"/>
    <w:rsid w:val="004D0BD8"/>
    <w:rsid w:val="004D1832"/>
    <w:rsid w:val="004D2193"/>
    <w:rsid w:val="004D24CC"/>
    <w:rsid w:val="004D546A"/>
    <w:rsid w:val="004E06F2"/>
    <w:rsid w:val="004E1C05"/>
    <w:rsid w:val="004E2371"/>
    <w:rsid w:val="004E33B7"/>
    <w:rsid w:val="004E686C"/>
    <w:rsid w:val="004F5567"/>
    <w:rsid w:val="004F5975"/>
    <w:rsid w:val="004F6B06"/>
    <w:rsid w:val="00513671"/>
    <w:rsid w:val="00516DEF"/>
    <w:rsid w:val="00520E5D"/>
    <w:rsid w:val="0052349D"/>
    <w:rsid w:val="005245EB"/>
    <w:rsid w:val="005249CA"/>
    <w:rsid w:val="00526911"/>
    <w:rsid w:val="00530517"/>
    <w:rsid w:val="005306B2"/>
    <w:rsid w:val="0053760D"/>
    <w:rsid w:val="00543F41"/>
    <w:rsid w:val="00544663"/>
    <w:rsid w:val="00551214"/>
    <w:rsid w:val="005517B3"/>
    <w:rsid w:val="005537D8"/>
    <w:rsid w:val="0055450F"/>
    <w:rsid w:val="00554DB0"/>
    <w:rsid w:val="00557ABD"/>
    <w:rsid w:val="005756AD"/>
    <w:rsid w:val="00580AED"/>
    <w:rsid w:val="0058299C"/>
    <w:rsid w:val="0058392A"/>
    <w:rsid w:val="005850C7"/>
    <w:rsid w:val="0058520F"/>
    <w:rsid w:val="00586D19"/>
    <w:rsid w:val="0059017E"/>
    <w:rsid w:val="0059188E"/>
    <w:rsid w:val="00593A63"/>
    <w:rsid w:val="0059407F"/>
    <w:rsid w:val="00597003"/>
    <w:rsid w:val="005A05CF"/>
    <w:rsid w:val="005A2618"/>
    <w:rsid w:val="005A3A0E"/>
    <w:rsid w:val="005A3A41"/>
    <w:rsid w:val="005A4EFC"/>
    <w:rsid w:val="005A5540"/>
    <w:rsid w:val="005A7F7C"/>
    <w:rsid w:val="005B05F9"/>
    <w:rsid w:val="005B22A4"/>
    <w:rsid w:val="005B3DF7"/>
    <w:rsid w:val="005B434D"/>
    <w:rsid w:val="005B7376"/>
    <w:rsid w:val="005C24BB"/>
    <w:rsid w:val="005C6328"/>
    <w:rsid w:val="005C6C84"/>
    <w:rsid w:val="005C7F0F"/>
    <w:rsid w:val="005D00F0"/>
    <w:rsid w:val="005D13D2"/>
    <w:rsid w:val="005D16A2"/>
    <w:rsid w:val="005E5853"/>
    <w:rsid w:val="005E5AC8"/>
    <w:rsid w:val="005E699A"/>
    <w:rsid w:val="005E7691"/>
    <w:rsid w:val="005E7F75"/>
    <w:rsid w:val="005F2CE5"/>
    <w:rsid w:val="005F408A"/>
    <w:rsid w:val="005F48BC"/>
    <w:rsid w:val="005F6AD5"/>
    <w:rsid w:val="00601284"/>
    <w:rsid w:val="00604F83"/>
    <w:rsid w:val="006107A3"/>
    <w:rsid w:val="006202A3"/>
    <w:rsid w:val="00623C17"/>
    <w:rsid w:val="006258E9"/>
    <w:rsid w:val="0063202E"/>
    <w:rsid w:val="00633009"/>
    <w:rsid w:val="00633E1A"/>
    <w:rsid w:val="0063483A"/>
    <w:rsid w:val="0064350C"/>
    <w:rsid w:val="006515A1"/>
    <w:rsid w:val="00653F82"/>
    <w:rsid w:val="00654F6E"/>
    <w:rsid w:val="00656FBC"/>
    <w:rsid w:val="0066359F"/>
    <w:rsid w:val="00667321"/>
    <w:rsid w:val="006740EA"/>
    <w:rsid w:val="006809A3"/>
    <w:rsid w:val="00682380"/>
    <w:rsid w:val="00684A1D"/>
    <w:rsid w:val="00685629"/>
    <w:rsid w:val="00685736"/>
    <w:rsid w:val="00687C26"/>
    <w:rsid w:val="006957C6"/>
    <w:rsid w:val="006A35B9"/>
    <w:rsid w:val="006B1CBE"/>
    <w:rsid w:val="006B1D7B"/>
    <w:rsid w:val="006B2BE2"/>
    <w:rsid w:val="006B4715"/>
    <w:rsid w:val="006B5315"/>
    <w:rsid w:val="006C03BA"/>
    <w:rsid w:val="006C7145"/>
    <w:rsid w:val="006D0810"/>
    <w:rsid w:val="006D0F8B"/>
    <w:rsid w:val="006D2032"/>
    <w:rsid w:val="006D4066"/>
    <w:rsid w:val="006D5BD5"/>
    <w:rsid w:val="006D6D2A"/>
    <w:rsid w:val="006E2872"/>
    <w:rsid w:val="006E2FA1"/>
    <w:rsid w:val="006F3533"/>
    <w:rsid w:val="006F3CAB"/>
    <w:rsid w:val="006F5013"/>
    <w:rsid w:val="006F6DB9"/>
    <w:rsid w:val="00701515"/>
    <w:rsid w:val="0070394D"/>
    <w:rsid w:val="007060C7"/>
    <w:rsid w:val="00707DAE"/>
    <w:rsid w:val="00707F87"/>
    <w:rsid w:val="00713735"/>
    <w:rsid w:val="00713FC0"/>
    <w:rsid w:val="00717A6E"/>
    <w:rsid w:val="00721747"/>
    <w:rsid w:val="00721887"/>
    <w:rsid w:val="007220CE"/>
    <w:rsid w:val="00722A9D"/>
    <w:rsid w:val="00722CC6"/>
    <w:rsid w:val="007233B9"/>
    <w:rsid w:val="00734742"/>
    <w:rsid w:val="0073590F"/>
    <w:rsid w:val="007361D2"/>
    <w:rsid w:val="007366DB"/>
    <w:rsid w:val="00737C50"/>
    <w:rsid w:val="00743084"/>
    <w:rsid w:val="00744E88"/>
    <w:rsid w:val="0074684C"/>
    <w:rsid w:val="007504B7"/>
    <w:rsid w:val="007534CC"/>
    <w:rsid w:val="00754815"/>
    <w:rsid w:val="00754855"/>
    <w:rsid w:val="00754A7B"/>
    <w:rsid w:val="00757193"/>
    <w:rsid w:val="0076123A"/>
    <w:rsid w:val="00766796"/>
    <w:rsid w:val="00772AAB"/>
    <w:rsid w:val="00781E27"/>
    <w:rsid w:val="00782946"/>
    <w:rsid w:val="00782CBD"/>
    <w:rsid w:val="00791551"/>
    <w:rsid w:val="0079328B"/>
    <w:rsid w:val="007A2982"/>
    <w:rsid w:val="007A3B1E"/>
    <w:rsid w:val="007A4047"/>
    <w:rsid w:val="007A5381"/>
    <w:rsid w:val="007A75E2"/>
    <w:rsid w:val="007B1341"/>
    <w:rsid w:val="007B56C4"/>
    <w:rsid w:val="007B5B06"/>
    <w:rsid w:val="007B63E8"/>
    <w:rsid w:val="007C2565"/>
    <w:rsid w:val="007C2ED7"/>
    <w:rsid w:val="007C71A8"/>
    <w:rsid w:val="007D2A82"/>
    <w:rsid w:val="007E4857"/>
    <w:rsid w:val="007E4F46"/>
    <w:rsid w:val="007E53C9"/>
    <w:rsid w:val="007E54A4"/>
    <w:rsid w:val="007E6503"/>
    <w:rsid w:val="007F303E"/>
    <w:rsid w:val="007F3BD5"/>
    <w:rsid w:val="007F45A1"/>
    <w:rsid w:val="007F719C"/>
    <w:rsid w:val="007F759A"/>
    <w:rsid w:val="0080149B"/>
    <w:rsid w:val="0080256E"/>
    <w:rsid w:val="00803192"/>
    <w:rsid w:val="00806D83"/>
    <w:rsid w:val="00807F25"/>
    <w:rsid w:val="008122CB"/>
    <w:rsid w:val="0082383C"/>
    <w:rsid w:val="00824E4B"/>
    <w:rsid w:val="008305E1"/>
    <w:rsid w:val="00833CB9"/>
    <w:rsid w:val="00834DE5"/>
    <w:rsid w:val="008357D2"/>
    <w:rsid w:val="00835D13"/>
    <w:rsid w:val="00836BDB"/>
    <w:rsid w:val="00840559"/>
    <w:rsid w:val="00846FD1"/>
    <w:rsid w:val="0085383B"/>
    <w:rsid w:val="0085403D"/>
    <w:rsid w:val="00856C49"/>
    <w:rsid w:val="0085785B"/>
    <w:rsid w:val="00860A10"/>
    <w:rsid w:val="00867275"/>
    <w:rsid w:val="008677CB"/>
    <w:rsid w:val="008701D8"/>
    <w:rsid w:val="00870D74"/>
    <w:rsid w:val="00871B64"/>
    <w:rsid w:val="008744B5"/>
    <w:rsid w:val="00874A48"/>
    <w:rsid w:val="00877B60"/>
    <w:rsid w:val="00880A46"/>
    <w:rsid w:val="00880E1A"/>
    <w:rsid w:val="0088350C"/>
    <w:rsid w:val="00887030"/>
    <w:rsid w:val="008A1BE2"/>
    <w:rsid w:val="008A39D7"/>
    <w:rsid w:val="008A41E8"/>
    <w:rsid w:val="008B1FAD"/>
    <w:rsid w:val="008B4824"/>
    <w:rsid w:val="008B5220"/>
    <w:rsid w:val="008B667C"/>
    <w:rsid w:val="008C01DF"/>
    <w:rsid w:val="008C268F"/>
    <w:rsid w:val="008C2AF5"/>
    <w:rsid w:val="008C3654"/>
    <w:rsid w:val="008D100E"/>
    <w:rsid w:val="008D1A65"/>
    <w:rsid w:val="008D20ED"/>
    <w:rsid w:val="008D4B15"/>
    <w:rsid w:val="008E3759"/>
    <w:rsid w:val="008E51A2"/>
    <w:rsid w:val="008E66A2"/>
    <w:rsid w:val="008E73B2"/>
    <w:rsid w:val="008F25CD"/>
    <w:rsid w:val="008F42DC"/>
    <w:rsid w:val="008F5705"/>
    <w:rsid w:val="008F7324"/>
    <w:rsid w:val="008F78BE"/>
    <w:rsid w:val="009003DA"/>
    <w:rsid w:val="00901833"/>
    <w:rsid w:val="00903807"/>
    <w:rsid w:val="009111A4"/>
    <w:rsid w:val="009117EF"/>
    <w:rsid w:val="0091333A"/>
    <w:rsid w:val="009136CD"/>
    <w:rsid w:val="00913DB5"/>
    <w:rsid w:val="00920E54"/>
    <w:rsid w:val="009210E4"/>
    <w:rsid w:val="00921B04"/>
    <w:rsid w:val="00922ADA"/>
    <w:rsid w:val="00926541"/>
    <w:rsid w:val="00932A5D"/>
    <w:rsid w:val="00933FC2"/>
    <w:rsid w:val="00934588"/>
    <w:rsid w:val="00937AA4"/>
    <w:rsid w:val="00941A87"/>
    <w:rsid w:val="00941C6E"/>
    <w:rsid w:val="0094245B"/>
    <w:rsid w:val="0094507B"/>
    <w:rsid w:val="009503AC"/>
    <w:rsid w:val="0095487F"/>
    <w:rsid w:val="0095488A"/>
    <w:rsid w:val="00956245"/>
    <w:rsid w:val="00957DE6"/>
    <w:rsid w:val="00961589"/>
    <w:rsid w:val="009659FF"/>
    <w:rsid w:val="00965F21"/>
    <w:rsid w:val="009709AD"/>
    <w:rsid w:val="00971BF9"/>
    <w:rsid w:val="009744F3"/>
    <w:rsid w:val="00983836"/>
    <w:rsid w:val="009869FB"/>
    <w:rsid w:val="009906A2"/>
    <w:rsid w:val="00993602"/>
    <w:rsid w:val="0099518D"/>
    <w:rsid w:val="0099649C"/>
    <w:rsid w:val="00997CAE"/>
    <w:rsid w:val="009A2423"/>
    <w:rsid w:val="009A58CB"/>
    <w:rsid w:val="009B2B5B"/>
    <w:rsid w:val="009B4B2C"/>
    <w:rsid w:val="009B6DB9"/>
    <w:rsid w:val="009C6792"/>
    <w:rsid w:val="009D04C5"/>
    <w:rsid w:val="009E280F"/>
    <w:rsid w:val="009E2D0D"/>
    <w:rsid w:val="009E3986"/>
    <w:rsid w:val="009E400E"/>
    <w:rsid w:val="009E5456"/>
    <w:rsid w:val="009E5835"/>
    <w:rsid w:val="009F2187"/>
    <w:rsid w:val="00A0251D"/>
    <w:rsid w:val="00A03502"/>
    <w:rsid w:val="00A04D51"/>
    <w:rsid w:val="00A062E2"/>
    <w:rsid w:val="00A074BF"/>
    <w:rsid w:val="00A105CE"/>
    <w:rsid w:val="00A12826"/>
    <w:rsid w:val="00A23F69"/>
    <w:rsid w:val="00A2435E"/>
    <w:rsid w:val="00A30284"/>
    <w:rsid w:val="00A36D2C"/>
    <w:rsid w:val="00A36D60"/>
    <w:rsid w:val="00A40EC8"/>
    <w:rsid w:val="00A45729"/>
    <w:rsid w:val="00A502EB"/>
    <w:rsid w:val="00A548AC"/>
    <w:rsid w:val="00A603E3"/>
    <w:rsid w:val="00A6334D"/>
    <w:rsid w:val="00A639F7"/>
    <w:rsid w:val="00A653A8"/>
    <w:rsid w:val="00A668CC"/>
    <w:rsid w:val="00A67478"/>
    <w:rsid w:val="00A67F6E"/>
    <w:rsid w:val="00A71E45"/>
    <w:rsid w:val="00A731A4"/>
    <w:rsid w:val="00A7713F"/>
    <w:rsid w:val="00A80ABD"/>
    <w:rsid w:val="00A82DFB"/>
    <w:rsid w:val="00A83851"/>
    <w:rsid w:val="00A87D8F"/>
    <w:rsid w:val="00A95699"/>
    <w:rsid w:val="00AA14AB"/>
    <w:rsid w:val="00AA4937"/>
    <w:rsid w:val="00AA5C5D"/>
    <w:rsid w:val="00AA7F8C"/>
    <w:rsid w:val="00AB3147"/>
    <w:rsid w:val="00AB5239"/>
    <w:rsid w:val="00AB5E18"/>
    <w:rsid w:val="00AC013D"/>
    <w:rsid w:val="00AC042F"/>
    <w:rsid w:val="00AC333E"/>
    <w:rsid w:val="00AC58F4"/>
    <w:rsid w:val="00AC7C70"/>
    <w:rsid w:val="00AD54F5"/>
    <w:rsid w:val="00AE16C3"/>
    <w:rsid w:val="00AE187C"/>
    <w:rsid w:val="00AE4157"/>
    <w:rsid w:val="00AE751F"/>
    <w:rsid w:val="00AE755D"/>
    <w:rsid w:val="00AE7F12"/>
    <w:rsid w:val="00AF3037"/>
    <w:rsid w:val="00B00D9B"/>
    <w:rsid w:val="00B02D3E"/>
    <w:rsid w:val="00B05B8B"/>
    <w:rsid w:val="00B065F2"/>
    <w:rsid w:val="00B10532"/>
    <w:rsid w:val="00B13B1D"/>
    <w:rsid w:val="00B179D7"/>
    <w:rsid w:val="00B20981"/>
    <w:rsid w:val="00B20E70"/>
    <w:rsid w:val="00B2114E"/>
    <w:rsid w:val="00B21464"/>
    <w:rsid w:val="00B24BB9"/>
    <w:rsid w:val="00B31C30"/>
    <w:rsid w:val="00B3595F"/>
    <w:rsid w:val="00B36522"/>
    <w:rsid w:val="00B37818"/>
    <w:rsid w:val="00B4501E"/>
    <w:rsid w:val="00B4541F"/>
    <w:rsid w:val="00B45850"/>
    <w:rsid w:val="00B4611F"/>
    <w:rsid w:val="00B46A70"/>
    <w:rsid w:val="00B46CC1"/>
    <w:rsid w:val="00B4701D"/>
    <w:rsid w:val="00B57E49"/>
    <w:rsid w:val="00B623BD"/>
    <w:rsid w:val="00B63569"/>
    <w:rsid w:val="00B70894"/>
    <w:rsid w:val="00B72C88"/>
    <w:rsid w:val="00B80E24"/>
    <w:rsid w:val="00B82A66"/>
    <w:rsid w:val="00B8337D"/>
    <w:rsid w:val="00B8381F"/>
    <w:rsid w:val="00B852B7"/>
    <w:rsid w:val="00B867A6"/>
    <w:rsid w:val="00B86879"/>
    <w:rsid w:val="00B96776"/>
    <w:rsid w:val="00BA0705"/>
    <w:rsid w:val="00BA0780"/>
    <w:rsid w:val="00BC0426"/>
    <w:rsid w:val="00BC298E"/>
    <w:rsid w:val="00BC4AAD"/>
    <w:rsid w:val="00BC4CFA"/>
    <w:rsid w:val="00BC75B7"/>
    <w:rsid w:val="00BD101C"/>
    <w:rsid w:val="00BD69F6"/>
    <w:rsid w:val="00BD7662"/>
    <w:rsid w:val="00BE0914"/>
    <w:rsid w:val="00BE0A67"/>
    <w:rsid w:val="00BE3273"/>
    <w:rsid w:val="00BE4363"/>
    <w:rsid w:val="00BE5CEB"/>
    <w:rsid w:val="00BE6D2D"/>
    <w:rsid w:val="00BF71D0"/>
    <w:rsid w:val="00C001FD"/>
    <w:rsid w:val="00C0133F"/>
    <w:rsid w:val="00C03659"/>
    <w:rsid w:val="00C0627D"/>
    <w:rsid w:val="00C06626"/>
    <w:rsid w:val="00C077A9"/>
    <w:rsid w:val="00C117C9"/>
    <w:rsid w:val="00C12BAA"/>
    <w:rsid w:val="00C1339C"/>
    <w:rsid w:val="00C14F03"/>
    <w:rsid w:val="00C1522A"/>
    <w:rsid w:val="00C15731"/>
    <w:rsid w:val="00C15AEE"/>
    <w:rsid w:val="00C20D23"/>
    <w:rsid w:val="00C25895"/>
    <w:rsid w:val="00C258B5"/>
    <w:rsid w:val="00C2666C"/>
    <w:rsid w:val="00C267DC"/>
    <w:rsid w:val="00C26BDC"/>
    <w:rsid w:val="00C30F8A"/>
    <w:rsid w:val="00C34A14"/>
    <w:rsid w:val="00C363FD"/>
    <w:rsid w:val="00C37717"/>
    <w:rsid w:val="00C41C7C"/>
    <w:rsid w:val="00C41FCC"/>
    <w:rsid w:val="00C4230C"/>
    <w:rsid w:val="00C4544A"/>
    <w:rsid w:val="00C51014"/>
    <w:rsid w:val="00C55332"/>
    <w:rsid w:val="00C56F19"/>
    <w:rsid w:val="00C62073"/>
    <w:rsid w:val="00C63BCD"/>
    <w:rsid w:val="00C67D62"/>
    <w:rsid w:val="00C727E7"/>
    <w:rsid w:val="00C73150"/>
    <w:rsid w:val="00C763A1"/>
    <w:rsid w:val="00C80764"/>
    <w:rsid w:val="00C8247A"/>
    <w:rsid w:val="00C831E6"/>
    <w:rsid w:val="00C83F58"/>
    <w:rsid w:val="00C83FC3"/>
    <w:rsid w:val="00C849F3"/>
    <w:rsid w:val="00C84EA5"/>
    <w:rsid w:val="00C85F28"/>
    <w:rsid w:val="00C90DEA"/>
    <w:rsid w:val="00C95657"/>
    <w:rsid w:val="00CA40DD"/>
    <w:rsid w:val="00CA7D66"/>
    <w:rsid w:val="00CB43C7"/>
    <w:rsid w:val="00CB6078"/>
    <w:rsid w:val="00CB6B52"/>
    <w:rsid w:val="00CB7995"/>
    <w:rsid w:val="00CC1B54"/>
    <w:rsid w:val="00CC4FBE"/>
    <w:rsid w:val="00CD08B1"/>
    <w:rsid w:val="00CD15CD"/>
    <w:rsid w:val="00CD3D12"/>
    <w:rsid w:val="00CD48B3"/>
    <w:rsid w:val="00CD51D8"/>
    <w:rsid w:val="00CE2BE7"/>
    <w:rsid w:val="00CE5750"/>
    <w:rsid w:val="00CE6D7F"/>
    <w:rsid w:val="00CF3BA2"/>
    <w:rsid w:val="00CF4026"/>
    <w:rsid w:val="00CF66CD"/>
    <w:rsid w:val="00CF67D0"/>
    <w:rsid w:val="00CF725C"/>
    <w:rsid w:val="00D0530B"/>
    <w:rsid w:val="00D077CB"/>
    <w:rsid w:val="00D10111"/>
    <w:rsid w:val="00D2161E"/>
    <w:rsid w:val="00D2220B"/>
    <w:rsid w:val="00D276C9"/>
    <w:rsid w:val="00D356CB"/>
    <w:rsid w:val="00D35D92"/>
    <w:rsid w:val="00D37786"/>
    <w:rsid w:val="00D40FBD"/>
    <w:rsid w:val="00D41589"/>
    <w:rsid w:val="00D421BE"/>
    <w:rsid w:val="00D47F2E"/>
    <w:rsid w:val="00D47F80"/>
    <w:rsid w:val="00D55A24"/>
    <w:rsid w:val="00D57CE8"/>
    <w:rsid w:val="00D607DA"/>
    <w:rsid w:val="00D61A22"/>
    <w:rsid w:val="00D61E3B"/>
    <w:rsid w:val="00D627E4"/>
    <w:rsid w:val="00D63FAE"/>
    <w:rsid w:val="00D64B2F"/>
    <w:rsid w:val="00D701C4"/>
    <w:rsid w:val="00D73DB9"/>
    <w:rsid w:val="00D740D3"/>
    <w:rsid w:val="00D813F2"/>
    <w:rsid w:val="00D82C4F"/>
    <w:rsid w:val="00D9043A"/>
    <w:rsid w:val="00D90763"/>
    <w:rsid w:val="00DA00C6"/>
    <w:rsid w:val="00DA04A1"/>
    <w:rsid w:val="00DA1E14"/>
    <w:rsid w:val="00DA3995"/>
    <w:rsid w:val="00DA53C1"/>
    <w:rsid w:val="00DB1A45"/>
    <w:rsid w:val="00DB2F57"/>
    <w:rsid w:val="00DB4798"/>
    <w:rsid w:val="00DB7C2C"/>
    <w:rsid w:val="00DC0177"/>
    <w:rsid w:val="00DC1184"/>
    <w:rsid w:val="00DC2398"/>
    <w:rsid w:val="00DC3835"/>
    <w:rsid w:val="00DC3E2A"/>
    <w:rsid w:val="00DC44C4"/>
    <w:rsid w:val="00DC52EF"/>
    <w:rsid w:val="00DC7BB3"/>
    <w:rsid w:val="00DD0C37"/>
    <w:rsid w:val="00DD2FC9"/>
    <w:rsid w:val="00DD773E"/>
    <w:rsid w:val="00DD7963"/>
    <w:rsid w:val="00DD7A94"/>
    <w:rsid w:val="00DE2925"/>
    <w:rsid w:val="00DE76C4"/>
    <w:rsid w:val="00E207F6"/>
    <w:rsid w:val="00E23D28"/>
    <w:rsid w:val="00E24A77"/>
    <w:rsid w:val="00E255F0"/>
    <w:rsid w:val="00E25B10"/>
    <w:rsid w:val="00E25B70"/>
    <w:rsid w:val="00E263A7"/>
    <w:rsid w:val="00E26C1F"/>
    <w:rsid w:val="00E277CB"/>
    <w:rsid w:val="00E3751C"/>
    <w:rsid w:val="00E3752B"/>
    <w:rsid w:val="00E3799D"/>
    <w:rsid w:val="00E45177"/>
    <w:rsid w:val="00E47032"/>
    <w:rsid w:val="00E50188"/>
    <w:rsid w:val="00E5020A"/>
    <w:rsid w:val="00E54BA3"/>
    <w:rsid w:val="00E57D47"/>
    <w:rsid w:val="00E60164"/>
    <w:rsid w:val="00E72017"/>
    <w:rsid w:val="00E76F7E"/>
    <w:rsid w:val="00E812D4"/>
    <w:rsid w:val="00E81F62"/>
    <w:rsid w:val="00E83B73"/>
    <w:rsid w:val="00E852AC"/>
    <w:rsid w:val="00E872FC"/>
    <w:rsid w:val="00E91E66"/>
    <w:rsid w:val="00E92628"/>
    <w:rsid w:val="00E94447"/>
    <w:rsid w:val="00E96A37"/>
    <w:rsid w:val="00EA12C8"/>
    <w:rsid w:val="00EA6D74"/>
    <w:rsid w:val="00EA75A0"/>
    <w:rsid w:val="00EB0E44"/>
    <w:rsid w:val="00EB3211"/>
    <w:rsid w:val="00EB4808"/>
    <w:rsid w:val="00EB51C6"/>
    <w:rsid w:val="00EB6B31"/>
    <w:rsid w:val="00EB78A4"/>
    <w:rsid w:val="00EC1DDD"/>
    <w:rsid w:val="00EC2EF9"/>
    <w:rsid w:val="00EC3C38"/>
    <w:rsid w:val="00EC3CF6"/>
    <w:rsid w:val="00EC4E34"/>
    <w:rsid w:val="00EC5246"/>
    <w:rsid w:val="00EC6530"/>
    <w:rsid w:val="00ED1394"/>
    <w:rsid w:val="00ED276D"/>
    <w:rsid w:val="00ED313B"/>
    <w:rsid w:val="00ED3B3D"/>
    <w:rsid w:val="00ED6184"/>
    <w:rsid w:val="00ED7D6B"/>
    <w:rsid w:val="00EE0467"/>
    <w:rsid w:val="00EE5384"/>
    <w:rsid w:val="00EF64B5"/>
    <w:rsid w:val="00F01549"/>
    <w:rsid w:val="00F01DE3"/>
    <w:rsid w:val="00F04D1D"/>
    <w:rsid w:val="00F050B0"/>
    <w:rsid w:val="00F072D1"/>
    <w:rsid w:val="00F11D4A"/>
    <w:rsid w:val="00F11F86"/>
    <w:rsid w:val="00F12C69"/>
    <w:rsid w:val="00F12DE5"/>
    <w:rsid w:val="00F15945"/>
    <w:rsid w:val="00F15F25"/>
    <w:rsid w:val="00F17998"/>
    <w:rsid w:val="00F23A66"/>
    <w:rsid w:val="00F23F4B"/>
    <w:rsid w:val="00F251C8"/>
    <w:rsid w:val="00F305E2"/>
    <w:rsid w:val="00F30D08"/>
    <w:rsid w:val="00F31E0F"/>
    <w:rsid w:val="00F3350F"/>
    <w:rsid w:val="00F355F0"/>
    <w:rsid w:val="00F36555"/>
    <w:rsid w:val="00F3797A"/>
    <w:rsid w:val="00F476FA"/>
    <w:rsid w:val="00F47F3D"/>
    <w:rsid w:val="00F50373"/>
    <w:rsid w:val="00F5254B"/>
    <w:rsid w:val="00F604F6"/>
    <w:rsid w:val="00F61C35"/>
    <w:rsid w:val="00F622FD"/>
    <w:rsid w:val="00F62D14"/>
    <w:rsid w:val="00F63FB3"/>
    <w:rsid w:val="00F66C4E"/>
    <w:rsid w:val="00F66D40"/>
    <w:rsid w:val="00F6766F"/>
    <w:rsid w:val="00F70BEE"/>
    <w:rsid w:val="00F70C2F"/>
    <w:rsid w:val="00F725D4"/>
    <w:rsid w:val="00F73CC2"/>
    <w:rsid w:val="00F740A8"/>
    <w:rsid w:val="00F75124"/>
    <w:rsid w:val="00F76BE1"/>
    <w:rsid w:val="00F813EF"/>
    <w:rsid w:val="00F82DBA"/>
    <w:rsid w:val="00F843BF"/>
    <w:rsid w:val="00F86709"/>
    <w:rsid w:val="00F874A3"/>
    <w:rsid w:val="00F87C60"/>
    <w:rsid w:val="00F909C0"/>
    <w:rsid w:val="00F92EE8"/>
    <w:rsid w:val="00F94A48"/>
    <w:rsid w:val="00F953A3"/>
    <w:rsid w:val="00FA0765"/>
    <w:rsid w:val="00FA4650"/>
    <w:rsid w:val="00FA5118"/>
    <w:rsid w:val="00FA6561"/>
    <w:rsid w:val="00FA6A85"/>
    <w:rsid w:val="00FB0599"/>
    <w:rsid w:val="00FB0FD0"/>
    <w:rsid w:val="00FB148C"/>
    <w:rsid w:val="00FB22CA"/>
    <w:rsid w:val="00FB45CF"/>
    <w:rsid w:val="00FC4893"/>
    <w:rsid w:val="00FC53A5"/>
    <w:rsid w:val="00FC5ACB"/>
    <w:rsid w:val="00FD1124"/>
    <w:rsid w:val="00FE198A"/>
    <w:rsid w:val="00FE2276"/>
    <w:rsid w:val="00FE4DC8"/>
    <w:rsid w:val="00FF064E"/>
    <w:rsid w:val="00FF128A"/>
    <w:rsid w:val="00FF5936"/>
    <w:rsid w:val="00FF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C6C7"/>
  <w15:docId w15:val="{87EB6F9A-86C1-4DAA-A92F-9DD5FE58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F21"/>
  </w:style>
  <w:style w:type="paragraph" w:styleId="Heading1">
    <w:name w:val="heading 1"/>
    <w:basedOn w:val="Normal"/>
    <w:next w:val="Normal"/>
    <w:link w:val="Heading1Char"/>
    <w:uiPriority w:val="9"/>
    <w:qFormat/>
    <w:rsid w:val="0043049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B635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81"/>
    <w:rPr>
      <w:rFonts w:ascii="Tahoma" w:hAnsi="Tahoma" w:cs="Tahoma"/>
      <w:sz w:val="16"/>
      <w:szCs w:val="16"/>
    </w:rPr>
  </w:style>
  <w:style w:type="paragraph" w:styleId="FootnoteText">
    <w:name w:val="footnote text"/>
    <w:basedOn w:val="Normal"/>
    <w:link w:val="FootnoteTextChar"/>
    <w:uiPriority w:val="99"/>
    <w:unhideWhenUsed/>
    <w:rsid w:val="003B6CF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3B6CFD"/>
    <w:rPr>
      <w:rFonts w:eastAsiaTheme="minorEastAsia"/>
      <w:sz w:val="20"/>
      <w:szCs w:val="20"/>
      <w:lang w:eastAsia="en-GB"/>
    </w:rPr>
  </w:style>
  <w:style w:type="character" w:styleId="FootnoteReference">
    <w:name w:val="footnote reference"/>
    <w:basedOn w:val="DefaultParagraphFont"/>
    <w:uiPriority w:val="99"/>
    <w:semiHidden/>
    <w:unhideWhenUsed/>
    <w:rsid w:val="003B6CFD"/>
    <w:rPr>
      <w:vertAlign w:val="superscript"/>
    </w:rPr>
  </w:style>
  <w:style w:type="paragraph" w:styleId="Header">
    <w:name w:val="header"/>
    <w:basedOn w:val="Normal"/>
    <w:link w:val="HeaderChar"/>
    <w:uiPriority w:val="99"/>
    <w:unhideWhenUsed/>
    <w:rsid w:val="00585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0C7"/>
  </w:style>
  <w:style w:type="paragraph" w:styleId="Footer">
    <w:name w:val="footer"/>
    <w:basedOn w:val="Normal"/>
    <w:link w:val="FooterChar"/>
    <w:uiPriority w:val="99"/>
    <w:unhideWhenUsed/>
    <w:rsid w:val="00585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0C7"/>
  </w:style>
  <w:style w:type="paragraph" w:styleId="NoSpacing">
    <w:name w:val="No Spacing"/>
    <w:uiPriority w:val="1"/>
    <w:qFormat/>
    <w:rsid w:val="003769BD"/>
    <w:pPr>
      <w:spacing w:after="0" w:line="240" w:lineRule="auto"/>
    </w:pPr>
    <w:rPr>
      <w:rFonts w:eastAsiaTheme="minorEastAsia"/>
      <w:lang w:eastAsia="en-GB"/>
    </w:rPr>
  </w:style>
  <w:style w:type="table" w:customStyle="1" w:styleId="GridTable41">
    <w:name w:val="Grid Table 41"/>
    <w:basedOn w:val="TableNormal"/>
    <w:uiPriority w:val="49"/>
    <w:rsid w:val="003769BD"/>
    <w:pPr>
      <w:spacing w:after="0" w:line="240" w:lineRule="auto"/>
    </w:pPr>
    <w:rPr>
      <w:rFonts w:eastAsiaTheme="minorEastAsia"/>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8520F"/>
    <w:pPr>
      <w:ind w:left="720"/>
      <w:contextualSpacing/>
    </w:pPr>
  </w:style>
  <w:style w:type="character" w:styleId="CommentReference">
    <w:name w:val="annotation reference"/>
    <w:basedOn w:val="DefaultParagraphFont"/>
    <w:uiPriority w:val="99"/>
    <w:semiHidden/>
    <w:unhideWhenUsed/>
    <w:rsid w:val="009210E4"/>
    <w:rPr>
      <w:sz w:val="16"/>
      <w:szCs w:val="16"/>
    </w:rPr>
  </w:style>
  <w:style w:type="paragraph" w:styleId="CommentText">
    <w:name w:val="annotation text"/>
    <w:basedOn w:val="Normal"/>
    <w:link w:val="CommentTextChar"/>
    <w:uiPriority w:val="99"/>
    <w:unhideWhenUsed/>
    <w:rsid w:val="009210E4"/>
    <w:pPr>
      <w:spacing w:line="240" w:lineRule="auto"/>
    </w:pPr>
    <w:rPr>
      <w:sz w:val="20"/>
      <w:szCs w:val="20"/>
    </w:rPr>
  </w:style>
  <w:style w:type="character" w:customStyle="1" w:styleId="CommentTextChar">
    <w:name w:val="Comment Text Char"/>
    <w:basedOn w:val="DefaultParagraphFont"/>
    <w:link w:val="CommentText"/>
    <w:uiPriority w:val="99"/>
    <w:rsid w:val="009210E4"/>
    <w:rPr>
      <w:sz w:val="20"/>
      <w:szCs w:val="20"/>
    </w:rPr>
  </w:style>
  <w:style w:type="paragraph" w:styleId="CommentSubject">
    <w:name w:val="annotation subject"/>
    <w:basedOn w:val="CommentText"/>
    <w:next w:val="CommentText"/>
    <w:link w:val="CommentSubjectChar"/>
    <w:uiPriority w:val="99"/>
    <w:semiHidden/>
    <w:unhideWhenUsed/>
    <w:rsid w:val="009210E4"/>
    <w:rPr>
      <w:b/>
      <w:bCs/>
    </w:rPr>
  </w:style>
  <w:style w:type="character" w:customStyle="1" w:styleId="CommentSubjectChar">
    <w:name w:val="Comment Subject Char"/>
    <w:basedOn w:val="CommentTextChar"/>
    <w:link w:val="CommentSubject"/>
    <w:uiPriority w:val="99"/>
    <w:semiHidden/>
    <w:rsid w:val="009210E4"/>
    <w:rPr>
      <w:b/>
      <w:bCs/>
      <w:sz w:val="20"/>
      <w:szCs w:val="20"/>
    </w:rPr>
  </w:style>
  <w:style w:type="character" w:customStyle="1" w:styleId="Heading1Char">
    <w:name w:val="Heading 1 Char"/>
    <w:basedOn w:val="DefaultParagraphFont"/>
    <w:link w:val="Heading1"/>
    <w:uiPriority w:val="9"/>
    <w:rsid w:val="0043049B"/>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43049B"/>
  </w:style>
  <w:style w:type="paragraph" w:styleId="EndnoteText">
    <w:name w:val="endnote text"/>
    <w:basedOn w:val="Normal"/>
    <w:link w:val="EndnoteTextChar"/>
    <w:uiPriority w:val="99"/>
    <w:semiHidden/>
    <w:unhideWhenUsed/>
    <w:rsid w:val="00957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DE6"/>
    <w:rPr>
      <w:sz w:val="20"/>
      <w:szCs w:val="20"/>
    </w:rPr>
  </w:style>
  <w:style w:type="character" w:styleId="EndnoteReference">
    <w:name w:val="endnote reference"/>
    <w:basedOn w:val="DefaultParagraphFont"/>
    <w:uiPriority w:val="99"/>
    <w:semiHidden/>
    <w:unhideWhenUsed/>
    <w:rsid w:val="00957DE6"/>
    <w:rPr>
      <w:vertAlign w:val="superscript"/>
    </w:rPr>
  </w:style>
  <w:style w:type="character" w:styleId="Hyperlink">
    <w:name w:val="Hyperlink"/>
    <w:basedOn w:val="DefaultParagraphFont"/>
    <w:uiPriority w:val="99"/>
    <w:unhideWhenUsed/>
    <w:rsid w:val="00BC298E"/>
    <w:rPr>
      <w:color w:val="0000FF" w:themeColor="hyperlink"/>
      <w:u w:val="single"/>
    </w:rPr>
  </w:style>
  <w:style w:type="table" w:styleId="TableGrid">
    <w:name w:val="Table Grid"/>
    <w:basedOn w:val="TableNormal"/>
    <w:uiPriority w:val="59"/>
    <w:rsid w:val="0014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E91E66"/>
  </w:style>
  <w:style w:type="character" w:customStyle="1" w:styleId="Date1">
    <w:name w:val="Date1"/>
    <w:basedOn w:val="DefaultParagraphFont"/>
    <w:rsid w:val="00E91E66"/>
  </w:style>
  <w:style w:type="character" w:customStyle="1" w:styleId="arttitle">
    <w:name w:val="art_title"/>
    <w:basedOn w:val="DefaultParagraphFont"/>
    <w:rsid w:val="00E91E66"/>
  </w:style>
  <w:style w:type="character" w:customStyle="1" w:styleId="serialtitle">
    <w:name w:val="serial_title"/>
    <w:basedOn w:val="DefaultParagraphFont"/>
    <w:rsid w:val="00E91E66"/>
  </w:style>
  <w:style w:type="character" w:customStyle="1" w:styleId="volumeissue">
    <w:name w:val="volume_issue"/>
    <w:basedOn w:val="DefaultParagraphFont"/>
    <w:rsid w:val="00E91E66"/>
  </w:style>
  <w:style w:type="character" w:customStyle="1" w:styleId="pagerange">
    <w:name w:val="page_range"/>
    <w:basedOn w:val="DefaultParagraphFont"/>
    <w:rsid w:val="00E91E66"/>
  </w:style>
  <w:style w:type="character" w:customStyle="1" w:styleId="Heading2Char">
    <w:name w:val="Heading 2 Char"/>
    <w:basedOn w:val="DefaultParagraphFont"/>
    <w:link w:val="Heading2"/>
    <w:uiPriority w:val="9"/>
    <w:semiHidden/>
    <w:rsid w:val="00B635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90852">
      <w:bodyDiv w:val="1"/>
      <w:marLeft w:val="0"/>
      <w:marRight w:val="0"/>
      <w:marTop w:val="0"/>
      <w:marBottom w:val="0"/>
      <w:divBdr>
        <w:top w:val="none" w:sz="0" w:space="0" w:color="auto"/>
        <w:left w:val="none" w:sz="0" w:space="0" w:color="auto"/>
        <w:bottom w:val="none" w:sz="0" w:space="0" w:color="auto"/>
        <w:right w:val="none" w:sz="0" w:space="0" w:color="auto"/>
      </w:divBdr>
    </w:div>
    <w:div w:id="234171146">
      <w:bodyDiv w:val="1"/>
      <w:marLeft w:val="0"/>
      <w:marRight w:val="0"/>
      <w:marTop w:val="0"/>
      <w:marBottom w:val="0"/>
      <w:divBdr>
        <w:top w:val="none" w:sz="0" w:space="0" w:color="auto"/>
        <w:left w:val="none" w:sz="0" w:space="0" w:color="auto"/>
        <w:bottom w:val="none" w:sz="0" w:space="0" w:color="auto"/>
        <w:right w:val="none" w:sz="0" w:space="0" w:color="auto"/>
      </w:divBdr>
    </w:div>
    <w:div w:id="292491995">
      <w:bodyDiv w:val="1"/>
      <w:marLeft w:val="0"/>
      <w:marRight w:val="0"/>
      <w:marTop w:val="0"/>
      <w:marBottom w:val="0"/>
      <w:divBdr>
        <w:top w:val="none" w:sz="0" w:space="0" w:color="auto"/>
        <w:left w:val="none" w:sz="0" w:space="0" w:color="auto"/>
        <w:bottom w:val="none" w:sz="0" w:space="0" w:color="auto"/>
        <w:right w:val="none" w:sz="0" w:space="0" w:color="auto"/>
      </w:divBdr>
    </w:div>
    <w:div w:id="294146248">
      <w:bodyDiv w:val="1"/>
      <w:marLeft w:val="0"/>
      <w:marRight w:val="0"/>
      <w:marTop w:val="0"/>
      <w:marBottom w:val="0"/>
      <w:divBdr>
        <w:top w:val="none" w:sz="0" w:space="0" w:color="auto"/>
        <w:left w:val="none" w:sz="0" w:space="0" w:color="auto"/>
        <w:bottom w:val="none" w:sz="0" w:space="0" w:color="auto"/>
        <w:right w:val="none" w:sz="0" w:space="0" w:color="auto"/>
      </w:divBdr>
    </w:div>
    <w:div w:id="428280957">
      <w:bodyDiv w:val="1"/>
      <w:marLeft w:val="0"/>
      <w:marRight w:val="0"/>
      <w:marTop w:val="0"/>
      <w:marBottom w:val="0"/>
      <w:divBdr>
        <w:top w:val="none" w:sz="0" w:space="0" w:color="auto"/>
        <w:left w:val="none" w:sz="0" w:space="0" w:color="auto"/>
        <w:bottom w:val="none" w:sz="0" w:space="0" w:color="auto"/>
        <w:right w:val="none" w:sz="0" w:space="0" w:color="auto"/>
      </w:divBdr>
    </w:div>
    <w:div w:id="445007190">
      <w:bodyDiv w:val="1"/>
      <w:marLeft w:val="0"/>
      <w:marRight w:val="0"/>
      <w:marTop w:val="0"/>
      <w:marBottom w:val="0"/>
      <w:divBdr>
        <w:top w:val="none" w:sz="0" w:space="0" w:color="auto"/>
        <w:left w:val="none" w:sz="0" w:space="0" w:color="auto"/>
        <w:bottom w:val="none" w:sz="0" w:space="0" w:color="auto"/>
        <w:right w:val="none" w:sz="0" w:space="0" w:color="auto"/>
      </w:divBdr>
    </w:div>
    <w:div w:id="493880931">
      <w:bodyDiv w:val="1"/>
      <w:marLeft w:val="0"/>
      <w:marRight w:val="0"/>
      <w:marTop w:val="0"/>
      <w:marBottom w:val="0"/>
      <w:divBdr>
        <w:top w:val="none" w:sz="0" w:space="0" w:color="auto"/>
        <w:left w:val="none" w:sz="0" w:space="0" w:color="auto"/>
        <w:bottom w:val="none" w:sz="0" w:space="0" w:color="auto"/>
        <w:right w:val="none" w:sz="0" w:space="0" w:color="auto"/>
      </w:divBdr>
    </w:div>
    <w:div w:id="520046544">
      <w:bodyDiv w:val="1"/>
      <w:marLeft w:val="0"/>
      <w:marRight w:val="0"/>
      <w:marTop w:val="0"/>
      <w:marBottom w:val="0"/>
      <w:divBdr>
        <w:top w:val="none" w:sz="0" w:space="0" w:color="auto"/>
        <w:left w:val="none" w:sz="0" w:space="0" w:color="auto"/>
        <w:bottom w:val="none" w:sz="0" w:space="0" w:color="auto"/>
        <w:right w:val="none" w:sz="0" w:space="0" w:color="auto"/>
      </w:divBdr>
    </w:div>
    <w:div w:id="534197877">
      <w:bodyDiv w:val="1"/>
      <w:marLeft w:val="0"/>
      <w:marRight w:val="0"/>
      <w:marTop w:val="0"/>
      <w:marBottom w:val="0"/>
      <w:divBdr>
        <w:top w:val="none" w:sz="0" w:space="0" w:color="auto"/>
        <w:left w:val="none" w:sz="0" w:space="0" w:color="auto"/>
        <w:bottom w:val="none" w:sz="0" w:space="0" w:color="auto"/>
        <w:right w:val="none" w:sz="0" w:space="0" w:color="auto"/>
      </w:divBdr>
    </w:div>
    <w:div w:id="589773409">
      <w:bodyDiv w:val="1"/>
      <w:marLeft w:val="0"/>
      <w:marRight w:val="0"/>
      <w:marTop w:val="0"/>
      <w:marBottom w:val="0"/>
      <w:divBdr>
        <w:top w:val="none" w:sz="0" w:space="0" w:color="auto"/>
        <w:left w:val="none" w:sz="0" w:space="0" w:color="auto"/>
        <w:bottom w:val="none" w:sz="0" w:space="0" w:color="auto"/>
        <w:right w:val="none" w:sz="0" w:space="0" w:color="auto"/>
      </w:divBdr>
    </w:div>
    <w:div w:id="657880690">
      <w:bodyDiv w:val="1"/>
      <w:marLeft w:val="0"/>
      <w:marRight w:val="0"/>
      <w:marTop w:val="0"/>
      <w:marBottom w:val="0"/>
      <w:divBdr>
        <w:top w:val="none" w:sz="0" w:space="0" w:color="auto"/>
        <w:left w:val="none" w:sz="0" w:space="0" w:color="auto"/>
        <w:bottom w:val="none" w:sz="0" w:space="0" w:color="auto"/>
        <w:right w:val="none" w:sz="0" w:space="0" w:color="auto"/>
      </w:divBdr>
    </w:div>
    <w:div w:id="742526005">
      <w:bodyDiv w:val="1"/>
      <w:marLeft w:val="0"/>
      <w:marRight w:val="0"/>
      <w:marTop w:val="0"/>
      <w:marBottom w:val="0"/>
      <w:divBdr>
        <w:top w:val="none" w:sz="0" w:space="0" w:color="auto"/>
        <w:left w:val="none" w:sz="0" w:space="0" w:color="auto"/>
        <w:bottom w:val="none" w:sz="0" w:space="0" w:color="auto"/>
        <w:right w:val="none" w:sz="0" w:space="0" w:color="auto"/>
      </w:divBdr>
    </w:div>
    <w:div w:id="761609890">
      <w:bodyDiv w:val="1"/>
      <w:marLeft w:val="0"/>
      <w:marRight w:val="0"/>
      <w:marTop w:val="0"/>
      <w:marBottom w:val="0"/>
      <w:divBdr>
        <w:top w:val="none" w:sz="0" w:space="0" w:color="auto"/>
        <w:left w:val="none" w:sz="0" w:space="0" w:color="auto"/>
        <w:bottom w:val="none" w:sz="0" w:space="0" w:color="auto"/>
        <w:right w:val="none" w:sz="0" w:space="0" w:color="auto"/>
      </w:divBdr>
      <w:divsChild>
        <w:div w:id="2100251417">
          <w:marLeft w:val="0"/>
          <w:marRight w:val="0"/>
          <w:marTop w:val="0"/>
          <w:marBottom w:val="0"/>
          <w:divBdr>
            <w:top w:val="none" w:sz="0" w:space="0" w:color="auto"/>
            <w:left w:val="none" w:sz="0" w:space="0" w:color="auto"/>
            <w:bottom w:val="none" w:sz="0" w:space="0" w:color="auto"/>
            <w:right w:val="none" w:sz="0" w:space="0" w:color="auto"/>
          </w:divBdr>
        </w:div>
        <w:div w:id="362561738">
          <w:marLeft w:val="0"/>
          <w:marRight w:val="0"/>
          <w:marTop w:val="0"/>
          <w:marBottom w:val="0"/>
          <w:divBdr>
            <w:top w:val="none" w:sz="0" w:space="0" w:color="auto"/>
            <w:left w:val="none" w:sz="0" w:space="0" w:color="auto"/>
            <w:bottom w:val="none" w:sz="0" w:space="0" w:color="auto"/>
            <w:right w:val="none" w:sz="0" w:space="0" w:color="auto"/>
          </w:divBdr>
        </w:div>
      </w:divsChild>
    </w:div>
    <w:div w:id="786511084">
      <w:bodyDiv w:val="1"/>
      <w:marLeft w:val="0"/>
      <w:marRight w:val="0"/>
      <w:marTop w:val="0"/>
      <w:marBottom w:val="0"/>
      <w:divBdr>
        <w:top w:val="none" w:sz="0" w:space="0" w:color="auto"/>
        <w:left w:val="none" w:sz="0" w:space="0" w:color="auto"/>
        <w:bottom w:val="none" w:sz="0" w:space="0" w:color="auto"/>
        <w:right w:val="none" w:sz="0" w:space="0" w:color="auto"/>
      </w:divBdr>
    </w:div>
    <w:div w:id="837579244">
      <w:bodyDiv w:val="1"/>
      <w:marLeft w:val="0"/>
      <w:marRight w:val="0"/>
      <w:marTop w:val="0"/>
      <w:marBottom w:val="0"/>
      <w:divBdr>
        <w:top w:val="none" w:sz="0" w:space="0" w:color="auto"/>
        <w:left w:val="none" w:sz="0" w:space="0" w:color="auto"/>
        <w:bottom w:val="none" w:sz="0" w:space="0" w:color="auto"/>
        <w:right w:val="none" w:sz="0" w:space="0" w:color="auto"/>
      </w:divBdr>
    </w:div>
    <w:div w:id="921990483">
      <w:bodyDiv w:val="1"/>
      <w:marLeft w:val="0"/>
      <w:marRight w:val="0"/>
      <w:marTop w:val="0"/>
      <w:marBottom w:val="0"/>
      <w:divBdr>
        <w:top w:val="none" w:sz="0" w:space="0" w:color="auto"/>
        <w:left w:val="none" w:sz="0" w:space="0" w:color="auto"/>
        <w:bottom w:val="none" w:sz="0" w:space="0" w:color="auto"/>
        <w:right w:val="none" w:sz="0" w:space="0" w:color="auto"/>
      </w:divBdr>
    </w:div>
    <w:div w:id="922252823">
      <w:bodyDiv w:val="1"/>
      <w:marLeft w:val="0"/>
      <w:marRight w:val="0"/>
      <w:marTop w:val="0"/>
      <w:marBottom w:val="0"/>
      <w:divBdr>
        <w:top w:val="none" w:sz="0" w:space="0" w:color="auto"/>
        <w:left w:val="none" w:sz="0" w:space="0" w:color="auto"/>
        <w:bottom w:val="none" w:sz="0" w:space="0" w:color="auto"/>
        <w:right w:val="none" w:sz="0" w:space="0" w:color="auto"/>
      </w:divBdr>
    </w:div>
    <w:div w:id="983434528">
      <w:bodyDiv w:val="1"/>
      <w:marLeft w:val="0"/>
      <w:marRight w:val="0"/>
      <w:marTop w:val="0"/>
      <w:marBottom w:val="0"/>
      <w:divBdr>
        <w:top w:val="none" w:sz="0" w:space="0" w:color="auto"/>
        <w:left w:val="none" w:sz="0" w:space="0" w:color="auto"/>
        <w:bottom w:val="none" w:sz="0" w:space="0" w:color="auto"/>
        <w:right w:val="none" w:sz="0" w:space="0" w:color="auto"/>
      </w:divBdr>
      <w:divsChild>
        <w:div w:id="1231117249">
          <w:marLeft w:val="0"/>
          <w:marRight w:val="0"/>
          <w:marTop w:val="0"/>
          <w:marBottom w:val="0"/>
          <w:divBdr>
            <w:top w:val="none" w:sz="0" w:space="0" w:color="auto"/>
            <w:left w:val="none" w:sz="0" w:space="0" w:color="auto"/>
            <w:bottom w:val="none" w:sz="0" w:space="0" w:color="auto"/>
            <w:right w:val="none" w:sz="0" w:space="0" w:color="auto"/>
          </w:divBdr>
        </w:div>
        <w:div w:id="224681658">
          <w:marLeft w:val="0"/>
          <w:marRight w:val="0"/>
          <w:marTop w:val="0"/>
          <w:marBottom w:val="0"/>
          <w:divBdr>
            <w:top w:val="none" w:sz="0" w:space="0" w:color="auto"/>
            <w:left w:val="none" w:sz="0" w:space="0" w:color="auto"/>
            <w:bottom w:val="none" w:sz="0" w:space="0" w:color="auto"/>
            <w:right w:val="none" w:sz="0" w:space="0" w:color="auto"/>
          </w:divBdr>
        </w:div>
      </w:divsChild>
    </w:div>
    <w:div w:id="1096638344">
      <w:bodyDiv w:val="1"/>
      <w:marLeft w:val="0"/>
      <w:marRight w:val="0"/>
      <w:marTop w:val="0"/>
      <w:marBottom w:val="0"/>
      <w:divBdr>
        <w:top w:val="none" w:sz="0" w:space="0" w:color="auto"/>
        <w:left w:val="none" w:sz="0" w:space="0" w:color="auto"/>
        <w:bottom w:val="none" w:sz="0" w:space="0" w:color="auto"/>
        <w:right w:val="none" w:sz="0" w:space="0" w:color="auto"/>
      </w:divBdr>
    </w:div>
    <w:div w:id="1145389133">
      <w:bodyDiv w:val="1"/>
      <w:marLeft w:val="0"/>
      <w:marRight w:val="0"/>
      <w:marTop w:val="0"/>
      <w:marBottom w:val="0"/>
      <w:divBdr>
        <w:top w:val="none" w:sz="0" w:space="0" w:color="auto"/>
        <w:left w:val="none" w:sz="0" w:space="0" w:color="auto"/>
        <w:bottom w:val="none" w:sz="0" w:space="0" w:color="auto"/>
        <w:right w:val="none" w:sz="0" w:space="0" w:color="auto"/>
      </w:divBdr>
    </w:div>
    <w:div w:id="1169950332">
      <w:bodyDiv w:val="1"/>
      <w:marLeft w:val="0"/>
      <w:marRight w:val="0"/>
      <w:marTop w:val="0"/>
      <w:marBottom w:val="0"/>
      <w:divBdr>
        <w:top w:val="none" w:sz="0" w:space="0" w:color="auto"/>
        <w:left w:val="none" w:sz="0" w:space="0" w:color="auto"/>
        <w:bottom w:val="none" w:sz="0" w:space="0" w:color="auto"/>
        <w:right w:val="none" w:sz="0" w:space="0" w:color="auto"/>
      </w:divBdr>
    </w:div>
    <w:div w:id="1184439660">
      <w:bodyDiv w:val="1"/>
      <w:marLeft w:val="0"/>
      <w:marRight w:val="0"/>
      <w:marTop w:val="0"/>
      <w:marBottom w:val="0"/>
      <w:divBdr>
        <w:top w:val="none" w:sz="0" w:space="0" w:color="auto"/>
        <w:left w:val="none" w:sz="0" w:space="0" w:color="auto"/>
        <w:bottom w:val="none" w:sz="0" w:space="0" w:color="auto"/>
        <w:right w:val="none" w:sz="0" w:space="0" w:color="auto"/>
      </w:divBdr>
    </w:div>
    <w:div w:id="1219898615">
      <w:bodyDiv w:val="1"/>
      <w:marLeft w:val="0"/>
      <w:marRight w:val="0"/>
      <w:marTop w:val="0"/>
      <w:marBottom w:val="0"/>
      <w:divBdr>
        <w:top w:val="none" w:sz="0" w:space="0" w:color="auto"/>
        <w:left w:val="none" w:sz="0" w:space="0" w:color="auto"/>
        <w:bottom w:val="none" w:sz="0" w:space="0" w:color="auto"/>
        <w:right w:val="none" w:sz="0" w:space="0" w:color="auto"/>
      </w:divBdr>
    </w:div>
    <w:div w:id="1220553429">
      <w:bodyDiv w:val="1"/>
      <w:marLeft w:val="0"/>
      <w:marRight w:val="0"/>
      <w:marTop w:val="0"/>
      <w:marBottom w:val="0"/>
      <w:divBdr>
        <w:top w:val="none" w:sz="0" w:space="0" w:color="auto"/>
        <w:left w:val="none" w:sz="0" w:space="0" w:color="auto"/>
        <w:bottom w:val="none" w:sz="0" w:space="0" w:color="auto"/>
        <w:right w:val="none" w:sz="0" w:space="0" w:color="auto"/>
      </w:divBdr>
    </w:div>
    <w:div w:id="1222133718">
      <w:bodyDiv w:val="1"/>
      <w:marLeft w:val="0"/>
      <w:marRight w:val="0"/>
      <w:marTop w:val="0"/>
      <w:marBottom w:val="0"/>
      <w:divBdr>
        <w:top w:val="none" w:sz="0" w:space="0" w:color="auto"/>
        <w:left w:val="none" w:sz="0" w:space="0" w:color="auto"/>
        <w:bottom w:val="none" w:sz="0" w:space="0" w:color="auto"/>
        <w:right w:val="none" w:sz="0" w:space="0" w:color="auto"/>
      </w:divBdr>
    </w:div>
    <w:div w:id="1281105318">
      <w:bodyDiv w:val="1"/>
      <w:marLeft w:val="0"/>
      <w:marRight w:val="0"/>
      <w:marTop w:val="0"/>
      <w:marBottom w:val="0"/>
      <w:divBdr>
        <w:top w:val="none" w:sz="0" w:space="0" w:color="auto"/>
        <w:left w:val="none" w:sz="0" w:space="0" w:color="auto"/>
        <w:bottom w:val="none" w:sz="0" w:space="0" w:color="auto"/>
        <w:right w:val="none" w:sz="0" w:space="0" w:color="auto"/>
      </w:divBdr>
    </w:div>
    <w:div w:id="1302342244">
      <w:bodyDiv w:val="1"/>
      <w:marLeft w:val="0"/>
      <w:marRight w:val="0"/>
      <w:marTop w:val="0"/>
      <w:marBottom w:val="0"/>
      <w:divBdr>
        <w:top w:val="none" w:sz="0" w:space="0" w:color="auto"/>
        <w:left w:val="none" w:sz="0" w:space="0" w:color="auto"/>
        <w:bottom w:val="none" w:sz="0" w:space="0" w:color="auto"/>
        <w:right w:val="none" w:sz="0" w:space="0" w:color="auto"/>
      </w:divBdr>
    </w:div>
    <w:div w:id="1341815300">
      <w:bodyDiv w:val="1"/>
      <w:marLeft w:val="0"/>
      <w:marRight w:val="0"/>
      <w:marTop w:val="0"/>
      <w:marBottom w:val="0"/>
      <w:divBdr>
        <w:top w:val="none" w:sz="0" w:space="0" w:color="auto"/>
        <w:left w:val="none" w:sz="0" w:space="0" w:color="auto"/>
        <w:bottom w:val="none" w:sz="0" w:space="0" w:color="auto"/>
        <w:right w:val="none" w:sz="0" w:space="0" w:color="auto"/>
      </w:divBdr>
    </w:div>
    <w:div w:id="1435591662">
      <w:bodyDiv w:val="1"/>
      <w:marLeft w:val="0"/>
      <w:marRight w:val="0"/>
      <w:marTop w:val="0"/>
      <w:marBottom w:val="0"/>
      <w:divBdr>
        <w:top w:val="none" w:sz="0" w:space="0" w:color="auto"/>
        <w:left w:val="none" w:sz="0" w:space="0" w:color="auto"/>
        <w:bottom w:val="none" w:sz="0" w:space="0" w:color="auto"/>
        <w:right w:val="none" w:sz="0" w:space="0" w:color="auto"/>
      </w:divBdr>
    </w:div>
    <w:div w:id="1588492013">
      <w:bodyDiv w:val="1"/>
      <w:marLeft w:val="0"/>
      <w:marRight w:val="0"/>
      <w:marTop w:val="0"/>
      <w:marBottom w:val="0"/>
      <w:divBdr>
        <w:top w:val="none" w:sz="0" w:space="0" w:color="auto"/>
        <w:left w:val="none" w:sz="0" w:space="0" w:color="auto"/>
        <w:bottom w:val="none" w:sz="0" w:space="0" w:color="auto"/>
        <w:right w:val="none" w:sz="0" w:space="0" w:color="auto"/>
      </w:divBdr>
    </w:div>
    <w:div w:id="1632402979">
      <w:bodyDiv w:val="1"/>
      <w:marLeft w:val="0"/>
      <w:marRight w:val="0"/>
      <w:marTop w:val="0"/>
      <w:marBottom w:val="0"/>
      <w:divBdr>
        <w:top w:val="none" w:sz="0" w:space="0" w:color="auto"/>
        <w:left w:val="none" w:sz="0" w:space="0" w:color="auto"/>
        <w:bottom w:val="none" w:sz="0" w:space="0" w:color="auto"/>
        <w:right w:val="none" w:sz="0" w:space="0" w:color="auto"/>
      </w:divBdr>
    </w:div>
    <w:div w:id="1687949414">
      <w:bodyDiv w:val="1"/>
      <w:marLeft w:val="0"/>
      <w:marRight w:val="0"/>
      <w:marTop w:val="0"/>
      <w:marBottom w:val="0"/>
      <w:divBdr>
        <w:top w:val="none" w:sz="0" w:space="0" w:color="auto"/>
        <w:left w:val="none" w:sz="0" w:space="0" w:color="auto"/>
        <w:bottom w:val="none" w:sz="0" w:space="0" w:color="auto"/>
        <w:right w:val="none" w:sz="0" w:space="0" w:color="auto"/>
      </w:divBdr>
    </w:div>
    <w:div w:id="1750152952">
      <w:bodyDiv w:val="1"/>
      <w:marLeft w:val="0"/>
      <w:marRight w:val="0"/>
      <w:marTop w:val="0"/>
      <w:marBottom w:val="0"/>
      <w:divBdr>
        <w:top w:val="none" w:sz="0" w:space="0" w:color="auto"/>
        <w:left w:val="none" w:sz="0" w:space="0" w:color="auto"/>
        <w:bottom w:val="none" w:sz="0" w:space="0" w:color="auto"/>
        <w:right w:val="none" w:sz="0" w:space="0" w:color="auto"/>
      </w:divBdr>
    </w:div>
    <w:div w:id="1818840718">
      <w:bodyDiv w:val="1"/>
      <w:marLeft w:val="0"/>
      <w:marRight w:val="0"/>
      <w:marTop w:val="0"/>
      <w:marBottom w:val="0"/>
      <w:divBdr>
        <w:top w:val="none" w:sz="0" w:space="0" w:color="auto"/>
        <w:left w:val="none" w:sz="0" w:space="0" w:color="auto"/>
        <w:bottom w:val="none" w:sz="0" w:space="0" w:color="auto"/>
        <w:right w:val="none" w:sz="0" w:space="0" w:color="auto"/>
      </w:divBdr>
    </w:div>
    <w:div w:id="1858033479">
      <w:bodyDiv w:val="1"/>
      <w:marLeft w:val="0"/>
      <w:marRight w:val="0"/>
      <w:marTop w:val="0"/>
      <w:marBottom w:val="0"/>
      <w:divBdr>
        <w:top w:val="none" w:sz="0" w:space="0" w:color="auto"/>
        <w:left w:val="none" w:sz="0" w:space="0" w:color="auto"/>
        <w:bottom w:val="none" w:sz="0" w:space="0" w:color="auto"/>
        <w:right w:val="none" w:sz="0" w:space="0" w:color="auto"/>
      </w:divBdr>
    </w:div>
    <w:div w:id="1861814651">
      <w:bodyDiv w:val="1"/>
      <w:marLeft w:val="0"/>
      <w:marRight w:val="0"/>
      <w:marTop w:val="0"/>
      <w:marBottom w:val="0"/>
      <w:divBdr>
        <w:top w:val="none" w:sz="0" w:space="0" w:color="auto"/>
        <w:left w:val="none" w:sz="0" w:space="0" w:color="auto"/>
        <w:bottom w:val="none" w:sz="0" w:space="0" w:color="auto"/>
        <w:right w:val="none" w:sz="0" w:space="0" w:color="auto"/>
      </w:divBdr>
    </w:div>
    <w:div w:id="1876505201">
      <w:bodyDiv w:val="1"/>
      <w:marLeft w:val="0"/>
      <w:marRight w:val="0"/>
      <w:marTop w:val="0"/>
      <w:marBottom w:val="0"/>
      <w:divBdr>
        <w:top w:val="none" w:sz="0" w:space="0" w:color="auto"/>
        <w:left w:val="none" w:sz="0" w:space="0" w:color="auto"/>
        <w:bottom w:val="none" w:sz="0" w:space="0" w:color="auto"/>
        <w:right w:val="none" w:sz="0" w:space="0" w:color="auto"/>
      </w:divBdr>
    </w:div>
    <w:div w:id="1967736176">
      <w:bodyDiv w:val="1"/>
      <w:marLeft w:val="0"/>
      <w:marRight w:val="0"/>
      <w:marTop w:val="0"/>
      <w:marBottom w:val="0"/>
      <w:divBdr>
        <w:top w:val="none" w:sz="0" w:space="0" w:color="auto"/>
        <w:left w:val="none" w:sz="0" w:space="0" w:color="auto"/>
        <w:bottom w:val="none" w:sz="0" w:space="0" w:color="auto"/>
        <w:right w:val="none" w:sz="0" w:space="0" w:color="auto"/>
      </w:divBdr>
    </w:div>
    <w:div w:id="20558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dLbl>
              <c:idx val="0"/>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780-4BAB-AC69-C9FD31C6BEFD}"/>
                </c:ext>
              </c:extLst>
            </c:dLbl>
            <c:dLbl>
              <c:idx val="1"/>
              <c:layout/>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780-4BAB-AC69-C9FD31C6BEFD}"/>
                </c:ext>
              </c:extLst>
            </c:dLbl>
            <c:dLbl>
              <c:idx val="2"/>
              <c:layout/>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780-4BAB-AC69-C9FD31C6BEFD}"/>
                </c:ext>
              </c:extLst>
            </c:dLbl>
            <c:dLbl>
              <c:idx val="3"/>
              <c:layout/>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780-4BAB-AC69-C9FD31C6BEFD}"/>
                </c:ext>
              </c:extLst>
            </c:dLbl>
            <c:dLbl>
              <c:idx val="4"/>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780-4BAB-AC69-C9FD31C6BEF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Territorial Conflict</c:v>
                </c:pt>
                <c:pt idx="1">
                  <c:v>Non-Territorial Conflict</c:v>
                </c:pt>
                <c:pt idx="2">
                  <c:v>Territorial Autonomy</c:v>
                </c:pt>
                <c:pt idx="3">
                  <c:v>No Territorial Autonomy</c:v>
                </c:pt>
                <c:pt idx="4">
                  <c:v>All agreements</c:v>
                </c:pt>
              </c:strCache>
            </c:strRef>
          </c:cat>
          <c:val>
            <c:numRef>
              <c:f>Sheet1!$B$2:$B$6</c:f>
              <c:numCache>
                <c:formatCode>General</c:formatCode>
                <c:ptCount val="5"/>
                <c:pt idx="0">
                  <c:v>31</c:v>
                </c:pt>
                <c:pt idx="1">
                  <c:v>79</c:v>
                </c:pt>
                <c:pt idx="2">
                  <c:v>36</c:v>
                </c:pt>
                <c:pt idx="3">
                  <c:v>75</c:v>
                </c:pt>
                <c:pt idx="4">
                  <c:v>55</c:v>
                </c:pt>
              </c:numCache>
            </c:numRef>
          </c:val>
          <c:extLst>
            <c:ext xmlns:c16="http://schemas.microsoft.com/office/drawing/2014/chart" uri="{C3380CC4-5D6E-409C-BE32-E72D297353CC}">
              <c16:uniqueId val="{00000005-8780-4BAB-AC69-C9FD31C6BEFD}"/>
            </c:ext>
          </c:extLst>
        </c:ser>
        <c:ser>
          <c:idx val="1"/>
          <c:order val="1"/>
          <c:tx>
            <c:strRef>
              <c:f>Sheet1!$C$1</c:f>
              <c:strCache>
                <c:ptCount val="1"/>
                <c:pt idx="0">
                  <c:v>No</c:v>
                </c:pt>
              </c:strCache>
            </c:strRef>
          </c:tx>
          <c:spPr>
            <a:pattFill prst="ltDnDiag">
              <a:fgClr>
                <a:schemeClr val="accent2"/>
              </a:fgClr>
              <a:bgClr>
                <a:schemeClr val="bg1"/>
              </a:bgClr>
            </a:pattFill>
          </c:spPr>
          <c:invertIfNegative val="0"/>
          <c:dLbls>
            <c:dLbl>
              <c:idx val="0"/>
              <c:layout/>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780-4BAB-AC69-C9FD31C6BEFD}"/>
                </c:ext>
              </c:extLst>
            </c:dLbl>
            <c:dLbl>
              <c:idx val="1"/>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780-4BAB-AC69-C9FD31C6BEFD}"/>
                </c:ext>
              </c:extLst>
            </c:dLbl>
            <c:dLbl>
              <c:idx val="2"/>
              <c:layout/>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780-4BAB-AC69-C9FD31C6BEFD}"/>
                </c:ext>
              </c:extLst>
            </c:dLbl>
            <c:dLbl>
              <c:idx val="3"/>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780-4BAB-AC69-C9FD31C6BEFD}"/>
                </c:ext>
              </c:extLst>
            </c:dLbl>
            <c:dLbl>
              <c:idx val="4"/>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780-4BAB-AC69-C9FD31C6BEF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Sheet1!$A$2:$A$6</c:f>
              <c:strCache>
                <c:ptCount val="5"/>
                <c:pt idx="0">
                  <c:v>Territorial Conflict</c:v>
                </c:pt>
                <c:pt idx="1">
                  <c:v>Non-Territorial Conflict</c:v>
                </c:pt>
                <c:pt idx="2">
                  <c:v>Territorial Autonomy</c:v>
                </c:pt>
                <c:pt idx="3">
                  <c:v>No Territorial Autonomy</c:v>
                </c:pt>
                <c:pt idx="4">
                  <c:v>All agreements</c:v>
                </c:pt>
              </c:strCache>
            </c:strRef>
          </c:cat>
          <c:val>
            <c:numRef>
              <c:f>Sheet1!$C$2:$C$6</c:f>
              <c:numCache>
                <c:formatCode>General</c:formatCode>
                <c:ptCount val="5"/>
                <c:pt idx="0">
                  <c:v>69</c:v>
                </c:pt>
                <c:pt idx="1">
                  <c:v>21</c:v>
                </c:pt>
                <c:pt idx="2">
                  <c:v>64</c:v>
                </c:pt>
                <c:pt idx="3">
                  <c:v>25</c:v>
                </c:pt>
                <c:pt idx="4">
                  <c:v>45</c:v>
                </c:pt>
              </c:numCache>
            </c:numRef>
          </c:val>
          <c:extLst>
            <c:ext xmlns:c16="http://schemas.microsoft.com/office/drawing/2014/chart" uri="{C3380CC4-5D6E-409C-BE32-E72D297353CC}">
              <c16:uniqueId val="{0000000B-8780-4BAB-AC69-C9FD31C6BEFD}"/>
            </c:ext>
          </c:extLst>
        </c:ser>
        <c:dLbls>
          <c:showLegendKey val="0"/>
          <c:showVal val="0"/>
          <c:showCatName val="0"/>
          <c:showSerName val="0"/>
          <c:showPercent val="0"/>
          <c:showBubbleSize val="0"/>
        </c:dLbls>
        <c:gapWidth val="150"/>
        <c:overlap val="100"/>
        <c:axId val="272570760"/>
        <c:axId val="272571544"/>
      </c:barChart>
      <c:catAx>
        <c:axId val="272570760"/>
        <c:scaling>
          <c:orientation val="minMax"/>
        </c:scaling>
        <c:delete val="0"/>
        <c:axPos val="b"/>
        <c:numFmt formatCode="General" sourceLinked="0"/>
        <c:majorTickMark val="out"/>
        <c:minorTickMark val="none"/>
        <c:tickLblPos val="nextTo"/>
        <c:crossAx val="272571544"/>
        <c:crosses val="autoZero"/>
        <c:auto val="1"/>
        <c:lblAlgn val="ctr"/>
        <c:lblOffset val="100"/>
        <c:noMultiLvlLbl val="0"/>
      </c:catAx>
      <c:valAx>
        <c:axId val="272571544"/>
        <c:scaling>
          <c:orientation val="minMax"/>
        </c:scaling>
        <c:delete val="0"/>
        <c:axPos val="l"/>
        <c:majorGridlines/>
        <c:numFmt formatCode="0%" sourceLinked="1"/>
        <c:majorTickMark val="out"/>
        <c:minorTickMark val="none"/>
        <c:tickLblPos val="nextTo"/>
        <c:crossAx val="2725707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dLbl>
              <c:idx val="0"/>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B19-44E1-BAD2-9D1752DAAD55}"/>
                </c:ext>
              </c:extLst>
            </c:dLbl>
            <c:dLbl>
              <c:idx val="1"/>
              <c:layout/>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B19-44E1-BAD2-9D1752DAAD55}"/>
                </c:ext>
              </c:extLst>
            </c:dLbl>
            <c:dLbl>
              <c:idx val="2"/>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B19-44E1-BAD2-9D1752DAAD55}"/>
                </c:ext>
              </c:extLst>
            </c:dLbl>
            <c:dLbl>
              <c:idx val="3"/>
              <c:layout/>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B19-44E1-BAD2-9D1752DAAD55}"/>
                </c:ext>
              </c:extLst>
            </c:dLbl>
            <c:dLbl>
              <c:idx val="4"/>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B19-44E1-BAD2-9D1752DAAD5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Territorial Conflict</c:v>
                </c:pt>
                <c:pt idx="1">
                  <c:v>Non-Territorial Conflict</c:v>
                </c:pt>
                <c:pt idx="2">
                  <c:v>Territorial Autonomy</c:v>
                </c:pt>
                <c:pt idx="3">
                  <c:v>No Territorial Autonomy</c:v>
                </c:pt>
                <c:pt idx="4">
                  <c:v>All Agreements</c:v>
                </c:pt>
              </c:strCache>
            </c:strRef>
          </c:cat>
          <c:val>
            <c:numRef>
              <c:f>Sheet1!$B$2:$B$6</c:f>
              <c:numCache>
                <c:formatCode>General</c:formatCode>
                <c:ptCount val="5"/>
                <c:pt idx="0">
                  <c:v>27</c:v>
                </c:pt>
                <c:pt idx="1">
                  <c:v>64</c:v>
                </c:pt>
                <c:pt idx="2">
                  <c:v>23</c:v>
                </c:pt>
                <c:pt idx="3">
                  <c:v>63</c:v>
                </c:pt>
                <c:pt idx="4">
                  <c:v>45</c:v>
                </c:pt>
              </c:numCache>
            </c:numRef>
          </c:val>
          <c:extLst>
            <c:ext xmlns:c16="http://schemas.microsoft.com/office/drawing/2014/chart" uri="{C3380CC4-5D6E-409C-BE32-E72D297353CC}">
              <c16:uniqueId val="{00000005-5B19-44E1-BAD2-9D1752DAAD55}"/>
            </c:ext>
          </c:extLst>
        </c:ser>
        <c:ser>
          <c:idx val="1"/>
          <c:order val="1"/>
          <c:tx>
            <c:strRef>
              <c:f>Sheet1!$C$1</c:f>
              <c:strCache>
                <c:ptCount val="1"/>
                <c:pt idx="0">
                  <c:v>No</c:v>
                </c:pt>
              </c:strCache>
            </c:strRef>
          </c:tx>
          <c:spPr>
            <a:pattFill prst="ltDnDiag">
              <a:fgClr>
                <a:schemeClr val="accent2"/>
              </a:fgClr>
              <a:bgClr>
                <a:schemeClr val="bg1"/>
              </a:bgClr>
            </a:pattFill>
          </c:spPr>
          <c:invertIfNegative val="0"/>
          <c:dLbls>
            <c:dLbl>
              <c:idx val="0"/>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B19-44E1-BAD2-9D1752DAAD55}"/>
                </c:ext>
              </c:extLst>
            </c:dLbl>
            <c:dLbl>
              <c:idx val="1"/>
              <c:layout/>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B19-44E1-BAD2-9D1752DAAD55}"/>
                </c:ext>
              </c:extLst>
            </c:dLbl>
            <c:dLbl>
              <c:idx val="2"/>
              <c:layout/>
              <c:tx>
                <c:rich>
                  <a:bodyPr/>
                  <a:lstStyle/>
                  <a:p>
                    <a:r>
                      <a:rPr lang="en-US"/>
                      <a:t>77%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B19-44E1-BAD2-9D1752DAAD55}"/>
                </c:ext>
              </c:extLst>
            </c:dLbl>
            <c:dLbl>
              <c:idx val="3"/>
              <c:layout/>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B19-44E1-BAD2-9D1752DAAD55}"/>
                </c:ext>
              </c:extLst>
            </c:dLbl>
            <c:dLbl>
              <c:idx val="4"/>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B19-44E1-BAD2-9D1752DAAD5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Territorial Conflict</c:v>
                </c:pt>
                <c:pt idx="1">
                  <c:v>Non-Territorial Conflict</c:v>
                </c:pt>
                <c:pt idx="2">
                  <c:v>Territorial Autonomy</c:v>
                </c:pt>
                <c:pt idx="3">
                  <c:v>No Territorial Autonomy</c:v>
                </c:pt>
                <c:pt idx="4">
                  <c:v>All Agreements</c:v>
                </c:pt>
              </c:strCache>
            </c:strRef>
          </c:cat>
          <c:val>
            <c:numRef>
              <c:f>Sheet1!$C$2:$C$6</c:f>
              <c:numCache>
                <c:formatCode>General</c:formatCode>
                <c:ptCount val="5"/>
                <c:pt idx="0">
                  <c:v>73</c:v>
                </c:pt>
                <c:pt idx="1">
                  <c:v>36</c:v>
                </c:pt>
                <c:pt idx="2">
                  <c:v>77</c:v>
                </c:pt>
                <c:pt idx="3">
                  <c:v>37</c:v>
                </c:pt>
                <c:pt idx="4">
                  <c:v>55</c:v>
                </c:pt>
              </c:numCache>
            </c:numRef>
          </c:val>
          <c:extLst>
            <c:ext xmlns:c16="http://schemas.microsoft.com/office/drawing/2014/chart" uri="{C3380CC4-5D6E-409C-BE32-E72D297353CC}">
              <c16:uniqueId val="{0000000B-5B19-44E1-BAD2-9D1752DAAD55}"/>
            </c:ext>
          </c:extLst>
        </c:ser>
        <c:dLbls>
          <c:showLegendKey val="0"/>
          <c:showVal val="0"/>
          <c:showCatName val="0"/>
          <c:showSerName val="0"/>
          <c:showPercent val="0"/>
          <c:showBubbleSize val="0"/>
        </c:dLbls>
        <c:gapWidth val="150"/>
        <c:overlap val="100"/>
        <c:axId val="273192992"/>
        <c:axId val="273194168"/>
      </c:barChart>
      <c:catAx>
        <c:axId val="273192992"/>
        <c:scaling>
          <c:orientation val="minMax"/>
        </c:scaling>
        <c:delete val="0"/>
        <c:axPos val="b"/>
        <c:numFmt formatCode="General" sourceLinked="0"/>
        <c:majorTickMark val="out"/>
        <c:minorTickMark val="none"/>
        <c:tickLblPos val="nextTo"/>
        <c:crossAx val="273194168"/>
        <c:crosses val="autoZero"/>
        <c:auto val="1"/>
        <c:lblAlgn val="ctr"/>
        <c:lblOffset val="100"/>
        <c:noMultiLvlLbl val="0"/>
      </c:catAx>
      <c:valAx>
        <c:axId val="273194168"/>
        <c:scaling>
          <c:orientation val="minMax"/>
        </c:scaling>
        <c:delete val="0"/>
        <c:axPos val="l"/>
        <c:majorGridlines/>
        <c:numFmt formatCode="0%" sourceLinked="1"/>
        <c:majorTickMark val="out"/>
        <c:minorTickMark val="none"/>
        <c:tickLblPos val="nextTo"/>
        <c:crossAx val="273192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dLbl>
              <c:idx val="0"/>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F5C-4DAB-BCC8-235CD72C91DA}"/>
                </c:ext>
              </c:extLst>
            </c:dLbl>
            <c:dLbl>
              <c:idx val="1"/>
              <c:layout/>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F5C-4DAB-BCC8-235CD72C91DA}"/>
                </c:ext>
              </c:extLst>
            </c:dLbl>
            <c:dLbl>
              <c:idx val="2"/>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F5C-4DAB-BCC8-235CD72C91DA}"/>
                </c:ext>
              </c:extLst>
            </c:dLbl>
            <c:dLbl>
              <c:idx val="3"/>
              <c:layout/>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F5C-4DAB-BCC8-235CD72C91DA}"/>
                </c:ext>
              </c:extLst>
            </c:dLbl>
            <c:dLbl>
              <c:idx val="4"/>
              <c:layout/>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F5C-4DAB-BCC8-235CD72C91D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Territorial Conflict</c:v>
                </c:pt>
                <c:pt idx="1">
                  <c:v>Non-Territorial Conflict</c:v>
                </c:pt>
                <c:pt idx="2">
                  <c:v>Territorial Autonomy</c:v>
                </c:pt>
                <c:pt idx="3">
                  <c:v>No Territorial Autonomy</c:v>
                </c:pt>
                <c:pt idx="4">
                  <c:v>All Agreements</c:v>
                </c:pt>
              </c:strCache>
            </c:strRef>
          </c:cat>
          <c:val>
            <c:numRef>
              <c:f>Sheet1!$B$2:$B$6</c:f>
              <c:numCache>
                <c:formatCode>General</c:formatCode>
                <c:ptCount val="5"/>
                <c:pt idx="0">
                  <c:v>27</c:v>
                </c:pt>
                <c:pt idx="1">
                  <c:v>57</c:v>
                </c:pt>
                <c:pt idx="2">
                  <c:v>23</c:v>
                </c:pt>
                <c:pt idx="3">
                  <c:v>56</c:v>
                </c:pt>
                <c:pt idx="4">
                  <c:v>41</c:v>
                </c:pt>
              </c:numCache>
            </c:numRef>
          </c:val>
          <c:extLst>
            <c:ext xmlns:c16="http://schemas.microsoft.com/office/drawing/2014/chart" uri="{C3380CC4-5D6E-409C-BE32-E72D297353CC}">
              <c16:uniqueId val="{00000005-1F5C-4DAB-BCC8-235CD72C91DA}"/>
            </c:ext>
          </c:extLst>
        </c:ser>
        <c:ser>
          <c:idx val="1"/>
          <c:order val="1"/>
          <c:tx>
            <c:strRef>
              <c:f>Sheet1!$C$1</c:f>
              <c:strCache>
                <c:ptCount val="1"/>
                <c:pt idx="0">
                  <c:v>No</c:v>
                </c:pt>
              </c:strCache>
            </c:strRef>
          </c:tx>
          <c:spPr>
            <a:pattFill prst="ltDnDiag">
              <a:fgClr>
                <a:schemeClr val="accent2"/>
              </a:fgClr>
              <a:bgClr>
                <a:schemeClr val="bg1"/>
              </a:bgClr>
            </a:pattFill>
          </c:spPr>
          <c:invertIfNegative val="0"/>
          <c:dLbls>
            <c:dLbl>
              <c:idx val="0"/>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F5C-4DAB-BCC8-235CD72C91DA}"/>
                </c:ext>
              </c:extLst>
            </c:dLbl>
            <c:dLbl>
              <c:idx val="1"/>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F5C-4DAB-BCC8-235CD72C91DA}"/>
                </c:ext>
              </c:extLst>
            </c:dLbl>
            <c:dLbl>
              <c:idx val="2"/>
              <c:layout/>
              <c:tx>
                <c:rich>
                  <a:bodyPr/>
                  <a:lstStyle/>
                  <a:p>
                    <a:r>
                      <a:rPr lang="en-US"/>
                      <a:t>77%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F5C-4DAB-BCC8-235CD72C91DA}"/>
                </c:ext>
              </c:extLst>
            </c:dLbl>
            <c:dLbl>
              <c:idx val="3"/>
              <c:layout/>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F5C-4DAB-BCC8-235CD72C91DA}"/>
                </c:ext>
              </c:extLst>
            </c:dLbl>
            <c:dLbl>
              <c:idx val="4"/>
              <c:layout/>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F5C-4DAB-BCC8-235CD72C91D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Territorial Conflict</c:v>
                </c:pt>
                <c:pt idx="1">
                  <c:v>Non-Territorial Conflict</c:v>
                </c:pt>
                <c:pt idx="2">
                  <c:v>Territorial Autonomy</c:v>
                </c:pt>
                <c:pt idx="3">
                  <c:v>No Territorial Autonomy</c:v>
                </c:pt>
                <c:pt idx="4">
                  <c:v>All Agreements</c:v>
                </c:pt>
              </c:strCache>
            </c:strRef>
          </c:cat>
          <c:val>
            <c:numRef>
              <c:f>Sheet1!$C$2:$C$6</c:f>
              <c:numCache>
                <c:formatCode>General</c:formatCode>
                <c:ptCount val="5"/>
                <c:pt idx="0">
                  <c:v>73</c:v>
                </c:pt>
                <c:pt idx="1">
                  <c:v>43</c:v>
                </c:pt>
                <c:pt idx="2">
                  <c:v>77</c:v>
                </c:pt>
                <c:pt idx="3">
                  <c:v>44</c:v>
                </c:pt>
                <c:pt idx="4">
                  <c:v>59</c:v>
                </c:pt>
              </c:numCache>
            </c:numRef>
          </c:val>
          <c:extLst>
            <c:ext xmlns:c16="http://schemas.microsoft.com/office/drawing/2014/chart" uri="{C3380CC4-5D6E-409C-BE32-E72D297353CC}">
              <c16:uniqueId val="{0000000B-1F5C-4DAB-BCC8-235CD72C91DA}"/>
            </c:ext>
          </c:extLst>
        </c:ser>
        <c:dLbls>
          <c:showLegendKey val="0"/>
          <c:showVal val="0"/>
          <c:showCatName val="0"/>
          <c:showSerName val="0"/>
          <c:showPercent val="0"/>
          <c:showBubbleSize val="0"/>
        </c:dLbls>
        <c:gapWidth val="150"/>
        <c:overlap val="100"/>
        <c:axId val="314162368"/>
        <c:axId val="314161976"/>
      </c:barChart>
      <c:catAx>
        <c:axId val="314162368"/>
        <c:scaling>
          <c:orientation val="minMax"/>
        </c:scaling>
        <c:delete val="0"/>
        <c:axPos val="b"/>
        <c:numFmt formatCode="General" sourceLinked="0"/>
        <c:majorTickMark val="out"/>
        <c:minorTickMark val="none"/>
        <c:tickLblPos val="nextTo"/>
        <c:crossAx val="314161976"/>
        <c:crosses val="autoZero"/>
        <c:auto val="1"/>
        <c:lblAlgn val="ctr"/>
        <c:lblOffset val="100"/>
        <c:noMultiLvlLbl val="0"/>
      </c:catAx>
      <c:valAx>
        <c:axId val="314161976"/>
        <c:scaling>
          <c:orientation val="minMax"/>
        </c:scaling>
        <c:delete val="0"/>
        <c:axPos val="l"/>
        <c:majorGridlines/>
        <c:numFmt formatCode="0%" sourceLinked="1"/>
        <c:majorTickMark val="out"/>
        <c:minorTickMark val="none"/>
        <c:tickLblPos val="nextTo"/>
        <c:crossAx val="3141623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Uni04</b:Tag>
    <b:SourceType>Report</b:SourceType>
    <b:Guid>{29E6625B-0E07-454F-A1C8-AB9788E63BFE}</b:Guid>
    <b:Title>The rule of law and transitional justice in conflict and post-conflict societies</b:Title>
    <b:Year>2004</b:Year>
    <b:City>New York</b:City>
    <b:Publisher>Report of the Secretary General</b:Publisher>
    <b:Author>
      <b:Author>
        <b:Corporate>United Nations</b:Corporate>
      </b:Author>
    </b:Author>
    <b:RefOrder>1</b:RefOrder>
  </b:Source>
  <b:Source>
    <b:Tag>Coo11</b:Tag>
    <b:SourceType>JournalArticle</b:SourceType>
    <b:Guid>{4E8A44AE-35A6-4EBC-AC1E-F502A3983412}</b:Guid>
    <b:Author>
      <b:Author>
        <b:NameList>
          <b:Person>
            <b:Last>Cooper</b:Last>
            <b:First>Neil</b:First>
          </b:Person>
          <b:Person>
            <b:Last>Turner</b:Last>
            <b:First>Mandy</b:First>
          </b:Person>
          <b:Person>
            <b:Last>Pugh</b:Last>
            <b:First>Michael</b:First>
          </b:Person>
        </b:NameList>
      </b:Author>
    </b:Author>
    <b:Title>The End of History and the Last Liberal Peacebuilder: A Reply to Roland Paris</b:Title>
    <b:PeriodicalTitle>Review of International Studies </b:PeriodicalTitle>
    <b:Year>2011</b:Year>
    <b:Pages>1995-2007</b:Pages>
    <b:JournalName>Review of International Studies</b:JournalName>
    <b:Volume>37</b:Volume>
    <b:Issue>4</b:Issue>
    <b:RefOrder>27</b:RefOrder>
  </b:Source>
  <b:Source>
    <b:Tag>Ric09</b:Tag>
    <b:SourceType>JournalArticle</b:SourceType>
    <b:Guid>{C6E30ED3-9B9E-421A-B6C7-86DBD434CF5B}</b:Guid>
    <b:Author>
      <b:Author>
        <b:NameList>
          <b:Person>
            <b:Last>Richmond</b:Last>
            <b:First>Oliver</b:First>
            <b:Middle>P.</b:Middle>
          </b:Person>
        </b:NameList>
      </b:Author>
    </b:Author>
    <b:Title>A Post-Liberal Peace: Eirenism and the everyday</b:Title>
    <b:JournalName>Review of International Studies</b:JournalName>
    <b:Year>2009</b:Year>
    <b:Pages>557-580</b:Pages>
    <b:Volume>35</b:Volume>
    <b:Issue>3</b:Issue>
    <b:RefOrder>28</b:RefOrder>
  </b:Source>
  <b:Source>
    <b:Tag>Mac13</b:Tag>
    <b:SourceType>JournalArticle</b:SourceType>
    <b:Guid>{7E3913D3-20FF-442F-9049-88D4AEE0A475}</b:Guid>
    <b:Author>
      <b:Author>
        <b:NameList>
          <b:Person>
            <b:Last>MacGinty</b:Last>
            <b:First>Roger</b:First>
          </b:Person>
          <b:Person>
            <b:Last>Richmond</b:Last>
            <b:First>Oliver</b:First>
            <b:Middle>P.</b:Middle>
          </b:Person>
        </b:NameList>
      </b:Author>
    </b:Author>
    <b:Title>The Local Turn in Peace Building: A critical agenda for peace</b:Title>
    <b:JournalName>Third World Quarterly</b:JournalName>
    <b:Year>2013</b:Year>
    <b:Pages>763-783</b:Pages>
    <b:Volume>34</b:Volume>
    <b:Issue>5</b:Issue>
    <b:RefOrder>29</b:RefOrder>
  </b:Source>
  <b:Source>
    <b:Tag>Sel13</b:Tag>
    <b:SourceType>JournalArticle</b:SourceType>
    <b:Guid>{9092CECC-0DAC-4EB8-B013-FC15C09F5292}</b:Guid>
    <b:Author>
      <b:Author>
        <b:NameList>
          <b:Person>
            <b:Last>Selby</b:Last>
            <b:First>Ian</b:First>
          </b:Person>
        </b:NameList>
      </b:Author>
    </b:Author>
    <b:Title>The myth of liberal peace-building</b:Title>
    <b:JournalName>Conflict, Security and Development</b:JournalName>
    <b:Year>2013</b:Year>
    <b:Pages>57-86</b:Pages>
    <b:Volume>13</b:Volume>
    <b:Issue>1</b:Issue>
    <b:RefOrder>30</b:RefOrder>
  </b:Source>
  <b:Source>
    <b:Tag>Sri08</b:Tag>
    <b:SourceType>Book</b:SourceType>
    <b:Guid>{56F40B3B-545D-4B51-8767-F1AC355FE51E}</b:Guid>
    <b:Title>Peace as Governance: Power-Sharing, Armed Groups and Contemporary Peace Negotiations</b:Title>
    <b:Year>2008</b:Year>
    <b:Author>
      <b:Author>
        <b:NameList>
          <b:Person>
            <b:Last>Sriram</b:Last>
            <b:First>Chandra</b:First>
            <b:Middle>Lekha</b:Middle>
          </b:Person>
        </b:NameList>
      </b:Author>
    </b:Author>
    <b:City>Houndmills</b:City>
    <b:Publisher>Palgrave Macmillan</b:Publisher>
    <b:RefOrder>14</b:RefOrder>
  </b:Source>
  <b:Source>
    <b:Tag>Bel00</b:Tag>
    <b:SourceType>Book</b:SourceType>
    <b:Guid>{7F979F08-8C4F-4664-AE08-4FD0E8249C2D}</b:Guid>
    <b:Title>Peace Agreements and Human Rights</b:Title>
    <b:Year>2000</b:Year>
    <b:Author>
      <b:Author>
        <b:NameList>
          <b:Person>
            <b:Last>Bell</b:Last>
            <b:First>Christine</b:First>
          </b:Person>
        </b:NameList>
      </b:Author>
    </b:Author>
    <b:City>Oxford</b:City>
    <b:Publisher>Oxford University Press</b:Publisher>
    <b:RefOrder>19</b:RefOrder>
  </b:Source>
  <b:Source>
    <b:Tag>Ano96</b:Tag>
    <b:SourceType>JournalArticle</b:SourceType>
    <b:Guid>{0FD82A2E-2D87-411E-9542-A68E63AB1250}</b:Guid>
    <b:Title>Human Rights in Peace Negotiations</b:Title>
    <b:Year>1996</b:Year>
    <b:Author>
      <b:Author>
        <b:NameList>
          <b:Person>
            <b:Last>Anonymous</b:Last>
          </b:Person>
        </b:NameList>
      </b:Author>
    </b:Author>
    <b:JournalName>Human Rights Quarterly</b:JournalName>
    <b:Pages>249-258</b:Pages>
    <b:Volume>18</b:Volume>
    <b:Issue>2</b:Issue>
    <b:RefOrder>31</b:RefOrder>
  </b:Source>
  <b:Source>
    <b:Tag>Sri14</b:Tag>
    <b:SourceType>Book</b:SourceType>
    <b:Guid>{FD3F8F50-DFEC-4DFD-BF9A-F0436ACB8FB1}</b:Guid>
    <b:Title>War, Conflict and Human Rights</b:Title>
    <b:Year>2014</b:Year>
    <b:Author>
      <b:Author>
        <b:NameList>
          <b:Person>
            <b:Last>Sriram</b:Last>
            <b:First>Chandra</b:First>
            <b:Middle>Lekha</b:Middle>
          </b:Person>
          <b:Person>
            <b:Last>Martin-Ortega</b:Last>
            <b:First>Olga</b:First>
          </b:Person>
          <b:Person>
            <b:Last>Herman</b:Last>
            <b:First>Johanna</b:First>
          </b:Person>
        </b:NameList>
      </b:Author>
    </b:Author>
    <b:City>London</b:City>
    <b:Publisher>Routledge</b:Publisher>
    <b:RefOrder>32</b:RefOrder>
  </b:Source>
  <b:Source>
    <b:Tag>Sch99</b:Tag>
    <b:SourceType>JournalArticle</b:SourceType>
    <b:Guid>{FE3AAEE4-A9B9-4351-9E57-11C8FF624102}</b:Guid>
    <b:Title>The Amnesty Exception to the Jurisdiction of the International Criminal Court </b:Title>
    <b:Year>1999</b:Year>
    <b:Pages>507-527</b:Pages>
    <b:Author>
      <b:Author>
        <b:NameList>
          <b:Person>
            <b:Last>Scharf</b:Last>
            <b:First>Michael</b:First>
            <b:Middle>P.</b:Middle>
          </b:Person>
        </b:NameList>
      </b:Author>
    </b:Author>
    <b:JournalName>Cornell International Law Journal</b:JournalName>
    <b:Volume>32</b:Volume>
    <b:RefOrder>33</b:RefOrder>
  </b:Source>
  <b:Source>
    <b:Tag>Gro06</b:Tag>
    <b:SourceType>Report</b:SourceType>
    <b:Guid>{1B89C364-E2A2-4BE3-92C8-42A5390B5E2E}</b:Guid>
    <b:Title>The Role of the International Court in Peace Processes: Mutually Reinforcing or Mutually Exclusive?</b:Title>
    <b:Year>2006</b:Year>
    <b:Publisher>IPPR briefing paper</b:Publisher>
    <b:Author>
      <b:Author>
        <b:NameList>
          <b:Person>
            <b:Last>Grono</b:Last>
            <b:First>Nick</b:First>
          </b:Person>
        </b:NameList>
      </b:Author>
    </b:Author>
    <b:RefOrder>34</b:RefOrder>
  </b:Source>
  <b:Source>
    <b:Tag>Sri07</b:Tag>
    <b:SourceType>JournalArticle</b:SourceType>
    <b:Guid>{A1013A04-478D-4F88-907E-2935CB34660A}</b:Guid>
    <b:Author>
      <b:Author>
        <b:NameList>
          <b:Person>
            <b:Last>Sriram</b:Last>
            <b:First>Chandra</b:First>
            <b:Middle>Lekha</b:Middle>
          </b:Person>
        </b:NameList>
      </b:Author>
    </b:Author>
    <b:Title>Justice as Peace? Liberal Peacebuilding and Strategies of Transitional Justice </b:Title>
    <b:Year>2007</b:Year>
    <b:Pages>579-591</b:Pages>
    <b:JournalName>Global Society</b:JournalName>
    <b:Volume>21</b:Volume>
    <b:Issue>4</b:Issue>
    <b:RefOrder>35</b:RefOrder>
  </b:Source>
  <b:Source>
    <b:Tag>Wol091</b:Tag>
    <b:SourceType>JournalArticle</b:SourceType>
    <b:Guid>{0E420D74-8049-4907-A7B3-74655BE7E8C2}</b:Guid>
    <b:Author>
      <b:Author>
        <b:NameList>
          <b:Person>
            <b:Last>Wolff</b:Last>
            <b:First>Stefan</b:First>
          </b:Person>
        </b:NameList>
      </b:Author>
    </b:Author>
    <b:Title>Complex Power-sharing and the Centrality of Territorial Self-governance in Contemporary Conflict Settlements</b:Title>
    <b:JournalName>Ethnopolitics</b:JournalName>
    <b:Year>2009</b:Year>
    <b:Pages>27-45</b:Pages>
    <b:Volume>8</b:Volume>
    <b:Issue>1</b:Issue>
    <b:RefOrder>4</b:RefOrder>
  </b:Source>
  <b:Source>
    <b:Tag>Roe09</b:Tag>
    <b:SourceType>JournalArticle</b:SourceType>
    <b:Guid>{AC17D3BA-C718-4596-BCD6-2932D56F351C}</b:Guid>
    <b:Title>Ethnofederalism and the Mismanagement of Conflicting Nationalisms</b:Title>
    <b:Year>2009</b:Year>
    <b:Pages>203-219</b:Pages>
    <b:Author>
      <b:Author>
        <b:NameList>
          <b:Person>
            <b:Last>Roeder</b:Last>
            <b:First>Philip</b:First>
            <b:Middle>G.</b:Middle>
          </b:Person>
        </b:NameList>
      </b:Author>
    </b:Author>
    <b:JournalName>Regional and Federal Studies</b:JournalName>
    <b:Volume>19</b:Volume>
    <b:Issue>2</b:Issue>
    <b:RefOrder>36</b:RefOrder>
  </b:Source>
  <b:Source>
    <b:Tag>Sza96</b:Tag>
    <b:SourceType>JournalArticle</b:SourceType>
    <b:Guid>{96B60B28-A8A7-4C2E-A350-46EAEEF91D7E}</b:Guid>
    <b:Author>
      <b:Author>
        <b:NameList>
          <b:Person>
            <b:Last>Szasz</b:Last>
            <b:First>Paul</b:First>
          </b:Person>
        </b:NameList>
      </b:Author>
    </b:Author>
    <b:Title>The Protection of Human Rights Through the Dayton/Paris Peace Agreement on Bosnia</b:Title>
    <b:Year>1996</b:Year>
    <b:JournalName>The American Journal of International Law</b:JournalName>
    <b:Pages>301-316</b:Pages>
    <b:Volume>90</b:Volume>
    <b:Issue>2</b:Issue>
    <b:RefOrder>20</b:RefOrder>
  </b:Source>
  <b:Source>
    <b:Tag>Moh03</b:Tag>
    <b:SourceType>Book</b:SourceType>
    <b:Guid>{D334F174-F246-4C54-8ADD-40AB4D364F9F}</b:Guid>
    <b:Title>The Chittagong Hill Tracts Bangladesh: On the Difficult Road to Peace</b:Title>
    <b:Year>2003</b:Year>
    <b:Author>
      <b:Author>
        <b:NameList>
          <b:Person>
            <b:Last>Mohsin</b:Last>
            <b:First>Amena</b:First>
          </b:Person>
        </b:NameList>
      </b:Author>
    </b:Author>
    <b:City>Boulder</b:City>
    <b:Publisher>Lynne Rienner Publishers</b:Publisher>
    <b:RefOrder>22</b:RefOrder>
  </b:Source>
  <b:Source>
    <b:Tag>Pow08</b:Tag>
    <b:SourceType>Book</b:SourceType>
    <b:Guid>{38A573B1-48A6-4BFE-954D-E0208CABF60C}</b:Guid>
    <b:Title>Great Hatred, Little Room: Making Peace in Northern Ireland</b:Title>
    <b:Year>2008</b:Year>
    <b:City>London</b:City>
    <b:Publisher>Vintage Books</b:Publisher>
    <b:Author>
      <b:Author>
        <b:NameList>
          <b:Person>
            <b:Last>Powell</b:Last>
            <b:First>Jonathan</b:First>
          </b:Person>
        </b:NameList>
      </b:Author>
    </b:Author>
    <b:RefOrder>37</b:RefOrder>
  </b:Source>
  <b:Source>
    <b:Tag>Asp08</b:Tag>
    <b:SourceType>BookSection</b:SourceType>
    <b:Guid>{F93E1BF1-8BC5-49F9-AD73-E44377E495F1}</b:Guid>
    <b:Title>Elections: Consolidating Peace</b:Title>
    <b:Year>2008</b:Year>
    <b:City>London</b:City>
    <b:Publisher>Conciliation Resources</b:Publisher>
    <b:Author>
      <b:Author>
        <b:NameList>
          <b:Person>
            <b:Last>Aspinall</b:Last>
            <b:First>Edward</b:First>
          </b:Person>
        </b:NameList>
      </b:Author>
      <b:Editor>
        <b:NameList>
          <b:Person>
            <b:Last>Aguswandi</b:Last>
          </b:Person>
          <b:Person>
            <b:Last>Large</b:Last>
            <b:First>Judith</b:First>
          </b:Person>
        </b:NameList>
      </b:Editor>
    </b:Author>
    <b:BookTitle>Reconfiguring politics: The Indonesia-Aceh peace process</b:BookTitle>
    <b:RefOrder>38</b:RefOrder>
  </b:Source>
  <b:Source>
    <b:Tag>You13</b:Tag>
    <b:SourceType>Book</b:SourceType>
    <b:Guid>{DD9E61A5-4051-4626-9798-C96CF4A4A3CF}</b:Guid>
    <b:Author>
      <b:Author>
        <b:NameList>
          <b:Person>
            <b:Last>Young</b:Last>
            <b:First>John</b:First>
          </b:Person>
        </b:NameList>
      </b:Author>
    </b:Author>
    <b:Title>The Fate of Sudan: The Origins and Consequences of a Flawed Peace Process</b:Title>
    <b:Year>2013</b:Year>
    <b:City>London</b:City>
    <b:Publisher>Zed Books</b:Publisher>
    <b:RefOrder>39</b:RefOrder>
  </b:Source>
  <b:Source>
    <b:Tag>Pop01</b:Tag>
    <b:SourceType>BookSection</b:SourceType>
    <b:Guid>{AAA33FFD-1345-459E-BBFB-845E0EF439C2}</b:Guid>
    <b:Title>The Ohrid Framework Agreement Negotiations</b:Title>
    <b:Year>2004</b:Year>
    <b:Publisher>Defence Academy of the United Kingdom</b:Publisher>
    <b:Author>
      <b:Author>
        <b:NameList>
          <b:Person>
            <b:Last>Popetrevski</b:Last>
            <b:First>Vasko</b:First>
          </b:Person>
          <b:Person>
            <b:Last>Latifi</b:Last>
            <b:First>Veton</b:First>
          </b:Person>
        </b:NameList>
      </b:Author>
      <b:Editor>
        <b:NameList>
          <b:Person>
            <b:Last>James Pettifer</b:Last>
            <b:First>Iso</b:First>
            <b:Middle>Rusi, Saso Orsanoski, Vasko Popetrevski, Veton Latifi, Gordana Icevska, Ilir Ajdini</b:Middle>
          </b:Person>
        </b:NameList>
      </b:Editor>
    </b:Author>
    <b:BookTitle>The 2001 Conflict in FYROM</b:BookTitle>
    <b:RefOrder>40</b:RefOrder>
  </b:Source>
  <b:Source>
    <b:Tag>Mer15</b:Tag>
    <b:SourceType>Book</b:SourceType>
    <b:Guid>{0CA8EC97-AA19-4790-92B7-A0C2B508EBA4}</b:Guid>
    <b:Title>The Mediator: A Biography of Martti Ahtisaari </b:Title>
    <b:Year>2015</b:Year>
    <b:Author>
      <b:Author>
        <b:NameList>
          <b:Person>
            <b:Last>Merikallio</b:Last>
            <b:First>Katri</b:First>
          </b:Person>
          <b:Person>
            <b:Last>Ruokanen</b:Last>
            <b:First>Tapani</b:First>
          </b:Person>
        </b:NameList>
      </b:Author>
    </b:Author>
    <b:City>London</b:City>
    <b:Publisher>Hurst</b:Publisher>
    <b:RefOrder>41</b:RefOrder>
  </b:Source>
  <b:Source>
    <b:Tag>Had08</b:Tag>
    <b:SourceType>BookSection</b:SourceType>
    <b:Guid>{283787FC-1E6B-48B8-9D5D-D9555EEC60C7}</b:Guid>
    <b:Author>
      <b:Author>
        <b:NameList>
          <b:Person>
            <b:Last>Hadi</b:Last>
            <b:First>Faisal</b:First>
          </b:Person>
        </b:NameList>
      </b:Author>
      <b:Editor>
        <b:NameList>
          <b:Person>
            <b:Last>Aguswandi</b:Last>
          </b:Person>
          <b:Person>
            <b:Last>Large</b:Last>
            <b:First>Judith</b:First>
          </b:Person>
        </b:NameList>
      </b:Editor>
    </b:Author>
    <b:Title>Human Rights and Injustice in Aceh: the long and winding road</b:Title>
    <b:BookTitle>Reconfiguring politics: The Indonesia-Aceh peace process</b:BookTitle>
    <b:Year>2008</b:Year>
    <b:City>London</b:City>
    <b:Publisher>Conciliation Resources</b:Publisher>
    <b:RefOrder>21</b:RefOrder>
  </b:Source>
  <b:Source>
    <b:Tag>Put02</b:Tag>
    <b:SourceType>BookSection</b:SourceType>
    <b:Guid>{D830D569-32E3-4269-8147-E6589926B01A}</b:Guid>
    <b:Title>Human Rights and Sustainable Peace</b:Title>
    <b:Year>2002</b:Year>
    <b:City>Boulder</b:City>
    <b:Publisher>Lynne Rienner</b:Publisher>
    <b:Author>
      <b:Author>
        <b:NameList>
          <b:Person>
            <b:Last>Putnam</b:Last>
            <b:First>Tonya</b:First>
            <b:Middle>L.</b:Middle>
          </b:Person>
        </b:NameList>
      </b:Author>
      <b:Editor>
        <b:NameList>
          <b:Person>
            <b:Last>Stedman</b:Last>
            <b:First>Stephen</b:First>
            <b:Middle>J.</b:Middle>
          </b:Person>
          <b:Person>
            <b:Last>Rothchild</b:Last>
            <b:First>Donald</b:First>
          </b:Person>
          <b:Person>
            <b:Last>Cousens</b:Last>
            <b:First>Elizabeth</b:First>
            <b:Middle>M.</b:Middle>
          </b:Person>
        </b:NameList>
      </b:Editor>
    </b:Author>
    <b:BookTitle>Ending Civil Wars: The Implementation of Peace Agreements</b:BookTitle>
    <b:Pages>237-261</b:Pages>
    <b:RefOrder>42</b:RefOrder>
  </b:Source>
  <b:Source>
    <b:Tag>Bel08</b:Tag>
    <b:SourceType>Book</b:SourceType>
    <b:Guid>{3F3BA381-366D-40D7-B68B-D891BF9F730E}</b:Guid>
    <b:Title>On the Law of Peace: Peace Agreements and the Lex Pacificatoria</b:Title>
    <b:Year>2008</b:Year>
    <b:City>Oxford</b:City>
    <b:Publisher>Oxford University Press</b:Publisher>
    <b:Author>
      <b:Author>
        <b:NameList>
          <b:Person>
            <b:Last>Bell</b:Last>
            <b:First>Christine</b:First>
          </b:Person>
        </b:NameList>
      </b:Author>
    </b:Author>
    <b:RefOrder>43</b:RefOrder>
  </b:Source>
  <b:Source>
    <b:Tag>Mad14</b:Tag>
    <b:SourceType>JournalArticle</b:SourceType>
    <b:Guid>{3FF57C5A-FC2C-48E2-BCFA-7C8BCE7C1C08}</b:Guid>
    <b:Author>
      <b:Author>
        <b:NameList>
          <b:Person>
            <b:Last>Joshi</b:Last>
            <b:First>Madhav</b:First>
          </b:Person>
          <b:Person>
            <b:Last>Less</b:Last>
            <b:First>Sung</b:First>
            <b:Middle>Yong</b:Middle>
          </b:Person>
          <b:Person>
            <b:Last>Mac Ginty</b:Last>
            <b:First>Roger</b:First>
          </b:Person>
        </b:NameList>
      </b:Author>
    </b:Author>
    <b:Title>Just How Liberal Is the Libereal Peace?</b:Title>
    <b:Year>2014</b:Year>
    <b:Pages>364-389</b:Pages>
    <b:JournalName>International Peacekeeping</b:JournalName>
    <b:Volume>21</b:Volume>
    <b:Issue>3</b:Issue>
    <b:RefOrder>3</b:RefOrder>
  </b:Source>
  <b:Source>
    <b:Tag>Cas16</b:Tag>
    <b:SourceType>Book</b:SourceType>
    <b:Guid>{6F6EE721-C655-4E22-B0C2-B70559600F2F}</b:Guid>
    <b:Author>
      <b:Author>
        <b:NameList>
          <b:Person>
            <b:Last>Caspersen</b:Last>
            <b:First>Nina</b:First>
          </b:Person>
        </b:NameList>
      </b:Author>
    </b:Author>
    <b:Title>Peace Agreements: Finding Solutions to Intra-State Conflicts </b:Title>
    <b:Year>2016</b:Year>
    <b:City>Cambridge</b:City>
    <b:Publisher>Polity Press</b:Publisher>
    <b:RefOrder>44</b:RefOrder>
  </b:Source>
  <b:Source>
    <b:Tag>Wol11</b:Tag>
    <b:SourceType>JournalArticle</b:SourceType>
    <b:Guid>{03CE93F1-7FFA-40FA-B5AB-4933D05F76F6}</b:Guid>
    <b:Author>
      <b:Author>
        <b:NameList>
          <b:Person>
            <b:Last>Wolff</b:Last>
            <b:First>Stefan</b:First>
          </b:Person>
        </b:NameList>
      </b:Author>
    </b:Author>
    <b:Title>Managing ethno-national conflict: towards an analytical framework</b:Title>
    <b:PeriodicalTitle>Commonwealth &amp; Comparative Politics</b:PeriodicalTitle>
    <b:Year>2011</b:Year>
    <b:Pages>162-195</b:Pages>
    <b:JournalName>Commonwealth &amp; Comparative Politics</b:JournalName>
    <b:Volume>49</b:Volume>
    <b:Issue>2</b:Issue>
    <b:RefOrder>13</b:RefOrder>
  </b:Source>
  <b:Source>
    <b:Tag>Joy14</b:Tag>
    <b:SourceType>Book</b:SourceType>
    <b:Guid>{58A1485D-A9DE-4DB1-B86B-FBEDC5324B3A}</b:Guid>
    <b:Author>
      <b:Author>
        <b:NameList>
          <b:Person>
            <b:Last>Dalsheim</b:Last>
            <b:First>Joyce</b:First>
          </b:Person>
        </b:NameList>
      </b:Author>
    </b:Author>
    <b:Title>Producing Spoilers: Peacemaking and the Production of Enmity in a Secular Age</b:Title>
    <b:Year>2014</b:Year>
    <b:City>New York</b:City>
    <b:Publisher>Oxford University Press</b:Publisher>
    <b:RefOrder>45</b:RefOrder>
  </b:Source>
  <b:Source>
    <b:Tag>Zau12</b:Tag>
    <b:SourceType>JournalArticle</b:SourceType>
    <b:Guid>{E68D5CE8-7D29-416E-AAFD-9FF84DA98195}</b:Guid>
    <b:Title>Beyond the "Liberal Peace"</b:Title>
    <b:Year>2012</b:Year>
    <b:Pages>121-132</b:Pages>
    <b:Author>
      <b:Author>
        <b:NameList>
          <b:Person>
            <b:Last>Zaum</b:Last>
            <b:First>Dominik</b:First>
          </b:Person>
        </b:NameList>
      </b:Author>
    </b:Author>
    <b:JournalName>Global Governance</b:JournalName>
    <b:Volume>18</b:Volume>
    <b:RefOrder>46</b:RefOrder>
  </b:Source>
  <b:Source>
    <b:Tag>Hor851</b:Tag>
    <b:SourceType>Book</b:SourceType>
    <b:Guid>{05D943B4-2740-4E37-B1AC-3B2714FFD293}</b:Guid>
    <b:Title>Ethnic Groups in Conflict</b:Title>
    <b:Year>1985</b:Year>
    <b:Author>
      <b:Author>
        <b:NameList>
          <b:Person>
            <b:Last>Horowitz</b:Last>
            <b:First>Donald</b:First>
          </b:Person>
        </b:NameList>
      </b:Author>
    </b:Author>
    <b:City>Berkeley</b:City>
    <b:Publisher>University of California Press</b:Publisher>
    <b:RefOrder>47</b:RefOrder>
  </b:Source>
  <b:Source>
    <b:Tag>Ins12</b:Tag>
    <b:SourceType>ConferenceProceedings</b:SourceType>
    <b:Guid>{5FE905CB-BCE7-4437-8835-BD31B625D902}</b:Guid>
    <b:Title>Conflict Alert: Ethnic Fault Lines in Assam (seminar report)</b:Title>
    <b:Year>2012</b:Year>
    <b:Author>
      <b:Author>
        <b:Corporate>Institute of Peace and Conflict Studies</b:Corporate>
      </b:Author>
    </b:Author>
    <b:City>New Delhi</b:City>
    <b:RefOrder>12</b:RefOrder>
  </b:Source>
  <b:Source>
    <b:Tag>Her97</b:Tag>
    <b:SourceType>JournalArticle</b:SourceType>
    <b:Guid>{14F4DD63-E88B-43A6-A00E-7E83056EBA8B}</b:Guid>
    <b:Title>The Ending of Unending Wars: Separatist Wars</b:Title>
    <b:Year>1997</b:Year>
    <b:Author>
      <b:Author>
        <b:NameList>
          <b:Person>
            <b:Last>Heraclides</b:Last>
            <b:First>Alexis</b:First>
          </b:Person>
        </b:NameList>
      </b:Author>
    </b:Author>
    <b:JournalName>Millenium</b:JournalName>
    <b:Pages>679-707</b:Pages>
    <b:Volume>26</b:Volume>
    <b:RefOrder>48</b:RefOrder>
  </b:Source>
  <b:Source>
    <b:Tag>Bar011</b:Tag>
    <b:SourceType>BookSection</b:SourceType>
    <b:Guid>{69BEB7FC-8BA1-4002-8543-AEB278AED88E}</b:Guid>
    <b:Title>Introduction: from war to politics</b:Title>
    <b:Year>2001</b:Year>
    <b:City>London</b:City>
    <b:Publisher>Conciliation Resources</b:Publisher>
    <b:Author>
      <b:Author>
        <b:NameList>
          <b:Person>
            <b:Last>Barnes</b:Last>
            <b:First>Catherine</b:First>
          </b:Person>
          <b:Person>
            <b:Last>Abdullaev</b:Last>
            <b:First>Kamoludin</b:First>
          </b:Person>
        </b:NameList>
      </b:Author>
      <b:Editor>
        <b:NameList>
          <b:Person>
            <b:Last>Barnes</b:Last>
            <b:First>Catherine</b:First>
          </b:Person>
          <b:Person>
            <b:Last>Abdulaev</b:Last>
            <b:First>Kamoludin</b:First>
          </b:Person>
        </b:NameList>
      </b:Editor>
    </b:Author>
    <b:BookTitle>Politics of Compromise: The Tajikistan Peace Process</b:BookTitle>
    <b:Pages>8-15</b:Pages>
    <b:RefOrder>49</b:RefOrder>
  </b:Source>
  <b:Source>
    <b:Tag>Red08</b:Tag>
    <b:SourceType>JournalArticle</b:SourceType>
    <b:Guid>{457BB4EB-120D-4E0A-8C16-DE1CA0782D8E}</b:Guid>
    <b:Title>Reconciliation in Bougainville: Civil war, peacekeeping and restorative justice"</b:Title>
    <b:Year>2008</b:Year>
    <b:Author>
      <b:Author>
        <b:NameList>
          <b:Person>
            <b:Last>Reddy</b:Last>
            <b:First>Peter</b:First>
          </b:Person>
        </b:NameList>
      </b:Author>
    </b:Author>
    <b:JournalName>Contemporary Justice Review</b:JournalName>
    <b:Pages>117-130</b:Pages>
    <b:Volume>11</b:Volume>
    <b:Issue>2</b:Issue>
    <b:RefOrder>50</b:RefOrder>
  </b:Source>
  <b:Source>
    <b:Tag>Sam01</b:Tag>
    <b:SourceType>JournalArticle</b:SourceType>
    <b:Guid>{9159A9E0-1D02-4C87-B6CC-818958C444A4}</b:Guid>
    <b:Title>Do Ethnic and Nonethnic Civil Wars Have the Same Causes?</b:Title>
    <b:Year>2001</b:Year>
    <b:Pages>259-282</b:Pages>
    <b:Author>
      <b:Author>
        <b:NameList>
          <b:Person>
            <b:Last>Sambanis</b:Last>
            <b:First>Nicholas</b:First>
          </b:Person>
        </b:NameList>
      </b:Author>
    </b:Author>
    <b:JournalName>Journal of Conflict Resolution</b:JournalName>
    <b:Volume>45</b:Volume>
    <b:Issue>3</b:Issue>
    <b:RefOrder>51</b:RefOrder>
  </b:Source>
  <b:Source>
    <b:Tag>Lic95</b:Tag>
    <b:SourceType>JournalArticle</b:SourceType>
    <b:Guid>{CF782F8B-8DCD-4B01-A5ED-C6C5F2F92F4E}</b:Guid>
    <b:Author>
      <b:Author>
        <b:NameList>
          <b:Person>
            <b:Last>Licklider</b:Last>
            <b:First>Roy</b:First>
          </b:Person>
        </b:NameList>
      </b:Author>
    </b:Author>
    <b:Title>The Consequences of Negotiated Settlements in Civil Wars, 1945-1993</b:Title>
    <b:JournalName>American Political Science Review</b:JournalName>
    <b:Year>1995</b:Year>
    <b:Pages>681-690</b:Pages>
    <b:Volume>89</b:Volume>
    <b:Issue>3</b:Issue>
    <b:RefOrder>52</b:RefOrder>
  </b:Source>
  <b:Source>
    <b:Tag>Wel051</b:Tag>
    <b:SourceType>BookSection</b:SourceType>
    <b:Guid>{9209BA72-8E6D-4A54-A36F-AA6B94A5763F}</b:Guid>
    <b:Title>Self-Governance in Interim Settlements: the case of Sudan</b:Title>
    <b:Year>2005</b:Year>
    <b:Publisher>Routledge</b:Publisher>
    <b:City>London</b:City>
    <b:Author>
      <b:Author>
        <b:NameList>
          <b:Person>
            <b:Last>Weller</b:Last>
            <b:First>Marc</b:First>
          </b:Person>
        </b:NameList>
      </b:Author>
      <b:Editor>
        <b:NameList>
          <b:Person>
            <b:Last>Weller</b:Last>
            <b:First>Marc</b:First>
          </b:Person>
          <b:Person>
            <b:Last>Wolff</b:Last>
            <b:First>Stefan</b:First>
          </b:Person>
        </b:NameList>
      </b:Editor>
    </b:Author>
    <b:BookTitle>Autonomy, Self-Gpvernance and Conflict Resolution</b:BookTitle>
    <b:Pages>158-179</b:Pages>
    <b:RefOrder>53</b:RefOrder>
  </b:Source>
  <b:Source>
    <b:Tag>Kat14</b:Tag>
    <b:SourceType>Book</b:SourceType>
    <b:Guid>{58D1D1E1-7D25-4CA6-93D9-E5F0EA2A0671}</b:Guid>
    <b:Title>Inside the Politics of Self-determination</b:Title>
    <b:Year>2014</b:Year>
    <b:Author>
      <b:Author>
        <b:NameList>
          <b:Person>
            <b:Last>Cunningham</b:Last>
            <b:First>Kathleen</b:First>
            <b:Middle>Gallagher</b:Middle>
          </b:Person>
        </b:NameList>
      </b:Author>
    </b:Author>
    <b:City>Oxford</b:City>
    <b:Publisher>Oxford University Press</b:Publisher>
    <b:RefOrder>54</b:RefOrder>
  </b:Source>
  <b:Source>
    <b:Tag>Placeholder1</b:Tag>
    <b:SourceType>ArticleInAPeriodical</b:SourceType>
    <b:Guid>{446B2526-8B45-4563-AD2F-79B77D531EB5}</b:Guid>
    <b:Author>
      <b:Author>
        <b:Corporate>BBC News</b:Corporate>
      </b:Author>
    </b:Author>
    <b:Title>OTR letters: Tony Blair says NI peace process could have collapsed without scheme</b:Title>
    <b:Year>2015</b:Year>
    <b:Month>January</b:Month>
    <b:Day>13</b:Day>
    <b:RefOrder>55</b:RefOrder>
  </b:Source>
  <b:Source>
    <b:Tag>Amn13</b:Tag>
    <b:SourceType>ArticleInAPeriodical</b:SourceType>
    <b:Guid>{35172B60-8B64-4C90-94BF-E79C0249280D}</b:Guid>
    <b:Title>Indonesia: Victims of the Aceh conflict still waiting for trouth, justice and reparation</b:Title>
    <b:Year>2013</b:Year>
    <b:Author>
      <b:Author>
        <b:Corporate>Amnesty International</b:Corporate>
      </b:Author>
    </b:Author>
    <b:Month>April</b:Month>
    <b:Day>18</b:Day>
    <b:RefOrder>56</b:RefOrder>
  </b:Source>
  <b:Source>
    <b:Tag>New09</b:Tag>
    <b:SourceType>Book</b:SourceType>
    <b:Guid>{AFDC2990-1282-48E0-9FE5-0AA1696B748B}</b:Guid>
    <b:Author>
      <b:Author>
        <b:NameList>
          <b:Person>
            <b:Last>Newman</b:Last>
            <b:First>Edward</b:First>
          </b:Person>
          <b:Person>
            <b:Last>Paris</b:Last>
            <b:First>Roland</b:First>
          </b:Person>
          <b:Person>
            <b:Last>Richmond</b:Last>
            <b:First>Oliver</b:First>
            <b:Middle>P.</b:Middle>
          </b:Person>
        </b:NameList>
      </b:Author>
    </b:Author>
    <b:Title>New Perspectives on Liberal Peacebuilding</b:Title>
    <b:Year>2009</b:Year>
    <b:City>Tokyo</b:City>
    <b:Publisher>UNU Press</b:Publisher>
    <b:RefOrder>57</b:RefOrder>
  </b:Source>
  <b:Source>
    <b:Tag>Jen09</b:Tag>
    <b:SourceType>JournalArticle</b:SourceType>
    <b:Guid>{7C981357-31D4-47CF-8F9A-EA340528B567}</b:Guid>
    <b:Title>The Paradox of Ethnic Partition: Lessons from de facto Partition in Bosnia and Kosovo</b:Title>
    <b:Year>2009</b:Year>
    <b:Author>
      <b:Author>
        <b:NameList>
          <b:Person>
            <b:Last>Jenne</b:Last>
            <b:First>Erin</b:First>
            <b:Middle>K.</b:Middle>
          </b:Person>
        </b:NameList>
      </b:Author>
    </b:Author>
    <b:JournalName>Regional &amp; Federal Studies</b:JournalName>
    <b:Pages>273-289</b:Pages>
    <b:Volume>19</b:Volume>
    <b:Issue>2</b:Issue>
    <b:RefOrder>58</b:RefOrder>
  </b:Source>
  <b:Source>
    <b:Tag>OLe131</b:Tag>
    <b:SourceType>BookSection</b:SourceType>
    <b:Guid>{AA6A5725-7D79-44CC-8F46-4228A01C1454}</b:Guid>
    <b:Title>Power Sharing: An Advocate's Conclusion</b:Title>
    <b:Year>2013b</b:Year>
    <b:City>Philadelphia</b:City>
    <b:Publisher>University of Pennsylvania Press</b:Publisher>
    <b:Author>
      <b:Author>
        <b:NameList>
          <b:Person>
            <b:Last>O'Leary</b:Last>
            <b:First>Brendan</b:First>
          </b:Person>
        </b:NameList>
      </b:Author>
    </b:Author>
    <b:BookTitle>Power Sharing in Deeply Divided Places</b:BookTitle>
    <b:Pages>386-422</b:Pages>
    <b:RefOrder>59</b:RefOrder>
  </b:Source>
  <b:Source>
    <b:Tag>Cae15</b:Tag>
    <b:SourceType>Book</b:SourceType>
    <b:Guid>{D8BE8451-961E-463B-9BD2-29FEBC24DE88}</b:Guid>
    <b:Author>
      <b:Author>
        <b:NameList>
          <b:Person>
            <b:Last>Mikkelsen</b:Last>
            <b:First>Caecilie</b:First>
          </b:Person>
        </b:NameList>
      </b:Author>
    </b:Author>
    <b:Title>The Indigenous World 2015</b:Title>
    <b:Year>2015</b:Year>
    <b:City>Copenhagen</b:City>
    <b:Publisher>International Work Group for Indigenous Affairs</b:Publisher>
    <b:RefOrder>23</b:RefOrder>
  </b:Source>
  <b:Source>
    <b:Tag>Cae09</b:Tag>
    <b:SourceType>Book</b:SourceType>
    <b:Guid>{CC41E2B9-4573-4358-8B63-B907274D921A}</b:Guid>
    <b:Author>
      <b:Author>
        <b:NameList>
          <b:Person>
            <b:Last>Mikkelsen</b:Last>
            <b:First>Caecelie</b:First>
          </b:Person>
        </b:NameList>
      </b:Author>
    </b:Author>
    <b:Title>The Indigenous World 2009</b:Title>
    <b:Year>2009</b:Year>
    <b:City>Copenhagen</b:City>
    <b:Publisher>International Work Group for Indigenous Affairs</b:Publisher>
    <b:RefOrder>24</b:RefOrder>
  </b:Source>
  <b:Source>
    <b:Tag>For08</b:Tag>
    <b:SourceType>Book</b:SourceType>
    <b:Guid>{E1ABD8BA-14F4-4B94-AF8F-CDFFD377C78D}</b:Guid>
    <b:Title>Does Peacekeeping Work? Shaping Belligerents Choices after Civil War</b:Title>
    <b:Year>2008</b:Year>
    <b:City>Princeton</b:City>
    <b:Publisher>Princeton University Press</b:Publisher>
    <b:Author>
      <b:Author>
        <b:NameList>
          <b:Person>
            <b:Last>Fortna</b:Last>
            <b:First>Virginia</b:First>
            <b:Middle>Page</b:Middle>
          </b:Person>
        </b:NameList>
      </b:Author>
    </b:Author>
    <b:RefOrder>25</b:RefOrder>
  </b:Source>
  <b:Source>
    <b:Tag>Wel052</b:Tag>
    <b:SourceType>Book</b:SourceType>
    <b:Guid>{64C3B5F4-40A8-4821-A1A8-A9E5759EDFBD}</b:Guid>
    <b:Title>Autonomy, Self-governance and Conflict Resolution</b:Title>
    <b:Year>2005</b:Year>
    <b:Publisher>Routledge</b:Publisher>
    <b:City>London</b:City>
    <b:Author>
      <b:Author>
        <b:NameList>
          <b:Person>
            <b:Last>Weller</b:Last>
            <b:First>Marc</b:First>
          </b:Person>
          <b:Person>
            <b:Last>Wolff</b:Last>
            <b:First>Stefan</b:First>
          </b:Person>
        </b:NameList>
      </b:Author>
    </b:Author>
    <b:RefOrder>18</b:RefOrder>
  </b:Source>
  <b:Source>
    <b:Tag>Lap97</b:Tag>
    <b:SourceType>Book</b:SourceType>
    <b:Guid>{F5E6A9B2-0A82-4DDF-94E1-CA6CE6338E17}</b:Guid>
    <b:Author>
      <b:Author>
        <b:NameList>
          <b:Person>
            <b:Last>Lapidoth</b:Last>
            <b:First>Ruth</b:First>
          </b:Person>
        </b:NameList>
      </b:Author>
    </b:Author>
    <b:Title>Autonomy: Flexible Solutions to Ethnic Conflicts</b:Title>
    <b:Year>1997</b:Year>
    <b:City>Washington DC</b:City>
    <b:Publisher>United States Institute of Peace Press</b:Publisher>
    <b:RefOrder>9</b:RefOrder>
  </b:Source>
  <b:Source>
    <b:Tag>Gur93</b:Tag>
    <b:SourceType>Book</b:SourceType>
    <b:Guid>{E53D9A3A-CFFF-4406-B905-B81BDDAB09B6}</b:Guid>
    <b:Author>
      <b:Author>
        <b:NameList>
          <b:Person>
            <b:Last>Gurr</b:Last>
            <b:First>Ted</b:First>
            <b:Middle>Robert</b:Middle>
          </b:Person>
        </b:NameList>
      </b:Author>
    </b:Author>
    <b:Title>Minorities at Risk</b:Title>
    <b:Year>1993</b:Year>
    <b:City>Washington DC</b:City>
    <b:Publisher>United States Institute of Peace Press</b:Publisher>
    <b:RefOrder>10</b:RefOrder>
  </b:Source>
  <b:Source>
    <b:Tag>Fea04</b:Tag>
    <b:SourceType>JournalArticle</b:SourceType>
    <b:Guid>{AB158078-6DCC-465C-A7A2-490A4EBCD577}</b:Guid>
    <b:Author>
      <b:Author>
        <b:NameList>
          <b:Person>
            <b:Last>Fearon</b:Last>
            <b:First>James</b:First>
            <b:Middle>D.</b:Middle>
          </b:Person>
        </b:NameList>
      </b:Author>
    </b:Author>
    <b:Title>Why Do Some Civil Wars Last so Much Longer than Others?</b:Title>
    <b:PeriodicalTitle>Journal of Peace Research</b:PeriodicalTitle>
    <b:Year>2004</b:Year>
    <b:Pages>275-301</b:Pages>
    <b:JournalName>Journal of Peace Research</b:JournalName>
    <b:Volume>41</b:Volume>
    <b:Issue>3</b:Issue>
    <b:RefOrder>6</b:RefOrder>
  </b:Source>
  <b:Source>
    <b:Tag>Wal03</b:Tag>
    <b:SourceType>JournalArticle</b:SourceType>
    <b:Guid>{F6F674A3-6485-4B18-90ED-1072E91B45F6}</b:Guid>
    <b:Author>
      <b:Author>
        <b:NameList>
          <b:Person>
            <b:Last>Walter</b:Last>
            <b:First>Barbara</b:First>
            <b:Middle>F.</b:Middle>
          </b:Person>
        </b:NameList>
      </b:Author>
    </b:Author>
    <b:Title>Explaining the Intractability of Territorial Conflict</b:Title>
    <b:JournalName>International Studies Review</b:JournalName>
    <b:Year>2003</b:Year>
    <b:Pages>137-153</b:Pages>
    <b:Volume>5</b:Volume>
    <b:Issue>4</b:Issue>
    <b:RefOrder>5</b:RefOrder>
  </b:Source>
  <b:Source>
    <b:Tag>Ber05</b:Tag>
    <b:SourceType>JournalArticle</b:SourceType>
    <b:Guid>{86D913E2-5105-40F3-8D42-6726E50089B6}</b:Guid>
    <b:Author>
      <b:Author>
        <b:NameList>
          <b:Person>
            <b:Last>Bercovitch</b:Last>
            <b:First>Jacob</b:First>
          </b:Person>
          <b:Person>
            <b:Last>Derouen</b:Last>
            <b:First>Karl</b:First>
          </b:Person>
        </b:NameList>
      </b:Author>
    </b:Author>
    <b:Title>Managing Ethnic Civil Wars: Assessing the Determinants of Successful Mediation</b:Title>
    <b:JournalName>Civil Wars</b:JournalName>
    <b:Year>2005</b:Year>
    <b:Pages>98-116</b:Pages>
    <b:Volume>7</b:Volume>
    <b:Issue>1</b:Issue>
    <b:RefOrder>7</b:RefOrder>
  </b:Source>
  <b:Source>
    <b:Tag>Cun15</b:Tag>
    <b:SourceType>ConferenceProceedings</b:SourceType>
    <b:Guid>{F1ACBC8E-F00A-4D91-A7B2-91F5EAFC2C41}</b:Guid>
    <b:Author>
      <b:Author>
        <b:NameList>
          <b:Person>
            <b:Last>Cunningham</b:Last>
            <b:First>David</b:First>
            <b:Middle>E.</b:Middle>
          </b:Person>
          <b:Person>
            <b:Last>Gleditsch</b:Last>
            <b:First>Kristian</b:First>
            <b:Middle>S.</b:Middle>
          </b:Person>
          <b:Person>
            <b:Last>Gonzales</b:Last>
            <b:First>Belen</b:First>
          </b:Person>
          <b:Person>
            <b:Last>Vidovic</b:Last>
            <b:First>Dragana</b:First>
          </b:Person>
          <b:Person>
            <b:Last>White</b:Last>
            <b:First>Peter</b:First>
            <b:Middle>B.</b:Middle>
          </b:Person>
        </b:NameList>
      </b:Author>
    </b:Author>
    <b:Title>Words and Deeds: From Incompatibilities to Outcomes in Anti-Government Disputes</b:Title>
    <b:Year>2015</b:Year>
    <b:Publisher>Annual Meeting of the International Studies Association.</b:Publisher>
    <b:City>New Orleans</b:City>
    <b:RefOrder>8</b:RefOrder>
  </b:Source>
  <b:Source>
    <b:Tag>Del12</b:Tag>
    <b:SourceType>JournalArticle</b:SourceType>
    <b:Guid>{6D0F8FCB-C9A8-4247-A398-B8046843230D}</b:Guid>
    <b:Author>
      <b:Author>
        <b:NameList>
          <b:Person>
            <b:Last>De la Calle</b:Last>
            <b:First>Luis</b:First>
          </b:Person>
          <b:Person>
            <b:Last>Sanchez-Cuenca</b:Last>
            <b:First>Ignacio</b:First>
          </b:Person>
        </b:NameList>
      </b:Author>
    </b:Author>
    <b:Title>Rebels without a Territory: A Analysis of Nonterritorial Conflicts in the Worlds, 1970-1997</b:Title>
    <b:Year>2012</b:Year>
    <b:JournalName>Journal of Conflict Resolution</b:JournalName>
    <b:Pages>580-603</b:Pages>
    <b:Volume>56</b:Volume>
    <b:Issue>4</b:Issue>
    <b:RefOrder>60</b:RefOrder>
  </b:Source>
  <b:Source>
    <b:Tag>Har07</b:Tag>
    <b:SourceType>Book</b:SourceType>
    <b:Guid>{4342B741-F655-48CF-B7F2-B1CB28E2027E}</b:Guid>
    <b:Author>
      <b:Author>
        <b:NameList>
          <b:Person>
            <b:Last>Hartzell</b:Last>
            <b:First>Caroline</b:First>
            <b:Middle>A.</b:Middle>
          </b:Person>
          <b:Person>
            <b:Last>Hoddie</b:Last>
            <b:First>Matthew</b:First>
          </b:Person>
        </b:NameList>
      </b:Author>
    </b:Author>
    <b:Title>Crafting Peace: Power-Sharing Institutions and the Negotiated Settlement of Civil Wars</b:Title>
    <b:Year>2007</b:Year>
    <b:City>Philadelphia</b:City>
    <b:Publisher>Penn State University Press</b:Publisher>
    <b:RefOrder>11</b:RefOrder>
  </b:Source>
  <b:Source>
    <b:Tag>Hög12</b:Tag>
    <b:SourceType>BookSection</b:SourceType>
    <b:Guid>{50E10A65-9865-42B9-99ED-5798A575E24E}</b:Guid>
    <b:Author>
      <b:Author>
        <b:NameList>
          <b:Person>
            <b:Last>Högbladh</b:Last>
            <b:First>Stina</b:First>
          </b:Person>
        </b:NameList>
      </b:Author>
      <b:Editor>
        <b:NameList>
          <b:Person>
            <b:Last>Therése</b:Last>
            <b:First>Pettersson</b:First>
          </b:Person>
          <b:Person>
            <b:Last>Themnér</b:Last>
            <b:First>Lotta</b:First>
          </b:Person>
        </b:NameList>
      </b:Editor>
    </b:Author>
    <b:Title>Peace agreements 1975-2011 - Updating the UCDP Peace Agreement dataset</b:Title>
    <b:Year>2012</b:Year>
    <b:Publisher>Uppsala University: Department of Peace and Conflict Research Report 99</b:Publisher>
    <b:BookTitle> States in Armed Conflict 2011</b:BookTitle>
    <b:RefOrder>61</b:RefOrder>
  </b:Source>
  <b:Source>
    <b:Tag>Pea17</b:Tag>
    <b:SourceType>Report</b:SourceType>
    <b:Guid>{76AAAFD3-A55F-4FC6-A830-B82CBC5D43FE}</b:Guid>
    <b:Author>
      <b:Author>
        <b:Corporate>Peace Accords Matrix</b:Corporate>
      </b:Author>
    </b:Author>
    <b:Year>2017</b:Year>
    <b:Publisher>https://peaceaccords.nd.edu/peace-accords</b:Publisher>
    <b:Title>Kroc Institute for International Peace Studies, University of Notre Dame.</b:Title>
    <b:RefOrder>26</b:RefOrder>
  </b:Source>
  <b:Source>
    <b:Tag>Mel16</b:Tag>
    <b:SourceType>JournalArticle</b:SourceType>
    <b:Guid>{82E2F371-3A0A-4636-85A4-A6CA80C3835F}</b:Guid>
    <b:Author>
      <b:Author>
        <b:NameList>
          <b:Person>
            <b:Last>Melander</b:Last>
            <b:First>Erik</b:First>
          </b:Person>
          <b:Person>
            <b:Last>Pettersson</b:Last>
            <b:First>Therése</b:First>
          </b:Person>
          <b:Person>
            <b:Last>Themnér</b:Last>
            <b:First>Lotta</b:First>
          </b:Person>
        </b:NameList>
      </b:Author>
    </b:Author>
    <b:Title>Organized violence, 1989-2015</b:Title>
    <b:Year>2016</b:Year>
    <b:JournalName>Journal of Peace Research</b:JournalName>
    <b:Volume>53</b:Volume>
    <b:Issue>5</b:Issue>
    <b:RefOrder>15</b:RefOrder>
  </b:Source>
  <b:Source>
    <b:Tag>Kal03</b:Tag>
    <b:SourceType>JournalArticle</b:SourceType>
    <b:Guid>{53574F9C-800D-44AA-B6CD-D217A416AECA}</b:Guid>
    <b:Author>
      <b:Author>
        <b:NameList>
          <b:Person>
            <b:Last>Kalyvas</b:Last>
            <b:First>Stathis</b:First>
          </b:Person>
        </b:NameList>
      </b:Author>
    </b:Author>
    <b:Title>The Ontology of "Political Violence": Action and Identity in Civil Wars</b:Title>
    <b:JournalName>Perspectives on Politics</b:JournalName>
    <b:Year>2003</b:Year>
    <b:Pages>475-494</b:Pages>
    <b:Volume>1</b:Volume>
    <b:Issue>3</b:Issue>
    <b:RefOrder>16</b:RefOrder>
  </b:Source>
  <b:Source>
    <b:Tag>Rol11</b:Tag>
    <b:SourceType>JournalArticle</b:SourceType>
    <b:Guid>{435A9803-F67A-4709-B1DE-1CCC08DA8675}</b:Guid>
    <b:Title>A Quick Fix? A retrospective analysis of the Sudan Comprehensive Peace Agreement</b:Title>
    <b:Year>2011</b:Year>
    <b:Author>
      <b:Author>
        <b:NameList>
          <b:Person>
            <b:Last>Rolandsen</b:Last>
            <b:First>Oystein</b:First>
            <b:Middle>H</b:Middle>
          </b:Person>
        </b:NameList>
      </b:Author>
    </b:Author>
    <b:JournalName>Review of African Political Economy</b:JournalName>
    <b:Pages>551-564</b:Pages>
    <b:Volume>130</b:Volume>
    <b:Issue>38</b:Issue>
    <b:RefOrder>17</b:RefOrder>
  </b:Source>
  <b:Source>
    <b:Tag>Wei98</b:Tag>
    <b:SourceType>JournalArticle</b:SourceType>
    <b:Guid>{E8094124-8869-499A-B1E3-7A496AE844E0}</b:Guid>
    <b:Title>The Clash of Norms: Dilemmas in Refugee Policies</b:Title>
    <b:Year>1998</b:Year>
    <b:Pages>433-453</b:Pages>
    <b:Author>
      <b:Author>
        <b:NameList>
          <b:Person>
            <b:Last>Weiner</b:Last>
            <b:First>Myron</b:First>
          </b:Person>
        </b:NameList>
      </b:Author>
    </b:Author>
    <b:JournalName>Journal of Refugee Studies</b:JournalName>
    <b:Volume>11</b:Volume>
    <b:Issue>4</b:Issue>
    <b:RefOrder>2</b:RefOrder>
  </b:Source>
  <b:Source>
    <b:Tag>Sam12</b:Tag>
    <b:SourceType>ArticleInAPeriodical</b:SourceType>
    <b:Guid>{236F691D-94D1-42CF-97D7-EBDEA4ED3246}</b:Guid>
    <b:Title>Violence in Assam Has Deep Roots</b:Title>
    <b:Year>2012</b:Year>
    <b:Author>
      <b:Author>
        <b:NameList>
          <b:Person>
            <b:Last>Samrat</b:Last>
          </b:Person>
        </b:NameList>
      </b:Author>
    </b:Author>
    <b:PeriodicalTitle>The New York Times</b:PeriodicalTitle>
    <b:Month>26</b:Month>
    <b:Day>July</b:Day>
    <b:RefOrder>149</b:RefOrder>
  </b:Source>
</b:Sources>
</file>

<file path=customXml/itemProps1.xml><?xml version="1.0" encoding="utf-8"?>
<ds:datastoreItem xmlns:ds="http://schemas.openxmlformats.org/officeDocument/2006/customXml" ds:itemID="{CD6C2E91-D4D8-4B8D-A2D4-245E0532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10139</Words>
  <Characters>57796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Caspersen</dc:creator>
  <cp:lastModifiedBy>Nina Caspersen</cp:lastModifiedBy>
  <cp:revision>2</cp:revision>
  <cp:lastPrinted>2018-05-16T10:57:00Z</cp:lastPrinted>
  <dcterms:created xsi:type="dcterms:W3CDTF">2019-01-24T15:33:00Z</dcterms:created>
  <dcterms:modified xsi:type="dcterms:W3CDTF">2019-01-24T15:33:00Z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249129444</vt:i4>
  </property>
</Properties>
</file>